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794A5BD2" w14:textId="77777777" w:rsidR="00236608" w:rsidRDefault="00236608" w:rsidP="00236608">
      <w:pPr>
        <w:pStyle w:val="Default"/>
        <w:jc w:val="center"/>
        <w:rPr>
          <w:b/>
          <w:sz w:val="22"/>
          <w:szCs w:val="22"/>
          <w:u w:val="single"/>
        </w:rPr>
      </w:pPr>
    </w:p>
    <w:p w14:paraId="34B17942" w14:textId="10FC4C39" w:rsidR="00236608" w:rsidRPr="008872E1" w:rsidRDefault="00236608" w:rsidP="00236608">
      <w:pPr>
        <w:pStyle w:val="Default"/>
        <w:jc w:val="center"/>
        <w:rPr>
          <w:b/>
          <w:sz w:val="22"/>
          <w:szCs w:val="22"/>
          <w:u w:val="single"/>
        </w:rPr>
      </w:pPr>
      <w:r w:rsidRPr="00AE7B5B">
        <w:rPr>
          <w:b/>
          <w:sz w:val="22"/>
          <w:szCs w:val="22"/>
          <w:u w:val="single"/>
        </w:rPr>
        <w:t>TEMPLATE FOR COMMENTS</w:t>
      </w:r>
      <w:r w:rsidR="009A6B72">
        <w:rPr>
          <w:b/>
          <w:sz w:val="22"/>
          <w:szCs w:val="22"/>
          <w:u w:val="single"/>
        </w:rPr>
        <w:t xml:space="preserve">: </w:t>
      </w:r>
      <w:r w:rsidR="00923908" w:rsidRPr="00923908">
        <w:rPr>
          <w:b/>
          <w:bCs/>
          <w:snapToGrid w:val="0"/>
          <w:u w:val="single"/>
        </w:rPr>
        <w:t xml:space="preserve">Modus Operandi </w:t>
      </w:r>
      <w:r w:rsidR="00923908" w:rsidRPr="00923908">
        <w:rPr>
          <w:b/>
          <w:bCs/>
          <w:u w:val="single"/>
        </w:rPr>
        <w:t xml:space="preserve">of the open-ended forum of SBI </w:t>
      </w:r>
      <w:r w:rsidR="00923908" w:rsidRPr="00923908">
        <w:rPr>
          <w:b/>
          <w:bCs/>
          <w:snapToGrid w:val="0"/>
          <w:u w:val="single"/>
        </w:rPr>
        <w:t xml:space="preserve">for country-by-country review of </w:t>
      </w:r>
      <w:r w:rsidR="00923908" w:rsidRPr="008872E1">
        <w:rPr>
          <w:b/>
          <w:bCs/>
          <w:snapToGrid w:val="0"/>
          <w:u w:val="single"/>
        </w:rPr>
        <w:t>implementation</w:t>
      </w:r>
      <w:r w:rsidR="00923908" w:rsidRPr="008872E1">
        <w:rPr>
          <w:bCs/>
          <w:snapToGrid w:val="0"/>
          <w:u w:val="single"/>
        </w:rPr>
        <w:t xml:space="preserve"> </w:t>
      </w:r>
      <w:r w:rsidR="009A6B72" w:rsidRPr="008872E1">
        <w:rPr>
          <w:b/>
          <w:sz w:val="22"/>
          <w:szCs w:val="22"/>
          <w:u w:val="single"/>
        </w:rPr>
        <w:t>contained in CBD/SBI/3/11/ADD</w:t>
      </w:r>
      <w:r w:rsidR="00DC44E4" w:rsidRPr="008872E1">
        <w:rPr>
          <w:b/>
          <w:sz w:val="22"/>
          <w:szCs w:val="22"/>
          <w:u w:val="single"/>
        </w:rPr>
        <w:t xml:space="preserve"> </w:t>
      </w:r>
      <w:r w:rsidR="00923908" w:rsidRPr="008872E1">
        <w:rPr>
          <w:b/>
          <w:sz w:val="22"/>
          <w:szCs w:val="22"/>
          <w:u w:val="single"/>
        </w:rPr>
        <w:t>5</w:t>
      </w:r>
    </w:p>
    <w:p w14:paraId="17859718" w14:textId="77777777" w:rsidR="00236608" w:rsidRPr="00532BBA" w:rsidRDefault="00236608" w:rsidP="00236608">
      <w:pPr>
        <w:pStyle w:val="Default"/>
        <w:jc w:val="center"/>
        <w:rPr>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25"/>
      </w:tblGrid>
      <w:tr w:rsidR="00236608" w:rsidRPr="000C0B6C" w14:paraId="1FFC346E" w14:textId="77777777" w:rsidTr="6763FEF6">
        <w:trPr>
          <w:trHeight w:val="737"/>
        </w:trPr>
        <w:tc>
          <w:tcPr>
            <w:tcW w:w="9558"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6763FEF6">
        <w:trPr>
          <w:trHeight w:val="270"/>
        </w:trPr>
        <w:tc>
          <w:tcPr>
            <w:tcW w:w="4133" w:type="dxa"/>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425" w:type="dxa"/>
          </w:tcPr>
          <w:p w14:paraId="1B40A4A0" w14:textId="3D707A60" w:rsidR="00AF4AD0" w:rsidRPr="000C0B6C" w:rsidRDefault="00923908" w:rsidP="009A6B72">
            <w:r w:rsidRPr="000806ED">
              <w:rPr>
                <w:bCs/>
                <w:snapToGrid w:val="0"/>
                <w:color w:val="000000"/>
              </w:rPr>
              <w:t xml:space="preserve">Modus Operandi </w:t>
            </w:r>
            <w:r w:rsidRPr="000806ED">
              <w:rPr>
                <w:bCs/>
                <w:color w:val="000000"/>
              </w:rPr>
              <w:t xml:space="preserve">of the open-ended forum of SBI </w:t>
            </w:r>
            <w:r w:rsidRPr="000806ED">
              <w:rPr>
                <w:bCs/>
                <w:snapToGrid w:val="0"/>
                <w:color w:val="000000"/>
              </w:rPr>
              <w:t>for country-by-country review of implementation</w:t>
            </w:r>
            <w:r w:rsidR="00DC44E4">
              <w:t>, contained in the document CBD/SBI/3/11/Add.</w:t>
            </w:r>
            <w:r>
              <w:t>5</w:t>
            </w:r>
            <w:r w:rsidR="00DC44E4">
              <w:t>, w</w:t>
            </w:r>
            <w:r w:rsidR="00B66728">
              <w:t xml:space="preserve">hich includes a draft of </w:t>
            </w:r>
            <w:r w:rsidR="00DC44E4">
              <w:t xml:space="preserve">Annex </w:t>
            </w:r>
            <w:r>
              <w:t>D</w:t>
            </w:r>
            <w:r w:rsidR="00FF1E02">
              <w:t xml:space="preserve"> to CBD/SBI/3/CRP.5.</w:t>
            </w:r>
            <w:r w:rsidR="00DC44E4">
              <w:t xml:space="preserve"> </w:t>
            </w:r>
            <w:r w:rsidR="00414EDF">
              <w:t xml:space="preserve">This template aims to collect feedback on that Annex. </w:t>
            </w:r>
          </w:p>
        </w:tc>
      </w:tr>
      <w:tr w:rsidR="00236608" w:rsidRPr="000C0B6C" w14:paraId="6598FBAB" w14:textId="77777777" w:rsidTr="6763FEF6">
        <w:trPr>
          <w:trHeight w:val="467"/>
        </w:trPr>
        <w:tc>
          <w:tcPr>
            <w:tcW w:w="9558" w:type="dxa"/>
            <w:gridSpan w:val="2"/>
            <w:shd w:val="clear" w:color="auto" w:fill="C0C0C0"/>
            <w:vAlign w:val="center"/>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6763FEF6">
        <w:trPr>
          <w:trHeight w:val="270"/>
        </w:trPr>
        <w:tc>
          <w:tcPr>
            <w:tcW w:w="4133" w:type="dxa"/>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25" w:type="dxa"/>
          </w:tcPr>
          <w:p w14:paraId="08B4F522" w14:textId="7AA5ACCB" w:rsidR="00236608" w:rsidRPr="000C0B6C" w:rsidRDefault="004F2A2F" w:rsidP="009A6B72">
            <w:r>
              <w:t>Bryant</w:t>
            </w:r>
          </w:p>
        </w:tc>
      </w:tr>
      <w:tr w:rsidR="00236608" w:rsidRPr="000C0B6C" w14:paraId="70478EC8" w14:textId="77777777" w:rsidTr="6763FEF6">
        <w:trPr>
          <w:trHeight w:val="270"/>
        </w:trPr>
        <w:tc>
          <w:tcPr>
            <w:tcW w:w="4133" w:type="dxa"/>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25" w:type="dxa"/>
          </w:tcPr>
          <w:p w14:paraId="618617AF" w14:textId="15CB2B14" w:rsidR="00236608" w:rsidRPr="000C0B6C" w:rsidRDefault="004F2A2F" w:rsidP="009A6B72">
            <w:r>
              <w:t>Kirsty</w:t>
            </w:r>
          </w:p>
        </w:tc>
      </w:tr>
      <w:tr w:rsidR="00236608" w:rsidRPr="000C0B6C" w14:paraId="60004B01" w14:textId="77777777" w:rsidTr="6763FEF6">
        <w:trPr>
          <w:trHeight w:val="280"/>
        </w:trPr>
        <w:tc>
          <w:tcPr>
            <w:tcW w:w="4133" w:type="dxa"/>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25" w:type="dxa"/>
          </w:tcPr>
          <w:p w14:paraId="44573104" w14:textId="754D4F07" w:rsidR="00236608" w:rsidRPr="000C0B6C" w:rsidRDefault="004F2A2F" w:rsidP="009A6B72">
            <w:r>
              <w:t>UK</w:t>
            </w:r>
          </w:p>
        </w:tc>
      </w:tr>
      <w:tr w:rsidR="00236608" w:rsidRPr="000C0B6C" w14:paraId="41DAE210" w14:textId="77777777" w:rsidTr="6763FEF6">
        <w:trPr>
          <w:trHeight w:val="270"/>
        </w:trPr>
        <w:tc>
          <w:tcPr>
            <w:tcW w:w="4133" w:type="dxa"/>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25" w:type="dxa"/>
          </w:tcPr>
          <w:p w14:paraId="6DC88D1F" w14:textId="682E5B8E" w:rsidR="00236608" w:rsidRPr="000C0B6C" w:rsidRDefault="004F2A2F" w:rsidP="009A6B72">
            <w:r>
              <w:rPr>
                <w:rStyle w:val="normaltextrun"/>
                <w:color w:val="000000"/>
                <w:shd w:val="clear" w:color="auto" w:fill="FFFFFF"/>
              </w:rPr>
              <w:t>Department for Environment, Food &amp; Rural Affairs</w:t>
            </w:r>
            <w:r>
              <w:rPr>
                <w:rStyle w:val="eop"/>
                <w:color w:val="000000"/>
                <w:shd w:val="clear" w:color="auto" w:fill="FFFFFF"/>
              </w:rPr>
              <w:t> </w:t>
            </w:r>
          </w:p>
        </w:tc>
      </w:tr>
      <w:tr w:rsidR="00236608" w:rsidRPr="000C0B6C" w14:paraId="19EAFF8D" w14:textId="77777777" w:rsidTr="6763FEF6">
        <w:trPr>
          <w:trHeight w:val="280"/>
        </w:trPr>
        <w:tc>
          <w:tcPr>
            <w:tcW w:w="4133" w:type="dxa"/>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25" w:type="dxa"/>
          </w:tcPr>
          <w:p w14:paraId="1BEACDEF" w14:textId="1785ED50" w:rsidR="00236608" w:rsidRPr="000C0B6C" w:rsidRDefault="004F2A2F" w:rsidP="009A6B72">
            <w:r>
              <w:rPr>
                <w:rStyle w:val="normaltextrun"/>
                <w:color w:val="000000"/>
                <w:shd w:val="clear" w:color="auto" w:fill="FFFFFF"/>
              </w:rPr>
              <w:t xml:space="preserve">2 </w:t>
            </w:r>
            <w:proofErr w:type="spellStart"/>
            <w:r>
              <w:rPr>
                <w:rStyle w:val="normaltextrun"/>
                <w:color w:val="000000"/>
                <w:shd w:val="clear" w:color="auto" w:fill="FFFFFF"/>
              </w:rPr>
              <w:t>Marsham</w:t>
            </w:r>
            <w:proofErr w:type="spellEnd"/>
            <w:r>
              <w:rPr>
                <w:rStyle w:val="normaltextrun"/>
                <w:color w:val="000000"/>
                <w:shd w:val="clear" w:color="auto" w:fill="FFFFFF"/>
              </w:rPr>
              <w:t xml:space="preserve"> Street</w:t>
            </w:r>
            <w:r>
              <w:rPr>
                <w:rStyle w:val="eop"/>
                <w:color w:val="000000"/>
                <w:shd w:val="clear" w:color="auto" w:fill="FFFFFF"/>
              </w:rPr>
              <w:t> </w:t>
            </w:r>
          </w:p>
        </w:tc>
      </w:tr>
      <w:tr w:rsidR="00236608" w:rsidRPr="000C0B6C" w14:paraId="3310BC30" w14:textId="77777777" w:rsidTr="6763FEF6">
        <w:trPr>
          <w:trHeight w:val="270"/>
        </w:trPr>
        <w:tc>
          <w:tcPr>
            <w:tcW w:w="4133" w:type="dxa"/>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25" w:type="dxa"/>
          </w:tcPr>
          <w:p w14:paraId="160AB00E" w14:textId="708AC5D6" w:rsidR="00236608" w:rsidRPr="000C0B6C" w:rsidRDefault="004F2A2F" w:rsidP="009A6B72">
            <w:r>
              <w:t>London</w:t>
            </w:r>
          </w:p>
        </w:tc>
      </w:tr>
      <w:tr w:rsidR="00236608" w:rsidRPr="000C0B6C" w14:paraId="0303D967" w14:textId="77777777" w:rsidTr="6763FEF6">
        <w:trPr>
          <w:trHeight w:val="280"/>
        </w:trPr>
        <w:tc>
          <w:tcPr>
            <w:tcW w:w="4133" w:type="dxa"/>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25" w:type="dxa"/>
          </w:tcPr>
          <w:p w14:paraId="213ED87C" w14:textId="215E19E7" w:rsidR="00236608" w:rsidRPr="000C0B6C" w:rsidRDefault="004F2A2F" w:rsidP="009A6B72">
            <w:r>
              <w:t>United Kingdom</w:t>
            </w:r>
          </w:p>
        </w:tc>
      </w:tr>
      <w:tr w:rsidR="00236608" w:rsidRPr="000C0B6C" w14:paraId="1112C88B" w14:textId="77777777" w:rsidTr="6763FEF6">
        <w:trPr>
          <w:trHeight w:val="270"/>
        </w:trPr>
        <w:tc>
          <w:tcPr>
            <w:tcW w:w="4133" w:type="dxa"/>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25" w:type="dxa"/>
          </w:tcPr>
          <w:p w14:paraId="3E34F7CA" w14:textId="21E77B20" w:rsidR="00236608" w:rsidRPr="000C0B6C" w:rsidRDefault="004F2A2F" w:rsidP="009A6B72">
            <w:r>
              <w:rPr>
                <w:rStyle w:val="normaltextrun"/>
                <w:color w:val="000000"/>
                <w:shd w:val="clear" w:color="auto" w:fill="FFFFFF"/>
              </w:rPr>
              <w:t>SW1P 4DF</w:t>
            </w:r>
            <w:r>
              <w:rPr>
                <w:rStyle w:val="eop"/>
                <w:color w:val="000000"/>
                <w:shd w:val="clear" w:color="auto" w:fill="FFFFFF"/>
              </w:rPr>
              <w:t> </w:t>
            </w:r>
          </w:p>
        </w:tc>
      </w:tr>
      <w:tr w:rsidR="00236608" w:rsidRPr="000C0B6C" w14:paraId="64A916DC" w14:textId="77777777" w:rsidTr="6763FEF6">
        <w:trPr>
          <w:trHeight w:val="270"/>
        </w:trPr>
        <w:tc>
          <w:tcPr>
            <w:tcW w:w="4133" w:type="dxa"/>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25" w:type="dxa"/>
          </w:tcPr>
          <w:p w14:paraId="6D5B5A6E" w14:textId="26CAA9C8" w:rsidR="00236608" w:rsidRPr="000C0B6C" w:rsidRDefault="004F2A2F" w:rsidP="009A6B72">
            <w:r>
              <w:rPr>
                <w:rStyle w:val="normaltextrun"/>
                <w:color w:val="000000"/>
                <w:shd w:val="clear" w:color="auto" w:fill="FFFFFF"/>
              </w:rPr>
              <w:t>+44 7785 439444</w:t>
            </w:r>
            <w:r>
              <w:rPr>
                <w:rStyle w:val="eop"/>
                <w:color w:val="000000"/>
                <w:shd w:val="clear" w:color="auto" w:fill="FFFFFF"/>
              </w:rPr>
              <w:t> </w:t>
            </w:r>
          </w:p>
        </w:tc>
      </w:tr>
      <w:tr w:rsidR="00236608" w:rsidRPr="000C0B6C" w14:paraId="7C74835B" w14:textId="77777777" w:rsidTr="6763FEF6">
        <w:trPr>
          <w:trHeight w:val="233"/>
        </w:trPr>
        <w:tc>
          <w:tcPr>
            <w:tcW w:w="4133" w:type="dxa"/>
          </w:tcPr>
          <w:p w14:paraId="45DEDB26" w14:textId="77777777" w:rsidR="00236608" w:rsidRPr="000C0B6C" w:rsidRDefault="00236608" w:rsidP="009A6B72">
            <w:pPr>
              <w:pStyle w:val="CommentSubject"/>
              <w:rPr>
                <w:sz w:val="22"/>
                <w:szCs w:val="22"/>
              </w:rPr>
            </w:pPr>
            <w:r w:rsidRPr="000C0B6C">
              <w:rPr>
                <w:sz w:val="22"/>
                <w:szCs w:val="22"/>
              </w:rPr>
              <w:t>E-mail:</w:t>
            </w:r>
          </w:p>
        </w:tc>
        <w:tc>
          <w:tcPr>
            <w:tcW w:w="5425" w:type="dxa"/>
          </w:tcPr>
          <w:p w14:paraId="118A29DB" w14:textId="7967A4AD" w:rsidR="00236608" w:rsidRPr="000C0B6C" w:rsidRDefault="004F2A2F" w:rsidP="009A6B72">
            <w:r>
              <w:rPr>
                <w:rStyle w:val="normaltextrun"/>
                <w:color w:val="000000"/>
                <w:shd w:val="clear" w:color="auto" w:fill="FFFFFF"/>
              </w:rPr>
              <w:t>Kirsty.bryant@defra.gov.uk</w:t>
            </w:r>
            <w:r>
              <w:rPr>
                <w:rStyle w:val="eop"/>
                <w:color w:val="000000"/>
                <w:shd w:val="clear" w:color="auto" w:fill="FFFFFF"/>
              </w:rPr>
              <w:t> </w:t>
            </w:r>
          </w:p>
        </w:tc>
      </w:tr>
      <w:tr w:rsidR="00414EDF" w:rsidRPr="000C0B6C" w14:paraId="5BF8E06D" w14:textId="77777777" w:rsidTr="6763FEF6">
        <w:trPr>
          <w:trHeight w:val="404"/>
        </w:trPr>
        <w:tc>
          <w:tcPr>
            <w:tcW w:w="9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57D29CC0" w:rsidR="00414EDF" w:rsidRPr="00414EDF" w:rsidRDefault="00414EDF" w:rsidP="00414EDF">
            <w:pPr>
              <w:jc w:val="center"/>
              <w:rPr>
                <w:b/>
                <w:bCs/>
                <w:sz w:val="22"/>
                <w:szCs w:val="22"/>
              </w:rPr>
            </w:pPr>
            <w:r>
              <w:rPr>
                <w:b/>
                <w:bCs/>
                <w:sz w:val="22"/>
                <w:szCs w:val="22"/>
              </w:rPr>
              <w:t>Comments</w:t>
            </w:r>
          </w:p>
        </w:tc>
      </w:tr>
      <w:tr w:rsidR="00414EDF" w:rsidRPr="000C0B6C" w14:paraId="396AFF2B" w14:textId="77777777" w:rsidTr="6763FEF6">
        <w:trPr>
          <w:trHeight w:val="3077"/>
        </w:trPr>
        <w:tc>
          <w:tcPr>
            <w:tcW w:w="9558" w:type="dxa"/>
            <w:gridSpan w:val="2"/>
            <w:tcBorders>
              <w:top w:val="single" w:sz="4" w:space="0" w:color="auto"/>
              <w:left w:val="single" w:sz="4" w:space="0" w:color="auto"/>
              <w:right w:val="single" w:sz="4" w:space="0" w:color="auto"/>
            </w:tcBorders>
          </w:tcPr>
          <w:p w14:paraId="231A3301" w14:textId="5495E9E2" w:rsidR="00AD265C" w:rsidRPr="00262FDB" w:rsidRDefault="00414EDF" w:rsidP="604E797D">
            <w:pPr>
              <w:rPr>
                <w:rFonts w:asciiTheme="majorBidi" w:hAnsiTheme="majorBidi" w:cstheme="majorBidi"/>
                <w:i/>
                <w:iCs/>
                <w:sz w:val="22"/>
                <w:szCs w:val="22"/>
              </w:rPr>
            </w:pPr>
            <w:r w:rsidRPr="00262FDB">
              <w:rPr>
                <w:i/>
                <w:iCs/>
                <w:sz w:val="22"/>
                <w:szCs w:val="22"/>
              </w:rPr>
              <w:t xml:space="preserve">Please </w:t>
            </w:r>
            <w:r w:rsidR="00AD265C" w:rsidRPr="00262FDB">
              <w:rPr>
                <w:i/>
                <w:iCs/>
                <w:sz w:val="22"/>
                <w:szCs w:val="22"/>
              </w:rPr>
              <w:t xml:space="preserve">provide </w:t>
            </w:r>
            <w:r w:rsidRPr="00262FDB">
              <w:rPr>
                <w:i/>
                <w:iCs/>
                <w:sz w:val="22"/>
                <w:szCs w:val="22"/>
              </w:rPr>
              <w:t xml:space="preserve">any general comments </w:t>
            </w:r>
            <w:r w:rsidR="00AD265C" w:rsidRPr="00262FDB">
              <w:rPr>
                <w:i/>
                <w:iCs/>
                <w:sz w:val="22"/>
                <w:szCs w:val="22"/>
              </w:rPr>
              <w:t xml:space="preserve">and specific suggestions </w:t>
            </w:r>
            <w:r w:rsidRPr="00262FDB">
              <w:rPr>
                <w:i/>
                <w:iCs/>
                <w:sz w:val="22"/>
                <w:szCs w:val="22"/>
              </w:rPr>
              <w:t>on</w:t>
            </w:r>
            <w:r w:rsidR="00FF1E02" w:rsidRPr="00262FDB">
              <w:rPr>
                <w:i/>
                <w:iCs/>
                <w:sz w:val="22"/>
                <w:szCs w:val="22"/>
              </w:rPr>
              <w:t xml:space="preserve"> </w:t>
            </w:r>
            <w:r w:rsidR="00AD265C" w:rsidRPr="00262FDB">
              <w:rPr>
                <w:i/>
                <w:iCs/>
                <w:sz w:val="22"/>
                <w:szCs w:val="22"/>
              </w:rPr>
              <w:t xml:space="preserve">the proposed </w:t>
            </w:r>
            <w:r w:rsidR="00AD265C" w:rsidRPr="00262FDB">
              <w:rPr>
                <w:rFonts w:asciiTheme="majorBidi" w:hAnsiTheme="majorBidi" w:cstheme="majorBidi"/>
                <w:i/>
                <w:iCs/>
                <w:sz w:val="22"/>
                <w:szCs w:val="22"/>
              </w:rPr>
              <w:t>modus operandi of the open-ended forum of the Subsidiary Body on Implementation for country-by-country review of implementation</w:t>
            </w:r>
            <w:r w:rsidR="00B66728" w:rsidRPr="00262FDB">
              <w:rPr>
                <w:rFonts w:asciiTheme="majorBidi" w:hAnsiTheme="majorBidi" w:cstheme="majorBidi"/>
                <w:i/>
                <w:iCs/>
                <w:sz w:val="22"/>
                <w:szCs w:val="22"/>
              </w:rPr>
              <w:t>.</w:t>
            </w:r>
          </w:p>
          <w:p w14:paraId="3E33B4B8" w14:textId="322B7381" w:rsidR="004F2A2F" w:rsidRPr="003700F1" w:rsidRDefault="69A21BFA" w:rsidP="004F2A2F">
            <w:pPr>
              <w:pStyle w:val="ListParagraph"/>
              <w:numPr>
                <w:ilvl w:val="0"/>
                <w:numId w:val="2"/>
              </w:numPr>
              <w:spacing w:after="160" w:line="259" w:lineRule="auto"/>
              <w:rPr>
                <w:rFonts w:eastAsia="Calibri"/>
                <w:color w:val="000000" w:themeColor="text1"/>
                <w:sz w:val="22"/>
                <w:szCs w:val="22"/>
              </w:rPr>
            </w:pPr>
            <w:r w:rsidRPr="003700F1">
              <w:rPr>
                <w:rFonts w:eastAsia="Calibri"/>
                <w:color w:val="000000" w:themeColor="text1"/>
                <w:sz w:val="22"/>
                <w:szCs w:val="22"/>
              </w:rPr>
              <w:t>We support continuous improvement in implementation by all Parties</w:t>
            </w:r>
            <w:r w:rsidR="59323F57" w:rsidRPr="003700F1">
              <w:rPr>
                <w:rFonts w:eastAsia="Calibri"/>
                <w:color w:val="000000" w:themeColor="text1"/>
                <w:sz w:val="22"/>
                <w:szCs w:val="22"/>
              </w:rPr>
              <w:t>,</w:t>
            </w:r>
            <w:r w:rsidRPr="003700F1">
              <w:rPr>
                <w:rFonts w:eastAsia="Calibri"/>
                <w:color w:val="000000" w:themeColor="text1"/>
                <w:sz w:val="22"/>
                <w:szCs w:val="22"/>
              </w:rPr>
              <w:t xml:space="preserve"> and country-by-country review processes should aim to support improvement by sharing experience, learning and capacity building.</w:t>
            </w:r>
          </w:p>
          <w:p w14:paraId="106887F5" w14:textId="74C55274" w:rsidR="004F2A2F" w:rsidRPr="003700F1" w:rsidRDefault="69A21BFA" w:rsidP="004F2A2F">
            <w:pPr>
              <w:pStyle w:val="ListParagraph"/>
              <w:numPr>
                <w:ilvl w:val="0"/>
                <w:numId w:val="2"/>
              </w:numPr>
              <w:spacing w:after="160" w:line="259" w:lineRule="auto"/>
              <w:rPr>
                <w:rFonts w:eastAsia="Calibri"/>
                <w:color w:val="000000" w:themeColor="text1"/>
                <w:sz w:val="22"/>
                <w:szCs w:val="22"/>
              </w:rPr>
            </w:pPr>
            <w:r w:rsidRPr="6763FEF6">
              <w:rPr>
                <w:rFonts w:eastAsia="Calibri"/>
                <w:color w:val="000000" w:themeColor="text1"/>
                <w:sz w:val="22"/>
                <w:szCs w:val="22"/>
                <w:lang w:val="en-GB"/>
              </w:rPr>
              <w:t xml:space="preserve">All Parties should have the opportunity to participate in these review processes on a voluntary basis. However, careful consideration should be given to timescales and requirements to ensure that these processes are simple, effective, and </w:t>
            </w:r>
            <w:r w:rsidR="6B0E7D48" w:rsidRPr="6763FEF6">
              <w:rPr>
                <w:rFonts w:eastAsia="Calibri"/>
                <w:color w:val="000000" w:themeColor="text1"/>
                <w:sz w:val="22"/>
                <w:szCs w:val="22"/>
                <w:lang w:val="en-GB"/>
              </w:rPr>
              <w:t xml:space="preserve">manageable and do not place unnecessary burden on </w:t>
            </w:r>
            <w:r w:rsidR="6B0E7D48" w:rsidRPr="6763FEF6">
              <w:rPr>
                <w:rFonts w:eastAsia="Calibri"/>
                <w:sz w:val="22"/>
                <w:szCs w:val="22"/>
                <w:lang w:val="en-GB"/>
              </w:rPr>
              <w:t>Parties</w:t>
            </w:r>
            <w:r w:rsidR="008A16EE" w:rsidRPr="6763FEF6">
              <w:rPr>
                <w:rFonts w:eastAsia="Calibri"/>
                <w:sz w:val="22"/>
                <w:szCs w:val="22"/>
                <w:lang w:val="en-GB"/>
              </w:rPr>
              <w:t xml:space="preserve"> or the secretariat</w:t>
            </w:r>
            <w:r w:rsidR="6B0E7D48" w:rsidRPr="6763FEF6">
              <w:rPr>
                <w:rFonts w:eastAsia="Calibri"/>
                <w:color w:val="000000" w:themeColor="text1"/>
                <w:sz w:val="22"/>
                <w:szCs w:val="22"/>
                <w:lang w:val="en-GB"/>
              </w:rPr>
              <w:t>.</w:t>
            </w:r>
          </w:p>
          <w:p w14:paraId="163A700D" w14:textId="7EC62D89" w:rsidR="008872E1" w:rsidRPr="003700F1" w:rsidRDefault="372B8539" w:rsidP="235C3FD7">
            <w:pPr>
              <w:pStyle w:val="ListParagraph"/>
              <w:numPr>
                <w:ilvl w:val="0"/>
                <w:numId w:val="2"/>
              </w:numPr>
              <w:rPr>
                <w:rStyle w:val="eop"/>
                <w:color w:val="000000" w:themeColor="text1"/>
                <w:sz w:val="22"/>
                <w:szCs w:val="22"/>
              </w:rPr>
            </w:pPr>
            <w:r w:rsidRPr="003700F1">
              <w:rPr>
                <w:rStyle w:val="normaltextrun"/>
                <w:color w:val="000000" w:themeColor="text1"/>
                <w:sz w:val="22"/>
                <w:szCs w:val="22"/>
              </w:rPr>
              <w:t>Any n</w:t>
            </w:r>
            <w:r w:rsidRPr="003700F1">
              <w:rPr>
                <w:rStyle w:val="normaltextrun"/>
                <w:color w:val="000000"/>
                <w:sz w:val="22"/>
                <w:szCs w:val="22"/>
                <w:shd w:val="clear" w:color="auto" w:fill="FFFFFF"/>
              </w:rPr>
              <w:t>ew actions</w:t>
            </w:r>
            <w:r w:rsidR="008A16EE" w:rsidRPr="003700F1">
              <w:rPr>
                <w:rStyle w:val="normaltextrun"/>
                <w:color w:val="000000"/>
                <w:sz w:val="22"/>
                <w:szCs w:val="22"/>
                <w:shd w:val="clear" w:color="auto" w:fill="FFFFFF"/>
              </w:rPr>
              <w:t xml:space="preserve"> </w:t>
            </w:r>
            <w:r w:rsidR="008A16EE" w:rsidRPr="6763FEF6">
              <w:rPr>
                <w:rStyle w:val="normaltextrun"/>
                <w:color w:val="000000"/>
                <w:sz w:val="22"/>
                <w:szCs w:val="22"/>
                <w:shd w:val="clear" w:color="auto" w:fill="FFFFFF"/>
              </w:rPr>
              <w:t>or requests</w:t>
            </w:r>
            <w:r w:rsidRPr="003700F1">
              <w:rPr>
                <w:rStyle w:val="normaltextrun"/>
                <w:color w:val="000000"/>
                <w:sz w:val="22"/>
                <w:szCs w:val="22"/>
                <w:shd w:val="clear" w:color="auto" w:fill="FFFFFF"/>
              </w:rPr>
              <w:t xml:space="preserve"> should be captured in the decision text rather than the annex</w:t>
            </w:r>
            <w:r w:rsidR="005F4BB3" w:rsidRPr="003700F1">
              <w:rPr>
                <w:rStyle w:val="normaltextrun"/>
                <w:color w:val="000000"/>
                <w:sz w:val="22"/>
                <w:szCs w:val="22"/>
                <w:shd w:val="clear" w:color="auto" w:fill="FFFFFF"/>
              </w:rPr>
              <w:t>,</w:t>
            </w:r>
            <w:r w:rsidRPr="003700F1">
              <w:rPr>
                <w:rStyle w:val="normaltextrun"/>
                <w:color w:val="000000"/>
                <w:sz w:val="22"/>
                <w:szCs w:val="22"/>
                <w:shd w:val="clear" w:color="auto" w:fill="FFFFFF"/>
              </w:rPr>
              <w:t xml:space="preserve"> a</w:t>
            </w:r>
            <w:r w:rsidRPr="003700F1">
              <w:rPr>
                <w:rStyle w:val="normaltextrun"/>
                <w:color w:val="000000" w:themeColor="text1"/>
                <w:sz w:val="22"/>
                <w:szCs w:val="22"/>
              </w:rPr>
              <w:t>nd the</w:t>
            </w:r>
            <w:r w:rsidR="00262FDB" w:rsidRPr="003700F1">
              <w:rPr>
                <w:rStyle w:val="normaltextrun"/>
                <w:color w:val="000000" w:themeColor="text1"/>
                <w:sz w:val="22"/>
                <w:szCs w:val="22"/>
              </w:rPr>
              <w:t xml:space="preserve"> </w:t>
            </w:r>
            <w:r w:rsidRPr="003700F1">
              <w:rPr>
                <w:rStyle w:val="normaltextrun"/>
                <w:color w:val="000000" w:themeColor="text1"/>
                <w:sz w:val="22"/>
                <w:szCs w:val="22"/>
              </w:rPr>
              <w:t>t</w:t>
            </w:r>
            <w:r w:rsidRPr="003700F1">
              <w:rPr>
                <w:rStyle w:val="normaltextrun"/>
                <w:color w:val="000000"/>
                <w:sz w:val="22"/>
                <w:szCs w:val="22"/>
                <w:shd w:val="clear" w:color="auto" w:fill="FFFFFF"/>
              </w:rPr>
              <w:t>ext</w:t>
            </w:r>
            <w:r w:rsidRPr="003700F1">
              <w:rPr>
                <w:rStyle w:val="normaltextrun"/>
                <w:color w:val="000000" w:themeColor="text1"/>
                <w:sz w:val="22"/>
                <w:szCs w:val="22"/>
              </w:rPr>
              <w:t xml:space="preserve"> in the modus operandi</w:t>
            </w:r>
            <w:r w:rsidR="00A7EA40" w:rsidRPr="003700F1">
              <w:rPr>
                <w:rStyle w:val="normaltextrun"/>
                <w:color w:val="000000"/>
                <w:sz w:val="22"/>
                <w:szCs w:val="22"/>
                <w:shd w:val="clear" w:color="auto" w:fill="FFFFFF"/>
              </w:rPr>
              <w:t xml:space="preserve"> (</w:t>
            </w:r>
            <w:r w:rsidR="001D5ABC" w:rsidRPr="003700F1">
              <w:rPr>
                <w:rStyle w:val="normaltextrun"/>
                <w:color w:val="000000"/>
                <w:sz w:val="22"/>
                <w:szCs w:val="22"/>
                <w:shd w:val="clear" w:color="auto" w:fill="FFFFFF"/>
              </w:rPr>
              <w:t>e.g.,</w:t>
            </w:r>
            <w:r w:rsidR="00A7EA40" w:rsidRPr="003700F1">
              <w:rPr>
                <w:rStyle w:val="normaltextrun"/>
                <w:color w:val="000000"/>
                <w:sz w:val="22"/>
                <w:szCs w:val="22"/>
                <w:shd w:val="clear" w:color="auto" w:fill="FFFFFF"/>
              </w:rPr>
              <w:t xml:space="preserve"> </w:t>
            </w:r>
            <w:r w:rsidR="00A7EA40" w:rsidRPr="003700F1">
              <w:rPr>
                <w:sz w:val="22"/>
                <w:szCs w:val="22"/>
              </w:rPr>
              <w:t xml:space="preserve">“global </w:t>
            </w:r>
            <w:proofErr w:type="spellStart"/>
            <w:r w:rsidR="00A7EA40" w:rsidRPr="003700F1">
              <w:rPr>
                <w:sz w:val="22"/>
                <w:szCs w:val="22"/>
              </w:rPr>
              <w:t>stocktake</w:t>
            </w:r>
            <w:proofErr w:type="spellEnd"/>
            <w:r w:rsidR="00A7EA40" w:rsidRPr="003700F1">
              <w:rPr>
                <w:sz w:val="22"/>
                <w:szCs w:val="22"/>
              </w:rPr>
              <w:t xml:space="preserve"> on ambition and implementation”)</w:t>
            </w:r>
            <w:r w:rsidRPr="003700F1">
              <w:rPr>
                <w:rStyle w:val="normaltextrun"/>
                <w:color w:val="000000"/>
                <w:sz w:val="22"/>
                <w:szCs w:val="22"/>
                <w:shd w:val="clear" w:color="auto" w:fill="FFFFFF"/>
              </w:rPr>
              <w:t xml:space="preserve"> should align with the decision</w:t>
            </w:r>
            <w:r w:rsidRPr="003700F1">
              <w:rPr>
                <w:rStyle w:val="normaltextrun"/>
                <w:color w:val="000000" w:themeColor="text1"/>
                <w:sz w:val="22"/>
                <w:szCs w:val="22"/>
              </w:rPr>
              <w:t xml:space="preserve"> text</w:t>
            </w:r>
            <w:r w:rsidRPr="003700F1">
              <w:rPr>
                <w:rStyle w:val="normaltextrun"/>
                <w:color w:val="000000"/>
                <w:sz w:val="22"/>
                <w:szCs w:val="22"/>
                <w:shd w:val="clear" w:color="auto" w:fill="FFFFFF"/>
              </w:rPr>
              <w:t>. </w:t>
            </w:r>
            <w:r w:rsidRPr="003700F1">
              <w:rPr>
                <w:rStyle w:val="eop"/>
                <w:color w:val="000000"/>
                <w:sz w:val="22"/>
                <w:szCs w:val="22"/>
                <w:shd w:val="clear" w:color="auto" w:fill="FFFFFF"/>
              </w:rPr>
              <w:t> </w:t>
            </w:r>
          </w:p>
          <w:p w14:paraId="0555F313" w14:textId="15FE00EE" w:rsidR="56A2312D" w:rsidRPr="003700F1" w:rsidRDefault="3C9576EC" w:rsidP="43D012F6">
            <w:pPr>
              <w:pStyle w:val="ListParagraph"/>
              <w:numPr>
                <w:ilvl w:val="0"/>
                <w:numId w:val="2"/>
              </w:numPr>
              <w:spacing w:after="160" w:line="259" w:lineRule="auto"/>
              <w:rPr>
                <w:sz w:val="22"/>
                <w:szCs w:val="22"/>
                <w:lang w:val="en-GB"/>
              </w:rPr>
            </w:pPr>
            <w:r w:rsidRPr="003700F1">
              <w:rPr>
                <w:sz w:val="22"/>
                <w:szCs w:val="22"/>
              </w:rPr>
              <w:t xml:space="preserve">We note the discussions in SBI on resource </w:t>
            </w:r>
            <w:proofErr w:type="spellStart"/>
            <w:r w:rsidRPr="003700F1">
              <w:rPr>
                <w:sz w:val="22"/>
                <w:szCs w:val="22"/>
              </w:rPr>
              <w:t>mobilisation</w:t>
            </w:r>
            <w:proofErr w:type="spellEnd"/>
            <w:r w:rsidRPr="003700F1">
              <w:rPr>
                <w:sz w:val="22"/>
                <w:szCs w:val="22"/>
              </w:rPr>
              <w:t xml:space="preserve"> and capacity building and any references to these should align with the outcome of those discussions.  </w:t>
            </w:r>
          </w:p>
          <w:p w14:paraId="4EB3A255" w14:textId="77777777" w:rsidR="00AD265C" w:rsidRPr="00262FDB" w:rsidRDefault="00AD265C" w:rsidP="00FF1E02">
            <w:pPr>
              <w:rPr>
                <w:sz w:val="22"/>
                <w:szCs w:val="22"/>
              </w:rPr>
            </w:pPr>
          </w:p>
          <w:p w14:paraId="5FCAFC2C" w14:textId="5F59DA79" w:rsidR="005E7CB4" w:rsidRDefault="6DECAF25" w:rsidP="005E7CB4">
            <w:pPr>
              <w:pStyle w:val="CommentText"/>
              <w:rPr>
                <w:sz w:val="22"/>
                <w:szCs w:val="22"/>
              </w:rPr>
            </w:pPr>
            <w:r w:rsidRPr="00262FDB">
              <w:rPr>
                <w:sz w:val="22"/>
                <w:szCs w:val="22"/>
              </w:rPr>
              <w:t xml:space="preserve">We have concerns around the feasibility and effectiveness of </w:t>
            </w:r>
            <w:r w:rsidR="00E75267" w:rsidRPr="00262FDB">
              <w:rPr>
                <w:sz w:val="22"/>
                <w:szCs w:val="22"/>
              </w:rPr>
              <w:t>the open</w:t>
            </w:r>
            <w:r w:rsidRPr="00262FDB">
              <w:rPr>
                <w:sz w:val="22"/>
                <w:szCs w:val="22"/>
              </w:rPr>
              <w:t xml:space="preserve">-ended forum for country-by-country review of implementation as currently proposed in the draft modus operandi and we would like to seek clarification regarding timelines, dependencies, </w:t>
            </w:r>
            <w:r w:rsidR="006F74DA" w:rsidRPr="00262FDB">
              <w:rPr>
                <w:sz w:val="22"/>
                <w:szCs w:val="22"/>
              </w:rPr>
              <w:t>participation,</w:t>
            </w:r>
            <w:r w:rsidRPr="00262FDB">
              <w:rPr>
                <w:sz w:val="22"/>
                <w:szCs w:val="22"/>
              </w:rPr>
              <w:t xml:space="preserve"> and purpose: </w:t>
            </w:r>
          </w:p>
          <w:p w14:paraId="7889DCED" w14:textId="77777777" w:rsidR="004F2A2F" w:rsidRPr="00262FDB" w:rsidRDefault="004F2A2F" w:rsidP="005E7CB4">
            <w:pPr>
              <w:pStyle w:val="CommentText"/>
              <w:rPr>
                <w:sz w:val="22"/>
                <w:szCs w:val="22"/>
              </w:rPr>
            </w:pPr>
          </w:p>
          <w:p w14:paraId="09390F96" w14:textId="588DE6AF" w:rsidR="005E7CB4" w:rsidRPr="00E75267" w:rsidRDefault="6DECAF25" w:rsidP="43D012F6">
            <w:pPr>
              <w:pStyle w:val="CommentText"/>
              <w:numPr>
                <w:ilvl w:val="0"/>
                <w:numId w:val="1"/>
              </w:numPr>
              <w:spacing w:after="240" w:line="240" w:lineRule="exact"/>
              <w:jc w:val="both"/>
              <w:rPr>
                <w:sz w:val="22"/>
                <w:szCs w:val="22"/>
              </w:rPr>
            </w:pPr>
            <w:r w:rsidRPr="00262FDB">
              <w:rPr>
                <w:sz w:val="22"/>
                <w:szCs w:val="22"/>
              </w:rPr>
              <w:t xml:space="preserve">Timelines need to be clarified, especially as the period is now limited to 8 years rather than 10.  </w:t>
            </w:r>
            <w:r w:rsidR="6B0E7D48" w:rsidRPr="00262FDB">
              <w:rPr>
                <w:sz w:val="22"/>
                <w:szCs w:val="22"/>
              </w:rPr>
              <w:t>Ther</w:t>
            </w:r>
            <w:r w:rsidR="50C39229" w:rsidRPr="00262FDB">
              <w:rPr>
                <w:sz w:val="22"/>
                <w:szCs w:val="22"/>
              </w:rPr>
              <w:t>e</w:t>
            </w:r>
            <w:r w:rsidR="6B0E7D48" w:rsidRPr="00262FDB">
              <w:rPr>
                <w:sz w:val="22"/>
                <w:szCs w:val="22"/>
              </w:rPr>
              <w:t xml:space="preserve"> are </w:t>
            </w:r>
            <w:r w:rsidRPr="00262FDB">
              <w:rPr>
                <w:sz w:val="22"/>
                <w:szCs w:val="22"/>
              </w:rPr>
              <w:t xml:space="preserve">also dependencies on the update of NBSAPs, submission of National Reports and for </w:t>
            </w:r>
            <w:r w:rsidRPr="00E75267">
              <w:rPr>
                <w:sz w:val="22"/>
                <w:szCs w:val="22"/>
              </w:rPr>
              <w:t>online sessions to be completed before SBI prior to each COP.</w:t>
            </w:r>
            <w:r w:rsidR="6B0E7D48" w:rsidRPr="00E75267">
              <w:rPr>
                <w:sz w:val="22"/>
                <w:szCs w:val="22"/>
              </w:rPr>
              <w:t xml:space="preserve"> Overall</w:t>
            </w:r>
            <w:r w:rsidR="50C39229" w:rsidRPr="00E75267">
              <w:rPr>
                <w:sz w:val="22"/>
                <w:szCs w:val="22"/>
              </w:rPr>
              <w:t>,</w:t>
            </w:r>
            <w:r w:rsidR="6B0E7D48" w:rsidRPr="00E75267">
              <w:rPr>
                <w:sz w:val="22"/>
                <w:szCs w:val="22"/>
              </w:rPr>
              <w:t xml:space="preserve"> this results in very condensed timescales.</w:t>
            </w:r>
            <w:r w:rsidRPr="00E75267">
              <w:rPr>
                <w:sz w:val="22"/>
                <w:szCs w:val="22"/>
              </w:rPr>
              <w:t xml:space="preserve"> </w:t>
            </w:r>
          </w:p>
          <w:p w14:paraId="6DCCDD03" w14:textId="7B416225" w:rsidR="50C39229" w:rsidRPr="00E75267" w:rsidRDefault="50C39229" w:rsidP="43D012F6">
            <w:pPr>
              <w:pStyle w:val="CommentText"/>
              <w:numPr>
                <w:ilvl w:val="0"/>
                <w:numId w:val="1"/>
              </w:numPr>
              <w:spacing w:after="240" w:line="240" w:lineRule="exact"/>
              <w:jc w:val="both"/>
              <w:rPr>
                <w:sz w:val="22"/>
                <w:szCs w:val="22"/>
              </w:rPr>
            </w:pPr>
            <w:r w:rsidRPr="00E75267">
              <w:rPr>
                <w:sz w:val="22"/>
                <w:szCs w:val="22"/>
              </w:rPr>
              <w:t xml:space="preserve">A balance needs to be struck between the need for in-depth discussion and the number of reviews that can be undertaken in any period. </w:t>
            </w:r>
          </w:p>
          <w:p w14:paraId="7ED37972" w14:textId="6A1EB509" w:rsidR="005E7CB4" w:rsidRPr="00E75267" w:rsidRDefault="008A16EE" w:rsidP="004B2C4A">
            <w:pPr>
              <w:pStyle w:val="CommentText"/>
              <w:numPr>
                <w:ilvl w:val="0"/>
                <w:numId w:val="1"/>
              </w:numPr>
              <w:spacing w:after="240" w:line="240" w:lineRule="exact"/>
              <w:jc w:val="both"/>
              <w:rPr>
                <w:sz w:val="22"/>
                <w:szCs w:val="22"/>
              </w:rPr>
            </w:pPr>
            <w:r w:rsidRPr="6763FEF6">
              <w:rPr>
                <w:sz w:val="22"/>
                <w:szCs w:val="22"/>
              </w:rPr>
              <w:t xml:space="preserve">The </w:t>
            </w:r>
            <w:r w:rsidR="6DECAF25" w:rsidRPr="6763FEF6">
              <w:rPr>
                <w:sz w:val="22"/>
                <w:szCs w:val="22"/>
              </w:rPr>
              <w:t xml:space="preserve">details of how many Parties would be reviewed per year and by whom also need to be clarified. If the process is very </w:t>
            </w:r>
            <w:r w:rsidR="00F34E74" w:rsidRPr="6763FEF6">
              <w:rPr>
                <w:sz w:val="22"/>
                <w:szCs w:val="22"/>
              </w:rPr>
              <w:t xml:space="preserve">demanding </w:t>
            </w:r>
            <w:r w:rsidRPr="6763FEF6">
              <w:rPr>
                <w:sz w:val="22"/>
                <w:szCs w:val="22"/>
              </w:rPr>
              <w:t xml:space="preserve">(both in terms of being reviewed and reviewing) </w:t>
            </w:r>
            <w:r w:rsidR="00F34E74" w:rsidRPr="6763FEF6">
              <w:rPr>
                <w:sz w:val="22"/>
                <w:szCs w:val="22"/>
              </w:rPr>
              <w:t>this</w:t>
            </w:r>
            <w:r w:rsidR="6DECAF25" w:rsidRPr="6763FEF6">
              <w:rPr>
                <w:sz w:val="22"/>
                <w:szCs w:val="22"/>
              </w:rPr>
              <w:t xml:space="preserve"> may limit the number of Parties willing to commit to these sessions. </w:t>
            </w:r>
          </w:p>
          <w:p w14:paraId="24C88F28" w14:textId="68CC6C4A" w:rsidR="005E7CB4" w:rsidRPr="00262FDB" w:rsidRDefault="6DECAF25" w:rsidP="43D012F6">
            <w:pPr>
              <w:pStyle w:val="CommentText"/>
              <w:numPr>
                <w:ilvl w:val="0"/>
                <w:numId w:val="1"/>
              </w:numPr>
              <w:spacing w:after="240" w:line="240" w:lineRule="exact"/>
              <w:jc w:val="both"/>
              <w:rPr>
                <w:sz w:val="22"/>
                <w:szCs w:val="22"/>
              </w:rPr>
            </w:pPr>
            <w:r w:rsidRPr="00262FDB">
              <w:rPr>
                <w:sz w:val="22"/>
                <w:szCs w:val="22"/>
              </w:rPr>
              <w:t xml:space="preserve">We are concerned that there would </w:t>
            </w:r>
            <w:r w:rsidR="1796D1D2" w:rsidRPr="00262FDB">
              <w:rPr>
                <w:sz w:val="22"/>
                <w:szCs w:val="22"/>
              </w:rPr>
              <w:t xml:space="preserve">be </w:t>
            </w:r>
            <w:r w:rsidRPr="00262FDB">
              <w:rPr>
                <w:sz w:val="22"/>
                <w:szCs w:val="22"/>
              </w:rPr>
              <w:t xml:space="preserve">duplication of effort between the first and second phases of the review (virtual and in-person), and </w:t>
            </w:r>
            <w:r w:rsidR="1ED98FFB" w:rsidRPr="00262FDB">
              <w:rPr>
                <w:sz w:val="22"/>
                <w:szCs w:val="22"/>
              </w:rPr>
              <w:t xml:space="preserve">we </w:t>
            </w:r>
            <w:r w:rsidRPr="00262FDB">
              <w:rPr>
                <w:sz w:val="22"/>
                <w:szCs w:val="22"/>
              </w:rPr>
              <w:t xml:space="preserve">request further clarification that the second phase would be a discussion of the outcomes of phase one. </w:t>
            </w:r>
          </w:p>
          <w:p w14:paraId="456A3BEB" w14:textId="77FB6911" w:rsidR="005F4BB3" w:rsidRDefault="6DECAF25" w:rsidP="004F2A2F">
            <w:pPr>
              <w:pStyle w:val="ListParagraph"/>
              <w:numPr>
                <w:ilvl w:val="0"/>
                <w:numId w:val="1"/>
              </w:numPr>
              <w:spacing w:after="240"/>
              <w:rPr>
                <w:sz w:val="22"/>
                <w:szCs w:val="22"/>
              </w:rPr>
            </w:pPr>
            <w:r w:rsidRPr="00262FDB">
              <w:rPr>
                <w:sz w:val="22"/>
                <w:szCs w:val="22"/>
              </w:rPr>
              <w:t>We think the third phase should say how COP will address the recommendations developed in phase two. We would want to make sure the proposed exhibition will bring valuable outcomes and is designed in a way that promotes engagement of Parties in these review processes.</w:t>
            </w:r>
            <w:r w:rsidR="2FFEF535" w:rsidRPr="00262FDB">
              <w:rPr>
                <w:sz w:val="22"/>
                <w:szCs w:val="22"/>
              </w:rPr>
              <w:t xml:space="preserve"> Exhibitions can take a lot of work to prepare and may not be very effective at communicating</w:t>
            </w:r>
            <w:r w:rsidR="004F2A2F">
              <w:rPr>
                <w:sz w:val="22"/>
                <w:szCs w:val="22"/>
              </w:rPr>
              <w:t>.</w:t>
            </w:r>
          </w:p>
          <w:p w14:paraId="02FA9F8D" w14:textId="77777777" w:rsidR="004F2A2F" w:rsidRPr="004F2A2F" w:rsidRDefault="004F2A2F" w:rsidP="004F2A2F">
            <w:pPr>
              <w:pStyle w:val="ListParagraph"/>
              <w:spacing w:after="240"/>
              <w:rPr>
                <w:sz w:val="22"/>
                <w:szCs w:val="22"/>
              </w:rPr>
            </w:pPr>
          </w:p>
          <w:p w14:paraId="04FB1214" w14:textId="7AEF1BBF" w:rsidR="006554DC" w:rsidRPr="00262FDB" w:rsidRDefault="1796D1D2" w:rsidP="43D012F6">
            <w:pPr>
              <w:pStyle w:val="ListParagraph"/>
              <w:numPr>
                <w:ilvl w:val="0"/>
                <w:numId w:val="1"/>
              </w:numPr>
              <w:spacing w:before="240" w:after="240"/>
              <w:rPr>
                <w:sz w:val="22"/>
                <w:szCs w:val="22"/>
              </w:rPr>
            </w:pPr>
            <w:r w:rsidRPr="00262FDB">
              <w:rPr>
                <w:sz w:val="22"/>
                <w:szCs w:val="22"/>
              </w:rPr>
              <w:t xml:space="preserve">We would like further detail on how the </w:t>
            </w:r>
            <w:r w:rsidR="2FFEF535" w:rsidRPr="00262FDB">
              <w:rPr>
                <w:sz w:val="22"/>
                <w:szCs w:val="22"/>
              </w:rPr>
              <w:t xml:space="preserve">outcomes of </w:t>
            </w:r>
            <w:r w:rsidRPr="00262FDB">
              <w:rPr>
                <w:sz w:val="22"/>
                <w:szCs w:val="22"/>
              </w:rPr>
              <w:t>review</w:t>
            </w:r>
            <w:r w:rsidR="2FFEF535" w:rsidRPr="00262FDB">
              <w:rPr>
                <w:sz w:val="22"/>
                <w:szCs w:val="22"/>
              </w:rPr>
              <w:t>s</w:t>
            </w:r>
            <w:r w:rsidRPr="00262FDB">
              <w:rPr>
                <w:sz w:val="22"/>
                <w:szCs w:val="22"/>
              </w:rPr>
              <w:t xml:space="preserve"> will contribute to global </w:t>
            </w:r>
            <w:proofErr w:type="spellStart"/>
            <w:r w:rsidRPr="00262FDB">
              <w:rPr>
                <w:sz w:val="22"/>
                <w:szCs w:val="22"/>
              </w:rPr>
              <w:t>stocktakes</w:t>
            </w:r>
            <w:proofErr w:type="spellEnd"/>
            <w:r w:rsidRPr="00262FDB">
              <w:rPr>
                <w:sz w:val="22"/>
                <w:szCs w:val="22"/>
              </w:rPr>
              <w:t>.</w:t>
            </w:r>
          </w:p>
          <w:p w14:paraId="1C5D113D" w14:textId="6C7A61AD" w:rsidR="005E7CB4" w:rsidRPr="00262FDB" w:rsidRDefault="005E7CB4" w:rsidP="006554DC">
            <w:pPr>
              <w:rPr>
                <w:sz w:val="22"/>
                <w:szCs w:val="22"/>
              </w:rPr>
            </w:pPr>
          </w:p>
        </w:tc>
      </w:tr>
    </w:tbl>
    <w:p w14:paraId="48DAF900" w14:textId="04DCF346" w:rsidR="00B51493" w:rsidRDefault="00236608" w:rsidP="00AE7B5B">
      <w:pPr>
        <w:jc w:val="both"/>
      </w:pPr>
      <w:r w:rsidRPr="00153018">
        <w:rPr>
          <w:i/>
          <w:sz w:val="22"/>
          <w:szCs w:val="22"/>
        </w:rPr>
        <w:lastRenderedPageBreak/>
        <w:t xml:space="preserve"> </w:t>
      </w: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57BD1" w14:textId="77777777" w:rsidR="004E43AA" w:rsidRDefault="004E43AA" w:rsidP="00AE7B5B">
      <w:r>
        <w:separator/>
      </w:r>
    </w:p>
  </w:endnote>
  <w:endnote w:type="continuationSeparator" w:id="0">
    <w:p w14:paraId="75437484" w14:textId="77777777" w:rsidR="004E43AA" w:rsidRDefault="004E43AA" w:rsidP="00AE7B5B">
      <w:r>
        <w:continuationSeparator/>
      </w:r>
    </w:p>
  </w:endnote>
  <w:endnote w:type="continuationNotice" w:id="1">
    <w:p w14:paraId="3EA467F0" w14:textId="77777777" w:rsidR="004E43AA" w:rsidRDefault="004E4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22A47" w14:textId="77777777" w:rsidR="004E43AA" w:rsidRDefault="004E43AA" w:rsidP="00AE7B5B">
      <w:r>
        <w:separator/>
      </w:r>
    </w:p>
  </w:footnote>
  <w:footnote w:type="continuationSeparator" w:id="0">
    <w:p w14:paraId="704A7B77" w14:textId="77777777" w:rsidR="004E43AA" w:rsidRDefault="004E43AA" w:rsidP="00AE7B5B">
      <w:r>
        <w:continuationSeparator/>
      </w:r>
    </w:p>
  </w:footnote>
  <w:footnote w:type="continuationNotice" w:id="1">
    <w:p w14:paraId="727827D4" w14:textId="77777777" w:rsidR="004E43AA" w:rsidRDefault="004E43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47121"/>
    <w:multiLevelType w:val="hybridMultilevel"/>
    <w:tmpl w:val="FFFFFFFF"/>
    <w:lvl w:ilvl="0" w:tplc="FFFFFFFF">
      <w:start w:val="1"/>
      <w:numFmt w:val="decimal"/>
      <w:lvlText w:val="%1."/>
      <w:lvlJc w:val="left"/>
      <w:pPr>
        <w:ind w:left="720" w:hanging="360"/>
      </w:pPr>
      <w:rPr>
        <w:rFonts w:hint="default"/>
      </w:rPr>
    </w:lvl>
    <w:lvl w:ilvl="1" w:tplc="8604F16C">
      <w:start w:val="1"/>
      <w:numFmt w:val="bullet"/>
      <w:lvlText w:val="o"/>
      <w:lvlJc w:val="left"/>
      <w:pPr>
        <w:ind w:left="1440" w:hanging="360"/>
      </w:pPr>
      <w:rPr>
        <w:rFonts w:ascii="Courier New" w:hAnsi="Courier New" w:hint="default"/>
      </w:rPr>
    </w:lvl>
    <w:lvl w:ilvl="2" w:tplc="71E8416C">
      <w:start w:val="1"/>
      <w:numFmt w:val="bullet"/>
      <w:lvlText w:val=""/>
      <w:lvlJc w:val="left"/>
      <w:pPr>
        <w:ind w:left="2160" w:hanging="360"/>
      </w:pPr>
      <w:rPr>
        <w:rFonts w:ascii="Wingdings" w:hAnsi="Wingdings" w:hint="default"/>
      </w:rPr>
    </w:lvl>
    <w:lvl w:ilvl="3" w:tplc="216208B2">
      <w:start w:val="1"/>
      <w:numFmt w:val="bullet"/>
      <w:lvlText w:val=""/>
      <w:lvlJc w:val="left"/>
      <w:pPr>
        <w:ind w:left="2880" w:hanging="360"/>
      </w:pPr>
      <w:rPr>
        <w:rFonts w:ascii="Symbol" w:hAnsi="Symbol" w:hint="default"/>
      </w:rPr>
    </w:lvl>
    <w:lvl w:ilvl="4" w:tplc="E012B19C">
      <w:start w:val="1"/>
      <w:numFmt w:val="bullet"/>
      <w:lvlText w:val="o"/>
      <w:lvlJc w:val="left"/>
      <w:pPr>
        <w:ind w:left="3600" w:hanging="360"/>
      </w:pPr>
      <w:rPr>
        <w:rFonts w:ascii="Courier New" w:hAnsi="Courier New" w:hint="default"/>
      </w:rPr>
    </w:lvl>
    <w:lvl w:ilvl="5" w:tplc="2402A5CA">
      <w:start w:val="1"/>
      <w:numFmt w:val="bullet"/>
      <w:lvlText w:val=""/>
      <w:lvlJc w:val="left"/>
      <w:pPr>
        <w:ind w:left="4320" w:hanging="360"/>
      </w:pPr>
      <w:rPr>
        <w:rFonts w:ascii="Wingdings" w:hAnsi="Wingdings" w:hint="default"/>
      </w:rPr>
    </w:lvl>
    <w:lvl w:ilvl="6" w:tplc="C4266772">
      <w:start w:val="1"/>
      <w:numFmt w:val="bullet"/>
      <w:lvlText w:val=""/>
      <w:lvlJc w:val="left"/>
      <w:pPr>
        <w:ind w:left="5040" w:hanging="360"/>
      </w:pPr>
      <w:rPr>
        <w:rFonts w:ascii="Symbol" w:hAnsi="Symbol" w:hint="default"/>
      </w:rPr>
    </w:lvl>
    <w:lvl w:ilvl="7" w:tplc="17F42D0A">
      <w:start w:val="1"/>
      <w:numFmt w:val="bullet"/>
      <w:lvlText w:val="o"/>
      <w:lvlJc w:val="left"/>
      <w:pPr>
        <w:ind w:left="5760" w:hanging="360"/>
      </w:pPr>
      <w:rPr>
        <w:rFonts w:ascii="Courier New" w:hAnsi="Courier New" w:hint="default"/>
      </w:rPr>
    </w:lvl>
    <w:lvl w:ilvl="8" w:tplc="218A098E">
      <w:start w:val="1"/>
      <w:numFmt w:val="bullet"/>
      <w:lvlText w:val=""/>
      <w:lvlJc w:val="left"/>
      <w:pPr>
        <w:ind w:left="6480" w:hanging="360"/>
      </w:pPr>
      <w:rPr>
        <w:rFonts w:ascii="Wingdings" w:hAnsi="Wingdings" w:hint="default"/>
      </w:rPr>
    </w:lvl>
  </w:abstractNum>
  <w:abstractNum w:abstractNumId="1" w15:restartNumberingAfterBreak="0">
    <w:nsid w:val="33F03E57"/>
    <w:multiLevelType w:val="hybridMultilevel"/>
    <w:tmpl w:val="9B86E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2C5A8D"/>
    <w:multiLevelType w:val="hybridMultilevel"/>
    <w:tmpl w:val="9B86E00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1B6ED1"/>
    <w:multiLevelType w:val="hybridMultilevel"/>
    <w:tmpl w:val="6388E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CCA"/>
    <w:rsid w:val="00014E62"/>
    <w:rsid w:val="00130A14"/>
    <w:rsid w:val="0016656C"/>
    <w:rsid w:val="001D5ABC"/>
    <w:rsid w:val="00236608"/>
    <w:rsid w:val="00262FDB"/>
    <w:rsid w:val="0026BBBE"/>
    <w:rsid w:val="002A6AE6"/>
    <w:rsid w:val="002E569B"/>
    <w:rsid w:val="003448F8"/>
    <w:rsid w:val="003700F1"/>
    <w:rsid w:val="003B6AA3"/>
    <w:rsid w:val="00414EDF"/>
    <w:rsid w:val="004B2C4A"/>
    <w:rsid w:val="004E43AA"/>
    <w:rsid w:val="004F24C1"/>
    <w:rsid w:val="004F2A2F"/>
    <w:rsid w:val="00500B1B"/>
    <w:rsid w:val="0053632F"/>
    <w:rsid w:val="005558F7"/>
    <w:rsid w:val="005B04B6"/>
    <w:rsid w:val="005E7CB4"/>
    <w:rsid w:val="005F4BB3"/>
    <w:rsid w:val="00647F74"/>
    <w:rsid w:val="006554DC"/>
    <w:rsid w:val="00686C55"/>
    <w:rsid w:val="0068D83C"/>
    <w:rsid w:val="006E0B26"/>
    <w:rsid w:val="006E0C23"/>
    <w:rsid w:val="006F74DA"/>
    <w:rsid w:val="007A0947"/>
    <w:rsid w:val="007B27F3"/>
    <w:rsid w:val="007D05AC"/>
    <w:rsid w:val="008872E1"/>
    <w:rsid w:val="008A16EE"/>
    <w:rsid w:val="008A6047"/>
    <w:rsid w:val="008E7015"/>
    <w:rsid w:val="00923908"/>
    <w:rsid w:val="009A6B72"/>
    <w:rsid w:val="009C30DA"/>
    <w:rsid w:val="009F51DC"/>
    <w:rsid w:val="009F773D"/>
    <w:rsid w:val="00A54D70"/>
    <w:rsid w:val="00A7EA40"/>
    <w:rsid w:val="00AD265C"/>
    <w:rsid w:val="00AE7B5B"/>
    <w:rsid w:val="00AF4AD0"/>
    <w:rsid w:val="00B24B41"/>
    <w:rsid w:val="00B37125"/>
    <w:rsid w:val="00B51493"/>
    <w:rsid w:val="00B66728"/>
    <w:rsid w:val="00C6145D"/>
    <w:rsid w:val="00C6385F"/>
    <w:rsid w:val="00D46981"/>
    <w:rsid w:val="00D653C9"/>
    <w:rsid w:val="00D93CCA"/>
    <w:rsid w:val="00DC44E4"/>
    <w:rsid w:val="00E20B4A"/>
    <w:rsid w:val="00E2476B"/>
    <w:rsid w:val="00E6604E"/>
    <w:rsid w:val="00E75267"/>
    <w:rsid w:val="00E9314D"/>
    <w:rsid w:val="00F34E74"/>
    <w:rsid w:val="00F70AD5"/>
    <w:rsid w:val="00FD286F"/>
    <w:rsid w:val="00FD66E0"/>
    <w:rsid w:val="00FF1E02"/>
    <w:rsid w:val="00FF67F9"/>
    <w:rsid w:val="01A03DAF"/>
    <w:rsid w:val="01BC321C"/>
    <w:rsid w:val="0449F470"/>
    <w:rsid w:val="049360D8"/>
    <w:rsid w:val="05F60F30"/>
    <w:rsid w:val="06D819C0"/>
    <w:rsid w:val="0787BD5F"/>
    <w:rsid w:val="07C23712"/>
    <w:rsid w:val="07FCE396"/>
    <w:rsid w:val="08CCF658"/>
    <w:rsid w:val="08E8218B"/>
    <w:rsid w:val="0AB4496D"/>
    <w:rsid w:val="0AF3193E"/>
    <w:rsid w:val="0CB13700"/>
    <w:rsid w:val="11BB59A7"/>
    <w:rsid w:val="12724507"/>
    <w:rsid w:val="12AB1F7C"/>
    <w:rsid w:val="1441D180"/>
    <w:rsid w:val="14BC48E5"/>
    <w:rsid w:val="172335E4"/>
    <w:rsid w:val="1796D1D2"/>
    <w:rsid w:val="17C227D7"/>
    <w:rsid w:val="18809B1B"/>
    <w:rsid w:val="18E0BD3D"/>
    <w:rsid w:val="1998D692"/>
    <w:rsid w:val="19B0CFFF"/>
    <w:rsid w:val="1A1B6F5D"/>
    <w:rsid w:val="1A2DCBD2"/>
    <w:rsid w:val="1B8AA6E3"/>
    <w:rsid w:val="1DEB764D"/>
    <w:rsid w:val="1E036FBA"/>
    <w:rsid w:val="1ED6B442"/>
    <w:rsid w:val="1ED98FFB"/>
    <w:rsid w:val="1F013CF5"/>
    <w:rsid w:val="20569022"/>
    <w:rsid w:val="2129D4AA"/>
    <w:rsid w:val="219ACBED"/>
    <w:rsid w:val="221FC2AC"/>
    <w:rsid w:val="2297DE3B"/>
    <w:rsid w:val="22F994BD"/>
    <w:rsid w:val="233E89D4"/>
    <w:rsid w:val="235C3FD7"/>
    <w:rsid w:val="240715C1"/>
    <w:rsid w:val="245AE9A7"/>
    <w:rsid w:val="265612DC"/>
    <w:rsid w:val="26762A96"/>
    <w:rsid w:val="26B0F8EA"/>
    <w:rsid w:val="2811FAF7"/>
    <w:rsid w:val="2971F0F3"/>
    <w:rsid w:val="29EB3A77"/>
    <w:rsid w:val="2A755B26"/>
    <w:rsid w:val="2AE12879"/>
    <w:rsid w:val="2B78C559"/>
    <w:rsid w:val="2C02E3FE"/>
    <w:rsid w:val="2C29899B"/>
    <w:rsid w:val="2C3A3792"/>
    <w:rsid w:val="2CFFF64C"/>
    <w:rsid w:val="2D02F541"/>
    <w:rsid w:val="2D4C751F"/>
    <w:rsid w:val="2E065F74"/>
    <w:rsid w:val="2E813C7B"/>
    <w:rsid w:val="2F1B9BF6"/>
    <w:rsid w:val="2F896D1A"/>
    <w:rsid w:val="2FFEF535"/>
    <w:rsid w:val="34D91D19"/>
    <w:rsid w:val="34F11686"/>
    <w:rsid w:val="350D6FAE"/>
    <w:rsid w:val="357C652A"/>
    <w:rsid w:val="35C45B0E"/>
    <w:rsid w:val="360951FD"/>
    <w:rsid w:val="37069512"/>
    <w:rsid w:val="372B8539"/>
    <w:rsid w:val="3820313B"/>
    <w:rsid w:val="38222B83"/>
    <w:rsid w:val="393A66FA"/>
    <w:rsid w:val="39BC019C"/>
    <w:rsid w:val="39C7869E"/>
    <w:rsid w:val="39D958ED"/>
    <w:rsid w:val="3A2930B0"/>
    <w:rsid w:val="3AB7B215"/>
    <w:rsid w:val="3BC50111"/>
    <w:rsid w:val="3C9576EC"/>
    <w:rsid w:val="3D6D8564"/>
    <w:rsid w:val="3DD62A7A"/>
    <w:rsid w:val="3E39A7AA"/>
    <w:rsid w:val="3F7D0FA3"/>
    <w:rsid w:val="40F10D81"/>
    <w:rsid w:val="413D8C54"/>
    <w:rsid w:val="41B6D5D8"/>
    <w:rsid w:val="42C4BD47"/>
    <w:rsid w:val="43D012F6"/>
    <w:rsid w:val="4402A12D"/>
    <w:rsid w:val="441DCC60"/>
    <w:rsid w:val="44456BFE"/>
    <w:rsid w:val="454DCF6E"/>
    <w:rsid w:val="45E9F442"/>
    <w:rsid w:val="4628C413"/>
    <w:rsid w:val="466625CC"/>
    <w:rsid w:val="46FB0D77"/>
    <w:rsid w:val="47712535"/>
    <w:rsid w:val="47D2754C"/>
    <w:rsid w:val="48D5DF7F"/>
    <w:rsid w:val="48DC069D"/>
    <w:rsid w:val="4974D172"/>
    <w:rsid w:val="4A184C54"/>
    <w:rsid w:val="4BB947B4"/>
    <w:rsid w:val="4BC3CE8D"/>
    <w:rsid w:val="4BCE18F8"/>
    <w:rsid w:val="4C507DE3"/>
    <w:rsid w:val="4C9A3B3E"/>
    <w:rsid w:val="4CCEE7CE"/>
    <w:rsid w:val="4DA88645"/>
    <w:rsid w:val="4DC7712D"/>
    <w:rsid w:val="4DE6BFAD"/>
    <w:rsid w:val="4E35C542"/>
    <w:rsid w:val="4E6DB833"/>
    <w:rsid w:val="4E8C0B8F"/>
    <w:rsid w:val="4ED823B1"/>
    <w:rsid w:val="509E8B26"/>
    <w:rsid w:val="50C39229"/>
    <w:rsid w:val="522165FB"/>
    <w:rsid w:val="523C912E"/>
    <w:rsid w:val="54100E23"/>
    <w:rsid w:val="544A87D6"/>
    <w:rsid w:val="568C3B91"/>
    <w:rsid w:val="56A2312D"/>
    <w:rsid w:val="583D056F"/>
    <w:rsid w:val="58D8D0FD"/>
    <w:rsid w:val="59019FD1"/>
    <w:rsid w:val="59323F57"/>
    <w:rsid w:val="5935F266"/>
    <w:rsid w:val="595540E6"/>
    <w:rsid w:val="5C5F7F7F"/>
    <w:rsid w:val="5C8C7D01"/>
    <w:rsid w:val="5D23E710"/>
    <w:rsid w:val="5DAB1267"/>
    <w:rsid w:val="5DDC3336"/>
    <w:rsid w:val="5E02720E"/>
    <w:rsid w:val="5EDF9D69"/>
    <w:rsid w:val="5F84E94B"/>
    <w:rsid w:val="5F9E426F"/>
    <w:rsid w:val="60220A3E"/>
    <w:rsid w:val="604E797D"/>
    <w:rsid w:val="60B9744D"/>
    <w:rsid w:val="60FDC672"/>
    <w:rsid w:val="6201D56F"/>
    <w:rsid w:val="62A3F928"/>
    <w:rsid w:val="63323D24"/>
    <w:rsid w:val="63AB86A8"/>
    <w:rsid w:val="640581AC"/>
    <w:rsid w:val="655B5EFF"/>
    <w:rsid w:val="657AE050"/>
    <w:rsid w:val="65855D8C"/>
    <w:rsid w:val="6763FEF6"/>
    <w:rsid w:val="6846E759"/>
    <w:rsid w:val="6908D857"/>
    <w:rsid w:val="69A21BFA"/>
    <w:rsid w:val="6AA4A8B8"/>
    <w:rsid w:val="6AC33B3C"/>
    <w:rsid w:val="6AD83F51"/>
    <w:rsid w:val="6B0E7D48"/>
    <w:rsid w:val="6B925C77"/>
    <w:rsid w:val="6C27F586"/>
    <w:rsid w:val="6DECAF25"/>
    <w:rsid w:val="6E577150"/>
    <w:rsid w:val="6F15E494"/>
    <w:rsid w:val="7021954D"/>
    <w:rsid w:val="70626903"/>
    <w:rsid w:val="71C62829"/>
    <w:rsid w:val="721CF167"/>
    <w:rsid w:val="7254C11D"/>
    <w:rsid w:val="72C3386D"/>
    <w:rsid w:val="7300DA49"/>
    <w:rsid w:val="73E5F120"/>
    <w:rsid w:val="7443144D"/>
    <w:rsid w:val="747011CF"/>
    <w:rsid w:val="74E95B53"/>
    <w:rsid w:val="7631BC75"/>
    <w:rsid w:val="77593C49"/>
    <w:rsid w:val="777A1D97"/>
    <w:rsid w:val="778B1946"/>
    <w:rsid w:val="779C9DDD"/>
    <w:rsid w:val="78D8E394"/>
    <w:rsid w:val="7A46BA54"/>
    <w:rsid w:val="7AB8AEC5"/>
    <w:rsid w:val="7B2AA336"/>
    <w:rsid w:val="7CEC80AD"/>
    <w:rsid w:val="7D61A6E4"/>
    <w:rsid w:val="7F45C83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C34FB3F"/>
  <w15:docId w15:val="{894E2E06-6A8A-49D3-ACD0-90B40F13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nhideWhenUsed/>
    <w:rsid w:val="00236608"/>
    <w:rPr>
      <w:sz w:val="20"/>
      <w:szCs w:val="20"/>
    </w:rPr>
  </w:style>
  <w:style w:type="character" w:customStyle="1" w:styleId="CommentTextChar">
    <w:name w:val="Comment Text Char"/>
    <w:basedOn w:val="DefaultParagraphFont"/>
    <w:link w:val="CommentText"/>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character" w:customStyle="1" w:styleId="normaltextrun">
    <w:name w:val="normaltextrun"/>
    <w:basedOn w:val="DefaultParagraphFont"/>
    <w:rsid w:val="005E7CB4"/>
  </w:style>
  <w:style w:type="character" w:customStyle="1" w:styleId="eop">
    <w:name w:val="eop"/>
    <w:basedOn w:val="DefaultParagraphFont"/>
    <w:rsid w:val="005E7CB4"/>
  </w:style>
  <w:style w:type="paragraph" w:styleId="ListParagraph">
    <w:name w:val="List Paragraph"/>
    <w:basedOn w:val="Normal"/>
    <w:uiPriority w:val="34"/>
    <w:qFormat/>
    <w:rsid w:val="005E7CB4"/>
    <w:pPr>
      <w:ind w:left="720"/>
      <w:contextualSpacing/>
    </w:pPr>
  </w:style>
  <w:style w:type="paragraph" w:customStyle="1" w:styleId="paragraph">
    <w:name w:val="paragraph"/>
    <w:basedOn w:val="Normal"/>
    <w:rsid w:val="007A0947"/>
    <w:pPr>
      <w:spacing w:before="100" w:beforeAutospacing="1" w:after="100" w:afterAutospacing="1"/>
    </w:pPr>
    <w:rPr>
      <w:lang w:val="en-GB" w:eastAsia="en-GB"/>
    </w:rPr>
  </w:style>
  <w:style w:type="character" w:styleId="CommentReference">
    <w:name w:val="annotation reference"/>
    <w:basedOn w:val="DefaultParagraphFont"/>
    <w:uiPriority w:val="99"/>
    <w:semiHidden/>
    <w:unhideWhenUsed/>
    <w:rsid w:val="009F51D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84e64fa-eb9d-4362-95df-901b609c8c45">
      <UserInfo>
        <DisplayName>Lockhart, William</DisplayName>
        <AccountId>18</AccountId>
        <AccountType/>
      </UserInfo>
      <UserInfo>
        <DisplayName>Stollery, Grace</DisplayName>
        <AccountId>137</AccountId>
        <AccountType/>
      </UserInfo>
      <UserInfo>
        <DisplayName>Ulku Skinner, Elif</DisplayName>
        <AccountId>21</AccountId>
        <AccountType/>
      </UserInfo>
      <UserInfo>
        <DisplayName>Hanin, Marie</DisplayName>
        <AccountId>46</AccountId>
        <AccountType/>
      </UserInfo>
      <UserInfo>
        <DisplayName>Stratford, Jane</DisplayName>
        <AccountId>19</AccountId>
        <AccountType/>
      </UserInfo>
      <UserInfo>
        <DisplayName>Bamforth, Louise</DisplayName>
        <AccountId>76</AccountId>
        <AccountType/>
      </UserInfo>
      <UserInfo>
        <DisplayName>Bryant, Kirsty</DisplayName>
        <AccountId>94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9C8C9DF0B724F8DCAF0D721EEFFF5" ma:contentTypeVersion="6" ma:contentTypeDescription="Create a new document." ma:contentTypeScope="" ma:versionID="2c466ec6165ad9680a60afa529e3591d">
  <xsd:schema xmlns:xsd="http://www.w3.org/2001/XMLSchema" xmlns:xs="http://www.w3.org/2001/XMLSchema" xmlns:p="http://schemas.microsoft.com/office/2006/metadata/properties" xmlns:ns2="0eea28c5-9dae-4d65-a8ef-85a00ccdc0fc" xmlns:ns3="584e64fa-eb9d-4362-95df-901b609c8c45" targetNamespace="http://schemas.microsoft.com/office/2006/metadata/properties" ma:root="true" ma:fieldsID="623c52a059645b55f6d7d5f9ee479f17" ns2:_="" ns3:_="">
    <xsd:import namespace="0eea28c5-9dae-4d65-a8ef-85a00ccdc0fc"/>
    <xsd:import namespace="584e64fa-eb9d-4362-95df-901b609c8c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a28c5-9dae-4d65-a8ef-85a00ccdc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e64fa-eb9d-4362-95df-901b609c8c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DF158-6715-4534-96CD-2CC1D674FFD4}">
  <ds:schemaRefs>
    <ds:schemaRef ds:uri="http://schemas.microsoft.com/office/2006/metadata/properties"/>
    <ds:schemaRef ds:uri="http://schemas.microsoft.com/office/infopath/2007/PartnerControls"/>
    <ds:schemaRef ds:uri="584e64fa-eb9d-4362-95df-901b609c8c45"/>
  </ds:schemaRefs>
</ds:datastoreItem>
</file>

<file path=customXml/itemProps2.xml><?xml version="1.0" encoding="utf-8"?>
<ds:datastoreItem xmlns:ds="http://schemas.openxmlformats.org/officeDocument/2006/customXml" ds:itemID="{82CAA8C2-6C36-411F-AB0B-4DE0A3A43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a28c5-9dae-4d65-a8ef-85a00ccdc0fc"/>
    <ds:schemaRef ds:uri="584e64fa-eb9d-4362-95df-901b609c8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72CD3-06A2-41D1-B483-5B83E1A92182}">
  <ds:schemaRefs>
    <ds:schemaRef ds:uri="http://schemas.microsoft.com/sharepoint/v3/contenttype/forms"/>
  </ds:schemaRefs>
</ds:datastoreItem>
</file>

<file path=customXml/itemProps4.xml><?xml version="1.0" encoding="utf-8"?>
<ds:datastoreItem xmlns:ds="http://schemas.openxmlformats.org/officeDocument/2006/customXml" ds:itemID="{A1954C78-BE2C-4048-82B8-63043369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Bamforth, Louise</cp:lastModifiedBy>
  <cp:revision>2</cp:revision>
  <dcterms:created xsi:type="dcterms:W3CDTF">2022-05-05T14:25:00Z</dcterms:created>
  <dcterms:modified xsi:type="dcterms:W3CDTF">2022-05-05T14:25:00Z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0x010100E049C8C9DF0B724F8DCAF0D721EEFFF5</vt:lpwstr>
  </property>
</Properties>
</file>