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4ABF6983" w:rsidR="00236608" w:rsidRPr="000C0B6C" w:rsidRDefault="001F2B5D" w:rsidP="009A6B72">
            <w:r>
              <w:t>OVALLE</w:t>
            </w:r>
          </w:p>
        </w:tc>
      </w:tr>
      <w:tr w:rsidR="00236608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49BF1915" w:rsidR="00236608" w:rsidRPr="000C0B6C" w:rsidRDefault="001F2B5D" w:rsidP="009A6B72">
            <w:r>
              <w:t>María</w:t>
            </w:r>
          </w:p>
        </w:tc>
      </w:tr>
      <w:tr w:rsidR="00236608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12113856" w:rsidR="00236608" w:rsidRPr="000C0B6C" w:rsidRDefault="001F2B5D" w:rsidP="009A6B72">
            <w:r>
              <w:t>Chile</w:t>
            </w:r>
          </w:p>
        </w:tc>
      </w:tr>
      <w:tr w:rsidR="00236608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3F9A7D61" w:rsidR="00236608" w:rsidRPr="000C0B6C" w:rsidRDefault="001F2B5D" w:rsidP="009A6B72">
            <w:r>
              <w:t>Ministry of Environment</w:t>
            </w:r>
          </w:p>
        </w:tc>
      </w:tr>
      <w:tr w:rsidR="00236608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4F1E2101" w:rsidR="00236608" w:rsidRPr="000C0B6C" w:rsidRDefault="001F2B5D" w:rsidP="009A6B72">
            <w:r>
              <w:t>San Martin 73</w:t>
            </w:r>
          </w:p>
        </w:tc>
      </w:tr>
      <w:tr w:rsidR="00236608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1549D271" w:rsidR="00236608" w:rsidRPr="000C0B6C" w:rsidRDefault="001F2B5D" w:rsidP="009A6B72">
            <w:r>
              <w:t>Santiago</w:t>
            </w:r>
          </w:p>
        </w:tc>
      </w:tr>
      <w:tr w:rsidR="00236608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1D1F55B2" w:rsidR="00236608" w:rsidRPr="000C0B6C" w:rsidRDefault="001F2B5D" w:rsidP="009A6B72">
            <w:r>
              <w:t>Chile</w:t>
            </w:r>
          </w:p>
        </w:tc>
      </w:tr>
      <w:tr w:rsidR="00236608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Asuntodelcomentario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05F587B1" w:rsidR="00236608" w:rsidRPr="000C0B6C" w:rsidRDefault="001F2B5D" w:rsidP="009A6B72">
            <w:hyperlink r:id="rId7" w:history="1">
              <w:r w:rsidRPr="00264A5E">
                <w:rPr>
                  <w:rStyle w:val="Hipervnculo"/>
                </w:rPr>
                <w:t>movalle@mma.gob.cl</w:t>
              </w:r>
            </w:hyperlink>
            <w:r>
              <w:t xml:space="preserve"> 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1F2B5D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A700D" w14:textId="77777777" w:rsidR="008872E1" w:rsidRDefault="008872E1" w:rsidP="00FF1E02">
            <w:pPr>
              <w:rPr>
                <w:sz w:val="22"/>
                <w:szCs w:val="22"/>
              </w:rPr>
            </w:pPr>
          </w:p>
          <w:p w14:paraId="401F24FB" w14:textId="3349D0E5" w:rsidR="00414EDF" w:rsidRDefault="001F2B5D" w:rsidP="00FF1E02">
            <w:pPr>
              <w:rPr>
                <w:sz w:val="22"/>
                <w:szCs w:val="22"/>
              </w:rPr>
            </w:pPr>
            <w:r w:rsidRPr="001F2B5D">
              <w:rPr>
                <w:sz w:val="22"/>
                <w:szCs w:val="22"/>
              </w:rPr>
              <w:t xml:space="preserve">In para 5 of the Annex, we suggest including in the selected cases not only notable stories about the implementation of the Convention. We consider that it will be </w:t>
            </w:r>
            <w:r>
              <w:rPr>
                <w:sz w:val="22"/>
                <w:szCs w:val="22"/>
              </w:rPr>
              <w:t xml:space="preserve">very </w:t>
            </w:r>
            <w:r w:rsidRPr="001F2B5D">
              <w:rPr>
                <w:sz w:val="22"/>
                <w:szCs w:val="22"/>
              </w:rPr>
              <w:t>helpful</w:t>
            </w:r>
            <w:r w:rsidRPr="001F2B5D">
              <w:rPr>
                <w:sz w:val="22"/>
                <w:szCs w:val="22"/>
              </w:rPr>
              <w:t xml:space="preserve"> also have examples of not successful examples and difficulties lived by countries when implementing the convention. Including non-successful cases will help identify gaps and bad practices, preventing other parties from committing the same mistakes. In our view, this creates a reaction window and protects us from believing we are doing everything fine, thus not falling into forced positivism</w:t>
            </w:r>
          </w:p>
          <w:p w14:paraId="29FAAF0A" w14:textId="77777777" w:rsidR="001F2B5D" w:rsidRDefault="001F2B5D" w:rsidP="00FF1E02">
            <w:pPr>
              <w:rPr>
                <w:sz w:val="22"/>
                <w:szCs w:val="22"/>
              </w:rPr>
            </w:pPr>
          </w:p>
          <w:p w14:paraId="1C5D113D" w14:textId="05DA7D04" w:rsidR="001F2B5D" w:rsidRPr="001F2B5D" w:rsidRDefault="001F2B5D" w:rsidP="00FF1E02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Pr="001F2B5D" w:rsidRDefault="00236608" w:rsidP="00AE7B5B">
      <w:pPr>
        <w:jc w:val="both"/>
      </w:pPr>
      <w:r w:rsidRPr="001F2B5D">
        <w:rPr>
          <w:i/>
          <w:sz w:val="22"/>
          <w:szCs w:val="22"/>
        </w:rPr>
        <w:t xml:space="preserve"> </w:t>
      </w:r>
    </w:p>
    <w:sectPr w:rsidR="00B51493" w:rsidRPr="001F2B5D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1CBB" w14:textId="77777777" w:rsidR="00107A69" w:rsidRDefault="00107A69" w:rsidP="00AE7B5B">
      <w:r>
        <w:separator/>
      </w:r>
    </w:p>
  </w:endnote>
  <w:endnote w:type="continuationSeparator" w:id="0">
    <w:p w14:paraId="1D8440AC" w14:textId="77777777" w:rsidR="00107A69" w:rsidRDefault="00107A69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ABF2" w14:textId="77777777" w:rsidR="00107A69" w:rsidRDefault="00107A69" w:rsidP="00AE7B5B">
      <w:r>
        <w:separator/>
      </w:r>
    </w:p>
  </w:footnote>
  <w:footnote w:type="continuationSeparator" w:id="0">
    <w:p w14:paraId="2268EF68" w14:textId="77777777" w:rsidR="00107A69" w:rsidRDefault="00107A69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CA"/>
    <w:rsid w:val="00107A69"/>
    <w:rsid w:val="00130A14"/>
    <w:rsid w:val="0016656C"/>
    <w:rsid w:val="001F2B5D"/>
    <w:rsid w:val="00236608"/>
    <w:rsid w:val="002E569B"/>
    <w:rsid w:val="003448F8"/>
    <w:rsid w:val="00414EDF"/>
    <w:rsid w:val="0053632F"/>
    <w:rsid w:val="005558F7"/>
    <w:rsid w:val="00647F74"/>
    <w:rsid w:val="008872E1"/>
    <w:rsid w:val="008A6047"/>
    <w:rsid w:val="008E7015"/>
    <w:rsid w:val="00923908"/>
    <w:rsid w:val="009A6B72"/>
    <w:rsid w:val="009C30DA"/>
    <w:rsid w:val="00AD265C"/>
    <w:rsid w:val="00AE7B5B"/>
    <w:rsid w:val="00AF4AD0"/>
    <w:rsid w:val="00B51493"/>
    <w:rsid w:val="00B66728"/>
    <w:rsid w:val="00C6145D"/>
    <w:rsid w:val="00C6385F"/>
    <w:rsid w:val="00D653C9"/>
    <w:rsid w:val="00D93CCA"/>
    <w:rsid w:val="00DC44E4"/>
    <w:rsid w:val="00E2476B"/>
    <w:rsid w:val="00F61175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F2B5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1F2B5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valle@mma.gob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4C78-BE2C-4048-82B8-63043369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MJO</cp:lastModifiedBy>
  <cp:revision>2</cp:revision>
  <dcterms:created xsi:type="dcterms:W3CDTF">2022-05-08T03:00:00Z</dcterms:created>
  <dcterms:modified xsi:type="dcterms:W3CDTF">2022-05-08T03:00:00Z</dcterms:modified>
</cp:coreProperties>
</file>