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2E0D58" w14:textId="77777777" w:rsidR="005E30E1" w:rsidRDefault="00127445">
      <w:pPr>
        <w:contextualSpacing w:val="0"/>
        <w:jc w:val="center"/>
        <w:rPr>
          <w:b/>
          <w:sz w:val="24"/>
          <w:szCs w:val="24"/>
        </w:rPr>
      </w:pPr>
      <w:bookmarkStart w:id="0" w:name="_GoBack"/>
      <w:bookmarkEnd w:id="0"/>
      <w:r>
        <w:rPr>
          <w:b/>
          <w:sz w:val="24"/>
          <w:szCs w:val="24"/>
        </w:rPr>
        <w:t>Biodiversity Indicators Partnership (BIP) Dashboard</w:t>
      </w:r>
    </w:p>
    <w:p w14:paraId="37C2C056" w14:textId="77777777" w:rsidR="005E30E1" w:rsidRDefault="00127445">
      <w:pPr>
        <w:contextualSpacing w:val="0"/>
        <w:jc w:val="center"/>
        <w:rPr>
          <w:sz w:val="24"/>
          <w:szCs w:val="24"/>
        </w:rPr>
      </w:pPr>
      <w:r>
        <w:rPr>
          <w:sz w:val="24"/>
          <w:szCs w:val="24"/>
        </w:rPr>
        <w:t>Tracking Trends for Conservation</w:t>
      </w:r>
    </w:p>
    <w:p w14:paraId="455982C7" w14:textId="77777777" w:rsidR="005E30E1" w:rsidRDefault="005E30E1">
      <w:pPr>
        <w:contextualSpacing w:val="0"/>
        <w:jc w:val="both"/>
        <w:rPr>
          <w:sz w:val="24"/>
          <w:szCs w:val="24"/>
        </w:rPr>
      </w:pPr>
    </w:p>
    <w:p w14:paraId="15FAD67A" w14:textId="77777777" w:rsidR="005E30E1" w:rsidRDefault="00127445">
      <w:pPr>
        <w:contextualSpacing w:val="0"/>
        <w:jc w:val="both"/>
        <w:rPr>
          <w:sz w:val="24"/>
          <w:szCs w:val="24"/>
        </w:rPr>
      </w:pPr>
      <w:r>
        <w:rPr>
          <w:sz w:val="24"/>
          <w:szCs w:val="24"/>
        </w:rPr>
        <w:t xml:space="preserve"> </w:t>
      </w:r>
    </w:p>
    <w:p w14:paraId="5302B30D" w14:textId="5C76FA37" w:rsidR="005E30E1" w:rsidRPr="008D2AA5" w:rsidRDefault="00127445" w:rsidP="00127445">
      <w:pPr>
        <w:ind w:firstLine="720"/>
        <w:contextualSpacing w:val="0"/>
        <w:rPr>
          <w:sz w:val="24"/>
          <w:szCs w:val="24"/>
        </w:rPr>
      </w:pPr>
      <w:r w:rsidRPr="008D2AA5">
        <w:rPr>
          <w:sz w:val="24"/>
          <w:szCs w:val="24"/>
        </w:rPr>
        <w:t>Users can access the BIP dashboard</w:t>
      </w:r>
      <w:r w:rsidR="008D2AA5">
        <w:rPr>
          <w:sz w:val="24"/>
          <w:szCs w:val="24"/>
        </w:rPr>
        <w:t xml:space="preserve"> to support the development of their 6</w:t>
      </w:r>
      <w:r w:rsidR="008D2AA5" w:rsidRPr="008D2AA5">
        <w:rPr>
          <w:sz w:val="24"/>
          <w:szCs w:val="24"/>
          <w:vertAlign w:val="superscript"/>
        </w:rPr>
        <w:t>th</w:t>
      </w:r>
      <w:r w:rsidR="008D2AA5">
        <w:rPr>
          <w:sz w:val="24"/>
          <w:szCs w:val="24"/>
        </w:rPr>
        <w:t xml:space="preserve"> National Reports</w:t>
      </w:r>
      <w:r w:rsidRPr="008D2AA5">
        <w:rPr>
          <w:sz w:val="24"/>
          <w:szCs w:val="24"/>
        </w:rPr>
        <w:t xml:space="preserve"> </w:t>
      </w:r>
      <w:r w:rsidR="008D2AA5" w:rsidRPr="008D2AA5">
        <w:rPr>
          <w:sz w:val="24"/>
          <w:szCs w:val="24"/>
        </w:rPr>
        <w:t>by clicking the Dashboard tab on the Biodiversity Indicators Partnership website (</w:t>
      </w:r>
      <w:hyperlink r:id="rId4" w:history="1">
        <w:r w:rsidR="008D2AA5" w:rsidRPr="0025136B">
          <w:rPr>
            <w:rStyle w:val="Hyperlink"/>
            <w:sz w:val="24"/>
            <w:szCs w:val="24"/>
          </w:rPr>
          <w:t>https://www.bipindicators.net</w:t>
        </w:r>
      </w:hyperlink>
      <w:r w:rsidR="008D2AA5" w:rsidRPr="008D2AA5">
        <w:rPr>
          <w:sz w:val="24"/>
          <w:szCs w:val="24"/>
        </w:rPr>
        <w:t>)</w:t>
      </w:r>
      <w:r w:rsidR="008D2AA5">
        <w:rPr>
          <w:sz w:val="24"/>
          <w:szCs w:val="24"/>
        </w:rPr>
        <w:t xml:space="preserve"> or </w:t>
      </w:r>
      <w:r w:rsidRPr="008D2AA5">
        <w:rPr>
          <w:sz w:val="24"/>
          <w:szCs w:val="24"/>
        </w:rPr>
        <w:t xml:space="preserve">via a direct link </w:t>
      </w:r>
      <w:r w:rsidR="009C2BC3" w:rsidRPr="008D2AA5">
        <w:rPr>
          <w:sz w:val="24"/>
          <w:szCs w:val="24"/>
        </w:rPr>
        <w:t>(</w:t>
      </w:r>
      <w:hyperlink r:id="rId5" w:history="1">
        <w:r w:rsidR="009C2BC3" w:rsidRPr="008D2AA5">
          <w:rPr>
            <w:rStyle w:val="Hyperlink"/>
            <w:sz w:val="24"/>
            <w:szCs w:val="24"/>
          </w:rPr>
          <w:t>http://bipdashboard.natureserve.org/bip</w:t>
        </w:r>
      </w:hyperlink>
      <w:r w:rsidR="009C2BC3" w:rsidRPr="008D2AA5">
        <w:rPr>
          <w:sz w:val="24"/>
          <w:szCs w:val="24"/>
        </w:rPr>
        <w:t>)</w:t>
      </w:r>
      <w:r w:rsidR="008D2AA5">
        <w:rPr>
          <w:sz w:val="24"/>
          <w:szCs w:val="24"/>
        </w:rPr>
        <w:t>,</w:t>
      </w:r>
    </w:p>
    <w:p w14:paraId="299BE46C" w14:textId="565D8339" w:rsidR="005E30E1" w:rsidRDefault="005E30E1">
      <w:pPr>
        <w:ind w:firstLine="720"/>
        <w:contextualSpacing w:val="0"/>
        <w:jc w:val="both"/>
        <w:rPr>
          <w:sz w:val="24"/>
          <w:szCs w:val="24"/>
        </w:rPr>
      </w:pPr>
    </w:p>
    <w:p w14:paraId="5C96CFE2" w14:textId="7DEF9A42" w:rsidR="005E30E1" w:rsidRPr="008D2AA5" w:rsidRDefault="0081440A" w:rsidP="00127445">
      <w:pPr>
        <w:ind w:firstLine="720"/>
        <w:contextualSpacing w:val="0"/>
        <w:rPr>
          <w:rFonts w:eastAsia="Open Sans"/>
          <w:sz w:val="24"/>
          <w:szCs w:val="24"/>
        </w:rPr>
      </w:pPr>
      <w:r w:rsidRPr="008D2AA5">
        <w:rPr>
          <w:noProof/>
          <w:sz w:val="24"/>
          <w:szCs w:val="24"/>
          <w:lang w:val="en-GB" w:eastAsia="en-GB"/>
        </w:rPr>
        <w:drawing>
          <wp:anchor distT="114300" distB="114300" distL="114300" distR="114300" simplePos="0" relativeHeight="251658240" behindDoc="0" locked="0" layoutInCell="1" hidden="0" allowOverlap="1" wp14:anchorId="6031109E" wp14:editId="2EDAF63B">
            <wp:simplePos x="0" y="0"/>
            <wp:positionH relativeFrom="column">
              <wp:posOffset>4502150</wp:posOffset>
            </wp:positionH>
            <wp:positionV relativeFrom="paragraph">
              <wp:posOffset>13335</wp:posOffset>
            </wp:positionV>
            <wp:extent cx="2061845" cy="327787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061845" cy="3277870"/>
                    </a:xfrm>
                    <a:prstGeom prst="rect">
                      <a:avLst/>
                    </a:prstGeom>
                    <a:ln/>
                  </pic:spPr>
                </pic:pic>
              </a:graphicData>
            </a:graphic>
            <wp14:sizeRelH relativeFrom="margin">
              <wp14:pctWidth>0</wp14:pctWidth>
            </wp14:sizeRelH>
            <wp14:sizeRelV relativeFrom="margin">
              <wp14:pctHeight>0</wp14:pctHeight>
            </wp14:sizeRelV>
          </wp:anchor>
        </w:drawing>
      </w:r>
      <w:r w:rsidR="00127445" w:rsidRPr="008D2AA5">
        <w:rPr>
          <w:sz w:val="24"/>
          <w:szCs w:val="24"/>
        </w:rPr>
        <w:t xml:space="preserve">The dashboard’s front-page allows users to </w:t>
      </w:r>
      <w:r w:rsidR="00127445" w:rsidRPr="008D2AA5">
        <w:rPr>
          <w:rFonts w:eastAsia="Open Sans"/>
          <w:sz w:val="24"/>
          <w:szCs w:val="24"/>
        </w:rPr>
        <w:t>access biodiversity indicator data by country and region. Users can enter and select the country of their choice, or they can browse global indicators by directly opening the map. While looking through the list of countries on the front page, users can also see how many indicators are available for each</w:t>
      </w:r>
      <w:r w:rsidR="008D2AA5">
        <w:rPr>
          <w:rFonts w:eastAsia="Open Sans"/>
          <w:sz w:val="24"/>
          <w:szCs w:val="24"/>
        </w:rPr>
        <w:t xml:space="preserve"> country</w:t>
      </w:r>
      <w:r w:rsidR="00127445" w:rsidRPr="008D2AA5">
        <w:rPr>
          <w:rFonts w:eastAsia="Open Sans"/>
          <w:sz w:val="24"/>
          <w:szCs w:val="24"/>
        </w:rPr>
        <w:t xml:space="preserve">. </w:t>
      </w:r>
    </w:p>
    <w:p w14:paraId="20B20A56" w14:textId="77777777" w:rsidR="005E30E1" w:rsidRPr="008D2AA5" w:rsidRDefault="005E30E1">
      <w:pPr>
        <w:ind w:firstLine="720"/>
        <w:contextualSpacing w:val="0"/>
        <w:jc w:val="both"/>
        <w:rPr>
          <w:rFonts w:eastAsia="Open Sans"/>
          <w:sz w:val="24"/>
          <w:szCs w:val="24"/>
        </w:rPr>
      </w:pPr>
    </w:p>
    <w:p w14:paraId="6D49B034" w14:textId="5700F033" w:rsidR="005E30E1" w:rsidRPr="008D2AA5" w:rsidRDefault="00127445" w:rsidP="00127445">
      <w:pPr>
        <w:ind w:firstLine="720"/>
        <w:contextualSpacing w:val="0"/>
        <w:rPr>
          <w:rFonts w:eastAsia="Open Sans"/>
          <w:sz w:val="24"/>
          <w:szCs w:val="24"/>
        </w:rPr>
      </w:pPr>
      <w:r w:rsidRPr="008D2AA5">
        <w:rPr>
          <w:rFonts w:eastAsia="Open Sans"/>
          <w:sz w:val="24"/>
          <w:szCs w:val="24"/>
        </w:rPr>
        <w:t xml:space="preserve">After </w:t>
      </w:r>
      <w:r w:rsidR="007D4742" w:rsidRPr="008D2AA5">
        <w:rPr>
          <w:rFonts w:eastAsia="Open Sans"/>
          <w:sz w:val="24"/>
          <w:szCs w:val="24"/>
        </w:rPr>
        <w:t>choosing</w:t>
      </w:r>
      <w:r w:rsidRPr="008D2AA5">
        <w:rPr>
          <w:rFonts w:eastAsia="Open Sans"/>
          <w:sz w:val="24"/>
          <w:szCs w:val="24"/>
        </w:rPr>
        <w:t xml:space="preserve"> a country, users </w:t>
      </w:r>
      <w:r w:rsidRPr="00F628D4">
        <w:rPr>
          <w:rFonts w:eastAsia="Open Sans"/>
          <w:sz w:val="24"/>
          <w:szCs w:val="24"/>
        </w:rPr>
        <w:t>are</w:t>
      </w:r>
      <w:r w:rsidR="00E61025" w:rsidRPr="00F628D4">
        <w:rPr>
          <w:rFonts w:eastAsia="Open Sans"/>
          <w:sz w:val="24"/>
          <w:szCs w:val="24"/>
        </w:rPr>
        <w:t xml:space="preserve"> taken </w:t>
      </w:r>
      <w:r w:rsidRPr="008D2AA5">
        <w:rPr>
          <w:rFonts w:eastAsia="Open Sans"/>
          <w:sz w:val="24"/>
          <w:szCs w:val="24"/>
        </w:rPr>
        <w:t>to an indicator selection page, where they can either search directly for the indicator they’re looking for or browse by theme. These themes include Agriculture, Marine and Freshwater Habitats,</w:t>
      </w:r>
      <w:r w:rsidR="00B737F7">
        <w:rPr>
          <w:rFonts w:eastAsia="Open Sans"/>
          <w:sz w:val="24"/>
          <w:szCs w:val="24"/>
        </w:rPr>
        <w:t xml:space="preserve"> Terrestrial habitats,</w:t>
      </w:r>
      <w:r w:rsidRPr="008D2AA5">
        <w:rPr>
          <w:rFonts w:eastAsia="Open Sans"/>
          <w:sz w:val="24"/>
          <w:szCs w:val="24"/>
        </w:rPr>
        <w:t xml:space="preserve"> Policy and Conservation Action</w:t>
      </w:r>
      <w:r w:rsidR="00B737F7">
        <w:rPr>
          <w:rFonts w:eastAsia="Open Sans"/>
          <w:sz w:val="24"/>
          <w:szCs w:val="24"/>
        </w:rPr>
        <w:t>s</w:t>
      </w:r>
      <w:r w:rsidR="008D2AA5">
        <w:rPr>
          <w:rFonts w:eastAsia="Open Sans"/>
          <w:sz w:val="24"/>
          <w:szCs w:val="24"/>
        </w:rPr>
        <w:t>, Species</w:t>
      </w:r>
      <w:r w:rsidRPr="008D2AA5">
        <w:rPr>
          <w:rFonts w:eastAsia="Open Sans"/>
          <w:sz w:val="24"/>
          <w:szCs w:val="24"/>
        </w:rPr>
        <w:t xml:space="preserve"> etc. By clicking on the drop-down menu under each theme, the listed indicators are also tagged by the corresponding Aichi Biodiversity Targets, Sustainable Development Goals (SDGs) and Multilateral Environmental Agreements (MEAs).</w:t>
      </w:r>
    </w:p>
    <w:p w14:paraId="19CC98E5" w14:textId="5FADD429" w:rsidR="00127445" w:rsidRDefault="00127445" w:rsidP="00127445">
      <w:pPr>
        <w:ind w:firstLine="720"/>
        <w:contextualSpacing w:val="0"/>
        <w:rPr>
          <w:rFonts w:ascii="Open Sans" w:eastAsia="Open Sans" w:hAnsi="Open Sans" w:cs="Open Sans"/>
          <w:sz w:val="24"/>
          <w:szCs w:val="24"/>
        </w:rPr>
      </w:pPr>
    </w:p>
    <w:p w14:paraId="3EF9AD75" w14:textId="2FF4C6D5" w:rsidR="005E30E1" w:rsidRPr="008D2AA5" w:rsidRDefault="0081440A" w:rsidP="0081440A">
      <w:pPr>
        <w:contextualSpacing w:val="0"/>
        <w:rPr>
          <w:rFonts w:eastAsia="Open Sans"/>
          <w:sz w:val="24"/>
          <w:szCs w:val="24"/>
        </w:rPr>
      </w:pPr>
      <w:r>
        <w:rPr>
          <w:noProof/>
          <w:lang w:val="en-GB" w:eastAsia="en-GB"/>
        </w:rPr>
        <w:drawing>
          <wp:anchor distT="114300" distB="114300" distL="114300" distR="114300" simplePos="0" relativeHeight="251659264" behindDoc="0" locked="0" layoutInCell="1" hidden="0" allowOverlap="1" wp14:anchorId="1718C9FE" wp14:editId="1E7FC3DD">
            <wp:simplePos x="0" y="0"/>
            <wp:positionH relativeFrom="margin">
              <wp:posOffset>2857500</wp:posOffset>
            </wp:positionH>
            <wp:positionV relativeFrom="paragraph">
              <wp:posOffset>300990</wp:posOffset>
            </wp:positionV>
            <wp:extent cx="3781425" cy="2457450"/>
            <wp:effectExtent l="0" t="0" r="9525"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781425" cy="2457450"/>
                    </a:xfrm>
                    <a:prstGeom prst="rect">
                      <a:avLst/>
                    </a:prstGeom>
                    <a:ln/>
                  </pic:spPr>
                </pic:pic>
              </a:graphicData>
            </a:graphic>
            <wp14:sizeRelH relativeFrom="margin">
              <wp14:pctWidth>0</wp14:pctWidth>
            </wp14:sizeRelH>
            <wp14:sizeRelV relativeFrom="margin">
              <wp14:pctHeight>0</wp14:pctHeight>
            </wp14:sizeRelV>
          </wp:anchor>
        </w:drawing>
      </w:r>
      <w:r w:rsidR="00127445" w:rsidRPr="008D2AA5">
        <w:rPr>
          <w:rFonts w:eastAsia="Open Sans"/>
          <w:sz w:val="24"/>
          <w:szCs w:val="24"/>
        </w:rPr>
        <w:t xml:space="preserve">The selected indicator will then be visualized on a spatial map </w:t>
      </w:r>
      <w:r w:rsidR="008D2AA5">
        <w:rPr>
          <w:rFonts w:eastAsia="Open Sans"/>
          <w:sz w:val="24"/>
          <w:szCs w:val="24"/>
        </w:rPr>
        <w:t xml:space="preserve">representing the country in question </w:t>
      </w:r>
      <w:r w:rsidR="00127445" w:rsidRPr="008D2AA5">
        <w:rPr>
          <w:rFonts w:eastAsia="Open Sans"/>
          <w:sz w:val="24"/>
          <w:szCs w:val="24"/>
        </w:rPr>
        <w:t>alongside an information bar</w:t>
      </w:r>
      <w:r w:rsidR="008D2AA5">
        <w:rPr>
          <w:rFonts w:eastAsia="Open Sans"/>
          <w:sz w:val="24"/>
          <w:szCs w:val="24"/>
        </w:rPr>
        <w:t xml:space="preserve"> that includes a time-series chart</w:t>
      </w:r>
      <w:r w:rsidR="00127445" w:rsidRPr="008D2AA5">
        <w:rPr>
          <w:rFonts w:eastAsia="Open Sans"/>
          <w:sz w:val="24"/>
          <w:szCs w:val="24"/>
        </w:rPr>
        <w:t xml:space="preserve">. </w:t>
      </w:r>
      <w:r w:rsidR="008D2AA5">
        <w:rPr>
          <w:rFonts w:eastAsia="Open Sans"/>
          <w:sz w:val="24"/>
          <w:szCs w:val="24"/>
        </w:rPr>
        <w:t>Indicators can be visualized either depicting annual change or by most recent year of measurement. For those i</w:t>
      </w:r>
      <w:r w:rsidR="00127445" w:rsidRPr="008D2AA5">
        <w:rPr>
          <w:rFonts w:eastAsia="Open Sans"/>
          <w:sz w:val="24"/>
          <w:szCs w:val="24"/>
        </w:rPr>
        <w:t xml:space="preserve">ndicators with </w:t>
      </w:r>
      <w:r w:rsidR="008D2AA5">
        <w:rPr>
          <w:rFonts w:eastAsia="Open Sans"/>
          <w:sz w:val="24"/>
          <w:szCs w:val="24"/>
        </w:rPr>
        <w:t xml:space="preserve">sub-national or </w:t>
      </w:r>
      <w:r w:rsidR="00127445" w:rsidRPr="008D2AA5">
        <w:rPr>
          <w:rFonts w:eastAsia="Open Sans"/>
          <w:sz w:val="24"/>
          <w:szCs w:val="24"/>
        </w:rPr>
        <w:t>basin-level data</w:t>
      </w:r>
      <w:r w:rsidR="008D2AA5">
        <w:rPr>
          <w:rFonts w:eastAsia="Open Sans"/>
          <w:sz w:val="24"/>
          <w:szCs w:val="24"/>
        </w:rPr>
        <w:t xml:space="preserve"> (e.g.</w:t>
      </w:r>
      <w:r w:rsidR="00127445" w:rsidRPr="008D2AA5">
        <w:rPr>
          <w:rFonts w:eastAsia="Open Sans"/>
          <w:sz w:val="24"/>
          <w:szCs w:val="24"/>
        </w:rPr>
        <w:t xml:space="preserve"> the Protected Area Connectedness Index</w:t>
      </w:r>
      <w:r w:rsidR="008D2AA5">
        <w:rPr>
          <w:rFonts w:eastAsia="Open Sans"/>
          <w:sz w:val="24"/>
          <w:szCs w:val="24"/>
        </w:rPr>
        <w:t>)</w:t>
      </w:r>
      <w:r w:rsidR="00127445" w:rsidRPr="008D2AA5">
        <w:rPr>
          <w:rFonts w:eastAsia="Open Sans"/>
          <w:sz w:val="24"/>
          <w:szCs w:val="24"/>
        </w:rPr>
        <w:t>,</w:t>
      </w:r>
      <w:r w:rsidR="008D2AA5">
        <w:rPr>
          <w:rFonts w:eastAsia="Open Sans"/>
          <w:sz w:val="24"/>
          <w:szCs w:val="24"/>
        </w:rPr>
        <w:t xml:space="preserve"> they</w:t>
      </w:r>
      <w:r w:rsidR="00127445" w:rsidRPr="008D2AA5">
        <w:rPr>
          <w:rFonts w:eastAsia="Open Sans"/>
          <w:sz w:val="24"/>
          <w:szCs w:val="24"/>
        </w:rPr>
        <w:t xml:space="preserve"> can </w:t>
      </w:r>
      <w:r w:rsidR="008D2AA5">
        <w:rPr>
          <w:rFonts w:eastAsia="Open Sans"/>
          <w:sz w:val="24"/>
          <w:szCs w:val="24"/>
        </w:rPr>
        <w:t xml:space="preserve">also </w:t>
      </w:r>
      <w:r w:rsidR="00127445" w:rsidRPr="008D2AA5">
        <w:rPr>
          <w:rFonts w:eastAsia="Open Sans"/>
          <w:sz w:val="24"/>
          <w:szCs w:val="24"/>
        </w:rPr>
        <w:t>be visualized at</w:t>
      </w:r>
      <w:r w:rsidR="008D2AA5">
        <w:rPr>
          <w:rFonts w:eastAsia="Open Sans"/>
          <w:sz w:val="24"/>
          <w:szCs w:val="24"/>
        </w:rPr>
        <w:t xml:space="preserve"> the basin</w:t>
      </w:r>
      <w:r w:rsidR="00127445" w:rsidRPr="008D2AA5">
        <w:rPr>
          <w:rFonts w:eastAsia="Open Sans"/>
          <w:sz w:val="24"/>
          <w:szCs w:val="24"/>
        </w:rPr>
        <w:t xml:space="preserve"> scale by clicking the ‘Show Basin’ button on the map window. Each selected basin or region on the map will be shown with a t</w:t>
      </w:r>
      <w:r w:rsidR="008D2AA5">
        <w:rPr>
          <w:rFonts w:eastAsia="Open Sans"/>
          <w:sz w:val="24"/>
          <w:szCs w:val="24"/>
        </w:rPr>
        <w:t>ime series chart</w:t>
      </w:r>
      <w:r w:rsidR="00127445" w:rsidRPr="008D2AA5">
        <w:rPr>
          <w:rFonts w:eastAsia="Open Sans"/>
          <w:sz w:val="24"/>
          <w:szCs w:val="24"/>
        </w:rPr>
        <w:t xml:space="preserve"> for the years available, </w:t>
      </w:r>
      <w:r w:rsidR="00127445" w:rsidRPr="008D2AA5">
        <w:rPr>
          <w:rFonts w:eastAsia="Open Sans"/>
          <w:sz w:val="24"/>
          <w:szCs w:val="24"/>
        </w:rPr>
        <w:lastRenderedPageBreak/>
        <w:t>along with a description of the indicator and options to download the</w:t>
      </w:r>
      <w:r w:rsidR="00E61025">
        <w:rPr>
          <w:rFonts w:eastAsia="Open Sans"/>
          <w:sz w:val="24"/>
          <w:szCs w:val="24"/>
        </w:rPr>
        <w:t xml:space="preserve"> visual information in</w:t>
      </w:r>
      <w:r w:rsidR="008D2AA5">
        <w:rPr>
          <w:rFonts w:eastAsia="Open Sans"/>
          <w:sz w:val="24"/>
          <w:szCs w:val="24"/>
        </w:rPr>
        <w:t xml:space="preserve"> either a chart or</w:t>
      </w:r>
      <w:r w:rsidR="00E61025">
        <w:rPr>
          <w:rFonts w:eastAsia="Open Sans"/>
          <w:sz w:val="24"/>
          <w:szCs w:val="24"/>
        </w:rPr>
        <w:t xml:space="preserve"> a</w:t>
      </w:r>
      <w:r w:rsidR="008D2AA5">
        <w:rPr>
          <w:rFonts w:eastAsia="Open Sans"/>
          <w:sz w:val="24"/>
          <w:szCs w:val="24"/>
        </w:rPr>
        <w:t xml:space="preserve"> map form</w:t>
      </w:r>
      <w:r w:rsidR="00127445" w:rsidRPr="008D2AA5">
        <w:rPr>
          <w:rFonts w:eastAsia="Open Sans"/>
          <w:sz w:val="24"/>
          <w:szCs w:val="24"/>
        </w:rPr>
        <w:t>.</w:t>
      </w:r>
    </w:p>
    <w:p w14:paraId="0B803102" w14:textId="77777777" w:rsidR="005E30E1" w:rsidRDefault="00127445">
      <w:pPr>
        <w:ind w:firstLine="720"/>
        <w:contextualSpacing w:val="0"/>
        <w:jc w:val="center"/>
        <w:rPr>
          <w:rFonts w:ascii="Open Sans" w:eastAsia="Open Sans" w:hAnsi="Open Sans" w:cs="Open Sans"/>
          <w:sz w:val="24"/>
          <w:szCs w:val="24"/>
        </w:rPr>
      </w:pPr>
      <w:r>
        <w:rPr>
          <w:noProof/>
          <w:lang w:val="en-GB" w:eastAsia="en-GB"/>
        </w:rPr>
        <w:drawing>
          <wp:anchor distT="114300" distB="114300" distL="114300" distR="114300" simplePos="0" relativeHeight="251660288" behindDoc="0" locked="0" layoutInCell="1" hidden="0" allowOverlap="1" wp14:anchorId="6B5BBFF0" wp14:editId="39DF4410">
            <wp:simplePos x="0" y="0"/>
            <wp:positionH relativeFrom="column">
              <wp:posOffset>107951</wp:posOffset>
            </wp:positionH>
            <wp:positionV relativeFrom="paragraph">
              <wp:posOffset>222250</wp:posOffset>
            </wp:positionV>
            <wp:extent cx="6033112" cy="3209925"/>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033112" cy="3209925"/>
                    </a:xfrm>
                    <a:prstGeom prst="rect">
                      <a:avLst/>
                    </a:prstGeom>
                    <a:ln/>
                  </pic:spPr>
                </pic:pic>
              </a:graphicData>
            </a:graphic>
          </wp:anchor>
        </w:drawing>
      </w:r>
    </w:p>
    <w:p w14:paraId="4FE4C27D" w14:textId="349A5998" w:rsidR="005E30E1" w:rsidRPr="0081440A" w:rsidRDefault="008D2AA5" w:rsidP="008D2AA5">
      <w:pPr>
        <w:ind w:firstLine="720"/>
        <w:contextualSpacing w:val="0"/>
        <w:rPr>
          <w:rFonts w:eastAsia="Open Sans"/>
          <w:sz w:val="24"/>
          <w:szCs w:val="24"/>
        </w:rPr>
      </w:pPr>
      <w:r w:rsidRPr="0081440A">
        <w:rPr>
          <w:rFonts w:eastAsia="Open Sans"/>
          <w:sz w:val="24"/>
          <w:szCs w:val="24"/>
        </w:rPr>
        <w:t xml:space="preserve">Users can also learn more about the indicator in question by selecting the ‘Show/Hide Description of the Indicator’ feature near the top of the time-series chart. This will provide a short description of the indicator </w:t>
      </w:r>
      <w:r w:rsidR="00B737F7">
        <w:rPr>
          <w:rFonts w:eastAsia="Open Sans"/>
          <w:sz w:val="24"/>
          <w:szCs w:val="24"/>
        </w:rPr>
        <w:t>along with a</w:t>
      </w:r>
      <w:r w:rsidRPr="0081440A">
        <w:rPr>
          <w:rFonts w:eastAsia="Open Sans"/>
          <w:sz w:val="24"/>
          <w:szCs w:val="24"/>
        </w:rPr>
        <w:t xml:space="preserve"> link </w:t>
      </w:r>
      <w:r w:rsidR="00B737F7">
        <w:rPr>
          <w:rFonts w:eastAsia="Open Sans"/>
          <w:sz w:val="24"/>
          <w:szCs w:val="24"/>
        </w:rPr>
        <w:t>to the metadata for</w:t>
      </w:r>
      <w:r w:rsidRPr="0081440A">
        <w:rPr>
          <w:rFonts w:eastAsia="Open Sans"/>
          <w:sz w:val="24"/>
          <w:szCs w:val="24"/>
        </w:rPr>
        <w:t xml:space="preserve"> more detailed information on the indicator’s methodology, data sources used,</w:t>
      </w:r>
      <w:r w:rsidR="00B737F7">
        <w:rPr>
          <w:rFonts w:eastAsia="Open Sans"/>
          <w:sz w:val="24"/>
          <w:szCs w:val="24"/>
        </w:rPr>
        <w:t xml:space="preserve"> limitations and further information.</w:t>
      </w:r>
    </w:p>
    <w:p w14:paraId="56942BAA" w14:textId="35A4A59D" w:rsidR="008D2AA5" w:rsidRPr="0081440A" w:rsidRDefault="008D2AA5" w:rsidP="008D2AA5">
      <w:pPr>
        <w:ind w:firstLine="720"/>
        <w:contextualSpacing w:val="0"/>
        <w:rPr>
          <w:rFonts w:eastAsia="Open Sans"/>
          <w:sz w:val="24"/>
          <w:szCs w:val="24"/>
        </w:rPr>
      </w:pPr>
      <w:r w:rsidRPr="0081440A">
        <w:rPr>
          <w:rFonts w:eastAsia="Open Sans"/>
          <w:sz w:val="24"/>
          <w:szCs w:val="24"/>
        </w:rPr>
        <w:t>Finally, users can download the map view by clicking this feature on the bottom right corner of the screen which allows a download of the current view within the map pane.</w:t>
      </w:r>
    </w:p>
    <w:p w14:paraId="1ACA14C5" w14:textId="65277D59" w:rsidR="008D2AA5" w:rsidRPr="0081440A" w:rsidRDefault="008D2AA5" w:rsidP="008D2AA5">
      <w:pPr>
        <w:ind w:firstLine="720"/>
        <w:contextualSpacing w:val="0"/>
        <w:rPr>
          <w:rFonts w:eastAsia="Open Sans"/>
          <w:sz w:val="24"/>
          <w:szCs w:val="24"/>
        </w:rPr>
      </w:pPr>
      <w:r w:rsidRPr="0081440A">
        <w:rPr>
          <w:rFonts w:eastAsia="Open Sans"/>
          <w:sz w:val="24"/>
          <w:szCs w:val="24"/>
        </w:rPr>
        <w:t xml:space="preserve">Additional indicators will be added to the BIP Dashboard over the coming months and additional features such as the ‘Country PDF Overview’ and comparison features will also be added.  We welcome all feedback and are here to answer any questions regarding the use of the BIP Dashboard. You can contact either: </w:t>
      </w:r>
    </w:p>
    <w:p w14:paraId="3700AEC0" w14:textId="0B9323B7" w:rsidR="008D2AA5" w:rsidRPr="0081440A" w:rsidRDefault="008D2AA5" w:rsidP="008D2AA5">
      <w:pPr>
        <w:ind w:firstLine="720"/>
        <w:contextualSpacing w:val="0"/>
        <w:rPr>
          <w:rFonts w:eastAsia="Open Sans"/>
          <w:sz w:val="24"/>
          <w:szCs w:val="24"/>
        </w:rPr>
      </w:pPr>
      <w:r w:rsidRPr="0081440A">
        <w:rPr>
          <w:rFonts w:eastAsia="Open Sans"/>
          <w:sz w:val="24"/>
          <w:szCs w:val="24"/>
        </w:rPr>
        <w:t>Katherine Despot-Belmonte (</w:t>
      </w:r>
      <w:hyperlink r:id="rId9" w:history="1">
        <w:r w:rsidRPr="0081440A">
          <w:rPr>
            <w:rStyle w:val="Hyperlink"/>
            <w:rFonts w:eastAsia="Open Sans"/>
            <w:sz w:val="24"/>
            <w:szCs w:val="24"/>
          </w:rPr>
          <w:t>katherine.despot-belmonte@unep-wcmc.org</w:t>
        </w:r>
      </w:hyperlink>
      <w:r w:rsidRPr="0081440A">
        <w:rPr>
          <w:rFonts w:eastAsia="Open Sans"/>
          <w:sz w:val="24"/>
          <w:szCs w:val="24"/>
        </w:rPr>
        <w:t>) or</w:t>
      </w:r>
    </w:p>
    <w:p w14:paraId="006FE857" w14:textId="16DCD1A1" w:rsidR="005E30E1" w:rsidRPr="0081440A" w:rsidRDefault="008D2AA5" w:rsidP="008D2AA5">
      <w:pPr>
        <w:ind w:firstLine="720"/>
        <w:contextualSpacing w:val="0"/>
        <w:rPr>
          <w:rFonts w:eastAsia="Open Sans"/>
          <w:color w:val="4A4A4A"/>
          <w:sz w:val="24"/>
          <w:szCs w:val="24"/>
        </w:rPr>
      </w:pPr>
      <w:r w:rsidRPr="0081440A">
        <w:rPr>
          <w:rFonts w:eastAsia="Open Sans"/>
          <w:sz w:val="24"/>
          <w:szCs w:val="24"/>
        </w:rPr>
        <w:t>Mike Gill (</w:t>
      </w:r>
      <w:hyperlink r:id="rId10" w:history="1">
        <w:r w:rsidRPr="0081440A">
          <w:rPr>
            <w:rStyle w:val="Hyperlink"/>
            <w:rFonts w:eastAsia="Open Sans"/>
            <w:sz w:val="24"/>
            <w:szCs w:val="24"/>
          </w:rPr>
          <w:t>mike.gill@natureserve.org</w:t>
        </w:r>
      </w:hyperlink>
      <w:r w:rsidRPr="0081440A">
        <w:rPr>
          <w:rFonts w:eastAsia="Open Sans"/>
          <w:sz w:val="24"/>
          <w:szCs w:val="24"/>
        </w:rPr>
        <w:t>)</w:t>
      </w:r>
    </w:p>
    <w:sectPr w:rsidR="005E30E1" w:rsidRPr="0081440A">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0E1"/>
    <w:rsid w:val="00080011"/>
    <w:rsid w:val="000B08FE"/>
    <w:rsid w:val="00127445"/>
    <w:rsid w:val="00335CD0"/>
    <w:rsid w:val="005E30E1"/>
    <w:rsid w:val="007D4742"/>
    <w:rsid w:val="0081440A"/>
    <w:rsid w:val="008D2AA5"/>
    <w:rsid w:val="008D7546"/>
    <w:rsid w:val="009C2BC3"/>
    <w:rsid w:val="00B737F7"/>
    <w:rsid w:val="00E61025"/>
    <w:rsid w:val="00F146A2"/>
    <w:rsid w:val="00F62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5F5D8"/>
  <w15:docId w15:val="{D9525AAD-4FEC-764A-A425-13B506BB6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C2BC3"/>
    <w:rPr>
      <w:color w:val="0563C1"/>
      <w:u w:val="single"/>
    </w:rPr>
  </w:style>
  <w:style w:type="character" w:customStyle="1" w:styleId="UnresolvedMention1">
    <w:name w:val="Unresolved Mention1"/>
    <w:basedOn w:val="DefaultParagraphFont"/>
    <w:uiPriority w:val="99"/>
    <w:semiHidden/>
    <w:unhideWhenUsed/>
    <w:rsid w:val="008D2AA5"/>
    <w:rPr>
      <w:color w:val="605E5C"/>
      <w:shd w:val="clear" w:color="auto" w:fill="E1DFDD"/>
    </w:rPr>
  </w:style>
  <w:style w:type="character" w:styleId="CommentReference">
    <w:name w:val="annotation reference"/>
    <w:basedOn w:val="DefaultParagraphFont"/>
    <w:uiPriority w:val="99"/>
    <w:semiHidden/>
    <w:unhideWhenUsed/>
    <w:rsid w:val="00B737F7"/>
    <w:rPr>
      <w:sz w:val="16"/>
      <w:szCs w:val="16"/>
    </w:rPr>
  </w:style>
  <w:style w:type="paragraph" w:styleId="CommentText">
    <w:name w:val="annotation text"/>
    <w:basedOn w:val="Normal"/>
    <w:link w:val="CommentTextChar"/>
    <w:uiPriority w:val="99"/>
    <w:semiHidden/>
    <w:unhideWhenUsed/>
    <w:rsid w:val="00B737F7"/>
    <w:pPr>
      <w:spacing w:line="240" w:lineRule="auto"/>
    </w:pPr>
    <w:rPr>
      <w:sz w:val="20"/>
      <w:szCs w:val="20"/>
    </w:rPr>
  </w:style>
  <w:style w:type="character" w:customStyle="1" w:styleId="CommentTextChar">
    <w:name w:val="Comment Text Char"/>
    <w:basedOn w:val="DefaultParagraphFont"/>
    <w:link w:val="CommentText"/>
    <w:uiPriority w:val="99"/>
    <w:semiHidden/>
    <w:rsid w:val="00B737F7"/>
    <w:rPr>
      <w:sz w:val="20"/>
      <w:szCs w:val="20"/>
    </w:rPr>
  </w:style>
  <w:style w:type="paragraph" w:styleId="CommentSubject">
    <w:name w:val="annotation subject"/>
    <w:basedOn w:val="CommentText"/>
    <w:next w:val="CommentText"/>
    <w:link w:val="CommentSubjectChar"/>
    <w:uiPriority w:val="99"/>
    <w:semiHidden/>
    <w:unhideWhenUsed/>
    <w:rsid w:val="00B737F7"/>
    <w:rPr>
      <w:b/>
      <w:bCs/>
    </w:rPr>
  </w:style>
  <w:style w:type="character" w:customStyle="1" w:styleId="CommentSubjectChar">
    <w:name w:val="Comment Subject Char"/>
    <w:basedOn w:val="CommentTextChar"/>
    <w:link w:val="CommentSubject"/>
    <w:uiPriority w:val="99"/>
    <w:semiHidden/>
    <w:rsid w:val="00B737F7"/>
    <w:rPr>
      <w:b/>
      <w:bCs/>
      <w:sz w:val="20"/>
      <w:szCs w:val="20"/>
    </w:rPr>
  </w:style>
  <w:style w:type="paragraph" w:styleId="BalloonText">
    <w:name w:val="Balloon Text"/>
    <w:basedOn w:val="Normal"/>
    <w:link w:val="BalloonTextChar"/>
    <w:uiPriority w:val="99"/>
    <w:semiHidden/>
    <w:unhideWhenUsed/>
    <w:rsid w:val="00B737F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37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bipdashboard.natureserve.org/bip" TargetMode="External"/><Relationship Id="rId10" Type="http://schemas.openxmlformats.org/officeDocument/2006/relationships/hyperlink" Target="mailto:mike.gill@natureserve.org" TargetMode="External"/><Relationship Id="rId4" Type="http://schemas.openxmlformats.org/officeDocument/2006/relationships/hyperlink" Target="https://www.bipindicators.net" TargetMode="External"/><Relationship Id="rId9" Type="http://schemas.openxmlformats.org/officeDocument/2006/relationships/hyperlink" Target="mailto:katherine.despot-belmonte@unep-wcm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466</Words>
  <Characters>2660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Gill</dc:creator>
  <cp:lastModifiedBy>Mike Gill</cp:lastModifiedBy>
  <cp:revision>2</cp:revision>
  <dcterms:created xsi:type="dcterms:W3CDTF">2018-12-10T14:36:00Z</dcterms:created>
  <dcterms:modified xsi:type="dcterms:W3CDTF">2018-12-10T14:36:00Z</dcterms:modified>
</cp:coreProperties>
</file>