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E61996" w14:paraId="6F9BBC12" w14:textId="77777777" w:rsidTr="001065E9">
        <w:trPr>
          <w:trHeight w:val="850"/>
        </w:trPr>
        <w:tc>
          <w:tcPr>
            <w:tcW w:w="975" w:type="dxa"/>
            <w:vAlign w:val="bottom"/>
          </w:tcPr>
          <w:p w14:paraId="53191C0E" w14:textId="77777777" w:rsidR="005012FC" w:rsidRPr="00E61996" w:rsidRDefault="005012FC" w:rsidP="005012FC">
            <w:pPr>
              <w:pStyle w:val="AASmallLogo"/>
            </w:pPr>
            <w:r w:rsidRPr="00E61996">
              <w:rPr>
                <w:noProof/>
                <w14:ligatures w14:val="standardContextual"/>
              </w:rPr>
              <w:drawing>
                <wp:inline distT="0" distB="0" distL="0" distR="0" wp14:anchorId="69FE395E" wp14:editId="1B2AE43A">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E61996">
              <w:t xml:space="preserve"> </w:t>
            </w:r>
          </w:p>
          <w:p w14:paraId="055616FD" w14:textId="77777777" w:rsidR="001065E9" w:rsidRPr="00E61996" w:rsidRDefault="001065E9" w:rsidP="005012FC">
            <w:pPr>
              <w:pStyle w:val="AASmallLogo"/>
            </w:pPr>
          </w:p>
        </w:tc>
        <w:tc>
          <w:tcPr>
            <w:tcW w:w="1434" w:type="dxa"/>
            <w:noWrap/>
            <w:vAlign w:val="bottom"/>
          </w:tcPr>
          <w:p w14:paraId="52BC897A" w14:textId="0E6022C7" w:rsidR="005012FC" w:rsidRPr="00E61996" w:rsidRDefault="00F73064" w:rsidP="005012FC">
            <w:pPr>
              <w:pStyle w:val="AASmallLogo"/>
            </w:pPr>
            <w:r w:rsidRPr="00E61996">
              <w:rPr>
                <w:noProof/>
                <w14:ligatures w14:val="standardContextual"/>
              </w:rPr>
              <w:drawing>
                <wp:inline distT="0" distB="0" distL="0" distR="0" wp14:anchorId="1922D728" wp14:editId="68A4C91C">
                  <wp:extent cx="593725" cy="340995"/>
                  <wp:effectExtent l="0" t="0" r="0" b="190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r w:rsidR="005012FC" w:rsidRPr="00E61996">
              <w:t xml:space="preserve"> </w:t>
            </w:r>
          </w:p>
          <w:p w14:paraId="25F2F58C" w14:textId="77777777" w:rsidR="001065E9" w:rsidRPr="00E61996" w:rsidRDefault="001065E9" w:rsidP="005012FC">
            <w:pPr>
              <w:pStyle w:val="AASmallLogo"/>
            </w:pPr>
          </w:p>
        </w:tc>
        <w:tc>
          <w:tcPr>
            <w:tcW w:w="8073" w:type="dxa"/>
            <w:vAlign w:val="bottom"/>
          </w:tcPr>
          <w:p w14:paraId="74C2C8BC" w14:textId="72F5A9EF" w:rsidR="001065E9" w:rsidRPr="00E61996" w:rsidRDefault="00CD2B32" w:rsidP="005300E0">
            <w:pPr>
              <w:pStyle w:val="ABSymbol"/>
            </w:pPr>
            <w:r w:rsidRPr="00E61996">
              <w:rPr>
                <w:sz w:val="40"/>
              </w:rPr>
              <w:t>CBD</w:t>
            </w:r>
            <w:r w:rsidRPr="00E61996">
              <w:t>/SB8J/REC/1/3</w:t>
            </w:r>
          </w:p>
        </w:tc>
      </w:tr>
    </w:tbl>
    <w:p w14:paraId="448AEE68" w14:textId="77777777" w:rsidR="009F67EB" w:rsidRPr="00E61996" w:rsidRDefault="009F67EB" w:rsidP="001065E9">
      <w:pPr>
        <w:pStyle w:val="AISpacer"/>
        <w:rPr>
          <w:noProof/>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E61996" w14:paraId="6E6746E9" w14:textId="77777777" w:rsidTr="001065E9">
        <w:trPr>
          <w:trHeight w:val="1814"/>
        </w:trPr>
        <w:tc>
          <w:tcPr>
            <w:tcW w:w="7370" w:type="dxa"/>
          </w:tcPr>
          <w:p w14:paraId="20E8ECF7" w14:textId="49F65C9B" w:rsidR="005012FC" w:rsidRPr="00E61996" w:rsidRDefault="00F73064" w:rsidP="005012FC">
            <w:pPr>
              <w:pStyle w:val="ACLargeLogo"/>
            </w:pPr>
            <w:r w:rsidRPr="00E61996">
              <w:rPr>
                <w:noProof/>
                <w14:ligatures w14:val="standardContextual"/>
              </w:rPr>
              <w:drawing>
                <wp:inline distT="0" distB="0" distL="0" distR="0" wp14:anchorId="0B4B7A4F" wp14:editId="699FCD90">
                  <wp:extent cx="2857500" cy="1076325"/>
                  <wp:effectExtent l="0" t="0" r="0" b="9525"/>
                  <wp:docPr id="6"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BD_logo_fr-CMYK-black [Conver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5012FC" w:rsidRPr="00E61996">
              <w:t xml:space="preserve"> </w:t>
            </w:r>
          </w:p>
          <w:p w14:paraId="22D789C3" w14:textId="77777777" w:rsidR="001065E9" w:rsidRPr="00E61996" w:rsidRDefault="001065E9" w:rsidP="005012FC">
            <w:pPr>
              <w:pStyle w:val="ACLargeLogo"/>
            </w:pPr>
          </w:p>
        </w:tc>
        <w:tc>
          <w:tcPr>
            <w:tcW w:w="3112" w:type="dxa"/>
          </w:tcPr>
          <w:p w14:paraId="41CCC300" w14:textId="746B428B" w:rsidR="005012FC" w:rsidRPr="00E61996" w:rsidRDefault="005012FC" w:rsidP="005012FC">
            <w:pPr>
              <w:pStyle w:val="AEDistrNormal"/>
            </w:pPr>
            <w:r w:rsidRPr="00E61996">
              <w:t xml:space="preserve">Distr. : </w:t>
            </w:r>
            <w:r w:rsidR="005C08E8" w:rsidRPr="00E61996">
              <w:rPr>
                <w:rFonts w:eastAsia="Yu Mincho"/>
                <w:lang w:eastAsia="ja-JP"/>
              </w:rPr>
              <w:t>générale</w:t>
            </w:r>
          </w:p>
          <w:p w14:paraId="6761A393" w14:textId="0B8BD787" w:rsidR="005012FC" w:rsidRPr="00E61996" w:rsidRDefault="00CE6C62" w:rsidP="005012FC">
            <w:pPr>
              <w:pStyle w:val="AEDistrNormal"/>
            </w:pPr>
            <w:r w:rsidRPr="00E61996">
              <w:t>30</w:t>
            </w:r>
            <w:r w:rsidR="005300E0" w:rsidRPr="00E61996">
              <w:t> octobre </w:t>
            </w:r>
            <w:r w:rsidR="00E4334F" w:rsidRPr="00E61996">
              <w:t>2025</w:t>
            </w:r>
          </w:p>
          <w:p w14:paraId="05D0EA0A" w14:textId="77777777" w:rsidR="005012FC" w:rsidRPr="00E61996" w:rsidRDefault="005012FC" w:rsidP="005012FC">
            <w:pPr>
              <w:pStyle w:val="AEDistrNormal"/>
            </w:pPr>
            <w:r w:rsidRPr="00E61996">
              <w:t>Français</w:t>
            </w:r>
            <w:r w:rsidRPr="00E61996">
              <w:br/>
              <w:t>Original : anglais</w:t>
            </w:r>
          </w:p>
          <w:p w14:paraId="3AAF33E9" w14:textId="77777777" w:rsidR="001065E9" w:rsidRPr="00E61996" w:rsidRDefault="001065E9" w:rsidP="005012FC">
            <w:pPr>
              <w:pStyle w:val="AEDistrNormal6pt"/>
            </w:pPr>
          </w:p>
        </w:tc>
      </w:tr>
    </w:tbl>
    <w:p w14:paraId="0B184D9C" w14:textId="77777777" w:rsidR="001065E9" w:rsidRPr="00E61996" w:rsidRDefault="001065E9" w:rsidP="001065E9">
      <w:pPr>
        <w:pStyle w:val="AISpacer"/>
        <w:rPr>
          <w:noProof/>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E61996" w14:paraId="655575DC" w14:textId="77777777" w:rsidTr="001065E9">
        <w:trPr>
          <w:trHeight w:val="57"/>
        </w:trPr>
        <w:tc>
          <w:tcPr>
            <w:tcW w:w="6094" w:type="dxa"/>
          </w:tcPr>
          <w:p w14:paraId="3E6621FA" w14:textId="5276D349" w:rsidR="005012FC" w:rsidRPr="00E61996" w:rsidRDefault="005012FC" w:rsidP="005012FC">
            <w:pPr>
              <w:pStyle w:val="AFCorN12Bold"/>
            </w:pPr>
            <w:r w:rsidRPr="00E61996">
              <w:t>Organe subsidiaire chargé du suivi de l</w:t>
            </w:r>
            <w:r w:rsidR="006D70C2" w:rsidRPr="00E61996">
              <w:t>’</w:t>
            </w:r>
            <w:r w:rsidRPr="00E61996">
              <w:t>article 8 j) et des autres dispositions de la Convention sur la diversité biologique relatives aux peuples autochtones et communautés locales</w:t>
            </w:r>
          </w:p>
          <w:p w14:paraId="6F325885" w14:textId="77777777" w:rsidR="005012FC" w:rsidRPr="00E61996" w:rsidRDefault="00023B83" w:rsidP="005012FC">
            <w:pPr>
              <w:pStyle w:val="AFCorNBold"/>
            </w:pPr>
            <w:r w:rsidRPr="00E61996">
              <w:t xml:space="preserve">Première réunion </w:t>
            </w:r>
          </w:p>
          <w:p w14:paraId="797AEB50" w14:textId="77777777" w:rsidR="005012FC" w:rsidRPr="00E61996" w:rsidRDefault="00962822" w:rsidP="005012FC">
            <w:pPr>
              <w:pStyle w:val="AFCorNNormal"/>
            </w:pPr>
            <w:r w:rsidRPr="00E61996">
              <w:t xml:space="preserve">Panama, 27–30 octobre 2025 </w:t>
            </w:r>
          </w:p>
          <w:p w14:paraId="7BA245C8" w14:textId="60D4D7CE" w:rsidR="005012FC" w:rsidRPr="00E61996" w:rsidRDefault="005012FC" w:rsidP="005012FC">
            <w:pPr>
              <w:pStyle w:val="AFCorNNormal"/>
            </w:pPr>
            <w:r w:rsidRPr="00E61996">
              <w:t>Points 5 a) et b) de l</w:t>
            </w:r>
            <w:r w:rsidR="006D70C2" w:rsidRPr="00E61996">
              <w:t>’</w:t>
            </w:r>
            <w:r w:rsidRPr="00E61996">
              <w:t>ordre du jour</w:t>
            </w:r>
          </w:p>
          <w:p w14:paraId="1B5C1540" w14:textId="562A26CC" w:rsidR="00416249" w:rsidRPr="00E61996" w:rsidRDefault="00665B56" w:rsidP="00C0791C">
            <w:pPr>
              <w:pStyle w:val="AFCorNBold"/>
              <w:spacing w:after="120"/>
            </w:pPr>
            <w:r w:rsidRPr="00E61996">
              <w:footnoteReference w:customMarkFollows="1" w:id="1"/>
              <w:t>Mise en œuvre du programme de travail sur l</w:t>
            </w:r>
            <w:r w:rsidR="006D70C2" w:rsidRPr="00E61996">
              <w:t>’</w:t>
            </w:r>
            <w:r w:rsidRPr="00E61996">
              <w:t>article 8 j) et les autres dispositions de la Convention sur la diversité biologique relatives aux peuples autochtones et communautés locales à l</w:t>
            </w:r>
            <w:r w:rsidR="006D70C2" w:rsidRPr="00E61996">
              <w:t>’</w:t>
            </w:r>
            <w:r w:rsidRPr="00E61996">
              <w:t>horizon 2030 : a) Lignes directrices en vue de renforcer le cadre juridique et politique de la mise en œuvre des cibles 2 et 3 du Cadre mondial de la biodiversité de Kunming-Montréal, y compris en ce qui concerne les territoires autochtones et traditionnels, afin d</w:t>
            </w:r>
            <w:r w:rsidR="006D70C2" w:rsidRPr="00E61996">
              <w:t>’</w:t>
            </w:r>
            <w:r w:rsidRPr="00E61996">
              <w:t>appuyer les pratiques de protection et de restauration des peuples autochtones et communautés locales (Tâche 1.1) ; et b) Lignes directrices relatives à l</w:t>
            </w:r>
            <w:r w:rsidR="006D70C2" w:rsidRPr="00E61996">
              <w:t>’</w:t>
            </w:r>
            <w:r w:rsidRPr="00E61996">
              <w:t>inclusion et à la prise en compte des terres traditionnelles et de l</w:t>
            </w:r>
            <w:r w:rsidR="006D70C2" w:rsidRPr="00E61996">
              <w:t>’</w:t>
            </w:r>
            <w:r w:rsidRPr="00E61996">
              <w:t>utilisation des ressources dans les processus d</w:t>
            </w:r>
            <w:r w:rsidR="006D70C2" w:rsidRPr="00E61996">
              <w:t>’</w:t>
            </w:r>
            <w:r w:rsidRPr="00E61996">
              <w:t>aménagement du territoire et les études d</w:t>
            </w:r>
            <w:r w:rsidR="006D70C2" w:rsidRPr="00E61996">
              <w:t>’</w:t>
            </w:r>
            <w:r w:rsidRPr="00E61996">
              <w:t>impact s</w:t>
            </w:r>
            <w:r w:rsidR="006D70C2" w:rsidRPr="00E61996">
              <w:t>ur l’environnement (Tâche 1.2)</w:t>
            </w:r>
          </w:p>
        </w:tc>
        <w:tc>
          <w:tcPr>
            <w:tcW w:w="4388" w:type="dxa"/>
          </w:tcPr>
          <w:p w14:paraId="36A7FB03" w14:textId="77777777" w:rsidR="001065E9" w:rsidRPr="00E61996" w:rsidRDefault="001065E9" w:rsidP="001065E9">
            <w:pPr>
              <w:pStyle w:val="CBDNormal"/>
              <w:jc w:val="left"/>
              <w:rPr>
                <w:noProof/>
              </w:rPr>
            </w:pPr>
          </w:p>
        </w:tc>
      </w:tr>
    </w:tbl>
    <w:p w14:paraId="1A97559C" w14:textId="0EC0295E" w:rsidR="001065E9" w:rsidRPr="00E61996" w:rsidRDefault="001F439C" w:rsidP="008C557C">
      <w:pPr>
        <w:pStyle w:val="CBDTitle"/>
        <w:ind w:right="713"/>
        <w:rPr>
          <w:lang w:eastAsia="en-US"/>
        </w:rPr>
      </w:pPr>
      <w:sdt>
        <w:sdtPr>
          <w:rPr>
            <w:lang w:eastAsia="en-US"/>
          </w:rPr>
          <w:alias w:val="Title"/>
          <w:tag w:val=""/>
          <w:id w:val="-591865594"/>
          <w:placeholder>
            <w:docPart w:val="7A4AE1AC3A6E4DFE8B7673ED38E53657"/>
          </w:placeholder>
          <w:dataBinding w:prefixMappings="xmlns:ns0='http://purl.org/dc/elements/1.1/' xmlns:ns1='http://schemas.openxmlformats.org/package/2006/metadata/core-properties' " w:xpath="/ns1:coreProperties[1]/ns0:title[1]" w:storeItemID="{6C3C8BC8-F283-45AE-878A-BAB7291924A1}"/>
          <w:text/>
        </w:sdtPr>
        <w:sdtEndPr/>
        <w:sdtContent>
          <w:r w:rsidR="00CD2B32" w:rsidRPr="00E61996">
            <w:rPr>
              <w:lang w:eastAsia="en-US"/>
            </w:rPr>
            <w:t>Recommandation adoptée par l'Organe subsidiaire chargé du suivi de l’article 8 j) et des autres dispositions de la Convention sur la diversité biologique relatives aux peuples autochtones et communautés locales le 30 octobre 2025</w:t>
          </w:r>
        </w:sdtContent>
      </w:sdt>
      <w:r w:rsidR="00CD2B32" w:rsidRPr="00E61996">
        <w:rPr>
          <w:lang w:eastAsia="en-US"/>
        </w:rPr>
        <w:t xml:space="preserve"> </w:t>
      </w:r>
      <w:r w:rsidR="005F5CD7">
        <w:rPr>
          <w:lang w:eastAsia="en-US"/>
        </w:rPr>
        <w:t xml:space="preserve"> </w:t>
      </w:r>
    </w:p>
    <w:p w14:paraId="06118633" w14:textId="5AE3F5EE" w:rsidR="0032525F" w:rsidRPr="00E61996" w:rsidRDefault="00CD2B32" w:rsidP="0032525F">
      <w:pPr>
        <w:pStyle w:val="CBDSubTitle"/>
        <w:rPr>
          <w:lang w:eastAsia="en-US"/>
        </w:rPr>
      </w:pPr>
      <w:r w:rsidRPr="00E61996">
        <w:rPr>
          <w:lang w:eastAsia="en-US"/>
        </w:rPr>
        <w:t>1/3.</w:t>
      </w:r>
      <w:r w:rsidRPr="00E61996">
        <w:rPr>
          <w:lang w:eastAsia="en-US"/>
        </w:rPr>
        <w:tab/>
        <w:t>Proposition d’éléments pour les lignes directrices concernant les tâches 1.1 et 1.2 du programme de travail sur l’article 8 j) et les autres dispositions de la Convention sur la diversité biologique relatives aux peoples autochtones et communautés locales à l’horizon 2030</w:t>
      </w:r>
    </w:p>
    <w:p w14:paraId="219D5651" w14:textId="2A631D5A" w:rsidR="00825C5B" w:rsidRPr="00E61996" w:rsidRDefault="00825C5B" w:rsidP="00825C5B">
      <w:pPr>
        <w:pStyle w:val="CBDNormalNumber"/>
        <w:numPr>
          <w:ilvl w:val="0"/>
          <w:numId w:val="0"/>
        </w:numPr>
        <w:ind w:left="567"/>
        <w:rPr>
          <w:i/>
        </w:rPr>
      </w:pPr>
      <w:r w:rsidRPr="00E61996">
        <w:tab/>
      </w:r>
      <w:r w:rsidRPr="00E61996">
        <w:rPr>
          <w:i/>
        </w:rPr>
        <w:t>L’Organe subsidiaire chargé du suivi de l’article 8 j) et des autres dispositions de la Convention sur la diversité biologique relatives aux peuples autochtones et communautés locales</w:t>
      </w:r>
    </w:p>
    <w:p w14:paraId="2C053559" w14:textId="4CD842CB" w:rsidR="00825C5B" w:rsidRPr="00E61996" w:rsidRDefault="00825C5B" w:rsidP="00825C5B">
      <w:pPr>
        <w:pStyle w:val="CBDNormalNumber"/>
        <w:numPr>
          <w:ilvl w:val="0"/>
          <w:numId w:val="0"/>
        </w:numPr>
        <w:ind w:left="567"/>
      </w:pPr>
      <w:r w:rsidRPr="00E61996">
        <w:tab/>
      </w:r>
      <w:r w:rsidRPr="00E61996">
        <w:rPr>
          <w:i/>
        </w:rPr>
        <w:t>Recommande</w:t>
      </w:r>
      <w:r w:rsidRPr="00E61996">
        <w:t xml:space="preserve"> que la Conférence des Parties adopte, à sa dix-septième réunion, une décision </w:t>
      </w:r>
      <w:r w:rsidR="007E7F10" w:rsidRPr="00E61996">
        <w:t>sur le modèle suivant</w:t>
      </w:r>
      <w:r w:rsidR="006D70C2" w:rsidRPr="00E61996">
        <w:t> </w:t>
      </w:r>
      <w:r w:rsidRPr="00E61996">
        <w:t>:</w:t>
      </w:r>
      <w:r w:rsidR="005F5B26">
        <w:t xml:space="preserve"> </w:t>
      </w:r>
      <w:r w:rsidR="00024663">
        <w:t xml:space="preserve"> </w:t>
      </w:r>
    </w:p>
    <w:p w14:paraId="3FBA955F" w14:textId="10848EDB" w:rsidR="00665B56" w:rsidRPr="00E61996" w:rsidRDefault="00665B56" w:rsidP="00C0791C">
      <w:pPr>
        <w:pStyle w:val="CBDNormalNumber"/>
        <w:numPr>
          <w:ilvl w:val="0"/>
          <w:numId w:val="0"/>
        </w:numPr>
        <w:tabs>
          <w:tab w:val="clear" w:pos="567"/>
        </w:tabs>
        <w:ind w:left="1134" w:firstLine="567"/>
        <w:rPr>
          <w:noProof/>
        </w:rPr>
      </w:pPr>
      <w:r w:rsidRPr="00E61996">
        <w:rPr>
          <w:i/>
          <w:iCs/>
          <w:noProof/>
        </w:rPr>
        <w:t>La Conférence des Parties,</w:t>
      </w:r>
    </w:p>
    <w:p w14:paraId="28BC2801" w14:textId="09CD4E43" w:rsidR="00665B56" w:rsidRPr="00E61996" w:rsidRDefault="00665B56" w:rsidP="00C0791C">
      <w:pPr>
        <w:pStyle w:val="CBDNormalNoNumber"/>
        <w:tabs>
          <w:tab w:val="clear" w:pos="567"/>
        </w:tabs>
        <w:ind w:left="1134" w:firstLine="567"/>
        <w:rPr>
          <w:noProof/>
        </w:rPr>
      </w:pPr>
      <w:r w:rsidRPr="00E61996">
        <w:rPr>
          <w:i/>
          <w:iCs/>
          <w:noProof/>
        </w:rPr>
        <w:lastRenderedPageBreak/>
        <w:t>Rappelant</w:t>
      </w:r>
      <w:r w:rsidRPr="00E61996">
        <w:rPr>
          <w:noProof/>
        </w:rPr>
        <w:t xml:space="preserve"> sa décision </w:t>
      </w:r>
      <w:hyperlink r:id="rId14" w:history="1">
        <w:r w:rsidRPr="00E61996">
          <w:rPr>
            <w:rStyle w:val="Hyperlink"/>
            <w:noProof/>
          </w:rPr>
          <w:t>16/4</w:t>
        </w:r>
      </w:hyperlink>
      <w:r w:rsidRPr="00E61996">
        <w:rPr>
          <w:noProof/>
        </w:rPr>
        <w:t xml:space="preserve"> du 30 octobre 2024, par laquelle elle a adopté le programme de travail sur l</w:t>
      </w:r>
      <w:r w:rsidR="006D70C2" w:rsidRPr="00E61996">
        <w:rPr>
          <w:noProof/>
        </w:rPr>
        <w:t>’</w:t>
      </w:r>
      <w:r w:rsidRPr="00E61996">
        <w:rPr>
          <w:noProof/>
        </w:rPr>
        <w:t>article 8 j) et les autres dispositions de la Convention sur la diversité biologique</w:t>
      </w:r>
      <w:r w:rsidRPr="00E61996">
        <w:rPr>
          <w:rStyle w:val="FootnoteReference"/>
          <w:noProof/>
        </w:rPr>
        <w:footnoteReference w:id="2"/>
      </w:r>
      <w:r w:rsidRPr="00E61996">
        <w:rPr>
          <w:noProof/>
        </w:rPr>
        <w:t xml:space="preserve"> relatives aux peuples autochtones et communautés locales à l</w:t>
      </w:r>
      <w:r w:rsidR="006D70C2" w:rsidRPr="00E61996">
        <w:rPr>
          <w:noProof/>
        </w:rPr>
        <w:t>’</w:t>
      </w:r>
      <w:r w:rsidRPr="00E61996">
        <w:rPr>
          <w:noProof/>
        </w:rPr>
        <w:t xml:space="preserve">horizon 2030, et en particulier les </w:t>
      </w:r>
      <w:r w:rsidR="00AA437C" w:rsidRPr="00E61996">
        <w:rPr>
          <w:noProof/>
        </w:rPr>
        <w:t>tâche</w:t>
      </w:r>
      <w:r w:rsidRPr="00E61996">
        <w:rPr>
          <w:noProof/>
        </w:rPr>
        <w:t>s 1.1 et 1.2, dirigé par l</w:t>
      </w:r>
      <w:r w:rsidR="006D70C2" w:rsidRPr="00E61996">
        <w:rPr>
          <w:noProof/>
        </w:rPr>
        <w:t>’</w:t>
      </w:r>
      <w:r w:rsidRPr="00E61996">
        <w:rPr>
          <w:noProof/>
        </w:rPr>
        <w:t>Organe subsidiaire chargé du suivi de l</w:t>
      </w:r>
      <w:r w:rsidR="006D70C2" w:rsidRPr="00E61996">
        <w:rPr>
          <w:noProof/>
        </w:rPr>
        <w:t>’</w:t>
      </w:r>
      <w:r w:rsidRPr="00E61996">
        <w:rPr>
          <w:noProof/>
        </w:rPr>
        <w:t>article</w:t>
      </w:r>
      <w:r w:rsidR="005C0178" w:rsidRPr="00E61996">
        <w:rPr>
          <w:noProof/>
        </w:rPr>
        <w:t xml:space="preserve"> </w:t>
      </w:r>
      <w:r w:rsidRPr="00E61996">
        <w:rPr>
          <w:noProof/>
        </w:rPr>
        <w:t>8</w:t>
      </w:r>
      <w:r w:rsidR="005C0178" w:rsidRPr="00E61996">
        <w:rPr>
          <w:noProof/>
        </w:rPr>
        <w:t xml:space="preserve"> </w:t>
      </w:r>
      <w:r w:rsidRPr="00E61996">
        <w:rPr>
          <w:noProof/>
        </w:rPr>
        <w:t xml:space="preserve">j) et des autres dispositions de la Convention sur la diversité biologique relatives aux peuples autochtones et communautés locales, </w:t>
      </w:r>
      <w:r w:rsidR="005C0178" w:rsidRPr="00E61996">
        <w:rPr>
          <w:noProof/>
        </w:rPr>
        <w:t>en vue de l’</w:t>
      </w:r>
      <w:r w:rsidRPr="00E61996">
        <w:rPr>
          <w:noProof/>
        </w:rPr>
        <w:t>élabor</w:t>
      </w:r>
      <w:r w:rsidR="005C0178" w:rsidRPr="00E61996">
        <w:rPr>
          <w:noProof/>
        </w:rPr>
        <w:t xml:space="preserve">ation </w:t>
      </w:r>
      <w:r w:rsidRPr="00E61996">
        <w:rPr>
          <w:noProof/>
        </w:rPr>
        <w:t xml:space="preserve">de lignes directrices </w:t>
      </w:r>
      <w:r w:rsidR="00680BED">
        <w:rPr>
          <w:noProof/>
        </w:rPr>
        <w:t>visant</w:t>
      </w:r>
      <w:r w:rsidRPr="00E61996">
        <w:rPr>
          <w:noProof/>
        </w:rPr>
        <w:t xml:space="preserve"> à renforcer le cadre juridique et politique de la mise en œuvre des cibles 2 et 3 du Cadre mondial de la biodiversité de Kunming-Montréal</w:t>
      </w:r>
      <w:r w:rsidRPr="00E61996">
        <w:rPr>
          <w:rStyle w:val="FootnoteReference"/>
          <w:noProof/>
        </w:rPr>
        <w:footnoteReference w:id="3"/>
      </w:r>
      <w:r w:rsidRPr="00E61996">
        <w:rPr>
          <w:noProof/>
        </w:rPr>
        <w:t>, y compris sur les territoires autochtones et traditionnels, ainsi que de lignes directrices relatives à l</w:t>
      </w:r>
      <w:r w:rsidR="006D70C2" w:rsidRPr="00E61996">
        <w:rPr>
          <w:noProof/>
        </w:rPr>
        <w:t>’</w:t>
      </w:r>
      <w:r w:rsidRPr="00E61996">
        <w:rPr>
          <w:noProof/>
        </w:rPr>
        <w:t>inclusion et à la prise en compte des territoires traditionnels et de l</w:t>
      </w:r>
      <w:r w:rsidR="006D70C2" w:rsidRPr="00E61996">
        <w:rPr>
          <w:noProof/>
        </w:rPr>
        <w:t>’</w:t>
      </w:r>
      <w:r w:rsidRPr="00E61996">
        <w:rPr>
          <w:noProof/>
        </w:rPr>
        <w:t>utilisation traditionnelle des ressources dans les processus d</w:t>
      </w:r>
      <w:r w:rsidR="006D70C2" w:rsidRPr="00E61996">
        <w:rPr>
          <w:noProof/>
        </w:rPr>
        <w:t>’</w:t>
      </w:r>
      <w:r w:rsidRPr="00E61996">
        <w:rPr>
          <w:noProof/>
        </w:rPr>
        <w:t>aménagement du territoire et des évaluations d</w:t>
      </w:r>
      <w:r w:rsidR="006D70C2" w:rsidRPr="00E61996">
        <w:rPr>
          <w:noProof/>
        </w:rPr>
        <w:t>’</w:t>
      </w:r>
      <w:r w:rsidRPr="00E61996">
        <w:rPr>
          <w:noProof/>
        </w:rPr>
        <w:t xml:space="preserve">impact environnemental, </w:t>
      </w:r>
      <w:r w:rsidR="005C0178" w:rsidRPr="00E61996">
        <w:rPr>
          <w:noProof/>
        </w:rPr>
        <w:t xml:space="preserve">à l’appui de la réalisation des </w:t>
      </w:r>
      <w:r w:rsidR="00F510FC" w:rsidRPr="00E61996">
        <w:rPr>
          <w:noProof/>
        </w:rPr>
        <w:t>c</w:t>
      </w:r>
      <w:r w:rsidR="00825C5B" w:rsidRPr="00E61996">
        <w:rPr>
          <w:noProof/>
        </w:rPr>
        <w:t xml:space="preserve">ibles 1 et 14 du Cadre </w:t>
      </w:r>
      <w:r w:rsidRPr="00E61996">
        <w:rPr>
          <w:noProof/>
        </w:rPr>
        <w:t>respectivement, et reconnaissant l</w:t>
      </w:r>
      <w:r w:rsidR="006D70C2" w:rsidRPr="00E61996">
        <w:rPr>
          <w:noProof/>
        </w:rPr>
        <w:t>’</w:t>
      </w:r>
      <w:r w:rsidRPr="00E61996">
        <w:rPr>
          <w:noProof/>
        </w:rPr>
        <w:t>alignement du programme de travail sur le Cadre,</w:t>
      </w:r>
    </w:p>
    <w:p w14:paraId="619011E9" w14:textId="71DED31F" w:rsidR="00825C5B" w:rsidRPr="00E61996" w:rsidRDefault="007354FC" w:rsidP="00825C5B">
      <w:pPr>
        <w:pStyle w:val="CBDNormalNoNumber"/>
        <w:tabs>
          <w:tab w:val="clear" w:pos="567"/>
        </w:tabs>
        <w:ind w:left="1134" w:firstLine="567"/>
        <w:rPr>
          <w:noProof/>
        </w:rPr>
      </w:pPr>
      <w:r w:rsidRPr="00E61996">
        <w:t>[</w:t>
      </w:r>
      <w:r w:rsidR="00825C5B" w:rsidRPr="00E61996">
        <w:rPr>
          <w:i/>
          <w:noProof/>
        </w:rPr>
        <w:t>Rappelant</w:t>
      </w:r>
      <w:r w:rsidR="00825C5B" w:rsidRPr="00E61996">
        <w:rPr>
          <w:noProof/>
        </w:rPr>
        <w:t xml:space="preserve"> </w:t>
      </w:r>
      <w:r w:rsidR="005C0178" w:rsidRPr="00E61996">
        <w:rPr>
          <w:noProof/>
        </w:rPr>
        <w:t xml:space="preserve">aussi </w:t>
      </w:r>
      <w:r w:rsidR="00825C5B" w:rsidRPr="00E61996">
        <w:rPr>
          <w:noProof/>
        </w:rPr>
        <w:t>la décision</w:t>
      </w:r>
      <w:r w:rsidR="006D70C2" w:rsidRPr="00E61996">
        <w:rPr>
          <w:noProof/>
        </w:rPr>
        <w:t> </w:t>
      </w:r>
      <w:hyperlink r:id="rId15" w:history="1">
        <w:r w:rsidR="00825C5B" w:rsidRPr="00E61996">
          <w:rPr>
            <w:rStyle w:val="Hyperlink"/>
          </w:rPr>
          <w:t>16/6</w:t>
        </w:r>
      </w:hyperlink>
      <w:r w:rsidR="00825C5B" w:rsidRPr="00E61996">
        <w:t xml:space="preserve"> </w:t>
      </w:r>
      <w:r w:rsidR="00825C5B" w:rsidRPr="00E61996">
        <w:rPr>
          <w:noProof/>
        </w:rPr>
        <w:t>du 1</w:t>
      </w:r>
      <w:r w:rsidR="00825C5B" w:rsidRPr="00E61996">
        <w:rPr>
          <w:noProof/>
          <w:vertAlign w:val="superscript"/>
        </w:rPr>
        <w:t>er</w:t>
      </w:r>
      <w:r w:rsidR="00825C5B" w:rsidRPr="00E61996">
        <w:rPr>
          <w:noProof/>
        </w:rPr>
        <w:t> novembre 2024,</w:t>
      </w:r>
      <w:r w:rsidR="006A7E49" w:rsidRPr="00E61996">
        <w:rPr>
          <w:noProof/>
        </w:rPr>
        <w:t>]</w:t>
      </w:r>
    </w:p>
    <w:p w14:paraId="757761CD" w14:textId="6B979D71" w:rsidR="00825C5B" w:rsidRPr="00E61996" w:rsidRDefault="007354FC" w:rsidP="00825C5B">
      <w:pPr>
        <w:pStyle w:val="CBDNormalNoNumber"/>
        <w:tabs>
          <w:tab w:val="clear" w:pos="567"/>
        </w:tabs>
        <w:ind w:left="1134" w:firstLine="567"/>
        <w:rPr>
          <w:noProof/>
        </w:rPr>
      </w:pPr>
      <w:r w:rsidRPr="00E61996">
        <w:t>[</w:t>
      </w:r>
      <w:r w:rsidR="00941D3D" w:rsidRPr="00E61996">
        <w:rPr>
          <w:i/>
        </w:rPr>
        <w:t>Reconnaissant</w:t>
      </w:r>
      <w:r w:rsidR="00825C5B" w:rsidRPr="00E61996">
        <w:t xml:space="preserve"> </w:t>
      </w:r>
      <w:r w:rsidR="00825C5B" w:rsidRPr="00E61996">
        <w:rPr>
          <w:noProof/>
        </w:rPr>
        <w:t>la nécessité de remédier à la sous-représentation des peuples autochtones et communautés locales</w:t>
      </w:r>
      <w:r w:rsidR="00233A5B" w:rsidRPr="00E61996">
        <w:rPr>
          <w:noProof/>
        </w:rPr>
        <w:t xml:space="preserve"> </w:t>
      </w:r>
      <w:r w:rsidR="007B4E66" w:rsidRPr="00E61996">
        <w:t>[</w:t>
      </w:r>
      <w:r w:rsidR="00825C5B" w:rsidRPr="00E61996">
        <w:rPr>
          <w:noProof/>
        </w:rPr>
        <w:t>des pays en développement</w:t>
      </w:r>
      <w:r w:rsidR="007B4E66" w:rsidRPr="00E61996">
        <w:rPr>
          <w:noProof/>
        </w:rPr>
        <w:t>]</w:t>
      </w:r>
      <w:r w:rsidR="00825C5B" w:rsidRPr="00E61996">
        <w:rPr>
          <w:noProof/>
        </w:rPr>
        <w:t xml:space="preserve"> </w:t>
      </w:r>
      <w:r w:rsidR="008B6AE3" w:rsidRPr="00E61996">
        <w:rPr>
          <w:noProof/>
        </w:rPr>
        <w:t xml:space="preserve">[de diverses régions] </w:t>
      </w:r>
      <w:r w:rsidR="006746CB" w:rsidRPr="00E61996">
        <w:rPr>
          <w:noProof/>
        </w:rPr>
        <w:t xml:space="preserve">et les défis particuliers auxquels sont confrontés les pays en développement </w:t>
      </w:r>
      <w:r w:rsidR="00825C5B" w:rsidRPr="00E61996">
        <w:rPr>
          <w:noProof/>
        </w:rPr>
        <w:t xml:space="preserve">dans </w:t>
      </w:r>
      <w:r w:rsidR="007E7F10" w:rsidRPr="00E61996">
        <w:rPr>
          <w:noProof/>
        </w:rPr>
        <w:t>le cadre d</w:t>
      </w:r>
      <w:r w:rsidR="00825C5B" w:rsidRPr="00E61996">
        <w:rPr>
          <w:noProof/>
        </w:rPr>
        <w:t>es travaux de la Convention</w:t>
      </w:r>
      <w:r w:rsidR="006A7E49" w:rsidRPr="00E61996">
        <w:rPr>
          <w:noProof/>
        </w:rPr>
        <w:t>,]</w:t>
      </w:r>
    </w:p>
    <w:p w14:paraId="5C386FAA" w14:textId="26CE0E99" w:rsidR="00B27003" w:rsidRPr="00E61996" w:rsidRDefault="00B27003" w:rsidP="00B27003">
      <w:pPr>
        <w:pStyle w:val="CBDNormalNoNumber"/>
        <w:tabs>
          <w:tab w:val="clear" w:pos="567"/>
        </w:tabs>
        <w:spacing w:before="120"/>
        <w:ind w:left="1134" w:firstLine="567"/>
        <w:rPr>
          <w:noProof/>
        </w:rPr>
      </w:pPr>
      <w:r w:rsidRPr="00E61996">
        <w:rPr>
          <w:i/>
          <w:iCs/>
          <w:noProof/>
        </w:rPr>
        <w:t>Prenant note</w:t>
      </w:r>
      <w:r w:rsidRPr="00E61996">
        <w:rPr>
          <w:noProof/>
        </w:rPr>
        <w:t xml:space="preserve"> des résultats de l</w:t>
      </w:r>
      <w:r w:rsidR="006D70C2" w:rsidRPr="00E61996">
        <w:rPr>
          <w:noProof/>
        </w:rPr>
        <w:t>’</w:t>
      </w:r>
      <w:r w:rsidRPr="00E61996">
        <w:rPr>
          <w:noProof/>
        </w:rPr>
        <w:t>atelier d</w:t>
      </w:r>
      <w:r w:rsidR="006D70C2" w:rsidRPr="00E61996">
        <w:rPr>
          <w:noProof/>
        </w:rPr>
        <w:t>’</w:t>
      </w:r>
      <w:r w:rsidRPr="00E61996">
        <w:rPr>
          <w:noProof/>
        </w:rPr>
        <w:t>experts organisé à l</w:t>
      </w:r>
      <w:r w:rsidR="006D70C2" w:rsidRPr="00E61996">
        <w:rPr>
          <w:noProof/>
        </w:rPr>
        <w:t>’</w:t>
      </w:r>
      <w:r w:rsidRPr="00E61996">
        <w:rPr>
          <w:noProof/>
        </w:rPr>
        <w:t xml:space="preserve">appui de la mise en œuvre des </w:t>
      </w:r>
      <w:r w:rsidR="00AA437C" w:rsidRPr="00E61996">
        <w:rPr>
          <w:noProof/>
        </w:rPr>
        <w:t>tâche</w:t>
      </w:r>
      <w:r w:rsidRPr="00E61996">
        <w:rPr>
          <w:noProof/>
        </w:rPr>
        <w:t>s 1.1 et 1.2 du programme de travail sur l</w:t>
      </w:r>
      <w:r w:rsidR="006D70C2" w:rsidRPr="00E61996">
        <w:rPr>
          <w:noProof/>
        </w:rPr>
        <w:t>’</w:t>
      </w:r>
      <w:r w:rsidRPr="00E61996">
        <w:rPr>
          <w:noProof/>
        </w:rPr>
        <w:t>article 8 j) et les autres dispositions de la Convention relatives aux peuples autochtones et communautés locales, y compris le projet de lignes directrices</w:t>
      </w:r>
      <w:r w:rsidR="004D44A3" w:rsidRPr="00E61996">
        <w:rPr>
          <w:noProof/>
          <w:vertAlign w:val="superscript"/>
        </w:rPr>
        <w:footnoteReference w:id="4"/>
      </w:r>
      <w:r w:rsidRPr="00E61996">
        <w:rPr>
          <w:noProof/>
        </w:rPr>
        <w:t>,</w:t>
      </w:r>
    </w:p>
    <w:p w14:paraId="13993AC4" w14:textId="4D069C8E" w:rsidR="00665B56" w:rsidRPr="00E61996" w:rsidRDefault="00665B56" w:rsidP="00C0791C">
      <w:pPr>
        <w:pStyle w:val="CBDNormalNoNumber"/>
        <w:tabs>
          <w:tab w:val="clear" w:pos="567"/>
        </w:tabs>
        <w:ind w:left="1134" w:firstLine="567"/>
        <w:rPr>
          <w:rFonts w:asciiTheme="majorBidi" w:hAnsiTheme="majorBidi" w:cstheme="majorBidi"/>
          <w:noProof/>
        </w:rPr>
      </w:pPr>
      <w:r w:rsidRPr="00E61996">
        <w:rPr>
          <w:noProof/>
        </w:rPr>
        <w:t>1.</w:t>
      </w:r>
      <w:r w:rsidRPr="00E61996">
        <w:rPr>
          <w:noProof/>
        </w:rPr>
        <w:tab/>
      </w:r>
      <w:r w:rsidR="00825C5B" w:rsidRPr="00E61996">
        <w:rPr>
          <w:iCs/>
          <w:noProof/>
        </w:rPr>
        <w:t>[</w:t>
      </w:r>
      <w:r w:rsidRPr="00E61996">
        <w:rPr>
          <w:rFonts w:eastAsiaTheme="majorEastAsia"/>
          <w:i/>
          <w:iCs/>
          <w:noProof/>
        </w:rPr>
        <w:t>Adopte</w:t>
      </w:r>
      <w:r w:rsidR="00825C5B" w:rsidRPr="00E61996">
        <w:rPr>
          <w:rFonts w:eastAsiaTheme="majorEastAsia"/>
          <w:iCs/>
          <w:noProof/>
        </w:rPr>
        <w:t>]</w:t>
      </w:r>
      <w:r w:rsidRPr="00E61996">
        <w:rPr>
          <w:noProof/>
        </w:rPr>
        <w:t xml:space="preserve"> </w:t>
      </w:r>
      <w:r w:rsidR="00F3159A" w:rsidRPr="00E61996">
        <w:rPr>
          <w:noProof/>
        </w:rPr>
        <w:t>[</w:t>
      </w:r>
      <w:r w:rsidR="004331DB" w:rsidRPr="00E61996">
        <w:rPr>
          <w:noProof/>
        </w:rPr>
        <w:t>espace réservé pour le titre de l’annexe]</w:t>
      </w:r>
      <w:r w:rsidR="005155F7" w:rsidRPr="00E61996">
        <w:rPr>
          <w:noProof/>
        </w:rPr>
        <w:t xml:space="preserve"> </w:t>
      </w:r>
      <w:r w:rsidRPr="00E61996">
        <w:rPr>
          <w:noProof/>
        </w:rPr>
        <w:t>figurant à l</w:t>
      </w:r>
      <w:r w:rsidR="006D70C2" w:rsidRPr="00E61996">
        <w:rPr>
          <w:noProof/>
        </w:rPr>
        <w:t>’</w:t>
      </w:r>
      <w:r w:rsidRPr="00E61996">
        <w:rPr>
          <w:noProof/>
        </w:rPr>
        <w:t>annexe de la présente décision ;</w:t>
      </w:r>
    </w:p>
    <w:p w14:paraId="787037DB" w14:textId="6487FBA8" w:rsidR="00665B56" w:rsidRPr="00E61996" w:rsidRDefault="00665B56" w:rsidP="00C0791C">
      <w:pPr>
        <w:pStyle w:val="CBDNormalNoNumber"/>
        <w:tabs>
          <w:tab w:val="clear" w:pos="567"/>
        </w:tabs>
        <w:ind w:left="1134" w:firstLine="567"/>
        <w:rPr>
          <w:noProof/>
        </w:rPr>
      </w:pPr>
      <w:r w:rsidRPr="00E61996">
        <w:rPr>
          <w:noProof/>
        </w:rPr>
        <w:t>2.</w:t>
      </w:r>
      <w:r w:rsidRPr="00E61996">
        <w:rPr>
          <w:noProof/>
        </w:rPr>
        <w:tab/>
      </w:r>
      <w:r w:rsidR="001836C4" w:rsidRPr="00E61996">
        <w:rPr>
          <w:i/>
          <w:iCs/>
          <w:noProof/>
        </w:rPr>
        <w:t>Encourage</w:t>
      </w:r>
      <w:r w:rsidR="001836C4" w:rsidRPr="00E61996">
        <w:rPr>
          <w:noProof/>
        </w:rPr>
        <w:t xml:space="preserve"> </w:t>
      </w:r>
      <w:r w:rsidRPr="00E61996">
        <w:rPr>
          <w:noProof/>
        </w:rPr>
        <w:t>les Parties et invite les autres gouvernements à intégrer et à appliquer les lignes directrices</w:t>
      </w:r>
      <w:r w:rsidR="00F23D9E" w:rsidRPr="00E61996">
        <w:rPr>
          <w:noProof/>
        </w:rPr>
        <w:t xml:space="preserve"> [ou leurs éléments]</w:t>
      </w:r>
      <w:r w:rsidRPr="00E61996">
        <w:rPr>
          <w:noProof/>
        </w:rPr>
        <w:t>, selon qu</w:t>
      </w:r>
      <w:r w:rsidR="006D70C2" w:rsidRPr="00E61996">
        <w:rPr>
          <w:noProof/>
        </w:rPr>
        <w:t>’</w:t>
      </w:r>
      <w:r w:rsidRPr="00E61996">
        <w:rPr>
          <w:noProof/>
        </w:rPr>
        <w:t>il convient et conformément aux cadres juridiques nationaux, dans les processus d</w:t>
      </w:r>
      <w:r w:rsidR="006D70C2" w:rsidRPr="00E61996">
        <w:rPr>
          <w:noProof/>
        </w:rPr>
        <w:t>’</w:t>
      </w:r>
      <w:r w:rsidRPr="00E61996">
        <w:rPr>
          <w:noProof/>
        </w:rPr>
        <w:t xml:space="preserve">aménagement du territoire, les stratégies et plans d’action </w:t>
      </w:r>
      <w:r w:rsidR="005C0178" w:rsidRPr="00E61996">
        <w:rPr>
          <w:noProof/>
        </w:rPr>
        <w:t xml:space="preserve">nationaux </w:t>
      </w:r>
      <w:r w:rsidRPr="00E61996">
        <w:rPr>
          <w:noProof/>
        </w:rPr>
        <w:t xml:space="preserve">pour la </w:t>
      </w:r>
      <w:r w:rsidR="005C0178" w:rsidRPr="00E61996">
        <w:rPr>
          <w:noProof/>
        </w:rPr>
        <w:t>biodiversité</w:t>
      </w:r>
      <w:r w:rsidRPr="00E61996">
        <w:rPr>
          <w:noProof/>
        </w:rPr>
        <w:t xml:space="preserve"> et les procédures d</w:t>
      </w:r>
      <w:r w:rsidR="006D70C2" w:rsidRPr="00E61996">
        <w:rPr>
          <w:noProof/>
        </w:rPr>
        <w:t>’</w:t>
      </w:r>
      <w:r w:rsidRPr="00E61996">
        <w:rPr>
          <w:noProof/>
        </w:rPr>
        <w:t>évaluation d</w:t>
      </w:r>
      <w:r w:rsidR="006D70C2" w:rsidRPr="00E61996">
        <w:rPr>
          <w:noProof/>
        </w:rPr>
        <w:t>’</w:t>
      </w:r>
      <w:r w:rsidRPr="00E61996">
        <w:rPr>
          <w:noProof/>
        </w:rPr>
        <w:t xml:space="preserve">impact environnemental, </w:t>
      </w:r>
      <w:r w:rsidR="005A3731" w:rsidRPr="00E61996">
        <w:rPr>
          <w:noProof/>
        </w:rPr>
        <w:t>[</w:t>
      </w:r>
      <w:r w:rsidR="00537E86" w:rsidRPr="00E61996">
        <w:rPr>
          <w:noProof/>
        </w:rPr>
        <w:t>conformément aux] [</w:t>
      </w:r>
      <w:r w:rsidRPr="00E61996">
        <w:rPr>
          <w:noProof/>
        </w:rPr>
        <w:t>dans le respect</w:t>
      </w:r>
      <w:r w:rsidR="00537E86" w:rsidRPr="00E61996">
        <w:rPr>
          <w:noProof/>
        </w:rPr>
        <w:t xml:space="preserve"> des</w:t>
      </w:r>
      <w:r w:rsidR="005A3731" w:rsidRPr="00E61996">
        <w:rPr>
          <w:noProof/>
        </w:rPr>
        <w:t>]</w:t>
      </w:r>
      <w:r w:rsidRPr="00E61996">
        <w:rPr>
          <w:noProof/>
        </w:rPr>
        <w:t xml:space="preserve"> droits des peuples autochtones et communautés locales</w:t>
      </w:r>
      <w:r w:rsidR="009A03A5" w:rsidRPr="00E61996">
        <w:rPr>
          <w:noProof/>
        </w:rPr>
        <w:t xml:space="preserve">, </w:t>
      </w:r>
      <w:r w:rsidR="006F0FCB" w:rsidRPr="00E61996">
        <w:rPr>
          <w:noProof/>
        </w:rPr>
        <w:t>y compris les femmes et les jeunes qui en font partie,</w:t>
      </w:r>
      <w:r w:rsidRPr="00E61996">
        <w:rPr>
          <w:noProof/>
        </w:rPr>
        <w:t xml:space="preserve"> </w:t>
      </w:r>
      <w:r w:rsidR="006F0FCB" w:rsidRPr="00E61996">
        <w:rPr>
          <w:noProof/>
        </w:rPr>
        <w:t>[</w:t>
      </w:r>
      <w:r w:rsidR="001836C4" w:rsidRPr="00E61996">
        <w:rPr>
          <w:noProof/>
        </w:rPr>
        <w:t>découlant</w:t>
      </w:r>
      <w:r w:rsidR="00E920F6" w:rsidRPr="00E61996">
        <w:rPr>
          <w:noProof/>
        </w:rPr>
        <w:t>]</w:t>
      </w:r>
      <w:r w:rsidR="001836C4" w:rsidRPr="00E61996">
        <w:rPr>
          <w:noProof/>
        </w:rPr>
        <w:t xml:space="preserve"> </w:t>
      </w:r>
      <w:r w:rsidR="00E920F6" w:rsidRPr="00E61996">
        <w:rPr>
          <w:noProof/>
        </w:rPr>
        <w:t xml:space="preserve">en vertu </w:t>
      </w:r>
      <w:r w:rsidR="001836C4" w:rsidRPr="00E61996">
        <w:rPr>
          <w:noProof/>
        </w:rPr>
        <w:t xml:space="preserve">du droit et </w:t>
      </w:r>
      <w:r w:rsidRPr="00E61996">
        <w:rPr>
          <w:noProof/>
        </w:rPr>
        <w:t xml:space="preserve">des instruments internationaux </w:t>
      </w:r>
      <w:r w:rsidR="00295B28" w:rsidRPr="00E61996">
        <w:rPr>
          <w:noProof/>
        </w:rPr>
        <w:t>[</w:t>
      </w:r>
      <w:r w:rsidRPr="00E61996">
        <w:rPr>
          <w:noProof/>
        </w:rPr>
        <w:t>pertinents</w:t>
      </w:r>
      <w:r w:rsidR="00295B28" w:rsidRPr="00E61996">
        <w:rPr>
          <w:noProof/>
        </w:rPr>
        <w:t>]</w:t>
      </w:r>
      <w:r w:rsidRPr="00E61996">
        <w:rPr>
          <w:noProof/>
        </w:rPr>
        <w:t xml:space="preserve"> relatifs aux </w:t>
      </w:r>
      <w:r w:rsidR="005F6119" w:rsidRPr="00E61996">
        <w:rPr>
          <w:noProof/>
        </w:rPr>
        <w:t>[</w:t>
      </w:r>
      <w:r w:rsidRPr="00E61996">
        <w:rPr>
          <w:noProof/>
        </w:rPr>
        <w:t>droits humains</w:t>
      </w:r>
      <w:r w:rsidR="005F6119" w:rsidRPr="00E61996">
        <w:rPr>
          <w:noProof/>
        </w:rPr>
        <w:t>]</w:t>
      </w:r>
      <w:r w:rsidRPr="00E61996">
        <w:rPr>
          <w:noProof/>
        </w:rPr>
        <w:t> ;</w:t>
      </w:r>
    </w:p>
    <w:p w14:paraId="786A3BE8" w14:textId="6514C615" w:rsidR="00FA6BFA" w:rsidRPr="00E61996" w:rsidRDefault="00FA6BFA" w:rsidP="00C0791C">
      <w:pPr>
        <w:pStyle w:val="CBDNormalNoNumber"/>
        <w:tabs>
          <w:tab w:val="clear" w:pos="567"/>
        </w:tabs>
        <w:ind w:left="1134" w:firstLine="567"/>
        <w:rPr>
          <w:noProof/>
        </w:rPr>
      </w:pPr>
      <w:r w:rsidRPr="00E61996">
        <w:rPr>
          <w:noProof/>
        </w:rPr>
        <w:t>3.</w:t>
      </w:r>
      <w:r w:rsidRPr="00E61996">
        <w:rPr>
          <w:noProof/>
        </w:rPr>
        <w:tab/>
      </w:r>
      <w:r w:rsidR="001836C4" w:rsidRPr="00E61996">
        <w:rPr>
          <w:i/>
          <w:iCs/>
          <w:noProof/>
        </w:rPr>
        <w:t xml:space="preserve">Encourage </w:t>
      </w:r>
      <w:r w:rsidRPr="00E61996">
        <w:rPr>
          <w:i/>
          <w:iCs/>
          <w:noProof/>
        </w:rPr>
        <w:t>également</w:t>
      </w:r>
      <w:r w:rsidRPr="00E61996">
        <w:rPr>
          <w:noProof/>
        </w:rPr>
        <w:t xml:space="preserve"> les Parties, et invite les autres gouvernements et acteurs concernés qui sont en mesure de le faire, à soutenir la diffusion des lignes directrices, notamment </w:t>
      </w:r>
      <w:r w:rsidR="007E7F10" w:rsidRPr="00E61996">
        <w:rPr>
          <w:noProof/>
        </w:rPr>
        <w:t>en les traduisant</w:t>
      </w:r>
      <w:r w:rsidRPr="00E61996">
        <w:rPr>
          <w:noProof/>
        </w:rPr>
        <w:t xml:space="preserve"> dans les langues </w:t>
      </w:r>
      <w:r w:rsidR="0062671F" w:rsidRPr="00E61996">
        <w:rPr>
          <w:noProof/>
        </w:rPr>
        <w:t>des peuples autochtones et communautés locales</w:t>
      </w:r>
      <w:r w:rsidR="001836C4" w:rsidRPr="00E61996">
        <w:rPr>
          <w:noProof/>
        </w:rPr>
        <w:t>, conformément aux priorités et circonstances nationales</w:t>
      </w:r>
      <w:r w:rsidRPr="00E61996">
        <w:rPr>
          <w:noProof/>
        </w:rPr>
        <w:t> ;</w:t>
      </w:r>
    </w:p>
    <w:p w14:paraId="3346C870" w14:textId="2916C9A5" w:rsidR="001836C4" w:rsidRPr="00E61996" w:rsidRDefault="00FA6BFA" w:rsidP="00C0791C">
      <w:pPr>
        <w:pStyle w:val="CBDNormalNoNumber"/>
        <w:tabs>
          <w:tab w:val="clear" w:pos="567"/>
        </w:tabs>
        <w:ind w:left="1134" w:firstLine="567"/>
        <w:rPr>
          <w:noProof/>
        </w:rPr>
      </w:pPr>
      <w:r w:rsidRPr="00E61996">
        <w:rPr>
          <w:noProof/>
        </w:rPr>
        <w:t>4.</w:t>
      </w:r>
      <w:r w:rsidRPr="00E61996">
        <w:rPr>
          <w:noProof/>
        </w:rPr>
        <w:tab/>
      </w:r>
      <w:r w:rsidR="00CE4FE6" w:rsidRPr="00E61996">
        <w:rPr>
          <w:i/>
          <w:iCs/>
          <w:noProof/>
        </w:rPr>
        <w:t>Encourage en outre</w:t>
      </w:r>
      <w:r w:rsidR="001836C4" w:rsidRPr="00E61996">
        <w:rPr>
          <w:noProof/>
        </w:rPr>
        <w:t xml:space="preserve"> les Parties à </w:t>
      </w:r>
      <w:r w:rsidR="007E7F10" w:rsidRPr="00E61996">
        <w:rPr>
          <w:noProof/>
        </w:rPr>
        <w:t>recenser</w:t>
      </w:r>
      <w:r w:rsidR="001836C4" w:rsidRPr="00E61996">
        <w:rPr>
          <w:noProof/>
        </w:rPr>
        <w:t xml:space="preserve"> et à promouvoir les meilleures pratiques pour garantir la sécurité d’</w:t>
      </w:r>
      <w:r w:rsidR="00AF3574" w:rsidRPr="00E61996">
        <w:rPr>
          <w:noProof/>
        </w:rPr>
        <w:t>o</w:t>
      </w:r>
      <w:r w:rsidR="001836C4" w:rsidRPr="00E61996">
        <w:rPr>
          <w:noProof/>
        </w:rPr>
        <w:t xml:space="preserve">ccupation et la gouvernance </w:t>
      </w:r>
      <w:r w:rsidR="00AF3574" w:rsidRPr="00E61996">
        <w:rPr>
          <w:noProof/>
        </w:rPr>
        <w:t xml:space="preserve">des terres </w:t>
      </w:r>
      <w:r w:rsidR="001836C4" w:rsidRPr="00E61996">
        <w:rPr>
          <w:noProof/>
        </w:rPr>
        <w:t>par les peuples autochtones et communautés locales</w:t>
      </w:r>
      <w:r w:rsidR="009829FF" w:rsidRPr="00E61996">
        <w:rPr>
          <w:noProof/>
        </w:rPr>
        <w:t xml:space="preserve"> conformément à la tâche 1.2 du programme de travail sur l’article 8 j) et </w:t>
      </w:r>
      <w:r w:rsidR="005C0178" w:rsidRPr="00E61996">
        <w:rPr>
          <w:noProof/>
        </w:rPr>
        <w:t>les</w:t>
      </w:r>
      <w:r w:rsidR="007E7F10" w:rsidRPr="00E61996">
        <w:rPr>
          <w:noProof/>
        </w:rPr>
        <w:t xml:space="preserve"> </w:t>
      </w:r>
      <w:r w:rsidR="009829FF" w:rsidRPr="00E61996">
        <w:rPr>
          <w:noProof/>
        </w:rPr>
        <w:t>autres dispositions de la Convention sur la diversité biologique relatives aux peuples autochtones et communautés locales</w:t>
      </w:r>
      <w:r w:rsidR="00054348" w:rsidRPr="00E61996">
        <w:rPr>
          <w:noProof/>
        </w:rPr>
        <w:t xml:space="preserve"> </w:t>
      </w:r>
      <w:r w:rsidR="00D620B6" w:rsidRPr="00E61996">
        <w:rPr>
          <w:noProof/>
        </w:rPr>
        <w:t>[</w:t>
      </w:r>
      <w:r w:rsidR="007E7F10" w:rsidRPr="00E61996">
        <w:rPr>
          <w:noProof/>
        </w:rPr>
        <w:t>et conformément</w:t>
      </w:r>
      <w:r w:rsidR="00D620B6" w:rsidRPr="00E61996">
        <w:rPr>
          <w:noProof/>
        </w:rPr>
        <w:t xml:space="preserve"> </w:t>
      </w:r>
      <w:r w:rsidR="007E7F10" w:rsidRPr="00E61996">
        <w:rPr>
          <w:noProof/>
        </w:rPr>
        <w:t>à</w:t>
      </w:r>
      <w:r w:rsidR="00D620B6" w:rsidRPr="00E61996">
        <w:rPr>
          <w:noProof/>
        </w:rPr>
        <w:t xml:space="preserve"> la législation et </w:t>
      </w:r>
      <w:r w:rsidR="007E7F10" w:rsidRPr="00E61996">
        <w:rPr>
          <w:noProof/>
        </w:rPr>
        <w:t>aux</w:t>
      </w:r>
      <w:r w:rsidR="00D620B6" w:rsidRPr="00E61996">
        <w:rPr>
          <w:noProof/>
        </w:rPr>
        <w:t xml:space="preserve"> circonstances nationales</w:t>
      </w:r>
      <w:r w:rsidR="005C6C8B" w:rsidRPr="00E61996">
        <w:rPr>
          <w:noProof/>
        </w:rPr>
        <w:t>] [et dans le respect des obligations intertnationales]</w:t>
      </w:r>
      <w:r w:rsidR="006D70C2" w:rsidRPr="00E61996">
        <w:rPr>
          <w:noProof/>
        </w:rPr>
        <w:t> </w:t>
      </w:r>
      <w:r w:rsidR="001836C4" w:rsidRPr="00E61996">
        <w:rPr>
          <w:noProof/>
        </w:rPr>
        <w:t>;</w:t>
      </w:r>
    </w:p>
    <w:p w14:paraId="041BD7C8" w14:textId="72BE7FA2" w:rsidR="00665B56" w:rsidRPr="00E61996" w:rsidRDefault="00AF3574" w:rsidP="00C0791C">
      <w:pPr>
        <w:pStyle w:val="CBDNormalNoNumber"/>
        <w:tabs>
          <w:tab w:val="clear" w:pos="567"/>
        </w:tabs>
        <w:ind w:left="1134" w:firstLine="567"/>
        <w:rPr>
          <w:noProof/>
        </w:rPr>
      </w:pPr>
      <w:r w:rsidRPr="00E61996">
        <w:rPr>
          <w:iCs/>
          <w:noProof/>
        </w:rPr>
        <w:t>[5.</w:t>
      </w:r>
      <w:r w:rsidRPr="00E61996">
        <w:rPr>
          <w:iCs/>
          <w:noProof/>
        </w:rPr>
        <w:tab/>
      </w:r>
      <w:r w:rsidR="00FA6BFA" w:rsidRPr="00E61996">
        <w:rPr>
          <w:i/>
          <w:iCs/>
          <w:noProof/>
        </w:rPr>
        <w:t>Prie</w:t>
      </w:r>
      <w:r w:rsidR="00FA6BFA" w:rsidRPr="00E61996">
        <w:rPr>
          <w:noProof/>
        </w:rPr>
        <w:t xml:space="preserve"> la Secrétaire exécutive, sous réserve des ressources disponibles, de faciliter </w:t>
      </w:r>
      <w:r w:rsidR="00365FD4" w:rsidRPr="00E61996">
        <w:rPr>
          <w:noProof/>
        </w:rPr>
        <w:t>[</w:t>
      </w:r>
      <w:r w:rsidR="00FA6BFA" w:rsidRPr="00E61996">
        <w:rPr>
          <w:noProof/>
        </w:rPr>
        <w:t>le renforcement des capacités,</w:t>
      </w:r>
      <w:r w:rsidR="00365FD4" w:rsidRPr="00E61996">
        <w:rPr>
          <w:noProof/>
        </w:rPr>
        <w:t>]</w:t>
      </w:r>
      <w:r w:rsidR="00FA6BFA" w:rsidRPr="00E61996">
        <w:rPr>
          <w:noProof/>
        </w:rPr>
        <w:t xml:space="preserve"> la coopération technique et l</w:t>
      </w:r>
      <w:r w:rsidR="006D70C2" w:rsidRPr="00E61996">
        <w:rPr>
          <w:noProof/>
        </w:rPr>
        <w:t>’</w:t>
      </w:r>
      <w:r w:rsidR="00FA6BFA" w:rsidRPr="00E61996">
        <w:rPr>
          <w:noProof/>
        </w:rPr>
        <w:t>échange d</w:t>
      </w:r>
      <w:r w:rsidR="006D70C2" w:rsidRPr="00E61996">
        <w:rPr>
          <w:noProof/>
        </w:rPr>
        <w:t>’</w:t>
      </w:r>
      <w:r w:rsidR="00FA6BFA" w:rsidRPr="00E61996">
        <w:rPr>
          <w:noProof/>
        </w:rPr>
        <w:t>informations</w:t>
      </w:r>
      <w:r w:rsidR="00CD3D2A" w:rsidRPr="00E61996">
        <w:rPr>
          <w:noProof/>
        </w:rPr>
        <w:t xml:space="preserve">, et invite l’entité de coordination mondiale et les centres régionaux et sous-régionaux d’appui à la coopération technique et scientifique à faire de même, </w:t>
      </w:r>
      <w:r w:rsidR="00FA6BFA" w:rsidRPr="00E61996">
        <w:rPr>
          <w:noProof/>
        </w:rPr>
        <w:t>afin d</w:t>
      </w:r>
      <w:r w:rsidR="006D70C2" w:rsidRPr="00E61996">
        <w:rPr>
          <w:noProof/>
        </w:rPr>
        <w:t>’</w:t>
      </w:r>
      <w:r w:rsidR="00FA6BFA" w:rsidRPr="00E61996">
        <w:rPr>
          <w:noProof/>
        </w:rPr>
        <w:t>aider les Parties</w:t>
      </w:r>
      <w:r w:rsidR="005C0178" w:rsidRPr="00E61996">
        <w:rPr>
          <w:noProof/>
        </w:rPr>
        <w:t>,</w:t>
      </w:r>
      <w:r w:rsidR="00EA4A59" w:rsidRPr="00E61996">
        <w:rPr>
          <w:noProof/>
        </w:rPr>
        <w:t xml:space="preserve"> </w:t>
      </w:r>
      <w:r w:rsidR="00FA6BFA" w:rsidRPr="00E61996">
        <w:rPr>
          <w:noProof/>
        </w:rPr>
        <w:t xml:space="preserve">les peuples </w:t>
      </w:r>
      <w:r w:rsidR="00FA6BFA" w:rsidRPr="00E61996">
        <w:rPr>
          <w:noProof/>
        </w:rPr>
        <w:lastRenderedPageBreak/>
        <w:t xml:space="preserve">autochtones et communautés locales </w:t>
      </w:r>
      <w:r w:rsidRPr="00E61996">
        <w:rPr>
          <w:noProof/>
        </w:rPr>
        <w:t>ainsi que</w:t>
      </w:r>
      <w:r w:rsidRPr="00E61996">
        <w:t xml:space="preserve"> </w:t>
      </w:r>
      <w:r w:rsidRPr="00E61996">
        <w:rPr>
          <w:noProof/>
        </w:rPr>
        <w:t xml:space="preserve">les autres parties prenantes concernées </w:t>
      </w:r>
      <w:r w:rsidR="00FA6BFA" w:rsidRPr="00E61996">
        <w:rPr>
          <w:noProof/>
        </w:rPr>
        <w:t>à mettre en œuvre les lignes directrices ;</w:t>
      </w:r>
      <w:r w:rsidRPr="00E61996">
        <w:rPr>
          <w:noProof/>
        </w:rPr>
        <w:t>]</w:t>
      </w:r>
    </w:p>
    <w:p w14:paraId="62E9A5B6" w14:textId="24C99BC2" w:rsidR="00AF3574" w:rsidRPr="00E61996" w:rsidRDefault="000A34AD" w:rsidP="00C0791C">
      <w:pPr>
        <w:pStyle w:val="CBDNormalNoNumber"/>
        <w:tabs>
          <w:tab w:val="clear" w:pos="567"/>
        </w:tabs>
        <w:ind w:left="1134" w:firstLine="567"/>
        <w:rPr>
          <w:noProof/>
        </w:rPr>
      </w:pPr>
      <w:r w:rsidRPr="00E61996">
        <w:rPr>
          <w:color w:val="000000" w:themeColor="text1"/>
        </w:rPr>
        <w:t>[5.[alt]</w:t>
      </w:r>
      <w:r w:rsidR="00AF3574" w:rsidRPr="00E61996">
        <w:rPr>
          <w:noProof/>
        </w:rPr>
        <w:tab/>
      </w:r>
      <w:r w:rsidR="00AF3574" w:rsidRPr="00E61996">
        <w:rPr>
          <w:i/>
          <w:noProof/>
        </w:rPr>
        <w:t>Invite</w:t>
      </w:r>
      <w:r w:rsidR="00AF3574" w:rsidRPr="00E61996">
        <w:rPr>
          <w:noProof/>
        </w:rPr>
        <w:t xml:space="preserve"> les Parties et les autres gouvernements, en partenariat avec les peuples autochtones et les communautés locales, les femmes, les jeunes et les parties prenantes concernées, à </w:t>
      </w:r>
      <w:r w:rsidR="00EA4A59" w:rsidRPr="00E61996">
        <w:rPr>
          <w:noProof/>
        </w:rPr>
        <w:t>recenser</w:t>
      </w:r>
      <w:r w:rsidR="00AF3574" w:rsidRPr="00E61996">
        <w:rPr>
          <w:noProof/>
        </w:rPr>
        <w:t xml:space="preserve"> et à partager leurs besoins en matière de création et renforcement des capacités pour la mise en œuvre des lignes directrices</w:t>
      </w:r>
      <w:r w:rsidR="001C12F5" w:rsidRPr="00E61996">
        <w:rPr>
          <w:noProof/>
        </w:rPr>
        <w:t xml:space="preserve"> au moyen du mécanisme du Centre d’échange d’informations</w:t>
      </w:r>
      <w:r w:rsidR="005C0178" w:rsidRPr="00E61996">
        <w:rPr>
          <w:noProof/>
        </w:rPr>
        <w:t xml:space="preserve"> de la Convention</w:t>
      </w:r>
      <w:r w:rsidR="00AF3574" w:rsidRPr="00E61996">
        <w:rPr>
          <w:noProof/>
        </w:rPr>
        <w:t xml:space="preserve">, et invite les Parties, les autres gouvernements et les organisations concernées à offrir leur soutien pour répondre aux besoins en capacités </w:t>
      </w:r>
      <w:r w:rsidR="00EA4A59" w:rsidRPr="00E61996">
        <w:rPr>
          <w:noProof/>
        </w:rPr>
        <w:t>recensés</w:t>
      </w:r>
      <w:r w:rsidR="006D70C2" w:rsidRPr="00E61996">
        <w:rPr>
          <w:noProof/>
        </w:rPr>
        <w:t> </w:t>
      </w:r>
      <w:r w:rsidR="00AF3574" w:rsidRPr="00E61996">
        <w:rPr>
          <w:noProof/>
        </w:rPr>
        <w:t>;</w:t>
      </w:r>
      <w:r w:rsidR="001C12F5" w:rsidRPr="00E61996">
        <w:rPr>
          <w:noProof/>
        </w:rPr>
        <w:t>]</w:t>
      </w:r>
    </w:p>
    <w:p w14:paraId="3606530D" w14:textId="5703EC6F" w:rsidR="00950067" w:rsidRPr="00E61996" w:rsidRDefault="001F439C" w:rsidP="00C0791C">
      <w:pPr>
        <w:pStyle w:val="CBDNormalNoNumber"/>
        <w:tabs>
          <w:tab w:val="clear" w:pos="567"/>
        </w:tabs>
        <w:ind w:left="1134" w:firstLine="567"/>
        <w:rPr>
          <w:noProof/>
        </w:rPr>
      </w:pPr>
      <w:r>
        <w:rPr>
          <w:noProof/>
        </w:rPr>
        <w:t>6</w:t>
      </w:r>
      <w:r w:rsidR="00A91F3D" w:rsidRPr="00E61996">
        <w:rPr>
          <w:noProof/>
        </w:rPr>
        <w:t>.</w:t>
      </w:r>
      <w:r w:rsidR="00A91F3D" w:rsidRPr="00E61996">
        <w:rPr>
          <w:noProof/>
        </w:rPr>
        <w:tab/>
      </w:r>
      <w:r w:rsidR="00A91F3D" w:rsidRPr="00E61996">
        <w:rPr>
          <w:i/>
          <w:iCs/>
          <w:noProof/>
        </w:rPr>
        <w:t>Encourage</w:t>
      </w:r>
      <w:r w:rsidR="00A91F3D" w:rsidRPr="00E61996">
        <w:rPr>
          <w:noProof/>
        </w:rPr>
        <w:t xml:space="preserve"> les Parties, les peuples autochtones et communautés locales et les parties prenantes concernées</w:t>
      </w:r>
      <w:r w:rsidR="008F044B" w:rsidRPr="00E61996">
        <w:rPr>
          <w:noProof/>
        </w:rPr>
        <w:t>,</w:t>
      </w:r>
      <w:r w:rsidR="008F044B" w:rsidRPr="00E61996">
        <w:t xml:space="preserve"> </w:t>
      </w:r>
      <w:r w:rsidR="008F044B" w:rsidRPr="00E61996">
        <w:rPr>
          <w:noProof/>
        </w:rPr>
        <w:t xml:space="preserve">le cas échéant, </w:t>
      </w:r>
      <w:r w:rsidR="00A91F3D" w:rsidRPr="00E61996">
        <w:rPr>
          <w:noProof/>
        </w:rPr>
        <w:t>à suivre et évaluer l</w:t>
      </w:r>
      <w:r w:rsidR="006D70C2" w:rsidRPr="00E61996">
        <w:rPr>
          <w:noProof/>
        </w:rPr>
        <w:t>’</w:t>
      </w:r>
      <w:r w:rsidR="00A91F3D" w:rsidRPr="00E61996">
        <w:rPr>
          <w:noProof/>
        </w:rPr>
        <w:t>utilisation et l</w:t>
      </w:r>
      <w:r w:rsidR="006D70C2" w:rsidRPr="00E61996">
        <w:rPr>
          <w:noProof/>
        </w:rPr>
        <w:t>’</w:t>
      </w:r>
      <w:r w:rsidR="00A91F3D" w:rsidRPr="00E61996">
        <w:rPr>
          <w:noProof/>
        </w:rPr>
        <w:t xml:space="preserve">efficacité des lignes directrices et à en rendre compte dans leurs rapports nationaux, notamment </w:t>
      </w:r>
      <w:r w:rsidR="00D20676" w:rsidRPr="00E61996">
        <w:rPr>
          <w:noProof/>
        </w:rPr>
        <w:t>au moyen</w:t>
      </w:r>
      <w:r w:rsidR="00A91F3D" w:rsidRPr="00E61996">
        <w:rPr>
          <w:noProof/>
        </w:rPr>
        <w:t xml:space="preserve"> du Centre d</w:t>
      </w:r>
      <w:r w:rsidR="006D70C2" w:rsidRPr="00E61996">
        <w:rPr>
          <w:noProof/>
        </w:rPr>
        <w:t>’</w:t>
      </w:r>
      <w:r w:rsidR="00A91F3D" w:rsidRPr="00E61996">
        <w:rPr>
          <w:noProof/>
        </w:rPr>
        <w:t>échange et d</w:t>
      </w:r>
      <w:r w:rsidR="006D70C2" w:rsidRPr="00E61996">
        <w:rPr>
          <w:noProof/>
        </w:rPr>
        <w:t>’</w:t>
      </w:r>
      <w:r w:rsidR="00A91F3D" w:rsidRPr="00E61996">
        <w:rPr>
          <w:noProof/>
        </w:rPr>
        <w:t>autres mécanismes appropriés, tels que les systèmes communautaires de suivi et d</w:t>
      </w:r>
      <w:r w:rsidR="006D70C2" w:rsidRPr="00E61996">
        <w:rPr>
          <w:noProof/>
        </w:rPr>
        <w:t>’</w:t>
      </w:r>
      <w:r w:rsidR="00A91F3D" w:rsidRPr="00E61996">
        <w:rPr>
          <w:noProof/>
        </w:rPr>
        <w:t>information</w:t>
      </w:r>
      <w:r w:rsidR="008F044B" w:rsidRPr="00E61996">
        <w:t xml:space="preserve"> </w:t>
      </w:r>
      <w:r w:rsidR="008F044B" w:rsidRPr="00E61996">
        <w:rPr>
          <w:noProof/>
        </w:rPr>
        <w:t>qui devraient être reconnus comme des sources de données pertinentes, en fonction des circonstances nationales ;</w:t>
      </w:r>
    </w:p>
    <w:p w14:paraId="64E2764C" w14:textId="208734AC" w:rsidR="008F044B" w:rsidRPr="00E61996" w:rsidRDefault="00671443" w:rsidP="00C0791C">
      <w:pPr>
        <w:pStyle w:val="CBDNormalNoNumber"/>
        <w:tabs>
          <w:tab w:val="clear" w:pos="567"/>
        </w:tabs>
        <w:ind w:left="1134" w:firstLine="567"/>
        <w:rPr>
          <w:noProof/>
        </w:rPr>
      </w:pPr>
      <w:r w:rsidRPr="00E61996">
        <w:rPr>
          <w:noProof/>
        </w:rPr>
        <w:t>[</w:t>
      </w:r>
      <w:r w:rsidR="001F439C">
        <w:rPr>
          <w:noProof/>
        </w:rPr>
        <w:t>7</w:t>
      </w:r>
      <w:r w:rsidR="008F044B" w:rsidRPr="00E61996">
        <w:rPr>
          <w:noProof/>
        </w:rPr>
        <w:t>.</w:t>
      </w:r>
      <w:r w:rsidR="008F044B" w:rsidRPr="00E61996">
        <w:rPr>
          <w:noProof/>
        </w:rPr>
        <w:tab/>
      </w:r>
      <w:r w:rsidR="008F044B" w:rsidRPr="00E61996">
        <w:rPr>
          <w:i/>
          <w:noProof/>
        </w:rPr>
        <w:t>Encourage</w:t>
      </w:r>
      <w:r w:rsidR="008F044B" w:rsidRPr="00E61996">
        <w:rPr>
          <w:noProof/>
        </w:rPr>
        <w:t xml:space="preserve"> les Parties à renforcer la participation effective et </w:t>
      </w:r>
      <w:r w:rsidR="00AA437C" w:rsidRPr="00E61996">
        <w:rPr>
          <w:noProof/>
        </w:rPr>
        <w:t>le co-leadership</w:t>
      </w:r>
      <w:r w:rsidR="008F044B" w:rsidRPr="00E61996">
        <w:rPr>
          <w:noProof/>
        </w:rPr>
        <w:t xml:space="preserve"> des peuples autochtones et communautés locales, y compris </w:t>
      </w:r>
      <w:r w:rsidR="00AA437C" w:rsidRPr="00E61996">
        <w:rPr>
          <w:noProof/>
        </w:rPr>
        <w:t>d</w:t>
      </w:r>
      <w:r w:rsidR="008F044B" w:rsidRPr="00E61996">
        <w:rPr>
          <w:noProof/>
        </w:rPr>
        <w:t>es personnes d</w:t>
      </w:r>
      <w:r w:rsidR="006D70C2" w:rsidRPr="00E61996">
        <w:rPr>
          <w:noProof/>
        </w:rPr>
        <w:t>’</w:t>
      </w:r>
      <w:r w:rsidR="008F044B" w:rsidRPr="00E61996">
        <w:rPr>
          <w:noProof/>
        </w:rPr>
        <w:t>ascendance africaine,</w:t>
      </w:r>
      <w:r w:rsidR="00780679" w:rsidRPr="00E61996">
        <w:rPr>
          <w:noProof/>
        </w:rPr>
        <w:t xml:space="preserve"> le cas échéant,</w:t>
      </w:r>
      <w:r w:rsidR="008F044B" w:rsidRPr="00E61996">
        <w:rPr>
          <w:noProof/>
        </w:rPr>
        <w:t xml:space="preserve"> à la conception, à la mise en œuvre et au suivi des politiques et programmes relatifs à la diversité biologique, ainsi qu</w:t>
      </w:r>
      <w:r w:rsidR="006D70C2" w:rsidRPr="00E61996">
        <w:rPr>
          <w:noProof/>
        </w:rPr>
        <w:t>’</w:t>
      </w:r>
      <w:r w:rsidR="008F044B" w:rsidRPr="00E61996">
        <w:rPr>
          <w:noProof/>
        </w:rPr>
        <w:t xml:space="preserve">aux évaluations et aux rapports sur la diversité biologique, en assurant leur participation pleine et </w:t>
      </w:r>
      <w:r w:rsidR="00AA437C" w:rsidRPr="00E61996">
        <w:rPr>
          <w:noProof/>
        </w:rPr>
        <w:t>effective</w:t>
      </w:r>
      <w:r w:rsidR="008F044B" w:rsidRPr="00E61996">
        <w:rPr>
          <w:noProof/>
        </w:rPr>
        <w:t xml:space="preserve"> et en intégrant des indicateurs de suivi communautaires et des système</w:t>
      </w:r>
      <w:r w:rsidR="0072284F" w:rsidRPr="00E61996">
        <w:rPr>
          <w:noProof/>
        </w:rPr>
        <w:t>s de connaissances traditionnel</w:t>
      </w:r>
      <w:r w:rsidR="008F044B" w:rsidRPr="00E61996">
        <w:rPr>
          <w:noProof/>
        </w:rPr>
        <w:t>s en complément d</w:t>
      </w:r>
      <w:r w:rsidR="006D70C2" w:rsidRPr="00E61996">
        <w:rPr>
          <w:noProof/>
        </w:rPr>
        <w:t>’</w:t>
      </w:r>
      <w:r w:rsidR="008F044B" w:rsidRPr="00E61996">
        <w:rPr>
          <w:noProof/>
        </w:rPr>
        <w:t>autres sources de données</w:t>
      </w:r>
      <w:r w:rsidR="00056010" w:rsidRPr="00E61996">
        <w:rPr>
          <w:noProof/>
        </w:rPr>
        <w:t xml:space="preserve">, </w:t>
      </w:r>
      <w:r w:rsidR="00224EB2" w:rsidRPr="00E61996">
        <w:rPr>
          <w:noProof/>
        </w:rPr>
        <w:t xml:space="preserve">en </w:t>
      </w:r>
      <w:r w:rsidR="00C737BB" w:rsidRPr="00E61996">
        <w:rPr>
          <w:noProof/>
        </w:rPr>
        <w:t>tenant compte</w:t>
      </w:r>
      <w:r w:rsidR="00224EB2" w:rsidRPr="00E61996">
        <w:rPr>
          <w:noProof/>
        </w:rPr>
        <w:t xml:space="preserve"> des</w:t>
      </w:r>
      <w:r w:rsidR="00056010" w:rsidRPr="00E61996">
        <w:rPr>
          <w:noProof/>
        </w:rPr>
        <w:t xml:space="preserve"> circonstances nationales</w:t>
      </w:r>
      <w:r w:rsidR="008F044B" w:rsidRPr="00E61996">
        <w:rPr>
          <w:noProof/>
        </w:rPr>
        <w:t>.]</w:t>
      </w:r>
    </w:p>
    <w:p w14:paraId="60DE928E" w14:textId="638C7342" w:rsidR="00185D4D" w:rsidRPr="00E61996" w:rsidRDefault="0020791C" w:rsidP="00C0791C">
      <w:pPr>
        <w:pStyle w:val="CBDDesicionAnnex"/>
        <w:rPr>
          <w:rFonts w:hint="eastAsia"/>
          <w:noProof/>
        </w:rPr>
      </w:pPr>
      <w:r w:rsidRPr="00E61996">
        <w:rPr>
          <w:b/>
          <w:bCs w:val="0"/>
          <w:noProof/>
        </w:rPr>
        <w:t xml:space="preserve">Annexe </w:t>
      </w:r>
      <w:r w:rsidRPr="00E61996">
        <w:rPr>
          <w:b/>
          <w:bCs w:val="0"/>
          <w:noProof/>
        </w:rPr>
        <w:br/>
      </w:r>
      <w:r w:rsidR="008F044B" w:rsidRPr="00E61996">
        <w:rPr>
          <w:b/>
          <w:bCs w:val="0"/>
          <w:noProof/>
        </w:rPr>
        <w:t>[</w:t>
      </w:r>
      <w:r w:rsidRPr="00E61996">
        <w:rPr>
          <w:b/>
          <w:bCs w:val="0"/>
          <w:noProof/>
        </w:rPr>
        <w:t xml:space="preserve">Lignes directrices </w:t>
      </w:r>
      <w:r w:rsidR="008F044B" w:rsidRPr="00E61996">
        <w:rPr>
          <w:b/>
          <w:bCs w:val="0"/>
          <w:noProof/>
        </w:rPr>
        <w:t xml:space="preserve">facultatives </w:t>
      </w:r>
      <w:r w:rsidRPr="00E61996">
        <w:rPr>
          <w:b/>
          <w:bCs w:val="0"/>
          <w:noProof/>
        </w:rPr>
        <w:t xml:space="preserve">visant à renforcer le cadre juridique et politique </w:t>
      </w:r>
      <w:r w:rsidR="00714A82" w:rsidRPr="00E61996">
        <w:rPr>
          <w:b/>
          <w:bCs w:val="0"/>
          <w:noProof/>
        </w:rPr>
        <w:t>en vue de</w:t>
      </w:r>
      <w:r w:rsidRPr="00E61996">
        <w:rPr>
          <w:b/>
          <w:bCs w:val="0"/>
          <w:noProof/>
        </w:rPr>
        <w:t xml:space="preserve"> la reconnaissance du rôle des peuples autochtones et communautés locales </w:t>
      </w:r>
      <w:r w:rsidR="008F044B" w:rsidRPr="00E61996">
        <w:rPr>
          <w:b/>
          <w:bCs w:val="0"/>
          <w:noProof/>
        </w:rPr>
        <w:t xml:space="preserve">et </w:t>
      </w:r>
      <w:r w:rsidR="00FB62AF" w:rsidRPr="00E61996">
        <w:rPr>
          <w:b/>
          <w:bCs w:val="0"/>
          <w:noProof/>
        </w:rPr>
        <w:t xml:space="preserve">de </w:t>
      </w:r>
      <w:r w:rsidR="008F044B" w:rsidRPr="00E61996">
        <w:rPr>
          <w:b/>
          <w:bCs w:val="0"/>
          <w:noProof/>
        </w:rPr>
        <w:t xml:space="preserve">leurs territoires [autochtones et] traditionnels </w:t>
      </w:r>
      <w:r w:rsidRPr="00E61996">
        <w:rPr>
          <w:b/>
          <w:bCs w:val="0"/>
          <w:noProof/>
        </w:rPr>
        <w:t>dans l</w:t>
      </w:r>
      <w:r w:rsidR="0072284F" w:rsidRPr="00E61996">
        <w:rPr>
          <w:b/>
          <w:bCs w:val="0"/>
          <w:noProof/>
        </w:rPr>
        <w:t>’</w:t>
      </w:r>
      <w:r w:rsidRPr="00E61996">
        <w:rPr>
          <w:b/>
          <w:bCs w:val="0"/>
          <w:noProof/>
        </w:rPr>
        <w:t xml:space="preserve">aménagement du territoire, la restauration </w:t>
      </w:r>
      <w:r w:rsidR="008F044B" w:rsidRPr="00E61996">
        <w:rPr>
          <w:b/>
          <w:bCs w:val="0"/>
          <w:noProof/>
        </w:rPr>
        <w:t xml:space="preserve">des écosystèmes, la conservation [efficace] [par zone] et les </w:t>
      </w:r>
      <w:r w:rsidR="00AA437C" w:rsidRPr="00E61996">
        <w:rPr>
          <w:b/>
          <w:bCs w:val="0"/>
          <w:noProof/>
        </w:rPr>
        <w:t>évaluations</w:t>
      </w:r>
      <w:r w:rsidR="008F044B" w:rsidRPr="00E61996">
        <w:rPr>
          <w:b/>
          <w:bCs w:val="0"/>
          <w:noProof/>
        </w:rPr>
        <w:t xml:space="preserve"> d</w:t>
      </w:r>
      <w:r w:rsidR="00AA437C" w:rsidRPr="00E61996">
        <w:rPr>
          <w:b/>
          <w:bCs w:val="0"/>
          <w:noProof/>
        </w:rPr>
        <w:t>’</w:t>
      </w:r>
      <w:r w:rsidR="0072284F" w:rsidRPr="00E61996">
        <w:rPr>
          <w:b/>
          <w:bCs w:val="0"/>
          <w:noProof/>
        </w:rPr>
        <w:t>i</w:t>
      </w:r>
      <w:r w:rsidR="008F044B" w:rsidRPr="00E61996">
        <w:rPr>
          <w:b/>
          <w:bCs w:val="0"/>
          <w:noProof/>
        </w:rPr>
        <w:t>mpact environnement</w:t>
      </w:r>
      <w:r w:rsidR="00AA437C" w:rsidRPr="00E61996">
        <w:rPr>
          <w:b/>
          <w:bCs w:val="0"/>
          <w:noProof/>
        </w:rPr>
        <w:t>al</w:t>
      </w:r>
      <w:r w:rsidR="008F044B" w:rsidRPr="00E61996">
        <w:rPr>
          <w:b/>
          <w:bCs w:val="0"/>
          <w:noProof/>
        </w:rPr>
        <w:t>]</w:t>
      </w:r>
    </w:p>
    <w:p w14:paraId="55A92CA9" w14:textId="23675304" w:rsidR="00185D4D" w:rsidRPr="00E61996" w:rsidRDefault="00950067" w:rsidP="00C0791C">
      <w:pPr>
        <w:pStyle w:val="CBDH1"/>
        <w:rPr>
          <w:noProof/>
        </w:rPr>
      </w:pPr>
      <w:r w:rsidRPr="00E61996">
        <w:rPr>
          <w:noProof/>
        </w:rPr>
        <w:t>I.</w:t>
      </w:r>
      <w:r w:rsidRPr="00E61996">
        <w:rPr>
          <w:noProof/>
        </w:rPr>
        <w:tab/>
      </w:r>
      <w:r w:rsidR="008B49D4" w:rsidRPr="00E61996">
        <w:rPr>
          <w:noProof/>
        </w:rPr>
        <w:t>Fondement rationnel</w:t>
      </w:r>
    </w:p>
    <w:p w14:paraId="1F9281B8" w14:textId="1AAEE3DA" w:rsidR="00185D4D" w:rsidRPr="00E61996" w:rsidRDefault="00037987" w:rsidP="00C0791C">
      <w:pPr>
        <w:pStyle w:val="CBDNormalNoNumber"/>
        <w:rPr>
          <w:noProof/>
        </w:rPr>
      </w:pPr>
      <w:r w:rsidRPr="00E61996">
        <w:rPr>
          <w:noProof/>
        </w:rPr>
        <w:t>1.</w:t>
      </w:r>
      <w:r w:rsidRPr="00E61996">
        <w:rPr>
          <w:noProof/>
        </w:rPr>
        <w:tab/>
        <w:t>Dans sa décision </w:t>
      </w:r>
      <w:hyperlink r:id="rId16" w:history="1">
        <w:r w:rsidRPr="00E61996">
          <w:rPr>
            <w:rStyle w:val="Hyperlink"/>
            <w:noProof/>
          </w:rPr>
          <w:t>16/5</w:t>
        </w:r>
      </w:hyperlink>
      <w:r w:rsidRPr="00E61996">
        <w:rPr>
          <w:noProof/>
        </w:rPr>
        <w:t>, la Conférence des Parties à la Convention sur la diversité biologique</w:t>
      </w:r>
      <w:r w:rsidRPr="00E61996">
        <w:rPr>
          <w:rStyle w:val="FootnoteReference"/>
          <w:noProof/>
        </w:rPr>
        <w:footnoteReference w:id="5"/>
      </w:r>
      <w:r w:rsidRPr="00E61996">
        <w:rPr>
          <w:noProof/>
        </w:rPr>
        <w:t xml:space="preserve"> a créé l</w:t>
      </w:r>
      <w:r w:rsidR="006D70C2" w:rsidRPr="00E61996">
        <w:rPr>
          <w:noProof/>
        </w:rPr>
        <w:t>’</w:t>
      </w:r>
      <w:r w:rsidRPr="00E61996">
        <w:rPr>
          <w:noProof/>
        </w:rPr>
        <w:t>Organe subsidiaire chargé du suivi de l’article</w:t>
      </w:r>
      <w:r w:rsidR="00714A82" w:rsidRPr="00E61996">
        <w:rPr>
          <w:noProof/>
        </w:rPr>
        <w:t xml:space="preserve"> </w:t>
      </w:r>
      <w:r w:rsidRPr="00E61996">
        <w:rPr>
          <w:noProof/>
        </w:rPr>
        <w:t>8</w:t>
      </w:r>
      <w:r w:rsidR="00714A82" w:rsidRPr="00E61996">
        <w:rPr>
          <w:noProof/>
        </w:rPr>
        <w:t xml:space="preserve"> </w:t>
      </w:r>
      <w:r w:rsidRPr="00E61996">
        <w:rPr>
          <w:noProof/>
        </w:rPr>
        <w:t>j) et des autres dispositions de la Convention sur la diversité biologique relatives aux peuples autochtones et communautés locales. L</w:t>
      </w:r>
      <w:r w:rsidR="006D70C2" w:rsidRPr="00E61996">
        <w:rPr>
          <w:noProof/>
        </w:rPr>
        <w:t>’</w:t>
      </w:r>
      <w:r w:rsidRPr="00E61996">
        <w:rPr>
          <w:noProof/>
        </w:rPr>
        <w:t>Organe subsidiaire est chargé de fournir des avis à la Conférence des Parties, aux autres organes subsidiaires et, sur demande, à la Conférence des Parties siégeant en tant que réunion des Parties au Protocole de Cartagena sur la prévention des risques biotechnologiques</w:t>
      </w:r>
      <w:r w:rsidRPr="00E61996">
        <w:rPr>
          <w:rStyle w:val="FootnoteReference"/>
          <w:noProof/>
        </w:rPr>
        <w:footnoteReference w:id="6"/>
      </w:r>
      <w:r w:rsidRPr="00E61996">
        <w:rPr>
          <w:noProof/>
        </w:rPr>
        <w:t xml:space="preserve"> et à la Conférence des Parties siégeant en tant que réunion des Parties au Protocole de Nagoya sur l</w:t>
      </w:r>
      <w:r w:rsidR="006D70C2" w:rsidRPr="00E61996">
        <w:rPr>
          <w:noProof/>
        </w:rPr>
        <w:t>’</w:t>
      </w:r>
      <w:r w:rsidRPr="00E61996">
        <w:rPr>
          <w:noProof/>
        </w:rPr>
        <w:t>accès aux ressources génétiques et le partage juste et équitable des avantages découlant de leur utilisation</w:t>
      </w:r>
      <w:r w:rsidRPr="00E61996">
        <w:rPr>
          <w:rStyle w:val="FootnoteReference"/>
          <w:noProof/>
        </w:rPr>
        <w:footnoteReference w:id="7"/>
      </w:r>
      <w:r w:rsidRPr="00E61996">
        <w:rPr>
          <w:noProof/>
        </w:rPr>
        <w:t>, sur les questions concernant les peuples autochtones et communautés locales.</w:t>
      </w:r>
    </w:p>
    <w:p w14:paraId="52873321" w14:textId="61BA812B" w:rsidR="00185D4D" w:rsidRPr="00E61996" w:rsidRDefault="00037987" w:rsidP="00C0791C">
      <w:pPr>
        <w:pStyle w:val="CBDNormalNoNumber"/>
        <w:rPr>
          <w:noProof/>
        </w:rPr>
      </w:pPr>
      <w:r w:rsidRPr="00E61996">
        <w:rPr>
          <w:noProof/>
        </w:rPr>
        <w:t>2.</w:t>
      </w:r>
      <w:r w:rsidRPr="00E61996">
        <w:rPr>
          <w:noProof/>
        </w:rPr>
        <w:tab/>
        <w:t>Dans sa décision </w:t>
      </w:r>
      <w:hyperlink r:id="rId17" w:history="1">
        <w:r w:rsidRPr="00E61996">
          <w:rPr>
            <w:rStyle w:val="Hyperlink"/>
            <w:noProof/>
          </w:rPr>
          <w:t>16/4</w:t>
        </w:r>
      </w:hyperlink>
      <w:r w:rsidRPr="00E61996">
        <w:rPr>
          <w:noProof/>
        </w:rPr>
        <w:t>, la Conférence des Parties a adopté le programme de travail sur l</w:t>
      </w:r>
      <w:r w:rsidR="006D70C2" w:rsidRPr="00E61996">
        <w:rPr>
          <w:noProof/>
        </w:rPr>
        <w:t>’</w:t>
      </w:r>
      <w:r w:rsidRPr="00E61996">
        <w:rPr>
          <w:noProof/>
        </w:rPr>
        <w:t>article 8 j) et les autres dispositions de la Convention sur la diversité biologique relatives aux peuples autochtones et communautés locales à l</w:t>
      </w:r>
      <w:r w:rsidR="006D70C2" w:rsidRPr="00E61996">
        <w:rPr>
          <w:noProof/>
        </w:rPr>
        <w:t>’</w:t>
      </w:r>
      <w:r w:rsidRPr="00E61996">
        <w:rPr>
          <w:noProof/>
        </w:rPr>
        <w:t>horizon 2030. L</w:t>
      </w:r>
      <w:r w:rsidR="006D70C2" w:rsidRPr="00E61996">
        <w:rPr>
          <w:noProof/>
        </w:rPr>
        <w:t>’</w:t>
      </w:r>
      <w:r w:rsidRPr="00E61996">
        <w:rPr>
          <w:noProof/>
        </w:rPr>
        <w:t>objectif du programme de travail est de promouvoir la mise en œuvre de l</w:t>
      </w:r>
      <w:r w:rsidR="006D70C2" w:rsidRPr="00E61996">
        <w:rPr>
          <w:noProof/>
        </w:rPr>
        <w:t>’</w:t>
      </w:r>
      <w:r w:rsidRPr="00E61996">
        <w:rPr>
          <w:noProof/>
        </w:rPr>
        <w:t>article 8 j) et des autres dispositions de la Convention relatives aux peuples autochtones et communautés locales, ainsi que du Cadre mondial de la biodiversité de Kunming-Montréal</w:t>
      </w:r>
      <w:r w:rsidRPr="00E61996">
        <w:rPr>
          <w:rStyle w:val="FootnoteReference"/>
          <w:noProof/>
        </w:rPr>
        <w:footnoteReference w:id="8"/>
      </w:r>
      <w:r w:rsidRPr="00E61996">
        <w:rPr>
          <w:noProof/>
        </w:rPr>
        <w:t xml:space="preserve">. Dans son programme de travail, la Conférence des Parties a </w:t>
      </w:r>
      <w:r w:rsidRPr="00E61996">
        <w:rPr>
          <w:noProof/>
        </w:rPr>
        <w:lastRenderedPageBreak/>
        <w:t>réaffirmé qu</w:t>
      </w:r>
      <w:r w:rsidR="006D70C2" w:rsidRPr="00E61996">
        <w:rPr>
          <w:noProof/>
        </w:rPr>
        <w:t>’</w:t>
      </w:r>
      <w:r w:rsidRPr="00E61996">
        <w:rPr>
          <w:noProof/>
        </w:rPr>
        <w:t xml:space="preserve">il importait de promouvoir la participation pleine et entière des peuples autochtones et communautés locales à tous les stades et à tous les niveaux de la mise en œuvre, en reconnaissance des liens étroits qui unissent les peuples autochtones et communautés locales à la diversité biologique et à la Convention et ses Protocoles. </w:t>
      </w:r>
    </w:p>
    <w:p w14:paraId="27C1572D" w14:textId="7DE6A2FE" w:rsidR="00185D4D" w:rsidRPr="00E61996" w:rsidRDefault="00037987" w:rsidP="00C0791C">
      <w:pPr>
        <w:pStyle w:val="CBDNormalNoNumber"/>
        <w:rPr>
          <w:noProof/>
        </w:rPr>
      </w:pPr>
      <w:r w:rsidRPr="00E61996">
        <w:rPr>
          <w:noProof/>
        </w:rPr>
        <w:t>3.</w:t>
      </w:r>
      <w:r w:rsidRPr="00E61996">
        <w:rPr>
          <w:noProof/>
        </w:rPr>
        <w:tab/>
        <w:t>L</w:t>
      </w:r>
      <w:r w:rsidR="006D70C2" w:rsidRPr="00E61996">
        <w:rPr>
          <w:noProof/>
        </w:rPr>
        <w:t>’</w:t>
      </w:r>
      <w:r w:rsidRPr="00E61996">
        <w:rPr>
          <w:noProof/>
        </w:rPr>
        <w:t>élément 1 du programme de travail, consacré à la conservation et à la restauration</w:t>
      </w:r>
      <w:r w:rsidR="008B49D4" w:rsidRPr="00E61996">
        <w:rPr>
          <w:noProof/>
        </w:rPr>
        <w:t xml:space="preserve"> des écosystèmes</w:t>
      </w:r>
      <w:r w:rsidRPr="00E61996">
        <w:rPr>
          <w:noProof/>
        </w:rPr>
        <w:t xml:space="preserve">, comprend deux </w:t>
      </w:r>
      <w:r w:rsidR="00AA437C" w:rsidRPr="00E61996">
        <w:rPr>
          <w:noProof/>
        </w:rPr>
        <w:t>tâche</w:t>
      </w:r>
      <w:r w:rsidRPr="00E61996">
        <w:rPr>
          <w:noProof/>
        </w:rPr>
        <w:t>s confiées à l</w:t>
      </w:r>
      <w:r w:rsidR="006D70C2" w:rsidRPr="00E61996">
        <w:rPr>
          <w:noProof/>
        </w:rPr>
        <w:t>’</w:t>
      </w:r>
      <w:r w:rsidRPr="00E61996">
        <w:rPr>
          <w:noProof/>
        </w:rPr>
        <w:t>Organe subsidiaire :</w:t>
      </w:r>
    </w:p>
    <w:p w14:paraId="3F3A1930" w14:textId="6A0BA42A" w:rsidR="00185D4D" w:rsidRPr="00E61996" w:rsidRDefault="00AA437C" w:rsidP="00C0791C">
      <w:pPr>
        <w:pStyle w:val="CBDNormalNoNumber"/>
        <w:tabs>
          <w:tab w:val="clear" w:pos="567"/>
        </w:tabs>
        <w:ind w:left="1134"/>
        <w:rPr>
          <w:noProof/>
        </w:rPr>
      </w:pPr>
      <w:r w:rsidRPr="00E61996">
        <w:rPr>
          <w:noProof/>
        </w:rPr>
        <w:t>Tâche</w:t>
      </w:r>
      <w:r w:rsidR="00185D4D" w:rsidRPr="00E61996">
        <w:rPr>
          <w:noProof/>
        </w:rPr>
        <w:t> 1.1. Élaborer des lignes directrices</w:t>
      </w:r>
      <w:r w:rsidR="00185D4D" w:rsidRPr="00E61996">
        <w:rPr>
          <w:noProof/>
          <w:vertAlign w:val="superscript"/>
        </w:rPr>
        <w:footnoteReference w:id="9"/>
      </w:r>
      <w:r w:rsidR="00185D4D" w:rsidRPr="00E61996">
        <w:rPr>
          <w:noProof/>
        </w:rPr>
        <w:t>, avec la participation pleine et effective des peuples autochtones et communautés locales, en vue de renforcer le cadre juridique et politique de la mise en œuvre des cibles 2 et 3 du Cadre, y compris sur les territoires autochtones et traditionnels, afin d’appuyer les pratiques de protection et de restauration des peuples autochtones et communautés locales.</w:t>
      </w:r>
    </w:p>
    <w:p w14:paraId="32E516FD" w14:textId="0210AADC" w:rsidR="00185D4D" w:rsidRPr="00E61996" w:rsidRDefault="00AA437C" w:rsidP="00C0791C">
      <w:pPr>
        <w:pStyle w:val="CBDNormalNoNumber"/>
        <w:tabs>
          <w:tab w:val="clear" w:pos="567"/>
        </w:tabs>
        <w:ind w:left="1134"/>
        <w:rPr>
          <w:noProof/>
        </w:rPr>
      </w:pPr>
      <w:r w:rsidRPr="00E61996">
        <w:rPr>
          <w:noProof/>
        </w:rPr>
        <w:t>Tâche</w:t>
      </w:r>
      <w:r w:rsidR="00185D4D" w:rsidRPr="00E61996">
        <w:rPr>
          <w:noProof/>
        </w:rPr>
        <w:t> 1.2. Définir et promouvoir les meilleures pratiques pour assurer la sécurité d’occupation et la gouvernance des terres par les peuples autochtones et communautés locales et concevoir des lignes directrices relatives à l’inclusion et la prise en compte des territoires traditionnels et de l’utilisation traditionnelle des ressources dans les processus d’aménagement du territoire et des évaluations d’impact environnemental, conformément aux législations nationales et aux obligations internationales.</w:t>
      </w:r>
    </w:p>
    <w:p w14:paraId="026D052F" w14:textId="6E65CD12" w:rsidR="00185D4D" w:rsidRPr="00E61996" w:rsidRDefault="00037987" w:rsidP="00C0791C">
      <w:pPr>
        <w:pStyle w:val="CBDNormalNoNumber"/>
        <w:rPr>
          <w:noProof/>
        </w:rPr>
      </w:pPr>
      <w:r w:rsidRPr="00E61996">
        <w:rPr>
          <w:noProof/>
        </w:rPr>
        <w:t>4.</w:t>
      </w:r>
      <w:r w:rsidRPr="00E61996">
        <w:rPr>
          <w:noProof/>
        </w:rPr>
        <w:tab/>
        <w:t>Les présentes lignes directrices ont été élaborées par l</w:t>
      </w:r>
      <w:r w:rsidR="006D70C2" w:rsidRPr="00E61996">
        <w:rPr>
          <w:noProof/>
        </w:rPr>
        <w:t>’</w:t>
      </w:r>
      <w:r w:rsidRPr="00E61996">
        <w:rPr>
          <w:noProof/>
        </w:rPr>
        <w:t>Organe subsidiaire chargé du suivi de l</w:t>
      </w:r>
      <w:r w:rsidR="006D70C2" w:rsidRPr="00E61996">
        <w:rPr>
          <w:noProof/>
        </w:rPr>
        <w:t>’</w:t>
      </w:r>
      <w:r w:rsidRPr="00E61996">
        <w:rPr>
          <w:noProof/>
        </w:rPr>
        <w:t>article</w:t>
      </w:r>
      <w:r w:rsidR="008B49D4" w:rsidRPr="00E61996">
        <w:rPr>
          <w:noProof/>
        </w:rPr>
        <w:t xml:space="preserve"> </w:t>
      </w:r>
      <w:r w:rsidRPr="00E61996">
        <w:rPr>
          <w:noProof/>
        </w:rPr>
        <w:t>8</w:t>
      </w:r>
      <w:r w:rsidR="008B49D4" w:rsidRPr="00E61996">
        <w:rPr>
          <w:noProof/>
        </w:rPr>
        <w:t xml:space="preserve"> </w:t>
      </w:r>
      <w:r w:rsidRPr="00E61996">
        <w:rPr>
          <w:noProof/>
        </w:rPr>
        <w:t xml:space="preserve">j) et des autres dispositions de la Convention sur la diversité biologique relatives aux peuples autochtones et communautés locales conformément aux </w:t>
      </w:r>
      <w:r w:rsidR="00AA437C" w:rsidRPr="00E61996">
        <w:rPr>
          <w:noProof/>
        </w:rPr>
        <w:t>tâche</w:t>
      </w:r>
      <w:r w:rsidRPr="00E61996">
        <w:rPr>
          <w:noProof/>
        </w:rPr>
        <w:t>s 1.1 et 1.2 du programme de travail sur l</w:t>
      </w:r>
      <w:r w:rsidR="006D70C2" w:rsidRPr="00E61996">
        <w:rPr>
          <w:noProof/>
        </w:rPr>
        <w:t>’</w:t>
      </w:r>
      <w:r w:rsidRPr="00E61996">
        <w:rPr>
          <w:noProof/>
        </w:rPr>
        <w:t>article 8 j) et les autres dispositions de la Convention relatives aux peuples autochtones et communautés locales. Les lignes directrices s</w:t>
      </w:r>
      <w:r w:rsidR="006D70C2" w:rsidRPr="00E61996">
        <w:rPr>
          <w:noProof/>
        </w:rPr>
        <w:t>’</w:t>
      </w:r>
      <w:r w:rsidRPr="00E61996">
        <w:rPr>
          <w:noProof/>
        </w:rPr>
        <w:t>adressent aux Parties, aux peuples autochtones et communautés locales et aux autres acteurs concernés, notamment les organisations de conservation et de restauration</w:t>
      </w:r>
      <w:r w:rsidR="005A3A21" w:rsidRPr="00E61996">
        <w:rPr>
          <w:noProof/>
        </w:rPr>
        <w:t xml:space="preserve"> </w:t>
      </w:r>
      <w:r w:rsidR="008B49D4" w:rsidRPr="00E61996">
        <w:rPr>
          <w:noProof/>
        </w:rPr>
        <w:t xml:space="preserve">des écosystèmes </w:t>
      </w:r>
      <w:r w:rsidR="005A3A21" w:rsidRPr="00E61996">
        <w:rPr>
          <w:noProof/>
        </w:rPr>
        <w:t>concernées</w:t>
      </w:r>
      <w:r w:rsidRPr="00E61996">
        <w:rPr>
          <w:noProof/>
        </w:rPr>
        <w:t xml:space="preserve">, </w:t>
      </w:r>
      <w:r w:rsidR="005A3A21" w:rsidRPr="00E61996">
        <w:rPr>
          <w:noProof/>
        </w:rPr>
        <w:t>d</w:t>
      </w:r>
      <w:r w:rsidR="000B03A2" w:rsidRPr="00E61996">
        <w:rPr>
          <w:noProof/>
        </w:rPr>
        <w:t>es universités et</w:t>
      </w:r>
      <w:r w:rsidR="006D70C2" w:rsidRPr="00E61996">
        <w:rPr>
          <w:noProof/>
        </w:rPr>
        <w:t xml:space="preserve"> </w:t>
      </w:r>
      <w:r w:rsidR="005A3A21" w:rsidRPr="00E61996">
        <w:rPr>
          <w:noProof/>
        </w:rPr>
        <w:t>des</w:t>
      </w:r>
      <w:r w:rsidR="000B03A2" w:rsidRPr="00E61996">
        <w:rPr>
          <w:noProof/>
        </w:rPr>
        <w:t xml:space="preserve"> instituts de recherche, </w:t>
      </w:r>
      <w:r w:rsidRPr="00E61996">
        <w:rPr>
          <w:noProof/>
        </w:rPr>
        <w:t>le secteur privé et d</w:t>
      </w:r>
      <w:r w:rsidR="006D70C2" w:rsidRPr="00E61996">
        <w:rPr>
          <w:noProof/>
        </w:rPr>
        <w:t>’</w:t>
      </w:r>
      <w:r w:rsidRPr="00E61996">
        <w:rPr>
          <w:noProof/>
        </w:rPr>
        <w:t>autres entités qui mettront en œuvre tous les éléments des lignes directrices.</w:t>
      </w:r>
    </w:p>
    <w:p w14:paraId="5E87C3A7" w14:textId="366F27AA" w:rsidR="000B03A2" w:rsidRPr="00E61996" w:rsidRDefault="00037987" w:rsidP="008B49D4">
      <w:pPr>
        <w:pStyle w:val="CBDNormalNoNumber"/>
        <w:rPr>
          <w:noProof/>
        </w:rPr>
      </w:pPr>
      <w:r w:rsidRPr="00E61996">
        <w:rPr>
          <w:noProof/>
        </w:rPr>
        <w:t>5.</w:t>
      </w:r>
      <w:r w:rsidRPr="00E61996">
        <w:rPr>
          <w:noProof/>
        </w:rPr>
        <w:tab/>
      </w:r>
      <w:r w:rsidR="008B49D4" w:rsidRPr="00E61996">
        <w:rPr>
          <w:noProof/>
        </w:rPr>
        <w:t xml:space="preserve">En appliquant ces lignes directrices, les Parties devraient, </w:t>
      </w:r>
      <w:r w:rsidR="00714A82" w:rsidRPr="00E61996">
        <w:rPr>
          <w:noProof/>
        </w:rPr>
        <w:t>selon qu’il convient</w:t>
      </w:r>
      <w:r w:rsidR="008B49D4" w:rsidRPr="00E61996">
        <w:rPr>
          <w:noProof/>
        </w:rPr>
        <w:t>, établir une protection globale et une approche différenciée pour les peuples autochtones en situation d'isolement volontaire et de premier contact, conformément aux circonstances nationales, en vue de renforcer le cadre juridique et politique de l'aménagement du territoire, de la restauration et de la conservation des écosystèmes, et d'éviter les activités susceptibles de les exposer à des risques.</w:t>
      </w:r>
    </w:p>
    <w:p w14:paraId="2B6C7BD8" w14:textId="2BA5922D" w:rsidR="00185D4D" w:rsidRPr="00E61996" w:rsidRDefault="00AF0ABC" w:rsidP="00C0791C">
      <w:pPr>
        <w:pStyle w:val="CBDH1"/>
        <w:rPr>
          <w:noProof/>
        </w:rPr>
      </w:pPr>
      <w:r w:rsidRPr="00E61996">
        <w:rPr>
          <w:noProof/>
        </w:rPr>
        <w:t>II.</w:t>
      </w:r>
      <w:r w:rsidRPr="00E61996">
        <w:rPr>
          <w:noProof/>
        </w:rPr>
        <w:tab/>
        <w:t>Objectifs</w:t>
      </w:r>
    </w:p>
    <w:p w14:paraId="7BD7E7E8" w14:textId="18CBF703" w:rsidR="00185D4D" w:rsidRPr="00E61996" w:rsidRDefault="008B49D4" w:rsidP="00C0791C">
      <w:pPr>
        <w:pStyle w:val="CBDNormalNoNumber"/>
        <w:rPr>
          <w:noProof/>
        </w:rPr>
      </w:pPr>
      <w:r w:rsidRPr="00E61996">
        <w:rPr>
          <w:noProof/>
        </w:rPr>
        <w:t>6</w:t>
      </w:r>
      <w:r w:rsidR="00037987" w:rsidRPr="00E61996">
        <w:rPr>
          <w:noProof/>
        </w:rPr>
        <w:t>.</w:t>
      </w:r>
      <w:r w:rsidR="00037987" w:rsidRPr="00E61996">
        <w:rPr>
          <w:noProof/>
        </w:rPr>
        <w:tab/>
        <w:t xml:space="preserve">Les lignes directrices </w:t>
      </w:r>
      <w:r w:rsidR="00714A82" w:rsidRPr="00E61996">
        <w:rPr>
          <w:noProof/>
        </w:rPr>
        <w:t>visent à</w:t>
      </w:r>
      <w:r w:rsidR="00037987" w:rsidRPr="00E61996">
        <w:rPr>
          <w:noProof/>
        </w:rPr>
        <w:t> :</w:t>
      </w:r>
    </w:p>
    <w:p w14:paraId="24E8A957" w14:textId="5EE8D752" w:rsidR="00185D4D" w:rsidRPr="00E61996" w:rsidRDefault="00DE51F7" w:rsidP="00C0791C">
      <w:pPr>
        <w:pStyle w:val="CBDNormalNoNumber"/>
        <w:ind w:firstLine="567"/>
        <w:rPr>
          <w:noProof/>
        </w:rPr>
      </w:pPr>
      <w:r w:rsidRPr="00E61996">
        <w:rPr>
          <w:noProof/>
        </w:rPr>
        <w:t>a)</w:t>
      </w:r>
      <w:r w:rsidRPr="00E61996">
        <w:rPr>
          <w:noProof/>
        </w:rPr>
        <w:tab/>
        <w:t>Donner des orientations quant à l</w:t>
      </w:r>
      <w:r w:rsidR="006D70C2" w:rsidRPr="00E61996">
        <w:rPr>
          <w:noProof/>
        </w:rPr>
        <w:t>’</w:t>
      </w:r>
      <w:r w:rsidRPr="00E61996">
        <w:rPr>
          <w:noProof/>
        </w:rPr>
        <w:t>inclusion et la prise en compte des systèmes traditionnels d</w:t>
      </w:r>
      <w:r w:rsidR="006D70C2" w:rsidRPr="00E61996">
        <w:rPr>
          <w:noProof/>
        </w:rPr>
        <w:t>’</w:t>
      </w:r>
      <w:r w:rsidRPr="00E61996">
        <w:rPr>
          <w:noProof/>
        </w:rPr>
        <w:t>utilisation des terres</w:t>
      </w:r>
      <w:r w:rsidR="000B03A2" w:rsidRPr="00E61996">
        <w:rPr>
          <w:noProof/>
        </w:rPr>
        <w:t xml:space="preserve">, </w:t>
      </w:r>
      <w:r w:rsidR="00714A82" w:rsidRPr="00E61996">
        <w:rPr>
          <w:noProof/>
        </w:rPr>
        <w:t xml:space="preserve">des </w:t>
      </w:r>
      <w:r w:rsidR="008B49D4" w:rsidRPr="00E61996">
        <w:rPr>
          <w:noProof/>
        </w:rPr>
        <w:t xml:space="preserve">territoires et </w:t>
      </w:r>
      <w:r w:rsidR="00714A82" w:rsidRPr="00E61996">
        <w:rPr>
          <w:noProof/>
        </w:rPr>
        <w:t xml:space="preserve">des </w:t>
      </w:r>
      <w:r w:rsidR="000B03A2" w:rsidRPr="00E61996">
        <w:rPr>
          <w:noProof/>
        </w:rPr>
        <w:t xml:space="preserve">eaux </w:t>
      </w:r>
      <w:r w:rsidR="00714A82" w:rsidRPr="00E61996">
        <w:rPr>
          <w:noProof/>
        </w:rPr>
        <w:t>ainsi que</w:t>
      </w:r>
      <w:r w:rsidRPr="00E61996">
        <w:rPr>
          <w:noProof/>
        </w:rPr>
        <w:t xml:space="preserve"> des ressources des peuples autochtones et communautés locales dans les processus d</w:t>
      </w:r>
      <w:r w:rsidR="006D70C2" w:rsidRPr="00E61996">
        <w:rPr>
          <w:noProof/>
        </w:rPr>
        <w:t>’</w:t>
      </w:r>
      <w:r w:rsidRPr="00E61996">
        <w:rPr>
          <w:noProof/>
        </w:rPr>
        <w:t>aménagement du territoire et les évaluations d</w:t>
      </w:r>
      <w:r w:rsidR="006D70C2" w:rsidRPr="00E61996">
        <w:rPr>
          <w:noProof/>
        </w:rPr>
        <w:t>’</w:t>
      </w:r>
      <w:r w:rsidRPr="00E61996">
        <w:rPr>
          <w:noProof/>
        </w:rPr>
        <w:t>impact environnemental à l</w:t>
      </w:r>
      <w:r w:rsidR="006D70C2" w:rsidRPr="00E61996">
        <w:rPr>
          <w:noProof/>
        </w:rPr>
        <w:t>’</w:t>
      </w:r>
      <w:r w:rsidRPr="00E61996">
        <w:rPr>
          <w:noProof/>
        </w:rPr>
        <w:t>appui de la mise en œuvre des cibles 1 et 14 du Cadre ;</w:t>
      </w:r>
    </w:p>
    <w:p w14:paraId="0CB54467" w14:textId="078E7C1F" w:rsidR="00185D4D" w:rsidRPr="00E61996" w:rsidRDefault="00DE51F7" w:rsidP="00C0791C">
      <w:pPr>
        <w:pStyle w:val="CBDNormalNoNumber"/>
        <w:ind w:firstLine="567"/>
        <w:rPr>
          <w:noProof/>
        </w:rPr>
      </w:pPr>
      <w:r w:rsidRPr="00E61996">
        <w:rPr>
          <w:noProof/>
        </w:rPr>
        <w:t>b)</w:t>
      </w:r>
      <w:r w:rsidRPr="00E61996">
        <w:rPr>
          <w:noProof/>
        </w:rPr>
        <w:tab/>
        <w:t xml:space="preserve">Donner des orientations juridiques et politiques </w:t>
      </w:r>
      <w:r w:rsidR="005A3A21" w:rsidRPr="00E61996">
        <w:rPr>
          <w:noProof/>
        </w:rPr>
        <w:t>afin de</w:t>
      </w:r>
      <w:r w:rsidR="000B03A2" w:rsidRPr="00E61996">
        <w:rPr>
          <w:noProof/>
        </w:rPr>
        <w:t xml:space="preserve"> soutenir</w:t>
      </w:r>
      <w:r w:rsidRPr="00E61996">
        <w:rPr>
          <w:noProof/>
        </w:rPr>
        <w:t xml:space="preserve"> la participation pleine et effective des peuples autochtones et communautés locales </w:t>
      </w:r>
      <w:r w:rsidR="000B03A2" w:rsidRPr="00E61996">
        <w:rPr>
          <w:noProof/>
        </w:rPr>
        <w:t>aux processus décisionnels et à la mise en œuvre des activités de</w:t>
      </w:r>
      <w:r w:rsidR="005A3A21" w:rsidRPr="00E61996">
        <w:rPr>
          <w:noProof/>
        </w:rPr>
        <w:t xml:space="preserve"> </w:t>
      </w:r>
      <w:r w:rsidRPr="00E61996">
        <w:rPr>
          <w:noProof/>
        </w:rPr>
        <w:t xml:space="preserve">restauration des écosystèmes, en reconnaissant leur contribution à la mise en œuvre de la cible 2 du Cadre grâce à leurs connaissances traditionnelles, innovations et pratiques, ainsi </w:t>
      </w:r>
      <w:r w:rsidR="008B49D4" w:rsidRPr="00E61996">
        <w:rPr>
          <w:noProof/>
        </w:rPr>
        <w:t>que grâce aux</w:t>
      </w:r>
      <w:r w:rsidRPr="00E61996">
        <w:rPr>
          <w:noProof/>
        </w:rPr>
        <w:t xml:space="preserve"> systèmes de gouvernance autochtones et traditionnels ;</w:t>
      </w:r>
    </w:p>
    <w:p w14:paraId="210DD612" w14:textId="18F63D62" w:rsidR="00185D4D" w:rsidRPr="00E61996" w:rsidRDefault="00DE51F7" w:rsidP="00C0791C">
      <w:pPr>
        <w:pStyle w:val="CBDNormalNoNumber"/>
        <w:ind w:firstLine="567"/>
        <w:rPr>
          <w:noProof/>
        </w:rPr>
      </w:pPr>
      <w:r w:rsidRPr="00E61996">
        <w:rPr>
          <w:noProof/>
        </w:rPr>
        <w:t>c)</w:t>
      </w:r>
      <w:r w:rsidRPr="00E61996">
        <w:rPr>
          <w:noProof/>
        </w:rPr>
        <w:tab/>
        <w:t xml:space="preserve">Donner des orientations juridiques et politiques concernant </w:t>
      </w:r>
      <w:r w:rsidR="008B49D4" w:rsidRPr="00E61996">
        <w:rPr>
          <w:noProof/>
        </w:rPr>
        <w:t>le recensement</w:t>
      </w:r>
      <w:r w:rsidRPr="00E61996">
        <w:rPr>
          <w:noProof/>
        </w:rPr>
        <w:t xml:space="preserve">, la reconnaissance, </w:t>
      </w:r>
      <w:r w:rsidR="00F4583D" w:rsidRPr="00E61996">
        <w:rPr>
          <w:noProof/>
        </w:rPr>
        <w:t xml:space="preserve">la protection et la promotion, </w:t>
      </w:r>
      <w:r w:rsidRPr="00E61996">
        <w:rPr>
          <w:noProof/>
        </w:rPr>
        <w:t>le respect et le soutien des territoires autochtones et traditionnels des peuples autochtones et communautés locales à l</w:t>
      </w:r>
      <w:r w:rsidR="006D70C2" w:rsidRPr="00E61996">
        <w:rPr>
          <w:noProof/>
        </w:rPr>
        <w:t>’</w:t>
      </w:r>
      <w:r w:rsidRPr="00E61996">
        <w:rPr>
          <w:noProof/>
        </w:rPr>
        <w:t>appui de la mise en œuvre de la cible 3 du Cadre.</w:t>
      </w:r>
    </w:p>
    <w:p w14:paraId="2ADA424A" w14:textId="6043F5E9" w:rsidR="00185D4D" w:rsidRPr="00E61996" w:rsidRDefault="00FF4D36" w:rsidP="00C0791C">
      <w:pPr>
        <w:pStyle w:val="CBDH1"/>
        <w:rPr>
          <w:noProof/>
        </w:rPr>
      </w:pPr>
      <w:r w:rsidRPr="00E61996">
        <w:rPr>
          <w:noProof/>
        </w:rPr>
        <w:lastRenderedPageBreak/>
        <w:t>III.</w:t>
      </w:r>
      <w:r w:rsidRPr="00E61996">
        <w:rPr>
          <w:noProof/>
        </w:rPr>
        <w:tab/>
        <w:t>Principes directeurs</w:t>
      </w:r>
    </w:p>
    <w:p w14:paraId="122DCAE1" w14:textId="399DA674" w:rsidR="00185D4D" w:rsidRPr="00E61996" w:rsidRDefault="008B49D4" w:rsidP="00C0791C">
      <w:pPr>
        <w:pStyle w:val="CBDNormalNoNumber"/>
        <w:rPr>
          <w:noProof/>
        </w:rPr>
      </w:pPr>
      <w:r w:rsidRPr="00E61996">
        <w:rPr>
          <w:noProof/>
        </w:rPr>
        <w:t>7</w:t>
      </w:r>
      <w:r w:rsidR="00FF4D36" w:rsidRPr="00E61996">
        <w:rPr>
          <w:noProof/>
        </w:rPr>
        <w:t>.</w:t>
      </w:r>
      <w:r w:rsidR="00FF4D36" w:rsidRPr="00E61996">
        <w:rPr>
          <w:noProof/>
        </w:rPr>
        <w:tab/>
        <w:t xml:space="preserve">Les présentes lignes directrices devraient être appliquées </w:t>
      </w:r>
      <w:r w:rsidR="00F4583D" w:rsidRPr="00E61996">
        <w:rPr>
          <w:noProof/>
        </w:rPr>
        <w:t>conformément à la législation et à</w:t>
      </w:r>
      <w:r w:rsidR="00FF4D36" w:rsidRPr="00E61996">
        <w:rPr>
          <w:noProof/>
        </w:rPr>
        <w:t xml:space="preserve"> la situation nationale</w:t>
      </w:r>
      <w:r w:rsidR="00F4583D" w:rsidRPr="00E61996">
        <w:rPr>
          <w:noProof/>
        </w:rPr>
        <w:t xml:space="preserve">, </w:t>
      </w:r>
      <w:r w:rsidRPr="00E61996">
        <w:rPr>
          <w:noProof/>
        </w:rPr>
        <w:t>ainsi qu’</w:t>
      </w:r>
      <w:r w:rsidR="00F4583D" w:rsidRPr="00E61996">
        <w:rPr>
          <w:noProof/>
        </w:rPr>
        <w:t>au</w:t>
      </w:r>
      <w:r w:rsidR="006D70C2" w:rsidRPr="00E61996">
        <w:rPr>
          <w:noProof/>
        </w:rPr>
        <w:t xml:space="preserve"> </w:t>
      </w:r>
      <w:r w:rsidR="00F4583D" w:rsidRPr="00E61996">
        <w:rPr>
          <w:noProof/>
        </w:rPr>
        <w:t>droit international et aux instruments internationaux, et d</w:t>
      </w:r>
      <w:r w:rsidR="006D70C2" w:rsidRPr="00E61996">
        <w:rPr>
          <w:noProof/>
        </w:rPr>
        <w:t>’</w:t>
      </w:r>
      <w:r w:rsidR="00F4583D" w:rsidRPr="00E61996">
        <w:rPr>
          <w:noProof/>
        </w:rPr>
        <w:t xml:space="preserve">une manière compatible avec </w:t>
      </w:r>
      <w:r w:rsidR="00FF4D36" w:rsidRPr="00E61996">
        <w:rPr>
          <w:noProof/>
        </w:rPr>
        <w:t>la section C du Cadre et aux principes généraux énoncés dans le programme de travail.</w:t>
      </w:r>
    </w:p>
    <w:p w14:paraId="01CCE3D9" w14:textId="08FFFC36" w:rsidR="00185D4D" w:rsidRPr="00E61996" w:rsidRDefault="00F4583D" w:rsidP="00C0791C">
      <w:pPr>
        <w:pStyle w:val="CBDH2"/>
        <w:outlineLvl w:val="1"/>
        <w:rPr>
          <w:noProof/>
        </w:rPr>
      </w:pPr>
      <w:r w:rsidRPr="00E61996">
        <w:rPr>
          <w:noProof/>
        </w:rPr>
        <w:t>[</w:t>
      </w:r>
      <w:r w:rsidR="00185D4D" w:rsidRPr="00E61996">
        <w:rPr>
          <w:noProof/>
        </w:rPr>
        <w:t>A.</w:t>
      </w:r>
      <w:r w:rsidR="00185D4D" w:rsidRPr="00E61996">
        <w:rPr>
          <w:noProof/>
        </w:rPr>
        <w:tab/>
        <w:t>Relations spirituelles et culturelles</w:t>
      </w:r>
    </w:p>
    <w:p w14:paraId="2C4DA199" w14:textId="70077F6A" w:rsidR="00185D4D" w:rsidRPr="00E61996" w:rsidRDefault="008B49D4" w:rsidP="00C0791C">
      <w:pPr>
        <w:pStyle w:val="CBDNormalNoNumber"/>
        <w:rPr>
          <w:noProof/>
        </w:rPr>
      </w:pPr>
      <w:r w:rsidRPr="00E61996">
        <w:rPr>
          <w:noProof/>
        </w:rPr>
        <w:t>8</w:t>
      </w:r>
      <w:r w:rsidR="00ED5CCA" w:rsidRPr="00E61996">
        <w:rPr>
          <w:noProof/>
        </w:rPr>
        <w:t>.</w:t>
      </w:r>
      <w:r w:rsidR="00ED5CCA" w:rsidRPr="00E61996">
        <w:rPr>
          <w:noProof/>
        </w:rPr>
        <w:tab/>
        <w:t>Les mesures de conservation et de restauration</w:t>
      </w:r>
      <w:r w:rsidRPr="00E61996">
        <w:rPr>
          <w:noProof/>
        </w:rPr>
        <w:t xml:space="preserve"> des écosystèmes</w:t>
      </w:r>
      <w:r w:rsidR="00ED5CCA" w:rsidRPr="00E61996">
        <w:rPr>
          <w:noProof/>
        </w:rPr>
        <w:t>, ainsi que l</w:t>
      </w:r>
      <w:r w:rsidR="006D70C2" w:rsidRPr="00E61996">
        <w:rPr>
          <w:noProof/>
        </w:rPr>
        <w:t>’</w:t>
      </w:r>
      <w:r w:rsidR="00ED5CCA" w:rsidRPr="00E61996">
        <w:rPr>
          <w:noProof/>
        </w:rPr>
        <w:t>aménagement du territoire et les processus de gestion efficaces ayant trait aux changements dans l</w:t>
      </w:r>
      <w:r w:rsidR="006D70C2" w:rsidRPr="00E61996">
        <w:rPr>
          <w:noProof/>
        </w:rPr>
        <w:t>’</w:t>
      </w:r>
      <w:r w:rsidR="00ED5CCA" w:rsidRPr="00E61996">
        <w:rPr>
          <w:noProof/>
        </w:rPr>
        <w:t>utilisation des terres et des mers et aux évaluations d</w:t>
      </w:r>
      <w:r w:rsidR="006D70C2" w:rsidRPr="00E61996">
        <w:rPr>
          <w:noProof/>
        </w:rPr>
        <w:t>’</w:t>
      </w:r>
      <w:r w:rsidR="00ED5CCA" w:rsidRPr="00E61996">
        <w:rPr>
          <w:noProof/>
        </w:rPr>
        <w:t xml:space="preserve">impact environnemental, devraient être conçus de manière à reconnaître et à respecter les relations spirituelles et </w:t>
      </w:r>
      <w:r w:rsidR="00F4583D" w:rsidRPr="00E61996">
        <w:rPr>
          <w:noProof/>
        </w:rPr>
        <w:t>bio</w:t>
      </w:r>
      <w:r w:rsidR="00ED5CCA" w:rsidRPr="00E61996">
        <w:rPr>
          <w:noProof/>
        </w:rPr>
        <w:t>culturelles que les peuples autochtones et communautés locales entretiennent avec la biodiversité sur leurs terres, leurs territoires et leurs eaux.</w:t>
      </w:r>
    </w:p>
    <w:p w14:paraId="393D330A" w14:textId="61EC3C4D" w:rsidR="00185D4D" w:rsidRPr="00E61996" w:rsidRDefault="00185D4D" w:rsidP="00C0791C">
      <w:pPr>
        <w:pStyle w:val="CBDH2"/>
        <w:outlineLvl w:val="1"/>
        <w:rPr>
          <w:noProof/>
        </w:rPr>
      </w:pPr>
      <w:r w:rsidRPr="00E61996">
        <w:rPr>
          <w:noProof/>
        </w:rPr>
        <w:t>B.</w:t>
      </w:r>
      <w:r w:rsidRPr="00E61996">
        <w:rPr>
          <w:noProof/>
        </w:rPr>
        <w:tab/>
        <w:t xml:space="preserve">Reconnaissance et respect des systèmes coutumiers </w:t>
      </w:r>
      <w:r w:rsidR="00714A82" w:rsidRPr="00E61996">
        <w:rPr>
          <w:noProof/>
        </w:rPr>
        <w:t xml:space="preserve">de gouvernance et </w:t>
      </w:r>
      <w:r w:rsidRPr="00E61996">
        <w:rPr>
          <w:noProof/>
        </w:rPr>
        <w:t xml:space="preserve">de régime foncier et de gouvernance </w:t>
      </w:r>
      <w:r w:rsidR="000B2B88" w:rsidRPr="00E61996">
        <w:rPr>
          <w:noProof/>
        </w:rPr>
        <w:t>de l’eau</w:t>
      </w:r>
      <w:r w:rsidR="00714A82" w:rsidRPr="00E61996">
        <w:rPr>
          <w:noProof/>
        </w:rPr>
        <w:t xml:space="preserve"> </w:t>
      </w:r>
    </w:p>
    <w:p w14:paraId="7BDBE9E9" w14:textId="6F562502" w:rsidR="00185D4D" w:rsidRPr="00E61996" w:rsidRDefault="008B49D4" w:rsidP="00C0791C">
      <w:pPr>
        <w:pStyle w:val="CBDNormalNoNumber"/>
        <w:rPr>
          <w:noProof/>
        </w:rPr>
      </w:pPr>
      <w:r w:rsidRPr="00E61996">
        <w:rPr>
          <w:noProof/>
        </w:rPr>
        <w:t>9</w:t>
      </w:r>
      <w:r w:rsidR="0000557F" w:rsidRPr="00E61996">
        <w:rPr>
          <w:noProof/>
        </w:rPr>
        <w:t>.</w:t>
      </w:r>
      <w:r w:rsidR="0000557F" w:rsidRPr="00E61996">
        <w:rPr>
          <w:noProof/>
        </w:rPr>
        <w:tab/>
      </w:r>
      <w:r w:rsidR="002A5E30" w:rsidRPr="00E61996">
        <w:rPr>
          <w:noProof/>
        </w:rPr>
        <w:t>Les systèmes coutumiers de régime foncier</w:t>
      </w:r>
      <w:r w:rsidR="00F4583D" w:rsidRPr="00E61996">
        <w:rPr>
          <w:noProof/>
        </w:rPr>
        <w:t xml:space="preserve">, </w:t>
      </w:r>
      <w:r w:rsidR="00714A82" w:rsidRPr="00E61996">
        <w:rPr>
          <w:noProof/>
        </w:rPr>
        <w:t xml:space="preserve">de gouvernance </w:t>
      </w:r>
      <w:r w:rsidR="00F4583D" w:rsidRPr="00E61996">
        <w:rPr>
          <w:noProof/>
        </w:rPr>
        <w:t>de l</w:t>
      </w:r>
      <w:r w:rsidR="006D70C2" w:rsidRPr="00E61996">
        <w:rPr>
          <w:noProof/>
        </w:rPr>
        <w:t>’</w:t>
      </w:r>
      <w:r w:rsidR="00F4583D" w:rsidRPr="00E61996">
        <w:rPr>
          <w:noProof/>
        </w:rPr>
        <w:t xml:space="preserve">eau et des territoires, </w:t>
      </w:r>
      <w:r w:rsidR="00714A82" w:rsidRPr="00E61996">
        <w:rPr>
          <w:noProof/>
        </w:rPr>
        <w:t xml:space="preserve">ainsi que </w:t>
      </w:r>
      <w:r w:rsidR="00F4583D" w:rsidRPr="00E61996">
        <w:rPr>
          <w:noProof/>
        </w:rPr>
        <w:t>les systèmes de gouvernance</w:t>
      </w:r>
      <w:r w:rsidR="00714A82" w:rsidRPr="00E61996">
        <w:rPr>
          <w:noProof/>
        </w:rPr>
        <w:t xml:space="preserve"> et</w:t>
      </w:r>
      <w:r w:rsidR="00F4583D" w:rsidRPr="00E61996">
        <w:rPr>
          <w:noProof/>
        </w:rPr>
        <w:t xml:space="preserve"> le</w:t>
      </w:r>
      <w:r w:rsidR="002A5E30" w:rsidRPr="00E61996">
        <w:rPr>
          <w:noProof/>
        </w:rPr>
        <w:t>s procédures et le</w:t>
      </w:r>
      <w:r w:rsidR="00F4583D" w:rsidRPr="00E61996">
        <w:rPr>
          <w:noProof/>
        </w:rPr>
        <w:t xml:space="preserve"> droit coutumier</w:t>
      </w:r>
      <w:r w:rsidR="002A5E30" w:rsidRPr="00E61996">
        <w:rPr>
          <w:noProof/>
        </w:rPr>
        <w:t>s</w:t>
      </w:r>
      <w:r w:rsidR="00F4583D" w:rsidRPr="00E61996">
        <w:rPr>
          <w:noProof/>
        </w:rPr>
        <w:t xml:space="preserve"> des peuples autochtones et communautés locales </w:t>
      </w:r>
      <w:r w:rsidR="0000557F" w:rsidRPr="00E61996">
        <w:rPr>
          <w:noProof/>
        </w:rPr>
        <w:t>devraient être reconnus et respectés.</w:t>
      </w:r>
    </w:p>
    <w:p w14:paraId="3EA98356" w14:textId="20A2FBC4" w:rsidR="00185D4D" w:rsidRPr="00E61996" w:rsidRDefault="00185D4D" w:rsidP="00C0791C">
      <w:pPr>
        <w:pStyle w:val="CBDH2"/>
        <w:outlineLvl w:val="1"/>
        <w:rPr>
          <w:noProof/>
        </w:rPr>
      </w:pPr>
      <w:r w:rsidRPr="00E61996">
        <w:rPr>
          <w:noProof/>
        </w:rPr>
        <w:t>C.</w:t>
      </w:r>
      <w:r w:rsidRPr="00E61996">
        <w:rPr>
          <w:noProof/>
        </w:rPr>
        <w:tab/>
        <w:t>Approche fondée sur les droits humains</w:t>
      </w:r>
    </w:p>
    <w:p w14:paraId="08203F1B" w14:textId="6D180474" w:rsidR="00185D4D" w:rsidRPr="00E61996" w:rsidRDefault="000B2B88" w:rsidP="00C0791C">
      <w:pPr>
        <w:pStyle w:val="CBDNormalNoNumber"/>
        <w:rPr>
          <w:noProof/>
        </w:rPr>
      </w:pPr>
      <w:r w:rsidRPr="00E61996">
        <w:rPr>
          <w:noProof/>
        </w:rPr>
        <w:t>1</w:t>
      </w:r>
      <w:r w:rsidR="00537E86" w:rsidRPr="00E61996">
        <w:rPr>
          <w:noProof/>
        </w:rPr>
        <w:t>0</w:t>
      </w:r>
      <w:r w:rsidR="0000557F" w:rsidRPr="00E61996">
        <w:rPr>
          <w:noProof/>
        </w:rPr>
        <w:t>.</w:t>
      </w:r>
      <w:r w:rsidR="0000557F" w:rsidRPr="00E61996">
        <w:rPr>
          <w:noProof/>
        </w:rPr>
        <w:tab/>
        <w:t xml:space="preserve">Les </w:t>
      </w:r>
      <w:r w:rsidR="00714A82" w:rsidRPr="00E61996">
        <w:rPr>
          <w:noProof/>
        </w:rPr>
        <w:t>mesures</w:t>
      </w:r>
      <w:r w:rsidR="0000557F" w:rsidRPr="00E61996">
        <w:rPr>
          <w:noProof/>
        </w:rPr>
        <w:t xml:space="preserve"> de conservation et de restauration</w:t>
      </w:r>
      <w:r w:rsidR="008B49D4" w:rsidRPr="00E61996">
        <w:rPr>
          <w:noProof/>
        </w:rPr>
        <w:t xml:space="preserve"> des écosytèmes</w:t>
      </w:r>
      <w:r w:rsidR="0000557F" w:rsidRPr="00E61996">
        <w:rPr>
          <w:noProof/>
        </w:rPr>
        <w:t>, l</w:t>
      </w:r>
      <w:r w:rsidR="006D70C2" w:rsidRPr="00E61996">
        <w:rPr>
          <w:noProof/>
        </w:rPr>
        <w:t>’</w:t>
      </w:r>
      <w:r w:rsidR="0000557F" w:rsidRPr="00E61996">
        <w:rPr>
          <w:noProof/>
        </w:rPr>
        <w:t>aménagement du territoire et les évaluations d</w:t>
      </w:r>
      <w:r w:rsidR="006D70C2" w:rsidRPr="00E61996">
        <w:rPr>
          <w:noProof/>
        </w:rPr>
        <w:t>’</w:t>
      </w:r>
      <w:r w:rsidR="0000557F" w:rsidRPr="00E61996">
        <w:rPr>
          <w:noProof/>
        </w:rPr>
        <w:t>impact environnemental devraient reposer sur une approche fondée sur les droits humains, qui respecte, protège et promeut les droits des peuples autochtones et communautés locales</w:t>
      </w:r>
      <w:r w:rsidR="008B49D4" w:rsidRPr="00E61996">
        <w:rPr>
          <w:noProof/>
        </w:rPr>
        <w:t>[</w:t>
      </w:r>
      <w:r w:rsidR="0000557F" w:rsidRPr="00E61996">
        <w:rPr>
          <w:noProof/>
        </w:rPr>
        <w:t xml:space="preserve">, </w:t>
      </w:r>
      <w:r w:rsidR="00010FCC" w:rsidRPr="00E61996">
        <w:rPr>
          <w:noProof/>
        </w:rPr>
        <w:t xml:space="preserve">y compris le droit de participer aux décisions qui les concernent et le droit à un règlement juste et équitable des différends, </w:t>
      </w:r>
      <w:r w:rsidR="008B49D4" w:rsidRPr="00E61996">
        <w:rPr>
          <w:noProof/>
        </w:rPr>
        <w:t>[</w:t>
      </w:r>
      <w:r w:rsidR="0000557F" w:rsidRPr="00E61996">
        <w:rPr>
          <w:noProof/>
        </w:rPr>
        <w:t>conformément</w:t>
      </w:r>
      <w:r w:rsidR="008B49D4" w:rsidRPr="00E61996">
        <w:rPr>
          <w:noProof/>
        </w:rPr>
        <w:t xml:space="preserve"> à] [d’une manière compatible avec]</w:t>
      </w:r>
      <w:r w:rsidR="0000557F" w:rsidRPr="00E61996">
        <w:rPr>
          <w:noProof/>
        </w:rPr>
        <w:t xml:space="preserve"> la Déclaration des Nations Unies sur les droits des peuples autochtones</w:t>
      </w:r>
      <w:r w:rsidR="0000557F" w:rsidRPr="00E61996">
        <w:rPr>
          <w:rStyle w:val="FootnoteReference"/>
          <w:noProof/>
        </w:rPr>
        <w:footnoteReference w:id="10"/>
      </w:r>
      <w:r w:rsidR="0000557F" w:rsidRPr="00E61996">
        <w:rPr>
          <w:noProof/>
        </w:rPr>
        <w:t xml:space="preserve"> et au droit relatif aux droits humains</w:t>
      </w:r>
      <w:r w:rsidR="008B49D4" w:rsidRPr="00E61996">
        <w:rPr>
          <w:noProof/>
        </w:rPr>
        <w:t>.</w:t>
      </w:r>
      <w:r w:rsidR="00010FCC" w:rsidRPr="00E61996">
        <w:rPr>
          <w:noProof/>
        </w:rPr>
        <w:t xml:space="preserve">] </w:t>
      </w:r>
      <w:r w:rsidRPr="00E61996">
        <w:rPr>
          <w:noProof/>
        </w:rPr>
        <w:t>[</w:t>
      </w:r>
      <w:r w:rsidR="00010FCC" w:rsidRPr="00E61996">
        <w:rPr>
          <w:noProof/>
        </w:rPr>
        <w:t xml:space="preserve">La Déclaration des Nations Unies sur les droits des peuples autochtones définit les normes minimales pour la survie, la dignité et le bien-être des peuples autochtones, notamment en encourageant leur participation pleine et effective à toutes les questions qui les concernent, </w:t>
      </w:r>
      <w:r w:rsidR="008B49D4" w:rsidRPr="00E61996">
        <w:rPr>
          <w:noProof/>
        </w:rPr>
        <w:t xml:space="preserve">y compris </w:t>
      </w:r>
      <w:r w:rsidR="00010FCC" w:rsidRPr="00E61996">
        <w:rPr>
          <w:noProof/>
        </w:rPr>
        <w:t>en matière de terres, d</w:t>
      </w:r>
      <w:r w:rsidR="006D70C2" w:rsidRPr="00E61996">
        <w:rPr>
          <w:noProof/>
        </w:rPr>
        <w:t>’</w:t>
      </w:r>
      <w:r w:rsidR="00010FCC" w:rsidRPr="00E61996">
        <w:rPr>
          <w:noProof/>
        </w:rPr>
        <w:t>eaux et de territoires, de santé, de culture, de spiritualité, de gouvernance et d</w:t>
      </w:r>
      <w:r w:rsidR="006D70C2" w:rsidRPr="00E61996">
        <w:rPr>
          <w:noProof/>
        </w:rPr>
        <w:t>’</w:t>
      </w:r>
      <w:r w:rsidR="00010FCC" w:rsidRPr="00E61996">
        <w:rPr>
          <w:noProof/>
        </w:rPr>
        <w:t>autodétermination. À cet égard, rien dans les présentes lignes directrices ne peut être interprété comme diminuant ou supprimant les droits dont les peuples autochtones jouissent actuellement ou pourraient acquérir à l</w:t>
      </w:r>
      <w:r w:rsidR="006D70C2" w:rsidRPr="00E61996">
        <w:rPr>
          <w:noProof/>
        </w:rPr>
        <w:t>’</w:t>
      </w:r>
      <w:r w:rsidR="00010FCC" w:rsidRPr="00E61996">
        <w:rPr>
          <w:noProof/>
        </w:rPr>
        <w:t xml:space="preserve">avenir.] Les droits des individus découlant </w:t>
      </w:r>
      <w:r w:rsidR="002A5E30" w:rsidRPr="00E61996">
        <w:rPr>
          <w:noProof/>
        </w:rPr>
        <w:t>des</w:t>
      </w:r>
      <w:r w:rsidR="00714A82" w:rsidRPr="00E61996">
        <w:t xml:space="preserve"> </w:t>
      </w:r>
      <w:r w:rsidR="00714A82" w:rsidRPr="00E61996">
        <w:rPr>
          <w:noProof/>
        </w:rPr>
        <w:t>instruments relatifs aux droits</w:t>
      </w:r>
      <w:r w:rsidR="00010FCC" w:rsidRPr="00E61996">
        <w:rPr>
          <w:noProof/>
        </w:rPr>
        <w:t xml:space="preserve"> droits </w:t>
      </w:r>
      <w:r w:rsidR="002A5E30" w:rsidRPr="00E61996">
        <w:rPr>
          <w:noProof/>
        </w:rPr>
        <w:t>humains</w:t>
      </w:r>
      <w:r w:rsidR="00010FCC" w:rsidRPr="00E61996">
        <w:rPr>
          <w:noProof/>
        </w:rPr>
        <w:t>, y compris le droit à un environnement propre, sain et durable</w:t>
      </w:r>
      <w:r w:rsidR="00010FCC" w:rsidRPr="00E61996">
        <w:t xml:space="preserve"> </w:t>
      </w:r>
      <w:r w:rsidR="00010FCC" w:rsidRPr="00E61996">
        <w:rPr>
          <w:noProof/>
        </w:rPr>
        <w:t xml:space="preserve">et </w:t>
      </w:r>
      <w:r w:rsidR="008B49D4" w:rsidRPr="00E61996">
        <w:rPr>
          <w:noProof/>
        </w:rPr>
        <w:t xml:space="preserve">de </w:t>
      </w:r>
      <w:r w:rsidR="00010FCC" w:rsidRPr="00E61996">
        <w:rPr>
          <w:noProof/>
        </w:rPr>
        <w:t>l</w:t>
      </w:r>
      <w:r w:rsidR="006D70C2" w:rsidRPr="00E61996">
        <w:rPr>
          <w:noProof/>
        </w:rPr>
        <w:t>’</w:t>
      </w:r>
      <w:r w:rsidR="00010FCC" w:rsidRPr="00E61996">
        <w:rPr>
          <w:noProof/>
        </w:rPr>
        <w:t xml:space="preserve">état de droit, devraient également être reconnus. </w:t>
      </w:r>
      <w:r w:rsidR="0000557F" w:rsidRPr="00E61996">
        <w:rPr>
          <w:noProof/>
        </w:rPr>
        <w:t xml:space="preserve"> </w:t>
      </w:r>
    </w:p>
    <w:p w14:paraId="58219F83" w14:textId="1F4DA06B" w:rsidR="00185D4D" w:rsidRPr="00E61996" w:rsidRDefault="00621799" w:rsidP="00C0791C">
      <w:pPr>
        <w:pStyle w:val="CBDH2"/>
        <w:outlineLvl w:val="1"/>
        <w:rPr>
          <w:noProof/>
        </w:rPr>
      </w:pPr>
      <w:r w:rsidRPr="00E61996">
        <w:rPr>
          <w:noProof/>
        </w:rPr>
        <w:t>D.</w:t>
      </w:r>
      <w:r w:rsidRPr="00E61996">
        <w:rPr>
          <w:noProof/>
        </w:rPr>
        <w:tab/>
        <w:t>Consentement préalable, donné librement et en connaissance de cause</w:t>
      </w:r>
    </w:p>
    <w:p w14:paraId="1CF140FB" w14:textId="6D39576B" w:rsidR="00185D4D" w:rsidRPr="00E61996" w:rsidRDefault="00033629" w:rsidP="00C0791C">
      <w:pPr>
        <w:pStyle w:val="CBDNormalNoNumber"/>
        <w:rPr>
          <w:noProof/>
        </w:rPr>
      </w:pPr>
      <w:r w:rsidRPr="00E61996">
        <w:rPr>
          <w:noProof/>
        </w:rPr>
        <w:t>1</w:t>
      </w:r>
      <w:r w:rsidR="008B49D4" w:rsidRPr="00E61996">
        <w:rPr>
          <w:noProof/>
        </w:rPr>
        <w:t>1</w:t>
      </w:r>
      <w:r w:rsidRPr="00E61996">
        <w:rPr>
          <w:noProof/>
        </w:rPr>
        <w:t>.</w:t>
      </w:r>
      <w:r w:rsidRPr="00E61996">
        <w:rPr>
          <w:noProof/>
        </w:rPr>
        <w:tab/>
        <w:t>Il convient de respecter le consentement préalable, donné librement et en connaissance de cause</w:t>
      </w:r>
      <w:r w:rsidR="002A5E30" w:rsidRPr="00E61996">
        <w:rPr>
          <w:rStyle w:val="FootnoteReference"/>
        </w:rPr>
        <w:footnoteReference w:id="11"/>
      </w:r>
      <w:r w:rsidRPr="00E61996">
        <w:rPr>
          <w:noProof/>
        </w:rPr>
        <w:t xml:space="preserve"> des peuples autochtones et communautés locales dans le cadre de la conception et de la mise en œuvre des activités d</w:t>
      </w:r>
      <w:r w:rsidR="006D70C2" w:rsidRPr="00E61996">
        <w:rPr>
          <w:noProof/>
        </w:rPr>
        <w:t>’</w:t>
      </w:r>
      <w:r w:rsidRPr="00E61996">
        <w:rPr>
          <w:noProof/>
        </w:rPr>
        <w:t xml:space="preserve">aménagement du territoire et </w:t>
      </w:r>
      <w:r w:rsidR="00F10E5B" w:rsidRPr="00E61996">
        <w:rPr>
          <w:noProof/>
        </w:rPr>
        <w:t>d’</w:t>
      </w:r>
      <w:r w:rsidRPr="00E61996">
        <w:rPr>
          <w:noProof/>
        </w:rPr>
        <w:t>évaluation</w:t>
      </w:r>
      <w:r w:rsidR="00F10E5B" w:rsidRPr="00E61996">
        <w:rPr>
          <w:noProof/>
        </w:rPr>
        <w:t xml:space="preserve"> </w:t>
      </w:r>
      <w:r w:rsidRPr="00E61996">
        <w:rPr>
          <w:noProof/>
        </w:rPr>
        <w:t>d</w:t>
      </w:r>
      <w:r w:rsidR="00F10E5B" w:rsidRPr="00E61996">
        <w:rPr>
          <w:noProof/>
        </w:rPr>
        <w:t>e l</w:t>
      </w:r>
      <w:r w:rsidR="006D70C2" w:rsidRPr="00E61996">
        <w:rPr>
          <w:noProof/>
        </w:rPr>
        <w:t>’</w:t>
      </w:r>
      <w:r w:rsidRPr="00E61996">
        <w:rPr>
          <w:noProof/>
        </w:rPr>
        <w:t>impact environnemental</w:t>
      </w:r>
      <w:r w:rsidR="00010FCC" w:rsidRPr="00E61996">
        <w:rPr>
          <w:noProof/>
        </w:rPr>
        <w:t xml:space="preserve">, </w:t>
      </w:r>
      <w:r w:rsidR="00F10E5B" w:rsidRPr="00E61996">
        <w:rPr>
          <w:noProof/>
        </w:rPr>
        <w:t>selon qu’il convient</w:t>
      </w:r>
      <w:r w:rsidRPr="00E61996">
        <w:rPr>
          <w:noProof/>
        </w:rPr>
        <w:t>, y compris celles relatives à la désignation et à la gestion des zones de conservation et de restauration susceptibles d</w:t>
      </w:r>
      <w:r w:rsidR="006D70C2" w:rsidRPr="00E61996">
        <w:rPr>
          <w:noProof/>
        </w:rPr>
        <w:t>’</w:t>
      </w:r>
      <w:r w:rsidRPr="00E61996">
        <w:rPr>
          <w:noProof/>
        </w:rPr>
        <w:t>avoir une incidence sur leurs terres, leurs territoires, leurs eaux, leurs ressources et leur patrimoine culturel</w:t>
      </w:r>
      <w:r w:rsidR="000B2B88" w:rsidRPr="00E61996">
        <w:rPr>
          <w:noProof/>
        </w:rPr>
        <w:t xml:space="preserve"> </w:t>
      </w:r>
      <w:r w:rsidR="00010FCC" w:rsidRPr="00E61996">
        <w:rPr>
          <w:noProof/>
        </w:rPr>
        <w:t>conformément aux circonstances nationales.</w:t>
      </w:r>
    </w:p>
    <w:p w14:paraId="6E568F3C" w14:textId="70503981" w:rsidR="00185D4D" w:rsidRPr="00E61996" w:rsidRDefault="00185D4D" w:rsidP="00C0791C">
      <w:pPr>
        <w:pStyle w:val="CBDH2"/>
        <w:outlineLvl w:val="1"/>
        <w:rPr>
          <w:noProof/>
        </w:rPr>
      </w:pPr>
      <w:r w:rsidRPr="00E61996">
        <w:rPr>
          <w:noProof/>
        </w:rPr>
        <w:t>E.</w:t>
      </w:r>
      <w:r w:rsidRPr="00E61996">
        <w:rPr>
          <w:noProof/>
        </w:rPr>
        <w:tab/>
        <w:t>Connaissances</w:t>
      </w:r>
      <w:r w:rsidR="00C3724C" w:rsidRPr="00E61996">
        <w:rPr>
          <w:noProof/>
        </w:rPr>
        <w:t>,</w:t>
      </w:r>
      <w:r w:rsidR="00C3724C" w:rsidRPr="00E61996">
        <w:t xml:space="preserve"> </w:t>
      </w:r>
      <w:r w:rsidR="00C3724C" w:rsidRPr="00E61996">
        <w:rPr>
          <w:noProof/>
        </w:rPr>
        <w:t>innovations et pratiques</w:t>
      </w:r>
      <w:r w:rsidRPr="00E61996">
        <w:rPr>
          <w:noProof/>
        </w:rPr>
        <w:t xml:space="preserve"> traditionnelles </w:t>
      </w:r>
    </w:p>
    <w:p w14:paraId="09C1D787" w14:textId="4DD4837E" w:rsidR="00185D4D" w:rsidRPr="00E61996" w:rsidRDefault="00033629" w:rsidP="00C0791C">
      <w:pPr>
        <w:pStyle w:val="CBDNormalNoNumber"/>
        <w:rPr>
          <w:noProof/>
        </w:rPr>
      </w:pPr>
      <w:r w:rsidRPr="00E61996">
        <w:rPr>
          <w:noProof/>
        </w:rPr>
        <w:t>1</w:t>
      </w:r>
      <w:r w:rsidR="008B49D4" w:rsidRPr="00E61996">
        <w:rPr>
          <w:noProof/>
        </w:rPr>
        <w:t>2</w:t>
      </w:r>
      <w:r w:rsidRPr="00E61996">
        <w:rPr>
          <w:noProof/>
        </w:rPr>
        <w:t>.</w:t>
      </w:r>
      <w:r w:rsidRPr="00E61996">
        <w:rPr>
          <w:noProof/>
        </w:rPr>
        <w:tab/>
      </w:r>
      <w:r w:rsidR="00F10E5B" w:rsidRPr="00E61996">
        <w:rPr>
          <w:noProof/>
        </w:rPr>
        <w:t xml:space="preserve">Les connaissances, innovations et pratiques traditionnelles des peuples autochtones et communautés locales donnent des orientations et des informations culturelles précieuses pour améliorer et appuyer la mise en œuvre de mesures de conservation et de restauration des écosystèmes, l'aménagement des territoires et les processus de gestion efficaces concernant le changement </w:t>
      </w:r>
      <w:r w:rsidR="00F10E5B" w:rsidRPr="00E61996">
        <w:rPr>
          <w:noProof/>
        </w:rPr>
        <w:lastRenderedPageBreak/>
        <w:t xml:space="preserve">d'affectation des terres et des mers et les évaluations de l'impact sur l'environnement, en plus d'autres systèmes de connaissances. </w:t>
      </w:r>
      <w:r w:rsidR="00C3724C" w:rsidRPr="00E61996">
        <w:rPr>
          <w:noProof/>
        </w:rPr>
        <w:t xml:space="preserve">Les </w:t>
      </w:r>
      <w:r w:rsidR="008B49D4" w:rsidRPr="00E61996">
        <w:rPr>
          <w:noProof/>
        </w:rPr>
        <w:t xml:space="preserve">systèmes traditionnels de </w:t>
      </w:r>
      <w:r w:rsidR="00C3724C" w:rsidRPr="00E61996">
        <w:rPr>
          <w:noProof/>
        </w:rPr>
        <w:t xml:space="preserve">connaissances devraient donc être reconnus, respectés, valorisés et protégés, notamment </w:t>
      </w:r>
      <w:r w:rsidR="00F10E5B" w:rsidRPr="00E61996">
        <w:rPr>
          <w:noProof/>
        </w:rPr>
        <w:t>en respectant le</w:t>
      </w:r>
      <w:r w:rsidR="00C3724C" w:rsidRPr="00E61996">
        <w:rPr>
          <w:noProof/>
        </w:rPr>
        <w:t xml:space="preserve"> consentement préalable, donné librement et en connaissance de cause des détenteurs de ces connaissances traditionnelles.</w:t>
      </w:r>
      <w:r w:rsidRPr="00E61996">
        <w:rPr>
          <w:noProof/>
        </w:rPr>
        <w:t xml:space="preserve"> </w:t>
      </w:r>
    </w:p>
    <w:p w14:paraId="6C760AB7" w14:textId="618CB2DF" w:rsidR="00185D4D" w:rsidRPr="00E61996" w:rsidRDefault="00185D4D" w:rsidP="00C0791C">
      <w:pPr>
        <w:pStyle w:val="CBDH2"/>
        <w:rPr>
          <w:noProof/>
        </w:rPr>
      </w:pPr>
      <w:r w:rsidRPr="00E61996">
        <w:rPr>
          <w:noProof/>
        </w:rPr>
        <w:t>F.</w:t>
      </w:r>
      <w:r w:rsidRPr="00E61996">
        <w:rPr>
          <w:noProof/>
        </w:rPr>
        <w:tab/>
        <w:t xml:space="preserve">Égalité des </w:t>
      </w:r>
      <w:r w:rsidR="00A52497" w:rsidRPr="00E61996">
        <w:rPr>
          <w:noProof/>
        </w:rPr>
        <w:t>genres</w:t>
      </w:r>
      <w:r w:rsidRPr="00E61996">
        <w:rPr>
          <w:noProof/>
        </w:rPr>
        <w:t xml:space="preserve"> et équité intergénérationnelle</w:t>
      </w:r>
    </w:p>
    <w:p w14:paraId="18483D79" w14:textId="7149F408" w:rsidR="003D77CE" w:rsidRPr="00E61996" w:rsidRDefault="00C3724C" w:rsidP="00C0791C">
      <w:pPr>
        <w:pStyle w:val="CBDNormalNoNumber"/>
        <w:rPr>
          <w:noProof/>
        </w:rPr>
      </w:pPr>
      <w:r w:rsidRPr="00E61996">
        <w:rPr>
          <w:noProof/>
        </w:rPr>
        <w:t>1</w:t>
      </w:r>
      <w:r w:rsidR="008B49D4" w:rsidRPr="00E61996">
        <w:rPr>
          <w:noProof/>
        </w:rPr>
        <w:t>3</w:t>
      </w:r>
      <w:r w:rsidR="0090421B" w:rsidRPr="00E61996">
        <w:rPr>
          <w:noProof/>
        </w:rPr>
        <w:t>.</w:t>
      </w:r>
      <w:r w:rsidR="0090421B" w:rsidRPr="00E61996">
        <w:rPr>
          <w:noProof/>
        </w:rPr>
        <w:tab/>
      </w:r>
      <w:r w:rsidR="00F10E5B" w:rsidRPr="00E61996">
        <w:rPr>
          <w:noProof/>
        </w:rPr>
        <w:t>L</w:t>
      </w:r>
      <w:r w:rsidR="0090421B" w:rsidRPr="00E61996">
        <w:rPr>
          <w:noProof/>
        </w:rPr>
        <w:t>e rôle essentiel que jouent les femmes et les filles, les enfants et les jeunes, les détenteurs de connaissances et les anciens des peuples autochtones et communautés locales d</w:t>
      </w:r>
      <w:r w:rsidR="00F10E5B" w:rsidRPr="00E61996">
        <w:rPr>
          <w:noProof/>
        </w:rPr>
        <w:t>oit être pris en compte d</w:t>
      </w:r>
      <w:r w:rsidR="0090421B" w:rsidRPr="00E61996">
        <w:rPr>
          <w:noProof/>
        </w:rPr>
        <w:t xml:space="preserve">ans les </w:t>
      </w:r>
      <w:r w:rsidR="00F10E5B" w:rsidRPr="00E61996">
        <w:rPr>
          <w:noProof/>
        </w:rPr>
        <w:t>mesures</w:t>
      </w:r>
      <w:r w:rsidR="0090421B" w:rsidRPr="00E61996">
        <w:rPr>
          <w:noProof/>
        </w:rPr>
        <w:t xml:space="preserve"> de conservation et de restauration</w:t>
      </w:r>
      <w:r w:rsidR="008B49D4" w:rsidRPr="00E61996">
        <w:rPr>
          <w:noProof/>
        </w:rPr>
        <w:t xml:space="preserve"> des écosytèmes</w:t>
      </w:r>
      <w:r w:rsidR="0090421B" w:rsidRPr="00E61996">
        <w:rPr>
          <w:noProof/>
        </w:rPr>
        <w:t>, l</w:t>
      </w:r>
      <w:r w:rsidR="006D70C2" w:rsidRPr="00E61996">
        <w:rPr>
          <w:noProof/>
        </w:rPr>
        <w:t>’</w:t>
      </w:r>
      <w:r w:rsidR="0090421B" w:rsidRPr="00E61996">
        <w:rPr>
          <w:noProof/>
        </w:rPr>
        <w:t>aménagement du territoire et les évaluations d</w:t>
      </w:r>
      <w:r w:rsidR="006D70C2" w:rsidRPr="00E61996">
        <w:rPr>
          <w:noProof/>
        </w:rPr>
        <w:t>’</w:t>
      </w:r>
      <w:r w:rsidR="0090421B" w:rsidRPr="00E61996">
        <w:rPr>
          <w:noProof/>
        </w:rPr>
        <w:t xml:space="preserve">impact environnemental. </w:t>
      </w:r>
      <w:r w:rsidRPr="00E61996">
        <w:rPr>
          <w:noProof/>
        </w:rPr>
        <w:t xml:space="preserve">Les femmes et les filles des peuples autochtones et communautés locales jouent un rôle important dans la préservation et la transmission des savoirs traditionnels. </w:t>
      </w:r>
      <w:r w:rsidR="0090421B" w:rsidRPr="00E61996">
        <w:rPr>
          <w:noProof/>
        </w:rPr>
        <w:t>Les approches qui favorisent l</w:t>
      </w:r>
      <w:r w:rsidR="006D70C2" w:rsidRPr="00E61996">
        <w:rPr>
          <w:noProof/>
        </w:rPr>
        <w:t>’</w:t>
      </w:r>
      <w:r w:rsidR="0090421B" w:rsidRPr="00E61996">
        <w:rPr>
          <w:noProof/>
        </w:rPr>
        <w:t xml:space="preserve">égalité des </w:t>
      </w:r>
      <w:r w:rsidR="002A5E30" w:rsidRPr="00E61996">
        <w:rPr>
          <w:noProof/>
        </w:rPr>
        <w:t>genres</w:t>
      </w:r>
      <w:r w:rsidR="0090421B" w:rsidRPr="00E61996">
        <w:rPr>
          <w:noProof/>
        </w:rPr>
        <w:t xml:space="preserve"> devraient lever les obstacles à la participation </w:t>
      </w:r>
      <w:r w:rsidR="007F1BDE" w:rsidRPr="00E61996">
        <w:rPr>
          <w:noProof/>
        </w:rPr>
        <w:t xml:space="preserve">et au leadership </w:t>
      </w:r>
      <w:r w:rsidR="0090421B" w:rsidRPr="00E61996">
        <w:rPr>
          <w:noProof/>
        </w:rPr>
        <w:t>des femmes et des filles</w:t>
      </w:r>
      <w:r w:rsidR="007F1BDE" w:rsidRPr="00E61996">
        <w:rPr>
          <w:noProof/>
        </w:rPr>
        <w:t>,</w:t>
      </w:r>
      <w:r w:rsidR="0090421B" w:rsidRPr="00E61996">
        <w:rPr>
          <w:noProof/>
        </w:rPr>
        <w:t xml:space="preserve"> </w:t>
      </w:r>
      <w:r w:rsidR="007F1BDE" w:rsidRPr="00E61996">
        <w:rPr>
          <w:noProof/>
        </w:rPr>
        <w:t>des enfants et des jeunes des peuples autochtones et communautés locales,</w:t>
      </w:r>
      <w:r w:rsidR="007F1BDE" w:rsidRPr="00E61996" w:rsidDel="007F1BDE">
        <w:rPr>
          <w:noProof/>
        </w:rPr>
        <w:t xml:space="preserve"> </w:t>
      </w:r>
      <w:r w:rsidR="007F1BDE" w:rsidRPr="00E61996">
        <w:rPr>
          <w:noProof/>
        </w:rPr>
        <w:t>ainsi qu’</w:t>
      </w:r>
      <w:r w:rsidR="0090421B" w:rsidRPr="00E61996">
        <w:rPr>
          <w:noProof/>
        </w:rPr>
        <w:t xml:space="preserve">au partage des avantages qui leur reviennent, et devraient garantir la transmission des connaissances spécifiques au genre. </w:t>
      </w:r>
    </w:p>
    <w:p w14:paraId="078602EC" w14:textId="25CEE243" w:rsidR="00185D4D" w:rsidRPr="00E61996" w:rsidRDefault="007F1BDE" w:rsidP="00C0791C">
      <w:pPr>
        <w:pStyle w:val="CBDNormalNoNumber"/>
        <w:rPr>
          <w:noProof/>
        </w:rPr>
      </w:pPr>
      <w:r w:rsidRPr="00E61996">
        <w:rPr>
          <w:noProof/>
        </w:rPr>
        <w:t>1</w:t>
      </w:r>
      <w:r w:rsidR="008B49D4" w:rsidRPr="00E61996">
        <w:rPr>
          <w:noProof/>
        </w:rPr>
        <w:t>4</w:t>
      </w:r>
      <w:r w:rsidR="0090421B" w:rsidRPr="00E61996">
        <w:rPr>
          <w:noProof/>
        </w:rPr>
        <w:t>.</w:t>
      </w:r>
      <w:r w:rsidR="0090421B" w:rsidRPr="00E61996">
        <w:rPr>
          <w:noProof/>
        </w:rPr>
        <w:tab/>
        <w:t>La mise en œuvre des présentes lignes directrices devrait être guidée par les principes d</w:t>
      </w:r>
      <w:r w:rsidR="006D70C2" w:rsidRPr="00E61996">
        <w:rPr>
          <w:noProof/>
        </w:rPr>
        <w:t>’</w:t>
      </w:r>
      <w:r w:rsidR="0090421B" w:rsidRPr="00E61996">
        <w:rPr>
          <w:noProof/>
        </w:rPr>
        <w:t xml:space="preserve">équité intergénérationnelle afin de garantir que les besoins de la génération actuelle sont satisfaits sans compromettre la capacité des générations futures à satisfaire leurs propres besoins et que les jeunes générations peuvent participer de manière significative à la prise de décision à tous les niveaux. </w:t>
      </w:r>
    </w:p>
    <w:p w14:paraId="3B2AD5B3" w14:textId="18F3CB35" w:rsidR="00185D4D" w:rsidRPr="00E61996" w:rsidRDefault="00185D4D" w:rsidP="00C0791C">
      <w:pPr>
        <w:pStyle w:val="CBDH2"/>
        <w:outlineLvl w:val="1"/>
        <w:rPr>
          <w:noProof/>
        </w:rPr>
      </w:pPr>
      <w:r w:rsidRPr="00E61996">
        <w:rPr>
          <w:noProof/>
        </w:rPr>
        <w:t>G.</w:t>
      </w:r>
      <w:r w:rsidRPr="00E61996">
        <w:rPr>
          <w:noProof/>
        </w:rPr>
        <w:tab/>
        <w:t>Reconnaissance de divers systèmes de valeurs</w:t>
      </w:r>
    </w:p>
    <w:p w14:paraId="7555162E" w14:textId="26587A4F" w:rsidR="00185D4D" w:rsidRPr="00E61996" w:rsidRDefault="007F1BDE" w:rsidP="00C0791C">
      <w:pPr>
        <w:pStyle w:val="CBDNormalNoNumber"/>
        <w:rPr>
          <w:noProof/>
        </w:rPr>
      </w:pPr>
      <w:r w:rsidRPr="00E61996">
        <w:rPr>
          <w:noProof/>
        </w:rPr>
        <w:t>1</w:t>
      </w:r>
      <w:r w:rsidR="008B49D4" w:rsidRPr="00E61996">
        <w:rPr>
          <w:noProof/>
        </w:rPr>
        <w:t>5</w:t>
      </w:r>
      <w:r w:rsidR="00643C2D" w:rsidRPr="00E61996">
        <w:rPr>
          <w:noProof/>
        </w:rPr>
        <w:t>.</w:t>
      </w:r>
      <w:r w:rsidR="00643C2D" w:rsidRPr="00E61996">
        <w:rPr>
          <w:noProof/>
        </w:rPr>
        <w:tab/>
        <w:t>Les efforts de conservation et de restauration</w:t>
      </w:r>
      <w:r w:rsidR="008B49D4" w:rsidRPr="00E61996">
        <w:rPr>
          <w:noProof/>
        </w:rPr>
        <w:t xml:space="preserve"> des écosystèmes</w:t>
      </w:r>
      <w:r w:rsidR="00643C2D" w:rsidRPr="00E61996">
        <w:rPr>
          <w:noProof/>
        </w:rPr>
        <w:t>, l</w:t>
      </w:r>
      <w:r w:rsidR="006D70C2" w:rsidRPr="00E61996">
        <w:rPr>
          <w:noProof/>
        </w:rPr>
        <w:t>’</w:t>
      </w:r>
      <w:r w:rsidR="00643C2D" w:rsidRPr="00E61996">
        <w:rPr>
          <w:noProof/>
        </w:rPr>
        <w:t>aménagement du territoire et les évaluations d</w:t>
      </w:r>
      <w:r w:rsidR="006D70C2" w:rsidRPr="00E61996">
        <w:rPr>
          <w:noProof/>
        </w:rPr>
        <w:t>’</w:t>
      </w:r>
      <w:r w:rsidR="00643C2D" w:rsidRPr="00E61996">
        <w:rPr>
          <w:noProof/>
        </w:rPr>
        <w:t xml:space="preserve">impact environnemental devraient être entrepris dans le respect des divers systèmes de valeurs des peuples autochtones et communautés locales. Des concepts tels que la Terre nourricière, </w:t>
      </w:r>
      <w:r w:rsidRPr="00E61996">
        <w:rPr>
          <w:noProof/>
        </w:rPr>
        <w:t>la spiritualité</w:t>
      </w:r>
      <w:r w:rsidR="008B49D4" w:rsidRPr="00E61996">
        <w:rPr>
          <w:noProof/>
        </w:rPr>
        <w:t>,</w:t>
      </w:r>
      <w:r w:rsidR="00643C2D" w:rsidRPr="00E61996">
        <w:rPr>
          <w:noProof/>
        </w:rPr>
        <w:t>les dons de la nature et les droits de la nature devraient être reconnus</w:t>
      </w:r>
      <w:r w:rsidRPr="00E61996">
        <w:t xml:space="preserve"> </w:t>
      </w:r>
      <w:r w:rsidRPr="00E61996">
        <w:rPr>
          <w:noProof/>
        </w:rPr>
        <w:t>et respectés conformément à la section C du Cadre et aux circonstances nationales</w:t>
      </w:r>
      <w:r w:rsidR="00643C2D" w:rsidRPr="00E61996">
        <w:rPr>
          <w:noProof/>
        </w:rPr>
        <w:t>. Les relations culturelles, spirituelles et holistiques des peuples autochtones et communautés locales avec leurs terres, territoires et eaux, ainsi que leurs systèmes de connaissances et institutions de gouvernance distincts, devraient également être reconnus</w:t>
      </w:r>
      <w:r w:rsidRPr="00E61996">
        <w:rPr>
          <w:noProof/>
        </w:rPr>
        <w:t xml:space="preserve"> et respectés</w:t>
      </w:r>
      <w:r w:rsidR="00643C2D" w:rsidRPr="00E61996">
        <w:rPr>
          <w:noProof/>
        </w:rPr>
        <w:t>.</w:t>
      </w:r>
      <w:r w:rsidRPr="00E61996">
        <w:rPr>
          <w:noProof/>
        </w:rPr>
        <w:t>]</w:t>
      </w:r>
      <w:r w:rsidR="00643C2D" w:rsidRPr="00E61996">
        <w:rPr>
          <w:noProof/>
        </w:rPr>
        <w:t xml:space="preserve"> </w:t>
      </w:r>
    </w:p>
    <w:p w14:paraId="12A4127D" w14:textId="7D7CDE29" w:rsidR="003D77CE" w:rsidRPr="00E61996" w:rsidRDefault="00954ED7" w:rsidP="00C0791C">
      <w:pPr>
        <w:pStyle w:val="CBDH1"/>
        <w:rPr>
          <w:noProof/>
        </w:rPr>
      </w:pPr>
      <w:r w:rsidRPr="00E61996">
        <w:rPr>
          <w:noProof/>
        </w:rPr>
        <w:t>IV.</w:t>
      </w:r>
      <w:r w:rsidRPr="00E61996">
        <w:rPr>
          <w:noProof/>
        </w:rPr>
        <w:tab/>
      </w:r>
      <w:r w:rsidR="007F1BDE" w:rsidRPr="00E61996">
        <w:rPr>
          <w:noProof/>
        </w:rPr>
        <w:t>Inclusion et prise en compte des terres traditionnelles et de l</w:t>
      </w:r>
      <w:r w:rsidR="006D70C2" w:rsidRPr="00E61996">
        <w:rPr>
          <w:noProof/>
        </w:rPr>
        <w:t>’</w:t>
      </w:r>
      <w:r w:rsidR="007F1BDE" w:rsidRPr="00E61996">
        <w:rPr>
          <w:noProof/>
        </w:rPr>
        <w:t>utilisation des ressources dans les processus d</w:t>
      </w:r>
      <w:r w:rsidR="006D70C2" w:rsidRPr="00E61996">
        <w:rPr>
          <w:noProof/>
        </w:rPr>
        <w:t>’</w:t>
      </w:r>
      <w:r w:rsidR="007F1BDE" w:rsidRPr="00E61996">
        <w:rPr>
          <w:noProof/>
        </w:rPr>
        <w:t>aménagement du territoire</w:t>
      </w:r>
    </w:p>
    <w:p w14:paraId="6C1CBEC9" w14:textId="0E229812" w:rsidR="00185D4D" w:rsidRPr="00E61996" w:rsidRDefault="007F1BDE" w:rsidP="00C0791C">
      <w:pPr>
        <w:pStyle w:val="CBDNormalNoNumber"/>
        <w:rPr>
          <w:noProof/>
        </w:rPr>
      </w:pPr>
      <w:r w:rsidRPr="00E61996">
        <w:rPr>
          <w:noProof/>
        </w:rPr>
        <w:t>1</w:t>
      </w:r>
      <w:r w:rsidR="008B49D4" w:rsidRPr="00E61996">
        <w:rPr>
          <w:noProof/>
        </w:rPr>
        <w:t>6</w:t>
      </w:r>
      <w:r w:rsidR="00954ED7" w:rsidRPr="00E61996">
        <w:rPr>
          <w:noProof/>
        </w:rPr>
        <w:t>.</w:t>
      </w:r>
      <w:r w:rsidR="00954ED7" w:rsidRPr="00E61996">
        <w:rPr>
          <w:noProof/>
        </w:rPr>
        <w:tab/>
        <w:t>Les lois et cadres politiques nationaux devraient, selon qu</w:t>
      </w:r>
      <w:r w:rsidR="006D70C2" w:rsidRPr="00E61996">
        <w:rPr>
          <w:noProof/>
        </w:rPr>
        <w:t>’</w:t>
      </w:r>
      <w:r w:rsidR="00954ED7" w:rsidRPr="00E61996">
        <w:rPr>
          <w:noProof/>
        </w:rPr>
        <w:t xml:space="preserve">il convient, </w:t>
      </w:r>
      <w:r w:rsidR="004D44A3" w:rsidRPr="00E61996">
        <w:rPr>
          <w:noProof/>
        </w:rPr>
        <w:t>garantir la reconnaissance des terres traditionnelles et de l</w:t>
      </w:r>
      <w:r w:rsidR="006D70C2" w:rsidRPr="00E61996">
        <w:rPr>
          <w:noProof/>
        </w:rPr>
        <w:t>’</w:t>
      </w:r>
      <w:r w:rsidR="004D44A3" w:rsidRPr="00E61996">
        <w:rPr>
          <w:noProof/>
        </w:rPr>
        <w:t>utilisation des ressources dans le cadre de processus participatifs, intégrés et respectueux de la biodiversité en matière d</w:t>
      </w:r>
      <w:r w:rsidR="006D70C2" w:rsidRPr="00E61996">
        <w:rPr>
          <w:noProof/>
        </w:rPr>
        <w:t>’</w:t>
      </w:r>
      <w:r w:rsidR="004D44A3" w:rsidRPr="00E61996">
        <w:rPr>
          <w:noProof/>
        </w:rPr>
        <w:t>aménagement du territoire et de gestion efficace, qui traitent des changements dans l</w:t>
      </w:r>
      <w:r w:rsidR="006D70C2" w:rsidRPr="00E61996">
        <w:rPr>
          <w:noProof/>
        </w:rPr>
        <w:t>’</w:t>
      </w:r>
      <w:r w:rsidR="004D44A3" w:rsidRPr="00E61996">
        <w:rPr>
          <w:noProof/>
        </w:rPr>
        <w:t xml:space="preserve">utilisation des terres et des mers, y compris </w:t>
      </w:r>
      <w:r w:rsidR="00954ED7" w:rsidRPr="00E61996">
        <w:rPr>
          <w:noProof/>
        </w:rPr>
        <w:t>ceux menés par les peuples autochtones et communautés locales</w:t>
      </w:r>
      <w:r w:rsidR="00DF54EB" w:rsidRPr="00E61996">
        <w:rPr>
          <w:noProof/>
        </w:rPr>
        <w:t>,</w:t>
      </w:r>
      <w:r w:rsidR="00954ED7" w:rsidRPr="00E61996">
        <w:rPr>
          <w:noProof/>
        </w:rPr>
        <w:t xml:space="preserve"> </w:t>
      </w:r>
      <w:r w:rsidR="00DF54EB" w:rsidRPr="00E61996">
        <w:rPr>
          <w:noProof/>
        </w:rPr>
        <w:t xml:space="preserve">ou élaborés conjointement avec eux, </w:t>
      </w:r>
      <w:r w:rsidR="008B49D4" w:rsidRPr="00E61996">
        <w:rPr>
          <w:noProof/>
        </w:rPr>
        <w:t xml:space="preserve">en ce qui concerne </w:t>
      </w:r>
      <w:r w:rsidR="00954ED7" w:rsidRPr="00E61996">
        <w:rPr>
          <w:noProof/>
        </w:rPr>
        <w:t xml:space="preserve">leurs terres, leurs territoires, leurs eaux et leurs ressources, </w:t>
      </w:r>
      <w:r w:rsidR="004D44A3" w:rsidRPr="00E61996">
        <w:rPr>
          <w:noProof/>
        </w:rPr>
        <w:t>incluant</w:t>
      </w:r>
      <w:r w:rsidR="00954ED7" w:rsidRPr="00E61996">
        <w:rPr>
          <w:noProof/>
        </w:rPr>
        <w:t xml:space="preserve"> les zones marines et côtières. </w:t>
      </w:r>
    </w:p>
    <w:p w14:paraId="02331F8E" w14:textId="21F849D2" w:rsidR="00A86050" w:rsidRPr="00E61996" w:rsidRDefault="00A86050" w:rsidP="00A86050">
      <w:pPr>
        <w:tabs>
          <w:tab w:val="left" w:pos="2835"/>
          <w:tab w:val="left" w:pos="3402"/>
        </w:tabs>
        <w:spacing w:after="120"/>
        <w:ind w:left="567"/>
      </w:pPr>
      <w:r w:rsidRPr="00E61996">
        <w:t>1</w:t>
      </w:r>
      <w:r w:rsidR="008B49D4" w:rsidRPr="00E61996">
        <w:t>7</w:t>
      </w:r>
      <w:r w:rsidRPr="00E61996">
        <w:t>.</w:t>
      </w:r>
      <w:r w:rsidRPr="00E61996">
        <w:tab/>
        <w:t xml:space="preserve">Les mesures d'aménagement du territoire et de gestion efficace </w:t>
      </w:r>
      <w:r w:rsidR="00192A92" w:rsidRPr="00E61996">
        <w:t>menées</w:t>
      </w:r>
      <w:r w:rsidRPr="00E61996">
        <w:t xml:space="preserve"> par les peuples autochtones et communautés locales et qui concernent le changement d’affectation des terres et des mers devraient être examinées et prises en compte, selon qu’il convient, dans la conception, la révision ou la mise à jour des stratégies et plans d’action nationaux pour la </w:t>
      </w:r>
      <w:r w:rsidR="005C0178" w:rsidRPr="00E61996">
        <w:t>biodiversité</w:t>
      </w:r>
      <w:r w:rsidRPr="00E61996">
        <w:t xml:space="preserve">, ainsi que dans les plans d'aménagement du territoire </w:t>
      </w:r>
      <w:r w:rsidR="00330B36" w:rsidRPr="00E61996">
        <w:t>et la</w:t>
      </w:r>
      <w:r w:rsidRPr="00E61996">
        <w:t xml:space="preserve"> planification de l’espace marin. </w:t>
      </w:r>
    </w:p>
    <w:p w14:paraId="7E4E47FC" w14:textId="58F4BFCC" w:rsidR="00A86050" w:rsidRPr="00E61996" w:rsidRDefault="00A86050" w:rsidP="00A86050">
      <w:pPr>
        <w:tabs>
          <w:tab w:val="left" w:pos="2835"/>
          <w:tab w:val="left" w:pos="3402"/>
        </w:tabs>
        <w:spacing w:after="120"/>
        <w:ind w:left="567"/>
      </w:pPr>
      <w:r w:rsidRPr="00E61996">
        <w:t>1</w:t>
      </w:r>
      <w:r w:rsidR="008B49D4" w:rsidRPr="00E61996">
        <w:t>8</w:t>
      </w:r>
      <w:r w:rsidRPr="00E61996">
        <w:t>.</w:t>
      </w:r>
      <w:r w:rsidRPr="00E61996">
        <w:tab/>
        <w:t xml:space="preserve">Les cadres et les processus d'aménagement du territoire et d'utilisation des terres devraient, selon qu'il convient, </w:t>
      </w:r>
      <w:r w:rsidR="00192A92" w:rsidRPr="00E61996">
        <w:t>tenir compte de</w:t>
      </w:r>
      <w:r w:rsidRPr="00E61996">
        <w:t xml:space="preserve"> la cartographie de l'utilisation des terres et des mers que les peuples autochtones et communautés locales réalisent conformément à leurs dimensions culturelles, spirituelles et de gouvernance, </w:t>
      </w:r>
      <w:r w:rsidR="00192A92" w:rsidRPr="00E61996">
        <w:t>et utiliser des</w:t>
      </w:r>
      <w:r w:rsidRPr="00E61996">
        <w:t xml:space="preserve"> toponymes traditionnels.</w:t>
      </w:r>
    </w:p>
    <w:p w14:paraId="1C2C9C5B" w14:textId="4B400B04" w:rsidR="00A86050" w:rsidRPr="00E61996" w:rsidRDefault="008B49D4" w:rsidP="00A86050">
      <w:pPr>
        <w:tabs>
          <w:tab w:val="left" w:pos="2835"/>
          <w:tab w:val="left" w:pos="3402"/>
        </w:tabs>
        <w:spacing w:after="120"/>
        <w:ind w:left="567"/>
      </w:pPr>
      <w:r w:rsidRPr="00E61996">
        <w:t>19</w:t>
      </w:r>
      <w:r w:rsidR="00A86050" w:rsidRPr="00E61996">
        <w:t>.</w:t>
      </w:r>
      <w:r w:rsidR="00A86050" w:rsidRPr="00E61996">
        <w:tab/>
        <w:t xml:space="preserve">La prise de décision en matière d'aménagement du territoire et les processus de gestion efficaces ayant trait aux changements dans l'utilisation des terres et des mers devraient promouvoir </w:t>
      </w:r>
      <w:r w:rsidR="00A86050" w:rsidRPr="00E61996">
        <w:lastRenderedPageBreak/>
        <w:t xml:space="preserve">la coopération et la collaboration avec les peuples autochtones et communautés locales, en reconnaissant, le cas échéant, les systèmes de gouvernance autochtones et traditionnels. </w:t>
      </w:r>
    </w:p>
    <w:p w14:paraId="7676FCFD" w14:textId="3751A327" w:rsidR="00A86050" w:rsidRPr="00E61996" w:rsidRDefault="00A86050" w:rsidP="00A86050">
      <w:pPr>
        <w:keepNext/>
        <w:keepLines/>
        <w:tabs>
          <w:tab w:val="left" w:pos="2835"/>
          <w:tab w:val="left" w:pos="3402"/>
        </w:tabs>
        <w:spacing w:before="240" w:after="120"/>
        <w:ind w:left="567" w:hanging="567"/>
        <w:jc w:val="left"/>
        <w:outlineLvl w:val="0"/>
        <w:rPr>
          <w:b/>
          <w:sz w:val="28"/>
        </w:rPr>
      </w:pPr>
      <w:r w:rsidRPr="00E61996">
        <w:rPr>
          <w:b/>
          <w:sz w:val="28"/>
        </w:rPr>
        <w:t>V.</w:t>
      </w:r>
      <w:r w:rsidRPr="00E61996">
        <w:rPr>
          <w:b/>
          <w:sz w:val="28"/>
        </w:rPr>
        <w:tab/>
        <w:t>Contributions à la restauration efficace d'écosystèmes dégradés</w:t>
      </w:r>
      <w:r w:rsidRPr="00E61996">
        <w:rPr>
          <w:rFonts w:eastAsia="DengXian Light"/>
          <w:b/>
          <w:bCs/>
          <w:sz w:val="28"/>
          <w:szCs w:val="28"/>
          <w:vertAlign w:val="superscript"/>
        </w:rPr>
        <w:footnoteReference w:id="12"/>
      </w:r>
    </w:p>
    <w:p w14:paraId="4DD45D03" w14:textId="1E3CA066" w:rsidR="00A86050" w:rsidRPr="00E61996" w:rsidRDefault="00A86050" w:rsidP="00A86050">
      <w:pPr>
        <w:tabs>
          <w:tab w:val="left" w:pos="2835"/>
          <w:tab w:val="left" w:pos="3402"/>
        </w:tabs>
        <w:spacing w:after="120"/>
        <w:ind w:left="567"/>
      </w:pPr>
      <w:r w:rsidRPr="00E61996">
        <w:t>2</w:t>
      </w:r>
      <w:r w:rsidR="008B49D4" w:rsidRPr="00E61996">
        <w:t>0</w:t>
      </w:r>
      <w:r w:rsidRPr="00E61996">
        <w:t>.</w:t>
      </w:r>
      <w:r w:rsidRPr="00E61996">
        <w:tab/>
        <w:t>Les droits et pratiques des peuples autochtones et communautés locales dans les activités de restauration des écosystèmes, qui sont fondés sur leurs relations holistiques avec leurs terres,</w:t>
      </w:r>
      <w:r w:rsidR="008B49D4" w:rsidRPr="00E61996">
        <w:t xml:space="preserve"> leurs territoires et</w:t>
      </w:r>
      <w:r w:rsidRPr="00E61996">
        <w:t xml:space="preserve"> leurs eaux, devraient être respectés et promus, notamment en soutenant les approches bioculturelles, l'utilisation coutumière durable de la biodiversité, les systèmes de connaissances traditionnelles et d'autres formes de gestion, telles que celles liées aux droits de gouvernance et aux droits fonciers des peuples autochtones et communautés locales. </w:t>
      </w:r>
    </w:p>
    <w:p w14:paraId="67011387" w14:textId="16E21BB6" w:rsidR="00A86050" w:rsidRPr="00E61996" w:rsidRDefault="00A86050" w:rsidP="00A86050">
      <w:pPr>
        <w:tabs>
          <w:tab w:val="left" w:pos="2835"/>
          <w:tab w:val="left" w:pos="3402"/>
        </w:tabs>
        <w:spacing w:after="120"/>
        <w:ind w:left="567"/>
      </w:pPr>
      <w:r w:rsidRPr="00E61996">
        <w:t>2</w:t>
      </w:r>
      <w:r w:rsidR="008B49D4" w:rsidRPr="00E61996">
        <w:t>1</w:t>
      </w:r>
      <w:r w:rsidRPr="00E61996">
        <w:t>.</w:t>
      </w:r>
      <w:r w:rsidRPr="00E61996">
        <w:tab/>
        <w:t xml:space="preserve">Les efforts de restauration devraient tenir compte des connaissances traditionnelles et des principes du consentement préalable, libre et éclairé[, selon qu’il convient]. Conformément aux systèmes de gouvernance autochtones et traditionnels, les rôles des anciens, des détenteurs de connaissances, des femmes et des filles, ainsi que des enfants et des jeunes issus des peuples autochtones et communautés locales devraient être reconnus et renforcés dans tous les aspects de la restauration. </w:t>
      </w:r>
    </w:p>
    <w:p w14:paraId="2F572146" w14:textId="7B4DC07F" w:rsidR="00A86050" w:rsidRPr="00E61996" w:rsidRDefault="00A86050" w:rsidP="00A86050">
      <w:pPr>
        <w:tabs>
          <w:tab w:val="left" w:pos="2835"/>
          <w:tab w:val="left" w:pos="3402"/>
        </w:tabs>
        <w:spacing w:after="120"/>
        <w:ind w:left="567"/>
      </w:pPr>
      <w:r w:rsidRPr="00E61996">
        <w:t>2</w:t>
      </w:r>
      <w:r w:rsidR="008B49D4" w:rsidRPr="00E61996">
        <w:t>2</w:t>
      </w:r>
      <w:r w:rsidRPr="00E61996">
        <w:t>.</w:t>
      </w:r>
      <w:r w:rsidRPr="00E61996">
        <w:tab/>
        <w:t>Les mesures législatives, administratives et politiques relatives à la restauration des écosystèmes devraient être élaborées conformément à la cible 2 du Cadre et d’une manière qui reconnaisse et préserve les contributions des peuples autochtones et communautés locales. Ces mesures devraient être élaborées avec la participation pleine et effective des peuples autochtones et communautés locales à tous les stades et dans tous les processus relatifs à la planification, à l'élaboration, à la mise en œuvre et au suivi. Les évaluations des écosystèmes dégradés devraient s'appuyer sur divers systèmes de connaissances, notamment les évaluations scientifiques et les systèmes de connaissances traditionnelles des peuples autochtones et communautés locales.</w:t>
      </w:r>
    </w:p>
    <w:p w14:paraId="3CA43E3E" w14:textId="4BAB983A" w:rsidR="00A86050" w:rsidRPr="00E61996" w:rsidRDefault="00A86050" w:rsidP="00A86050">
      <w:pPr>
        <w:tabs>
          <w:tab w:val="left" w:pos="2835"/>
          <w:tab w:val="left" w:pos="3402"/>
        </w:tabs>
        <w:spacing w:after="120"/>
        <w:ind w:left="567"/>
      </w:pPr>
      <w:r w:rsidRPr="00E61996">
        <w:t>2</w:t>
      </w:r>
      <w:r w:rsidR="008B49D4" w:rsidRPr="00E61996">
        <w:t>3</w:t>
      </w:r>
      <w:r w:rsidRPr="00E61996">
        <w:t>.</w:t>
      </w:r>
      <w:r w:rsidRPr="00E61996">
        <w:tab/>
        <w:t xml:space="preserve">Il convient de concevoir et d’élaborer les </w:t>
      </w:r>
      <w:r w:rsidR="005F62D1" w:rsidRPr="00E61996">
        <w:t>mesures</w:t>
      </w:r>
      <w:r w:rsidRPr="00E61996">
        <w:t xml:space="preserve"> de restauration conjointement avec les peuples autochtones et communautés locales et les instances gouvernementales compétentes, ainsi que</w:t>
      </w:r>
      <w:r w:rsidR="005F62D1" w:rsidRPr="00E61996">
        <w:t xml:space="preserve"> </w:t>
      </w:r>
      <w:r w:rsidRPr="00E61996">
        <w:t xml:space="preserve">de tenir compte de ces </w:t>
      </w:r>
      <w:r w:rsidR="005F62D1" w:rsidRPr="00E61996">
        <w:t>mesures</w:t>
      </w:r>
      <w:r w:rsidRPr="00E61996">
        <w:t xml:space="preserve"> dans les plans nationaux de restauration et les rapports nationaux, en veillant à ce que les contributions des peuples autochtones et communautés locales soient visibles, soutenues et suivies à l'aide d'indicateurs appropriés. </w:t>
      </w:r>
    </w:p>
    <w:p w14:paraId="03F492C4" w14:textId="540E0AC0" w:rsidR="00A86050" w:rsidRPr="00E61996" w:rsidRDefault="00A86050" w:rsidP="00A86050">
      <w:pPr>
        <w:tabs>
          <w:tab w:val="left" w:pos="2835"/>
          <w:tab w:val="left" w:pos="3402"/>
        </w:tabs>
        <w:spacing w:after="120"/>
        <w:ind w:left="567"/>
      </w:pPr>
      <w:r w:rsidRPr="00E61996">
        <w:t>2</w:t>
      </w:r>
      <w:r w:rsidR="008B49D4" w:rsidRPr="00E61996">
        <w:t>4</w:t>
      </w:r>
      <w:r w:rsidRPr="00E61996">
        <w:t>.</w:t>
      </w:r>
      <w:r w:rsidRPr="00E61996">
        <w:tab/>
        <w:t xml:space="preserve">Les </w:t>
      </w:r>
      <w:r w:rsidR="005F62D1" w:rsidRPr="00E61996">
        <w:t>mesures</w:t>
      </w:r>
      <w:r w:rsidRPr="00E61996">
        <w:t xml:space="preserve"> de restauration menées dans les territoires autochtones et traditionnels devraient, dans la mesure du possible, contribuer à la sécurité alimentaire et hydrique, à la résilience des populations face aux changements climatiques, à la création de revenus, ainsi qu’au renforcement de la culture et du mode de vie des peuples autochtones et communautés locales.</w:t>
      </w:r>
    </w:p>
    <w:p w14:paraId="58AF0C32" w14:textId="2AE734C6" w:rsidR="00A86050" w:rsidRPr="00E61996" w:rsidRDefault="00A86050" w:rsidP="00A86050">
      <w:pPr>
        <w:keepNext/>
        <w:keepLines/>
        <w:tabs>
          <w:tab w:val="left" w:pos="2835"/>
          <w:tab w:val="left" w:pos="3402"/>
        </w:tabs>
        <w:spacing w:before="240" w:after="120"/>
        <w:ind w:left="567" w:hanging="567"/>
        <w:jc w:val="left"/>
        <w:outlineLvl w:val="0"/>
        <w:rPr>
          <w:b/>
          <w:sz w:val="28"/>
        </w:rPr>
      </w:pPr>
      <w:r w:rsidRPr="00E61996">
        <w:rPr>
          <w:b/>
          <w:sz w:val="28"/>
        </w:rPr>
        <w:t>VI.</w:t>
      </w:r>
      <w:r w:rsidRPr="00E61996">
        <w:rPr>
          <w:b/>
          <w:sz w:val="28"/>
        </w:rPr>
        <w:tab/>
        <w:t>Reconnaissance et respect des territoires autonomes et traditionnels dans la mise en œuvre de la cible 3 du Cadre</w:t>
      </w:r>
      <w:r w:rsidR="008B49D4" w:rsidRPr="00E61996">
        <w:rPr>
          <w:b/>
          <w:sz w:val="28"/>
        </w:rPr>
        <w:t xml:space="preserve"> </w:t>
      </w:r>
      <w:r w:rsidR="00516B60" w:rsidRPr="00E61996">
        <w:rPr>
          <w:b/>
          <w:sz w:val="28"/>
        </w:rPr>
        <w:t xml:space="preserve">mondial de la biodiversité </w:t>
      </w:r>
      <w:r w:rsidR="008B49D4" w:rsidRPr="00E61996">
        <w:rPr>
          <w:b/>
          <w:sz w:val="28"/>
        </w:rPr>
        <w:t>de Kunming-</w:t>
      </w:r>
      <w:r w:rsidR="00FC6375" w:rsidRPr="00E61996">
        <w:rPr>
          <w:b/>
          <w:sz w:val="28"/>
        </w:rPr>
        <w:t>Montréal</w:t>
      </w:r>
    </w:p>
    <w:p w14:paraId="46CD878C" w14:textId="106F8354" w:rsidR="00A86050" w:rsidRPr="00E61996" w:rsidRDefault="00A86050" w:rsidP="005F62D1">
      <w:pPr>
        <w:tabs>
          <w:tab w:val="left" w:pos="2835"/>
          <w:tab w:val="left" w:pos="3402"/>
        </w:tabs>
        <w:spacing w:after="120"/>
        <w:ind w:left="567"/>
      </w:pPr>
      <w:r w:rsidRPr="00E61996">
        <w:t>2</w:t>
      </w:r>
      <w:r w:rsidR="008B49D4" w:rsidRPr="00E61996">
        <w:t>5</w:t>
      </w:r>
      <w:r w:rsidRPr="00E61996">
        <w:t>.</w:t>
      </w:r>
      <w:r w:rsidRPr="00E61996">
        <w:tab/>
        <w:t xml:space="preserve">Des mesures juridiques, administratives et politiques visant </w:t>
      </w:r>
      <w:r w:rsidR="008B49D4" w:rsidRPr="00E61996">
        <w:t>recenser, reconnaître et respecter</w:t>
      </w:r>
      <w:r w:rsidRPr="00E61996">
        <w:t xml:space="preserve">, sur le plan national, </w:t>
      </w:r>
      <w:r w:rsidR="008B49D4" w:rsidRPr="00E61996">
        <w:t>l</w:t>
      </w:r>
      <w:r w:rsidRPr="00E61996">
        <w:t>es territoires autochtones et traditionnels devraient être conçues, adoptées et mises en œuvre. Ces mesures devraient reconnaître, selon qu'il convient, les systèmes fonciers coutumiers, les institutions de gouvernance, l’importance culture</w:t>
      </w:r>
      <w:r w:rsidR="005F62D1" w:rsidRPr="00E61996">
        <w:t>l</w:t>
      </w:r>
      <w:r w:rsidRPr="00E61996">
        <w:t>l</w:t>
      </w:r>
      <w:r w:rsidR="005F62D1" w:rsidRPr="00E61996">
        <w:t>e</w:t>
      </w:r>
      <w:r w:rsidRPr="00E61996">
        <w:t>, les sites sacrés, les rôles en matière de conservation, les économies traditionnelles et les droits sur les terres, les eaux</w:t>
      </w:r>
      <w:r w:rsidR="008B49D4" w:rsidRPr="00E61996">
        <w:t>,</w:t>
      </w:r>
      <w:r w:rsidR="005F62D1" w:rsidRPr="00E61996">
        <w:t xml:space="preserve"> </w:t>
      </w:r>
      <w:r w:rsidRPr="00E61996">
        <w:t xml:space="preserve">les territoires </w:t>
      </w:r>
      <w:r w:rsidR="008B49D4" w:rsidRPr="00E61996">
        <w:t>et</w:t>
      </w:r>
      <w:r w:rsidR="005F62D1" w:rsidRPr="00E61996">
        <w:t xml:space="preserve"> </w:t>
      </w:r>
      <w:r w:rsidRPr="00E61996">
        <w:t xml:space="preserve">les ressources des peuples autochtones et communautés locales. </w:t>
      </w:r>
    </w:p>
    <w:p w14:paraId="55D5CE64" w14:textId="3AEFDFFE" w:rsidR="00A86050" w:rsidRPr="00E61996" w:rsidRDefault="00A86050" w:rsidP="00A86050">
      <w:pPr>
        <w:tabs>
          <w:tab w:val="left" w:pos="2835"/>
          <w:tab w:val="left" w:pos="3402"/>
        </w:tabs>
        <w:spacing w:after="120"/>
        <w:ind w:left="567"/>
      </w:pPr>
      <w:r w:rsidRPr="00E61996">
        <w:t>[2</w:t>
      </w:r>
      <w:r w:rsidR="008B49D4" w:rsidRPr="00E61996">
        <w:t>6</w:t>
      </w:r>
      <w:r w:rsidRPr="00E61996">
        <w:t>.</w:t>
      </w:r>
      <w:r w:rsidRPr="00E61996">
        <w:tab/>
      </w:r>
      <w:r w:rsidR="008B49D4" w:rsidRPr="00E61996">
        <w:t>[</w:t>
      </w:r>
      <w:r w:rsidRPr="00E61996">
        <w:t xml:space="preserve">La reconnaissance des territoires autochtones et traditionnels </w:t>
      </w:r>
      <w:r w:rsidR="008B49D4" w:rsidRPr="00E61996">
        <w:t xml:space="preserve">[conformément à la cible 3 du </w:t>
      </w:r>
      <w:r w:rsidR="00516B60" w:rsidRPr="00E61996">
        <w:t>C</w:t>
      </w:r>
      <w:r w:rsidR="008B49D4" w:rsidRPr="00E61996">
        <w:t>adre et aux circonstances nationales] [devrait[</w:t>
      </w:r>
      <w:r w:rsidRPr="00E61996">
        <w:t xml:space="preserve">, selon qu'il convient,] être considérée comme un système distinct qui contribue à la conservation et à l’utilisation durable de la biodiversité, qui vient </w:t>
      </w:r>
      <w:r w:rsidRPr="00E61996">
        <w:lastRenderedPageBreak/>
        <w:t xml:space="preserve">s’ajouter aux aires protégées et aux autres mesures efficaces de conservation par zone, mais se distingue de celles-ci,] </w:t>
      </w:r>
      <w:r w:rsidR="008B49D4" w:rsidRPr="00E61996">
        <w:t>[</w:t>
      </w:r>
      <w:r w:rsidRPr="00E61996">
        <w:t>et</w:t>
      </w:r>
      <w:r w:rsidR="008B49D4" w:rsidRPr="00E61996">
        <w:t>,</w:t>
      </w:r>
      <w:r w:rsidRPr="00E61996">
        <w:t xml:space="preserve"> par conséquent, qui ne nécessite pas de classement dans la catégorie des aires protégées ou d'autres mesures efficaces de conservation par zone</w:t>
      </w:r>
      <w:r w:rsidR="008B49D4" w:rsidRPr="00E61996">
        <w:t>.</w:t>
      </w:r>
      <w:r w:rsidRPr="00E61996">
        <w:t>]] [</w:t>
      </w:r>
      <w:r w:rsidR="008B49D4" w:rsidRPr="00E61996">
        <w:t>L</w:t>
      </w:r>
      <w:r w:rsidRPr="00E61996">
        <w:t>orsque des territoires autochtones et traditionnels sont déjà classés dans la catégorie des aires protégées ou des autres mesures efficaces de conservation par zone, des mesures de zonage devraient être appliquées afin de définir clairement les espaces auxquels les peuples autochtones et communautés locales peuvent accéder pour exercer leurs pratiques culturelles et leurs pratiques d’utilisation traditionnelle et durable des espaces].]</w:t>
      </w:r>
    </w:p>
    <w:p w14:paraId="065BA594" w14:textId="77777777" w:rsidR="00A86050" w:rsidRPr="00E61996" w:rsidRDefault="00A86050" w:rsidP="00A86050">
      <w:pPr>
        <w:keepNext/>
        <w:keepLines/>
        <w:tabs>
          <w:tab w:val="left" w:pos="2835"/>
          <w:tab w:val="left" w:pos="3402"/>
        </w:tabs>
        <w:spacing w:before="240" w:after="120"/>
        <w:ind w:left="567" w:hanging="567"/>
        <w:jc w:val="left"/>
        <w:outlineLvl w:val="0"/>
        <w:rPr>
          <w:b/>
          <w:sz w:val="28"/>
        </w:rPr>
      </w:pPr>
      <w:r w:rsidRPr="00E61996">
        <w:rPr>
          <w:b/>
          <w:sz w:val="28"/>
        </w:rPr>
        <w:t>VII.</w:t>
      </w:r>
      <w:r w:rsidRPr="00E61996">
        <w:rPr>
          <w:b/>
          <w:sz w:val="28"/>
        </w:rPr>
        <w:tab/>
        <w:t>Évaluations d'impact environnemental</w:t>
      </w:r>
    </w:p>
    <w:p w14:paraId="04EBCAAD" w14:textId="0B71FD52" w:rsidR="00A86050" w:rsidRPr="00E61996" w:rsidRDefault="00AB618B" w:rsidP="00A86050">
      <w:pPr>
        <w:tabs>
          <w:tab w:val="left" w:pos="2835"/>
          <w:tab w:val="left" w:pos="3402"/>
        </w:tabs>
        <w:spacing w:after="120"/>
        <w:ind w:left="567"/>
      </w:pPr>
      <w:r w:rsidRPr="00E61996">
        <w:t>27</w:t>
      </w:r>
      <w:r w:rsidR="00A86050" w:rsidRPr="00E61996">
        <w:t>.</w:t>
      </w:r>
      <w:r w:rsidR="00A86050" w:rsidRPr="00E61996">
        <w:tab/>
        <w:t xml:space="preserve">Les </w:t>
      </w:r>
      <w:r w:rsidR="006B46CC" w:rsidRPr="00E61996">
        <w:t>Lignes directrices facultatives Akwé: Kon pour la conduite d’études sur les impacts culturels, environnementaux et sociaux des projets d’aménagement ou des aménagements susceptibles d’avoir un impact sur des sites sacrés et sur des terres ou des eaux occupées ou utilisées traditionnellement par des communautés autochtones et locales</w:t>
      </w:r>
      <w:r w:rsidR="00A86050" w:rsidRPr="00E61996">
        <w:rPr>
          <w:kern w:val="2"/>
          <w:vertAlign w:val="superscript"/>
          <w14:ligatures w14:val="standardContextual"/>
        </w:rPr>
        <w:footnoteReference w:id="13"/>
      </w:r>
      <w:r w:rsidR="00A86050" w:rsidRPr="00E61996">
        <w:t xml:space="preserve">, fournissent un cadre culturellement approprié pour la conduite des évaluations des impacts environnementaux, culturels et sociaux des développements proposés sur ou à proximité de sites sacrés, ou sur des terres,  </w:t>
      </w:r>
      <w:r w:rsidRPr="00E61996">
        <w:t xml:space="preserve">des territoires et </w:t>
      </w:r>
      <w:r w:rsidR="00A86050" w:rsidRPr="00E61996">
        <w:t>des eaux traditionnellement occupés ou utilisés par les communautés autochtones et locales</w:t>
      </w:r>
      <w:r w:rsidR="00A86050" w:rsidRPr="00E61996">
        <w:rPr>
          <w:kern w:val="2"/>
          <w:vertAlign w:val="superscript"/>
          <w14:ligatures w14:val="standardContextual"/>
        </w:rPr>
        <w:footnoteReference w:id="14"/>
      </w:r>
      <w:r w:rsidR="00A86050" w:rsidRPr="00E61996">
        <w:t xml:space="preserve">. </w:t>
      </w:r>
    </w:p>
    <w:p w14:paraId="64CB1341" w14:textId="79DF3D33" w:rsidR="00A86050" w:rsidRPr="00E61996" w:rsidRDefault="00AB618B" w:rsidP="00A86050">
      <w:pPr>
        <w:tabs>
          <w:tab w:val="left" w:pos="2835"/>
          <w:tab w:val="left" w:pos="3402"/>
        </w:tabs>
        <w:spacing w:after="120"/>
        <w:ind w:left="567"/>
      </w:pPr>
      <w:r w:rsidRPr="00E61996">
        <w:t>28</w:t>
      </w:r>
      <w:r w:rsidR="00A86050" w:rsidRPr="00E61996">
        <w:t>.</w:t>
      </w:r>
      <w:r w:rsidR="00A86050" w:rsidRPr="00E61996">
        <w:tab/>
        <w:t>Les Lignes directrices facultatives Akwé: Kon restent valables et applicables dans le cadre d</w:t>
      </w:r>
      <w:r w:rsidR="006B46CC" w:rsidRPr="00E61996">
        <w:t xml:space="preserve">es </w:t>
      </w:r>
      <w:r w:rsidR="00A86050" w:rsidRPr="00E61996">
        <w:t>évaluations d’impact environnemental, en particulier dans le contexte de la mise en œuvre du Cadre et de la tâche 1.2 du programme de travail.</w:t>
      </w:r>
    </w:p>
    <w:p w14:paraId="5DAE9E98" w14:textId="1FED2EFA" w:rsidR="00A86050" w:rsidRPr="00E61996" w:rsidRDefault="00AB618B" w:rsidP="00A86050">
      <w:pPr>
        <w:tabs>
          <w:tab w:val="left" w:pos="2835"/>
          <w:tab w:val="left" w:pos="3402"/>
        </w:tabs>
        <w:spacing w:after="120"/>
        <w:ind w:left="567"/>
      </w:pPr>
      <w:r w:rsidRPr="00E61996">
        <w:t>29</w:t>
      </w:r>
      <w:r w:rsidR="00A86050" w:rsidRPr="00E61996">
        <w:t>.</w:t>
      </w:r>
      <w:r w:rsidR="00A86050" w:rsidRPr="00E61996">
        <w:tab/>
        <w:t>Les Lignes directrices facultatives Akwé: Kon intègrent les dimensions culturelles et sociales dans les évaluations de l'impact environnemental, notamment l'évaluation des impacts sur les valeurs spirituelles, les pratiques culturelles, les systèmes de gouvernance coutumiers, les moyens d</w:t>
      </w:r>
      <w:r w:rsidR="006B46CC" w:rsidRPr="00E61996">
        <w:t xml:space="preserve">’existence </w:t>
      </w:r>
      <w:r w:rsidR="00A86050" w:rsidRPr="00E61996">
        <w:t>traditionnels et la transmission intergénérationnelle des connaissances.</w:t>
      </w:r>
    </w:p>
    <w:p w14:paraId="0F072256" w14:textId="20600C92" w:rsidR="00A86050" w:rsidRPr="00E61996" w:rsidRDefault="00A86050" w:rsidP="00A86050">
      <w:pPr>
        <w:tabs>
          <w:tab w:val="left" w:pos="2835"/>
          <w:tab w:val="left" w:pos="3402"/>
        </w:tabs>
        <w:spacing w:after="120"/>
        <w:ind w:left="567"/>
      </w:pPr>
      <w:r w:rsidRPr="00E61996">
        <w:t>3</w:t>
      </w:r>
      <w:r w:rsidR="00AB618B" w:rsidRPr="00E61996">
        <w:t>0</w:t>
      </w:r>
      <w:r w:rsidRPr="00E61996">
        <w:t>.</w:t>
      </w:r>
      <w:r w:rsidRPr="00E61996">
        <w:tab/>
        <w:t>Les Parties, les autres gouvernements, le secteur privé et les organisations de</w:t>
      </w:r>
      <w:r w:rsidR="006B46CC" w:rsidRPr="00E61996">
        <w:t>s</w:t>
      </w:r>
      <w:r w:rsidRPr="00E61996">
        <w:t xml:space="preserve"> peuples autochtones et communautés locales peuvent </w:t>
      </w:r>
      <w:r w:rsidR="006B46CC" w:rsidRPr="00E61996">
        <w:t>utiliser</w:t>
      </w:r>
      <w:r w:rsidRPr="00E61996">
        <w:t xml:space="preserve"> d’autres principes, normes, accords et protocoles reconnus, applicables et efficaces dans le cadre d’évaluations de l’impact environnemental, culturel et social.</w:t>
      </w:r>
    </w:p>
    <w:p w14:paraId="1FBCED0C" w14:textId="77777777" w:rsidR="00A86050" w:rsidRPr="00E61996" w:rsidRDefault="00A86050" w:rsidP="00A86050">
      <w:pPr>
        <w:keepNext/>
        <w:keepLines/>
        <w:tabs>
          <w:tab w:val="left" w:pos="2835"/>
          <w:tab w:val="left" w:pos="3402"/>
        </w:tabs>
        <w:spacing w:before="240" w:after="120"/>
        <w:ind w:left="567" w:hanging="567"/>
        <w:jc w:val="left"/>
        <w:outlineLvl w:val="0"/>
        <w:rPr>
          <w:b/>
          <w:sz w:val="28"/>
        </w:rPr>
      </w:pPr>
      <w:r w:rsidRPr="00E61996">
        <w:rPr>
          <w:b/>
          <w:sz w:val="28"/>
        </w:rPr>
        <w:t>VIII.</w:t>
      </w:r>
      <w:r w:rsidRPr="00E61996">
        <w:rPr>
          <w:b/>
          <w:sz w:val="28"/>
        </w:rPr>
        <w:tab/>
        <w:t>Mécanismes institutionnels et administratifs</w:t>
      </w:r>
    </w:p>
    <w:p w14:paraId="2DDEBADB" w14:textId="1FCEF10B" w:rsidR="00A86050" w:rsidRPr="00E61996" w:rsidRDefault="00A86050" w:rsidP="00A86050">
      <w:pPr>
        <w:keepNext/>
        <w:keepLines/>
        <w:tabs>
          <w:tab w:val="left" w:pos="2835"/>
          <w:tab w:val="left" w:pos="3402"/>
          <w:tab w:val="left" w:pos="3969"/>
        </w:tabs>
        <w:spacing w:before="120" w:after="120"/>
        <w:ind w:left="567" w:hanging="567"/>
        <w:outlineLvl w:val="1"/>
        <w:rPr>
          <w:b/>
          <w:sz w:val="24"/>
        </w:rPr>
      </w:pPr>
      <w:r w:rsidRPr="00E61996">
        <w:rPr>
          <w:b/>
          <w:sz w:val="24"/>
        </w:rPr>
        <w:t>A.</w:t>
      </w:r>
      <w:r w:rsidRPr="00E61996">
        <w:rPr>
          <w:b/>
          <w:sz w:val="24"/>
        </w:rPr>
        <w:tab/>
        <w:t>Reconnaissance de</w:t>
      </w:r>
      <w:r w:rsidR="006B46CC" w:rsidRPr="00E61996">
        <w:rPr>
          <w:b/>
          <w:sz w:val="24"/>
        </w:rPr>
        <w:t>s</w:t>
      </w:r>
      <w:r w:rsidRPr="00E61996">
        <w:rPr>
          <w:b/>
          <w:sz w:val="24"/>
        </w:rPr>
        <w:t xml:space="preserve"> systèmes de gouvernance coutumiers</w:t>
      </w:r>
    </w:p>
    <w:p w14:paraId="54B320B3" w14:textId="676F84DA" w:rsidR="00A86050" w:rsidRPr="00E61996" w:rsidRDefault="00A86050" w:rsidP="00A86050">
      <w:pPr>
        <w:tabs>
          <w:tab w:val="left" w:pos="2835"/>
          <w:tab w:val="left" w:pos="3402"/>
        </w:tabs>
        <w:spacing w:after="120"/>
        <w:ind w:left="567"/>
      </w:pPr>
      <w:r w:rsidRPr="00E61996">
        <w:t>3</w:t>
      </w:r>
      <w:r w:rsidR="00AB618B" w:rsidRPr="00E61996">
        <w:t>1</w:t>
      </w:r>
      <w:r w:rsidRPr="00E61996">
        <w:t>.</w:t>
      </w:r>
      <w:r w:rsidRPr="00E61996">
        <w:tab/>
        <w:t>Les systèmes de gouvernance des peuples autochtones et communautés locales, y compris les systèmes traditionnels et coutumiers, devraient être reconnus et soutenus en tant que cadres uniques et légitimes pour la gestion, la conservation et la restauration de la biodiversité, compte tenu des lois et des circonstances nationales, ainsi que des lois et instruments internationaux. Cette reconnaissance devrait s'étendre aux lois coutumières, aux protocoles communautaires, aux normes, aux valeurs et aux règles relatives à la gestion des terres, de l'eau et des milieux marins, ainsi qu'à la protection des sites sacrés.</w:t>
      </w:r>
    </w:p>
    <w:p w14:paraId="76FA5541" w14:textId="3C48876C" w:rsidR="00A86050" w:rsidRPr="00E61996" w:rsidRDefault="00A86050" w:rsidP="00A86050">
      <w:pPr>
        <w:tabs>
          <w:tab w:val="left" w:pos="2835"/>
          <w:tab w:val="left" w:pos="3402"/>
        </w:tabs>
        <w:spacing w:after="120"/>
        <w:ind w:left="567"/>
      </w:pPr>
      <w:r w:rsidRPr="00E61996">
        <w:t>3</w:t>
      </w:r>
      <w:r w:rsidR="00AB618B" w:rsidRPr="00E61996">
        <w:t>2</w:t>
      </w:r>
      <w:r w:rsidRPr="00E61996">
        <w:t>.</w:t>
      </w:r>
      <w:r w:rsidRPr="00E61996">
        <w:tab/>
        <w:t>Des conditions favorables devraient être créées afin de garantir aux peuples autochtones et communautés locales un appui qui leur permettrait de renforcer et d'exercer leurs systèmes de gouvernance aux fins de la bonne gestion, de la conservation et de la restauration de la biodiversité, par exemple en reconnaissant et en soutenant la cartographie communautaire, la délimitation participative de leurs territoires et la mise en place de systèmes de surveillance communautaires, conformément aux lois et aux circonstances nationales.</w:t>
      </w:r>
    </w:p>
    <w:p w14:paraId="7CA5A3D5" w14:textId="7EC73715" w:rsidR="00A86050" w:rsidRPr="00E61996" w:rsidRDefault="00A86050" w:rsidP="00A86050">
      <w:pPr>
        <w:tabs>
          <w:tab w:val="left" w:pos="2835"/>
          <w:tab w:val="left" w:pos="3402"/>
        </w:tabs>
        <w:spacing w:after="120"/>
        <w:ind w:left="567"/>
      </w:pPr>
      <w:r w:rsidRPr="00E61996">
        <w:lastRenderedPageBreak/>
        <w:t>3</w:t>
      </w:r>
      <w:r w:rsidR="00AB618B" w:rsidRPr="00E61996">
        <w:t>3</w:t>
      </w:r>
      <w:r w:rsidRPr="00E61996">
        <w:t>.</w:t>
      </w:r>
      <w:r w:rsidRPr="00E61996">
        <w:tab/>
        <w:t xml:space="preserve">Le cas échéant, l'autonomie des peuples autochtones et communautés locales concernant la gestion et la gouvernance de leurs terres, territoires et eaux, y compris les zones marines et côtières, devrait être respectée </w:t>
      </w:r>
      <w:r w:rsidR="006B46CC" w:rsidRPr="00E61996">
        <w:t>grâce à</w:t>
      </w:r>
      <w:r w:rsidRPr="00E61996">
        <w:t xml:space="preserve"> la reconnaissance de leurs systèmes de justice et de gouvernance et l'apport d'un appui financier et technique.</w:t>
      </w:r>
    </w:p>
    <w:p w14:paraId="798B20EE" w14:textId="3B990C9A" w:rsidR="00A86050" w:rsidRPr="00E61996" w:rsidRDefault="00A86050" w:rsidP="00A86050">
      <w:pPr>
        <w:tabs>
          <w:tab w:val="left" w:pos="2835"/>
          <w:tab w:val="left" w:pos="3402"/>
        </w:tabs>
        <w:spacing w:after="120"/>
        <w:ind w:left="567"/>
      </w:pPr>
      <w:r w:rsidRPr="00E61996">
        <w:t>[3</w:t>
      </w:r>
      <w:r w:rsidR="00AB618B" w:rsidRPr="00E61996">
        <w:t>4</w:t>
      </w:r>
      <w:r w:rsidRPr="00E61996">
        <w:t>.</w:t>
      </w:r>
      <w:r w:rsidRPr="00E61996">
        <w:tab/>
        <w:t>Le fait de renforcer les systèmes de gouvernance coutumiers des peuples autochtones et communautés locales aux fins de la gestion, de la conservation et de la restauration de la biodiversité favorise une planification spatiale plus efficace et une gestion durable.]</w:t>
      </w:r>
    </w:p>
    <w:p w14:paraId="697B42B8" w14:textId="77777777" w:rsidR="00A86050" w:rsidRPr="00E61996" w:rsidRDefault="00A86050" w:rsidP="00A86050">
      <w:pPr>
        <w:keepNext/>
        <w:keepLines/>
        <w:tabs>
          <w:tab w:val="left" w:pos="2835"/>
          <w:tab w:val="left" w:pos="3402"/>
          <w:tab w:val="left" w:pos="3969"/>
        </w:tabs>
        <w:spacing w:before="120" w:after="120"/>
        <w:ind w:left="567" w:hanging="567"/>
        <w:outlineLvl w:val="1"/>
        <w:rPr>
          <w:b/>
          <w:sz w:val="24"/>
        </w:rPr>
      </w:pPr>
      <w:r w:rsidRPr="00E61996">
        <w:rPr>
          <w:b/>
          <w:sz w:val="24"/>
        </w:rPr>
        <w:t>B.</w:t>
      </w:r>
      <w:r w:rsidRPr="00E61996">
        <w:rPr>
          <w:b/>
          <w:sz w:val="24"/>
        </w:rPr>
        <w:tab/>
        <w:t>Consentement préalable, donné librement et en connaissance de cause</w:t>
      </w:r>
    </w:p>
    <w:p w14:paraId="38BB7B37" w14:textId="4FA0066D" w:rsidR="00A86050" w:rsidRPr="00E61996" w:rsidRDefault="00A86050" w:rsidP="00A86050">
      <w:pPr>
        <w:tabs>
          <w:tab w:val="left" w:pos="2835"/>
          <w:tab w:val="left" w:pos="3402"/>
        </w:tabs>
        <w:spacing w:after="120"/>
        <w:ind w:left="567"/>
      </w:pPr>
      <w:r w:rsidRPr="00E61996">
        <w:t>3</w:t>
      </w:r>
      <w:r w:rsidR="00AB618B" w:rsidRPr="00E61996">
        <w:t>5</w:t>
      </w:r>
      <w:r w:rsidRPr="00E61996">
        <w:t>.</w:t>
      </w:r>
      <w:r w:rsidRPr="00E61996">
        <w:tab/>
        <w:t xml:space="preserve">Des mécanismes, des lois, des mesures administratives, institutionnelles et politiques ou des protocoles devraient être élaborés et mis en œuvre en consultation avec les peuples autochtones et communautés locales, selon qu'il convient, et conformément aux lois et aux circonstances nationales, ainsi qu’aux instruments internationaux, en vue d’obtenir le consentement préalable de ces peuples et communautés, donné librement et en connaissance de cause, avant la création, l'extension ou la modification de toute aire protégée ou de toute autre mesure efficace de conservation par zone ayant une incidence sur leurs terres, </w:t>
      </w:r>
      <w:r w:rsidR="00AB618B" w:rsidRPr="00E61996">
        <w:t xml:space="preserve">territoires et </w:t>
      </w:r>
      <w:r w:rsidRPr="00E61996">
        <w:t xml:space="preserve">eaux , y compris les zones marines et côtières, ou sur leurs valeurs et leur patrimoine culturels. Le consentement préalable, donné librement et en connaissance de cause doit être obtenu </w:t>
      </w:r>
      <w:r w:rsidR="006B46CC" w:rsidRPr="00E61996">
        <w:t>au moyen</w:t>
      </w:r>
      <w:r w:rsidRPr="00E61996">
        <w:t xml:space="preserve"> de consultations engagées de bonne foi dans le cadre d’évaluations de l'impact environnemental</w:t>
      </w:r>
      <w:r w:rsidR="00AB618B" w:rsidRPr="00E61996">
        <w:t xml:space="preserve"> et</w:t>
      </w:r>
      <w:r w:rsidRPr="00E61996">
        <w:t xml:space="preserve"> conformément aux lois nationales et aux Lignes directrices facultatives Akwé: Kon.</w:t>
      </w:r>
    </w:p>
    <w:p w14:paraId="0B72B5D0" w14:textId="6E8BD444" w:rsidR="00A86050" w:rsidRPr="00E61996" w:rsidRDefault="00A86050" w:rsidP="00A86050">
      <w:pPr>
        <w:tabs>
          <w:tab w:val="left" w:pos="2835"/>
          <w:tab w:val="left" w:pos="3402"/>
        </w:tabs>
        <w:spacing w:after="120"/>
        <w:ind w:left="567"/>
      </w:pPr>
      <w:r w:rsidRPr="00E61996">
        <w:t>3</w:t>
      </w:r>
      <w:r w:rsidR="00AB618B" w:rsidRPr="00E61996">
        <w:t>6</w:t>
      </w:r>
      <w:r w:rsidRPr="00E61996">
        <w:t>.</w:t>
      </w:r>
      <w:r w:rsidRPr="00E61996">
        <w:tab/>
        <w:t>Le consentement préalable, donné librement et en connaissance de cause doit être compris comme un processus continu, permettant aux communautés de déterminer les informations qui doivent être partagées ou retenues, en particulier en ce qui concerne les sites sacrés et les informations sensibles sur le plan culturel.</w:t>
      </w:r>
    </w:p>
    <w:p w14:paraId="4AB5B551" w14:textId="055B215A" w:rsidR="00A86050" w:rsidRPr="00E61996" w:rsidRDefault="00A86050" w:rsidP="00A86050">
      <w:pPr>
        <w:tabs>
          <w:tab w:val="left" w:pos="2835"/>
          <w:tab w:val="left" w:pos="3402"/>
        </w:tabs>
        <w:spacing w:after="120"/>
        <w:ind w:left="567"/>
        <w:rPr>
          <w:kern w:val="2"/>
          <w14:ligatures w14:val="standardContextual"/>
        </w:rPr>
      </w:pPr>
      <w:r w:rsidRPr="00E61996">
        <w:rPr>
          <w:kern w:val="2"/>
          <w14:ligatures w14:val="standardContextual"/>
        </w:rPr>
        <w:t>3</w:t>
      </w:r>
      <w:r w:rsidR="00AB618B" w:rsidRPr="00E61996">
        <w:rPr>
          <w:kern w:val="2"/>
          <w14:ligatures w14:val="standardContextual"/>
        </w:rPr>
        <w:t>7</w:t>
      </w:r>
      <w:r w:rsidRPr="00E61996">
        <w:rPr>
          <w:kern w:val="2"/>
          <w14:ligatures w14:val="standardContextual"/>
        </w:rPr>
        <w:t>.</w:t>
      </w:r>
      <w:r w:rsidRPr="00E61996">
        <w:rPr>
          <w:kern w:val="2"/>
          <w14:ligatures w14:val="standardContextual"/>
        </w:rPr>
        <w:tab/>
        <w:t>Les connaissances, les innovations et les pratiques traditionnelles ne devraient être accessibles et utilisées qu'avec le consentement préalable, libre et éclairé des peuples autochtones et communautés locales, conformément aux protocoles coutumiers, à la législation nationale et aux instruments internationaux.</w:t>
      </w:r>
    </w:p>
    <w:p w14:paraId="37F9CC94" w14:textId="77777777" w:rsidR="00A86050" w:rsidRPr="00E61996" w:rsidRDefault="00A86050" w:rsidP="00A86050">
      <w:pPr>
        <w:keepNext/>
        <w:keepLines/>
        <w:tabs>
          <w:tab w:val="left" w:pos="2835"/>
          <w:tab w:val="left" w:pos="3402"/>
          <w:tab w:val="left" w:pos="3969"/>
        </w:tabs>
        <w:spacing w:before="120" w:after="120"/>
        <w:ind w:left="567" w:hanging="567"/>
        <w:outlineLvl w:val="1"/>
        <w:rPr>
          <w:b/>
          <w:sz w:val="24"/>
        </w:rPr>
      </w:pPr>
      <w:r w:rsidRPr="00E61996">
        <w:rPr>
          <w:b/>
          <w:sz w:val="24"/>
        </w:rPr>
        <w:t>C.</w:t>
      </w:r>
      <w:r w:rsidRPr="00E61996">
        <w:rPr>
          <w:b/>
          <w:sz w:val="24"/>
        </w:rPr>
        <w:tab/>
        <w:t>Dispositions administratives</w:t>
      </w:r>
    </w:p>
    <w:p w14:paraId="052A0FAD" w14:textId="74FCA874" w:rsidR="00A86050" w:rsidRPr="00E61996" w:rsidRDefault="00AB618B" w:rsidP="00A86050">
      <w:pPr>
        <w:tabs>
          <w:tab w:val="left" w:pos="2835"/>
          <w:tab w:val="left" w:pos="3402"/>
        </w:tabs>
        <w:spacing w:after="120"/>
        <w:ind w:left="567"/>
      </w:pPr>
      <w:r w:rsidRPr="00E61996">
        <w:t>38</w:t>
      </w:r>
      <w:r w:rsidR="00A86050" w:rsidRPr="00E61996">
        <w:t>.</w:t>
      </w:r>
      <w:r w:rsidR="00A86050" w:rsidRPr="00E61996">
        <w:tab/>
        <w:t>Il convient de mettre en place</w:t>
      </w:r>
      <w:r w:rsidRPr="00E61996">
        <w:t xml:space="preserve"> ou</w:t>
      </w:r>
      <w:r w:rsidR="00912ACD" w:rsidRPr="00E61996">
        <w:t>,</w:t>
      </w:r>
      <w:r w:rsidRPr="00E61996">
        <w:t xml:space="preserve"> selon les besoins</w:t>
      </w:r>
      <w:r w:rsidR="00912ACD" w:rsidRPr="00E61996">
        <w:t xml:space="preserve">, </w:t>
      </w:r>
      <w:r w:rsidR="00A86050" w:rsidRPr="00E61996">
        <w:t>de renforcer ou de maintenir</w:t>
      </w:r>
      <w:r w:rsidR="00912ACD" w:rsidRPr="00E61996">
        <w:t xml:space="preserve"> </w:t>
      </w:r>
      <w:r w:rsidR="00A86050" w:rsidRPr="00E61996">
        <w:t>des mécanismes autochtones et traditionnels, notamment des cadres de gouvernance pertinents ou des conseils consultatifs, conformément aux systèmes de gouvernance autochtones et traditionnels.</w:t>
      </w:r>
    </w:p>
    <w:p w14:paraId="39A82562" w14:textId="08101FB7" w:rsidR="00A86050" w:rsidRPr="00E61996" w:rsidRDefault="00AB618B" w:rsidP="00A86050">
      <w:pPr>
        <w:tabs>
          <w:tab w:val="left" w:pos="2835"/>
          <w:tab w:val="left" w:pos="3402"/>
        </w:tabs>
        <w:spacing w:after="120"/>
        <w:ind w:left="567"/>
      </w:pPr>
      <w:r w:rsidRPr="00E61996">
        <w:t>39</w:t>
      </w:r>
      <w:r w:rsidR="00A86050" w:rsidRPr="00E61996">
        <w:t>.</w:t>
      </w:r>
      <w:r w:rsidR="00A86050" w:rsidRPr="00E61996">
        <w:tab/>
        <w:t>Des organes de cogestion devraient être créés ou renforcés dans le cadre de la législation nationale, selon qu'il convient, afin d'orienter la planification, la mise en œuvre et le suivi des efforts de conservation et de restauration</w:t>
      </w:r>
      <w:r w:rsidRPr="00E61996">
        <w:t xml:space="preserve"> des écosystèmes</w:t>
      </w:r>
      <w:r w:rsidR="00A86050" w:rsidRPr="00E61996">
        <w:t xml:space="preserve">, l'aménagement du territoire et les évaluations d'impact environnemental. Les organes de cogestion devraient garantir une représentation équitable du gouvernement et des peuples autochtones et communautés locales. </w:t>
      </w:r>
    </w:p>
    <w:p w14:paraId="02AEE9A9" w14:textId="6D9D5877" w:rsidR="00A86050" w:rsidRPr="00E61996" w:rsidRDefault="00AB618B" w:rsidP="00A86050">
      <w:pPr>
        <w:tabs>
          <w:tab w:val="left" w:pos="2835"/>
          <w:tab w:val="left" w:pos="3402"/>
        </w:tabs>
        <w:spacing w:after="120"/>
        <w:ind w:left="567"/>
      </w:pPr>
      <w:r w:rsidRPr="00E61996">
        <w:t>40</w:t>
      </w:r>
      <w:r w:rsidR="00A86050" w:rsidRPr="00E61996">
        <w:t>.</w:t>
      </w:r>
      <w:r w:rsidR="00A86050" w:rsidRPr="00E61996">
        <w:tab/>
        <w:t>Les zones gouvernées et gérées par les peuples autochtones et communautés locales, conformément à leurs lois et leurs pratiques coutumières, leurs systèmes de gouvernance et leurs cadres institutionnels, devraient être reconnues dans le contexte des efforts de conservation et de restauration</w:t>
      </w:r>
      <w:r w:rsidR="00516B60" w:rsidRPr="00E61996">
        <w:t xml:space="preserve"> </w:t>
      </w:r>
      <w:r w:rsidRPr="00E61996">
        <w:t>des écosystèmes</w:t>
      </w:r>
      <w:r w:rsidR="00A86050" w:rsidRPr="00E61996">
        <w:t xml:space="preserve">, de l'aménagement du territoire et des évaluations de l'impact environnemental, conformément aux lois et aux circonstances nationales, ainsi qu’aux instruments internationaux. </w:t>
      </w:r>
    </w:p>
    <w:p w14:paraId="0B46AFB2" w14:textId="4857B4C8" w:rsidR="00A86050" w:rsidRPr="00E61996" w:rsidRDefault="00AB618B" w:rsidP="00A86050">
      <w:pPr>
        <w:tabs>
          <w:tab w:val="left" w:pos="2835"/>
          <w:tab w:val="left" w:pos="3402"/>
        </w:tabs>
        <w:spacing w:after="120"/>
        <w:ind w:left="567"/>
      </w:pPr>
      <w:r w:rsidRPr="00E61996">
        <w:t>41</w:t>
      </w:r>
      <w:r w:rsidR="00A86050" w:rsidRPr="00E61996">
        <w:t>.</w:t>
      </w:r>
      <w:r w:rsidR="00A86050" w:rsidRPr="00E61996">
        <w:tab/>
        <w:t>Le droit coutumier, les procédures et les systèmes de gouvernance des peuples autochtones et communautés locales peuvent être reconnus et respectés dans le cadre de la conception, de la gestion et du suivi des aires protégées, selon qu’il convient. Cette reconnaissance peut également être reflétée dans d'autres mesures efficaces de conservation par zone, dans l'aménagement du territoire et dans les évaluations de l'impact environnemental.</w:t>
      </w:r>
    </w:p>
    <w:p w14:paraId="31CEF517" w14:textId="3F8D0CD1" w:rsidR="00A86050" w:rsidRPr="00E61996" w:rsidRDefault="00A86050" w:rsidP="00A86050">
      <w:pPr>
        <w:tabs>
          <w:tab w:val="left" w:pos="2835"/>
          <w:tab w:val="left" w:pos="3402"/>
        </w:tabs>
        <w:spacing w:after="120"/>
        <w:ind w:left="567"/>
      </w:pPr>
      <w:r w:rsidRPr="00E61996">
        <w:lastRenderedPageBreak/>
        <w:t>4</w:t>
      </w:r>
      <w:r w:rsidR="00AB618B" w:rsidRPr="00E61996">
        <w:t>2</w:t>
      </w:r>
      <w:r w:rsidRPr="00E61996">
        <w:t>.</w:t>
      </w:r>
      <w:r w:rsidRPr="00E61996">
        <w:tab/>
        <w:t>Il convient de mettre en place ou</w:t>
      </w:r>
      <w:r w:rsidR="00AB618B" w:rsidRPr="00E61996">
        <w:t>,</w:t>
      </w:r>
      <w:r w:rsidRPr="00E61996">
        <w:t xml:space="preserve"> </w:t>
      </w:r>
      <w:r w:rsidR="00AB618B" w:rsidRPr="00E61996">
        <w:t xml:space="preserve">selon les besoins, </w:t>
      </w:r>
      <w:r w:rsidRPr="00E61996">
        <w:t>de renforcer</w:t>
      </w:r>
      <w:r w:rsidR="00912ACD" w:rsidRPr="00E61996">
        <w:t xml:space="preserve"> </w:t>
      </w:r>
      <w:r w:rsidRPr="00E61996">
        <w:t>des mécanismes de consultation et de collaboration entre les gouvernements et les organisations et organes [légitimes] de représentation des peuples autochtones et communautés locales[, tels que désignés par ceux-ci,][ dans leurs pays respectifs,] en ce qui concerne les initiatives de cartographie communautaire et les systèmes de suivi.</w:t>
      </w:r>
    </w:p>
    <w:p w14:paraId="6B9D5161" w14:textId="4C55E6EB" w:rsidR="00A86050" w:rsidRPr="00E61996" w:rsidRDefault="00A86050" w:rsidP="00A86050">
      <w:pPr>
        <w:tabs>
          <w:tab w:val="left" w:pos="2835"/>
          <w:tab w:val="left" w:pos="3402"/>
        </w:tabs>
        <w:spacing w:after="120"/>
        <w:ind w:left="567"/>
      </w:pPr>
      <w:r w:rsidRPr="00E61996">
        <w:t>4</w:t>
      </w:r>
      <w:r w:rsidR="00AB618B" w:rsidRPr="00E61996">
        <w:t>3</w:t>
      </w:r>
      <w:r w:rsidRPr="00E61996">
        <w:t>.</w:t>
      </w:r>
      <w:r w:rsidRPr="00E61996">
        <w:tab/>
        <w:t>Des mécanismes, des lois et des mesures administratives, institutionnelles et politiques, y compris des garanties, des mécanismes de réclamation et des systèmes de surveillance, devraient être élaborés et mis en œuvre afin de prévenir la marginalisation, le déplacement ou les atteintes à la culture dans le cadre des efforts de conservation, de restauration et d’utilisation durable, de l'aménagement du territoire et des évaluations de l'impact environnemental.</w:t>
      </w:r>
    </w:p>
    <w:p w14:paraId="0D47E59F" w14:textId="77777777" w:rsidR="00A86050" w:rsidRPr="00E61996" w:rsidRDefault="00A86050" w:rsidP="00A86050">
      <w:pPr>
        <w:keepNext/>
        <w:keepLines/>
        <w:tabs>
          <w:tab w:val="left" w:pos="2835"/>
          <w:tab w:val="left" w:pos="3402"/>
          <w:tab w:val="left" w:pos="3969"/>
        </w:tabs>
        <w:spacing w:before="120" w:after="120"/>
        <w:ind w:left="567" w:hanging="567"/>
        <w:outlineLvl w:val="1"/>
        <w:rPr>
          <w:b/>
          <w:sz w:val="24"/>
        </w:rPr>
      </w:pPr>
      <w:r w:rsidRPr="00E61996">
        <w:rPr>
          <w:b/>
          <w:sz w:val="24"/>
        </w:rPr>
        <w:t>D.</w:t>
      </w:r>
      <w:r w:rsidRPr="00E61996">
        <w:rPr>
          <w:b/>
          <w:sz w:val="24"/>
        </w:rPr>
        <w:tab/>
        <w:t>Mécanismes de résolution des conflits</w:t>
      </w:r>
    </w:p>
    <w:p w14:paraId="1A40CBB9" w14:textId="7AB96589" w:rsidR="00A86050" w:rsidRPr="00E61996" w:rsidRDefault="00A86050" w:rsidP="00A86050">
      <w:pPr>
        <w:tabs>
          <w:tab w:val="left" w:pos="2835"/>
          <w:tab w:val="left" w:pos="3402"/>
        </w:tabs>
        <w:spacing w:after="120"/>
        <w:ind w:left="567"/>
      </w:pPr>
      <w:r w:rsidRPr="00E61996">
        <w:t>4</w:t>
      </w:r>
      <w:r w:rsidR="00AB618B" w:rsidRPr="00E61996">
        <w:t>4</w:t>
      </w:r>
      <w:r w:rsidRPr="00E61996">
        <w:t>.</w:t>
      </w:r>
      <w:r w:rsidRPr="00E61996">
        <w:tab/>
        <w:t>Des mécanismes, des lois, des mesures administratives, institutionnelles et politiques ou des protocoles visant à prévenir et à régler les conflits et à traiter les plaintes devraient être mis en place ou</w:t>
      </w:r>
      <w:r w:rsidR="00AB618B" w:rsidRPr="00E61996">
        <w:t>, selon les besoins,</w:t>
      </w:r>
      <w:r w:rsidRPr="00E61996">
        <w:t xml:space="preserve"> renforcés</w:t>
      </w:r>
      <w:r w:rsidR="00AB618B" w:rsidRPr="00E61996">
        <w:t>.</w:t>
      </w:r>
      <w:r w:rsidR="00912ACD" w:rsidRPr="00E61996">
        <w:t xml:space="preserve"> </w:t>
      </w:r>
      <w:r w:rsidRPr="00E61996">
        <w:t xml:space="preserve">Ces systèmes devraient reconnaître et respecter les pratiques coutumières de règlement des différends et protéger les droits des peuples autochtones et communautés locales dans le contexte des processus relatifs aux aires protégées et des autres mesures efficaces de conservation par zone, </w:t>
      </w:r>
      <w:r w:rsidR="00912ACD" w:rsidRPr="00E61996">
        <w:t>de la</w:t>
      </w:r>
      <w:r w:rsidRPr="00E61996">
        <w:t xml:space="preserve"> restauration des écosystèmes, de l'aménagement du territoire et des évaluations de l'impact environnemental.</w:t>
      </w:r>
    </w:p>
    <w:p w14:paraId="42D42C35" w14:textId="77777777" w:rsidR="00A86050" w:rsidRPr="00E61996" w:rsidRDefault="00A86050" w:rsidP="00A86050">
      <w:pPr>
        <w:keepNext/>
        <w:keepLines/>
        <w:tabs>
          <w:tab w:val="left" w:pos="2835"/>
          <w:tab w:val="left" w:pos="3402"/>
        </w:tabs>
        <w:spacing w:before="240" w:after="120"/>
        <w:ind w:left="567" w:hanging="567"/>
        <w:jc w:val="left"/>
        <w:outlineLvl w:val="0"/>
        <w:rPr>
          <w:b/>
          <w:sz w:val="28"/>
        </w:rPr>
      </w:pPr>
      <w:r w:rsidRPr="00E61996">
        <w:rPr>
          <w:b/>
          <w:sz w:val="28"/>
        </w:rPr>
        <w:t>IX.</w:t>
      </w:r>
      <w:r w:rsidRPr="00E61996">
        <w:rPr>
          <w:b/>
          <w:sz w:val="28"/>
        </w:rPr>
        <w:tab/>
        <w:t>Participation pleine et effective</w:t>
      </w:r>
    </w:p>
    <w:p w14:paraId="60B0C957" w14:textId="0F6EAFC2" w:rsidR="00A86050" w:rsidRPr="00E61996" w:rsidRDefault="00A86050" w:rsidP="00A86050">
      <w:pPr>
        <w:tabs>
          <w:tab w:val="left" w:pos="2835"/>
          <w:tab w:val="left" w:pos="3402"/>
        </w:tabs>
        <w:spacing w:after="120"/>
        <w:ind w:left="567"/>
      </w:pPr>
      <w:r w:rsidRPr="00E61996">
        <w:t>4</w:t>
      </w:r>
      <w:r w:rsidR="00AB618B" w:rsidRPr="00E61996">
        <w:t>5</w:t>
      </w:r>
      <w:r w:rsidRPr="00E61996">
        <w:t>.</w:t>
      </w:r>
      <w:r w:rsidRPr="00E61996">
        <w:tab/>
        <w:t xml:space="preserve">Les peuples autochtones et communautés locales devraient </w:t>
      </w:r>
      <w:r w:rsidR="00912ACD" w:rsidRPr="00E61996">
        <w:t>pouvoir</w:t>
      </w:r>
      <w:r w:rsidRPr="00E61996">
        <w:t xml:space="preserve"> participer pleinement, avec équité, de manière inclusive, effective et dans le respect de l'égalité des sexes à tous les processus décisionnels susceptibles d'avoir une incidence sur leurs droits, leurs terres, leurs territoires, leurs eaux et leurs ressources. </w:t>
      </w:r>
    </w:p>
    <w:p w14:paraId="7928F182" w14:textId="34AA3D66" w:rsidR="00A86050" w:rsidRPr="00E61996" w:rsidRDefault="00A86050" w:rsidP="00A86050">
      <w:pPr>
        <w:tabs>
          <w:tab w:val="left" w:pos="2835"/>
          <w:tab w:val="left" w:pos="3402"/>
        </w:tabs>
        <w:spacing w:after="120"/>
        <w:ind w:left="567"/>
      </w:pPr>
      <w:r w:rsidRPr="00E61996">
        <w:t>4</w:t>
      </w:r>
      <w:r w:rsidR="00AB618B" w:rsidRPr="00E61996">
        <w:t>6</w:t>
      </w:r>
      <w:r w:rsidRPr="00E61996">
        <w:t>.</w:t>
      </w:r>
      <w:r w:rsidRPr="00E61996">
        <w:tab/>
        <w:t xml:space="preserve">La participation des peuples autochtones et communautés locales devrait être assurée tout au long </w:t>
      </w:r>
      <w:r w:rsidR="00AB618B" w:rsidRPr="00E61996">
        <w:t>de l’</w:t>
      </w:r>
      <w:r w:rsidRPr="00E61996">
        <w:t xml:space="preserve">élaboration, de </w:t>
      </w:r>
      <w:r w:rsidR="00AB618B" w:rsidRPr="00E61996">
        <w:t xml:space="preserve">la </w:t>
      </w:r>
      <w:r w:rsidRPr="00E61996">
        <w:t xml:space="preserve">planification, de </w:t>
      </w:r>
      <w:r w:rsidR="00AB618B" w:rsidRPr="00E61996">
        <w:t xml:space="preserve">la </w:t>
      </w:r>
      <w:r w:rsidRPr="00E61996">
        <w:t>mise en œuvre et d</w:t>
      </w:r>
      <w:r w:rsidR="00AB618B" w:rsidRPr="00E61996">
        <w:t>u</w:t>
      </w:r>
      <w:r w:rsidRPr="00E61996">
        <w:t xml:space="preserve"> suivi des aires protégées et des autres mesures efficaces de conservation par zone et de restauration des écosystèmes, de l'aménagement du territoire et des évaluations de l'impact environnemental qui ont une incidence sur ces peuples et communautés.</w:t>
      </w:r>
    </w:p>
    <w:p w14:paraId="32C5FF70" w14:textId="77777777" w:rsidR="00A86050" w:rsidRPr="00E61996" w:rsidRDefault="00A86050" w:rsidP="00A86050">
      <w:pPr>
        <w:keepNext/>
        <w:keepLines/>
        <w:tabs>
          <w:tab w:val="left" w:pos="2835"/>
          <w:tab w:val="left" w:pos="3402"/>
        </w:tabs>
        <w:spacing w:before="240" w:after="120"/>
        <w:ind w:left="567" w:hanging="567"/>
        <w:jc w:val="left"/>
        <w:outlineLvl w:val="0"/>
        <w:rPr>
          <w:b/>
          <w:sz w:val="28"/>
        </w:rPr>
      </w:pPr>
      <w:r w:rsidRPr="00E61996">
        <w:rPr>
          <w:b/>
          <w:sz w:val="28"/>
        </w:rPr>
        <w:t>X.</w:t>
      </w:r>
      <w:r w:rsidRPr="00E61996">
        <w:rPr>
          <w:b/>
          <w:sz w:val="28"/>
        </w:rPr>
        <w:tab/>
        <w:t>Conditions favorables</w:t>
      </w:r>
    </w:p>
    <w:p w14:paraId="70E54539" w14:textId="77777777" w:rsidR="00A86050" w:rsidRPr="00E61996" w:rsidRDefault="00A86050" w:rsidP="00A86050">
      <w:pPr>
        <w:keepNext/>
        <w:keepLines/>
        <w:tabs>
          <w:tab w:val="left" w:pos="2835"/>
          <w:tab w:val="left" w:pos="3402"/>
          <w:tab w:val="left" w:pos="3969"/>
        </w:tabs>
        <w:spacing w:before="120" w:after="120"/>
        <w:ind w:left="567" w:hanging="567"/>
        <w:outlineLvl w:val="1"/>
        <w:rPr>
          <w:b/>
          <w:sz w:val="24"/>
        </w:rPr>
      </w:pPr>
      <w:r w:rsidRPr="00E61996">
        <w:rPr>
          <w:b/>
          <w:sz w:val="24"/>
        </w:rPr>
        <w:t>A.</w:t>
      </w:r>
      <w:r w:rsidRPr="00E61996">
        <w:rPr>
          <w:b/>
          <w:sz w:val="24"/>
        </w:rPr>
        <w:tab/>
        <w:t>Renforcement des capacités</w:t>
      </w:r>
    </w:p>
    <w:p w14:paraId="269D9E3C" w14:textId="13EFF0D2" w:rsidR="00A86050" w:rsidRPr="00E61996" w:rsidRDefault="00A86050" w:rsidP="00A86050">
      <w:pPr>
        <w:tabs>
          <w:tab w:val="left" w:pos="2835"/>
          <w:tab w:val="left" w:pos="3402"/>
        </w:tabs>
        <w:spacing w:after="120"/>
        <w:ind w:left="567"/>
      </w:pPr>
      <w:r w:rsidRPr="00E61996">
        <w:t>4</w:t>
      </w:r>
      <w:r w:rsidR="00AB618B" w:rsidRPr="00E61996">
        <w:t>7</w:t>
      </w:r>
      <w:r w:rsidRPr="00E61996">
        <w:t>.</w:t>
      </w:r>
      <w:r w:rsidRPr="00E61996">
        <w:tab/>
        <w:t xml:space="preserve">Il convient de renforcer la capacité des peuples autochtones et communautés locales, des institutions gouvernementales compétentes et du secteur privé à mettre en œuvre les présentes directives. Les efforts de renforcement des capacités doivent tenir compte des </w:t>
      </w:r>
      <w:r w:rsidR="00912ACD" w:rsidRPr="00E61996">
        <w:t>particularités</w:t>
      </w:r>
      <w:r w:rsidRPr="00E61996">
        <w:t xml:space="preserve"> culturelles et inclure la formation des autorités publiques, des parties prenantes et du secteur privé afin qu'ils appliquent les législations et politiques pertinentes de manière respectueuse et efficace.</w:t>
      </w:r>
    </w:p>
    <w:p w14:paraId="07CC2750" w14:textId="6F4A4D93" w:rsidR="00A86050" w:rsidRPr="00E61996" w:rsidRDefault="00AB618B" w:rsidP="00A86050">
      <w:pPr>
        <w:tabs>
          <w:tab w:val="left" w:pos="2835"/>
          <w:tab w:val="left" w:pos="3402"/>
        </w:tabs>
        <w:spacing w:after="120"/>
        <w:ind w:left="567"/>
      </w:pPr>
      <w:r w:rsidRPr="00E61996">
        <w:t>48</w:t>
      </w:r>
      <w:r w:rsidR="00A86050" w:rsidRPr="00E61996">
        <w:t>.</w:t>
      </w:r>
      <w:r w:rsidR="00A86050" w:rsidRPr="00E61996">
        <w:tab/>
        <w:t>Des possibilités de formation, de coopération technique et d'assistance juridique, y compris, dans la mesure du possible, dans les langues autochtones, devraient être créées et encouragées grâce à l'élaboration de supports et d'outils appropriés permettant le partage d'expériences relatives aux aires protégées et aux autres mesures efficaces de conservation par zone</w:t>
      </w:r>
      <w:r w:rsidRPr="00E61996">
        <w:t xml:space="preserve"> et</w:t>
      </w:r>
      <w:r w:rsidR="00A86050" w:rsidRPr="00E61996">
        <w:t xml:space="preserve"> </w:t>
      </w:r>
      <w:r w:rsidRPr="00E61996">
        <w:t xml:space="preserve">de </w:t>
      </w:r>
      <w:r w:rsidR="00A86050" w:rsidRPr="00E61996">
        <w:t>restauration de la biodiversité, à l'aménagement du territoire et aux évaluations de l'impact environnemental parmi les peuples autochtones et communautés locales.</w:t>
      </w:r>
    </w:p>
    <w:p w14:paraId="3E0CCE6D" w14:textId="77777777" w:rsidR="00A86050" w:rsidRPr="00E61996" w:rsidRDefault="00A86050" w:rsidP="00A86050">
      <w:pPr>
        <w:keepNext/>
        <w:keepLines/>
        <w:tabs>
          <w:tab w:val="left" w:pos="2835"/>
          <w:tab w:val="left" w:pos="3402"/>
          <w:tab w:val="left" w:pos="3969"/>
        </w:tabs>
        <w:spacing w:before="120" w:after="120"/>
        <w:ind w:left="567" w:hanging="567"/>
        <w:outlineLvl w:val="1"/>
        <w:rPr>
          <w:b/>
          <w:sz w:val="24"/>
        </w:rPr>
      </w:pPr>
      <w:r w:rsidRPr="00E61996">
        <w:rPr>
          <w:b/>
          <w:sz w:val="24"/>
        </w:rPr>
        <w:t>B.</w:t>
      </w:r>
      <w:r w:rsidRPr="00E61996">
        <w:rPr>
          <w:b/>
          <w:sz w:val="24"/>
        </w:rPr>
        <w:tab/>
        <w:t xml:space="preserve">Sensibilisation </w:t>
      </w:r>
    </w:p>
    <w:p w14:paraId="0C580571" w14:textId="288F998F" w:rsidR="00A86050" w:rsidRPr="00E61996" w:rsidRDefault="00AB618B" w:rsidP="00A86050">
      <w:pPr>
        <w:tabs>
          <w:tab w:val="left" w:pos="2835"/>
          <w:tab w:val="left" w:pos="3402"/>
        </w:tabs>
        <w:spacing w:after="120"/>
        <w:ind w:left="567"/>
      </w:pPr>
      <w:r w:rsidRPr="00E61996">
        <w:t>49</w:t>
      </w:r>
      <w:r w:rsidR="00A86050" w:rsidRPr="00E61996">
        <w:t>.</w:t>
      </w:r>
      <w:r w:rsidR="00A86050" w:rsidRPr="00E61996">
        <w:tab/>
      </w:r>
      <w:r w:rsidR="00912ACD" w:rsidRPr="00E61996">
        <w:t>L</w:t>
      </w:r>
      <w:r w:rsidR="00A86050" w:rsidRPr="00E61996">
        <w:t xml:space="preserve">es institutions gouvernementales, la société civile, le secteur privé et le grand public </w:t>
      </w:r>
      <w:r w:rsidR="00912ACD" w:rsidRPr="00E61996">
        <w:t xml:space="preserve">devraient être sensibilisés </w:t>
      </w:r>
      <w:r w:rsidR="00A86050" w:rsidRPr="00E61996">
        <w:t>aux rôles, aux contributions, aux droits et aux systèmes de connaissances des peuples autochtones et communautés locales en matière de conservation et de restauration des écosystèmes.</w:t>
      </w:r>
    </w:p>
    <w:p w14:paraId="27D56B5C" w14:textId="77777777" w:rsidR="00A86050" w:rsidRPr="00E61996" w:rsidRDefault="00A86050" w:rsidP="00A86050">
      <w:pPr>
        <w:keepNext/>
        <w:keepLines/>
        <w:tabs>
          <w:tab w:val="left" w:pos="2835"/>
          <w:tab w:val="left" w:pos="3402"/>
          <w:tab w:val="left" w:pos="3969"/>
        </w:tabs>
        <w:spacing w:before="120" w:after="120"/>
        <w:ind w:left="567" w:hanging="567"/>
        <w:outlineLvl w:val="1"/>
        <w:rPr>
          <w:b/>
          <w:sz w:val="24"/>
        </w:rPr>
      </w:pPr>
      <w:r w:rsidRPr="00E61996">
        <w:rPr>
          <w:b/>
          <w:sz w:val="24"/>
        </w:rPr>
        <w:lastRenderedPageBreak/>
        <w:t>C.</w:t>
      </w:r>
      <w:r w:rsidRPr="00E61996">
        <w:rPr>
          <w:b/>
          <w:sz w:val="24"/>
        </w:rPr>
        <w:tab/>
        <w:t>Mécanismes de financement durables, inclusifs et accessibles</w:t>
      </w:r>
    </w:p>
    <w:p w14:paraId="418481D0" w14:textId="2802C530" w:rsidR="00A86050" w:rsidRPr="00E61996" w:rsidRDefault="00AB618B" w:rsidP="00A86050">
      <w:pPr>
        <w:tabs>
          <w:tab w:val="left" w:pos="2835"/>
          <w:tab w:val="left" w:pos="3402"/>
        </w:tabs>
        <w:spacing w:after="120"/>
        <w:ind w:left="567"/>
      </w:pPr>
      <w:r w:rsidRPr="00E61996">
        <w:t>50</w:t>
      </w:r>
      <w:r w:rsidR="00A86050" w:rsidRPr="00E61996">
        <w:t>.</w:t>
      </w:r>
      <w:r w:rsidR="00A86050" w:rsidRPr="00E61996">
        <w:tab/>
        <w:t xml:space="preserve">Un appui financier suffisant, durable et accessible devrait être mis en place ou renforcé aux fins de la conception, de la mise en œuvre et du suivi des projets d’aires protégées et des autres mesures efficaces de conservation par zone, des </w:t>
      </w:r>
      <w:r w:rsidRPr="00E61996">
        <w:t xml:space="preserve">mesures </w:t>
      </w:r>
      <w:r w:rsidR="00A86050" w:rsidRPr="00E61996">
        <w:t xml:space="preserve">de restauration des écosystèmes, des processus d'aménagement du territoire et des évaluations de l'impact environnemental, réalisés à l’initiative ou avec le concours des peuples autochtones et communautés locales, conformément aux décisions </w:t>
      </w:r>
      <w:hyperlink r:id="rId18" w:history="1">
        <w:r w:rsidR="00A86050" w:rsidRPr="00E61996">
          <w:rPr>
            <w:color w:val="467886" w:themeColor="hyperlink"/>
            <w:u w:val="single"/>
          </w:rPr>
          <w:t>16/4</w:t>
        </w:r>
      </w:hyperlink>
      <w:r w:rsidR="00A86050" w:rsidRPr="00E61996">
        <w:t xml:space="preserve"> et </w:t>
      </w:r>
      <w:hyperlink r:id="rId19" w:history="1">
        <w:r w:rsidR="00A86050" w:rsidRPr="00E61996">
          <w:rPr>
            <w:color w:val="467886" w:themeColor="hyperlink"/>
            <w:u w:val="single"/>
          </w:rPr>
          <w:t>16/34</w:t>
        </w:r>
      </w:hyperlink>
      <w:r w:rsidR="00A86050" w:rsidRPr="00E61996">
        <w:t xml:space="preserve">. </w:t>
      </w:r>
    </w:p>
    <w:p w14:paraId="1374D6CA" w14:textId="1A7E7A72" w:rsidR="00A86050" w:rsidRPr="00E61996" w:rsidRDefault="00A86050" w:rsidP="00A86050">
      <w:pPr>
        <w:tabs>
          <w:tab w:val="left" w:pos="2835"/>
          <w:tab w:val="left" w:pos="3402"/>
        </w:tabs>
        <w:spacing w:after="120"/>
        <w:ind w:left="567"/>
      </w:pPr>
      <w:r w:rsidRPr="00E61996">
        <w:t>5</w:t>
      </w:r>
      <w:r w:rsidR="00AB618B" w:rsidRPr="00E61996">
        <w:t>1</w:t>
      </w:r>
      <w:r w:rsidRPr="00E61996">
        <w:t>.</w:t>
      </w:r>
      <w:r w:rsidRPr="00E61996">
        <w:tab/>
        <w:t>Des programmes de financement direct devraient être élaborés, mis en place ou renforcés, selon qu’il convient, en coordination avec les Parties et conformément aux lois et aux circonstances nationales, en vue de soutenir les efforts de restauration et de conservation, les processus d'aménagement du territoire et les évaluations de l'impact environnemental menés par les peuples autochtones et communautés locales sur leurs terres, territoires</w:t>
      </w:r>
      <w:r w:rsidR="00AB618B" w:rsidRPr="00E61996">
        <w:t xml:space="preserve"> et eaux</w:t>
      </w:r>
      <w:r w:rsidRPr="00E61996">
        <w:t xml:space="preserve">, avec leur participation pleine et effective, conformément aux décisions </w:t>
      </w:r>
      <w:hyperlink r:id="rId20" w:history="1">
        <w:r w:rsidRPr="00E61996">
          <w:rPr>
            <w:color w:val="467886" w:themeColor="hyperlink"/>
            <w:u w:val="single"/>
          </w:rPr>
          <w:t>16/4</w:t>
        </w:r>
      </w:hyperlink>
      <w:r w:rsidRPr="00E61996">
        <w:t xml:space="preserve"> et </w:t>
      </w:r>
      <w:hyperlink r:id="rId21" w:history="1">
        <w:r w:rsidRPr="00E61996">
          <w:rPr>
            <w:color w:val="467886" w:themeColor="hyperlink"/>
            <w:u w:val="single"/>
          </w:rPr>
          <w:t>16/34</w:t>
        </w:r>
      </w:hyperlink>
      <w:r w:rsidRPr="00E61996">
        <w:t>.</w:t>
      </w:r>
    </w:p>
    <w:p w14:paraId="0460CF24" w14:textId="77777777" w:rsidR="00A86050" w:rsidRPr="00E61996" w:rsidRDefault="00A86050" w:rsidP="00A86050">
      <w:pPr>
        <w:keepNext/>
        <w:keepLines/>
        <w:tabs>
          <w:tab w:val="left" w:pos="2835"/>
          <w:tab w:val="left" w:pos="3402"/>
          <w:tab w:val="left" w:pos="3969"/>
        </w:tabs>
        <w:spacing w:before="120" w:after="120"/>
        <w:ind w:left="567" w:hanging="567"/>
        <w:outlineLvl w:val="1"/>
        <w:rPr>
          <w:b/>
          <w:sz w:val="24"/>
        </w:rPr>
      </w:pPr>
      <w:r w:rsidRPr="00E61996">
        <w:rPr>
          <w:b/>
          <w:sz w:val="24"/>
        </w:rPr>
        <w:t>D.</w:t>
      </w:r>
      <w:r w:rsidRPr="00E61996">
        <w:rPr>
          <w:b/>
          <w:sz w:val="24"/>
        </w:rPr>
        <w:tab/>
        <w:t xml:space="preserve">Suivi et établissement de rapports </w:t>
      </w:r>
    </w:p>
    <w:p w14:paraId="10F73DB2" w14:textId="012C2FE0" w:rsidR="00A86050" w:rsidRPr="00E61996" w:rsidRDefault="00A86050" w:rsidP="00A86050">
      <w:pPr>
        <w:tabs>
          <w:tab w:val="left" w:pos="2835"/>
          <w:tab w:val="left" w:pos="3402"/>
        </w:tabs>
        <w:spacing w:after="120"/>
        <w:ind w:left="567"/>
      </w:pPr>
      <w:r w:rsidRPr="00E61996">
        <w:t>5</w:t>
      </w:r>
      <w:r w:rsidR="00AB618B" w:rsidRPr="00E61996">
        <w:t>2</w:t>
      </w:r>
      <w:r w:rsidRPr="00E61996">
        <w:t>.</w:t>
      </w:r>
      <w:r w:rsidRPr="00E61996">
        <w:tab/>
        <w:t>Il convient d'appuyer la mise en place de mécanismes de suivi et d'établissement de rapports, y compris l'utilisation de protocoles bioculturels communautaires.</w:t>
      </w:r>
    </w:p>
    <w:p w14:paraId="7806902E" w14:textId="17354A4B" w:rsidR="00A86050" w:rsidRPr="00E61996" w:rsidRDefault="00A86050" w:rsidP="00A86050">
      <w:pPr>
        <w:tabs>
          <w:tab w:val="left" w:pos="2835"/>
          <w:tab w:val="left" w:pos="3402"/>
        </w:tabs>
        <w:spacing w:after="120"/>
        <w:ind w:left="567"/>
      </w:pPr>
      <w:r w:rsidRPr="00E61996">
        <w:t>5</w:t>
      </w:r>
      <w:r w:rsidR="00AB618B" w:rsidRPr="00E61996">
        <w:t>3</w:t>
      </w:r>
      <w:r w:rsidRPr="00E61996">
        <w:t>.</w:t>
      </w:r>
      <w:r w:rsidRPr="00E61996">
        <w:tab/>
        <w:t>Des indicateurs quantitatifs et qualitatifs, y compris des indicateurs bioculturels et liés aux connaissances traditionnelles, et des systèmes d’information et de suivi communautaire devraient être promus, renforcés et, selon qu’il convient, mis en place, en tenant compte des circonstances nationales et sans créer de charge supplémentaire en matière de communication d’information, en vue de mesurer l'efficacité des efforts de conservation et de restauration</w:t>
      </w:r>
      <w:r w:rsidR="00AB618B" w:rsidRPr="00E61996">
        <w:t xml:space="preserve"> des écosystèmes</w:t>
      </w:r>
      <w:r w:rsidRPr="00E61996">
        <w:t xml:space="preserve"> déployés par les peuples autochtones et communautés locales ou avec leur participation, notamment pour l'indicateur phare 22.1 du cadre de suivi du Cadre mondial de la biodiversité de Kunming-Montréal concernant le changement d'affectation des terres et le régime foncier dans les territoires traditionnels des peuples autochtones et communautés locales</w:t>
      </w:r>
      <w:r w:rsidRPr="00E61996">
        <w:rPr>
          <w:vertAlign w:val="superscript"/>
        </w:rPr>
        <w:footnoteReference w:id="15"/>
      </w:r>
      <w:r w:rsidRPr="00E61996">
        <w:t>.</w:t>
      </w:r>
    </w:p>
    <w:p w14:paraId="2ED62F98" w14:textId="5B475397" w:rsidR="00A86050" w:rsidRPr="00E61996" w:rsidRDefault="00A86050" w:rsidP="00A86050">
      <w:pPr>
        <w:tabs>
          <w:tab w:val="left" w:pos="2835"/>
          <w:tab w:val="left" w:pos="3402"/>
        </w:tabs>
        <w:spacing w:after="120"/>
        <w:ind w:left="567"/>
      </w:pPr>
      <w:r w:rsidRPr="00E61996">
        <w:t>5</w:t>
      </w:r>
      <w:r w:rsidR="00AB618B" w:rsidRPr="00E61996">
        <w:t>4</w:t>
      </w:r>
      <w:r w:rsidRPr="00E61996">
        <w:t>.</w:t>
      </w:r>
      <w:r w:rsidRPr="00E61996">
        <w:tab/>
        <w:t xml:space="preserve">Il convient de reconnaître la nécessité de garantir et d’améliorer la transparence et l’inclusivité des systèmes communautaires de suivi et d’information et d’associer pleinement les peuples autochtones et communautés locales, </w:t>
      </w:r>
      <w:r w:rsidR="00AB618B" w:rsidRPr="00E61996">
        <w:t xml:space="preserve">y compris </w:t>
      </w:r>
      <w:r w:rsidRPr="00E61996">
        <w:t xml:space="preserve">les femmes et les jeunes </w:t>
      </w:r>
      <w:r w:rsidR="00AB618B" w:rsidRPr="00E61996">
        <w:t xml:space="preserve">qui en font partie, </w:t>
      </w:r>
      <w:r w:rsidRPr="00E61996">
        <w:t xml:space="preserve">à la gestion de ces systèmes, notamment en promouvant et en mettant en place ces systèmes dans les pays en développement. Il </w:t>
      </w:r>
      <w:r w:rsidR="00912ACD" w:rsidRPr="00E61996">
        <w:t>convient</w:t>
      </w:r>
      <w:r w:rsidRPr="00E61996">
        <w:t xml:space="preserve"> </w:t>
      </w:r>
      <w:r w:rsidR="00912ACD" w:rsidRPr="00E61996">
        <w:t xml:space="preserve">en outre de souligner l’importance </w:t>
      </w:r>
      <w:r w:rsidRPr="00E61996">
        <w:t xml:space="preserve">d’améliorer la coopération internationale en vue de surmonter les contraintes techniques, financières et technologiques et le manque de capacités qui entravent </w:t>
      </w:r>
      <w:r w:rsidR="00AB618B" w:rsidRPr="00E61996">
        <w:t xml:space="preserve">la capacité </w:t>
      </w:r>
      <w:r w:rsidRPr="00E61996">
        <w:t>des pays en développement à soutenir les systèmes communautaires de suivi et d’information.</w:t>
      </w:r>
    </w:p>
    <w:p w14:paraId="69ECAFDC" w14:textId="444CCA58" w:rsidR="00A86050" w:rsidRPr="00E61996" w:rsidRDefault="00A86050" w:rsidP="00A86050">
      <w:pPr>
        <w:tabs>
          <w:tab w:val="left" w:pos="2835"/>
          <w:tab w:val="left" w:pos="3402"/>
        </w:tabs>
        <w:spacing w:after="120"/>
        <w:ind w:left="567"/>
      </w:pPr>
      <w:r w:rsidRPr="00E61996">
        <w:t>5</w:t>
      </w:r>
      <w:r w:rsidR="00AB618B" w:rsidRPr="00E61996">
        <w:t>5</w:t>
      </w:r>
      <w:r w:rsidRPr="00E61996">
        <w:t>.</w:t>
      </w:r>
      <w:r w:rsidRPr="00E61996">
        <w:tab/>
        <w:t>Des systèmes d'information nationaux sur les territoires autochtones et traditionnels, à tous les niveaux, devraient être créés et tenus à jour, conformément aux circonstances, aux lois et aux priorités nationales, afin de suivre les progrès accomplis en matière de reconnaissance et de gouvernance de ces territoires. Les systèmes doivent garantir la souveraineté des données pour ces groupes, en respectant leur consentement préalable, libre et éclairé.</w:t>
      </w:r>
    </w:p>
    <w:p w14:paraId="38237C5D" w14:textId="50FB660A" w:rsidR="00A86050" w:rsidRPr="00E61996" w:rsidRDefault="00A86050" w:rsidP="00A86050">
      <w:pPr>
        <w:tabs>
          <w:tab w:val="left" w:pos="2835"/>
          <w:tab w:val="left" w:pos="3402"/>
        </w:tabs>
        <w:spacing w:after="120"/>
        <w:ind w:left="567"/>
      </w:pPr>
      <w:r w:rsidRPr="00E61996">
        <w:t>5</w:t>
      </w:r>
      <w:r w:rsidR="00AB618B" w:rsidRPr="00E61996">
        <w:t>6</w:t>
      </w:r>
      <w:r w:rsidRPr="00E61996">
        <w:t>.</w:t>
      </w:r>
      <w:r w:rsidRPr="00E61996">
        <w:tab/>
        <w:t xml:space="preserve">Les informations relatives à la mise en œuvre des engagements liés aux territoires autochtones et traditionnels, ainsi que les contributions des peuples autochtones et communautés locales à la conservation et à la restauration des écosystèmes, devraient être intégrées dans les stratégies et plans d’action nationaux pour la </w:t>
      </w:r>
      <w:r w:rsidR="005C0178" w:rsidRPr="00E61996">
        <w:t>biodiversité</w:t>
      </w:r>
      <w:r w:rsidRPr="00E61996">
        <w:t xml:space="preserve">, les plans nationaux de restauration et les rapports nationaux établis au titre de la Convention. </w:t>
      </w:r>
    </w:p>
    <w:p w14:paraId="4466D5C6" w14:textId="77777777" w:rsidR="00A86050" w:rsidRPr="00E61996" w:rsidRDefault="00A86050" w:rsidP="00A86050">
      <w:pPr>
        <w:keepNext/>
        <w:keepLines/>
        <w:tabs>
          <w:tab w:val="left" w:pos="2835"/>
          <w:tab w:val="left" w:pos="3402"/>
          <w:tab w:val="left" w:pos="3969"/>
        </w:tabs>
        <w:spacing w:before="120" w:after="120"/>
        <w:ind w:left="567" w:hanging="567"/>
        <w:outlineLvl w:val="1"/>
        <w:rPr>
          <w:b/>
          <w:sz w:val="24"/>
        </w:rPr>
      </w:pPr>
      <w:r w:rsidRPr="00E61996">
        <w:rPr>
          <w:b/>
          <w:sz w:val="24"/>
        </w:rPr>
        <w:t>E.</w:t>
      </w:r>
      <w:r w:rsidRPr="00E61996">
        <w:rPr>
          <w:b/>
          <w:sz w:val="24"/>
        </w:rPr>
        <w:tab/>
        <w:t>Accès aux informations</w:t>
      </w:r>
    </w:p>
    <w:p w14:paraId="3823EC8A" w14:textId="57865FD4" w:rsidR="00A86050" w:rsidRPr="00E61996" w:rsidRDefault="00A86050" w:rsidP="00A86050">
      <w:pPr>
        <w:tabs>
          <w:tab w:val="left" w:pos="2835"/>
          <w:tab w:val="left" w:pos="3402"/>
        </w:tabs>
        <w:spacing w:after="120"/>
        <w:ind w:left="567"/>
      </w:pPr>
      <w:r w:rsidRPr="00E61996">
        <w:t>5</w:t>
      </w:r>
      <w:r w:rsidR="00AB618B" w:rsidRPr="00E61996">
        <w:t>7</w:t>
      </w:r>
      <w:r w:rsidRPr="00E61996">
        <w:t>.</w:t>
      </w:r>
      <w:r w:rsidRPr="00E61996">
        <w:tab/>
        <w:t xml:space="preserve">Les peuples autochtones et communautés locales devraient avoir accès en temps opportun et dans le respect de leur culture aux informations relatives aux aires protégées et aux autres mesures </w:t>
      </w:r>
      <w:r w:rsidRPr="00E61996">
        <w:lastRenderedPageBreak/>
        <w:t>efficaces de conservation par zone, à la restauration des écosystèmes, à l'aménagement du territoire et aux évaluations de l'impact environnemental. L'accès aux informations comprend la traduction des documents pertinents dans les langues des peuples autochtones et communautés locales,[ selon qu’il convient,] ainsi que l'utilisation de formats adaptés à la culture afin de faciliter la participation pleine et effective des peuples autochtones et communautés locales, y compris les femmes et les jeunes</w:t>
      </w:r>
      <w:r w:rsidR="00AB618B" w:rsidRPr="00E61996">
        <w:t xml:space="preserve"> qui en font partie</w:t>
      </w:r>
      <w:r w:rsidRPr="00E61996">
        <w:t xml:space="preserve">. </w:t>
      </w:r>
    </w:p>
    <w:p w14:paraId="55363B47" w14:textId="6CE61A3F" w:rsidR="00A86050" w:rsidRPr="00E61996" w:rsidRDefault="00A86050" w:rsidP="00A86050">
      <w:pPr>
        <w:keepNext/>
        <w:keepLines/>
        <w:tabs>
          <w:tab w:val="left" w:pos="2835"/>
          <w:tab w:val="left" w:pos="3402"/>
          <w:tab w:val="left" w:pos="3969"/>
        </w:tabs>
        <w:spacing w:before="120" w:after="120"/>
        <w:ind w:left="567" w:hanging="567"/>
        <w:outlineLvl w:val="1"/>
        <w:rPr>
          <w:b/>
          <w:sz w:val="24"/>
        </w:rPr>
      </w:pPr>
      <w:r w:rsidRPr="00E61996">
        <w:rPr>
          <w:b/>
          <w:sz w:val="24"/>
        </w:rPr>
        <w:t>F.</w:t>
      </w:r>
      <w:r w:rsidRPr="00E61996">
        <w:rPr>
          <w:b/>
          <w:sz w:val="24"/>
        </w:rPr>
        <w:tab/>
        <w:t>Coopérati</w:t>
      </w:r>
      <w:r w:rsidR="007D6098" w:rsidRPr="00E61996">
        <w:rPr>
          <w:b/>
          <w:sz w:val="24"/>
        </w:rPr>
        <w:t>on technique et appui juridique</w:t>
      </w:r>
    </w:p>
    <w:p w14:paraId="1C8D0822" w14:textId="08B48D33" w:rsidR="00A86050" w:rsidRPr="00E61996" w:rsidRDefault="00AB618B" w:rsidP="00A86050">
      <w:pPr>
        <w:tabs>
          <w:tab w:val="left" w:pos="2835"/>
          <w:tab w:val="left" w:pos="3402"/>
        </w:tabs>
        <w:spacing w:after="120"/>
        <w:ind w:left="567"/>
      </w:pPr>
      <w:r w:rsidRPr="00E61996">
        <w:t>58</w:t>
      </w:r>
      <w:r w:rsidR="00A86050" w:rsidRPr="00E61996">
        <w:t>.</w:t>
      </w:r>
      <w:r w:rsidR="00A86050" w:rsidRPr="00E61996">
        <w:tab/>
        <w:t xml:space="preserve">Un appui technique, scientifique et juridique devrait être fourni afin de renforcer la capacité des peuples autochtones et communautés locales à </w:t>
      </w:r>
      <w:r w:rsidR="00912ACD" w:rsidRPr="00E61996">
        <w:t>mener</w:t>
      </w:r>
      <w:r w:rsidR="00A86050" w:rsidRPr="00E61996">
        <w:t xml:space="preserve"> des activités de cartographie et de suivi communautaires liées aux aires protégées et aux autres mesures efficaces de conservation par zone, à la restauration des écosystèmes, à l'aménagement du territoire et aux évaluations de l'impact environnemental.</w:t>
      </w:r>
    </w:p>
    <w:p w14:paraId="697DC50F" w14:textId="2DDE8DA7" w:rsidR="00A86050" w:rsidRPr="00E61996" w:rsidRDefault="00AB618B" w:rsidP="00A86050">
      <w:pPr>
        <w:tabs>
          <w:tab w:val="left" w:pos="2835"/>
          <w:tab w:val="left" w:pos="3402"/>
        </w:tabs>
        <w:spacing w:after="120"/>
        <w:ind w:left="567"/>
      </w:pPr>
      <w:r w:rsidRPr="00E61996">
        <w:t>59</w:t>
      </w:r>
      <w:r w:rsidR="00A86050" w:rsidRPr="00E61996">
        <w:t>.</w:t>
      </w:r>
      <w:r w:rsidR="00A86050" w:rsidRPr="00E61996">
        <w:tab/>
        <w:t>Un appui juridique devrait être fou</w:t>
      </w:r>
      <w:r w:rsidR="00B55B10" w:rsidRPr="00E61996">
        <w:t>r</w:t>
      </w:r>
      <w:r w:rsidR="00A86050" w:rsidRPr="00E61996">
        <w:t>ni</w:t>
      </w:r>
      <w:r w:rsidR="00B55B10" w:rsidRPr="00E61996">
        <w:t>,</w:t>
      </w:r>
      <w:r w:rsidR="00A86050" w:rsidRPr="00E61996">
        <w:t xml:space="preserve"> </w:t>
      </w:r>
      <w:r w:rsidR="00B55B10" w:rsidRPr="00E61996">
        <w:t xml:space="preserve">selon qu’il convient et conformément aux circonstances nationales, </w:t>
      </w:r>
      <w:r w:rsidR="00A86050" w:rsidRPr="00E61996">
        <w:t>en vue de renforcer la sensibilisation aux droits fonciers collectifs des peuples autochtones et communautés locales, y compris les femmes et les jeunes</w:t>
      </w:r>
      <w:r w:rsidR="007150E6" w:rsidRPr="00E61996">
        <w:t xml:space="preserve"> qui en font partie</w:t>
      </w:r>
      <w:r w:rsidR="00A86050" w:rsidRPr="00E61996">
        <w:t xml:space="preserve">, et </w:t>
      </w:r>
      <w:r w:rsidR="00DA532B" w:rsidRPr="00E61996">
        <w:t xml:space="preserve">à leur </w:t>
      </w:r>
      <w:r w:rsidR="00A86050" w:rsidRPr="00E61996">
        <w:t>droit à un mode de vie traditionnel, ainsi que</w:t>
      </w:r>
      <w:r w:rsidR="00DA532B" w:rsidRPr="00E61996">
        <w:t xml:space="preserve"> pour</w:t>
      </w:r>
      <w:r w:rsidR="00284B55" w:rsidRPr="00E61996">
        <w:t xml:space="preserve"> </w:t>
      </w:r>
      <w:r w:rsidR="00A86050" w:rsidRPr="00E61996">
        <w:t>aider les peuples autochtones et communautés locales dans le cadre des processus relatifs aux aires protégées et aux autres mesures efficaces de conservation par zone, à la restauration des écosystèmes, à l'aménagement du territoire et aux évaluations de l’impact environnemental</w:t>
      </w:r>
      <w:r w:rsidR="003A43E7" w:rsidRPr="00E61996">
        <w:t xml:space="preserve">. </w:t>
      </w:r>
      <w:r w:rsidR="00A86050" w:rsidRPr="00E61996">
        <w:t xml:space="preserve"> </w:t>
      </w:r>
    </w:p>
    <w:p w14:paraId="18FDBFF2" w14:textId="77777777" w:rsidR="00A86050" w:rsidRPr="00E61996" w:rsidRDefault="00A86050" w:rsidP="00A86050">
      <w:pPr>
        <w:jc w:val="center"/>
      </w:pPr>
      <w:r w:rsidRPr="00E61996">
        <w:t>__________</w:t>
      </w:r>
    </w:p>
    <w:p w14:paraId="603EF307" w14:textId="34D59EA0" w:rsidR="001065E9" w:rsidRPr="00E61996" w:rsidRDefault="001065E9" w:rsidP="00E10165">
      <w:pPr>
        <w:pStyle w:val="CBDNormalNoNumber"/>
        <w:ind w:left="0"/>
      </w:pPr>
    </w:p>
    <w:sectPr w:rsidR="001065E9" w:rsidRPr="00E61996" w:rsidSect="00213C0F">
      <w:headerReference w:type="even" r:id="rId22"/>
      <w:headerReference w:type="default" r:id="rId23"/>
      <w:footerReference w:type="even" r:id="rId24"/>
      <w:footerReference w:type="default" r:id="rId25"/>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CDAE" w14:textId="77777777" w:rsidR="00BA5EF9" w:rsidRPr="009900B0" w:rsidRDefault="00BA5EF9" w:rsidP="001A7228">
      <w:r w:rsidRPr="009900B0">
        <w:separator/>
      </w:r>
    </w:p>
  </w:endnote>
  <w:endnote w:type="continuationSeparator" w:id="0">
    <w:p w14:paraId="399FEB3A" w14:textId="77777777" w:rsidR="00BA5EF9" w:rsidRPr="009900B0" w:rsidRDefault="00BA5EF9" w:rsidP="001A7228">
      <w:r w:rsidRPr="009900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2F5B" w14:textId="77777777" w:rsidR="006D70C2" w:rsidRPr="009900B0" w:rsidRDefault="006D70C2" w:rsidP="00DF78C4">
    <w:pPr>
      <w:pStyle w:val="Footer"/>
    </w:pPr>
    <w:r w:rsidRPr="009900B0">
      <w:fldChar w:fldCharType="begin"/>
    </w:r>
    <w:r w:rsidRPr="009900B0">
      <w:instrText xml:space="preserve"> PAGE </w:instrText>
    </w:r>
    <w:r w:rsidRPr="009900B0">
      <w:fldChar w:fldCharType="separate"/>
    </w:r>
    <w:r w:rsidR="007D6098">
      <w:t>12</w:t>
    </w:r>
    <w:r w:rsidRPr="009900B0">
      <w:fldChar w:fldCharType="end"/>
    </w:r>
    <w:r w:rsidRPr="009900B0">
      <w:t>/</w:t>
    </w:r>
    <w:fldSimple w:instr=" NUMPAGES \* MERGEFORMAT ">
      <w:r w:rsidR="007D6098">
        <w:t>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10A8" w14:textId="77777777" w:rsidR="006D70C2" w:rsidRPr="009900B0" w:rsidRDefault="006D70C2" w:rsidP="00DF78C4">
    <w:pPr>
      <w:pStyle w:val="CBDFooter"/>
      <w:jc w:val="right"/>
      <w:rPr>
        <w:noProof/>
      </w:rPr>
    </w:pPr>
    <w:r w:rsidRPr="009900B0">
      <w:rPr>
        <w:noProof/>
      </w:rPr>
      <w:fldChar w:fldCharType="begin"/>
    </w:r>
    <w:r w:rsidRPr="009900B0">
      <w:rPr>
        <w:noProof/>
      </w:rPr>
      <w:instrText xml:space="preserve"> PAGE \* MERGEFORMAT </w:instrText>
    </w:r>
    <w:r w:rsidRPr="009900B0">
      <w:rPr>
        <w:noProof/>
      </w:rPr>
      <w:fldChar w:fldCharType="separate"/>
    </w:r>
    <w:r w:rsidR="007D6098">
      <w:rPr>
        <w:noProof/>
      </w:rPr>
      <w:t>13</w:t>
    </w:r>
    <w:r w:rsidRPr="009900B0">
      <w:rPr>
        <w:noProof/>
      </w:rPr>
      <w:fldChar w:fldCharType="end"/>
    </w:r>
    <w:r w:rsidRPr="009900B0">
      <w:rPr>
        <w:noProof/>
      </w:rPr>
      <w:t>/</w:t>
    </w:r>
    <w:r w:rsidRPr="009900B0">
      <w:rPr>
        <w:noProof/>
      </w:rPr>
      <w:fldChar w:fldCharType="begin"/>
    </w:r>
    <w:r w:rsidRPr="009900B0">
      <w:rPr>
        <w:noProof/>
      </w:rPr>
      <w:instrText xml:space="preserve"> NUMPAGES \* MERGEFORMAT </w:instrText>
    </w:r>
    <w:r w:rsidRPr="009900B0">
      <w:rPr>
        <w:noProof/>
      </w:rPr>
      <w:fldChar w:fldCharType="separate"/>
    </w:r>
    <w:r w:rsidR="007D6098">
      <w:rPr>
        <w:noProof/>
      </w:rPr>
      <w:t>13</w:t>
    </w:r>
    <w:r w:rsidRPr="009900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3ABC6" w14:textId="77777777" w:rsidR="00BA5EF9" w:rsidRPr="009900B0" w:rsidRDefault="00BA5EF9" w:rsidP="001A7228">
      <w:r w:rsidRPr="009900B0">
        <w:separator/>
      </w:r>
    </w:p>
  </w:footnote>
  <w:footnote w:type="continuationSeparator" w:id="0">
    <w:p w14:paraId="05AA89D2" w14:textId="77777777" w:rsidR="00BA5EF9" w:rsidRPr="009900B0" w:rsidRDefault="00BA5EF9" w:rsidP="001A7228">
      <w:r w:rsidRPr="009900B0">
        <w:continuationSeparator/>
      </w:r>
    </w:p>
  </w:footnote>
  <w:footnote w:id="1">
    <w:p w14:paraId="6C3E672B" w14:textId="71B0E0F8" w:rsidR="006D70C2" w:rsidRPr="009900B0" w:rsidRDefault="006D70C2">
      <w:pPr>
        <w:pStyle w:val="FootnoteText"/>
      </w:pPr>
    </w:p>
  </w:footnote>
  <w:footnote w:id="2">
    <w:p w14:paraId="3DB1F3A1" w14:textId="77777777" w:rsidR="006D70C2" w:rsidRPr="009900B0" w:rsidRDefault="006D70C2" w:rsidP="00655361">
      <w:pPr>
        <w:pStyle w:val="FootnoteText"/>
      </w:pPr>
      <w:r w:rsidRPr="009900B0">
        <w:rPr>
          <w:rStyle w:val="FootnoteReference"/>
        </w:rPr>
        <w:footnoteRef/>
      </w:r>
      <w:r w:rsidRPr="009900B0">
        <w:t xml:space="preserve"> Nations Unies, </w:t>
      </w:r>
      <w:r w:rsidRPr="009900B0">
        <w:rPr>
          <w:i/>
          <w:iCs/>
        </w:rPr>
        <w:t>Recueil des Traités</w:t>
      </w:r>
      <w:r w:rsidRPr="009900B0">
        <w:t>,</w:t>
      </w:r>
      <w:r w:rsidRPr="009900B0">
        <w:rPr>
          <w:i/>
          <w:iCs/>
        </w:rPr>
        <w:t xml:space="preserve"> </w:t>
      </w:r>
      <w:r w:rsidRPr="009900B0">
        <w:t>vol. 1760, n° 30619.</w:t>
      </w:r>
    </w:p>
  </w:footnote>
  <w:footnote w:id="3">
    <w:p w14:paraId="101BBEF7" w14:textId="56E8105E" w:rsidR="006D70C2" w:rsidRPr="009900B0" w:rsidRDefault="006D70C2" w:rsidP="00184DBD">
      <w:pPr>
        <w:pStyle w:val="FootnoteText"/>
      </w:pPr>
      <w:r w:rsidRPr="009900B0">
        <w:rPr>
          <w:rStyle w:val="FootnoteReference"/>
        </w:rPr>
        <w:footnoteRef/>
      </w:r>
      <w:r w:rsidRPr="009900B0">
        <w:t xml:space="preserve"> Annexe à la décision</w:t>
      </w:r>
      <w:r>
        <w:t> </w:t>
      </w:r>
      <w:hyperlink r:id="rId1" w:history="1">
        <w:r w:rsidRPr="009900B0">
          <w:rPr>
            <w:rStyle w:val="Hyperlink"/>
          </w:rPr>
          <w:t>15/4</w:t>
        </w:r>
      </w:hyperlink>
      <w:r w:rsidRPr="009900B0">
        <w:t>.</w:t>
      </w:r>
    </w:p>
  </w:footnote>
  <w:footnote w:id="4">
    <w:p w14:paraId="7AE64A63" w14:textId="5463168F" w:rsidR="006D70C2" w:rsidRPr="009900B0" w:rsidRDefault="006D70C2" w:rsidP="004D44A3">
      <w:pPr>
        <w:pStyle w:val="FootnoteText"/>
      </w:pPr>
      <w:r w:rsidRPr="009900B0">
        <w:rPr>
          <w:rStyle w:val="FootnoteReference"/>
        </w:rPr>
        <w:footnoteRef/>
      </w:r>
      <w:r w:rsidRPr="009900B0">
        <w:t xml:space="preserve"> </w:t>
      </w:r>
      <w:hyperlink r:id="rId2" w:history="1">
        <w:r w:rsidRPr="005C0178">
          <w:rPr>
            <w:rStyle w:val="Hyperlink"/>
          </w:rPr>
          <w:t>CBD/A8J/WS/2025/2/3</w:t>
        </w:r>
      </w:hyperlink>
      <w:r w:rsidRPr="009900B0">
        <w:t>.</w:t>
      </w:r>
    </w:p>
  </w:footnote>
  <w:footnote w:id="5">
    <w:p w14:paraId="33FAB6F0" w14:textId="656C2860" w:rsidR="006D70C2" w:rsidRPr="009900B0" w:rsidRDefault="006D70C2" w:rsidP="005768D4">
      <w:pPr>
        <w:pStyle w:val="FootnoteText"/>
      </w:pPr>
      <w:r w:rsidRPr="009900B0">
        <w:rPr>
          <w:rStyle w:val="FootnoteReference"/>
        </w:rPr>
        <w:footnoteRef/>
      </w:r>
      <w:r w:rsidRPr="009900B0">
        <w:t xml:space="preserve"> Nations Unies, </w:t>
      </w:r>
      <w:r w:rsidRPr="009900B0">
        <w:rPr>
          <w:i/>
          <w:iCs/>
        </w:rPr>
        <w:t>Recueil des Traités</w:t>
      </w:r>
      <w:r w:rsidRPr="009900B0">
        <w:t>,</w:t>
      </w:r>
      <w:r w:rsidRPr="009900B0">
        <w:rPr>
          <w:i/>
          <w:iCs/>
        </w:rPr>
        <w:t xml:space="preserve"> </w:t>
      </w:r>
      <w:r>
        <w:t>vol. </w:t>
      </w:r>
      <w:r w:rsidRPr="009900B0">
        <w:t>1760, n° 30619.</w:t>
      </w:r>
    </w:p>
  </w:footnote>
  <w:footnote w:id="6">
    <w:p w14:paraId="377B3722" w14:textId="4E79F5D2" w:rsidR="006D70C2" w:rsidRPr="00850E3F" w:rsidRDefault="006D70C2">
      <w:pPr>
        <w:pStyle w:val="FootnoteText"/>
        <w:rPr>
          <w:lang w:val="pt-PT"/>
        </w:rPr>
      </w:pPr>
      <w:r w:rsidRPr="009900B0">
        <w:rPr>
          <w:rStyle w:val="FootnoteReference"/>
        </w:rPr>
        <w:footnoteRef/>
      </w:r>
      <w:r w:rsidRPr="00850E3F">
        <w:rPr>
          <w:lang w:val="pt-PT"/>
        </w:rPr>
        <w:t xml:space="preserve"> Ibid., vol. 2226, n° 30619.</w:t>
      </w:r>
    </w:p>
  </w:footnote>
  <w:footnote w:id="7">
    <w:p w14:paraId="58B53BB6" w14:textId="53E439A0" w:rsidR="006D70C2" w:rsidRPr="00850E3F" w:rsidRDefault="006D70C2">
      <w:pPr>
        <w:pStyle w:val="FootnoteText"/>
        <w:rPr>
          <w:lang w:val="pt-PT"/>
        </w:rPr>
      </w:pPr>
      <w:r w:rsidRPr="009900B0">
        <w:rPr>
          <w:rStyle w:val="FootnoteReference"/>
        </w:rPr>
        <w:footnoteRef/>
      </w:r>
      <w:r w:rsidRPr="00850E3F">
        <w:rPr>
          <w:lang w:val="pt-PT"/>
        </w:rPr>
        <w:t xml:space="preserve"> Ibid., vol. 3008, n° 30619.</w:t>
      </w:r>
    </w:p>
  </w:footnote>
  <w:footnote w:id="8">
    <w:p w14:paraId="03049886" w14:textId="5387E538" w:rsidR="006D70C2" w:rsidRPr="009900B0" w:rsidRDefault="006D70C2">
      <w:pPr>
        <w:pStyle w:val="FootnoteText"/>
      </w:pPr>
      <w:r w:rsidRPr="009900B0">
        <w:rPr>
          <w:rStyle w:val="FootnoteReference"/>
        </w:rPr>
        <w:footnoteRef/>
      </w:r>
      <w:r w:rsidRPr="009900B0">
        <w:t xml:space="preserve"> Annexe à la décision</w:t>
      </w:r>
      <w:r>
        <w:t> </w:t>
      </w:r>
      <w:hyperlink r:id="rId3" w:history="1">
        <w:r w:rsidRPr="009900B0">
          <w:rPr>
            <w:rStyle w:val="Hyperlink"/>
          </w:rPr>
          <w:t>15/4</w:t>
        </w:r>
      </w:hyperlink>
      <w:r w:rsidRPr="009900B0">
        <w:t>.</w:t>
      </w:r>
    </w:p>
  </w:footnote>
  <w:footnote w:id="9">
    <w:p w14:paraId="4A96B6E5" w14:textId="7FF6EDEF" w:rsidR="006D70C2" w:rsidRPr="009900B0" w:rsidRDefault="006D70C2" w:rsidP="00185D4D">
      <w:pPr>
        <w:rPr>
          <w:rFonts w:asciiTheme="majorBidi" w:hAnsiTheme="majorBidi" w:cstheme="majorBidi"/>
          <w:sz w:val="20"/>
          <w:szCs w:val="20"/>
        </w:rPr>
      </w:pPr>
      <w:r w:rsidRPr="009900B0">
        <w:rPr>
          <w:rStyle w:val="FootnoteReference"/>
          <w:rFonts w:asciiTheme="majorBidi" w:hAnsiTheme="majorBidi" w:cstheme="majorBidi"/>
          <w:sz w:val="20"/>
          <w:szCs w:val="20"/>
        </w:rPr>
        <w:footnoteRef/>
      </w:r>
      <w:r w:rsidRPr="009900B0">
        <w:rPr>
          <w:rFonts w:asciiTheme="majorBidi" w:hAnsiTheme="majorBidi" w:cstheme="majorBidi"/>
          <w:sz w:val="20"/>
          <w:szCs w:val="20"/>
        </w:rPr>
        <w:t xml:space="preserve"> </w:t>
      </w:r>
      <w:r w:rsidRPr="009900B0">
        <w:rPr>
          <w:sz w:val="18"/>
          <w:szCs w:val="20"/>
        </w:rPr>
        <w:t>Aux fins des présentes lignes directrices, le terme «</w:t>
      </w:r>
      <w:r>
        <w:rPr>
          <w:sz w:val="18"/>
          <w:szCs w:val="20"/>
        </w:rPr>
        <w:t> </w:t>
      </w:r>
      <w:r w:rsidRPr="009900B0">
        <w:rPr>
          <w:sz w:val="18"/>
          <w:szCs w:val="20"/>
        </w:rPr>
        <w:t>lignes directrices » désigne les lignes directrices facultatives.</w:t>
      </w:r>
    </w:p>
  </w:footnote>
  <w:footnote w:id="10">
    <w:p w14:paraId="6EA12643" w14:textId="71A2E256" w:rsidR="006D70C2" w:rsidRPr="009900B0" w:rsidRDefault="006D70C2">
      <w:pPr>
        <w:pStyle w:val="FootnoteText"/>
      </w:pPr>
      <w:r w:rsidRPr="009900B0">
        <w:rPr>
          <w:rStyle w:val="FootnoteReference"/>
        </w:rPr>
        <w:footnoteRef/>
      </w:r>
      <w:r w:rsidRPr="009900B0">
        <w:t xml:space="preserve"> Annexe à la résolution</w:t>
      </w:r>
      <w:r>
        <w:t> </w:t>
      </w:r>
      <w:r w:rsidRPr="009900B0">
        <w:t>61/295 de l’Assemblée générale des Nations Unies.</w:t>
      </w:r>
    </w:p>
  </w:footnote>
  <w:footnote w:id="11">
    <w:p w14:paraId="53DD6E98" w14:textId="0F9DE350" w:rsidR="002A5E30" w:rsidRPr="00010FCC" w:rsidRDefault="002A5E30" w:rsidP="002A5E30">
      <w:pPr>
        <w:pStyle w:val="FootnoteText"/>
      </w:pPr>
      <w:r>
        <w:rPr>
          <w:rStyle w:val="FootnoteReference"/>
        </w:rPr>
        <w:footnoteRef/>
      </w:r>
      <w:r w:rsidRPr="00010FCC">
        <w:t xml:space="preserve"> </w:t>
      </w:r>
      <w:r w:rsidRPr="004D44A3">
        <w:t xml:space="preserve">Dans ce cadre, le </w:t>
      </w:r>
      <w:r>
        <w:t>« </w:t>
      </w:r>
      <w:r w:rsidRPr="004D44A3">
        <w:t xml:space="preserve">consentement </w:t>
      </w:r>
      <w:r>
        <w:t>préalable, donné librement et en connaissance de cause »</w:t>
      </w:r>
      <w:r w:rsidRPr="004D44A3">
        <w:t xml:space="preserve"> fait référence à la terminologie tripartite «</w:t>
      </w:r>
      <w:r>
        <w:t> </w:t>
      </w:r>
      <w:r w:rsidRPr="004D44A3">
        <w:t>consentement préalable et</w:t>
      </w:r>
      <w:r>
        <w:t xml:space="preserve"> </w:t>
      </w:r>
      <w:r w:rsidRPr="004D44A3">
        <w:t>éclairé</w:t>
      </w:r>
      <w:r>
        <w:t> </w:t>
      </w:r>
      <w:r w:rsidRPr="004D44A3">
        <w:t>»</w:t>
      </w:r>
      <w:r w:rsidR="00DA532B">
        <w:t>,</w:t>
      </w:r>
      <w:r w:rsidRPr="004D44A3">
        <w:t>«</w:t>
      </w:r>
      <w:r>
        <w:t> </w:t>
      </w:r>
      <w:r w:rsidRPr="004D44A3">
        <w:t>consentement libre, préalable et éclairé</w:t>
      </w:r>
      <w:r>
        <w:t> </w:t>
      </w:r>
      <w:r w:rsidRPr="004D44A3">
        <w:t>» ou «</w:t>
      </w:r>
      <w:r>
        <w:t> </w:t>
      </w:r>
      <w:r w:rsidRPr="004D44A3">
        <w:t>approbation et participation</w:t>
      </w:r>
      <w:r>
        <w:t> </w:t>
      </w:r>
      <w:r w:rsidRPr="004D44A3">
        <w:t>»</w:t>
      </w:r>
      <w:r w:rsidRPr="00010FCC">
        <w:t>.</w:t>
      </w:r>
    </w:p>
  </w:footnote>
  <w:footnote w:id="12">
    <w:p w14:paraId="59B9652E" w14:textId="77777777" w:rsidR="00A86050" w:rsidRPr="009900B0" w:rsidRDefault="00A86050" w:rsidP="00A86050">
      <w:pPr>
        <w:pStyle w:val="FootnoteText"/>
      </w:pPr>
      <w:r w:rsidRPr="009900B0">
        <w:rPr>
          <w:rStyle w:val="FootnoteReference"/>
        </w:rPr>
        <w:footnoteRef/>
      </w:r>
      <w:r w:rsidRPr="009900B0">
        <w:t xml:space="preserve"> Les territoires, les terres et les eaux des peuples autochtones et communautés locales ne devraient pas être considérés comme présentant un besoin intrinsèque de restauration.</w:t>
      </w:r>
    </w:p>
  </w:footnote>
  <w:footnote w:id="13">
    <w:p w14:paraId="386B6D61" w14:textId="07F0BE53" w:rsidR="00A86050" w:rsidRPr="009900B0" w:rsidRDefault="00A86050" w:rsidP="00A86050">
      <w:pPr>
        <w:pStyle w:val="FootnoteText"/>
      </w:pPr>
      <w:r w:rsidRPr="009900B0">
        <w:rPr>
          <w:rStyle w:val="FootnoteReference"/>
        </w:rPr>
        <w:footnoteRef/>
      </w:r>
      <w:r w:rsidRPr="009900B0">
        <w:t xml:space="preserve"> Annexe à la décision </w:t>
      </w:r>
      <w:hyperlink r:id="rId4" w:history="1">
        <w:r w:rsidRPr="009900B0">
          <w:rPr>
            <w:rStyle w:val="Hyperlink"/>
          </w:rPr>
          <w:t>VII/16 F</w:t>
        </w:r>
      </w:hyperlink>
      <w:r w:rsidRPr="009900B0">
        <w:t>.</w:t>
      </w:r>
    </w:p>
  </w:footnote>
  <w:footnote w:id="14">
    <w:p w14:paraId="0C4FE9A6" w14:textId="701BD960" w:rsidR="00A86050" w:rsidRPr="009900B0" w:rsidRDefault="00A86050" w:rsidP="00A86050">
      <w:pPr>
        <w:pStyle w:val="FootnoteText"/>
      </w:pPr>
      <w:r w:rsidRPr="009900B0">
        <w:rPr>
          <w:rStyle w:val="FootnoteReference"/>
        </w:rPr>
        <w:footnoteRef/>
      </w:r>
      <w:r w:rsidRPr="009900B0">
        <w:t xml:space="preserve"> La Conférence des Parties a décidé d'utiliser le terme « peuples autochtones et communautés locales » dans la décision </w:t>
      </w:r>
      <w:hyperlink r:id="rId5" w:history="1">
        <w:r w:rsidRPr="009900B0">
          <w:rPr>
            <w:rStyle w:val="Hyperlink"/>
          </w:rPr>
          <w:t>XII/12</w:t>
        </w:r>
      </w:hyperlink>
      <w:r w:rsidRPr="009900B0">
        <w:t xml:space="preserve"> et </w:t>
      </w:r>
      <w:r>
        <w:t>les expressions</w:t>
      </w:r>
      <w:r w:rsidRPr="009900B0">
        <w:t xml:space="preserve"> </w:t>
      </w:r>
      <w:r>
        <w:t xml:space="preserve">« consentement préalable donné en connaissance de cause », « consentement préalable donné librement et en connaissance de cause » </w:t>
      </w:r>
      <w:r w:rsidR="00DA532B">
        <w:t xml:space="preserve">et </w:t>
      </w:r>
      <w:r>
        <w:t>« approbation et participation » selon les circonstances nationales</w:t>
      </w:r>
      <w:r w:rsidR="00CA4D5C">
        <w:t>,</w:t>
      </w:r>
      <w:r w:rsidRPr="009900B0">
        <w:t xml:space="preserve"> dans les Lignes directrices facultatives Mo’otz Kuxtal énoncées dans la décision </w:t>
      </w:r>
      <w:hyperlink r:id="rId6" w:history="1">
        <w:r w:rsidRPr="009900B0">
          <w:rPr>
            <w:rStyle w:val="Hyperlink"/>
          </w:rPr>
          <w:t xml:space="preserve">XIII/18 </w:t>
        </w:r>
      </w:hyperlink>
      <w:r w:rsidRPr="009900B0">
        <w:t>.</w:t>
      </w:r>
    </w:p>
  </w:footnote>
  <w:footnote w:id="15">
    <w:p w14:paraId="0CFE7B7A" w14:textId="77777777" w:rsidR="00A86050" w:rsidRPr="00C0791C" w:rsidRDefault="00A86050" w:rsidP="00A86050">
      <w:pPr>
        <w:pStyle w:val="FootnoteText"/>
      </w:pPr>
      <w:r w:rsidRPr="009900B0">
        <w:rPr>
          <w:rStyle w:val="FootnoteReference"/>
        </w:rPr>
        <w:footnoteRef/>
      </w:r>
      <w:r w:rsidRPr="009900B0">
        <w:t xml:space="preserve"> Voir décision </w:t>
      </w:r>
      <w:hyperlink r:id="rId7" w:history="1">
        <w:r w:rsidRPr="00371E72">
          <w:rPr>
            <w:rStyle w:val="Hyperlink"/>
          </w:rPr>
          <w:t>16/31</w:t>
        </w:r>
      </w:hyperlink>
      <w:r w:rsidRPr="009900B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21B4" w14:textId="78BE954D" w:rsidR="006D70C2" w:rsidRPr="009900B0" w:rsidRDefault="00EB04F6" w:rsidP="00DF78C4">
    <w:pPr>
      <w:pStyle w:val="CBDHeader"/>
      <w:rPr>
        <w:noProof/>
      </w:rPr>
    </w:pPr>
    <w:r w:rsidRPr="00BC183F">
      <w:rPr>
        <w:lang w:val="en-CA"/>
      </w:rPr>
      <w:t>CBD/SB8J/</w:t>
    </w:r>
    <w:r>
      <w:rPr>
        <w:lang w:val="en-CA"/>
      </w:rPr>
      <w:t>REC/</w:t>
    </w:r>
    <w:r w:rsidRPr="00BC183F">
      <w:rPr>
        <w:lang w:val="en-CA"/>
      </w:rPr>
      <w:t>1/</w:t>
    </w:r>
    <w:r>
      <w:rPr>
        <w:lang w:val="en-CA"/>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87C0" w14:textId="6AC056CA" w:rsidR="006D70C2" w:rsidRPr="009900B0" w:rsidRDefault="00EB04F6" w:rsidP="00DF78C4">
    <w:pPr>
      <w:pStyle w:val="CBDHeader"/>
      <w:jc w:val="right"/>
      <w:rPr>
        <w:noProof/>
      </w:rPr>
    </w:pPr>
    <w:r w:rsidRPr="00BC183F">
      <w:rPr>
        <w:lang w:val="en-CA"/>
      </w:rPr>
      <w:t>CBD/SB8J/</w:t>
    </w:r>
    <w:r>
      <w:rPr>
        <w:lang w:val="en-CA"/>
      </w:rPr>
      <w:t>REC/</w:t>
    </w:r>
    <w:r w:rsidRPr="00BC183F">
      <w:rPr>
        <w:lang w:val="en-CA"/>
      </w:rPr>
      <w:t>1/</w:t>
    </w:r>
    <w:r>
      <w:rPr>
        <w:lang w:val="en-C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0E23D1"/>
    <w:multiLevelType w:val="hybridMultilevel"/>
    <w:tmpl w:val="4B06AF7E"/>
    <w:lvl w:ilvl="0" w:tplc="BEF4446C">
      <w:start w:val="1"/>
      <w:numFmt w:val="upperLetter"/>
      <w:lvlText w:val="%1."/>
      <w:lvlJc w:val="left"/>
      <w:pPr>
        <w:ind w:left="1080" w:hanging="360"/>
      </w:pPr>
      <w:rPr>
        <w:rFonts w:eastAsia="DengXian Ligh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596923"/>
    <w:multiLevelType w:val="hybridMultilevel"/>
    <w:tmpl w:val="41E20B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2E615F7"/>
    <w:multiLevelType w:val="hybridMultilevel"/>
    <w:tmpl w:val="A296D0A2"/>
    <w:lvl w:ilvl="0" w:tplc="ED48A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56C9F"/>
    <w:multiLevelType w:val="hybridMultilevel"/>
    <w:tmpl w:val="10AE4D12"/>
    <w:lvl w:ilvl="0" w:tplc="B03C9224">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15:restartNumberingAfterBreak="0">
    <w:nsid w:val="2DA5617B"/>
    <w:multiLevelType w:val="hybridMultilevel"/>
    <w:tmpl w:val="4386C532"/>
    <w:lvl w:ilvl="0" w:tplc="203ACCFA">
      <w:start w:val="1"/>
      <w:numFmt w:val="decimal"/>
      <w:lvlText w:val="%1."/>
      <w:lvlJc w:val="left"/>
      <w:pPr>
        <w:ind w:left="786"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4803EE6"/>
    <w:multiLevelType w:val="hybridMultilevel"/>
    <w:tmpl w:val="A2EA7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4C30A4"/>
    <w:multiLevelType w:val="hybridMultilevel"/>
    <w:tmpl w:val="6E6493EC"/>
    <w:lvl w:ilvl="0" w:tplc="67047A96">
      <w:start w:val="1"/>
      <w:numFmt w:val="lowerLetter"/>
      <w:lvlText w:val="%1)"/>
      <w:lvlJc w:val="left"/>
      <w:pPr>
        <w:ind w:left="1320" w:hanging="360"/>
      </w:pPr>
    </w:lvl>
    <w:lvl w:ilvl="1" w:tplc="5450FB94">
      <w:start w:val="1"/>
      <w:numFmt w:val="lowerLetter"/>
      <w:lvlText w:val="%2)"/>
      <w:lvlJc w:val="left"/>
      <w:pPr>
        <w:ind w:left="1320" w:hanging="360"/>
      </w:pPr>
    </w:lvl>
    <w:lvl w:ilvl="2" w:tplc="126E552A">
      <w:start w:val="1"/>
      <w:numFmt w:val="lowerLetter"/>
      <w:lvlText w:val="%3)"/>
      <w:lvlJc w:val="left"/>
      <w:pPr>
        <w:ind w:left="1320" w:hanging="360"/>
      </w:pPr>
    </w:lvl>
    <w:lvl w:ilvl="3" w:tplc="C20276AA">
      <w:start w:val="1"/>
      <w:numFmt w:val="lowerLetter"/>
      <w:lvlText w:val="%4)"/>
      <w:lvlJc w:val="left"/>
      <w:pPr>
        <w:ind w:left="1320" w:hanging="360"/>
      </w:pPr>
    </w:lvl>
    <w:lvl w:ilvl="4" w:tplc="D1DA4FAA">
      <w:start w:val="1"/>
      <w:numFmt w:val="lowerLetter"/>
      <w:lvlText w:val="%5)"/>
      <w:lvlJc w:val="left"/>
      <w:pPr>
        <w:ind w:left="1320" w:hanging="360"/>
      </w:pPr>
    </w:lvl>
    <w:lvl w:ilvl="5" w:tplc="887A4718">
      <w:start w:val="1"/>
      <w:numFmt w:val="lowerLetter"/>
      <w:lvlText w:val="%6)"/>
      <w:lvlJc w:val="left"/>
      <w:pPr>
        <w:ind w:left="1320" w:hanging="360"/>
      </w:pPr>
    </w:lvl>
    <w:lvl w:ilvl="6" w:tplc="CB5AC100">
      <w:start w:val="1"/>
      <w:numFmt w:val="lowerLetter"/>
      <w:lvlText w:val="%7)"/>
      <w:lvlJc w:val="left"/>
      <w:pPr>
        <w:ind w:left="1320" w:hanging="360"/>
      </w:pPr>
    </w:lvl>
    <w:lvl w:ilvl="7" w:tplc="D15A09D6">
      <w:start w:val="1"/>
      <w:numFmt w:val="lowerLetter"/>
      <w:lvlText w:val="%8)"/>
      <w:lvlJc w:val="left"/>
      <w:pPr>
        <w:ind w:left="1320" w:hanging="360"/>
      </w:pPr>
    </w:lvl>
    <w:lvl w:ilvl="8" w:tplc="B496771E">
      <w:start w:val="1"/>
      <w:numFmt w:val="lowerLetter"/>
      <w:lvlText w:val="%9)"/>
      <w:lvlJc w:val="left"/>
      <w:pPr>
        <w:ind w:left="1320" w:hanging="360"/>
      </w:pPr>
    </w:lvl>
  </w:abstractNum>
  <w:abstractNum w:abstractNumId="17" w15:restartNumberingAfterBreak="0">
    <w:nsid w:val="499D5F66"/>
    <w:multiLevelType w:val="multilevel"/>
    <w:tmpl w:val="222A08B4"/>
    <w:styleLink w:val="ListCBD"/>
    <w:lvl w:ilvl="0">
      <w:start w:val="1"/>
      <w:numFmt w:val="decimal"/>
      <w:pStyle w:val="CBDNormalNumber"/>
      <w:lvlText w:val="%1."/>
      <w:lvlJc w:val="left"/>
      <w:pPr>
        <w:ind w:left="2552"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8" w15:restartNumberingAfterBreak="0">
    <w:nsid w:val="58EB718D"/>
    <w:multiLevelType w:val="hybridMultilevel"/>
    <w:tmpl w:val="7EBA19A6"/>
    <w:lvl w:ilvl="0" w:tplc="88267DE2">
      <w:start w:val="1"/>
      <w:numFmt w:val="decimal"/>
      <w:lvlText w:val="%1."/>
      <w:lvlJc w:val="left"/>
      <w:pPr>
        <w:ind w:left="931" w:hanging="360"/>
      </w:pPr>
      <w:rPr>
        <w:rFonts w:asciiTheme="majorBidi" w:hAnsiTheme="majorBidi" w:cstheme="majorBidi" w:hint="default"/>
        <w:b w:val="0"/>
        <w:bCs w:val="0"/>
        <w:sz w:val="22"/>
        <w:szCs w:val="22"/>
      </w:rPr>
    </w:lvl>
    <w:lvl w:ilvl="1" w:tplc="FFFFFFFF">
      <w:start w:val="1"/>
      <w:numFmt w:val="lowerLetter"/>
      <w:lvlText w:val="%2."/>
      <w:lvlJc w:val="left"/>
      <w:pPr>
        <w:ind w:left="1637" w:hanging="360"/>
      </w:pPr>
    </w:lvl>
    <w:lvl w:ilvl="2" w:tplc="FFFFFFFF">
      <w:start w:val="1"/>
      <w:numFmt w:val="lowerRoman"/>
      <w:lvlText w:val="%3."/>
      <w:lvlJc w:val="right"/>
      <w:pPr>
        <w:ind w:left="2371" w:hanging="180"/>
      </w:pPr>
    </w:lvl>
    <w:lvl w:ilvl="3" w:tplc="FFFFFFFF" w:tentative="1">
      <w:start w:val="1"/>
      <w:numFmt w:val="decimal"/>
      <w:lvlText w:val="%4."/>
      <w:lvlJc w:val="left"/>
      <w:pPr>
        <w:ind w:left="3091" w:hanging="360"/>
      </w:pPr>
    </w:lvl>
    <w:lvl w:ilvl="4" w:tplc="FFFFFFFF" w:tentative="1">
      <w:start w:val="1"/>
      <w:numFmt w:val="lowerLetter"/>
      <w:lvlText w:val="%5."/>
      <w:lvlJc w:val="left"/>
      <w:pPr>
        <w:ind w:left="3811" w:hanging="360"/>
      </w:pPr>
    </w:lvl>
    <w:lvl w:ilvl="5" w:tplc="FFFFFFFF" w:tentative="1">
      <w:start w:val="1"/>
      <w:numFmt w:val="lowerRoman"/>
      <w:lvlText w:val="%6."/>
      <w:lvlJc w:val="right"/>
      <w:pPr>
        <w:ind w:left="4531" w:hanging="180"/>
      </w:pPr>
    </w:lvl>
    <w:lvl w:ilvl="6" w:tplc="FFFFFFFF" w:tentative="1">
      <w:start w:val="1"/>
      <w:numFmt w:val="decimal"/>
      <w:lvlText w:val="%7."/>
      <w:lvlJc w:val="left"/>
      <w:pPr>
        <w:ind w:left="5251" w:hanging="360"/>
      </w:pPr>
    </w:lvl>
    <w:lvl w:ilvl="7" w:tplc="FFFFFFFF" w:tentative="1">
      <w:start w:val="1"/>
      <w:numFmt w:val="lowerLetter"/>
      <w:lvlText w:val="%8."/>
      <w:lvlJc w:val="left"/>
      <w:pPr>
        <w:ind w:left="5971" w:hanging="360"/>
      </w:pPr>
    </w:lvl>
    <w:lvl w:ilvl="8" w:tplc="FFFFFFFF" w:tentative="1">
      <w:start w:val="1"/>
      <w:numFmt w:val="lowerRoman"/>
      <w:lvlText w:val="%9."/>
      <w:lvlJc w:val="right"/>
      <w:pPr>
        <w:ind w:left="6691" w:hanging="180"/>
      </w:pPr>
    </w:lvl>
  </w:abstractNum>
  <w:abstractNum w:abstractNumId="19" w15:restartNumberingAfterBreak="0">
    <w:nsid w:val="5D943BEE"/>
    <w:multiLevelType w:val="multilevel"/>
    <w:tmpl w:val="222A08B4"/>
    <w:numStyleLink w:val="ListCBD"/>
  </w:abstractNum>
  <w:abstractNum w:abstractNumId="20" w15:restartNumberingAfterBreak="0">
    <w:nsid w:val="68EB4582"/>
    <w:multiLevelType w:val="hybridMultilevel"/>
    <w:tmpl w:val="2C645FCC"/>
    <w:lvl w:ilvl="0" w:tplc="99FCD3CA">
      <w:start w:val="1"/>
      <w:numFmt w:val="upperLetter"/>
      <w:lvlText w:val="%1."/>
      <w:lvlJc w:val="left"/>
      <w:pPr>
        <w:ind w:left="1437" w:hanging="360"/>
      </w:pPr>
      <w:rPr>
        <w:rFonts w:asciiTheme="majorBidi" w:hAnsiTheme="majorBidi" w:cstheme="majorBidi" w:hint="default"/>
        <w:b/>
        <w:bCs/>
        <w:color w:val="auto"/>
        <w:sz w:val="24"/>
        <w:szCs w:val="24"/>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1" w15:restartNumberingAfterBreak="0">
    <w:nsid w:val="6D191DF4"/>
    <w:multiLevelType w:val="multilevel"/>
    <w:tmpl w:val="07D269C8"/>
    <w:styleLink w:val="CBDHeadings"/>
    <w:lvl w:ilvl="0">
      <w:start w:val="1"/>
      <w:numFmt w:val="upperRoman"/>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7BFE1A85"/>
    <w:multiLevelType w:val="hybridMultilevel"/>
    <w:tmpl w:val="2C645FCC"/>
    <w:lvl w:ilvl="0" w:tplc="FFFFFFFF">
      <w:start w:val="1"/>
      <w:numFmt w:val="upperLetter"/>
      <w:lvlText w:val="%1."/>
      <w:lvlJc w:val="left"/>
      <w:pPr>
        <w:ind w:left="1437" w:hanging="360"/>
      </w:pPr>
      <w:rPr>
        <w:rFonts w:asciiTheme="majorBidi" w:hAnsiTheme="majorBidi" w:cstheme="majorBidi" w:hint="default"/>
        <w:b/>
        <w:bCs/>
        <w:color w:val="auto"/>
        <w:sz w:val="24"/>
        <w:szCs w:val="24"/>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num w:numId="1" w16cid:durableId="1435706783">
    <w:abstractNumId w:val="22"/>
  </w:num>
  <w:num w:numId="2" w16cid:durableId="739058002">
    <w:abstractNumId w:val="9"/>
  </w:num>
  <w:num w:numId="3" w16cid:durableId="1095831583">
    <w:abstractNumId w:val="7"/>
  </w:num>
  <w:num w:numId="4" w16cid:durableId="423654670">
    <w:abstractNumId w:val="6"/>
  </w:num>
  <w:num w:numId="5" w16cid:durableId="200441828">
    <w:abstractNumId w:val="5"/>
  </w:num>
  <w:num w:numId="6" w16cid:durableId="338234271">
    <w:abstractNumId w:val="4"/>
  </w:num>
  <w:num w:numId="7" w16cid:durableId="1827474863">
    <w:abstractNumId w:val="17"/>
  </w:num>
  <w:num w:numId="8" w16cid:durableId="400829720">
    <w:abstractNumId w:val="21"/>
  </w:num>
  <w:num w:numId="9" w16cid:durableId="856042420">
    <w:abstractNumId w:val="19"/>
  </w:num>
  <w:num w:numId="10" w16cid:durableId="312754605">
    <w:abstractNumId w:val="8"/>
  </w:num>
  <w:num w:numId="11" w16cid:durableId="1145199463">
    <w:abstractNumId w:val="3"/>
  </w:num>
  <w:num w:numId="12" w16cid:durableId="2139952085">
    <w:abstractNumId w:val="2"/>
  </w:num>
  <w:num w:numId="13" w16cid:durableId="1865558620">
    <w:abstractNumId w:val="1"/>
  </w:num>
  <w:num w:numId="14" w16cid:durableId="1680542665">
    <w:abstractNumId w:val="0"/>
  </w:num>
  <w:num w:numId="15" w16cid:durableId="2005626390">
    <w:abstractNumId w:val="19"/>
  </w:num>
  <w:num w:numId="16" w16cid:durableId="1250965326">
    <w:abstractNumId w:val="19"/>
  </w:num>
  <w:num w:numId="17" w16cid:durableId="584848339">
    <w:abstractNumId w:val="14"/>
  </w:num>
  <w:num w:numId="18" w16cid:durableId="1850023758">
    <w:abstractNumId w:val="19"/>
  </w:num>
  <w:num w:numId="19" w16cid:durableId="614406323">
    <w:abstractNumId w:val="19"/>
  </w:num>
  <w:num w:numId="20" w16cid:durableId="634263014">
    <w:abstractNumId w:val="19"/>
  </w:num>
  <w:num w:numId="21" w16cid:durableId="286544287">
    <w:abstractNumId w:val="19"/>
  </w:num>
  <w:num w:numId="22" w16cid:durableId="123277123">
    <w:abstractNumId w:val="19"/>
  </w:num>
  <w:num w:numId="23" w16cid:durableId="346256910">
    <w:abstractNumId w:val="19"/>
  </w:num>
  <w:num w:numId="24" w16cid:durableId="70590918">
    <w:abstractNumId w:val="13"/>
  </w:num>
  <w:num w:numId="25" w16cid:durableId="1588347036">
    <w:abstractNumId w:val="11"/>
  </w:num>
  <w:num w:numId="26" w16cid:durableId="593973084">
    <w:abstractNumId w:val="18"/>
  </w:num>
  <w:num w:numId="27" w16cid:durableId="1755393589">
    <w:abstractNumId w:val="20"/>
  </w:num>
  <w:num w:numId="28" w16cid:durableId="1457411259">
    <w:abstractNumId w:val="23"/>
  </w:num>
  <w:num w:numId="29" w16cid:durableId="1650019427">
    <w:abstractNumId w:val="12"/>
  </w:num>
  <w:num w:numId="30" w16cid:durableId="946693791">
    <w:abstractNumId w:val="15"/>
  </w:num>
  <w:num w:numId="31" w16cid:durableId="1146358372">
    <w:abstractNumId w:val="10"/>
  </w:num>
  <w:num w:numId="32" w16cid:durableId="588588081">
    <w:abstractNumId w:val="16"/>
  </w:num>
  <w:num w:numId="33" w16cid:durableId="17310741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tDQ3MDM0MTMzsDBQ0lEKTi0uzszPAykwNK4FANCFc0gtAAAA"/>
  </w:docVars>
  <w:rsids>
    <w:rsidRoot w:val="00665B56"/>
    <w:rsid w:val="000018FE"/>
    <w:rsid w:val="00003182"/>
    <w:rsid w:val="00003C4D"/>
    <w:rsid w:val="00004DC2"/>
    <w:rsid w:val="0000557F"/>
    <w:rsid w:val="000059B3"/>
    <w:rsid w:val="00005D92"/>
    <w:rsid w:val="00010FCC"/>
    <w:rsid w:val="000122C7"/>
    <w:rsid w:val="000122DB"/>
    <w:rsid w:val="00013623"/>
    <w:rsid w:val="000148E5"/>
    <w:rsid w:val="000163F1"/>
    <w:rsid w:val="00021B10"/>
    <w:rsid w:val="00023B83"/>
    <w:rsid w:val="00023F4E"/>
    <w:rsid w:val="00024458"/>
    <w:rsid w:val="00024663"/>
    <w:rsid w:val="00025D56"/>
    <w:rsid w:val="00027DC0"/>
    <w:rsid w:val="00030F79"/>
    <w:rsid w:val="00032280"/>
    <w:rsid w:val="00032DB7"/>
    <w:rsid w:val="00032DCE"/>
    <w:rsid w:val="00033629"/>
    <w:rsid w:val="000364B2"/>
    <w:rsid w:val="000366B5"/>
    <w:rsid w:val="00037987"/>
    <w:rsid w:val="0004229F"/>
    <w:rsid w:val="00042E5E"/>
    <w:rsid w:val="000452BE"/>
    <w:rsid w:val="00050323"/>
    <w:rsid w:val="00051421"/>
    <w:rsid w:val="00052F47"/>
    <w:rsid w:val="00054348"/>
    <w:rsid w:val="00054FBB"/>
    <w:rsid w:val="000555D9"/>
    <w:rsid w:val="00056010"/>
    <w:rsid w:val="00056299"/>
    <w:rsid w:val="00057852"/>
    <w:rsid w:val="000578F8"/>
    <w:rsid w:val="000579D7"/>
    <w:rsid w:val="00061648"/>
    <w:rsid w:val="0007006E"/>
    <w:rsid w:val="00073A15"/>
    <w:rsid w:val="00074894"/>
    <w:rsid w:val="00085571"/>
    <w:rsid w:val="00085AF3"/>
    <w:rsid w:val="000871A9"/>
    <w:rsid w:val="00091186"/>
    <w:rsid w:val="000933AB"/>
    <w:rsid w:val="000A34AD"/>
    <w:rsid w:val="000A57CB"/>
    <w:rsid w:val="000A5B7D"/>
    <w:rsid w:val="000A5C58"/>
    <w:rsid w:val="000A6718"/>
    <w:rsid w:val="000B03A2"/>
    <w:rsid w:val="000B0F39"/>
    <w:rsid w:val="000B1571"/>
    <w:rsid w:val="000B163E"/>
    <w:rsid w:val="000B2B88"/>
    <w:rsid w:val="000B3C7F"/>
    <w:rsid w:val="000B5D29"/>
    <w:rsid w:val="000B66A4"/>
    <w:rsid w:val="000B7C4A"/>
    <w:rsid w:val="000C0700"/>
    <w:rsid w:val="000C0FCB"/>
    <w:rsid w:val="000C1776"/>
    <w:rsid w:val="000C3C15"/>
    <w:rsid w:val="000C51EC"/>
    <w:rsid w:val="000D13BB"/>
    <w:rsid w:val="000D16D0"/>
    <w:rsid w:val="000D559B"/>
    <w:rsid w:val="000D5C27"/>
    <w:rsid w:val="000D6A66"/>
    <w:rsid w:val="000E35E5"/>
    <w:rsid w:val="000E4F82"/>
    <w:rsid w:val="000E729A"/>
    <w:rsid w:val="000E73CC"/>
    <w:rsid w:val="000F0DA0"/>
    <w:rsid w:val="000F0E1F"/>
    <w:rsid w:val="000F5851"/>
    <w:rsid w:val="000F5F6A"/>
    <w:rsid w:val="000F79AC"/>
    <w:rsid w:val="0010199C"/>
    <w:rsid w:val="00102F49"/>
    <w:rsid w:val="001065E9"/>
    <w:rsid w:val="00110AE4"/>
    <w:rsid w:val="00114E58"/>
    <w:rsid w:val="00114F30"/>
    <w:rsid w:val="00116209"/>
    <w:rsid w:val="0011660C"/>
    <w:rsid w:val="00116786"/>
    <w:rsid w:val="00116D7F"/>
    <w:rsid w:val="00120617"/>
    <w:rsid w:val="00121A4C"/>
    <w:rsid w:val="00122296"/>
    <w:rsid w:val="00127F87"/>
    <w:rsid w:val="00130F7A"/>
    <w:rsid w:val="0013207B"/>
    <w:rsid w:val="00132FA9"/>
    <w:rsid w:val="00133DF8"/>
    <w:rsid w:val="00136A8A"/>
    <w:rsid w:val="00136FFB"/>
    <w:rsid w:val="00145693"/>
    <w:rsid w:val="001540DE"/>
    <w:rsid w:val="00154C14"/>
    <w:rsid w:val="0015500D"/>
    <w:rsid w:val="0015594A"/>
    <w:rsid w:val="00155A56"/>
    <w:rsid w:val="00155E6C"/>
    <w:rsid w:val="0016104A"/>
    <w:rsid w:val="0016160D"/>
    <w:rsid w:val="00161A89"/>
    <w:rsid w:val="00162667"/>
    <w:rsid w:val="001644E9"/>
    <w:rsid w:val="00174A76"/>
    <w:rsid w:val="00175476"/>
    <w:rsid w:val="001775B1"/>
    <w:rsid w:val="00181D27"/>
    <w:rsid w:val="00182F41"/>
    <w:rsid w:val="001836C4"/>
    <w:rsid w:val="00184DBD"/>
    <w:rsid w:val="00185D4D"/>
    <w:rsid w:val="00186BB6"/>
    <w:rsid w:val="00187844"/>
    <w:rsid w:val="001879F2"/>
    <w:rsid w:val="0019053D"/>
    <w:rsid w:val="00191EE6"/>
    <w:rsid w:val="00192824"/>
    <w:rsid w:val="00192A92"/>
    <w:rsid w:val="00193CFE"/>
    <w:rsid w:val="00195F1F"/>
    <w:rsid w:val="001970C8"/>
    <w:rsid w:val="001A1380"/>
    <w:rsid w:val="001A529F"/>
    <w:rsid w:val="001A549B"/>
    <w:rsid w:val="001A5A37"/>
    <w:rsid w:val="001A5CAC"/>
    <w:rsid w:val="001A7228"/>
    <w:rsid w:val="001B2A31"/>
    <w:rsid w:val="001B5F54"/>
    <w:rsid w:val="001B61D7"/>
    <w:rsid w:val="001B683E"/>
    <w:rsid w:val="001C0066"/>
    <w:rsid w:val="001C12F5"/>
    <w:rsid w:val="001C3727"/>
    <w:rsid w:val="001C3CA1"/>
    <w:rsid w:val="001C4236"/>
    <w:rsid w:val="001C4B1F"/>
    <w:rsid w:val="001D41DF"/>
    <w:rsid w:val="001D50E0"/>
    <w:rsid w:val="001E031C"/>
    <w:rsid w:val="001E2B60"/>
    <w:rsid w:val="001E3DCC"/>
    <w:rsid w:val="001E4F4E"/>
    <w:rsid w:val="001E517D"/>
    <w:rsid w:val="001E53CC"/>
    <w:rsid w:val="001E689D"/>
    <w:rsid w:val="001E6AEF"/>
    <w:rsid w:val="001E76E1"/>
    <w:rsid w:val="001F0990"/>
    <w:rsid w:val="001F439C"/>
    <w:rsid w:val="001F708C"/>
    <w:rsid w:val="002005A1"/>
    <w:rsid w:val="002045D2"/>
    <w:rsid w:val="0020791C"/>
    <w:rsid w:val="00210A70"/>
    <w:rsid w:val="00210C32"/>
    <w:rsid w:val="002112C6"/>
    <w:rsid w:val="00211579"/>
    <w:rsid w:val="00213A2C"/>
    <w:rsid w:val="00213C0F"/>
    <w:rsid w:val="00217461"/>
    <w:rsid w:val="00221578"/>
    <w:rsid w:val="00222A48"/>
    <w:rsid w:val="00224EB2"/>
    <w:rsid w:val="00230A56"/>
    <w:rsid w:val="002316DC"/>
    <w:rsid w:val="00231AB9"/>
    <w:rsid w:val="00232428"/>
    <w:rsid w:val="00233A5B"/>
    <w:rsid w:val="00236476"/>
    <w:rsid w:val="0024059B"/>
    <w:rsid w:val="00241A2D"/>
    <w:rsid w:val="00242626"/>
    <w:rsid w:val="00243492"/>
    <w:rsid w:val="00243E31"/>
    <w:rsid w:val="00244CDD"/>
    <w:rsid w:val="00247AAB"/>
    <w:rsid w:val="00247E4B"/>
    <w:rsid w:val="0025444F"/>
    <w:rsid w:val="00255FA7"/>
    <w:rsid w:val="00261EE4"/>
    <w:rsid w:val="00262FDB"/>
    <w:rsid w:val="00266590"/>
    <w:rsid w:val="00267EDE"/>
    <w:rsid w:val="00270559"/>
    <w:rsid w:val="002709E4"/>
    <w:rsid w:val="002728A7"/>
    <w:rsid w:val="00272BAA"/>
    <w:rsid w:val="0027708D"/>
    <w:rsid w:val="00277E40"/>
    <w:rsid w:val="00280045"/>
    <w:rsid w:val="00284AEE"/>
    <w:rsid w:val="00284B55"/>
    <w:rsid w:val="00285447"/>
    <w:rsid w:val="00292405"/>
    <w:rsid w:val="00295B28"/>
    <w:rsid w:val="002967C9"/>
    <w:rsid w:val="002A2234"/>
    <w:rsid w:val="002A2B78"/>
    <w:rsid w:val="002A4E59"/>
    <w:rsid w:val="002A546D"/>
    <w:rsid w:val="002A5E30"/>
    <w:rsid w:val="002A6D91"/>
    <w:rsid w:val="002A6ED4"/>
    <w:rsid w:val="002B24CF"/>
    <w:rsid w:val="002C1D97"/>
    <w:rsid w:val="002C4E9A"/>
    <w:rsid w:val="002C63E6"/>
    <w:rsid w:val="002C67A4"/>
    <w:rsid w:val="002C7425"/>
    <w:rsid w:val="002D2784"/>
    <w:rsid w:val="002D50B2"/>
    <w:rsid w:val="002E0C14"/>
    <w:rsid w:val="002E1A21"/>
    <w:rsid w:val="002E35EE"/>
    <w:rsid w:val="002F2694"/>
    <w:rsid w:val="002F5F89"/>
    <w:rsid w:val="002F64FA"/>
    <w:rsid w:val="003015A5"/>
    <w:rsid w:val="00301998"/>
    <w:rsid w:val="00301BC8"/>
    <w:rsid w:val="00304D13"/>
    <w:rsid w:val="00304EF4"/>
    <w:rsid w:val="003050A8"/>
    <w:rsid w:val="00305736"/>
    <w:rsid w:val="00310D9B"/>
    <w:rsid w:val="00311712"/>
    <w:rsid w:val="00312898"/>
    <w:rsid w:val="00313327"/>
    <w:rsid w:val="00320A98"/>
    <w:rsid w:val="00320BB1"/>
    <w:rsid w:val="00323B18"/>
    <w:rsid w:val="003242EC"/>
    <w:rsid w:val="00324758"/>
    <w:rsid w:val="0032525F"/>
    <w:rsid w:val="00325D77"/>
    <w:rsid w:val="003306D8"/>
    <w:rsid w:val="00330B36"/>
    <w:rsid w:val="00330E10"/>
    <w:rsid w:val="00332F43"/>
    <w:rsid w:val="00334C54"/>
    <w:rsid w:val="00334F19"/>
    <w:rsid w:val="00336178"/>
    <w:rsid w:val="00337574"/>
    <w:rsid w:val="003379E6"/>
    <w:rsid w:val="003426F1"/>
    <w:rsid w:val="00343A0E"/>
    <w:rsid w:val="0034658D"/>
    <w:rsid w:val="00347A45"/>
    <w:rsid w:val="0035213A"/>
    <w:rsid w:val="003533F4"/>
    <w:rsid w:val="003533FA"/>
    <w:rsid w:val="00354F9F"/>
    <w:rsid w:val="00357D91"/>
    <w:rsid w:val="00361E4E"/>
    <w:rsid w:val="00361FA8"/>
    <w:rsid w:val="00363B5E"/>
    <w:rsid w:val="00365FD4"/>
    <w:rsid w:val="003725B4"/>
    <w:rsid w:val="003731DC"/>
    <w:rsid w:val="00374184"/>
    <w:rsid w:val="00377EB2"/>
    <w:rsid w:val="00380529"/>
    <w:rsid w:val="00380C48"/>
    <w:rsid w:val="00380FE0"/>
    <w:rsid w:val="00381327"/>
    <w:rsid w:val="00381EAE"/>
    <w:rsid w:val="00383D61"/>
    <w:rsid w:val="00383D97"/>
    <w:rsid w:val="00384A2A"/>
    <w:rsid w:val="00387BC8"/>
    <w:rsid w:val="00387E36"/>
    <w:rsid w:val="0039111F"/>
    <w:rsid w:val="00393D43"/>
    <w:rsid w:val="00394C07"/>
    <w:rsid w:val="00396EA6"/>
    <w:rsid w:val="003A43E7"/>
    <w:rsid w:val="003A770B"/>
    <w:rsid w:val="003A7BFD"/>
    <w:rsid w:val="003B01B2"/>
    <w:rsid w:val="003B142B"/>
    <w:rsid w:val="003B142D"/>
    <w:rsid w:val="003B206A"/>
    <w:rsid w:val="003B3B5F"/>
    <w:rsid w:val="003D5897"/>
    <w:rsid w:val="003D7186"/>
    <w:rsid w:val="003D71EF"/>
    <w:rsid w:val="003D77CE"/>
    <w:rsid w:val="003E5608"/>
    <w:rsid w:val="003E759A"/>
    <w:rsid w:val="003F2034"/>
    <w:rsid w:val="003F20F5"/>
    <w:rsid w:val="003F34AA"/>
    <w:rsid w:val="003F351B"/>
    <w:rsid w:val="003F6C87"/>
    <w:rsid w:val="003F7856"/>
    <w:rsid w:val="0040169A"/>
    <w:rsid w:val="004021A9"/>
    <w:rsid w:val="00403CD3"/>
    <w:rsid w:val="00404EA6"/>
    <w:rsid w:val="00404F2F"/>
    <w:rsid w:val="004060EE"/>
    <w:rsid w:val="004106BF"/>
    <w:rsid w:val="0041403C"/>
    <w:rsid w:val="00416249"/>
    <w:rsid w:val="00420AE1"/>
    <w:rsid w:val="0042115B"/>
    <w:rsid w:val="0042420A"/>
    <w:rsid w:val="0043152C"/>
    <w:rsid w:val="004331DB"/>
    <w:rsid w:val="0043580A"/>
    <w:rsid w:val="004366C1"/>
    <w:rsid w:val="004437CC"/>
    <w:rsid w:val="00444C4E"/>
    <w:rsid w:val="00451CC2"/>
    <w:rsid w:val="00456053"/>
    <w:rsid w:val="00460524"/>
    <w:rsid w:val="0046055E"/>
    <w:rsid w:val="004618AD"/>
    <w:rsid w:val="004619D0"/>
    <w:rsid w:val="00463C58"/>
    <w:rsid w:val="00464051"/>
    <w:rsid w:val="004714D6"/>
    <w:rsid w:val="00474321"/>
    <w:rsid w:val="00474499"/>
    <w:rsid w:val="00474862"/>
    <w:rsid w:val="004749F1"/>
    <w:rsid w:val="0047781F"/>
    <w:rsid w:val="00477BB7"/>
    <w:rsid w:val="00481456"/>
    <w:rsid w:val="00483247"/>
    <w:rsid w:val="004837D1"/>
    <w:rsid w:val="00492BD8"/>
    <w:rsid w:val="00493F9D"/>
    <w:rsid w:val="004A0348"/>
    <w:rsid w:val="004A099D"/>
    <w:rsid w:val="004A0C6E"/>
    <w:rsid w:val="004A5BF0"/>
    <w:rsid w:val="004A6956"/>
    <w:rsid w:val="004A7130"/>
    <w:rsid w:val="004B69AB"/>
    <w:rsid w:val="004B78B0"/>
    <w:rsid w:val="004C0F44"/>
    <w:rsid w:val="004C2983"/>
    <w:rsid w:val="004C2E07"/>
    <w:rsid w:val="004C40B1"/>
    <w:rsid w:val="004D1407"/>
    <w:rsid w:val="004D44A3"/>
    <w:rsid w:val="004D50D4"/>
    <w:rsid w:val="004D549D"/>
    <w:rsid w:val="004E01A0"/>
    <w:rsid w:val="004E311A"/>
    <w:rsid w:val="004E4DD7"/>
    <w:rsid w:val="004E6A95"/>
    <w:rsid w:val="004F394B"/>
    <w:rsid w:val="004F3FE3"/>
    <w:rsid w:val="004F7125"/>
    <w:rsid w:val="004F71DB"/>
    <w:rsid w:val="004F7C58"/>
    <w:rsid w:val="005012FC"/>
    <w:rsid w:val="00502B8F"/>
    <w:rsid w:val="00505229"/>
    <w:rsid w:val="00505357"/>
    <w:rsid w:val="00506678"/>
    <w:rsid w:val="00506AE0"/>
    <w:rsid w:val="00506E7E"/>
    <w:rsid w:val="00506EC9"/>
    <w:rsid w:val="00510406"/>
    <w:rsid w:val="00513EB7"/>
    <w:rsid w:val="005155F7"/>
    <w:rsid w:val="00516B60"/>
    <w:rsid w:val="00517274"/>
    <w:rsid w:val="0052168E"/>
    <w:rsid w:val="00522BBE"/>
    <w:rsid w:val="00524632"/>
    <w:rsid w:val="00524C45"/>
    <w:rsid w:val="00524FF4"/>
    <w:rsid w:val="00525395"/>
    <w:rsid w:val="005265B8"/>
    <w:rsid w:val="005300E0"/>
    <w:rsid w:val="0053216E"/>
    <w:rsid w:val="00533D14"/>
    <w:rsid w:val="005341BC"/>
    <w:rsid w:val="00537E86"/>
    <w:rsid w:val="005408CE"/>
    <w:rsid w:val="0054428E"/>
    <w:rsid w:val="00544BA7"/>
    <w:rsid w:val="0054688B"/>
    <w:rsid w:val="00552A0F"/>
    <w:rsid w:val="00553CD2"/>
    <w:rsid w:val="005558BC"/>
    <w:rsid w:val="0055604A"/>
    <w:rsid w:val="005578F2"/>
    <w:rsid w:val="00566D7B"/>
    <w:rsid w:val="00566E2F"/>
    <w:rsid w:val="005711D2"/>
    <w:rsid w:val="00572D5E"/>
    <w:rsid w:val="00572DF7"/>
    <w:rsid w:val="00574411"/>
    <w:rsid w:val="0057584C"/>
    <w:rsid w:val="005768D4"/>
    <w:rsid w:val="005768F9"/>
    <w:rsid w:val="0058234C"/>
    <w:rsid w:val="005829DF"/>
    <w:rsid w:val="00585C4D"/>
    <w:rsid w:val="0058700C"/>
    <w:rsid w:val="005878DA"/>
    <w:rsid w:val="00590115"/>
    <w:rsid w:val="00590234"/>
    <w:rsid w:val="00590C29"/>
    <w:rsid w:val="005924A5"/>
    <w:rsid w:val="00592BAC"/>
    <w:rsid w:val="00595BEC"/>
    <w:rsid w:val="005A27E2"/>
    <w:rsid w:val="005A348F"/>
    <w:rsid w:val="005A3731"/>
    <w:rsid w:val="005A3A21"/>
    <w:rsid w:val="005A4A1D"/>
    <w:rsid w:val="005A7282"/>
    <w:rsid w:val="005B247A"/>
    <w:rsid w:val="005B7D6F"/>
    <w:rsid w:val="005C0178"/>
    <w:rsid w:val="005C08E8"/>
    <w:rsid w:val="005C205C"/>
    <w:rsid w:val="005C5E51"/>
    <w:rsid w:val="005C6229"/>
    <w:rsid w:val="005C6C8B"/>
    <w:rsid w:val="005C7EBA"/>
    <w:rsid w:val="005D150F"/>
    <w:rsid w:val="005D2058"/>
    <w:rsid w:val="005D6F29"/>
    <w:rsid w:val="005D7B72"/>
    <w:rsid w:val="005E00AD"/>
    <w:rsid w:val="005E1667"/>
    <w:rsid w:val="005E3813"/>
    <w:rsid w:val="005E6857"/>
    <w:rsid w:val="005E6FD9"/>
    <w:rsid w:val="005E7411"/>
    <w:rsid w:val="005F2344"/>
    <w:rsid w:val="005F280E"/>
    <w:rsid w:val="005F3C5E"/>
    <w:rsid w:val="005F42D3"/>
    <w:rsid w:val="005F5B26"/>
    <w:rsid w:val="005F5CD7"/>
    <w:rsid w:val="005F6119"/>
    <w:rsid w:val="005F62D1"/>
    <w:rsid w:val="006035B4"/>
    <w:rsid w:val="006037C1"/>
    <w:rsid w:val="006038E7"/>
    <w:rsid w:val="0060637F"/>
    <w:rsid w:val="00606EE6"/>
    <w:rsid w:val="00610B28"/>
    <w:rsid w:val="006120FD"/>
    <w:rsid w:val="00613F68"/>
    <w:rsid w:val="0061629A"/>
    <w:rsid w:val="00620487"/>
    <w:rsid w:val="00620924"/>
    <w:rsid w:val="00621799"/>
    <w:rsid w:val="0062578A"/>
    <w:rsid w:val="0062671F"/>
    <w:rsid w:val="00626CB9"/>
    <w:rsid w:val="006273DB"/>
    <w:rsid w:val="006305BE"/>
    <w:rsid w:val="00635C16"/>
    <w:rsid w:val="00640A81"/>
    <w:rsid w:val="0064286D"/>
    <w:rsid w:val="006432FD"/>
    <w:rsid w:val="00643C2D"/>
    <w:rsid w:val="00646566"/>
    <w:rsid w:val="00647E6B"/>
    <w:rsid w:val="006530BD"/>
    <w:rsid w:val="00653546"/>
    <w:rsid w:val="00654FCB"/>
    <w:rsid w:val="00655361"/>
    <w:rsid w:val="00657344"/>
    <w:rsid w:val="00657662"/>
    <w:rsid w:val="006619B9"/>
    <w:rsid w:val="00661E50"/>
    <w:rsid w:val="00663550"/>
    <w:rsid w:val="006638C0"/>
    <w:rsid w:val="00665B56"/>
    <w:rsid w:val="00665CE8"/>
    <w:rsid w:val="00666478"/>
    <w:rsid w:val="00667E7F"/>
    <w:rsid w:val="00671443"/>
    <w:rsid w:val="00674376"/>
    <w:rsid w:val="00674591"/>
    <w:rsid w:val="006746CB"/>
    <w:rsid w:val="006762BA"/>
    <w:rsid w:val="006777BA"/>
    <w:rsid w:val="00677EFA"/>
    <w:rsid w:val="006800C1"/>
    <w:rsid w:val="00680B78"/>
    <w:rsid w:val="00680BED"/>
    <w:rsid w:val="00682A10"/>
    <w:rsid w:val="00683DF7"/>
    <w:rsid w:val="0069018B"/>
    <w:rsid w:val="00696594"/>
    <w:rsid w:val="006A132A"/>
    <w:rsid w:val="006A3105"/>
    <w:rsid w:val="006A7E49"/>
    <w:rsid w:val="006B00E6"/>
    <w:rsid w:val="006B2B10"/>
    <w:rsid w:val="006B34AA"/>
    <w:rsid w:val="006B45EC"/>
    <w:rsid w:val="006B46CC"/>
    <w:rsid w:val="006B5E1C"/>
    <w:rsid w:val="006B6D3E"/>
    <w:rsid w:val="006C6400"/>
    <w:rsid w:val="006C75B8"/>
    <w:rsid w:val="006C7AE5"/>
    <w:rsid w:val="006C7C59"/>
    <w:rsid w:val="006D08C9"/>
    <w:rsid w:val="006D2483"/>
    <w:rsid w:val="006D3617"/>
    <w:rsid w:val="006D45D4"/>
    <w:rsid w:val="006D69A3"/>
    <w:rsid w:val="006D70C2"/>
    <w:rsid w:val="006D7EC4"/>
    <w:rsid w:val="006E1B7B"/>
    <w:rsid w:val="006E1FA5"/>
    <w:rsid w:val="006E3487"/>
    <w:rsid w:val="006E4711"/>
    <w:rsid w:val="006E52E5"/>
    <w:rsid w:val="006E666E"/>
    <w:rsid w:val="006F0718"/>
    <w:rsid w:val="006F0FCB"/>
    <w:rsid w:val="006F1F9B"/>
    <w:rsid w:val="006F468B"/>
    <w:rsid w:val="006F46DD"/>
    <w:rsid w:val="006F562A"/>
    <w:rsid w:val="00700BA4"/>
    <w:rsid w:val="00701423"/>
    <w:rsid w:val="00703CFA"/>
    <w:rsid w:val="007043AB"/>
    <w:rsid w:val="00704979"/>
    <w:rsid w:val="00707E8E"/>
    <w:rsid w:val="00712A0B"/>
    <w:rsid w:val="00712F0A"/>
    <w:rsid w:val="00714A82"/>
    <w:rsid w:val="00715043"/>
    <w:rsid w:val="007150E6"/>
    <w:rsid w:val="007161A1"/>
    <w:rsid w:val="00720AF8"/>
    <w:rsid w:val="00722716"/>
    <w:rsid w:val="0072284F"/>
    <w:rsid w:val="00723244"/>
    <w:rsid w:val="00723472"/>
    <w:rsid w:val="00723856"/>
    <w:rsid w:val="0072386F"/>
    <w:rsid w:val="007254C0"/>
    <w:rsid w:val="00725DEC"/>
    <w:rsid w:val="007274A0"/>
    <w:rsid w:val="00727B3D"/>
    <w:rsid w:val="00730CDA"/>
    <w:rsid w:val="00731092"/>
    <w:rsid w:val="00732EFE"/>
    <w:rsid w:val="00733D3B"/>
    <w:rsid w:val="00734E59"/>
    <w:rsid w:val="007354FC"/>
    <w:rsid w:val="00736029"/>
    <w:rsid w:val="007368E3"/>
    <w:rsid w:val="007435CD"/>
    <w:rsid w:val="00744C57"/>
    <w:rsid w:val="007519E3"/>
    <w:rsid w:val="00752C53"/>
    <w:rsid w:val="007557DA"/>
    <w:rsid w:val="00760799"/>
    <w:rsid w:val="0076568F"/>
    <w:rsid w:val="00766C92"/>
    <w:rsid w:val="007727CE"/>
    <w:rsid w:val="0077296C"/>
    <w:rsid w:val="007749BA"/>
    <w:rsid w:val="0077592C"/>
    <w:rsid w:val="007759E3"/>
    <w:rsid w:val="00780679"/>
    <w:rsid w:val="00780E93"/>
    <w:rsid w:val="00783B63"/>
    <w:rsid w:val="00786C58"/>
    <w:rsid w:val="007876EC"/>
    <w:rsid w:val="00790C62"/>
    <w:rsid w:val="00794A4F"/>
    <w:rsid w:val="00794A70"/>
    <w:rsid w:val="00795F77"/>
    <w:rsid w:val="007A0507"/>
    <w:rsid w:val="007B08D1"/>
    <w:rsid w:val="007B3AAE"/>
    <w:rsid w:val="007B4E66"/>
    <w:rsid w:val="007B54DF"/>
    <w:rsid w:val="007B5C4E"/>
    <w:rsid w:val="007B6080"/>
    <w:rsid w:val="007C0178"/>
    <w:rsid w:val="007C0B5B"/>
    <w:rsid w:val="007C4F33"/>
    <w:rsid w:val="007C694D"/>
    <w:rsid w:val="007C7F8C"/>
    <w:rsid w:val="007D2113"/>
    <w:rsid w:val="007D5DF2"/>
    <w:rsid w:val="007D6098"/>
    <w:rsid w:val="007D73CF"/>
    <w:rsid w:val="007D753B"/>
    <w:rsid w:val="007E00E0"/>
    <w:rsid w:val="007E03FA"/>
    <w:rsid w:val="007E4F51"/>
    <w:rsid w:val="007E597E"/>
    <w:rsid w:val="007E649C"/>
    <w:rsid w:val="007E7F10"/>
    <w:rsid w:val="007F0C61"/>
    <w:rsid w:val="007F15BA"/>
    <w:rsid w:val="007F1BDE"/>
    <w:rsid w:val="007F542D"/>
    <w:rsid w:val="007F572A"/>
    <w:rsid w:val="008020DA"/>
    <w:rsid w:val="0080235D"/>
    <w:rsid w:val="008064EE"/>
    <w:rsid w:val="008077A3"/>
    <w:rsid w:val="00812A95"/>
    <w:rsid w:val="00813694"/>
    <w:rsid w:val="00823D5C"/>
    <w:rsid w:val="008254DC"/>
    <w:rsid w:val="00825C5B"/>
    <w:rsid w:val="008268CC"/>
    <w:rsid w:val="0082761A"/>
    <w:rsid w:val="00827C7F"/>
    <w:rsid w:val="0083113C"/>
    <w:rsid w:val="00836B7F"/>
    <w:rsid w:val="008418F9"/>
    <w:rsid w:val="0084695E"/>
    <w:rsid w:val="00850E3F"/>
    <w:rsid w:val="00855511"/>
    <w:rsid w:val="00855E3A"/>
    <w:rsid w:val="00855EEB"/>
    <w:rsid w:val="008576F5"/>
    <w:rsid w:val="0086103B"/>
    <w:rsid w:val="008622C7"/>
    <w:rsid w:val="00862CEB"/>
    <w:rsid w:val="00864A3E"/>
    <w:rsid w:val="00864F7B"/>
    <w:rsid w:val="0086506B"/>
    <w:rsid w:val="00865466"/>
    <w:rsid w:val="008674E4"/>
    <w:rsid w:val="00871059"/>
    <w:rsid w:val="00873D97"/>
    <w:rsid w:val="008774B7"/>
    <w:rsid w:val="00877AC5"/>
    <w:rsid w:val="0088190F"/>
    <w:rsid w:val="00881D3D"/>
    <w:rsid w:val="00890304"/>
    <w:rsid w:val="008904AA"/>
    <w:rsid w:val="0089083D"/>
    <w:rsid w:val="0089211D"/>
    <w:rsid w:val="008922B3"/>
    <w:rsid w:val="00892E64"/>
    <w:rsid w:val="00896B88"/>
    <w:rsid w:val="00897CD5"/>
    <w:rsid w:val="008A0171"/>
    <w:rsid w:val="008A183D"/>
    <w:rsid w:val="008A3B40"/>
    <w:rsid w:val="008A429E"/>
    <w:rsid w:val="008B3917"/>
    <w:rsid w:val="008B49D4"/>
    <w:rsid w:val="008B53EE"/>
    <w:rsid w:val="008B5E28"/>
    <w:rsid w:val="008B6AE3"/>
    <w:rsid w:val="008C0E89"/>
    <w:rsid w:val="008C557C"/>
    <w:rsid w:val="008C7043"/>
    <w:rsid w:val="008D0DD7"/>
    <w:rsid w:val="008D4031"/>
    <w:rsid w:val="008D453B"/>
    <w:rsid w:val="008D53B2"/>
    <w:rsid w:val="008D654A"/>
    <w:rsid w:val="008E0BF9"/>
    <w:rsid w:val="008E2113"/>
    <w:rsid w:val="008E3DAF"/>
    <w:rsid w:val="008E5899"/>
    <w:rsid w:val="008E5E5F"/>
    <w:rsid w:val="008E67BD"/>
    <w:rsid w:val="008E7589"/>
    <w:rsid w:val="008E7C9E"/>
    <w:rsid w:val="008F044B"/>
    <w:rsid w:val="008F139E"/>
    <w:rsid w:val="008F401B"/>
    <w:rsid w:val="00901559"/>
    <w:rsid w:val="00902602"/>
    <w:rsid w:val="00903B24"/>
    <w:rsid w:val="0090421B"/>
    <w:rsid w:val="0090506B"/>
    <w:rsid w:val="009057C5"/>
    <w:rsid w:val="00911DF7"/>
    <w:rsid w:val="00912ACD"/>
    <w:rsid w:val="009130BD"/>
    <w:rsid w:val="00914965"/>
    <w:rsid w:val="009269AA"/>
    <w:rsid w:val="00927210"/>
    <w:rsid w:val="0092734B"/>
    <w:rsid w:val="00931F9A"/>
    <w:rsid w:val="009327E4"/>
    <w:rsid w:val="0093441B"/>
    <w:rsid w:val="0093445F"/>
    <w:rsid w:val="00934CDA"/>
    <w:rsid w:val="00936255"/>
    <w:rsid w:val="00941D3D"/>
    <w:rsid w:val="00943CFC"/>
    <w:rsid w:val="00946255"/>
    <w:rsid w:val="00950067"/>
    <w:rsid w:val="009527D7"/>
    <w:rsid w:val="00954ED7"/>
    <w:rsid w:val="00957134"/>
    <w:rsid w:val="00957A7F"/>
    <w:rsid w:val="00962822"/>
    <w:rsid w:val="00962F9F"/>
    <w:rsid w:val="00974A71"/>
    <w:rsid w:val="009804E4"/>
    <w:rsid w:val="00982023"/>
    <w:rsid w:val="0098225B"/>
    <w:rsid w:val="009824B2"/>
    <w:rsid w:val="0098267D"/>
    <w:rsid w:val="00982955"/>
    <w:rsid w:val="009829FF"/>
    <w:rsid w:val="0098550D"/>
    <w:rsid w:val="00985689"/>
    <w:rsid w:val="00986FC7"/>
    <w:rsid w:val="00987B86"/>
    <w:rsid w:val="009900B0"/>
    <w:rsid w:val="009903AD"/>
    <w:rsid w:val="00992056"/>
    <w:rsid w:val="00995339"/>
    <w:rsid w:val="009A03A5"/>
    <w:rsid w:val="009A070F"/>
    <w:rsid w:val="009A0952"/>
    <w:rsid w:val="009A0C91"/>
    <w:rsid w:val="009A1457"/>
    <w:rsid w:val="009A71F3"/>
    <w:rsid w:val="009B0F8F"/>
    <w:rsid w:val="009B1DEB"/>
    <w:rsid w:val="009B6D01"/>
    <w:rsid w:val="009B7271"/>
    <w:rsid w:val="009C0BBB"/>
    <w:rsid w:val="009C4B88"/>
    <w:rsid w:val="009D0249"/>
    <w:rsid w:val="009D07D0"/>
    <w:rsid w:val="009D18AA"/>
    <w:rsid w:val="009D287F"/>
    <w:rsid w:val="009D4CA5"/>
    <w:rsid w:val="009D5AE2"/>
    <w:rsid w:val="009E039F"/>
    <w:rsid w:val="009E21A5"/>
    <w:rsid w:val="009E6882"/>
    <w:rsid w:val="009F36D4"/>
    <w:rsid w:val="009F38DD"/>
    <w:rsid w:val="009F39DE"/>
    <w:rsid w:val="009F4A45"/>
    <w:rsid w:val="009F67EB"/>
    <w:rsid w:val="00A04027"/>
    <w:rsid w:val="00A040A6"/>
    <w:rsid w:val="00A134FB"/>
    <w:rsid w:val="00A136D1"/>
    <w:rsid w:val="00A149DF"/>
    <w:rsid w:val="00A15638"/>
    <w:rsid w:val="00A251DC"/>
    <w:rsid w:val="00A25346"/>
    <w:rsid w:val="00A262E1"/>
    <w:rsid w:val="00A2662A"/>
    <w:rsid w:val="00A30647"/>
    <w:rsid w:val="00A34B2F"/>
    <w:rsid w:val="00A35A5A"/>
    <w:rsid w:val="00A36FF7"/>
    <w:rsid w:val="00A406E0"/>
    <w:rsid w:val="00A426E6"/>
    <w:rsid w:val="00A428AB"/>
    <w:rsid w:val="00A45342"/>
    <w:rsid w:val="00A45AE6"/>
    <w:rsid w:val="00A45E90"/>
    <w:rsid w:val="00A469F9"/>
    <w:rsid w:val="00A52497"/>
    <w:rsid w:val="00A52ED2"/>
    <w:rsid w:val="00A550CA"/>
    <w:rsid w:val="00A562F6"/>
    <w:rsid w:val="00A5691E"/>
    <w:rsid w:val="00A571F4"/>
    <w:rsid w:val="00A614A8"/>
    <w:rsid w:val="00A64F68"/>
    <w:rsid w:val="00A667BD"/>
    <w:rsid w:val="00A6780D"/>
    <w:rsid w:val="00A6799C"/>
    <w:rsid w:val="00A75B40"/>
    <w:rsid w:val="00A769C3"/>
    <w:rsid w:val="00A77276"/>
    <w:rsid w:val="00A77829"/>
    <w:rsid w:val="00A825CD"/>
    <w:rsid w:val="00A83B4E"/>
    <w:rsid w:val="00A83B97"/>
    <w:rsid w:val="00A84510"/>
    <w:rsid w:val="00A84F34"/>
    <w:rsid w:val="00A85C60"/>
    <w:rsid w:val="00A86050"/>
    <w:rsid w:val="00A8740C"/>
    <w:rsid w:val="00A91F3D"/>
    <w:rsid w:val="00A9483D"/>
    <w:rsid w:val="00A953F6"/>
    <w:rsid w:val="00AA021A"/>
    <w:rsid w:val="00AA437C"/>
    <w:rsid w:val="00AA50DD"/>
    <w:rsid w:val="00AA52C8"/>
    <w:rsid w:val="00AA5378"/>
    <w:rsid w:val="00AB0443"/>
    <w:rsid w:val="00AB2548"/>
    <w:rsid w:val="00AB4198"/>
    <w:rsid w:val="00AB4FD1"/>
    <w:rsid w:val="00AB618B"/>
    <w:rsid w:val="00AC3105"/>
    <w:rsid w:val="00AC5A1E"/>
    <w:rsid w:val="00AC641D"/>
    <w:rsid w:val="00AD5FEB"/>
    <w:rsid w:val="00AD6B29"/>
    <w:rsid w:val="00AE16E8"/>
    <w:rsid w:val="00AE561C"/>
    <w:rsid w:val="00AE5C83"/>
    <w:rsid w:val="00AE5E18"/>
    <w:rsid w:val="00AE7D39"/>
    <w:rsid w:val="00AF0ABC"/>
    <w:rsid w:val="00AF17AA"/>
    <w:rsid w:val="00AF2A6D"/>
    <w:rsid w:val="00AF3574"/>
    <w:rsid w:val="00AF4870"/>
    <w:rsid w:val="00AF4BFD"/>
    <w:rsid w:val="00AF52A0"/>
    <w:rsid w:val="00AF5F01"/>
    <w:rsid w:val="00B00426"/>
    <w:rsid w:val="00B00A22"/>
    <w:rsid w:val="00B00D87"/>
    <w:rsid w:val="00B0704D"/>
    <w:rsid w:val="00B21595"/>
    <w:rsid w:val="00B2498D"/>
    <w:rsid w:val="00B27003"/>
    <w:rsid w:val="00B3321B"/>
    <w:rsid w:val="00B34BAB"/>
    <w:rsid w:val="00B3657A"/>
    <w:rsid w:val="00B44AA6"/>
    <w:rsid w:val="00B46FD1"/>
    <w:rsid w:val="00B47C71"/>
    <w:rsid w:val="00B505FA"/>
    <w:rsid w:val="00B55B10"/>
    <w:rsid w:val="00B55FE9"/>
    <w:rsid w:val="00B56EE0"/>
    <w:rsid w:val="00B63839"/>
    <w:rsid w:val="00B64153"/>
    <w:rsid w:val="00B645C1"/>
    <w:rsid w:val="00B65D17"/>
    <w:rsid w:val="00B666E7"/>
    <w:rsid w:val="00B6729B"/>
    <w:rsid w:val="00B72288"/>
    <w:rsid w:val="00B76436"/>
    <w:rsid w:val="00B7755B"/>
    <w:rsid w:val="00B7787E"/>
    <w:rsid w:val="00B779C4"/>
    <w:rsid w:val="00B8038F"/>
    <w:rsid w:val="00B83ABD"/>
    <w:rsid w:val="00B85302"/>
    <w:rsid w:val="00B86FA4"/>
    <w:rsid w:val="00B90D30"/>
    <w:rsid w:val="00B90FA7"/>
    <w:rsid w:val="00B92940"/>
    <w:rsid w:val="00B951EE"/>
    <w:rsid w:val="00B95FF3"/>
    <w:rsid w:val="00BA5EF9"/>
    <w:rsid w:val="00BB0932"/>
    <w:rsid w:val="00BB2DC6"/>
    <w:rsid w:val="00BB3175"/>
    <w:rsid w:val="00BB5758"/>
    <w:rsid w:val="00BB703C"/>
    <w:rsid w:val="00BB7277"/>
    <w:rsid w:val="00BB751B"/>
    <w:rsid w:val="00BB78A3"/>
    <w:rsid w:val="00BC2544"/>
    <w:rsid w:val="00BC42CC"/>
    <w:rsid w:val="00BC495E"/>
    <w:rsid w:val="00BC7DAA"/>
    <w:rsid w:val="00BD5CD0"/>
    <w:rsid w:val="00BD7441"/>
    <w:rsid w:val="00BE13CD"/>
    <w:rsid w:val="00BE2F45"/>
    <w:rsid w:val="00BE3293"/>
    <w:rsid w:val="00BE485E"/>
    <w:rsid w:val="00BE60DC"/>
    <w:rsid w:val="00BE76DD"/>
    <w:rsid w:val="00BF3266"/>
    <w:rsid w:val="00BF79C7"/>
    <w:rsid w:val="00BF7D65"/>
    <w:rsid w:val="00C0791C"/>
    <w:rsid w:val="00C11887"/>
    <w:rsid w:val="00C13B69"/>
    <w:rsid w:val="00C15BC3"/>
    <w:rsid w:val="00C2149E"/>
    <w:rsid w:val="00C223D0"/>
    <w:rsid w:val="00C23F6A"/>
    <w:rsid w:val="00C246A1"/>
    <w:rsid w:val="00C2495F"/>
    <w:rsid w:val="00C26E6E"/>
    <w:rsid w:val="00C275D9"/>
    <w:rsid w:val="00C27DF3"/>
    <w:rsid w:val="00C324EA"/>
    <w:rsid w:val="00C3386A"/>
    <w:rsid w:val="00C33B93"/>
    <w:rsid w:val="00C35252"/>
    <w:rsid w:val="00C363CD"/>
    <w:rsid w:val="00C3724C"/>
    <w:rsid w:val="00C374E6"/>
    <w:rsid w:val="00C37709"/>
    <w:rsid w:val="00C379E5"/>
    <w:rsid w:val="00C37A6F"/>
    <w:rsid w:val="00C40823"/>
    <w:rsid w:val="00C4087D"/>
    <w:rsid w:val="00C47C8A"/>
    <w:rsid w:val="00C507D0"/>
    <w:rsid w:val="00C51525"/>
    <w:rsid w:val="00C54446"/>
    <w:rsid w:val="00C56B9D"/>
    <w:rsid w:val="00C579AC"/>
    <w:rsid w:val="00C57EC6"/>
    <w:rsid w:val="00C60907"/>
    <w:rsid w:val="00C6123F"/>
    <w:rsid w:val="00C61B07"/>
    <w:rsid w:val="00C62719"/>
    <w:rsid w:val="00C62C8D"/>
    <w:rsid w:val="00C63E9C"/>
    <w:rsid w:val="00C63FAD"/>
    <w:rsid w:val="00C66527"/>
    <w:rsid w:val="00C70476"/>
    <w:rsid w:val="00C737BB"/>
    <w:rsid w:val="00C73F35"/>
    <w:rsid w:val="00C76523"/>
    <w:rsid w:val="00C76868"/>
    <w:rsid w:val="00C76D11"/>
    <w:rsid w:val="00C77BA4"/>
    <w:rsid w:val="00C853DE"/>
    <w:rsid w:val="00C91420"/>
    <w:rsid w:val="00C94053"/>
    <w:rsid w:val="00CA4D5C"/>
    <w:rsid w:val="00CA6169"/>
    <w:rsid w:val="00CA779B"/>
    <w:rsid w:val="00CA7F23"/>
    <w:rsid w:val="00CB14CC"/>
    <w:rsid w:val="00CB17A4"/>
    <w:rsid w:val="00CB4522"/>
    <w:rsid w:val="00CB5017"/>
    <w:rsid w:val="00CB57F4"/>
    <w:rsid w:val="00CB6468"/>
    <w:rsid w:val="00CB7F58"/>
    <w:rsid w:val="00CC2FFE"/>
    <w:rsid w:val="00CC6534"/>
    <w:rsid w:val="00CC6CE9"/>
    <w:rsid w:val="00CD0378"/>
    <w:rsid w:val="00CD0F97"/>
    <w:rsid w:val="00CD2B32"/>
    <w:rsid w:val="00CD3D2A"/>
    <w:rsid w:val="00CD6120"/>
    <w:rsid w:val="00CD6333"/>
    <w:rsid w:val="00CE3DBA"/>
    <w:rsid w:val="00CE4C9C"/>
    <w:rsid w:val="00CE4FE6"/>
    <w:rsid w:val="00CE56D6"/>
    <w:rsid w:val="00CE5FFA"/>
    <w:rsid w:val="00CE6C62"/>
    <w:rsid w:val="00CF04F0"/>
    <w:rsid w:val="00CF0B48"/>
    <w:rsid w:val="00CF1CEA"/>
    <w:rsid w:val="00CF2548"/>
    <w:rsid w:val="00CF43B9"/>
    <w:rsid w:val="00CF598B"/>
    <w:rsid w:val="00CF6D23"/>
    <w:rsid w:val="00D02692"/>
    <w:rsid w:val="00D0286D"/>
    <w:rsid w:val="00D033AB"/>
    <w:rsid w:val="00D03A84"/>
    <w:rsid w:val="00D040F6"/>
    <w:rsid w:val="00D0723F"/>
    <w:rsid w:val="00D10256"/>
    <w:rsid w:val="00D13EBB"/>
    <w:rsid w:val="00D20676"/>
    <w:rsid w:val="00D214A0"/>
    <w:rsid w:val="00D24288"/>
    <w:rsid w:val="00D24D20"/>
    <w:rsid w:val="00D25CCF"/>
    <w:rsid w:val="00D278D9"/>
    <w:rsid w:val="00D27A4C"/>
    <w:rsid w:val="00D3105E"/>
    <w:rsid w:val="00D325DC"/>
    <w:rsid w:val="00D3502E"/>
    <w:rsid w:val="00D351D3"/>
    <w:rsid w:val="00D35A03"/>
    <w:rsid w:val="00D35B31"/>
    <w:rsid w:val="00D36996"/>
    <w:rsid w:val="00D409C7"/>
    <w:rsid w:val="00D42C98"/>
    <w:rsid w:val="00D4410F"/>
    <w:rsid w:val="00D50DCF"/>
    <w:rsid w:val="00D552B6"/>
    <w:rsid w:val="00D565A1"/>
    <w:rsid w:val="00D57524"/>
    <w:rsid w:val="00D608AC"/>
    <w:rsid w:val="00D6199A"/>
    <w:rsid w:val="00D620B6"/>
    <w:rsid w:val="00D62B9E"/>
    <w:rsid w:val="00D644C3"/>
    <w:rsid w:val="00D64F6D"/>
    <w:rsid w:val="00D81041"/>
    <w:rsid w:val="00D84EC1"/>
    <w:rsid w:val="00D90D92"/>
    <w:rsid w:val="00D93375"/>
    <w:rsid w:val="00D9424D"/>
    <w:rsid w:val="00D946B4"/>
    <w:rsid w:val="00DA0106"/>
    <w:rsid w:val="00DA0C37"/>
    <w:rsid w:val="00DA15A0"/>
    <w:rsid w:val="00DA4C72"/>
    <w:rsid w:val="00DA532B"/>
    <w:rsid w:val="00DA5CDD"/>
    <w:rsid w:val="00DA605A"/>
    <w:rsid w:val="00DB158C"/>
    <w:rsid w:val="00DB1FD2"/>
    <w:rsid w:val="00DB2D9F"/>
    <w:rsid w:val="00DB4979"/>
    <w:rsid w:val="00DB644C"/>
    <w:rsid w:val="00DB6660"/>
    <w:rsid w:val="00DC02CA"/>
    <w:rsid w:val="00DC03AD"/>
    <w:rsid w:val="00DC2130"/>
    <w:rsid w:val="00DC31B6"/>
    <w:rsid w:val="00DC74DC"/>
    <w:rsid w:val="00DC7A8B"/>
    <w:rsid w:val="00DC7D6C"/>
    <w:rsid w:val="00DD0CF2"/>
    <w:rsid w:val="00DD61F1"/>
    <w:rsid w:val="00DD66D9"/>
    <w:rsid w:val="00DE2B8B"/>
    <w:rsid w:val="00DE4BB5"/>
    <w:rsid w:val="00DE51F7"/>
    <w:rsid w:val="00DE5974"/>
    <w:rsid w:val="00DE5C4A"/>
    <w:rsid w:val="00DE6CC4"/>
    <w:rsid w:val="00DF0C1B"/>
    <w:rsid w:val="00DF1E23"/>
    <w:rsid w:val="00DF2061"/>
    <w:rsid w:val="00DF45E1"/>
    <w:rsid w:val="00DF4E27"/>
    <w:rsid w:val="00DF54EB"/>
    <w:rsid w:val="00DF5E00"/>
    <w:rsid w:val="00DF78C4"/>
    <w:rsid w:val="00E0124F"/>
    <w:rsid w:val="00E01A52"/>
    <w:rsid w:val="00E0299F"/>
    <w:rsid w:val="00E10165"/>
    <w:rsid w:val="00E10CD6"/>
    <w:rsid w:val="00E129AF"/>
    <w:rsid w:val="00E131FD"/>
    <w:rsid w:val="00E14002"/>
    <w:rsid w:val="00E16C3D"/>
    <w:rsid w:val="00E206DC"/>
    <w:rsid w:val="00E208C8"/>
    <w:rsid w:val="00E25A81"/>
    <w:rsid w:val="00E2742A"/>
    <w:rsid w:val="00E27BF1"/>
    <w:rsid w:val="00E33A8E"/>
    <w:rsid w:val="00E36113"/>
    <w:rsid w:val="00E37DEC"/>
    <w:rsid w:val="00E401B8"/>
    <w:rsid w:val="00E4093B"/>
    <w:rsid w:val="00E41EF8"/>
    <w:rsid w:val="00E4224E"/>
    <w:rsid w:val="00E4334F"/>
    <w:rsid w:val="00E43A95"/>
    <w:rsid w:val="00E45345"/>
    <w:rsid w:val="00E462BD"/>
    <w:rsid w:val="00E463B7"/>
    <w:rsid w:val="00E56715"/>
    <w:rsid w:val="00E5762A"/>
    <w:rsid w:val="00E61996"/>
    <w:rsid w:val="00E61D94"/>
    <w:rsid w:val="00E6255B"/>
    <w:rsid w:val="00E640A8"/>
    <w:rsid w:val="00E66B79"/>
    <w:rsid w:val="00E67A64"/>
    <w:rsid w:val="00E74663"/>
    <w:rsid w:val="00E828B3"/>
    <w:rsid w:val="00E82D51"/>
    <w:rsid w:val="00E83838"/>
    <w:rsid w:val="00E85F85"/>
    <w:rsid w:val="00E866C6"/>
    <w:rsid w:val="00E90859"/>
    <w:rsid w:val="00E920F6"/>
    <w:rsid w:val="00E93FA5"/>
    <w:rsid w:val="00E96C58"/>
    <w:rsid w:val="00EA0409"/>
    <w:rsid w:val="00EA07A2"/>
    <w:rsid w:val="00EA1C18"/>
    <w:rsid w:val="00EA4212"/>
    <w:rsid w:val="00EA4A59"/>
    <w:rsid w:val="00EA4E13"/>
    <w:rsid w:val="00EA6396"/>
    <w:rsid w:val="00EB007D"/>
    <w:rsid w:val="00EB04F6"/>
    <w:rsid w:val="00EB1DE1"/>
    <w:rsid w:val="00EB44A4"/>
    <w:rsid w:val="00EB5BDA"/>
    <w:rsid w:val="00EB718C"/>
    <w:rsid w:val="00EB72C7"/>
    <w:rsid w:val="00EC175A"/>
    <w:rsid w:val="00EC1BE1"/>
    <w:rsid w:val="00EC2982"/>
    <w:rsid w:val="00EC40E1"/>
    <w:rsid w:val="00EC63CE"/>
    <w:rsid w:val="00EC76D3"/>
    <w:rsid w:val="00ED153F"/>
    <w:rsid w:val="00ED1590"/>
    <w:rsid w:val="00ED22B9"/>
    <w:rsid w:val="00ED5CCA"/>
    <w:rsid w:val="00EE1B09"/>
    <w:rsid w:val="00EE4340"/>
    <w:rsid w:val="00EE7C9D"/>
    <w:rsid w:val="00EF0263"/>
    <w:rsid w:val="00EF0664"/>
    <w:rsid w:val="00EF06EC"/>
    <w:rsid w:val="00EF2EBE"/>
    <w:rsid w:val="00EF48CC"/>
    <w:rsid w:val="00EF6DE3"/>
    <w:rsid w:val="00EF70CB"/>
    <w:rsid w:val="00F01A2E"/>
    <w:rsid w:val="00F02468"/>
    <w:rsid w:val="00F032D6"/>
    <w:rsid w:val="00F069F7"/>
    <w:rsid w:val="00F07767"/>
    <w:rsid w:val="00F07E28"/>
    <w:rsid w:val="00F10E5B"/>
    <w:rsid w:val="00F11C4D"/>
    <w:rsid w:val="00F1251A"/>
    <w:rsid w:val="00F126A8"/>
    <w:rsid w:val="00F13D04"/>
    <w:rsid w:val="00F20E37"/>
    <w:rsid w:val="00F22925"/>
    <w:rsid w:val="00F23D9E"/>
    <w:rsid w:val="00F26CCE"/>
    <w:rsid w:val="00F27C6B"/>
    <w:rsid w:val="00F3159A"/>
    <w:rsid w:val="00F36FB3"/>
    <w:rsid w:val="00F37A8E"/>
    <w:rsid w:val="00F41B02"/>
    <w:rsid w:val="00F45275"/>
    <w:rsid w:val="00F4583D"/>
    <w:rsid w:val="00F46E47"/>
    <w:rsid w:val="00F4798B"/>
    <w:rsid w:val="00F47FCF"/>
    <w:rsid w:val="00F504A7"/>
    <w:rsid w:val="00F505B8"/>
    <w:rsid w:val="00F510FC"/>
    <w:rsid w:val="00F517C8"/>
    <w:rsid w:val="00F53747"/>
    <w:rsid w:val="00F538D1"/>
    <w:rsid w:val="00F55573"/>
    <w:rsid w:val="00F55777"/>
    <w:rsid w:val="00F55969"/>
    <w:rsid w:val="00F56DF3"/>
    <w:rsid w:val="00F571A3"/>
    <w:rsid w:val="00F571B5"/>
    <w:rsid w:val="00F57742"/>
    <w:rsid w:val="00F57879"/>
    <w:rsid w:val="00F60FD3"/>
    <w:rsid w:val="00F61B14"/>
    <w:rsid w:val="00F62FED"/>
    <w:rsid w:val="00F66D9A"/>
    <w:rsid w:val="00F73064"/>
    <w:rsid w:val="00F73F9C"/>
    <w:rsid w:val="00F7650E"/>
    <w:rsid w:val="00F76517"/>
    <w:rsid w:val="00F76711"/>
    <w:rsid w:val="00F8090A"/>
    <w:rsid w:val="00F816E0"/>
    <w:rsid w:val="00F843D3"/>
    <w:rsid w:val="00F84D57"/>
    <w:rsid w:val="00F84DE4"/>
    <w:rsid w:val="00F8771B"/>
    <w:rsid w:val="00F90B12"/>
    <w:rsid w:val="00F933FC"/>
    <w:rsid w:val="00FA057B"/>
    <w:rsid w:val="00FA2F43"/>
    <w:rsid w:val="00FA439A"/>
    <w:rsid w:val="00FA4FA1"/>
    <w:rsid w:val="00FA5EC6"/>
    <w:rsid w:val="00FA6BFA"/>
    <w:rsid w:val="00FA7DCC"/>
    <w:rsid w:val="00FB0149"/>
    <w:rsid w:val="00FB0E10"/>
    <w:rsid w:val="00FB2244"/>
    <w:rsid w:val="00FB2999"/>
    <w:rsid w:val="00FB4A11"/>
    <w:rsid w:val="00FB62AF"/>
    <w:rsid w:val="00FC2422"/>
    <w:rsid w:val="00FC4425"/>
    <w:rsid w:val="00FC6375"/>
    <w:rsid w:val="00FC6878"/>
    <w:rsid w:val="00FC78AA"/>
    <w:rsid w:val="00FD29EA"/>
    <w:rsid w:val="00FD5A0A"/>
    <w:rsid w:val="00FD605D"/>
    <w:rsid w:val="00FE2795"/>
    <w:rsid w:val="00FE4D98"/>
    <w:rsid w:val="00FE522D"/>
    <w:rsid w:val="00FE5C57"/>
    <w:rsid w:val="00FF0F44"/>
    <w:rsid w:val="00FF27A3"/>
    <w:rsid w:val="00FF40EC"/>
    <w:rsid w:val="00FF4D3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2F4DD"/>
  <w15:docId w15:val="{3D38BEFD-4EE4-4354-B405-18F36C24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Heading1">
    <w:name w:val="heading 1"/>
    <w:basedOn w:val="Normal"/>
    <w:next w:val="Heading2"/>
    <w:link w:val="Heading1Char"/>
    <w:uiPriority w:val="9"/>
    <w:qFormat/>
    <w:rsid w:val="006B6D3E"/>
    <w:pPr>
      <w:keepNext/>
      <w:keepLines/>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unhideWhenUsed/>
    <w:rsid w:val="006B6D3E"/>
    <w:rPr>
      <w:vertAlign w:val="superscript"/>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14:ligatures w14:val="none"/>
    </w:rPr>
  </w:style>
  <w:style w:type="paragraph" w:styleId="Footer">
    <w:name w:val="footer"/>
    <w:basedOn w:val="Normal"/>
    <w:link w:val="FooterChar"/>
    <w:uiPriority w:val="99"/>
    <w:semiHidden/>
    <w:rsid w:val="006B6D3E"/>
    <w:pPr>
      <w:tabs>
        <w:tab w:val="center" w:pos="4680"/>
        <w:tab w:val="right" w:pos="9360"/>
      </w:tabs>
    </w:pPr>
    <w:rPr>
      <w:sz w:val="20"/>
    </w:rPr>
  </w:style>
  <w:style w:type="character" w:customStyle="1" w:styleId="FooterChar">
    <w:name w:val="Footer Char"/>
    <w:basedOn w:val="DefaultParagraphFont"/>
    <w:link w:val="Footer"/>
    <w:uiPriority w:val="99"/>
    <w:semiHidden/>
    <w:rsid w:val="006B6D3E"/>
    <w:rPr>
      <w:rFonts w:ascii="Times New Roman" w:eastAsia="SimSun" w:hAnsi="Times New Roman" w:cs="Times New Roman"/>
      <w:kern w:val="0"/>
      <w:sz w:val="20"/>
      <w:szCs w:val="22"/>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ind w:left="567"/>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basedOn w:val="Normal"/>
    <w:link w:val="FootnoteTextChar"/>
    <w:uiPriority w:val="99"/>
    <w:unhideWhenUsed/>
    <w:rsid w:val="006B6D3E"/>
    <w:pPr>
      <w:jc w:val="left"/>
    </w:pPr>
    <w:rPr>
      <w:sz w:val="18"/>
      <w:szCs w:val="20"/>
    </w:rPr>
  </w:style>
  <w:style w:type="character" w:customStyle="1" w:styleId="FootnoteTextChar">
    <w:name w:val="Footnote Text Char"/>
    <w:basedOn w:val="DefaultParagraphFont"/>
    <w:link w:val="FootnoteText"/>
    <w:uiPriority w:val="99"/>
    <w:rsid w:val="006B6D3E"/>
    <w:rPr>
      <w:rFonts w:ascii="Times New Roman" w:eastAsia="SimSun" w:hAnsi="Times New Roman" w:cs="Times New Roman"/>
      <w:kern w:val="0"/>
      <w:sz w:val="18"/>
      <w:szCs w:val="20"/>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rPr>
  </w:style>
  <w:style w:type="character" w:styleId="CommentReference">
    <w:name w:val="annotation reference"/>
    <w:basedOn w:val="DefaultParagraphFont"/>
    <w:uiPriority w:val="99"/>
    <w:semiHidden/>
    <w:unhideWhenUsed/>
    <w:rsid w:val="006B6D3E"/>
    <w:rPr>
      <w:sz w:val="16"/>
      <w:szCs w:val="16"/>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rPr>
  </w:style>
  <w:style w:type="paragraph" w:customStyle="1" w:styleId="CBDAnnex">
    <w:name w:val="CBD_Annex"/>
    <w:basedOn w:val="CBDNormal"/>
    <w:next w:val="CBDTitle"/>
    <w:qFormat/>
    <w:rsid w:val="006B6D3E"/>
    <w:pPr>
      <w:keepNext/>
      <w:keepLines/>
      <w:spacing w:after="240"/>
      <w:jc w:val="left"/>
    </w:pPr>
    <w:rPr>
      <w:b/>
      <w:sz w:val="28"/>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14:ligatures w14:val="none"/>
    </w:rPr>
  </w:style>
  <w:style w:type="character" w:styleId="BookTitle">
    <w:name w:val="Book Title"/>
    <w:basedOn w:val="DefaultParagraphFont"/>
    <w:uiPriority w:val="33"/>
    <w:qFormat/>
    <w:rsid w:val="006B6D3E"/>
    <w:rPr>
      <w:b/>
      <w:bCs/>
      <w:i/>
      <w:iCs/>
      <w:spacing w:val="5"/>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tblPr/>
      <w:tcPr>
        <w:shd w:val="clear" w:color="auto" w:fill="999999" w:themeFill="text1" w:themeFillTint="66"/>
      </w:tcPr>
    </w:tblStylePr>
    <w:tblStylePr w:type="lastRow">
      <w:tblPr/>
      <w:tcPr>
        <w:shd w:val="clear" w:color="auto" w:fill="999999" w:themeFill="text1" w:themeFillTint="66"/>
      </w:tcPr>
    </w:tblStylePr>
    <w:tblStylePr w:type="firstCol">
      <w:tblPr/>
      <w:tcPr>
        <w:shd w:val="clear" w:color="auto" w:fill="000000" w:themeFill="text1" w:themeFillShade="BF"/>
      </w:tcPr>
    </w:tblStylePr>
    <w:tblStylePr w:type="lastCol">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tblPr/>
      <w:tcPr>
        <w:shd w:val="clear" w:color="auto" w:fill="F6C5AC" w:themeFill="accent2" w:themeFillTint="66"/>
      </w:tcPr>
    </w:tblStylePr>
    <w:tblStylePr w:type="lastRow">
      <w:tblPr/>
      <w:tcPr>
        <w:shd w:val="clear" w:color="auto" w:fill="F6C5AC" w:themeFill="accent2" w:themeFillTint="66"/>
      </w:tcPr>
    </w:tblStylePr>
    <w:tblStylePr w:type="firstCol">
      <w:tblPr/>
      <w:tcPr>
        <w:shd w:val="clear" w:color="auto" w:fill="BF4E14" w:themeFill="accent2" w:themeFillShade="BF"/>
      </w:tcPr>
    </w:tblStylePr>
    <w:tblStylePr w:type="lastCol">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tblPr/>
      <w:tcPr>
        <w:shd w:val="clear" w:color="auto" w:fill="84E290" w:themeFill="accent3" w:themeFillTint="66"/>
      </w:tcPr>
    </w:tblStylePr>
    <w:tblStylePr w:type="lastRow">
      <w:tblPr/>
      <w:tcPr>
        <w:shd w:val="clear" w:color="auto" w:fill="84E290" w:themeFill="accent3" w:themeFillTint="66"/>
      </w:tcPr>
    </w:tblStylePr>
    <w:tblStylePr w:type="firstCol">
      <w:tblPr/>
      <w:tcPr>
        <w:shd w:val="clear" w:color="auto" w:fill="124F1A" w:themeFill="accent3" w:themeFillShade="BF"/>
      </w:tcPr>
    </w:tblStylePr>
    <w:tblStylePr w:type="lastCol">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tblPr/>
      <w:tcPr>
        <w:shd w:val="clear" w:color="auto" w:fill="95DCF7" w:themeFill="accent4" w:themeFillTint="66"/>
      </w:tcPr>
    </w:tblStylePr>
    <w:tblStylePr w:type="lastRow">
      <w:tblPr/>
      <w:tcPr>
        <w:shd w:val="clear" w:color="auto" w:fill="95DCF7" w:themeFill="accent4" w:themeFillTint="66"/>
      </w:tcPr>
    </w:tblStylePr>
    <w:tblStylePr w:type="firstCol">
      <w:tblPr/>
      <w:tcPr>
        <w:shd w:val="clear" w:color="auto" w:fill="0B769F" w:themeFill="accent4" w:themeFillShade="BF"/>
      </w:tcPr>
    </w:tblStylePr>
    <w:tblStylePr w:type="lastCol">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tblPr/>
      <w:tcPr>
        <w:shd w:val="clear" w:color="auto" w:fill="E59EDC" w:themeFill="accent5" w:themeFillTint="66"/>
      </w:tcPr>
    </w:tblStylePr>
    <w:tblStylePr w:type="lastRow">
      <w:tblPr/>
      <w:tcPr>
        <w:shd w:val="clear" w:color="auto" w:fill="E59EDC" w:themeFill="accent5" w:themeFillTint="66"/>
      </w:tcPr>
    </w:tblStylePr>
    <w:tblStylePr w:type="firstCol">
      <w:tblPr/>
      <w:tcPr>
        <w:shd w:val="clear" w:color="auto" w:fill="77206D" w:themeFill="accent5" w:themeFillShade="BF"/>
      </w:tcPr>
    </w:tblStylePr>
    <w:tblStylePr w:type="lastCol">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tblPr/>
      <w:tcPr>
        <w:shd w:val="clear" w:color="auto" w:fill="B3E5A1" w:themeFill="accent6" w:themeFillTint="66"/>
      </w:tcPr>
    </w:tblStylePr>
    <w:tblStylePr w:type="lastRow">
      <w:tblPr/>
      <w:tcPr>
        <w:shd w:val="clear" w:color="auto" w:fill="B3E5A1" w:themeFill="accent6" w:themeFillTint="66"/>
      </w:tcPr>
    </w:tblStylePr>
    <w:tblStylePr w:type="firstCol">
      <w:tblPr/>
      <w:tcPr>
        <w:shd w:val="clear" w:color="auto" w:fill="3A7C22" w:themeFill="accent6" w:themeFillShade="BF"/>
      </w:tcPr>
    </w:tblStylePr>
    <w:tblStylePr w:type="lastCol">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tblPr/>
      <w:tcPr>
        <w:tcBorders>
          <w:bottom w:val="single" w:sz="12" w:space="0" w:color="FFFFFF" w:themeColor="background1"/>
        </w:tcBorders>
        <w:shd w:val="clear" w:color="auto" w:fill="CC5416"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tblPr/>
      <w:tcPr>
        <w:tcBorders>
          <w:bottom w:val="single" w:sz="12" w:space="0" w:color="FFFFFF" w:themeColor="background1"/>
        </w:tcBorders>
        <w:shd w:val="clear" w:color="auto" w:fill="CC5416"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tblPr/>
      <w:tcPr>
        <w:tcBorders>
          <w:bottom w:val="single" w:sz="12" w:space="0" w:color="FFFFFF" w:themeColor="background1"/>
        </w:tcBorders>
        <w:shd w:val="clear" w:color="auto" w:fill="CC5416"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tblPr/>
      <w:tcPr>
        <w:tcBorders>
          <w:bottom w:val="single" w:sz="12" w:space="0" w:color="FFFFFF" w:themeColor="background1"/>
        </w:tcBorders>
        <w:shd w:val="clear" w:color="auto" w:fill="0C7EAA" w:themeFill="accent4"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tblPr/>
      <w:tcPr>
        <w:tcBorders>
          <w:bottom w:val="single" w:sz="12" w:space="0" w:color="FFFFFF" w:themeColor="background1"/>
        </w:tcBorders>
        <w:shd w:val="clear" w:color="auto" w:fill="14551C" w:themeFill="accent3"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tblPr/>
      <w:tcPr>
        <w:tcBorders>
          <w:bottom w:val="single" w:sz="12" w:space="0" w:color="FFFFFF" w:themeColor="background1"/>
        </w:tcBorders>
        <w:shd w:val="clear" w:color="auto" w:fill="3E8524" w:themeFill="accent6"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tblPr/>
      <w:tcPr>
        <w:tcBorders>
          <w:bottom w:val="single" w:sz="12" w:space="0" w:color="FFFFFF" w:themeColor="background1"/>
        </w:tcBorders>
        <w:shd w:val="clear" w:color="auto" w:fill="7F2275" w:themeFill="accent5"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000000" w:themeFill="text1" w:themeFillShade="99"/>
      </w:tcPr>
    </w:tblStylePr>
    <w:tblStylePr w:type="firstCol">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0C394D" w:themeFill="accent1" w:themeFillShade="99"/>
      </w:tcPr>
    </w:tblStylePr>
    <w:tblStylePr w:type="firstCol">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993F10" w:themeFill="accent2" w:themeFillShade="99"/>
      </w:tcPr>
    </w:tblStylePr>
    <w:tblStylePr w:type="firstCol">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0F4015" w:themeFill="accent3" w:themeFillShade="99"/>
      </w:tcPr>
    </w:tblStylePr>
    <w:tblStylePr w:type="firstCol">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095E7F" w:themeFill="accent4" w:themeFillShade="99"/>
      </w:tcPr>
    </w:tblStylePr>
    <w:tblStylePr w:type="firstCol">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F1957" w:themeFill="accent5" w:themeFillShade="99"/>
      </w:tcPr>
    </w:tblStylePr>
    <w:tblStylePr w:type="firstCol">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2E641B" w:themeFill="accent6" w:themeFillShade="99"/>
      </w:tcPr>
    </w:tblStylePr>
    <w:tblStylePr w:type="firstCol">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14:ligatures w14:val="none"/>
    </w:rPr>
  </w:style>
  <w:style w:type="character" w:styleId="Emphasis">
    <w:name w:val="Emphasis"/>
    <w:basedOn w:val="DefaultParagraphFont"/>
    <w:uiPriority w:val="20"/>
    <w:qFormat/>
    <w:rsid w:val="006B6D3E"/>
    <w:rPr>
      <w:i/>
      <w:iCs/>
    </w:rPr>
  </w:style>
  <w:style w:type="character" w:styleId="EndnoteReference">
    <w:name w:val="endnote reference"/>
    <w:basedOn w:val="DefaultParagraphFont"/>
    <w:uiPriority w:val="99"/>
    <w:semiHidden/>
    <w:unhideWhenUsed/>
    <w:rsid w:val="006B6D3E"/>
    <w:rPr>
      <w:vertAlign w:val="superscript"/>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rPr>
  </w:style>
  <w:style w:type="table" w:customStyle="1" w:styleId="TableauGrille1Clair1">
    <w:name w:val="Tableau Grille 1 Clair1"/>
    <w:basedOn w:val="TableNormal"/>
    <w:uiPriority w:val="46"/>
    <w:rsid w:val="006B6D3E"/>
    <w:pPr>
      <w:spacing w:after="0" w:line="240" w:lineRule="auto"/>
    </w:pPr>
    <w:rPr>
      <w:rFonts w:ascii="Aptos" w:hAnsi="Apto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tblPr/>
      <w:tcPr>
        <w:tcBorders>
          <w:bottom w:val="single" w:sz="12" w:space="0" w:color="666666" w:themeColor="text1" w:themeTint="99"/>
        </w:tcBorders>
      </w:tcPr>
    </w:tblStylePr>
    <w:tblStylePr w:type="lastRow">
      <w:tblPr/>
      <w:tcPr>
        <w:tcBorders>
          <w:top w:val="double" w:sz="2" w:space="0" w:color="666666" w:themeColor="text1" w:themeTint="99"/>
        </w:tcBorders>
      </w:tcPr>
    </w:tblStylePr>
  </w:style>
  <w:style w:type="table" w:customStyle="1" w:styleId="TableauGrille1clair-Accentuation11">
    <w:name w:val="Tableau Grille 1 clair - Accentuation 11"/>
    <w:basedOn w:val="TableNormal"/>
    <w:uiPriority w:val="46"/>
    <w:rsid w:val="006B6D3E"/>
    <w:pPr>
      <w:spacing w:after="0" w:line="240" w:lineRule="auto"/>
    </w:pPr>
    <w:rPr>
      <w:rFonts w:ascii="Aptos" w:hAnsi="Apto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tblPr/>
      <w:tcPr>
        <w:tcBorders>
          <w:bottom w:val="single" w:sz="12" w:space="0" w:color="45B0E1" w:themeColor="accent1" w:themeTint="99"/>
        </w:tcBorders>
      </w:tcPr>
    </w:tblStylePr>
    <w:tblStylePr w:type="lastRow">
      <w:tblPr/>
      <w:tcPr>
        <w:tcBorders>
          <w:top w:val="double" w:sz="2" w:space="0" w:color="45B0E1" w:themeColor="accent1" w:themeTint="99"/>
        </w:tcBorders>
      </w:tcPr>
    </w:tblStylePr>
  </w:style>
  <w:style w:type="table" w:customStyle="1" w:styleId="TableauGrille1Clair-Accentuation21">
    <w:name w:val="Tableau Grille 1 Clair - Accentuation 21"/>
    <w:basedOn w:val="TableNormal"/>
    <w:uiPriority w:val="46"/>
    <w:rsid w:val="006B6D3E"/>
    <w:pPr>
      <w:spacing w:after="0" w:line="240" w:lineRule="auto"/>
    </w:pPr>
    <w:rPr>
      <w:rFonts w:ascii="Aptos" w:hAnsi="Aptos"/>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tblPr/>
      <w:tcPr>
        <w:tcBorders>
          <w:bottom w:val="single" w:sz="12" w:space="0" w:color="F1A983" w:themeColor="accent2" w:themeTint="99"/>
        </w:tcBorders>
      </w:tcPr>
    </w:tblStylePr>
    <w:tblStylePr w:type="lastRow">
      <w:tblPr/>
      <w:tcPr>
        <w:tcBorders>
          <w:top w:val="double" w:sz="2" w:space="0" w:color="F1A983" w:themeColor="accent2" w:themeTint="99"/>
        </w:tcBorders>
      </w:tcPr>
    </w:tblStylePr>
  </w:style>
  <w:style w:type="table" w:customStyle="1" w:styleId="TableauGrille1clair-Accentuation31">
    <w:name w:val="Tableau Grille 1 clair - Accentuation 31"/>
    <w:basedOn w:val="TableNormal"/>
    <w:uiPriority w:val="46"/>
    <w:rsid w:val="006B6D3E"/>
    <w:pPr>
      <w:spacing w:after="0" w:line="240" w:lineRule="auto"/>
    </w:pPr>
    <w:rPr>
      <w:rFonts w:ascii="Aptos" w:hAnsi="Aptos"/>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tblPr/>
      <w:tcPr>
        <w:tcBorders>
          <w:bottom w:val="single" w:sz="12" w:space="0" w:color="47D459" w:themeColor="accent3" w:themeTint="99"/>
        </w:tcBorders>
      </w:tcPr>
    </w:tblStylePr>
    <w:tblStylePr w:type="lastRow">
      <w:tblPr/>
      <w:tcPr>
        <w:tcBorders>
          <w:top w:val="double" w:sz="2" w:space="0" w:color="47D459" w:themeColor="accent3" w:themeTint="99"/>
        </w:tcBorders>
      </w:tcPr>
    </w:tblStylePr>
  </w:style>
  <w:style w:type="table" w:customStyle="1" w:styleId="TableauGrille1clair-Accentuation41">
    <w:name w:val="Tableau Grille 1 clair - Accentuation 41"/>
    <w:basedOn w:val="TableNormal"/>
    <w:uiPriority w:val="46"/>
    <w:rsid w:val="006B6D3E"/>
    <w:pPr>
      <w:spacing w:after="0" w:line="240" w:lineRule="auto"/>
    </w:pPr>
    <w:rPr>
      <w:rFonts w:ascii="Aptos" w:hAnsi="Aptos"/>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tblPr/>
      <w:tcPr>
        <w:tcBorders>
          <w:bottom w:val="single" w:sz="12" w:space="0" w:color="60CAF3" w:themeColor="accent4" w:themeTint="99"/>
        </w:tcBorders>
      </w:tcPr>
    </w:tblStylePr>
    <w:tblStylePr w:type="lastRow">
      <w:tblPr/>
      <w:tcPr>
        <w:tcBorders>
          <w:top w:val="double" w:sz="2" w:space="0" w:color="60CAF3" w:themeColor="accent4" w:themeTint="99"/>
        </w:tcBorders>
      </w:tcPr>
    </w:tblStylePr>
  </w:style>
  <w:style w:type="table" w:customStyle="1" w:styleId="TableauGrille1clair-Accentuation51">
    <w:name w:val="Tableau Grille 1 clair - Accentuation 51"/>
    <w:basedOn w:val="TableNormal"/>
    <w:uiPriority w:val="46"/>
    <w:rsid w:val="006B6D3E"/>
    <w:pPr>
      <w:spacing w:after="0" w:line="240" w:lineRule="auto"/>
    </w:pPr>
    <w:rPr>
      <w:rFonts w:ascii="Aptos" w:hAnsi="Aptos"/>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tblPr/>
      <w:tcPr>
        <w:tcBorders>
          <w:bottom w:val="single" w:sz="12" w:space="0" w:color="D86DCB" w:themeColor="accent5" w:themeTint="99"/>
        </w:tcBorders>
      </w:tcPr>
    </w:tblStylePr>
    <w:tblStylePr w:type="lastRow">
      <w:tblPr/>
      <w:tcPr>
        <w:tcBorders>
          <w:top w:val="double" w:sz="2" w:space="0" w:color="D86DCB" w:themeColor="accent5" w:themeTint="99"/>
        </w:tcBorders>
      </w:tcPr>
    </w:tblStylePr>
  </w:style>
  <w:style w:type="table" w:customStyle="1" w:styleId="TableauGrille1clair-Accentuation61">
    <w:name w:val="Tableau Grille 1 clair - Accentuation 61"/>
    <w:basedOn w:val="TableNormal"/>
    <w:uiPriority w:val="46"/>
    <w:rsid w:val="006B6D3E"/>
    <w:pPr>
      <w:spacing w:after="0" w:line="240" w:lineRule="auto"/>
    </w:pPr>
    <w:rPr>
      <w:rFonts w:ascii="Aptos" w:hAnsi="Aptos"/>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tblPr/>
      <w:tcPr>
        <w:tcBorders>
          <w:bottom w:val="single" w:sz="12" w:space="0" w:color="8DD873" w:themeColor="accent6" w:themeTint="99"/>
        </w:tcBorders>
      </w:tcPr>
    </w:tblStylePr>
    <w:tblStylePr w:type="lastRow">
      <w:tblPr/>
      <w:tcPr>
        <w:tcBorders>
          <w:top w:val="double" w:sz="2" w:space="0" w:color="8DD873" w:themeColor="accent6" w:themeTint="99"/>
        </w:tcBorders>
      </w:tcPr>
    </w:tblStylePr>
  </w:style>
  <w:style w:type="table" w:customStyle="1" w:styleId="TableauGrille21">
    <w:name w:val="Tableau Grille 21"/>
    <w:basedOn w:val="TableNormal"/>
    <w:uiPriority w:val="47"/>
    <w:rsid w:val="006B6D3E"/>
    <w:pPr>
      <w:spacing w:after="0" w:line="240" w:lineRule="auto"/>
    </w:pPr>
    <w:rPr>
      <w:rFonts w:ascii="Aptos" w:hAnsi="Apto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tblPr/>
      <w:tcPr>
        <w:tcBorders>
          <w:top w:val="nil"/>
          <w:bottom w:val="single" w:sz="12" w:space="0" w:color="666666" w:themeColor="text1" w:themeTint="99"/>
          <w:insideH w:val="nil"/>
          <w:insideV w:val="nil"/>
        </w:tcBorders>
        <w:shd w:val="clear" w:color="auto" w:fill="FFFFFF" w:themeFill="background1"/>
      </w:tcPr>
    </w:tblStylePr>
    <w:tblStylePr w:type="lastRow">
      <w:tblPr/>
      <w:tcPr>
        <w:tcBorders>
          <w:top w:val="double" w:sz="2" w:space="0" w:color="666666" w:themeColor="text1" w:themeTint="99"/>
          <w:bottom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Accentuation11">
    <w:name w:val="Tableau Grille 2 - Accentuation 11"/>
    <w:basedOn w:val="TableNormal"/>
    <w:uiPriority w:val="47"/>
    <w:rsid w:val="006B6D3E"/>
    <w:pPr>
      <w:spacing w:after="0" w:line="240" w:lineRule="auto"/>
    </w:pPr>
    <w:rPr>
      <w:rFonts w:ascii="Aptos" w:hAnsi="Aptos"/>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tblPr/>
      <w:tcPr>
        <w:tcBorders>
          <w:top w:val="nil"/>
          <w:bottom w:val="single" w:sz="12" w:space="0" w:color="45B0E1" w:themeColor="accent1" w:themeTint="99"/>
          <w:insideH w:val="nil"/>
          <w:insideV w:val="nil"/>
        </w:tcBorders>
        <w:shd w:val="clear" w:color="auto" w:fill="FFFFFF" w:themeFill="background1"/>
      </w:tcPr>
    </w:tblStylePr>
    <w:tblStylePr w:type="lastRow">
      <w:tblPr/>
      <w:tcPr>
        <w:tcBorders>
          <w:top w:val="double" w:sz="2" w:space="0" w:color="45B0E1" w:themeColor="accent1" w:themeTint="99"/>
          <w:bottom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Grille2-Accentuation21">
    <w:name w:val="Tableau Grille 2 - Accentuation 21"/>
    <w:basedOn w:val="TableNormal"/>
    <w:uiPriority w:val="47"/>
    <w:rsid w:val="006B6D3E"/>
    <w:pPr>
      <w:spacing w:after="0" w:line="240" w:lineRule="auto"/>
    </w:pPr>
    <w:rPr>
      <w:rFonts w:ascii="Aptos" w:hAnsi="Aptos"/>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tblPr/>
      <w:tcPr>
        <w:tcBorders>
          <w:top w:val="nil"/>
          <w:bottom w:val="single" w:sz="12" w:space="0" w:color="F1A983" w:themeColor="accent2" w:themeTint="99"/>
          <w:insideH w:val="nil"/>
          <w:insideV w:val="nil"/>
        </w:tcBorders>
        <w:shd w:val="clear" w:color="auto" w:fill="FFFFFF" w:themeFill="background1"/>
      </w:tcPr>
    </w:tblStylePr>
    <w:tblStylePr w:type="lastRow">
      <w:tblPr/>
      <w:tcPr>
        <w:tcBorders>
          <w:top w:val="double" w:sz="2" w:space="0" w:color="F1A983" w:themeColor="accent2" w:themeTint="99"/>
          <w:bottom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Grille2-Accentuation31">
    <w:name w:val="Tableau Grille 2 - Accentuation 31"/>
    <w:basedOn w:val="TableNormal"/>
    <w:uiPriority w:val="47"/>
    <w:rsid w:val="006B6D3E"/>
    <w:pPr>
      <w:spacing w:after="0" w:line="240" w:lineRule="auto"/>
    </w:pPr>
    <w:rPr>
      <w:rFonts w:ascii="Aptos" w:hAnsi="Aptos"/>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tblPr/>
      <w:tcPr>
        <w:tcBorders>
          <w:top w:val="nil"/>
          <w:bottom w:val="single" w:sz="12" w:space="0" w:color="47D459" w:themeColor="accent3" w:themeTint="99"/>
          <w:insideH w:val="nil"/>
          <w:insideV w:val="nil"/>
        </w:tcBorders>
        <w:shd w:val="clear" w:color="auto" w:fill="FFFFFF" w:themeFill="background1"/>
      </w:tcPr>
    </w:tblStylePr>
    <w:tblStylePr w:type="lastRow">
      <w:tblPr/>
      <w:tcPr>
        <w:tcBorders>
          <w:top w:val="double" w:sz="2" w:space="0" w:color="47D459" w:themeColor="accent3" w:themeTint="99"/>
          <w:bottom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Grille2-Accentuation41">
    <w:name w:val="Tableau Grille 2 - Accentuation 41"/>
    <w:basedOn w:val="TableNormal"/>
    <w:uiPriority w:val="47"/>
    <w:rsid w:val="006B6D3E"/>
    <w:pPr>
      <w:spacing w:after="0" w:line="240" w:lineRule="auto"/>
    </w:pPr>
    <w:rPr>
      <w:rFonts w:ascii="Aptos" w:hAnsi="Aptos"/>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tblPr/>
      <w:tcPr>
        <w:tcBorders>
          <w:top w:val="nil"/>
          <w:bottom w:val="single" w:sz="12" w:space="0" w:color="60CAF3" w:themeColor="accent4" w:themeTint="99"/>
          <w:insideH w:val="nil"/>
          <w:insideV w:val="nil"/>
        </w:tcBorders>
        <w:shd w:val="clear" w:color="auto" w:fill="FFFFFF" w:themeFill="background1"/>
      </w:tcPr>
    </w:tblStylePr>
    <w:tblStylePr w:type="lastRow">
      <w:tblPr/>
      <w:tcPr>
        <w:tcBorders>
          <w:top w:val="double" w:sz="2" w:space="0" w:color="60CAF3" w:themeColor="accent4" w:themeTint="99"/>
          <w:bottom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Grille2-Accentuation51">
    <w:name w:val="Tableau Grille 2 - Accentuation 51"/>
    <w:basedOn w:val="TableNormal"/>
    <w:uiPriority w:val="47"/>
    <w:rsid w:val="006B6D3E"/>
    <w:pPr>
      <w:spacing w:after="0" w:line="240" w:lineRule="auto"/>
    </w:pPr>
    <w:rPr>
      <w:rFonts w:ascii="Aptos" w:hAnsi="Aptos"/>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tblPr/>
      <w:tcPr>
        <w:tcBorders>
          <w:top w:val="nil"/>
          <w:bottom w:val="single" w:sz="12" w:space="0" w:color="D86DCB" w:themeColor="accent5" w:themeTint="99"/>
          <w:insideH w:val="nil"/>
          <w:insideV w:val="nil"/>
        </w:tcBorders>
        <w:shd w:val="clear" w:color="auto" w:fill="FFFFFF" w:themeFill="background1"/>
      </w:tcPr>
    </w:tblStylePr>
    <w:tblStylePr w:type="lastRow">
      <w:tblPr/>
      <w:tcPr>
        <w:tcBorders>
          <w:top w:val="double" w:sz="2" w:space="0" w:color="D86DCB" w:themeColor="accent5" w:themeTint="99"/>
          <w:bottom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Grille2-Accentuation61">
    <w:name w:val="Tableau Grille 2 - Accentuation 61"/>
    <w:basedOn w:val="TableNormal"/>
    <w:uiPriority w:val="47"/>
    <w:rsid w:val="006B6D3E"/>
    <w:pPr>
      <w:spacing w:after="0" w:line="240" w:lineRule="auto"/>
    </w:pPr>
    <w:rPr>
      <w:rFonts w:ascii="Aptos" w:hAnsi="Aptos"/>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tblPr/>
      <w:tcPr>
        <w:tcBorders>
          <w:top w:val="nil"/>
          <w:bottom w:val="single" w:sz="12" w:space="0" w:color="8DD873" w:themeColor="accent6" w:themeTint="99"/>
          <w:insideH w:val="nil"/>
          <w:insideV w:val="nil"/>
        </w:tcBorders>
        <w:shd w:val="clear" w:color="auto" w:fill="FFFFFF" w:themeFill="background1"/>
      </w:tcPr>
    </w:tblStylePr>
    <w:tblStylePr w:type="lastRow">
      <w:tblPr/>
      <w:tcPr>
        <w:tcBorders>
          <w:top w:val="double" w:sz="2" w:space="0" w:color="8DD873" w:themeColor="accent6" w:themeTint="99"/>
          <w:bottom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Grille31">
    <w:name w:val="Tableau Grille 31"/>
    <w:basedOn w:val="TableNormal"/>
    <w:uiPriority w:val="48"/>
    <w:rsid w:val="006B6D3E"/>
    <w:pPr>
      <w:spacing w:after="0" w:line="240" w:lineRule="auto"/>
    </w:pPr>
    <w:rPr>
      <w:rFonts w:ascii="Aptos" w:hAnsi="Apto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Accentuation11">
    <w:name w:val="Tableau Grille 3 - Accentuation 11"/>
    <w:basedOn w:val="TableNormal"/>
    <w:uiPriority w:val="48"/>
    <w:rsid w:val="006B6D3E"/>
    <w:pPr>
      <w:spacing w:after="0" w:line="240" w:lineRule="auto"/>
    </w:pPr>
    <w:rPr>
      <w:rFonts w:ascii="Aptos" w:hAnsi="Apto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eauGrille3-Accentuation21">
    <w:name w:val="Tableau Grille 3 - Accentuation 21"/>
    <w:basedOn w:val="TableNormal"/>
    <w:uiPriority w:val="48"/>
    <w:rsid w:val="006B6D3E"/>
    <w:pPr>
      <w:spacing w:after="0" w:line="240" w:lineRule="auto"/>
    </w:pPr>
    <w:rPr>
      <w:rFonts w:ascii="Aptos" w:hAnsi="Apto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TableauGrille3-Accentuation31">
    <w:name w:val="Tableau Grille 3 - Accentuation 31"/>
    <w:basedOn w:val="TableNormal"/>
    <w:uiPriority w:val="48"/>
    <w:rsid w:val="006B6D3E"/>
    <w:pPr>
      <w:spacing w:after="0" w:line="240" w:lineRule="auto"/>
    </w:pPr>
    <w:rPr>
      <w:rFonts w:ascii="Aptos" w:hAnsi="Apto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TableauGrille3-Accentuation41">
    <w:name w:val="Tableau Grille 3 - Accentuation 41"/>
    <w:basedOn w:val="TableNormal"/>
    <w:uiPriority w:val="48"/>
    <w:rsid w:val="006B6D3E"/>
    <w:pPr>
      <w:spacing w:after="0" w:line="240" w:lineRule="auto"/>
    </w:pPr>
    <w:rPr>
      <w:rFonts w:ascii="Aptos" w:hAnsi="Apto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TableauGrille3-Accentuation51">
    <w:name w:val="Tableau Grille 3 - Accentuation 51"/>
    <w:basedOn w:val="TableNormal"/>
    <w:uiPriority w:val="48"/>
    <w:rsid w:val="006B6D3E"/>
    <w:pPr>
      <w:spacing w:after="0" w:line="240" w:lineRule="auto"/>
    </w:pPr>
    <w:rPr>
      <w:rFonts w:ascii="Aptos" w:hAnsi="Apto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TableauGrille3-Accentuation61">
    <w:name w:val="Tableau Grille 3 - Accentuation 61"/>
    <w:basedOn w:val="TableNormal"/>
    <w:uiPriority w:val="48"/>
    <w:rsid w:val="006B6D3E"/>
    <w:pPr>
      <w:spacing w:after="0" w:line="240" w:lineRule="auto"/>
    </w:pPr>
    <w:rPr>
      <w:rFonts w:ascii="Aptos" w:hAnsi="Apto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TableauGrille41">
    <w:name w:val="Tableau Grille 41"/>
    <w:basedOn w:val="TableNormal"/>
    <w:uiPriority w:val="49"/>
    <w:rsid w:val="006B6D3E"/>
    <w:pPr>
      <w:spacing w:after="0" w:line="240" w:lineRule="auto"/>
    </w:pPr>
    <w:rPr>
      <w:rFonts w:ascii="Aptos" w:hAnsi="Apto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tblPr/>
      <w:tcPr>
        <w:tcBorders>
          <w:top w:val="double" w:sz="4" w:space="0" w:color="000000" w:themeColor="text1"/>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11">
    <w:name w:val="Tableau Grille 4 - Accentuation 11"/>
    <w:basedOn w:val="TableNormal"/>
    <w:uiPriority w:val="49"/>
    <w:rsid w:val="006B6D3E"/>
    <w:pPr>
      <w:spacing w:after="0" w:line="240" w:lineRule="auto"/>
    </w:pPr>
    <w:rPr>
      <w:rFonts w:ascii="Aptos" w:hAnsi="Apto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tblPr/>
      <w:tcPr>
        <w:tcBorders>
          <w:top w:val="double" w:sz="4" w:space="0" w:color="156082" w:themeColor="accent1"/>
        </w:tcBorders>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Grille4-Accentuation21">
    <w:name w:val="Tableau Grille 4 - Accentuation 21"/>
    <w:basedOn w:val="TableNormal"/>
    <w:uiPriority w:val="49"/>
    <w:rsid w:val="006B6D3E"/>
    <w:pPr>
      <w:spacing w:after="0" w:line="240" w:lineRule="auto"/>
    </w:pPr>
    <w:rPr>
      <w:rFonts w:ascii="Aptos" w:hAnsi="Apto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tblPr/>
      <w:tcPr>
        <w:tcBorders>
          <w:top w:val="double" w:sz="4" w:space="0" w:color="E97132" w:themeColor="accent2"/>
        </w:tcBorders>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Grille4-Accentuation31">
    <w:name w:val="Tableau Grille 4 - Accentuation 31"/>
    <w:basedOn w:val="TableNormal"/>
    <w:uiPriority w:val="49"/>
    <w:rsid w:val="006B6D3E"/>
    <w:pPr>
      <w:spacing w:after="0" w:line="240" w:lineRule="auto"/>
    </w:pPr>
    <w:rPr>
      <w:rFonts w:ascii="Aptos" w:hAnsi="Apto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tblPr/>
      <w:tcPr>
        <w:tcBorders>
          <w:top w:val="double" w:sz="4" w:space="0" w:color="196B24" w:themeColor="accent3"/>
        </w:tcBorders>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Grille4-Accentuation41">
    <w:name w:val="Tableau Grille 4 - Accentuation 41"/>
    <w:basedOn w:val="TableNormal"/>
    <w:uiPriority w:val="49"/>
    <w:rsid w:val="006B6D3E"/>
    <w:pPr>
      <w:spacing w:after="0" w:line="240" w:lineRule="auto"/>
    </w:pPr>
    <w:rPr>
      <w:rFonts w:ascii="Aptos" w:hAnsi="Apto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tblPr/>
      <w:tcPr>
        <w:tcBorders>
          <w:top w:val="double" w:sz="4" w:space="0" w:color="0F9ED5" w:themeColor="accent4"/>
        </w:tcBorders>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Grille4-Accentuation51">
    <w:name w:val="Tableau Grille 4 - Accentuation 51"/>
    <w:basedOn w:val="TableNormal"/>
    <w:uiPriority w:val="49"/>
    <w:rsid w:val="006B6D3E"/>
    <w:pPr>
      <w:spacing w:after="0" w:line="240" w:lineRule="auto"/>
    </w:pPr>
    <w:rPr>
      <w:rFonts w:ascii="Aptos" w:hAnsi="Apto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tblPr/>
      <w:tcPr>
        <w:tcBorders>
          <w:top w:val="double" w:sz="4" w:space="0" w:color="A02B93" w:themeColor="accent5"/>
        </w:tcBorders>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Grille4-Accentuation61">
    <w:name w:val="Tableau Grille 4 - Accentuation 61"/>
    <w:basedOn w:val="TableNormal"/>
    <w:uiPriority w:val="49"/>
    <w:rsid w:val="006B6D3E"/>
    <w:pPr>
      <w:spacing w:after="0" w:line="240" w:lineRule="auto"/>
    </w:pPr>
    <w:rPr>
      <w:rFonts w:ascii="Aptos" w:hAnsi="Apto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tblPr/>
      <w:tcPr>
        <w:tcBorders>
          <w:top w:val="double" w:sz="4" w:space="0" w:color="4EA72E" w:themeColor="accent6"/>
        </w:tcBorders>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Grille5Fonc1">
    <w:name w:val="Tableau Grille 5 Foncé1"/>
    <w:basedOn w:val="TableNormal"/>
    <w:uiPriority w:val="50"/>
    <w:rsid w:val="006B6D3E"/>
    <w:pPr>
      <w:spacing w:after="0" w:line="240" w:lineRule="auto"/>
    </w:pPr>
    <w:rPr>
      <w:rFonts w:ascii="Aptos" w:hAnsi="Apto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5Fonc-Accentuation11">
    <w:name w:val="Tableau Grille 5 Foncé - Accentuation 11"/>
    <w:basedOn w:val="TableNormal"/>
    <w:uiPriority w:val="50"/>
    <w:rsid w:val="006B6D3E"/>
    <w:pPr>
      <w:spacing w:after="0" w:line="240" w:lineRule="auto"/>
    </w:pPr>
    <w:rPr>
      <w:rFonts w:ascii="Aptos" w:hAnsi="Apto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TableauGrille5Fonc-Accentuation21">
    <w:name w:val="Tableau Grille 5 Foncé - Accentuation 21"/>
    <w:basedOn w:val="TableNormal"/>
    <w:uiPriority w:val="50"/>
    <w:rsid w:val="006B6D3E"/>
    <w:pPr>
      <w:spacing w:after="0" w:line="240" w:lineRule="auto"/>
    </w:pPr>
    <w:rPr>
      <w:rFonts w:ascii="Aptos" w:hAnsi="Apto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TableauGrille5Fonc-Accentuation31">
    <w:name w:val="Tableau Grille 5 Foncé - Accentuation 31"/>
    <w:basedOn w:val="TableNormal"/>
    <w:uiPriority w:val="50"/>
    <w:rsid w:val="006B6D3E"/>
    <w:pPr>
      <w:spacing w:after="0" w:line="240" w:lineRule="auto"/>
    </w:pPr>
    <w:rPr>
      <w:rFonts w:ascii="Aptos" w:hAnsi="Apto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TableauGrille5Fonc-Accentuation41">
    <w:name w:val="Tableau Grille 5 Foncé - Accentuation 41"/>
    <w:basedOn w:val="TableNormal"/>
    <w:uiPriority w:val="50"/>
    <w:rsid w:val="006B6D3E"/>
    <w:pPr>
      <w:spacing w:after="0" w:line="240" w:lineRule="auto"/>
    </w:pPr>
    <w:rPr>
      <w:rFonts w:ascii="Aptos" w:hAnsi="Apto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TableauGrille5Fonc-Accentuation51">
    <w:name w:val="Tableau Grille 5 Foncé - Accentuation 51"/>
    <w:basedOn w:val="TableNormal"/>
    <w:uiPriority w:val="50"/>
    <w:rsid w:val="006B6D3E"/>
    <w:pPr>
      <w:spacing w:after="0" w:line="240" w:lineRule="auto"/>
    </w:pPr>
    <w:rPr>
      <w:rFonts w:ascii="Aptos" w:hAnsi="Apto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TableauGrille5Fonc-Accentuation61">
    <w:name w:val="Tableau Grille 5 Foncé - Accentuation 61"/>
    <w:basedOn w:val="TableNormal"/>
    <w:uiPriority w:val="50"/>
    <w:rsid w:val="006B6D3E"/>
    <w:pPr>
      <w:spacing w:after="0" w:line="240" w:lineRule="auto"/>
    </w:pPr>
    <w:rPr>
      <w:rFonts w:ascii="Aptos" w:hAnsi="Apto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TableauGrille6Couleur1">
    <w:name w:val="Tableau Grille 6 Couleur1"/>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tblPr/>
      <w:tcPr>
        <w:tcBorders>
          <w:bottom w:val="single" w:sz="12" w:space="0" w:color="666666" w:themeColor="text1" w:themeTint="99"/>
        </w:tcBorders>
      </w:tcPr>
    </w:tblStylePr>
    <w:tblStylePr w:type="lastRow">
      <w:tblPr/>
      <w:tcPr>
        <w:tcBorders>
          <w:top w:val="double" w:sz="4" w:space="0" w:color="666666" w:themeColor="text1" w:themeTint="99"/>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Accentuation11">
    <w:name w:val="Tableau Grille 6 Couleur - Accentuation 1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tblPr/>
      <w:tcPr>
        <w:tcBorders>
          <w:bottom w:val="single" w:sz="12" w:space="0" w:color="45B0E1" w:themeColor="accent1" w:themeTint="99"/>
        </w:tcBorders>
      </w:tcPr>
    </w:tblStylePr>
    <w:tblStylePr w:type="lastRow">
      <w:tblPr/>
      <w:tcPr>
        <w:tcBorders>
          <w:top w:val="double" w:sz="4" w:space="0" w:color="45B0E1" w:themeColor="accent1" w:themeTint="99"/>
        </w:tcBorders>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Grille6Couleur-Accentuation21">
    <w:name w:val="Tableau Grille 6 Couleur - Accentuation 21"/>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tblPr/>
      <w:tcPr>
        <w:tcBorders>
          <w:bottom w:val="single" w:sz="12" w:space="0" w:color="F1A983" w:themeColor="accent2" w:themeTint="99"/>
        </w:tcBorders>
      </w:tcPr>
    </w:tblStylePr>
    <w:tblStylePr w:type="lastRow">
      <w:tblPr/>
      <w:tcPr>
        <w:tcBorders>
          <w:top w:val="double" w:sz="4" w:space="0" w:color="F1A983" w:themeColor="accent2" w:themeTint="99"/>
        </w:tcBorders>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Grille6Couleur-Accentuation31">
    <w:name w:val="Tableau Grille 6 Couleur - Accentuation 31"/>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tblPr/>
      <w:tcPr>
        <w:tcBorders>
          <w:bottom w:val="single" w:sz="12" w:space="0" w:color="47D459" w:themeColor="accent3" w:themeTint="99"/>
        </w:tcBorders>
      </w:tcPr>
    </w:tblStylePr>
    <w:tblStylePr w:type="lastRow">
      <w:tblPr/>
      <w:tcPr>
        <w:tcBorders>
          <w:top w:val="double" w:sz="4" w:space="0" w:color="47D459" w:themeColor="accent3" w:themeTint="99"/>
        </w:tcBorders>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Grille6Couleur-Accentuation41">
    <w:name w:val="Tableau Grille 6 Couleur - Accentuation 41"/>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tblPr/>
      <w:tcPr>
        <w:tcBorders>
          <w:bottom w:val="single" w:sz="12" w:space="0" w:color="60CAF3" w:themeColor="accent4" w:themeTint="99"/>
        </w:tcBorders>
      </w:tcPr>
    </w:tblStylePr>
    <w:tblStylePr w:type="lastRow">
      <w:tblPr/>
      <w:tcPr>
        <w:tcBorders>
          <w:top w:val="double" w:sz="4" w:space="0" w:color="60CAF3" w:themeColor="accent4" w:themeTint="99"/>
        </w:tcBorders>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Grille6Couleur-Accentuation51">
    <w:name w:val="Tableau Grille 6 Couleur - Accentuation 51"/>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tblPr/>
      <w:tcPr>
        <w:tcBorders>
          <w:bottom w:val="single" w:sz="12" w:space="0" w:color="D86DCB" w:themeColor="accent5" w:themeTint="99"/>
        </w:tcBorders>
      </w:tcPr>
    </w:tblStylePr>
    <w:tblStylePr w:type="lastRow">
      <w:tblPr/>
      <w:tcPr>
        <w:tcBorders>
          <w:top w:val="double" w:sz="4" w:space="0" w:color="D86DCB" w:themeColor="accent5" w:themeTint="99"/>
        </w:tcBorders>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Grille6Couleur-Accentuation61">
    <w:name w:val="Tableau Grille 6 Couleur - Accentuation 61"/>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tblPr/>
      <w:tcPr>
        <w:tcBorders>
          <w:bottom w:val="single" w:sz="12" w:space="0" w:color="8DD873" w:themeColor="accent6" w:themeTint="99"/>
        </w:tcBorders>
      </w:tcPr>
    </w:tblStylePr>
    <w:tblStylePr w:type="lastRow">
      <w:tblPr/>
      <w:tcPr>
        <w:tcBorders>
          <w:top w:val="double" w:sz="4" w:space="0" w:color="8DD873" w:themeColor="accent6" w:themeTint="99"/>
        </w:tcBorders>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Grille7Couleur1">
    <w:name w:val="Tableau Grille 7 Couleur1"/>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7Couleur-Accentuation11">
    <w:name w:val="Tableau Grille 7 Couleur - Accentuation 1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TableauGrille7Couleur-Accentuation21">
    <w:name w:val="Tableau Grille 7 Couleur - Accentuation 21"/>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TableauGrille7Couleur-Accentuation31">
    <w:name w:val="Tableau Grille 7 Couleur - Accentuation 31"/>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TableauGrille7Couleur-Accentuation41">
    <w:name w:val="Tableau Grille 7 Couleur - Accentuation 41"/>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TableauGrille7Couleur-Accentuation51">
    <w:name w:val="Tableau Grille 7 Couleur - Accentuation 51"/>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TableauGrille7Couleur-Accentuation61">
    <w:name w:val="Tableau Grille 7 Couleur - Accentuation 61"/>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tblPr/>
      <w:tcPr>
        <w:tcBorders>
          <w:top w:val="nil"/>
          <w:left w:val="nil"/>
          <w:right w:val="nil"/>
          <w:insideH w:val="nil"/>
          <w:insideV w:val="nil"/>
        </w:tcBorders>
        <w:shd w:val="clear" w:color="auto" w:fill="FFFFFF" w:themeFill="background1"/>
      </w:tcPr>
    </w:tblStylePr>
    <w:tblStylePr w:type="lastRow">
      <w:tblPr/>
      <w:tcPr>
        <w:tcBorders>
          <w:left w:val="nil"/>
          <w:bottom w:val="nil"/>
          <w:right w:val="nil"/>
          <w:insideH w:val="nil"/>
          <w:insideV w:val="nil"/>
        </w:tcBorders>
        <w:shd w:val="clear" w:color="auto" w:fill="FFFFFF" w:themeFill="background1"/>
      </w:tcPr>
    </w:tblStylePr>
    <w:tblStylePr w:type="firstCol">
      <w:pPr>
        <w:jc w:val="right"/>
      </w:pPr>
      <w:tblPr/>
      <w:tcPr>
        <w:tcBorders>
          <w:top w:val="nil"/>
          <w:left w:val="nil"/>
          <w:bottom w:val="nil"/>
          <w:insideH w:val="nil"/>
          <w:insideV w:val="nil"/>
        </w:tcBorders>
        <w:shd w:val="clear" w:color="auto" w:fill="FFFFFF" w:themeFill="background1"/>
      </w:tcPr>
    </w:tblStylePr>
    <w:tblStylePr w:type="lastCol">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rPr>
  </w:style>
  <w:style w:type="character" w:styleId="HTMLAcronym">
    <w:name w:val="HTML Acronym"/>
    <w:basedOn w:val="DefaultParagraphFont"/>
    <w:uiPriority w:val="99"/>
    <w:semiHidden/>
    <w:unhideWhenUsed/>
    <w:rsid w:val="006B6D3E"/>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14:ligatures w14:val="none"/>
    </w:rPr>
  </w:style>
  <w:style w:type="character" w:styleId="HTMLCite">
    <w:name w:val="HTML Cite"/>
    <w:basedOn w:val="DefaultParagraphFont"/>
    <w:uiPriority w:val="99"/>
    <w:semiHidden/>
    <w:unhideWhenUsed/>
    <w:rsid w:val="006B6D3E"/>
    <w:rPr>
      <w:i/>
      <w:iCs/>
    </w:rPr>
  </w:style>
  <w:style w:type="character" w:styleId="HTMLCode">
    <w:name w:val="HTML Code"/>
    <w:basedOn w:val="DefaultParagraphFont"/>
    <w:uiPriority w:val="99"/>
    <w:semiHidden/>
    <w:unhideWhenUsed/>
    <w:rsid w:val="006B6D3E"/>
    <w:rPr>
      <w:rFonts w:ascii="Consolas" w:hAnsi="Consolas"/>
      <w:sz w:val="20"/>
      <w:szCs w:val="20"/>
    </w:rPr>
  </w:style>
  <w:style w:type="character" w:styleId="HTMLDefinition">
    <w:name w:val="HTML Definition"/>
    <w:basedOn w:val="DefaultParagraphFont"/>
    <w:uiPriority w:val="99"/>
    <w:semiHidden/>
    <w:unhideWhenUsed/>
    <w:rsid w:val="006B6D3E"/>
    <w:rPr>
      <w:i/>
      <w:iCs/>
    </w:rPr>
  </w:style>
  <w:style w:type="character" w:styleId="HTMLKeyboard">
    <w:name w:val="HTML Keyboard"/>
    <w:basedOn w:val="DefaultParagraphFont"/>
    <w:uiPriority w:val="99"/>
    <w:semiHidden/>
    <w:unhideWhenUsed/>
    <w:rsid w:val="006B6D3E"/>
    <w:rPr>
      <w:rFonts w:ascii="Consolas" w:hAnsi="Consolas"/>
      <w:sz w:val="20"/>
      <w:szCs w:val="20"/>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14:ligatures w14:val="none"/>
    </w:rPr>
  </w:style>
  <w:style w:type="character" w:styleId="HTMLSample">
    <w:name w:val="HTML Sample"/>
    <w:basedOn w:val="DefaultParagraphFont"/>
    <w:uiPriority w:val="99"/>
    <w:semiHidden/>
    <w:unhideWhenUsed/>
    <w:rsid w:val="006B6D3E"/>
    <w:rPr>
      <w:rFonts w:ascii="Consolas" w:hAnsi="Consolas"/>
      <w:sz w:val="24"/>
      <w:szCs w:val="24"/>
    </w:rPr>
  </w:style>
  <w:style w:type="character" w:styleId="HTMLTypewriter">
    <w:name w:val="HTML Typewriter"/>
    <w:basedOn w:val="DefaultParagraphFont"/>
    <w:uiPriority w:val="99"/>
    <w:semiHidden/>
    <w:unhideWhenUsed/>
    <w:rsid w:val="006B6D3E"/>
    <w:rPr>
      <w:rFonts w:ascii="Consolas" w:hAnsi="Consolas"/>
      <w:sz w:val="20"/>
      <w:szCs w:val="20"/>
    </w:rPr>
  </w:style>
  <w:style w:type="character" w:styleId="HTMLVariable">
    <w:name w:val="HTML Variable"/>
    <w:basedOn w:val="DefaultParagraphFont"/>
    <w:uiPriority w:val="99"/>
    <w:semiHidden/>
    <w:unhideWhenUsed/>
    <w:rsid w:val="006B6D3E"/>
    <w:rPr>
      <w:i/>
      <w:iCs/>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rPr>
      <w:rFonts w:ascii="Aptos" w:hAnsi="Apto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lastCol">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rPr>
      <w:rFonts w:ascii="Aptos" w:hAnsi="Apto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lastCol">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rPr>
      <w:rFonts w:ascii="Aptos" w:hAnsi="Apto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lastCol">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rPr>
      <w:rFonts w:ascii="Aptos" w:hAnsi="Apto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lastCol">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rPr>
      <w:rFonts w:ascii="Aptos" w:hAnsi="Apto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lastCol">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rPr>
      <w:rFonts w:ascii="Aptos" w:hAnsi="Apto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lastCol">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rPr>
      <w:rFonts w:ascii="Aptos" w:hAnsi="Apto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lastCol">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rPr>
      <w:rFonts w:ascii="Aptos" w:hAnsi="Apto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tblPr/>
      <w:tcPr>
        <w:shd w:val="clear" w:color="auto" w:fill="000000" w:themeFill="text1"/>
      </w:tcPr>
    </w:tblStylePr>
    <w:tblStylePr w:type="lastRow">
      <w:pPr>
        <w:spacing w:before="0" w:after="0" w:line="240" w:lineRule="auto"/>
      </w:p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rPr>
      <w:rFonts w:ascii="Aptos" w:hAnsi="Apto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tblPr/>
      <w:tcPr>
        <w:shd w:val="clear" w:color="auto" w:fill="156082" w:themeFill="accent1"/>
      </w:tcPr>
    </w:tblStylePr>
    <w:tblStylePr w:type="lastRow">
      <w:pPr>
        <w:spacing w:before="0" w:after="0" w:line="240" w:lineRule="auto"/>
      </w:p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rPr>
      <w:rFonts w:ascii="Aptos" w:hAnsi="Apto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tblPr/>
      <w:tcPr>
        <w:shd w:val="clear" w:color="auto" w:fill="E97132" w:themeFill="accent2"/>
      </w:tcPr>
    </w:tblStylePr>
    <w:tblStylePr w:type="lastRow">
      <w:pPr>
        <w:spacing w:before="0" w:after="0" w:line="240" w:lineRule="auto"/>
      </w:p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rPr>
      <w:rFonts w:ascii="Aptos" w:hAnsi="Apto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tblPr/>
      <w:tcPr>
        <w:shd w:val="clear" w:color="auto" w:fill="196B24" w:themeFill="accent3"/>
      </w:tcPr>
    </w:tblStylePr>
    <w:tblStylePr w:type="lastRow">
      <w:pPr>
        <w:spacing w:before="0" w:after="0" w:line="240" w:lineRule="auto"/>
      </w:p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rPr>
      <w:rFonts w:ascii="Aptos" w:hAnsi="Apto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tblPr/>
      <w:tcPr>
        <w:shd w:val="clear" w:color="auto" w:fill="0F9ED5" w:themeFill="accent4"/>
      </w:tcPr>
    </w:tblStylePr>
    <w:tblStylePr w:type="lastRow">
      <w:pPr>
        <w:spacing w:before="0" w:after="0" w:line="240" w:lineRule="auto"/>
      </w:p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rPr>
      <w:rFonts w:ascii="Aptos" w:hAnsi="Apto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tblPr/>
      <w:tcPr>
        <w:shd w:val="clear" w:color="auto" w:fill="A02B93" w:themeFill="accent5"/>
      </w:tcPr>
    </w:tblStylePr>
    <w:tblStylePr w:type="lastRow">
      <w:pPr>
        <w:spacing w:before="0" w:after="0" w:line="240" w:lineRule="auto"/>
      </w:p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rPr>
      <w:rFonts w:ascii="Aptos" w:hAnsi="Apto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tblPr/>
      <w:tcPr>
        <w:shd w:val="clear" w:color="auto" w:fill="4EA72E" w:themeFill="accent6"/>
      </w:tcPr>
    </w:tblStylePr>
    <w:tblStylePr w:type="lastRow">
      <w:pPr>
        <w:spacing w:before="0" w:after="0" w:line="240" w:lineRule="auto"/>
      </w:p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tblPr/>
      <w:tcPr>
        <w:tcBorders>
          <w:top w:val="single" w:sz="8" w:space="0" w:color="000000" w:themeColor="text1"/>
          <w:left w:val="nil"/>
          <w:bottom w:val="single" w:sz="8" w:space="0" w:color="000000" w:themeColor="text1"/>
          <w:right w:val="nil"/>
          <w:insideH w:val="nil"/>
          <w:insideV w:val="nil"/>
        </w:tcBorders>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tblPr/>
      <w:tcPr>
        <w:tcBorders>
          <w:top w:val="single" w:sz="8" w:space="0" w:color="156082" w:themeColor="accent1"/>
          <w:left w:val="nil"/>
          <w:bottom w:val="single" w:sz="8" w:space="0" w:color="156082" w:themeColor="accent1"/>
          <w:right w:val="nil"/>
          <w:insideH w:val="nil"/>
          <w:insideV w:val="nil"/>
        </w:tcBorders>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tblPr/>
      <w:tcPr>
        <w:tcBorders>
          <w:top w:val="single" w:sz="8" w:space="0" w:color="E97132" w:themeColor="accent2"/>
          <w:left w:val="nil"/>
          <w:bottom w:val="single" w:sz="8" w:space="0" w:color="E97132" w:themeColor="accent2"/>
          <w:right w:val="nil"/>
          <w:insideH w:val="nil"/>
          <w:insideV w:val="nil"/>
        </w:tcBorders>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tblPr/>
      <w:tcPr>
        <w:tcBorders>
          <w:top w:val="single" w:sz="8" w:space="0" w:color="196B24" w:themeColor="accent3"/>
          <w:left w:val="nil"/>
          <w:bottom w:val="single" w:sz="8" w:space="0" w:color="196B24" w:themeColor="accent3"/>
          <w:right w:val="nil"/>
          <w:insideH w:val="nil"/>
          <w:insideV w:val="nil"/>
        </w:tcBorders>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tblPr/>
      <w:tcPr>
        <w:tcBorders>
          <w:top w:val="single" w:sz="8" w:space="0" w:color="0F9ED5" w:themeColor="accent4"/>
          <w:left w:val="nil"/>
          <w:bottom w:val="single" w:sz="8" w:space="0" w:color="0F9ED5" w:themeColor="accent4"/>
          <w:right w:val="nil"/>
          <w:insideH w:val="nil"/>
          <w:insideV w:val="nil"/>
        </w:tcBorders>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tblPr/>
      <w:tcPr>
        <w:tcBorders>
          <w:top w:val="single" w:sz="8" w:space="0" w:color="A02B93" w:themeColor="accent5"/>
          <w:left w:val="nil"/>
          <w:bottom w:val="single" w:sz="8" w:space="0" w:color="A02B93" w:themeColor="accent5"/>
          <w:right w:val="nil"/>
          <w:insideH w:val="nil"/>
          <w:insideV w:val="nil"/>
        </w:tcBorders>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tblPr/>
      <w:tcPr>
        <w:tcBorders>
          <w:top w:val="single" w:sz="8" w:space="0" w:color="4EA72E" w:themeColor="accent6"/>
          <w:left w:val="nil"/>
          <w:bottom w:val="single" w:sz="8" w:space="0" w:color="4EA72E" w:themeColor="accent6"/>
          <w:right w:val="nil"/>
          <w:insideH w:val="nil"/>
          <w:insideV w:val="nil"/>
        </w:tcBorders>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customStyle="1" w:styleId="TableauListe1Clair1">
    <w:name w:val="Tableau Liste 1 Clair1"/>
    <w:basedOn w:val="TableNormal"/>
    <w:uiPriority w:val="46"/>
    <w:rsid w:val="006B6D3E"/>
    <w:pPr>
      <w:spacing w:after="0" w:line="240" w:lineRule="auto"/>
    </w:pPr>
    <w:rPr>
      <w:rFonts w:ascii="Aptos" w:hAnsi="Aptos"/>
    </w:rPr>
    <w:tblPr>
      <w:tblStyleRowBandSize w:val="1"/>
      <w:tblStyleColBandSize w:val="1"/>
    </w:tblPr>
    <w:tblStylePr w:type="firstRow">
      <w:tblPr/>
      <w:tcPr>
        <w:tcBorders>
          <w:bottom w:val="single" w:sz="4" w:space="0" w:color="666666" w:themeColor="text1" w:themeTint="99"/>
        </w:tcBorders>
      </w:tcPr>
    </w:tblStylePr>
    <w:tblStylePr w:type="lastRow">
      <w:tblPr/>
      <w:tcPr>
        <w:tcBorders>
          <w:top w:val="single" w:sz="4" w:space="0" w:color="666666" w:themeColor="text1" w:themeTint="99"/>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1Clair-Accentuation11">
    <w:name w:val="Tableau Liste 1 Clair - Accentuation 11"/>
    <w:basedOn w:val="TableNormal"/>
    <w:uiPriority w:val="46"/>
    <w:rsid w:val="006B6D3E"/>
    <w:pPr>
      <w:spacing w:after="0" w:line="240" w:lineRule="auto"/>
    </w:pPr>
    <w:rPr>
      <w:rFonts w:ascii="Aptos" w:hAnsi="Aptos"/>
    </w:rPr>
    <w:tblPr>
      <w:tblStyleRowBandSize w:val="1"/>
      <w:tblStyleColBandSize w:val="1"/>
    </w:tblPr>
    <w:tblStylePr w:type="firstRow">
      <w:tblPr/>
      <w:tcPr>
        <w:tcBorders>
          <w:bottom w:val="single" w:sz="4" w:space="0" w:color="45B0E1" w:themeColor="accent1" w:themeTint="99"/>
        </w:tcBorders>
      </w:tcPr>
    </w:tblStylePr>
    <w:tblStylePr w:type="lastRow">
      <w:tblPr/>
      <w:tcPr>
        <w:tcBorders>
          <w:top w:val="single" w:sz="4" w:space="0" w:color="45B0E1" w:themeColor="accent1" w:themeTint="99"/>
        </w:tcBorders>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Liste1Clair-Accentuation21">
    <w:name w:val="Tableau Liste 1 Clair - Accentuation 21"/>
    <w:basedOn w:val="TableNormal"/>
    <w:uiPriority w:val="46"/>
    <w:rsid w:val="006B6D3E"/>
    <w:pPr>
      <w:spacing w:after="0" w:line="240" w:lineRule="auto"/>
    </w:pPr>
    <w:rPr>
      <w:rFonts w:ascii="Aptos" w:hAnsi="Aptos"/>
    </w:rPr>
    <w:tblPr>
      <w:tblStyleRowBandSize w:val="1"/>
      <w:tblStyleColBandSize w:val="1"/>
    </w:tblPr>
    <w:tblStylePr w:type="firstRow">
      <w:tblPr/>
      <w:tcPr>
        <w:tcBorders>
          <w:bottom w:val="single" w:sz="4" w:space="0" w:color="F1A983" w:themeColor="accent2" w:themeTint="99"/>
        </w:tcBorders>
      </w:tcPr>
    </w:tblStylePr>
    <w:tblStylePr w:type="lastRow">
      <w:tblPr/>
      <w:tcPr>
        <w:tcBorders>
          <w:top w:val="single" w:sz="4" w:space="0" w:color="F1A983" w:themeColor="accent2" w:themeTint="99"/>
        </w:tcBorders>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Liste1Clair-Accentuation31">
    <w:name w:val="Tableau Liste 1 Clair - Accentuation 31"/>
    <w:basedOn w:val="TableNormal"/>
    <w:uiPriority w:val="46"/>
    <w:rsid w:val="006B6D3E"/>
    <w:pPr>
      <w:spacing w:after="0" w:line="240" w:lineRule="auto"/>
    </w:pPr>
    <w:rPr>
      <w:rFonts w:ascii="Aptos" w:hAnsi="Aptos"/>
    </w:rPr>
    <w:tblPr>
      <w:tblStyleRowBandSize w:val="1"/>
      <w:tblStyleColBandSize w:val="1"/>
    </w:tblPr>
    <w:tblStylePr w:type="firstRow">
      <w:tblPr/>
      <w:tcPr>
        <w:tcBorders>
          <w:bottom w:val="single" w:sz="4" w:space="0" w:color="47D459" w:themeColor="accent3" w:themeTint="99"/>
        </w:tcBorders>
      </w:tcPr>
    </w:tblStylePr>
    <w:tblStylePr w:type="lastRow">
      <w:tblPr/>
      <w:tcPr>
        <w:tcBorders>
          <w:top w:val="single" w:sz="4" w:space="0" w:color="47D459" w:themeColor="accent3" w:themeTint="99"/>
        </w:tcBorders>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Liste1Clair-Accentuation41">
    <w:name w:val="Tableau Liste 1 Clair - Accentuation 41"/>
    <w:basedOn w:val="TableNormal"/>
    <w:uiPriority w:val="46"/>
    <w:rsid w:val="006B6D3E"/>
    <w:pPr>
      <w:spacing w:after="0" w:line="240" w:lineRule="auto"/>
    </w:pPr>
    <w:rPr>
      <w:rFonts w:ascii="Aptos" w:hAnsi="Aptos"/>
    </w:rPr>
    <w:tblPr>
      <w:tblStyleRowBandSize w:val="1"/>
      <w:tblStyleColBandSize w:val="1"/>
    </w:tblPr>
    <w:tblStylePr w:type="firstRow">
      <w:tblPr/>
      <w:tcPr>
        <w:tcBorders>
          <w:bottom w:val="single" w:sz="4" w:space="0" w:color="60CAF3" w:themeColor="accent4" w:themeTint="99"/>
        </w:tcBorders>
      </w:tcPr>
    </w:tblStylePr>
    <w:tblStylePr w:type="lastRow">
      <w:tblPr/>
      <w:tcPr>
        <w:tcBorders>
          <w:top w:val="single" w:sz="4" w:space="0" w:color="60CAF3" w:themeColor="accent4" w:themeTint="99"/>
        </w:tcBorders>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Liste1Clair-Accentuation51">
    <w:name w:val="Tableau Liste 1 Clair - Accentuation 51"/>
    <w:basedOn w:val="TableNormal"/>
    <w:uiPriority w:val="46"/>
    <w:rsid w:val="006B6D3E"/>
    <w:pPr>
      <w:spacing w:after="0" w:line="240" w:lineRule="auto"/>
    </w:pPr>
    <w:rPr>
      <w:rFonts w:ascii="Aptos" w:hAnsi="Aptos"/>
    </w:rPr>
    <w:tblPr>
      <w:tblStyleRowBandSize w:val="1"/>
      <w:tblStyleColBandSize w:val="1"/>
    </w:tblPr>
    <w:tblStylePr w:type="firstRow">
      <w:tblPr/>
      <w:tcPr>
        <w:tcBorders>
          <w:bottom w:val="single" w:sz="4" w:space="0" w:color="D86DCB" w:themeColor="accent5" w:themeTint="99"/>
        </w:tcBorders>
      </w:tcPr>
    </w:tblStylePr>
    <w:tblStylePr w:type="lastRow">
      <w:tblPr/>
      <w:tcPr>
        <w:tcBorders>
          <w:top w:val="single" w:sz="4" w:space="0" w:color="D86DCB" w:themeColor="accent5" w:themeTint="99"/>
        </w:tcBorders>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Liste1Clair-Accentuation61">
    <w:name w:val="Tableau Liste 1 Clair - Accentuation 61"/>
    <w:basedOn w:val="TableNormal"/>
    <w:uiPriority w:val="46"/>
    <w:rsid w:val="006B6D3E"/>
    <w:pPr>
      <w:spacing w:after="0" w:line="240" w:lineRule="auto"/>
    </w:pPr>
    <w:rPr>
      <w:rFonts w:ascii="Aptos" w:hAnsi="Aptos"/>
    </w:rPr>
    <w:tblPr>
      <w:tblStyleRowBandSize w:val="1"/>
      <w:tblStyleColBandSize w:val="1"/>
    </w:tblPr>
    <w:tblStylePr w:type="firstRow">
      <w:tblPr/>
      <w:tcPr>
        <w:tcBorders>
          <w:bottom w:val="single" w:sz="4" w:space="0" w:color="8DD873" w:themeColor="accent6" w:themeTint="99"/>
        </w:tcBorders>
      </w:tcPr>
    </w:tblStylePr>
    <w:tblStylePr w:type="lastRow">
      <w:tblPr/>
      <w:tcPr>
        <w:tcBorders>
          <w:top w:val="single" w:sz="4" w:space="0" w:color="8DD873" w:themeColor="accent6" w:themeTint="99"/>
        </w:tcBorders>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Liste21">
    <w:name w:val="Tableau Liste 21"/>
    <w:basedOn w:val="TableNormal"/>
    <w:uiPriority w:val="47"/>
    <w:rsid w:val="006B6D3E"/>
    <w:pPr>
      <w:spacing w:after="0" w:line="240" w:lineRule="auto"/>
    </w:pPr>
    <w:rPr>
      <w:rFonts w:ascii="Aptos" w:hAnsi="Apto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2-Accentuation11">
    <w:name w:val="Tableau Liste 2 - Accentuation 11"/>
    <w:basedOn w:val="TableNormal"/>
    <w:uiPriority w:val="47"/>
    <w:rsid w:val="006B6D3E"/>
    <w:pPr>
      <w:spacing w:after="0" w:line="240" w:lineRule="auto"/>
    </w:pPr>
    <w:rPr>
      <w:rFonts w:ascii="Aptos" w:hAnsi="Aptos"/>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Liste2-Accentuation21">
    <w:name w:val="Tableau Liste 2 - Accentuation 21"/>
    <w:basedOn w:val="TableNormal"/>
    <w:uiPriority w:val="47"/>
    <w:rsid w:val="006B6D3E"/>
    <w:pPr>
      <w:spacing w:after="0" w:line="240" w:lineRule="auto"/>
    </w:pPr>
    <w:rPr>
      <w:rFonts w:ascii="Aptos" w:hAnsi="Aptos"/>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Liste2-Accentuation31">
    <w:name w:val="Tableau Liste 2 - Accentuation 31"/>
    <w:basedOn w:val="TableNormal"/>
    <w:uiPriority w:val="47"/>
    <w:rsid w:val="006B6D3E"/>
    <w:pPr>
      <w:spacing w:after="0" w:line="240" w:lineRule="auto"/>
    </w:pPr>
    <w:rPr>
      <w:rFonts w:ascii="Aptos" w:hAnsi="Aptos"/>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Liste2-Accentuation41">
    <w:name w:val="Tableau Liste 2 - Accentuation 41"/>
    <w:basedOn w:val="TableNormal"/>
    <w:uiPriority w:val="47"/>
    <w:rsid w:val="006B6D3E"/>
    <w:pPr>
      <w:spacing w:after="0" w:line="240" w:lineRule="auto"/>
    </w:pPr>
    <w:rPr>
      <w:rFonts w:ascii="Aptos" w:hAnsi="Aptos"/>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Liste2-Accentuation51">
    <w:name w:val="Tableau Liste 2 - Accentuation 51"/>
    <w:basedOn w:val="TableNormal"/>
    <w:uiPriority w:val="47"/>
    <w:rsid w:val="006B6D3E"/>
    <w:pPr>
      <w:spacing w:after="0" w:line="240" w:lineRule="auto"/>
    </w:pPr>
    <w:rPr>
      <w:rFonts w:ascii="Aptos" w:hAnsi="Aptos"/>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Liste2-Accentuation61">
    <w:name w:val="Tableau Liste 2 - Accentuation 61"/>
    <w:basedOn w:val="TableNormal"/>
    <w:uiPriority w:val="47"/>
    <w:rsid w:val="006B6D3E"/>
    <w:pPr>
      <w:spacing w:after="0" w:line="240" w:lineRule="auto"/>
    </w:pPr>
    <w:rPr>
      <w:rFonts w:ascii="Aptos" w:hAnsi="Aptos"/>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Liste31">
    <w:name w:val="Tableau Liste 31"/>
    <w:basedOn w:val="TableNormal"/>
    <w:uiPriority w:val="48"/>
    <w:rsid w:val="006B6D3E"/>
    <w:pPr>
      <w:spacing w:after="0" w:line="240" w:lineRule="auto"/>
    </w:pPr>
    <w:rPr>
      <w:rFonts w:ascii="Aptos" w:hAnsi="Apto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tblPr/>
      <w:tcPr>
        <w:shd w:val="clear" w:color="auto" w:fill="000000" w:themeFill="text1"/>
      </w:tcPr>
    </w:tblStylePr>
    <w:tblStylePr w:type="lastRow">
      <w:tblPr/>
      <w:tcPr>
        <w:tcBorders>
          <w:top w:val="double" w:sz="4" w:space="0" w:color="000000" w:themeColor="text1"/>
        </w:tcBorders>
        <w:shd w:val="clear" w:color="auto" w:fill="FFFFFF" w:themeFill="background1"/>
      </w:tcPr>
    </w:tblStylePr>
    <w:tblStylePr w:type="firstCol">
      <w:tblPr/>
      <w:tcPr>
        <w:tcBorders>
          <w:right w:val="nil"/>
        </w:tcBorders>
        <w:shd w:val="clear" w:color="auto" w:fill="FFFFFF" w:themeFill="background1"/>
      </w:tcPr>
    </w:tblStylePr>
    <w:tblStylePr w:type="lastCol">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auListe3-Accentuation11">
    <w:name w:val="Tableau Liste 3 - Accentuation 11"/>
    <w:basedOn w:val="TableNormal"/>
    <w:uiPriority w:val="48"/>
    <w:rsid w:val="006B6D3E"/>
    <w:pPr>
      <w:spacing w:after="0" w:line="240" w:lineRule="auto"/>
    </w:pPr>
    <w:rPr>
      <w:rFonts w:ascii="Aptos" w:hAnsi="Aptos"/>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tblPr/>
      <w:tcPr>
        <w:shd w:val="clear" w:color="auto" w:fill="156082" w:themeFill="accent1"/>
      </w:tcPr>
    </w:tblStylePr>
    <w:tblStylePr w:type="lastRow">
      <w:tblPr/>
      <w:tcPr>
        <w:tcBorders>
          <w:top w:val="double" w:sz="4" w:space="0" w:color="156082" w:themeColor="accent1"/>
        </w:tcBorders>
        <w:shd w:val="clear" w:color="auto" w:fill="FFFFFF" w:themeFill="background1"/>
      </w:tcPr>
    </w:tblStylePr>
    <w:tblStylePr w:type="firstCol">
      <w:tblPr/>
      <w:tcPr>
        <w:tcBorders>
          <w:right w:val="nil"/>
        </w:tcBorders>
        <w:shd w:val="clear" w:color="auto" w:fill="FFFFFF" w:themeFill="background1"/>
      </w:tcPr>
    </w:tblStylePr>
    <w:tblStylePr w:type="lastCol">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TableauListe3-Accentuation21">
    <w:name w:val="Tableau Liste 3 - Accentuation 21"/>
    <w:basedOn w:val="TableNormal"/>
    <w:uiPriority w:val="48"/>
    <w:rsid w:val="006B6D3E"/>
    <w:pPr>
      <w:spacing w:after="0" w:line="240" w:lineRule="auto"/>
    </w:pPr>
    <w:rPr>
      <w:rFonts w:ascii="Aptos" w:hAnsi="Aptos"/>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tblPr/>
      <w:tcPr>
        <w:shd w:val="clear" w:color="auto" w:fill="E97132" w:themeFill="accent2"/>
      </w:tcPr>
    </w:tblStylePr>
    <w:tblStylePr w:type="lastRow">
      <w:tblPr/>
      <w:tcPr>
        <w:tcBorders>
          <w:top w:val="double" w:sz="4" w:space="0" w:color="E97132" w:themeColor="accent2"/>
        </w:tcBorders>
        <w:shd w:val="clear" w:color="auto" w:fill="FFFFFF" w:themeFill="background1"/>
      </w:tcPr>
    </w:tblStylePr>
    <w:tblStylePr w:type="firstCol">
      <w:tblPr/>
      <w:tcPr>
        <w:tcBorders>
          <w:right w:val="nil"/>
        </w:tcBorders>
        <w:shd w:val="clear" w:color="auto" w:fill="FFFFFF" w:themeFill="background1"/>
      </w:tcPr>
    </w:tblStylePr>
    <w:tblStylePr w:type="lastCol">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TableauListe3-Accentuation31">
    <w:name w:val="Tableau Liste 3 - Accentuation 31"/>
    <w:basedOn w:val="TableNormal"/>
    <w:uiPriority w:val="48"/>
    <w:rsid w:val="006B6D3E"/>
    <w:pPr>
      <w:spacing w:after="0" w:line="240" w:lineRule="auto"/>
    </w:pPr>
    <w:rPr>
      <w:rFonts w:ascii="Aptos" w:hAnsi="Aptos"/>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tblPr/>
      <w:tcPr>
        <w:shd w:val="clear" w:color="auto" w:fill="196B24" w:themeFill="accent3"/>
      </w:tcPr>
    </w:tblStylePr>
    <w:tblStylePr w:type="lastRow">
      <w:tblPr/>
      <w:tcPr>
        <w:tcBorders>
          <w:top w:val="double" w:sz="4" w:space="0" w:color="196B24" w:themeColor="accent3"/>
        </w:tcBorders>
        <w:shd w:val="clear" w:color="auto" w:fill="FFFFFF" w:themeFill="background1"/>
      </w:tcPr>
    </w:tblStylePr>
    <w:tblStylePr w:type="firstCol">
      <w:tblPr/>
      <w:tcPr>
        <w:tcBorders>
          <w:right w:val="nil"/>
        </w:tcBorders>
        <w:shd w:val="clear" w:color="auto" w:fill="FFFFFF" w:themeFill="background1"/>
      </w:tcPr>
    </w:tblStylePr>
    <w:tblStylePr w:type="lastCol">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TableauListe3-Accentuation41">
    <w:name w:val="Tableau Liste 3 - Accentuation 41"/>
    <w:basedOn w:val="TableNormal"/>
    <w:uiPriority w:val="48"/>
    <w:rsid w:val="006B6D3E"/>
    <w:pPr>
      <w:spacing w:after="0" w:line="240" w:lineRule="auto"/>
    </w:pPr>
    <w:rPr>
      <w:rFonts w:ascii="Aptos" w:hAnsi="Aptos"/>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tblPr/>
      <w:tcPr>
        <w:shd w:val="clear" w:color="auto" w:fill="0F9ED5" w:themeFill="accent4"/>
      </w:tcPr>
    </w:tblStylePr>
    <w:tblStylePr w:type="lastRow">
      <w:tblPr/>
      <w:tcPr>
        <w:tcBorders>
          <w:top w:val="double" w:sz="4" w:space="0" w:color="0F9ED5" w:themeColor="accent4"/>
        </w:tcBorders>
        <w:shd w:val="clear" w:color="auto" w:fill="FFFFFF" w:themeFill="background1"/>
      </w:tcPr>
    </w:tblStylePr>
    <w:tblStylePr w:type="firstCol">
      <w:tblPr/>
      <w:tcPr>
        <w:tcBorders>
          <w:right w:val="nil"/>
        </w:tcBorders>
        <w:shd w:val="clear" w:color="auto" w:fill="FFFFFF" w:themeFill="background1"/>
      </w:tcPr>
    </w:tblStylePr>
    <w:tblStylePr w:type="lastCol">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TableauListe3-Accentuation51">
    <w:name w:val="Tableau Liste 3 - Accentuation 51"/>
    <w:basedOn w:val="TableNormal"/>
    <w:uiPriority w:val="48"/>
    <w:rsid w:val="006B6D3E"/>
    <w:pPr>
      <w:spacing w:after="0" w:line="240" w:lineRule="auto"/>
    </w:pPr>
    <w:rPr>
      <w:rFonts w:ascii="Aptos" w:hAnsi="Aptos"/>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tblPr/>
      <w:tcPr>
        <w:shd w:val="clear" w:color="auto" w:fill="A02B93" w:themeFill="accent5"/>
      </w:tcPr>
    </w:tblStylePr>
    <w:tblStylePr w:type="lastRow">
      <w:tblPr/>
      <w:tcPr>
        <w:tcBorders>
          <w:top w:val="double" w:sz="4" w:space="0" w:color="A02B93" w:themeColor="accent5"/>
        </w:tcBorders>
        <w:shd w:val="clear" w:color="auto" w:fill="FFFFFF" w:themeFill="background1"/>
      </w:tcPr>
    </w:tblStylePr>
    <w:tblStylePr w:type="firstCol">
      <w:tblPr/>
      <w:tcPr>
        <w:tcBorders>
          <w:right w:val="nil"/>
        </w:tcBorders>
        <w:shd w:val="clear" w:color="auto" w:fill="FFFFFF" w:themeFill="background1"/>
      </w:tcPr>
    </w:tblStylePr>
    <w:tblStylePr w:type="lastCol">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TableauListe3-Accentuation61">
    <w:name w:val="Tableau Liste 3 - Accentuation 61"/>
    <w:basedOn w:val="TableNormal"/>
    <w:uiPriority w:val="48"/>
    <w:rsid w:val="006B6D3E"/>
    <w:pPr>
      <w:spacing w:after="0" w:line="240" w:lineRule="auto"/>
    </w:pPr>
    <w:rPr>
      <w:rFonts w:ascii="Aptos" w:hAnsi="Aptos"/>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tblPr/>
      <w:tcPr>
        <w:shd w:val="clear" w:color="auto" w:fill="4EA72E" w:themeFill="accent6"/>
      </w:tcPr>
    </w:tblStylePr>
    <w:tblStylePr w:type="lastRow">
      <w:tblPr/>
      <w:tcPr>
        <w:tcBorders>
          <w:top w:val="double" w:sz="4" w:space="0" w:color="4EA72E" w:themeColor="accent6"/>
        </w:tcBorders>
        <w:shd w:val="clear" w:color="auto" w:fill="FFFFFF" w:themeFill="background1"/>
      </w:tcPr>
    </w:tblStylePr>
    <w:tblStylePr w:type="firstCol">
      <w:tblPr/>
      <w:tcPr>
        <w:tcBorders>
          <w:right w:val="nil"/>
        </w:tcBorders>
        <w:shd w:val="clear" w:color="auto" w:fill="FFFFFF" w:themeFill="background1"/>
      </w:tcPr>
    </w:tblStylePr>
    <w:tblStylePr w:type="lastCol">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TableauListe41">
    <w:name w:val="Tableau Liste 41"/>
    <w:basedOn w:val="TableNormal"/>
    <w:uiPriority w:val="49"/>
    <w:rsid w:val="006B6D3E"/>
    <w:pPr>
      <w:spacing w:after="0" w:line="240" w:lineRule="auto"/>
    </w:pPr>
    <w:rPr>
      <w:rFonts w:ascii="Aptos" w:hAnsi="Apto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tblPr/>
      <w:tcPr>
        <w:tcBorders>
          <w:top w:val="double" w:sz="4" w:space="0" w:color="666666" w:themeColor="text1" w:themeTint="99"/>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4-Accentuation11">
    <w:name w:val="Tableau Liste 4 - Accentuation 11"/>
    <w:basedOn w:val="TableNormal"/>
    <w:uiPriority w:val="49"/>
    <w:rsid w:val="006B6D3E"/>
    <w:pPr>
      <w:spacing w:after="0" w:line="240" w:lineRule="auto"/>
    </w:pPr>
    <w:rPr>
      <w:rFonts w:ascii="Aptos" w:hAnsi="Apto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tblPr/>
      <w:tcPr>
        <w:tcBorders>
          <w:top w:val="double" w:sz="4" w:space="0" w:color="45B0E1" w:themeColor="accent1" w:themeTint="99"/>
        </w:tcBorders>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Liste4-Accentuation21">
    <w:name w:val="Tableau Liste 4 - Accentuation 21"/>
    <w:basedOn w:val="TableNormal"/>
    <w:uiPriority w:val="49"/>
    <w:rsid w:val="006B6D3E"/>
    <w:pPr>
      <w:spacing w:after="0" w:line="240" w:lineRule="auto"/>
    </w:pPr>
    <w:rPr>
      <w:rFonts w:ascii="Aptos" w:hAnsi="Apto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tblPr/>
      <w:tcPr>
        <w:tcBorders>
          <w:top w:val="double" w:sz="4" w:space="0" w:color="F1A983" w:themeColor="accent2" w:themeTint="99"/>
        </w:tcBorders>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Liste4-Accentuation31">
    <w:name w:val="Tableau Liste 4 - Accentuation 31"/>
    <w:basedOn w:val="TableNormal"/>
    <w:uiPriority w:val="49"/>
    <w:rsid w:val="006B6D3E"/>
    <w:pPr>
      <w:spacing w:after="0" w:line="240" w:lineRule="auto"/>
    </w:pPr>
    <w:rPr>
      <w:rFonts w:ascii="Aptos" w:hAnsi="Apto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tblPr/>
      <w:tcPr>
        <w:tcBorders>
          <w:top w:val="double" w:sz="4" w:space="0" w:color="47D459" w:themeColor="accent3" w:themeTint="99"/>
        </w:tcBorders>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Liste4-Accentuation41">
    <w:name w:val="Tableau Liste 4 - Accentuation 41"/>
    <w:basedOn w:val="TableNormal"/>
    <w:uiPriority w:val="49"/>
    <w:rsid w:val="006B6D3E"/>
    <w:pPr>
      <w:spacing w:after="0" w:line="240" w:lineRule="auto"/>
    </w:pPr>
    <w:rPr>
      <w:rFonts w:ascii="Aptos" w:hAnsi="Apto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tblPr/>
      <w:tcPr>
        <w:tcBorders>
          <w:top w:val="double" w:sz="4" w:space="0" w:color="60CAF3" w:themeColor="accent4" w:themeTint="99"/>
        </w:tcBorders>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Liste4-Accentuation51">
    <w:name w:val="Tableau Liste 4 - Accentuation 51"/>
    <w:basedOn w:val="TableNormal"/>
    <w:uiPriority w:val="49"/>
    <w:rsid w:val="006B6D3E"/>
    <w:pPr>
      <w:spacing w:after="0" w:line="240" w:lineRule="auto"/>
    </w:pPr>
    <w:rPr>
      <w:rFonts w:ascii="Aptos" w:hAnsi="Apto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tblPr/>
      <w:tcPr>
        <w:tcBorders>
          <w:top w:val="double" w:sz="4" w:space="0" w:color="D86DCB" w:themeColor="accent5" w:themeTint="99"/>
        </w:tcBorders>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Liste4-Accentuation61">
    <w:name w:val="Tableau Liste 4 - Accentuation 61"/>
    <w:basedOn w:val="TableNormal"/>
    <w:uiPriority w:val="49"/>
    <w:rsid w:val="006B6D3E"/>
    <w:pPr>
      <w:spacing w:after="0" w:line="240" w:lineRule="auto"/>
    </w:pPr>
    <w:rPr>
      <w:rFonts w:ascii="Aptos" w:hAnsi="Apto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tblPr/>
      <w:tcPr>
        <w:tcBorders>
          <w:top w:val="double" w:sz="4" w:space="0" w:color="8DD873" w:themeColor="accent6" w:themeTint="99"/>
        </w:tcBorders>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Liste5Fonc1">
    <w:name w:val="Tableau Liste 5 Foncé1"/>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tblPr/>
      <w:tcPr>
        <w:tcBorders>
          <w:bottom w:val="single" w:sz="18" w:space="0" w:color="FFFFFF" w:themeColor="background1"/>
        </w:tcBorders>
      </w:tcPr>
    </w:tblStylePr>
    <w:tblStylePr w:type="lastRow">
      <w:tblPr/>
      <w:tcPr>
        <w:tcBorders>
          <w:top w:val="single" w:sz="4" w:space="0" w:color="FFFFFF" w:themeColor="background1"/>
        </w:tcBorders>
      </w:tcPr>
    </w:tblStylePr>
    <w:tblStylePr w:type="firstCol">
      <w:tblPr/>
      <w:tcPr>
        <w:tcBorders>
          <w:right w:val="single" w:sz="4" w:space="0" w:color="FFFFFF" w:themeColor="background1"/>
        </w:tcBorders>
      </w:tcPr>
    </w:tblStylePr>
    <w:tblStylePr w:type="lastCol">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11">
    <w:name w:val="Tableau Liste 5 Foncé - Accentuation 1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tblPr/>
      <w:tcPr>
        <w:tcBorders>
          <w:bottom w:val="single" w:sz="18" w:space="0" w:color="FFFFFF" w:themeColor="background1"/>
        </w:tcBorders>
      </w:tcPr>
    </w:tblStylePr>
    <w:tblStylePr w:type="lastRow">
      <w:tblPr/>
      <w:tcPr>
        <w:tcBorders>
          <w:top w:val="single" w:sz="4" w:space="0" w:color="FFFFFF" w:themeColor="background1"/>
        </w:tcBorders>
      </w:tcPr>
    </w:tblStylePr>
    <w:tblStylePr w:type="firstCol">
      <w:tblPr/>
      <w:tcPr>
        <w:tcBorders>
          <w:right w:val="single" w:sz="4" w:space="0" w:color="FFFFFF" w:themeColor="background1"/>
        </w:tcBorders>
      </w:tcPr>
    </w:tblStylePr>
    <w:tblStylePr w:type="lastCol">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21">
    <w:name w:val="Tableau Liste 5 Foncé - Accentuation 21"/>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tblPr/>
      <w:tcPr>
        <w:tcBorders>
          <w:bottom w:val="single" w:sz="18" w:space="0" w:color="FFFFFF" w:themeColor="background1"/>
        </w:tcBorders>
      </w:tcPr>
    </w:tblStylePr>
    <w:tblStylePr w:type="lastRow">
      <w:tblPr/>
      <w:tcPr>
        <w:tcBorders>
          <w:top w:val="single" w:sz="4" w:space="0" w:color="FFFFFF" w:themeColor="background1"/>
        </w:tcBorders>
      </w:tcPr>
    </w:tblStylePr>
    <w:tblStylePr w:type="firstCol">
      <w:tblPr/>
      <w:tcPr>
        <w:tcBorders>
          <w:right w:val="single" w:sz="4" w:space="0" w:color="FFFFFF" w:themeColor="background1"/>
        </w:tcBorders>
      </w:tcPr>
    </w:tblStylePr>
    <w:tblStylePr w:type="lastCol">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tblPr/>
      <w:tcPr>
        <w:tcBorders>
          <w:bottom w:val="single" w:sz="18" w:space="0" w:color="FFFFFF" w:themeColor="background1"/>
        </w:tcBorders>
      </w:tcPr>
    </w:tblStylePr>
    <w:tblStylePr w:type="lastRow">
      <w:tblPr/>
      <w:tcPr>
        <w:tcBorders>
          <w:top w:val="single" w:sz="4" w:space="0" w:color="FFFFFF" w:themeColor="background1"/>
        </w:tcBorders>
      </w:tcPr>
    </w:tblStylePr>
    <w:tblStylePr w:type="firstCol">
      <w:tblPr/>
      <w:tcPr>
        <w:tcBorders>
          <w:right w:val="single" w:sz="4" w:space="0" w:color="FFFFFF" w:themeColor="background1"/>
        </w:tcBorders>
      </w:tcPr>
    </w:tblStylePr>
    <w:tblStylePr w:type="lastCol">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tblPr/>
      <w:tcPr>
        <w:tcBorders>
          <w:bottom w:val="single" w:sz="18" w:space="0" w:color="FFFFFF" w:themeColor="background1"/>
        </w:tcBorders>
      </w:tcPr>
    </w:tblStylePr>
    <w:tblStylePr w:type="lastRow">
      <w:tblPr/>
      <w:tcPr>
        <w:tcBorders>
          <w:top w:val="single" w:sz="4" w:space="0" w:color="FFFFFF" w:themeColor="background1"/>
        </w:tcBorders>
      </w:tcPr>
    </w:tblStylePr>
    <w:tblStylePr w:type="firstCol">
      <w:tblPr/>
      <w:tcPr>
        <w:tcBorders>
          <w:right w:val="single" w:sz="4" w:space="0" w:color="FFFFFF" w:themeColor="background1"/>
        </w:tcBorders>
      </w:tcPr>
    </w:tblStylePr>
    <w:tblStylePr w:type="lastCol">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tblPr/>
      <w:tcPr>
        <w:tcBorders>
          <w:bottom w:val="single" w:sz="18" w:space="0" w:color="FFFFFF" w:themeColor="background1"/>
        </w:tcBorders>
      </w:tcPr>
    </w:tblStylePr>
    <w:tblStylePr w:type="lastRow">
      <w:tblPr/>
      <w:tcPr>
        <w:tcBorders>
          <w:top w:val="single" w:sz="4" w:space="0" w:color="FFFFFF" w:themeColor="background1"/>
        </w:tcBorders>
      </w:tcPr>
    </w:tblStylePr>
    <w:tblStylePr w:type="firstCol">
      <w:tblPr/>
      <w:tcPr>
        <w:tcBorders>
          <w:right w:val="single" w:sz="4" w:space="0" w:color="FFFFFF" w:themeColor="background1"/>
        </w:tcBorders>
      </w:tcPr>
    </w:tblStylePr>
    <w:tblStylePr w:type="lastCol">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61">
    <w:name w:val="Tableau Liste 5 Foncé - Accentuation 61"/>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tblPr/>
      <w:tcPr>
        <w:tcBorders>
          <w:bottom w:val="single" w:sz="18" w:space="0" w:color="FFFFFF" w:themeColor="background1"/>
        </w:tcBorders>
      </w:tcPr>
    </w:tblStylePr>
    <w:tblStylePr w:type="lastRow">
      <w:tblPr/>
      <w:tcPr>
        <w:tcBorders>
          <w:top w:val="single" w:sz="4" w:space="0" w:color="FFFFFF" w:themeColor="background1"/>
        </w:tcBorders>
      </w:tcPr>
    </w:tblStylePr>
    <w:tblStylePr w:type="firstCol">
      <w:tblPr/>
      <w:tcPr>
        <w:tcBorders>
          <w:right w:val="single" w:sz="4" w:space="0" w:color="FFFFFF" w:themeColor="background1"/>
        </w:tcBorders>
      </w:tcPr>
    </w:tblStylePr>
    <w:tblStylePr w:type="lastCol">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1">
    <w:name w:val="Tableau Liste 6 Couleur1"/>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tblPr/>
      <w:tcPr>
        <w:tcBorders>
          <w:bottom w:val="single" w:sz="4" w:space="0" w:color="000000" w:themeColor="text1"/>
        </w:tcBorders>
      </w:tcPr>
    </w:tblStylePr>
    <w:tblStylePr w:type="lastRow">
      <w:tblPr/>
      <w:tcPr>
        <w:tcBorders>
          <w:top w:val="double" w:sz="4" w:space="0" w:color="000000" w:themeColor="text1"/>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Accentuation11">
    <w:name w:val="Tableau Liste 6 Couleur - Accentuation 1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tblPr/>
      <w:tcPr>
        <w:tcBorders>
          <w:bottom w:val="single" w:sz="4" w:space="0" w:color="156082" w:themeColor="accent1"/>
        </w:tcBorders>
      </w:tcPr>
    </w:tblStylePr>
    <w:tblStylePr w:type="lastRow">
      <w:tblPr/>
      <w:tcPr>
        <w:tcBorders>
          <w:top w:val="double" w:sz="4" w:space="0" w:color="156082" w:themeColor="accent1"/>
        </w:tcBorders>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auListe6Couleur-Accentuation21">
    <w:name w:val="Tableau Liste 6 Couleur - Accentuation 21"/>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tblPr/>
      <w:tcPr>
        <w:tcBorders>
          <w:bottom w:val="single" w:sz="4" w:space="0" w:color="E97132" w:themeColor="accent2"/>
        </w:tcBorders>
      </w:tcPr>
    </w:tblStylePr>
    <w:tblStylePr w:type="lastRow">
      <w:tblPr/>
      <w:tcPr>
        <w:tcBorders>
          <w:top w:val="double" w:sz="4" w:space="0" w:color="E97132" w:themeColor="accent2"/>
        </w:tcBorders>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TableauListe6Couleur-Accentuation31">
    <w:name w:val="Tableau Liste 6 Couleur - Accentuation 31"/>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tblPr/>
      <w:tcPr>
        <w:tcBorders>
          <w:bottom w:val="single" w:sz="4" w:space="0" w:color="196B24" w:themeColor="accent3"/>
        </w:tcBorders>
      </w:tcPr>
    </w:tblStylePr>
    <w:tblStylePr w:type="lastRow">
      <w:tblPr/>
      <w:tcPr>
        <w:tcBorders>
          <w:top w:val="double" w:sz="4" w:space="0" w:color="196B24" w:themeColor="accent3"/>
        </w:tcBorders>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eauListe6Couleur-Accentuation41">
    <w:name w:val="Tableau Liste 6 Couleur - Accentuation 41"/>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tblPr/>
      <w:tcPr>
        <w:tcBorders>
          <w:bottom w:val="single" w:sz="4" w:space="0" w:color="0F9ED5" w:themeColor="accent4"/>
        </w:tcBorders>
      </w:tcPr>
    </w:tblStylePr>
    <w:tblStylePr w:type="lastRow">
      <w:tblPr/>
      <w:tcPr>
        <w:tcBorders>
          <w:top w:val="double" w:sz="4" w:space="0" w:color="0F9ED5" w:themeColor="accent4"/>
        </w:tcBorders>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auListe6Couleur-Accentuation51">
    <w:name w:val="Tableau Liste 6 Couleur - Accentuation 51"/>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tblPr/>
      <w:tcPr>
        <w:tcBorders>
          <w:bottom w:val="single" w:sz="4" w:space="0" w:color="A02B93" w:themeColor="accent5"/>
        </w:tcBorders>
      </w:tcPr>
    </w:tblStylePr>
    <w:tblStylePr w:type="lastRow">
      <w:tblPr/>
      <w:tcPr>
        <w:tcBorders>
          <w:top w:val="double" w:sz="4" w:space="0" w:color="A02B93" w:themeColor="accent5"/>
        </w:tcBorders>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eauListe6Couleur-Accentuation61">
    <w:name w:val="Tableau Liste 6 Couleur - Accentuation 61"/>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tblPr/>
      <w:tcPr>
        <w:tcBorders>
          <w:bottom w:val="single" w:sz="4" w:space="0" w:color="4EA72E" w:themeColor="accent6"/>
        </w:tcBorders>
      </w:tcPr>
    </w:tblStylePr>
    <w:tblStylePr w:type="lastRow">
      <w:tblPr/>
      <w:tcPr>
        <w:tcBorders>
          <w:top w:val="double" w:sz="4" w:space="0" w:color="4EA72E" w:themeColor="accent6"/>
        </w:tcBorders>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Liste7Couleur1">
    <w:name w:val="Tableau Liste 7 Couleur1"/>
    <w:basedOn w:val="TableNormal"/>
    <w:uiPriority w:val="52"/>
    <w:rsid w:val="006B6D3E"/>
    <w:pPr>
      <w:spacing w:after="0" w:line="240" w:lineRule="auto"/>
    </w:pPr>
    <w:rPr>
      <w:color w:val="000000" w:themeColor="text1"/>
    </w:rPr>
    <w:tblPr>
      <w:tblStyleRowBandSize w:val="1"/>
      <w:tblStyleColBandSize w:val="1"/>
    </w:tblPr>
    <w:tblStylePr w:type="firstRow">
      <w:tblPr/>
      <w:tcPr>
        <w:tcBorders>
          <w:bottom w:val="single" w:sz="4" w:space="0" w:color="000000" w:themeColor="text1"/>
        </w:tcBorders>
        <w:shd w:val="clear" w:color="auto" w:fill="FFFFFF" w:themeFill="background1"/>
      </w:tcPr>
    </w:tblStylePr>
    <w:tblStylePr w:type="lastRow">
      <w:tblPr/>
      <w:tcPr>
        <w:tcBorders>
          <w:top w:val="single" w:sz="4" w:space="0" w:color="000000" w:themeColor="text1"/>
        </w:tcBorders>
        <w:shd w:val="clear" w:color="auto" w:fill="FFFFFF" w:themeFill="background1"/>
      </w:tcPr>
    </w:tblStylePr>
    <w:tblStylePr w:type="firstCol">
      <w:pPr>
        <w:jc w:val="right"/>
      </w:pPr>
      <w:tblPr/>
      <w:tcPr>
        <w:tcBorders>
          <w:right w:val="single" w:sz="4" w:space="0" w:color="000000" w:themeColor="text1"/>
        </w:tcBorders>
        <w:shd w:val="clear" w:color="auto" w:fill="FFFFFF" w:themeFill="background1"/>
      </w:tcPr>
    </w:tblStylePr>
    <w:tblStylePr w:type="lastCol">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11">
    <w:name w:val="Tableau Liste 7 Couleur - Accentuation 11"/>
    <w:basedOn w:val="TableNormal"/>
    <w:uiPriority w:val="52"/>
    <w:rsid w:val="006B6D3E"/>
    <w:pPr>
      <w:spacing w:after="0" w:line="240" w:lineRule="auto"/>
    </w:pPr>
    <w:rPr>
      <w:color w:val="0F4761" w:themeColor="accent1" w:themeShade="BF"/>
    </w:rPr>
    <w:tblPr>
      <w:tblStyleRowBandSize w:val="1"/>
      <w:tblStyleColBandSize w:val="1"/>
    </w:tblPr>
    <w:tblStylePr w:type="firstRow">
      <w:tblPr/>
      <w:tcPr>
        <w:tcBorders>
          <w:bottom w:val="single" w:sz="4" w:space="0" w:color="156082" w:themeColor="accent1"/>
        </w:tcBorders>
        <w:shd w:val="clear" w:color="auto" w:fill="FFFFFF" w:themeFill="background1"/>
      </w:tcPr>
    </w:tblStylePr>
    <w:tblStylePr w:type="lastRow">
      <w:tblPr/>
      <w:tcPr>
        <w:tcBorders>
          <w:top w:val="single" w:sz="4" w:space="0" w:color="156082" w:themeColor="accent1"/>
        </w:tcBorders>
        <w:shd w:val="clear" w:color="auto" w:fill="FFFFFF" w:themeFill="background1"/>
      </w:tcPr>
    </w:tblStylePr>
    <w:tblStylePr w:type="firstCol">
      <w:pPr>
        <w:jc w:val="right"/>
      </w:pPr>
      <w:tblPr/>
      <w:tcPr>
        <w:tcBorders>
          <w:right w:val="single" w:sz="4" w:space="0" w:color="156082" w:themeColor="accent1"/>
        </w:tcBorders>
        <w:shd w:val="clear" w:color="auto" w:fill="FFFFFF" w:themeFill="background1"/>
      </w:tcPr>
    </w:tblStylePr>
    <w:tblStylePr w:type="lastCol">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21">
    <w:name w:val="Tableau Liste 7 Couleur - Accentuation 21"/>
    <w:basedOn w:val="TableNormal"/>
    <w:uiPriority w:val="52"/>
    <w:rsid w:val="006B6D3E"/>
    <w:pPr>
      <w:spacing w:after="0" w:line="240" w:lineRule="auto"/>
    </w:pPr>
    <w:rPr>
      <w:color w:val="BF4E14" w:themeColor="accent2" w:themeShade="BF"/>
    </w:rPr>
    <w:tblPr>
      <w:tblStyleRowBandSize w:val="1"/>
      <w:tblStyleColBandSize w:val="1"/>
    </w:tblPr>
    <w:tblStylePr w:type="firstRow">
      <w:tblPr/>
      <w:tcPr>
        <w:tcBorders>
          <w:bottom w:val="single" w:sz="4" w:space="0" w:color="E97132" w:themeColor="accent2"/>
        </w:tcBorders>
        <w:shd w:val="clear" w:color="auto" w:fill="FFFFFF" w:themeFill="background1"/>
      </w:tcPr>
    </w:tblStylePr>
    <w:tblStylePr w:type="lastRow">
      <w:tblPr/>
      <w:tcPr>
        <w:tcBorders>
          <w:top w:val="single" w:sz="4" w:space="0" w:color="E97132" w:themeColor="accent2"/>
        </w:tcBorders>
        <w:shd w:val="clear" w:color="auto" w:fill="FFFFFF" w:themeFill="background1"/>
      </w:tcPr>
    </w:tblStylePr>
    <w:tblStylePr w:type="firstCol">
      <w:pPr>
        <w:jc w:val="right"/>
      </w:pPr>
      <w:tblPr/>
      <w:tcPr>
        <w:tcBorders>
          <w:right w:val="single" w:sz="4" w:space="0" w:color="E97132" w:themeColor="accent2"/>
        </w:tcBorders>
        <w:shd w:val="clear" w:color="auto" w:fill="FFFFFF" w:themeFill="background1"/>
      </w:tcPr>
    </w:tblStylePr>
    <w:tblStylePr w:type="lastCol">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31">
    <w:name w:val="Tableau Liste 7 Couleur - Accentuation 31"/>
    <w:basedOn w:val="TableNormal"/>
    <w:uiPriority w:val="52"/>
    <w:rsid w:val="006B6D3E"/>
    <w:pPr>
      <w:spacing w:after="0" w:line="240" w:lineRule="auto"/>
    </w:pPr>
    <w:rPr>
      <w:color w:val="124F1A" w:themeColor="accent3" w:themeShade="BF"/>
    </w:rPr>
    <w:tblPr>
      <w:tblStyleRowBandSize w:val="1"/>
      <w:tblStyleColBandSize w:val="1"/>
    </w:tblPr>
    <w:tblStylePr w:type="firstRow">
      <w:tblPr/>
      <w:tcPr>
        <w:tcBorders>
          <w:bottom w:val="single" w:sz="4" w:space="0" w:color="196B24" w:themeColor="accent3"/>
        </w:tcBorders>
        <w:shd w:val="clear" w:color="auto" w:fill="FFFFFF" w:themeFill="background1"/>
      </w:tcPr>
    </w:tblStylePr>
    <w:tblStylePr w:type="lastRow">
      <w:tblPr/>
      <w:tcPr>
        <w:tcBorders>
          <w:top w:val="single" w:sz="4" w:space="0" w:color="196B24" w:themeColor="accent3"/>
        </w:tcBorders>
        <w:shd w:val="clear" w:color="auto" w:fill="FFFFFF" w:themeFill="background1"/>
      </w:tcPr>
    </w:tblStylePr>
    <w:tblStylePr w:type="firstCol">
      <w:pPr>
        <w:jc w:val="right"/>
      </w:pPr>
      <w:tblPr/>
      <w:tcPr>
        <w:tcBorders>
          <w:right w:val="single" w:sz="4" w:space="0" w:color="196B24" w:themeColor="accent3"/>
        </w:tcBorders>
        <w:shd w:val="clear" w:color="auto" w:fill="FFFFFF" w:themeFill="background1"/>
      </w:tcPr>
    </w:tblStylePr>
    <w:tblStylePr w:type="lastCol">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41">
    <w:name w:val="Tableau Liste 7 Couleur - Accentuation 41"/>
    <w:basedOn w:val="TableNormal"/>
    <w:uiPriority w:val="52"/>
    <w:rsid w:val="006B6D3E"/>
    <w:pPr>
      <w:spacing w:after="0" w:line="240" w:lineRule="auto"/>
    </w:pPr>
    <w:rPr>
      <w:color w:val="0B769F" w:themeColor="accent4" w:themeShade="BF"/>
    </w:rPr>
    <w:tblPr>
      <w:tblStyleRowBandSize w:val="1"/>
      <w:tblStyleColBandSize w:val="1"/>
    </w:tblPr>
    <w:tblStylePr w:type="firstRow">
      <w:tblPr/>
      <w:tcPr>
        <w:tcBorders>
          <w:bottom w:val="single" w:sz="4" w:space="0" w:color="0F9ED5" w:themeColor="accent4"/>
        </w:tcBorders>
        <w:shd w:val="clear" w:color="auto" w:fill="FFFFFF" w:themeFill="background1"/>
      </w:tcPr>
    </w:tblStylePr>
    <w:tblStylePr w:type="lastRow">
      <w:tblPr/>
      <w:tcPr>
        <w:tcBorders>
          <w:top w:val="single" w:sz="4" w:space="0" w:color="0F9ED5" w:themeColor="accent4"/>
        </w:tcBorders>
        <w:shd w:val="clear" w:color="auto" w:fill="FFFFFF" w:themeFill="background1"/>
      </w:tcPr>
    </w:tblStylePr>
    <w:tblStylePr w:type="firstCol">
      <w:pPr>
        <w:jc w:val="right"/>
      </w:pPr>
      <w:tblPr/>
      <w:tcPr>
        <w:tcBorders>
          <w:right w:val="single" w:sz="4" w:space="0" w:color="0F9ED5" w:themeColor="accent4"/>
        </w:tcBorders>
        <w:shd w:val="clear" w:color="auto" w:fill="FFFFFF" w:themeFill="background1"/>
      </w:tcPr>
    </w:tblStylePr>
    <w:tblStylePr w:type="lastCol">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Normal"/>
    <w:uiPriority w:val="52"/>
    <w:rsid w:val="006B6D3E"/>
    <w:pPr>
      <w:spacing w:after="0" w:line="240" w:lineRule="auto"/>
    </w:pPr>
    <w:rPr>
      <w:color w:val="77206D" w:themeColor="accent5" w:themeShade="BF"/>
    </w:rPr>
    <w:tblPr>
      <w:tblStyleRowBandSize w:val="1"/>
      <w:tblStyleColBandSize w:val="1"/>
    </w:tblPr>
    <w:tblStylePr w:type="firstRow">
      <w:tblPr/>
      <w:tcPr>
        <w:tcBorders>
          <w:bottom w:val="single" w:sz="4" w:space="0" w:color="A02B93" w:themeColor="accent5"/>
        </w:tcBorders>
        <w:shd w:val="clear" w:color="auto" w:fill="FFFFFF" w:themeFill="background1"/>
      </w:tcPr>
    </w:tblStylePr>
    <w:tblStylePr w:type="lastRow">
      <w:tblPr/>
      <w:tcPr>
        <w:tcBorders>
          <w:top w:val="single" w:sz="4" w:space="0" w:color="A02B93" w:themeColor="accent5"/>
        </w:tcBorders>
        <w:shd w:val="clear" w:color="auto" w:fill="FFFFFF" w:themeFill="background1"/>
      </w:tcPr>
    </w:tblStylePr>
    <w:tblStylePr w:type="firstCol">
      <w:pPr>
        <w:jc w:val="right"/>
      </w:pPr>
      <w:tblPr/>
      <w:tcPr>
        <w:tcBorders>
          <w:right w:val="single" w:sz="4" w:space="0" w:color="A02B93" w:themeColor="accent5"/>
        </w:tcBorders>
        <w:shd w:val="clear" w:color="auto" w:fill="FFFFFF" w:themeFill="background1"/>
      </w:tcPr>
    </w:tblStylePr>
    <w:tblStylePr w:type="lastCol">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61">
    <w:name w:val="Tableau Liste 7 Couleur - Accentuation 61"/>
    <w:basedOn w:val="TableNormal"/>
    <w:uiPriority w:val="52"/>
    <w:rsid w:val="006B6D3E"/>
    <w:pPr>
      <w:spacing w:after="0" w:line="240" w:lineRule="auto"/>
    </w:pPr>
    <w:rPr>
      <w:color w:val="3A7C22" w:themeColor="accent6" w:themeShade="BF"/>
    </w:rPr>
    <w:tblPr>
      <w:tblStyleRowBandSize w:val="1"/>
      <w:tblStyleColBandSize w:val="1"/>
    </w:tblPr>
    <w:tblStylePr w:type="firstRow">
      <w:tblPr/>
      <w:tcPr>
        <w:tcBorders>
          <w:bottom w:val="single" w:sz="4" w:space="0" w:color="4EA72E" w:themeColor="accent6"/>
        </w:tcBorders>
        <w:shd w:val="clear" w:color="auto" w:fill="FFFFFF" w:themeFill="background1"/>
      </w:tcPr>
    </w:tblStylePr>
    <w:tblStylePr w:type="lastRow">
      <w:tblPr/>
      <w:tcPr>
        <w:tcBorders>
          <w:top w:val="single" w:sz="4" w:space="0" w:color="4EA72E" w:themeColor="accent6"/>
        </w:tcBorders>
        <w:shd w:val="clear" w:color="auto" w:fill="FFFFFF" w:themeFill="background1"/>
      </w:tcPr>
    </w:tblStylePr>
    <w:tblStylePr w:type="firstCol">
      <w:pPr>
        <w:jc w:val="right"/>
      </w:pPr>
      <w:tblPr/>
      <w:tcPr>
        <w:tcBorders>
          <w:right w:val="single" w:sz="4" w:space="0" w:color="4EA72E" w:themeColor="accent6"/>
        </w:tcBorders>
        <w:shd w:val="clear" w:color="auto" w:fill="FFFFFF" w:themeFill="background1"/>
      </w:tcPr>
    </w:tblStylePr>
    <w:tblStylePr w:type="lastCol">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14:ligatures w14:val="none"/>
    </w:rPr>
  </w:style>
  <w:style w:type="table" w:styleId="MediumGrid1">
    <w:name w:val="Medium Grid 1"/>
    <w:basedOn w:val="TableNormal"/>
    <w:uiPriority w:val="67"/>
    <w:semiHidden/>
    <w:unhideWhenUsed/>
    <w:rsid w:val="006B6D3E"/>
    <w:pPr>
      <w:spacing w:after="0" w:line="240" w:lineRule="auto"/>
    </w:pPr>
    <w:rPr>
      <w:rFonts w:ascii="Aptos" w:hAnsi="Apto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lastRow">
      <w:tblPr/>
      <w:tcPr>
        <w:tcBorders>
          <w:top w:val="single" w:sz="18" w:space="0" w:color="404040" w:themeColor="text1" w:themeTint="BF"/>
        </w:tcBorders>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rPr>
      <w:rFonts w:ascii="Aptos" w:hAnsi="Apto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lastRow">
      <w:tblPr/>
      <w:tcPr>
        <w:tcBorders>
          <w:top w:val="single" w:sz="18" w:space="0" w:color="2198CF" w:themeColor="accent1" w:themeTint="BF"/>
        </w:tcBorders>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rPr>
      <w:rFonts w:ascii="Aptos" w:hAnsi="Apto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lastRow">
      <w:tblPr/>
      <w:tcPr>
        <w:tcBorders>
          <w:top w:val="single" w:sz="18" w:space="0" w:color="EE9465" w:themeColor="accent2" w:themeTint="BF"/>
        </w:tcBorders>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rPr>
      <w:rFonts w:ascii="Aptos" w:hAnsi="Apto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lastRow">
      <w:tblPr/>
      <w:tcPr>
        <w:tcBorders>
          <w:top w:val="single" w:sz="18" w:space="0" w:color="2BB73D" w:themeColor="accent3" w:themeTint="BF"/>
        </w:tcBorders>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rPr>
      <w:rFonts w:ascii="Aptos" w:hAnsi="Apto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lastRow">
      <w:tblPr/>
      <w:tcPr>
        <w:tcBorders>
          <w:top w:val="single" w:sz="18" w:space="0" w:color="39BEF1" w:themeColor="accent4" w:themeTint="BF"/>
        </w:tcBorders>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rPr>
      <w:rFonts w:ascii="Aptos" w:hAnsi="Apto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lastRow">
      <w:tblPr/>
      <w:tcPr>
        <w:tcBorders>
          <w:top w:val="single" w:sz="18" w:space="0" w:color="CE49BF" w:themeColor="accent5" w:themeTint="BF"/>
        </w:tcBorders>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rPr>
      <w:rFonts w:ascii="Aptos" w:hAnsi="Apto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lastRow">
      <w:tblPr/>
      <w:tcPr>
        <w:tcBorders>
          <w:top w:val="single" w:sz="18" w:space="0" w:color="71CF50" w:themeColor="accent6" w:themeTint="BF"/>
        </w:tcBorders>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tblPr/>
      <w:tcPr>
        <w:shd w:val="clear" w:color="auto" w:fill="E0F2FA"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tblPr/>
      <w:tcPr>
        <w:shd w:val="clear" w:color="auto" w:fill="FCF0EA"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tblPr/>
      <w:tcPr>
        <w:shd w:val="clear" w:color="auto" w:fill="E0F8E3" w:themeFill="accent3"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tblPr/>
      <w:tcPr>
        <w:shd w:val="clear" w:color="auto" w:fill="E5F6FD" w:themeFill="accent4"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tblPr/>
      <w:tcPr>
        <w:shd w:val="clear" w:color="auto" w:fill="F8E7F6" w:themeFill="accent5"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tblPr/>
      <w:tcPr>
        <w:shd w:val="clear" w:color="auto" w:fill="ECF8E8" w:themeFill="accent6"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tblPr/>
      <w:tcPr>
        <w:tcBorders>
          <w:top w:val="nil"/>
          <w:bottom w:val="single" w:sz="8" w:space="0" w:color="000000" w:themeColor="text1"/>
        </w:tcBorders>
      </w:tcPr>
    </w:tblStylePr>
    <w:tblStylePr w:type="lastRow">
      <w:tblPr/>
      <w:tcPr>
        <w:tcBorders>
          <w:top w:val="single" w:sz="8" w:space="0" w:color="000000" w:themeColor="text1"/>
          <w:bottom w:val="single" w:sz="8" w:space="0" w:color="000000" w:themeColor="text1"/>
        </w:tcBorders>
      </w:tcPr>
    </w:tblStylePr>
    <w:tblStylePr w:type="lastCol">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tblPr/>
      <w:tcPr>
        <w:tcBorders>
          <w:top w:val="nil"/>
          <w:bottom w:val="single" w:sz="8" w:space="0" w:color="156082" w:themeColor="accent1"/>
        </w:tcBorders>
      </w:tcPr>
    </w:tblStylePr>
    <w:tblStylePr w:type="lastRow">
      <w:tblPr/>
      <w:tcPr>
        <w:tcBorders>
          <w:top w:val="single" w:sz="8" w:space="0" w:color="156082" w:themeColor="accent1"/>
          <w:bottom w:val="single" w:sz="8" w:space="0" w:color="156082" w:themeColor="accent1"/>
        </w:tcBorders>
      </w:tcPr>
    </w:tblStylePr>
    <w:tblStylePr w:type="lastCol">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tblPr/>
      <w:tcPr>
        <w:tcBorders>
          <w:top w:val="nil"/>
          <w:bottom w:val="single" w:sz="8" w:space="0" w:color="E97132" w:themeColor="accent2"/>
        </w:tcBorders>
      </w:tcPr>
    </w:tblStylePr>
    <w:tblStylePr w:type="lastRow">
      <w:tblPr/>
      <w:tcPr>
        <w:tcBorders>
          <w:top w:val="single" w:sz="8" w:space="0" w:color="E97132" w:themeColor="accent2"/>
          <w:bottom w:val="single" w:sz="8" w:space="0" w:color="E97132" w:themeColor="accent2"/>
        </w:tcBorders>
      </w:tcPr>
    </w:tblStylePr>
    <w:tblStylePr w:type="lastCol">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tblPr/>
      <w:tcPr>
        <w:tcBorders>
          <w:top w:val="nil"/>
          <w:bottom w:val="single" w:sz="8" w:space="0" w:color="196B24" w:themeColor="accent3"/>
        </w:tcBorders>
      </w:tcPr>
    </w:tblStylePr>
    <w:tblStylePr w:type="lastRow">
      <w:tblPr/>
      <w:tcPr>
        <w:tcBorders>
          <w:top w:val="single" w:sz="8" w:space="0" w:color="196B24" w:themeColor="accent3"/>
          <w:bottom w:val="single" w:sz="8" w:space="0" w:color="196B24" w:themeColor="accent3"/>
        </w:tcBorders>
      </w:tcPr>
    </w:tblStylePr>
    <w:tblStylePr w:type="lastCol">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tblPr/>
      <w:tcPr>
        <w:tcBorders>
          <w:top w:val="nil"/>
          <w:bottom w:val="single" w:sz="8" w:space="0" w:color="0F9ED5" w:themeColor="accent4"/>
        </w:tcBorders>
      </w:tcPr>
    </w:tblStylePr>
    <w:tblStylePr w:type="lastRow">
      <w:tblPr/>
      <w:tcPr>
        <w:tcBorders>
          <w:top w:val="single" w:sz="8" w:space="0" w:color="0F9ED5" w:themeColor="accent4"/>
          <w:bottom w:val="single" w:sz="8" w:space="0" w:color="0F9ED5" w:themeColor="accent4"/>
        </w:tcBorders>
      </w:tcPr>
    </w:tblStylePr>
    <w:tblStylePr w:type="lastCol">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tblPr/>
      <w:tcPr>
        <w:tcBorders>
          <w:top w:val="nil"/>
          <w:bottom w:val="single" w:sz="8" w:space="0" w:color="A02B93" w:themeColor="accent5"/>
        </w:tcBorders>
      </w:tcPr>
    </w:tblStylePr>
    <w:tblStylePr w:type="lastRow">
      <w:tblPr/>
      <w:tcPr>
        <w:tcBorders>
          <w:top w:val="single" w:sz="8" w:space="0" w:color="A02B93" w:themeColor="accent5"/>
          <w:bottom w:val="single" w:sz="8" w:space="0" w:color="A02B93" w:themeColor="accent5"/>
        </w:tcBorders>
      </w:tcPr>
    </w:tblStylePr>
    <w:tblStylePr w:type="lastCol">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tblPr/>
      <w:tcPr>
        <w:tcBorders>
          <w:top w:val="nil"/>
          <w:bottom w:val="single" w:sz="8" w:space="0" w:color="4EA72E" w:themeColor="accent6"/>
        </w:tcBorders>
      </w:tcPr>
    </w:tblStylePr>
    <w:tblStylePr w:type="lastRow">
      <w:tblPr/>
      <w:tcPr>
        <w:tcBorders>
          <w:top w:val="single" w:sz="8" w:space="0" w:color="4EA72E" w:themeColor="accent6"/>
          <w:bottom w:val="single" w:sz="8" w:space="0" w:color="4EA72E" w:themeColor="accent6"/>
        </w:tcBorders>
      </w:tcPr>
    </w:tblStylePr>
    <w:tblStylePr w:type="lastCol">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rPr>
      <w:rFonts w:ascii="Aptos" w:hAnsi="Apto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rPr>
      <w:rFonts w:ascii="Aptos" w:hAnsi="Apto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rPr>
      <w:rFonts w:ascii="Aptos" w:hAnsi="Apto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rPr>
      <w:rFonts w:ascii="Aptos" w:hAnsi="Apto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rPr>
      <w:rFonts w:ascii="Aptos" w:hAnsi="Apto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rPr>
      <w:rFonts w:ascii="Aptos" w:hAnsi="Apto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rPr>
      <w:rFonts w:ascii="Aptos" w:hAnsi="Apto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000000" w:themeFill="text1"/>
      </w:tcPr>
    </w:tblStylePr>
    <w:tblStylePr w:type="lastCol">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156082" w:themeFill="accent1"/>
      </w:tcPr>
    </w:tblStylePr>
    <w:tblStylePr w:type="lastCol">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E97132" w:themeFill="accent2"/>
      </w:tcPr>
    </w:tblStylePr>
    <w:tblStylePr w:type="lastCol">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196B24" w:themeFill="accent3"/>
      </w:tcPr>
    </w:tblStylePr>
    <w:tblStylePr w:type="lastCol">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0F9ED5" w:themeFill="accent4"/>
      </w:tcPr>
    </w:tblStylePr>
    <w:tblStylePr w:type="lastCol">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A02B93" w:themeFill="accent5"/>
      </w:tcPr>
    </w:tblStylePr>
    <w:tblStylePr w:type="lastCol">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tblPr/>
      <w:tcPr>
        <w:tcBorders>
          <w:top w:val="nil"/>
          <w:left w:val="nil"/>
          <w:bottom w:val="single" w:sz="18" w:space="0" w:color="auto"/>
          <w:right w:val="nil"/>
          <w:insideH w:val="nil"/>
          <w:insideV w:val="nil"/>
        </w:tcBorders>
        <w:shd w:val="clear" w:color="auto" w:fill="4EA72E" w:themeFill="accent6"/>
      </w:tcPr>
    </w:tblStylePr>
    <w:tblStylePr w:type="lastCol">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14:ligatures w14:val="none"/>
    </w:rPr>
  </w:style>
  <w:style w:type="character" w:styleId="PageNumber">
    <w:name w:val="page number"/>
    <w:basedOn w:val="DefaultParagraphFont"/>
    <w:uiPriority w:val="99"/>
    <w:semiHidden/>
    <w:unhideWhenUsed/>
    <w:rsid w:val="006B6D3E"/>
  </w:style>
  <w:style w:type="character" w:styleId="PlaceholderText">
    <w:name w:val="Placeholder Text"/>
    <w:basedOn w:val="DefaultParagraphFont"/>
    <w:uiPriority w:val="99"/>
    <w:semiHidden/>
    <w:rsid w:val="006B6D3E"/>
    <w:rPr>
      <w:color w:val="666666"/>
    </w:rPr>
  </w:style>
  <w:style w:type="table" w:customStyle="1" w:styleId="Tableausimple11">
    <w:name w:val="Tableau simple 11"/>
    <w:basedOn w:val="TableNormal"/>
    <w:uiPriority w:val="41"/>
    <w:rsid w:val="006B6D3E"/>
    <w:pPr>
      <w:spacing w:after="0" w:line="240" w:lineRule="auto"/>
    </w:pPr>
    <w:rPr>
      <w:rFonts w:ascii="Aptos" w:hAnsi="Apto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lastRow">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Normal"/>
    <w:uiPriority w:val="42"/>
    <w:rsid w:val="006B6D3E"/>
    <w:pPr>
      <w:spacing w:after="0" w:line="240" w:lineRule="auto"/>
    </w:pPr>
    <w:rPr>
      <w:rFonts w:ascii="Aptos" w:hAnsi="Aptos"/>
    </w:rPr>
    <w:tblPr>
      <w:tblStyleRowBandSize w:val="1"/>
      <w:tblStyleColBandSize w:val="1"/>
      <w:tblBorders>
        <w:top w:val="single" w:sz="4" w:space="0" w:color="7F7F7F" w:themeColor="text1" w:themeTint="80"/>
        <w:bottom w:val="single" w:sz="4" w:space="0" w:color="7F7F7F" w:themeColor="text1" w:themeTint="80"/>
      </w:tblBorders>
    </w:tblPr>
    <w:tblStylePr w:type="firstRow">
      <w:tblPr/>
      <w:tcPr>
        <w:tcBorders>
          <w:bottom w:val="single" w:sz="4" w:space="0" w:color="7F7F7F" w:themeColor="text1" w:themeTint="80"/>
        </w:tcBorders>
      </w:tcPr>
    </w:tblStylePr>
    <w:tblStylePr w:type="lastRow">
      <w:tblPr/>
      <w:tcPr>
        <w:tcBorders>
          <w:top w:val="single" w:sz="4" w:space="0" w:color="7F7F7F" w:themeColor="text1" w:themeTint="80"/>
        </w:tcBorders>
      </w:tc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31">
    <w:name w:val="Tableau simple 31"/>
    <w:basedOn w:val="TableNormal"/>
    <w:uiPriority w:val="43"/>
    <w:rsid w:val="006B6D3E"/>
    <w:pPr>
      <w:spacing w:after="0" w:line="240" w:lineRule="auto"/>
    </w:pPr>
    <w:rPr>
      <w:rFonts w:ascii="Aptos" w:hAnsi="Aptos"/>
    </w:rPr>
    <w:tblPr>
      <w:tblStyleRowBandSize w:val="1"/>
      <w:tblStyleColBandSize w:val="1"/>
    </w:tblPr>
    <w:tblStylePr w:type="firstRow">
      <w:tblPr/>
      <w:tcPr>
        <w:tcBorders>
          <w:bottom w:val="single" w:sz="4" w:space="0" w:color="7F7F7F" w:themeColor="text1" w:themeTint="80"/>
        </w:tcBorders>
      </w:tcPr>
    </w:tblStylePr>
    <w:tblStylePr w:type="lastRow">
      <w:tblPr/>
      <w:tcPr>
        <w:tcBorders>
          <w:top w:val="nil"/>
        </w:tcBorders>
      </w:tcPr>
    </w:tblStylePr>
    <w:tblStylePr w:type="firstCol">
      <w:tblPr/>
      <w:tcPr>
        <w:tcBorders>
          <w:right w:val="single" w:sz="4" w:space="0" w:color="7F7F7F" w:themeColor="text1" w:themeTint="80"/>
        </w:tcBorders>
      </w:tcPr>
    </w:tblStylePr>
    <w:tblStylePr w:type="lastCol">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41">
    <w:name w:val="Tableau simple 41"/>
    <w:basedOn w:val="TableNormal"/>
    <w:uiPriority w:val="44"/>
    <w:rsid w:val="006B6D3E"/>
    <w:pPr>
      <w:spacing w:after="0" w:line="240" w:lineRule="auto"/>
    </w:pPr>
    <w:rPr>
      <w:rFonts w:ascii="Aptos" w:hAnsi="Aptos"/>
    </w:rPr>
    <w:tblPr>
      <w:tblStyleRowBandSize w:val="1"/>
      <w:tblStyleColBandSize w:val="1"/>
    </w:tbl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51">
    <w:name w:val="Tableau simple 51"/>
    <w:basedOn w:val="TableNormal"/>
    <w:uiPriority w:val="45"/>
    <w:rsid w:val="006B6D3E"/>
    <w:pPr>
      <w:spacing w:after="0" w:line="240" w:lineRule="auto"/>
    </w:pPr>
    <w:rPr>
      <w:rFonts w:ascii="Aptos" w:hAnsi="Aptos"/>
    </w:rPr>
    <w:tblPr>
      <w:tblStyleRowBandSize w:val="1"/>
      <w:tblStyleColBandSize w:val="1"/>
    </w:tblPr>
    <w:tblStylePr w:type="firstRow">
      <w:tblPr/>
      <w:tcPr>
        <w:tcBorders>
          <w:bottom w:val="single" w:sz="4" w:space="0" w:color="7F7F7F" w:themeColor="text1" w:themeTint="80"/>
        </w:tcBorders>
        <w:shd w:val="clear" w:color="auto" w:fill="FFFFFF" w:themeFill="background1"/>
      </w:tcPr>
    </w:tblStylePr>
    <w:tblStylePr w:type="lastRow">
      <w:tblPr/>
      <w:tcPr>
        <w:tcBorders>
          <w:top w:val="single" w:sz="4" w:space="0" w:color="7F7F7F" w:themeColor="text1" w:themeTint="80"/>
        </w:tcBorders>
        <w:shd w:val="clear" w:color="auto" w:fill="FFFFFF" w:themeFill="background1"/>
      </w:tcPr>
    </w:tblStylePr>
    <w:tblStylePr w:type="firstCol">
      <w:pPr>
        <w:jc w:val="right"/>
      </w:pPr>
      <w:tblPr/>
      <w:tcPr>
        <w:tcBorders>
          <w:right w:val="single" w:sz="4" w:space="0" w:color="7F7F7F" w:themeColor="text1" w:themeTint="80"/>
        </w:tcBorders>
        <w:shd w:val="clear" w:color="auto" w:fill="FFFFFF" w:themeFill="background1"/>
      </w:tcPr>
    </w:tblStylePr>
    <w:tblStylePr w:type="lastCol">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14:ligatures w14:val="none"/>
    </w:rPr>
  </w:style>
  <w:style w:type="character" w:customStyle="1" w:styleId="SmartHyperlink1">
    <w:name w:val="Smart Hyperlink1"/>
    <w:basedOn w:val="DefaultParagraphFont"/>
    <w:uiPriority w:val="99"/>
    <w:semiHidden/>
    <w:unhideWhenUsed/>
    <w:rsid w:val="006B6D3E"/>
    <w:rPr>
      <w:u w:val="dotted"/>
    </w:rPr>
  </w:style>
  <w:style w:type="character" w:customStyle="1" w:styleId="SmartLink1">
    <w:name w:val="SmartLink1"/>
    <w:basedOn w:val="DefaultParagraphFont"/>
    <w:uiPriority w:val="99"/>
    <w:semiHidden/>
    <w:unhideWhenUsed/>
    <w:rsid w:val="006B6D3E"/>
    <w:rPr>
      <w:color w:val="0000FF"/>
      <w:u w:val="single"/>
      <w:shd w:val="clear" w:color="auto" w:fill="F3F2F1"/>
    </w:rPr>
  </w:style>
  <w:style w:type="character" w:styleId="Strong">
    <w:name w:val="Strong"/>
    <w:basedOn w:val="DefaultParagraphFont"/>
    <w:uiPriority w:val="22"/>
    <w:qFormat/>
    <w:rsid w:val="006B6D3E"/>
    <w:rPr>
      <w:b/>
      <w:bCs/>
    </w:rPr>
  </w:style>
  <w:style w:type="character" w:styleId="SubtleEmphasis">
    <w:name w:val="Subtle Emphasis"/>
    <w:basedOn w:val="DefaultParagraphFont"/>
    <w:uiPriority w:val="19"/>
    <w:qFormat/>
    <w:rsid w:val="006B6D3E"/>
    <w:rPr>
      <w:i/>
      <w:iCs/>
      <w:color w:val="404040" w:themeColor="text1" w:themeTint="BF"/>
    </w:rPr>
  </w:style>
  <w:style w:type="character" w:styleId="SubtleReference">
    <w:name w:val="Subtle Reference"/>
    <w:basedOn w:val="DefaultParagraphFont"/>
    <w:uiPriority w:val="31"/>
    <w:qFormat/>
    <w:rsid w:val="006B6D3E"/>
    <w:rPr>
      <w:smallCaps/>
      <w:color w:val="5A5A5A" w:themeColor="text1" w:themeTint="A5"/>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StyleRowBandSize w:val="1"/>
      <w:tblStyleColBandSize w:val="1"/>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bottom w:val="single" w:sz="12" w:space="0" w:color="000000"/>
      </w:tblBorders>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StyleColBandSize w:val="1"/>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insideH w:val="single" w:sz="6" w:space="0" w:color="000000"/>
        <w:insideV w:val="single" w:sz="6" w:space="0" w:color="000000"/>
      </w:tblBorders>
    </w:tblPr>
    <w:tcPr>
      <w:shd w:val="clear" w:color="auto" w:fill="auto"/>
    </w:tc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Grilledetableauclaire1">
    <w:name w:val="Grille de tableau claire1"/>
    <w:basedOn w:val="TableNormal"/>
    <w:uiPriority w:val="40"/>
    <w:rsid w:val="006B6D3E"/>
    <w:pPr>
      <w:spacing w:after="0" w:line="240" w:lineRule="auto"/>
    </w:pPr>
    <w:rPr>
      <w:rFonts w:ascii="Aptos" w:hAnsi="Apto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StyleRowBandSize w:val="2"/>
      <w:tblBorders>
        <w:bottom w:val="single" w:sz="12" w:space="0" w:color="808080"/>
      </w:tblBorders>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12" w:space="0" w:color="000000"/>
        <w:bottom w:val="single" w:sz="12" w:space="0" w:color="000000"/>
        <w:insideH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rPr>
      <w:rFonts w:ascii="Aptos" w:hAnsi="Apto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rPr>
  </w:style>
  <w:style w:type="paragraph" w:customStyle="1" w:styleId="Para1">
    <w:name w:val="Para1"/>
    <w:basedOn w:val="Normal"/>
    <w:link w:val="Para1Char"/>
    <w:rsid w:val="00665B56"/>
    <w:pPr>
      <w:tabs>
        <w:tab w:val="clear" w:pos="567"/>
        <w:tab w:val="clear" w:pos="1134"/>
        <w:tab w:val="clear" w:pos="1701"/>
        <w:tab w:val="clear" w:pos="2268"/>
      </w:tabs>
      <w:snapToGrid w:val="0"/>
      <w:spacing w:before="120" w:after="120"/>
    </w:pPr>
    <w:rPr>
      <w:rFonts w:eastAsia="Times New Roman"/>
      <w:szCs w:val="18"/>
    </w:rPr>
  </w:style>
  <w:style w:type="character" w:customStyle="1" w:styleId="Para1Char">
    <w:name w:val="Para1 Char"/>
    <w:link w:val="Para1"/>
    <w:rsid w:val="00665B56"/>
    <w:rPr>
      <w:rFonts w:ascii="Times New Roman" w:eastAsia="Times New Roman" w:hAnsi="Times New Roman" w:cs="Times New Roman"/>
      <w:kern w:val="0"/>
      <w:sz w:val="22"/>
      <w:szCs w:val="18"/>
      <w14:ligatures w14:val="none"/>
    </w:rPr>
  </w:style>
  <w:style w:type="character" w:customStyle="1" w:styleId="FootnoteTextChar1">
    <w:name w:val="Footnote Text Char1"/>
    <w:basedOn w:val="DefaultParagraphFont"/>
    <w:uiPriority w:val="99"/>
    <w:semiHidden/>
    <w:rsid w:val="00185D4D"/>
    <w:rPr>
      <w:kern w:val="0"/>
      <w:sz w:val="20"/>
      <w:szCs w:val="20"/>
      <w14:ligatures w14:val="none"/>
    </w:rPr>
  </w:style>
  <w:style w:type="character" w:customStyle="1" w:styleId="Mentionnonrsolue1">
    <w:name w:val="Mention non résolue1"/>
    <w:basedOn w:val="DefaultParagraphFont"/>
    <w:uiPriority w:val="99"/>
    <w:semiHidden/>
    <w:unhideWhenUsed/>
    <w:rsid w:val="00E5762A"/>
    <w:rPr>
      <w:color w:val="605E5C"/>
      <w:shd w:val="clear" w:color="auto" w:fill="E1DFDD"/>
    </w:rPr>
  </w:style>
  <w:style w:type="character" w:styleId="UnresolvedMention">
    <w:name w:val="Unresolved Mention"/>
    <w:basedOn w:val="DefaultParagraphFont"/>
    <w:uiPriority w:val="99"/>
    <w:semiHidden/>
    <w:unhideWhenUsed/>
    <w:rsid w:val="005C0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6234">
      <w:bodyDiv w:val="1"/>
      <w:marLeft w:val="0"/>
      <w:marRight w:val="0"/>
      <w:marTop w:val="0"/>
      <w:marBottom w:val="0"/>
      <w:divBdr>
        <w:top w:val="none" w:sz="0" w:space="0" w:color="auto"/>
        <w:left w:val="none" w:sz="0" w:space="0" w:color="auto"/>
        <w:bottom w:val="none" w:sz="0" w:space="0" w:color="auto"/>
        <w:right w:val="none" w:sz="0" w:space="0" w:color="auto"/>
      </w:divBdr>
    </w:div>
    <w:div w:id="812409447">
      <w:bodyDiv w:val="1"/>
      <w:marLeft w:val="0"/>
      <w:marRight w:val="0"/>
      <w:marTop w:val="0"/>
      <w:marBottom w:val="0"/>
      <w:divBdr>
        <w:top w:val="none" w:sz="0" w:space="0" w:color="auto"/>
        <w:left w:val="none" w:sz="0" w:space="0" w:color="auto"/>
        <w:bottom w:val="none" w:sz="0" w:space="0" w:color="auto"/>
        <w:right w:val="none" w:sz="0" w:space="0" w:color="auto"/>
      </w:divBdr>
    </w:div>
    <w:div w:id="13079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bd.int/decisions/cop?m=cop-16"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ecisions/cop?m=cop-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6" TargetMode="External"/><Relationship Id="rId2" Type="http://schemas.openxmlformats.org/officeDocument/2006/relationships/hyperlink" Target="https://www.cbd.int/documents/CBD/A8J/WS/2025/2/3"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decisions/cop-13/cop-13-dec-18-fr.pdf" TargetMode="External"/><Relationship Id="rId5" Type="http://schemas.openxmlformats.org/officeDocument/2006/relationships/hyperlink" Target="https://www.cbd.int/doc/decisions/cop-12/cop-12-dec-12-fr.pdf" TargetMode="External"/><Relationship Id="rId4" Type="http://schemas.openxmlformats.org/officeDocument/2006/relationships/hyperlink" Target="https://www.cbd.int/doc/decisions/cop-07/full/cop-07-dec-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4AE1AC3A6E4DFE8B7673ED38E53657"/>
        <w:category>
          <w:name w:val="General"/>
          <w:gallery w:val="placeholder"/>
        </w:category>
        <w:types>
          <w:type w:val="bbPlcHdr"/>
        </w:types>
        <w:behaviors>
          <w:behavior w:val="content"/>
        </w:behaviors>
        <w:guid w:val="{A5614AC6-E8D4-4892-9CEA-2BB5D2EE4BCE}"/>
      </w:docPartPr>
      <w:docPartBody>
        <w:p w:rsidR="00A73169" w:rsidRDefault="00A73169">
          <w:pPr>
            <w:pStyle w:val="7A4AE1AC3A6E4DFE8B7673ED38E53657"/>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169"/>
    <w:rsid w:val="000163F1"/>
    <w:rsid w:val="00032909"/>
    <w:rsid w:val="00091186"/>
    <w:rsid w:val="000C3384"/>
    <w:rsid w:val="00123316"/>
    <w:rsid w:val="00136FFB"/>
    <w:rsid w:val="001775B1"/>
    <w:rsid w:val="00192824"/>
    <w:rsid w:val="001F7F29"/>
    <w:rsid w:val="0030686B"/>
    <w:rsid w:val="00321365"/>
    <w:rsid w:val="003725B4"/>
    <w:rsid w:val="00373FF7"/>
    <w:rsid w:val="00374184"/>
    <w:rsid w:val="00381A69"/>
    <w:rsid w:val="00383D61"/>
    <w:rsid w:val="003D4163"/>
    <w:rsid w:val="00446E1C"/>
    <w:rsid w:val="0047080B"/>
    <w:rsid w:val="00474DEC"/>
    <w:rsid w:val="00493F9D"/>
    <w:rsid w:val="004F394B"/>
    <w:rsid w:val="00585BB6"/>
    <w:rsid w:val="00626CB9"/>
    <w:rsid w:val="00634C2B"/>
    <w:rsid w:val="0065667F"/>
    <w:rsid w:val="006638C0"/>
    <w:rsid w:val="006F46DD"/>
    <w:rsid w:val="006F4FEB"/>
    <w:rsid w:val="00720D00"/>
    <w:rsid w:val="00723244"/>
    <w:rsid w:val="00734E79"/>
    <w:rsid w:val="007A4E1B"/>
    <w:rsid w:val="0084695E"/>
    <w:rsid w:val="00884D9F"/>
    <w:rsid w:val="008922B3"/>
    <w:rsid w:val="008A59D4"/>
    <w:rsid w:val="00923CB6"/>
    <w:rsid w:val="00957134"/>
    <w:rsid w:val="00987B86"/>
    <w:rsid w:val="009E21A5"/>
    <w:rsid w:val="00A73169"/>
    <w:rsid w:val="00A77D23"/>
    <w:rsid w:val="00AA41E0"/>
    <w:rsid w:val="00AA50DD"/>
    <w:rsid w:val="00B1539B"/>
    <w:rsid w:val="00BA4F67"/>
    <w:rsid w:val="00BC2544"/>
    <w:rsid w:val="00C760BE"/>
    <w:rsid w:val="00C852AA"/>
    <w:rsid w:val="00CB7F58"/>
    <w:rsid w:val="00D43878"/>
    <w:rsid w:val="00D4613F"/>
    <w:rsid w:val="00D47FD0"/>
    <w:rsid w:val="00DB4E96"/>
    <w:rsid w:val="00DE2B8B"/>
    <w:rsid w:val="00E4224E"/>
    <w:rsid w:val="00E74663"/>
    <w:rsid w:val="00EA7A21"/>
    <w:rsid w:val="00EC20EE"/>
    <w:rsid w:val="00ED1590"/>
    <w:rsid w:val="00EE1B09"/>
    <w:rsid w:val="00EE2CB3"/>
    <w:rsid w:val="00F07A8C"/>
    <w:rsid w:val="00F1251A"/>
    <w:rsid w:val="00F47FCF"/>
    <w:rsid w:val="00F7650E"/>
    <w:rsid w:val="00F856B1"/>
    <w:rsid w:val="00F953FA"/>
    <w:rsid w:val="00FA7DCC"/>
    <w:rsid w:val="00FD0E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7A4AE1AC3A6E4DFE8B7673ED38E53657">
    <w:name w:val="7A4AE1AC3A6E4DFE8B7673ED38E53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2.xml><?xml version="1.0" encoding="utf-8"?>
<ds:datastoreItem xmlns:ds="http://schemas.openxmlformats.org/officeDocument/2006/customXml" ds:itemID="{F8CAC64C-271A-45FC-BB2A-9EDE6676F421}">
  <ds:schemaRefs>
    <ds:schemaRef ds:uri="http://schemas.openxmlformats.org/officeDocument/2006/bibliography"/>
  </ds:schemaRefs>
</ds:datastoreItem>
</file>

<file path=customXml/itemProps3.xml><?xml version="1.0" encoding="utf-8"?>
<ds:datastoreItem xmlns:ds="http://schemas.openxmlformats.org/officeDocument/2006/customXml" ds:itemID="{CD015A7C-0217-4156-9D1B-910C8F8A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7A492A-18D0-4629-BDC8-BFF44A9E2CD2}">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template-sbi8j-01-en - Copy.dotm</Template>
  <TotalTime>155</TotalTime>
  <Pages>12</Pages>
  <Words>6135</Words>
  <Characters>36736</Characters>
  <Application>Microsoft Office Word</Application>
  <DocSecurity>0</DocSecurity>
  <Lines>306</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Proposition d’éléments pour les lignes directrices concernant les tâches 1.1 et 1.2 du programme de travail sur l’article 8 j) et les autres dispositions de la Convention sur la diversité biologique relatives aux peoples autochtones et communautés locales</vt:lpstr>
      <vt:lpstr>Proposition d’éléments pour les lignes directrices concernant les activités 1.1 et 1.2 du programme de travail sur l’article 8 j) et les autres dispositions de la Convention sur la diversité biologique relatives aux peoples autochtones et communautés loca</vt:lpstr>
    </vt:vector>
  </TitlesOfParts>
  <Company/>
  <LinksUpToDate>false</LinksUpToDate>
  <CharactersWithSpaces>42786</CharactersWithSpaces>
  <SharedDoc>false</SharedDoc>
  <HLinks>
    <vt:vector size="84" baseType="variant">
      <vt:variant>
        <vt:i4>7209057</vt:i4>
      </vt:variant>
      <vt:variant>
        <vt:i4>15</vt:i4>
      </vt:variant>
      <vt:variant>
        <vt:i4>0</vt:i4>
      </vt:variant>
      <vt:variant>
        <vt:i4>5</vt:i4>
      </vt:variant>
      <vt:variant>
        <vt:lpwstr>https://www.cbd.int/decisions/cop/?m=cop-16</vt:lpwstr>
      </vt:variant>
      <vt:variant>
        <vt:lpwstr/>
      </vt:variant>
      <vt:variant>
        <vt:i4>7209057</vt:i4>
      </vt:variant>
      <vt:variant>
        <vt:i4>12</vt:i4>
      </vt:variant>
      <vt:variant>
        <vt:i4>0</vt:i4>
      </vt:variant>
      <vt:variant>
        <vt:i4>5</vt:i4>
      </vt:variant>
      <vt:variant>
        <vt:lpwstr>https://www.cbd.int/decisions/cop/?m=cop-16</vt:lpwstr>
      </vt:variant>
      <vt:variant>
        <vt:lpwstr/>
      </vt:variant>
      <vt:variant>
        <vt:i4>7209057</vt:i4>
      </vt:variant>
      <vt:variant>
        <vt:i4>9</vt:i4>
      </vt:variant>
      <vt:variant>
        <vt:i4>0</vt:i4>
      </vt:variant>
      <vt:variant>
        <vt:i4>5</vt:i4>
      </vt:variant>
      <vt:variant>
        <vt:lpwstr>https://www.cbd.int/decisions/cop/?m=cop-16</vt:lpwstr>
      </vt:variant>
      <vt:variant>
        <vt:lpwstr/>
      </vt:variant>
      <vt:variant>
        <vt:i4>6750262</vt:i4>
      </vt:variant>
      <vt:variant>
        <vt:i4>6</vt:i4>
      </vt:variant>
      <vt:variant>
        <vt:i4>0</vt:i4>
      </vt:variant>
      <vt:variant>
        <vt:i4>5</vt:i4>
      </vt:variant>
      <vt:variant>
        <vt:lpwstr>https://www.cbd.int/notifications/2025-061</vt:lpwstr>
      </vt:variant>
      <vt:variant>
        <vt:lpwstr/>
      </vt:variant>
      <vt:variant>
        <vt:i4>6750262</vt:i4>
      </vt:variant>
      <vt:variant>
        <vt:i4>3</vt:i4>
      </vt:variant>
      <vt:variant>
        <vt:i4>0</vt:i4>
      </vt:variant>
      <vt:variant>
        <vt:i4>5</vt:i4>
      </vt:variant>
      <vt:variant>
        <vt:lpwstr>https://www.cbd.int/notifications/2025-061</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76</vt:i4>
      </vt:variant>
      <vt:variant>
        <vt:i4>21</vt:i4>
      </vt:variant>
      <vt:variant>
        <vt:i4>0</vt:i4>
      </vt:variant>
      <vt:variant>
        <vt:i4>5</vt:i4>
      </vt:variant>
      <vt:variant>
        <vt:lpwstr>https://www.cbd.int/doc/decisions/cop-13/cop-13-dec-18-en.pdf</vt:lpwstr>
      </vt:variant>
      <vt:variant>
        <vt:lpwstr/>
      </vt:variant>
      <vt:variant>
        <vt:i4>720973</vt:i4>
      </vt:variant>
      <vt:variant>
        <vt:i4>18</vt:i4>
      </vt:variant>
      <vt:variant>
        <vt:i4>0</vt:i4>
      </vt:variant>
      <vt:variant>
        <vt:i4>5</vt:i4>
      </vt:variant>
      <vt:variant>
        <vt:lpwstr>https://www.cbd.int/doc/decisions/cop-12/cop-12-dec-12-en.pdf</vt:lpwstr>
      </vt:variant>
      <vt:variant>
        <vt:lpwstr/>
      </vt:variant>
      <vt:variant>
        <vt:i4>720969</vt:i4>
      </vt:variant>
      <vt:variant>
        <vt:i4>15</vt:i4>
      </vt:variant>
      <vt:variant>
        <vt:i4>0</vt:i4>
      </vt:variant>
      <vt:variant>
        <vt:i4>5</vt:i4>
      </vt:variant>
      <vt:variant>
        <vt:lpwstr>https://www.cbd.int/doc/decisions/cop-07/cop-07-dec-16-en.pdf</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6750262</vt:i4>
      </vt:variant>
      <vt:variant>
        <vt:i4>6</vt:i4>
      </vt:variant>
      <vt:variant>
        <vt:i4>0</vt:i4>
      </vt:variant>
      <vt:variant>
        <vt:i4>5</vt:i4>
      </vt:variant>
      <vt:variant>
        <vt:lpwstr>https://www.cbd.int/notifications/2025-061</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4718670</vt:i4>
      </vt:variant>
      <vt:variant>
        <vt:i4>0</vt:i4>
      </vt:variant>
      <vt:variant>
        <vt:i4>0</vt:i4>
      </vt:variant>
      <vt:variant>
        <vt:i4>5</vt:i4>
      </vt:variant>
      <vt:variant>
        <vt:lpwstr>https://www.cbd.int/documents/CBD/A8J/WS/2025/2/2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du suivi de l’article 8 j) et des autres dispositions de la Convention sur la diversité biologique relatives aux peuples autochtones et communautés locales le 30 octobre 2025</dc:title>
  <dc:creator>Secretariat of the Convention on Biological Diversity</dc:creator>
  <cp:keywords>Subsidiary Body on Scientific, Technical and Technological Advice, twenty-seventh meeting</cp:keywords>
  <cp:lastModifiedBy>Mariko Nishi</cp:lastModifiedBy>
  <cp:revision>46</cp:revision>
  <dcterms:created xsi:type="dcterms:W3CDTF">2025-12-12T08:08:00Z</dcterms:created>
  <dcterms:modified xsi:type="dcterms:W3CDTF">2025-12-12T18:17:00Z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Order">
    <vt:r8>1016200</vt:r8>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GrammarlyDocumentId">
    <vt:lpwstr>c0d62e61-38fc-49e1-9a9c-74f90091ab59</vt:lpwstr>
  </property>
  <property fmtid="{D5CDD505-2E9C-101B-9397-08002B2CF9AE}" pid="14" name="ContentTypeId">
    <vt:lpwstr>0x01010069BFACF6D92CD24AA50050CE23F68F74</vt:lpwstr>
  </property>
</Properties>
</file>