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B4AEF" w:rsidRPr="004C3718" w:rsidTr="00C24B6D">
        <w:trPr>
          <w:trHeight w:val="709"/>
        </w:trPr>
        <w:tc>
          <w:tcPr>
            <w:tcW w:w="976" w:type="dxa"/>
            <w:tcBorders>
              <w:bottom w:val="single" w:sz="12" w:space="0" w:color="auto"/>
            </w:tcBorders>
          </w:tcPr>
          <w:p w:rsidR="006B4AEF" w:rsidRPr="004C3718" w:rsidRDefault="006B4AEF" w:rsidP="00C24B6D">
            <w:pPr>
              <w:rPr>
                <w:lang w:val="fr-CA"/>
              </w:rPr>
            </w:pPr>
            <w:bookmarkStart w:id="0" w:name="Meeting"/>
            <w:r w:rsidRPr="004C3718">
              <w:rPr>
                <w:noProof/>
                <w:lang w:eastAsia="en-GB"/>
              </w:rPr>
              <w:drawing>
                <wp:inline distT="0" distB="0" distL="0" distR="0">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6B4AEF" w:rsidRPr="004C3718" w:rsidRDefault="006B4AEF" w:rsidP="00C24B6D">
            <w:pPr>
              <w:rPr>
                <w:lang w:val="fr-CA"/>
              </w:rPr>
            </w:pPr>
            <w:r w:rsidRPr="004C3718">
              <w:rPr>
                <w:noProof/>
                <w:lang w:eastAsia="en-GB"/>
              </w:rPr>
              <w:drawing>
                <wp:inline distT="0" distB="0" distL="0" distR="0">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6B4AEF" w:rsidRPr="004C3718" w:rsidRDefault="006B4AEF" w:rsidP="00C24B6D">
            <w:pPr>
              <w:jc w:val="right"/>
              <w:rPr>
                <w:rFonts w:ascii="Arial" w:hAnsi="Arial" w:cs="Arial"/>
                <w:b/>
                <w:sz w:val="32"/>
                <w:szCs w:val="32"/>
                <w:lang w:val="fr-CA"/>
              </w:rPr>
            </w:pPr>
            <w:r w:rsidRPr="004C3718">
              <w:rPr>
                <w:rFonts w:ascii="Arial" w:hAnsi="Arial" w:cs="Arial"/>
                <w:b/>
                <w:sz w:val="32"/>
                <w:szCs w:val="32"/>
                <w:lang w:val="fr-CA"/>
              </w:rPr>
              <w:t>CBD</w:t>
            </w:r>
          </w:p>
        </w:tc>
      </w:tr>
      <w:tr w:rsidR="006B4AEF" w:rsidRPr="004C3718" w:rsidTr="00C24B6D">
        <w:tc>
          <w:tcPr>
            <w:tcW w:w="6117" w:type="dxa"/>
            <w:gridSpan w:val="2"/>
            <w:tcBorders>
              <w:top w:val="single" w:sz="12" w:space="0" w:color="auto"/>
              <w:bottom w:val="single" w:sz="36" w:space="0" w:color="auto"/>
            </w:tcBorders>
            <w:vAlign w:val="center"/>
          </w:tcPr>
          <w:p w:rsidR="006B4AEF" w:rsidRPr="004C3718" w:rsidRDefault="004C3718" w:rsidP="00C24B6D">
            <w:pPr>
              <w:rPr>
                <w:lang w:val="fr-CA"/>
              </w:rPr>
            </w:pPr>
            <w:r w:rsidRPr="004C3718">
              <w:rPr>
                <w:bCs/>
                <w:noProof/>
                <w:szCs w:val="22"/>
                <w:lang w:eastAsia="en-GB"/>
              </w:rPr>
              <w:drawing>
                <wp:inline distT="0" distB="0" distL="0" distR="0">
                  <wp:extent cx="2855595" cy="1080135"/>
                  <wp:effectExtent l="19050" t="0" r="1905" b="0"/>
                  <wp:docPr id="4" name="Pictur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srcRect/>
                          <a:stretch>
                            <a:fillRect/>
                          </a:stretch>
                        </pic:blipFill>
                        <pic:spPr bwMode="auto">
                          <a:xfrm>
                            <a:off x="0" y="0"/>
                            <a:ext cx="2855595" cy="108013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6B4AEF" w:rsidRPr="00CF2044" w:rsidRDefault="006B4AEF" w:rsidP="00C24B6D">
            <w:pPr>
              <w:ind w:left="1215"/>
              <w:rPr>
                <w:noProof/>
                <w:szCs w:val="22"/>
                <w:lang w:val="fr-FR"/>
              </w:rPr>
            </w:pPr>
            <w:r w:rsidRPr="00CF2044">
              <w:rPr>
                <w:noProof/>
                <w:szCs w:val="22"/>
                <w:lang w:val="fr-FR"/>
              </w:rPr>
              <w:t>Distr.</w:t>
            </w:r>
          </w:p>
          <w:p w:rsidR="006B4AEF" w:rsidRPr="004C3718" w:rsidRDefault="00C067C5" w:rsidP="00C24B6D">
            <w:pPr>
              <w:ind w:left="1215"/>
              <w:rPr>
                <w:szCs w:val="22"/>
                <w:lang w:val="fr-CA"/>
              </w:rPr>
            </w:pPr>
            <w:r>
              <w:rPr>
                <w:caps/>
                <w:szCs w:val="22"/>
                <w:lang w:val="fr-CA"/>
              </w:rPr>
              <w:t>gÉnÉrale</w:t>
            </w:r>
          </w:p>
          <w:p w:rsidR="006B4AEF" w:rsidRPr="004C3718" w:rsidRDefault="006B4AEF" w:rsidP="00C24B6D">
            <w:pPr>
              <w:ind w:left="1215"/>
              <w:rPr>
                <w:szCs w:val="22"/>
                <w:lang w:val="fr-CA"/>
              </w:rPr>
            </w:pPr>
          </w:p>
          <w:p w:rsidR="006B4AEF" w:rsidRPr="004C3718" w:rsidRDefault="00A84102" w:rsidP="006B4AEF">
            <w:pPr>
              <w:ind w:left="1215"/>
              <w:rPr>
                <w:szCs w:val="22"/>
                <w:lang w:val="fr-CA"/>
              </w:rPr>
            </w:pPr>
            <w:r>
              <w:rPr>
                <w:lang w:val="fr-CA"/>
              </w:rPr>
              <w:t>CBD/SBI/REC</w:t>
            </w:r>
            <w:r w:rsidR="006B4AEF" w:rsidRPr="004C3718">
              <w:rPr>
                <w:lang w:val="fr-CA"/>
              </w:rPr>
              <w:t>/</w:t>
            </w:r>
            <w:r>
              <w:rPr>
                <w:lang w:val="fr-CA"/>
              </w:rPr>
              <w:t>2/1</w:t>
            </w:r>
          </w:p>
          <w:p w:rsidR="006B4AEF" w:rsidRPr="004C3718" w:rsidRDefault="00C067C5" w:rsidP="00C24B6D">
            <w:pPr>
              <w:ind w:left="1215"/>
              <w:rPr>
                <w:szCs w:val="22"/>
                <w:lang w:val="fr-CA"/>
              </w:rPr>
            </w:pPr>
            <w:r>
              <w:rPr>
                <w:szCs w:val="22"/>
                <w:lang w:val="fr-CA"/>
              </w:rPr>
              <w:t>13</w:t>
            </w:r>
            <w:r w:rsidR="0024630F">
              <w:rPr>
                <w:szCs w:val="22"/>
                <w:lang w:val="fr-CA"/>
              </w:rPr>
              <w:t> juillet </w:t>
            </w:r>
            <w:r w:rsidR="006B4AEF" w:rsidRPr="004C3718">
              <w:rPr>
                <w:szCs w:val="22"/>
                <w:lang w:val="fr-CA"/>
              </w:rPr>
              <w:t>2018</w:t>
            </w:r>
          </w:p>
          <w:p w:rsidR="006B4AEF" w:rsidRPr="004C3718" w:rsidRDefault="006B4AEF" w:rsidP="00C24B6D">
            <w:pPr>
              <w:ind w:left="1215"/>
              <w:rPr>
                <w:szCs w:val="22"/>
                <w:lang w:val="fr-CA"/>
              </w:rPr>
            </w:pPr>
          </w:p>
          <w:p w:rsidR="0024630F" w:rsidRPr="00C067C5" w:rsidRDefault="0024630F" w:rsidP="00C067C5">
            <w:pPr>
              <w:ind w:left="1215"/>
              <w:rPr>
                <w:lang w:val="fr-CA"/>
              </w:rPr>
            </w:pPr>
            <w:r w:rsidRPr="00C067C5">
              <w:rPr>
                <w:lang w:val="fr-CA"/>
              </w:rPr>
              <w:t>FRANÇAIS</w:t>
            </w:r>
          </w:p>
          <w:p w:rsidR="006B4AEF" w:rsidRPr="004C3718" w:rsidRDefault="0024630F" w:rsidP="0024630F">
            <w:pPr>
              <w:ind w:left="1215"/>
              <w:rPr>
                <w:szCs w:val="22"/>
                <w:lang w:val="fr-CA"/>
              </w:rPr>
            </w:pPr>
            <w:r>
              <w:rPr>
                <w:snapToGrid w:val="0"/>
                <w:kern w:val="22"/>
                <w:szCs w:val="22"/>
                <w:lang w:val="fr-CA"/>
              </w:rPr>
              <w:t xml:space="preserve">ORIGINAL : </w:t>
            </w:r>
            <w:r w:rsidRPr="00E878A5">
              <w:rPr>
                <w:snapToGrid w:val="0"/>
                <w:kern w:val="22"/>
                <w:szCs w:val="22"/>
                <w:lang w:val="fr-CA"/>
              </w:rPr>
              <w:t>ANGLAIS</w:t>
            </w:r>
          </w:p>
          <w:p w:rsidR="006B4AEF" w:rsidRPr="004C3718" w:rsidRDefault="006B4AEF" w:rsidP="00C24B6D">
            <w:pPr>
              <w:rPr>
                <w:lang w:val="fr-CA"/>
              </w:rPr>
            </w:pPr>
          </w:p>
        </w:tc>
      </w:tr>
    </w:tbl>
    <w:p w:rsidR="009428C1" w:rsidRPr="00E878A5" w:rsidRDefault="009428C1" w:rsidP="009428C1">
      <w:pPr>
        <w:ind w:left="284" w:hanging="284"/>
        <w:jc w:val="left"/>
        <w:rPr>
          <w:rFonts w:eastAsia="Malgun Gothic"/>
          <w:caps/>
          <w:snapToGrid w:val="0"/>
          <w:kern w:val="22"/>
          <w:lang w:val="fr-CA"/>
        </w:rPr>
      </w:pPr>
      <w:r w:rsidRPr="00E878A5">
        <w:rPr>
          <w:rFonts w:eastAsia="Malgun Gothic"/>
          <w:caps/>
          <w:snapToGrid w:val="0"/>
          <w:kern w:val="22"/>
          <w:lang w:val="fr-CA"/>
        </w:rPr>
        <w:t xml:space="preserve">ORGANE SUBSIDIAIRE CHARGÉ DE </w:t>
      </w:r>
    </w:p>
    <w:p w:rsidR="006B4AEF" w:rsidRPr="004C3718" w:rsidRDefault="009428C1" w:rsidP="009428C1">
      <w:pPr>
        <w:pStyle w:val="Cornernotation"/>
        <w:kinsoku w:val="0"/>
        <w:overflowPunct w:val="0"/>
        <w:autoSpaceDE w:val="0"/>
        <w:autoSpaceDN w:val="0"/>
        <w:ind w:left="227" w:right="3970" w:hanging="227"/>
        <w:rPr>
          <w:rFonts w:eastAsia="Batang"/>
          <w:color w:val="000000"/>
          <w:kern w:val="22"/>
          <w:szCs w:val="22"/>
          <w:lang w:val="fr-CA" w:eastAsia="ko-KR"/>
        </w:rPr>
      </w:pPr>
      <w:r w:rsidRPr="00E878A5">
        <w:rPr>
          <w:rFonts w:eastAsia="Malgun Gothic"/>
          <w:caps/>
          <w:snapToGrid w:val="0"/>
          <w:kern w:val="22"/>
          <w:lang w:val="fr-CA"/>
        </w:rPr>
        <w:t>L</w:t>
      </w:r>
      <w:r w:rsidR="00C93846">
        <w:rPr>
          <w:rFonts w:eastAsia="Malgun Gothic"/>
          <w:caps/>
          <w:snapToGrid w:val="0"/>
          <w:kern w:val="22"/>
          <w:lang w:val="fr-CA"/>
        </w:rPr>
        <w:t>’</w:t>
      </w:r>
      <w:r w:rsidRPr="00E878A5">
        <w:rPr>
          <w:rFonts w:eastAsia="Malgun Gothic"/>
          <w:caps/>
          <w:snapToGrid w:val="0"/>
          <w:kern w:val="22"/>
          <w:lang w:val="fr-CA"/>
        </w:rPr>
        <w:t>APPLICATION</w:t>
      </w:r>
    </w:p>
    <w:bookmarkEnd w:id="0"/>
    <w:p w:rsidR="009428C1" w:rsidRPr="00E878A5" w:rsidRDefault="009428C1" w:rsidP="009428C1">
      <w:pPr>
        <w:ind w:left="284" w:hanging="284"/>
        <w:jc w:val="left"/>
        <w:rPr>
          <w:snapToGrid w:val="0"/>
          <w:kern w:val="22"/>
          <w:szCs w:val="22"/>
          <w:lang w:val="fr-CA" w:eastAsia="nb-NO"/>
        </w:rPr>
      </w:pPr>
      <w:r w:rsidRPr="00E878A5">
        <w:rPr>
          <w:snapToGrid w:val="0"/>
          <w:kern w:val="22"/>
          <w:szCs w:val="22"/>
          <w:lang w:val="fr-CA" w:eastAsia="nb-NO"/>
        </w:rPr>
        <w:t xml:space="preserve">Deuxième réunion </w:t>
      </w:r>
    </w:p>
    <w:p w:rsidR="009428C1" w:rsidRPr="00E878A5" w:rsidRDefault="009428C1" w:rsidP="009428C1">
      <w:pPr>
        <w:ind w:left="284" w:hanging="284"/>
        <w:jc w:val="left"/>
        <w:rPr>
          <w:snapToGrid w:val="0"/>
          <w:kern w:val="22"/>
          <w:szCs w:val="22"/>
          <w:lang w:val="fr-CA" w:eastAsia="nb-NO"/>
        </w:rPr>
      </w:pPr>
      <w:r w:rsidRPr="00E878A5">
        <w:rPr>
          <w:snapToGrid w:val="0"/>
          <w:kern w:val="22"/>
          <w:szCs w:val="22"/>
          <w:lang w:val="fr-CA" w:eastAsia="nb-NO"/>
        </w:rPr>
        <w:t>Montré</w:t>
      </w:r>
      <w:r>
        <w:rPr>
          <w:snapToGrid w:val="0"/>
          <w:kern w:val="22"/>
          <w:szCs w:val="22"/>
          <w:lang w:val="fr-CA" w:eastAsia="nb-NO"/>
        </w:rPr>
        <w:t>al (</w:t>
      </w:r>
      <w:r w:rsidRPr="00E878A5">
        <w:rPr>
          <w:snapToGrid w:val="0"/>
          <w:kern w:val="22"/>
          <w:szCs w:val="22"/>
          <w:lang w:val="fr-CA" w:eastAsia="nb-NO"/>
        </w:rPr>
        <w:t>Canada</w:t>
      </w:r>
      <w:r>
        <w:rPr>
          <w:snapToGrid w:val="0"/>
          <w:kern w:val="22"/>
          <w:szCs w:val="22"/>
          <w:lang w:val="fr-CA" w:eastAsia="nb-NO"/>
        </w:rPr>
        <w:t>), 9</w:t>
      </w:r>
      <w:r w:rsidR="00BE6F55">
        <w:rPr>
          <w:snapToGrid w:val="0"/>
          <w:kern w:val="22"/>
          <w:szCs w:val="22"/>
          <w:lang w:val="fr-CA" w:eastAsia="nb-NO"/>
        </w:rPr>
        <w:noBreakHyphen/>
      </w:r>
      <w:r>
        <w:rPr>
          <w:snapToGrid w:val="0"/>
          <w:kern w:val="22"/>
          <w:szCs w:val="22"/>
          <w:lang w:val="fr-CA" w:eastAsia="nb-NO"/>
        </w:rPr>
        <w:t>13 </w:t>
      </w:r>
      <w:r w:rsidRPr="00E878A5">
        <w:rPr>
          <w:snapToGrid w:val="0"/>
          <w:kern w:val="22"/>
          <w:szCs w:val="22"/>
          <w:lang w:val="fr-CA" w:eastAsia="nb-NO"/>
        </w:rPr>
        <w:t>juillet</w:t>
      </w:r>
      <w:r>
        <w:rPr>
          <w:snapToGrid w:val="0"/>
          <w:kern w:val="22"/>
          <w:szCs w:val="22"/>
          <w:lang w:val="fr-CA" w:eastAsia="nb-NO"/>
        </w:rPr>
        <w:t> </w:t>
      </w:r>
      <w:r w:rsidRPr="00E878A5">
        <w:rPr>
          <w:snapToGrid w:val="0"/>
          <w:kern w:val="22"/>
          <w:szCs w:val="22"/>
          <w:lang w:val="fr-CA" w:eastAsia="nb-NO"/>
        </w:rPr>
        <w:t>2018</w:t>
      </w:r>
    </w:p>
    <w:p w:rsidR="00C9161D" w:rsidRPr="004C3718" w:rsidRDefault="009428C1" w:rsidP="009428C1">
      <w:pPr>
        <w:suppressLineNumbers/>
        <w:suppressAutoHyphens/>
        <w:kinsoku w:val="0"/>
        <w:overflowPunct w:val="0"/>
        <w:autoSpaceDE w:val="0"/>
        <w:autoSpaceDN w:val="0"/>
        <w:adjustRightInd w:val="0"/>
        <w:snapToGrid w:val="0"/>
        <w:rPr>
          <w:szCs w:val="22"/>
          <w:lang w:val="fr-CA"/>
        </w:rPr>
      </w:pPr>
      <w:r>
        <w:rPr>
          <w:snapToGrid w:val="0"/>
          <w:kern w:val="22"/>
          <w:szCs w:val="22"/>
          <w:lang w:val="fr-CA"/>
        </w:rPr>
        <w:t>Point 3</w:t>
      </w:r>
      <w:r w:rsidRPr="00E878A5">
        <w:rPr>
          <w:snapToGrid w:val="0"/>
          <w:kern w:val="22"/>
          <w:szCs w:val="22"/>
          <w:lang w:val="fr-CA"/>
        </w:rPr>
        <w:t xml:space="preserve"> de l</w:t>
      </w:r>
      <w:r w:rsidR="00C93846">
        <w:rPr>
          <w:snapToGrid w:val="0"/>
          <w:kern w:val="22"/>
          <w:szCs w:val="22"/>
          <w:lang w:val="fr-CA"/>
        </w:rPr>
        <w:t>’</w:t>
      </w:r>
      <w:r w:rsidRPr="00E878A5">
        <w:rPr>
          <w:snapToGrid w:val="0"/>
          <w:kern w:val="22"/>
          <w:szCs w:val="22"/>
          <w:lang w:val="fr-CA"/>
        </w:rPr>
        <w:t>ordre du jour</w:t>
      </w:r>
    </w:p>
    <w:p w:rsidR="00C9161D" w:rsidRPr="004C3718" w:rsidRDefault="007A3651" w:rsidP="007A3651">
      <w:pPr>
        <w:pStyle w:val="Heading1"/>
        <w:rPr>
          <w:lang w:val="fr-CA"/>
        </w:rPr>
      </w:pPr>
      <w:r>
        <w:rPr>
          <w:lang w:val="fr-CA"/>
        </w:rPr>
        <w:t>recommandation adoptÉe par l’organe subsidiaire chargÉ de l’application</w:t>
      </w:r>
    </w:p>
    <w:p w:rsidR="00176CEE" w:rsidRPr="004C3718" w:rsidRDefault="007A3651" w:rsidP="00C067C5">
      <w:pPr>
        <w:pStyle w:val="recommendationheader"/>
        <w:tabs>
          <w:tab w:val="clear" w:pos="720"/>
        </w:tabs>
        <w:ind w:left="1560" w:hanging="567"/>
        <w:jc w:val="left"/>
        <w:rPr>
          <w:caps/>
          <w:lang w:val="fr-CA"/>
        </w:rPr>
      </w:pPr>
      <w:r w:rsidRPr="009D2428">
        <w:rPr>
          <w:rFonts w:ascii="Times New Roman Bold" w:hAnsi="Times New Roman Bold" w:cs="Times New Roman Bold"/>
          <w:spacing w:val="-3"/>
          <w:kern w:val="22"/>
        </w:rPr>
        <w:t>2/1.</w:t>
      </w:r>
      <w:r w:rsidRPr="009D2428">
        <w:rPr>
          <w:rFonts w:ascii="Times New Roman Bold" w:hAnsi="Times New Roman Bold" w:cs="Times New Roman Bold"/>
          <w:spacing w:val="-3"/>
          <w:kern w:val="22"/>
        </w:rPr>
        <w:tab/>
      </w:r>
      <w:r>
        <w:rPr>
          <w:lang w:val="fr-FR"/>
        </w:rPr>
        <w:t xml:space="preserve">Progrès accomplis dans l’application de la </w:t>
      </w:r>
      <w:r w:rsidR="00C067C5">
        <w:rPr>
          <w:lang w:val="fr-FR"/>
        </w:rPr>
        <w:t xml:space="preserve">Convention, </w:t>
      </w:r>
      <w:r>
        <w:rPr>
          <w:lang w:val="fr-FR"/>
        </w:rPr>
        <w:t>la mise en œuvre du Plan stratégique pour la diversité biologique 2011-2020 et la réalisation des Objectifs d’Aichi pour la biodiversité</w:t>
      </w:r>
    </w:p>
    <w:p w:rsidR="00C067C5" w:rsidRDefault="00C067C5" w:rsidP="00C067C5">
      <w:pPr>
        <w:pStyle w:val="NormalWeb"/>
        <w:suppressLineNumbers/>
        <w:suppressAutoHyphens/>
        <w:kinsoku w:val="0"/>
        <w:overflowPunct w:val="0"/>
        <w:autoSpaceDE w:val="0"/>
        <w:autoSpaceDN w:val="0"/>
        <w:adjustRightInd w:val="0"/>
        <w:snapToGrid w:val="0"/>
        <w:spacing w:before="120" w:beforeAutospacing="0" w:after="120" w:afterAutospacing="0"/>
        <w:ind w:left="709"/>
        <w:jc w:val="both"/>
        <w:rPr>
          <w:rFonts w:ascii="Times New Roman" w:hAnsi="Times New Roman" w:cs="Times New Roman"/>
          <w:i/>
          <w:kern w:val="22"/>
          <w:sz w:val="22"/>
          <w:szCs w:val="22"/>
          <w:lang w:val="fr-CA"/>
        </w:rPr>
      </w:pPr>
      <w:bookmarkStart w:id="1" w:name="_Hlk513725519"/>
      <w:r>
        <w:rPr>
          <w:rFonts w:ascii="Times New Roman" w:hAnsi="Times New Roman" w:cs="Times New Roman"/>
          <w:i/>
          <w:kern w:val="22"/>
          <w:sz w:val="22"/>
          <w:szCs w:val="22"/>
          <w:lang w:val="fr-CA"/>
        </w:rPr>
        <w:t xml:space="preserve">L’Organe subsidiaire </w:t>
      </w:r>
      <w:bookmarkStart w:id="2" w:name="_GoBack"/>
      <w:bookmarkEnd w:id="2"/>
      <w:r>
        <w:rPr>
          <w:rFonts w:ascii="Times New Roman" w:hAnsi="Times New Roman" w:cs="Times New Roman"/>
          <w:i/>
          <w:kern w:val="22"/>
          <w:sz w:val="22"/>
          <w:szCs w:val="22"/>
          <w:lang w:val="fr-CA"/>
        </w:rPr>
        <w:t>chargé de l’application</w:t>
      </w:r>
    </w:p>
    <w:p w:rsidR="00C067C5" w:rsidRPr="00C067C5" w:rsidRDefault="00C067C5" w:rsidP="00C067C5">
      <w:pPr>
        <w:pStyle w:val="NormalWeb"/>
        <w:suppressLineNumbers/>
        <w:suppressAutoHyphens/>
        <w:kinsoku w:val="0"/>
        <w:overflowPunct w:val="0"/>
        <w:autoSpaceDE w:val="0"/>
        <w:autoSpaceDN w:val="0"/>
        <w:adjustRightInd w:val="0"/>
        <w:snapToGrid w:val="0"/>
        <w:spacing w:before="120" w:beforeAutospacing="0" w:after="120" w:afterAutospacing="0"/>
        <w:ind w:left="709"/>
        <w:jc w:val="both"/>
        <w:rPr>
          <w:rFonts w:ascii="Times New Roman" w:hAnsi="Times New Roman" w:cs="Times New Roman"/>
          <w:kern w:val="22"/>
          <w:sz w:val="22"/>
          <w:szCs w:val="22"/>
          <w:lang w:val="fr-CA"/>
        </w:rPr>
      </w:pPr>
      <w:r>
        <w:rPr>
          <w:rFonts w:ascii="Times New Roman" w:hAnsi="Times New Roman" w:cs="Times New Roman"/>
          <w:i/>
          <w:kern w:val="22"/>
          <w:sz w:val="22"/>
          <w:szCs w:val="22"/>
          <w:lang w:val="fr-CA"/>
        </w:rPr>
        <w:t>Recommande</w:t>
      </w:r>
      <w:r>
        <w:rPr>
          <w:rFonts w:ascii="Times New Roman" w:hAnsi="Times New Roman" w:cs="Times New Roman"/>
          <w:kern w:val="22"/>
          <w:sz w:val="22"/>
          <w:szCs w:val="22"/>
          <w:lang w:val="fr-CA"/>
        </w:rPr>
        <w:t xml:space="preserve"> à la Conférence des Parties d’adopter, à sa quatorzième réunion, une décision dans ce sens :</w:t>
      </w:r>
    </w:p>
    <w:p w:rsidR="00220988" w:rsidRPr="004C3718" w:rsidRDefault="00220988" w:rsidP="00493CB0">
      <w:pPr>
        <w:pStyle w:val="NormalWeb"/>
        <w:suppressLineNumbers/>
        <w:tabs>
          <w:tab w:val="left" w:pos="360"/>
        </w:tabs>
        <w:suppressAutoHyphens/>
        <w:kinsoku w:val="0"/>
        <w:overflowPunct w:val="0"/>
        <w:autoSpaceDE w:val="0"/>
        <w:autoSpaceDN w:val="0"/>
        <w:adjustRightInd w:val="0"/>
        <w:snapToGrid w:val="0"/>
        <w:spacing w:before="120" w:beforeAutospacing="0" w:after="120" w:afterAutospacing="0"/>
        <w:jc w:val="center"/>
        <w:rPr>
          <w:rFonts w:ascii="Times New Roman" w:hAnsi="Times New Roman" w:cs="Times New Roman"/>
          <w:b/>
          <w:kern w:val="22"/>
          <w:sz w:val="22"/>
          <w:szCs w:val="22"/>
          <w:lang w:val="fr-CA"/>
        </w:rPr>
      </w:pPr>
      <w:r w:rsidRPr="004C3718">
        <w:rPr>
          <w:rFonts w:ascii="Times New Roman" w:hAnsi="Times New Roman" w:cs="Times New Roman"/>
          <w:b/>
          <w:kern w:val="22"/>
          <w:sz w:val="22"/>
          <w:szCs w:val="22"/>
          <w:lang w:val="fr-CA"/>
        </w:rPr>
        <w:t>A.</w:t>
      </w:r>
      <w:r w:rsidRPr="004C3718">
        <w:rPr>
          <w:rFonts w:ascii="Times New Roman" w:hAnsi="Times New Roman" w:cs="Times New Roman"/>
          <w:b/>
          <w:kern w:val="22"/>
          <w:sz w:val="22"/>
          <w:szCs w:val="22"/>
          <w:lang w:val="fr-CA"/>
        </w:rPr>
        <w:tab/>
      </w:r>
      <w:r w:rsidR="00493CB0">
        <w:rPr>
          <w:rFonts w:ascii="Times New Roman" w:hAnsi="Times New Roman" w:cs="Times New Roman"/>
          <w:b/>
          <w:kern w:val="22"/>
          <w:sz w:val="22"/>
          <w:szCs w:val="22"/>
          <w:lang w:val="fr-FR"/>
        </w:rPr>
        <w:t>Examen des</w:t>
      </w:r>
      <w:r w:rsidR="00493CB0" w:rsidRPr="006A075B">
        <w:rPr>
          <w:rFonts w:ascii="Times New Roman" w:hAnsi="Times New Roman" w:cs="Times New Roman"/>
          <w:b/>
          <w:kern w:val="22"/>
          <w:sz w:val="22"/>
          <w:szCs w:val="22"/>
          <w:lang w:val="fr-FR"/>
        </w:rPr>
        <w:t xml:space="preserve"> stratégies et plans d</w:t>
      </w:r>
      <w:r w:rsidR="00C93846">
        <w:rPr>
          <w:rFonts w:ascii="Times New Roman" w:hAnsi="Times New Roman" w:cs="Times New Roman"/>
          <w:b/>
          <w:kern w:val="22"/>
          <w:sz w:val="22"/>
          <w:szCs w:val="22"/>
          <w:lang w:val="fr-FR"/>
        </w:rPr>
        <w:t>’</w:t>
      </w:r>
      <w:r w:rsidR="00493CB0" w:rsidRPr="006A075B">
        <w:rPr>
          <w:rFonts w:ascii="Times New Roman" w:hAnsi="Times New Roman" w:cs="Times New Roman"/>
          <w:b/>
          <w:kern w:val="22"/>
          <w:sz w:val="22"/>
          <w:szCs w:val="22"/>
          <w:lang w:val="fr-FR"/>
        </w:rPr>
        <w:t>action nationaux pour la diversité biologique</w:t>
      </w:r>
      <w:r w:rsidR="00493CB0">
        <w:rPr>
          <w:rFonts w:ascii="Times New Roman" w:hAnsi="Times New Roman" w:cs="Times New Roman"/>
          <w:b/>
          <w:kern w:val="22"/>
          <w:sz w:val="22"/>
          <w:szCs w:val="22"/>
          <w:lang w:val="fr-FR"/>
        </w:rPr>
        <w:t xml:space="preserve"> et des rapports nationaux</w:t>
      </w:r>
    </w:p>
    <w:p w:rsidR="00493CB0" w:rsidRPr="00887A5D" w:rsidRDefault="00493CB0" w:rsidP="00493CB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fr-CA"/>
        </w:rPr>
      </w:pPr>
      <w:r w:rsidRPr="00887A5D">
        <w:rPr>
          <w:rFonts w:ascii="Times New Roman" w:hAnsi="Times New Roman" w:cs="Times New Roman"/>
          <w:i/>
          <w:color w:val="auto"/>
          <w:kern w:val="22"/>
          <w:sz w:val="22"/>
          <w:szCs w:val="22"/>
          <w:lang w:val="fr-CA"/>
        </w:rPr>
        <w:t xml:space="preserve">Rappelant </w:t>
      </w:r>
      <w:r w:rsidRPr="00887A5D">
        <w:rPr>
          <w:rFonts w:ascii="Times New Roman" w:hAnsi="Times New Roman" w:cs="Times New Roman"/>
          <w:color w:val="auto"/>
          <w:kern w:val="22"/>
          <w:sz w:val="22"/>
          <w:szCs w:val="22"/>
          <w:lang w:val="fr-CA"/>
        </w:rPr>
        <w:t>la d</w:t>
      </w:r>
      <w:r>
        <w:rPr>
          <w:rFonts w:ascii="Times New Roman" w:hAnsi="Times New Roman" w:cs="Times New Roman"/>
          <w:color w:val="auto"/>
          <w:kern w:val="22"/>
          <w:sz w:val="22"/>
          <w:szCs w:val="22"/>
          <w:lang w:val="fr-CA"/>
        </w:rPr>
        <w:t>écision </w:t>
      </w:r>
      <w:r w:rsidRPr="00887A5D">
        <w:rPr>
          <w:rFonts w:ascii="Times New Roman" w:hAnsi="Times New Roman" w:cs="Times New Roman"/>
          <w:color w:val="auto"/>
          <w:kern w:val="22"/>
          <w:sz w:val="22"/>
          <w:szCs w:val="22"/>
          <w:lang w:val="fr-CA"/>
        </w:rPr>
        <w:t>XIII/1, en particulier les paragraph</w:t>
      </w:r>
      <w:r>
        <w:rPr>
          <w:rFonts w:ascii="Times New Roman" w:hAnsi="Times New Roman" w:cs="Times New Roman"/>
          <w:color w:val="auto"/>
          <w:kern w:val="22"/>
          <w:sz w:val="22"/>
          <w:szCs w:val="22"/>
          <w:lang w:val="fr-CA"/>
        </w:rPr>
        <w:t>es 12 et </w:t>
      </w:r>
      <w:r w:rsidRPr="00887A5D">
        <w:rPr>
          <w:rFonts w:ascii="Times New Roman" w:hAnsi="Times New Roman" w:cs="Times New Roman"/>
          <w:color w:val="auto"/>
          <w:kern w:val="22"/>
          <w:sz w:val="22"/>
          <w:szCs w:val="22"/>
          <w:lang w:val="fr-CA"/>
        </w:rPr>
        <w:t>19</w:t>
      </w:r>
      <w:r w:rsidR="00A17EBC">
        <w:rPr>
          <w:rFonts w:ascii="Times New Roman" w:hAnsi="Times New Roman" w:cs="Times New Roman"/>
          <w:color w:val="auto"/>
          <w:kern w:val="22"/>
          <w:sz w:val="22"/>
          <w:szCs w:val="22"/>
          <w:lang w:val="fr-CA"/>
        </w:rPr>
        <w:t>,</w:t>
      </w:r>
    </w:p>
    <w:p w:rsidR="00493CB0" w:rsidRPr="00887A5D" w:rsidRDefault="00493CB0" w:rsidP="00BE6F55">
      <w:pPr>
        <w:pStyle w:val="NormalWeb"/>
        <w:numPr>
          <w:ilvl w:val="0"/>
          <w:numId w:val="24"/>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kern w:val="22"/>
          <w:sz w:val="22"/>
          <w:szCs w:val="22"/>
          <w:lang w:val="fr-CA"/>
        </w:rPr>
      </w:pPr>
      <w:r w:rsidRPr="00887A5D">
        <w:rPr>
          <w:rFonts w:ascii="Times New Roman" w:hAnsi="Times New Roman" w:cs="Times New Roman"/>
          <w:i/>
          <w:color w:val="auto"/>
          <w:kern w:val="22"/>
          <w:sz w:val="22"/>
          <w:szCs w:val="22"/>
          <w:lang w:val="fr-CA"/>
        </w:rPr>
        <w:t>Se félicite</w:t>
      </w:r>
      <w:r w:rsidRPr="00887A5D">
        <w:rPr>
          <w:rFonts w:ascii="Times New Roman" w:hAnsi="Times New Roman" w:cs="Times New Roman"/>
          <w:color w:val="auto"/>
          <w:kern w:val="22"/>
          <w:sz w:val="22"/>
          <w:szCs w:val="22"/>
          <w:lang w:val="fr-CA"/>
        </w:rPr>
        <w:t xml:space="preserve"> de l</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analyse actualisée des stratégies et plans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action nationaux pour la diversité biologique et des rapports nationaux, et de l</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 xml:space="preserve">évaluation des progrès accomplis dans la mise en œuvre de la Convention et du </w:t>
      </w:r>
      <w:r w:rsidR="00BE6F55" w:rsidRPr="00BE6F55">
        <w:rPr>
          <w:rFonts w:ascii="Times New Roman" w:hAnsi="Times New Roman" w:cs="Times New Roman"/>
          <w:color w:val="auto"/>
          <w:kern w:val="22"/>
          <w:sz w:val="22"/>
          <w:szCs w:val="22"/>
          <w:lang w:val="fr-CA"/>
        </w:rPr>
        <w:t>Plan stratégique 2011</w:t>
      </w:r>
      <w:r w:rsidR="00BE6F55">
        <w:rPr>
          <w:rFonts w:ascii="Times New Roman" w:hAnsi="Times New Roman" w:cs="Times New Roman"/>
          <w:color w:val="auto"/>
          <w:kern w:val="22"/>
          <w:sz w:val="22"/>
          <w:szCs w:val="22"/>
          <w:lang w:val="fr-CA"/>
        </w:rPr>
        <w:noBreakHyphen/>
      </w:r>
      <w:r w:rsidR="00BE6F55" w:rsidRPr="00BE6F55">
        <w:rPr>
          <w:rFonts w:ascii="Times New Roman" w:hAnsi="Times New Roman" w:cs="Times New Roman"/>
          <w:color w:val="auto"/>
          <w:kern w:val="22"/>
          <w:sz w:val="22"/>
          <w:szCs w:val="22"/>
          <w:lang w:val="fr-CA"/>
        </w:rPr>
        <w:t>2020 pour la diversité biologique</w:t>
      </w:r>
      <w:r w:rsidRPr="00887A5D">
        <w:rPr>
          <w:rFonts w:ascii="Times New Roman" w:hAnsi="Times New Roman" w:cs="Times New Roman"/>
          <w:color w:val="auto"/>
          <w:kern w:val="22"/>
          <w:sz w:val="22"/>
          <w:szCs w:val="22"/>
          <w:lang w:val="fr-CA"/>
        </w:rPr>
        <w:t>;</w:t>
      </w:r>
      <w:r w:rsidRPr="00887A5D">
        <w:rPr>
          <w:rFonts w:ascii="Times New Roman" w:hAnsi="Times New Roman" w:cs="Times New Roman"/>
          <w:color w:val="auto"/>
          <w:sz w:val="22"/>
          <w:szCs w:val="22"/>
          <w:vertAlign w:val="superscript"/>
          <w:lang w:val="fr-CA"/>
        </w:rPr>
        <w:footnoteReference w:id="1"/>
      </w:r>
      <w:r w:rsidR="00C067C5">
        <w:rPr>
          <w:rFonts w:ascii="Times New Roman" w:hAnsi="Times New Roman" w:cs="Times New Roman"/>
          <w:color w:val="auto"/>
          <w:kern w:val="22"/>
          <w:sz w:val="22"/>
          <w:szCs w:val="22"/>
          <w:vertAlign w:val="superscript"/>
          <w:lang w:val="fr-CA"/>
        </w:rPr>
        <w:t>,</w:t>
      </w:r>
      <w:r w:rsidR="00C067C5" w:rsidRPr="00C067C5">
        <w:rPr>
          <w:rStyle w:val="FootnoteReference"/>
          <w:rFonts w:ascii="Times New Roman" w:hAnsi="Times New Roman" w:cs="Times New Roman"/>
          <w:color w:val="auto"/>
          <w:kern w:val="22"/>
          <w:szCs w:val="22"/>
          <w:lang w:val="en-GB"/>
        </w:rPr>
        <w:t xml:space="preserve"> </w:t>
      </w:r>
      <w:r w:rsidR="00C067C5">
        <w:rPr>
          <w:rStyle w:val="FootnoteReference"/>
          <w:rFonts w:ascii="Times New Roman" w:hAnsi="Times New Roman" w:cs="Times New Roman"/>
          <w:color w:val="auto"/>
          <w:kern w:val="22"/>
          <w:szCs w:val="22"/>
          <w:lang w:val="en-GB"/>
        </w:rPr>
        <w:footnoteReference w:id="2"/>
      </w:r>
    </w:p>
    <w:p w:rsidR="003D5F0C" w:rsidRPr="004C3718" w:rsidRDefault="00493CB0" w:rsidP="00493CB0">
      <w:pPr>
        <w:pStyle w:val="NormalWeb"/>
        <w:numPr>
          <w:ilvl w:val="0"/>
          <w:numId w:val="24"/>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fr-CA"/>
        </w:rPr>
      </w:pPr>
      <w:r w:rsidRPr="00887A5D">
        <w:rPr>
          <w:rFonts w:ascii="Times New Roman" w:hAnsi="Times New Roman" w:cs="Times New Roman"/>
          <w:i/>
          <w:color w:val="auto"/>
          <w:kern w:val="22"/>
          <w:sz w:val="22"/>
          <w:szCs w:val="22"/>
          <w:lang w:val="fr-CA"/>
        </w:rPr>
        <w:t>Reconnaît</w:t>
      </w:r>
      <w:r w:rsidRPr="00887A5D">
        <w:rPr>
          <w:rFonts w:ascii="Times New Roman" w:hAnsi="Times New Roman" w:cs="Times New Roman"/>
          <w:color w:val="auto"/>
          <w:kern w:val="22"/>
          <w:sz w:val="22"/>
          <w:szCs w:val="22"/>
          <w:lang w:val="fr-CA"/>
        </w:rPr>
        <w:t xml:space="preserve"> les efforts prodigués par les Parties pour transposer les Objectifs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Aichi pour la biodiversité en engage</w:t>
      </w:r>
      <w:r w:rsidR="00746344">
        <w:rPr>
          <w:rFonts w:ascii="Times New Roman" w:hAnsi="Times New Roman" w:cs="Times New Roman"/>
          <w:color w:val="auto"/>
          <w:kern w:val="22"/>
          <w:sz w:val="22"/>
          <w:szCs w:val="22"/>
          <w:lang w:val="fr-CA"/>
        </w:rPr>
        <w:t xml:space="preserve">ments et mesures nationaux, tout en </w:t>
      </w:r>
      <w:r w:rsidR="00746344" w:rsidRPr="00746344">
        <w:rPr>
          <w:rFonts w:ascii="Times New Roman" w:hAnsi="Times New Roman" w:cs="Times New Roman"/>
          <w:i/>
          <w:color w:val="auto"/>
          <w:kern w:val="22"/>
          <w:sz w:val="22"/>
          <w:szCs w:val="22"/>
          <w:lang w:val="fr-CA"/>
        </w:rPr>
        <w:t>prenant</w:t>
      </w:r>
      <w:r w:rsidRPr="00746344">
        <w:rPr>
          <w:rFonts w:ascii="Times New Roman" w:hAnsi="Times New Roman" w:cs="Times New Roman"/>
          <w:i/>
          <w:color w:val="auto"/>
          <w:kern w:val="22"/>
          <w:sz w:val="22"/>
          <w:szCs w:val="22"/>
          <w:lang w:val="fr-CA"/>
        </w:rPr>
        <w:t xml:space="preserve"> note avec préoccupation</w:t>
      </w:r>
      <w:r w:rsidRPr="00887A5D">
        <w:rPr>
          <w:rFonts w:ascii="Times New Roman" w:hAnsi="Times New Roman" w:cs="Times New Roman"/>
          <w:color w:val="auto"/>
          <w:kern w:val="22"/>
          <w:sz w:val="22"/>
          <w:szCs w:val="22"/>
          <w:lang w:val="fr-CA"/>
        </w:rPr>
        <w:t xml:space="preserve"> des conclusions de l</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évaluation actualisée des progrès accomplis dans la réalisation des Objectifs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Aichi pour la biodiversité, en particulier les suivantes</w:t>
      </w:r>
      <w:r>
        <w:rPr>
          <w:rFonts w:ascii="Times New Roman" w:hAnsi="Times New Roman" w:cs="Times New Roman"/>
          <w:color w:val="auto"/>
          <w:kern w:val="22"/>
          <w:sz w:val="22"/>
          <w:szCs w:val="22"/>
          <w:lang w:val="fr-CA"/>
        </w:rPr>
        <w:t> :</w:t>
      </w:r>
    </w:p>
    <w:p w:rsidR="003D5F0C" w:rsidRPr="004C3718" w:rsidRDefault="0032162F" w:rsidP="0032162F">
      <w:pPr>
        <w:pStyle w:val="NormalWeb"/>
        <w:numPr>
          <w:ilvl w:val="0"/>
          <w:numId w:val="25"/>
        </w:numPr>
        <w:suppressLineNumbers/>
        <w:suppressAutoHyphens/>
        <w:kinsoku w:val="0"/>
        <w:overflowPunct w:val="0"/>
        <w:autoSpaceDE w:val="0"/>
        <w:autoSpaceDN w:val="0"/>
        <w:adjustRightInd w:val="0"/>
        <w:snapToGrid w:val="0"/>
        <w:spacing w:before="120" w:beforeAutospacing="0" w:after="120" w:afterAutospacing="0"/>
        <w:ind w:left="0" w:firstLine="709"/>
        <w:jc w:val="both"/>
        <w:rPr>
          <w:rFonts w:ascii="Times New Roman" w:hAnsi="Times New Roman" w:cs="Times New Roman"/>
          <w:sz w:val="22"/>
          <w:szCs w:val="22"/>
          <w:lang w:val="fr-CA"/>
        </w:rPr>
      </w:pPr>
      <w:r w:rsidRPr="00887A5D">
        <w:rPr>
          <w:rFonts w:ascii="Times New Roman" w:hAnsi="Times New Roman" w:cs="Times New Roman"/>
          <w:color w:val="auto"/>
          <w:kern w:val="22"/>
          <w:sz w:val="22"/>
          <w:szCs w:val="22"/>
          <w:lang w:val="fr-CA"/>
        </w:rPr>
        <w:t>Pour la plupart des Objectifs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Aichi pour la biodiversit</w:t>
      </w:r>
      <w:r w:rsidR="00746344">
        <w:rPr>
          <w:rFonts w:ascii="Times New Roman" w:hAnsi="Times New Roman" w:cs="Times New Roman"/>
          <w:color w:val="auto"/>
          <w:kern w:val="22"/>
          <w:sz w:val="22"/>
          <w:szCs w:val="22"/>
          <w:lang w:val="fr-CA"/>
        </w:rPr>
        <w:t>é, les progrès accomplis sont limités, alors que pour certains o</w:t>
      </w:r>
      <w:r w:rsidRPr="00887A5D">
        <w:rPr>
          <w:rFonts w:ascii="Times New Roman" w:hAnsi="Times New Roman" w:cs="Times New Roman"/>
          <w:color w:val="auto"/>
          <w:kern w:val="22"/>
          <w:sz w:val="22"/>
          <w:szCs w:val="22"/>
          <w:lang w:val="fr-CA"/>
        </w:rPr>
        <w:t>bjectifs, aucun progrès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ensemble n</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 été accompli</w:t>
      </w:r>
      <w:r w:rsidR="003D5F0C" w:rsidRPr="004C3718">
        <w:rPr>
          <w:rFonts w:ascii="Times New Roman" w:hAnsi="Times New Roman" w:cs="Times New Roman"/>
          <w:color w:val="auto"/>
          <w:kern w:val="22"/>
          <w:sz w:val="22"/>
          <w:szCs w:val="22"/>
          <w:lang w:val="fr-CA"/>
        </w:rPr>
        <w:t>;</w:t>
      </w:r>
    </w:p>
    <w:p w:rsidR="003D5F0C" w:rsidRPr="004C3718" w:rsidRDefault="0032162F" w:rsidP="006C4D65">
      <w:pPr>
        <w:pStyle w:val="NormalWeb"/>
        <w:numPr>
          <w:ilvl w:val="0"/>
          <w:numId w:val="25"/>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fr-CA"/>
        </w:rPr>
      </w:pPr>
      <w:r w:rsidRPr="00887A5D">
        <w:rPr>
          <w:rFonts w:ascii="Times New Roman" w:hAnsi="Times New Roman" w:cs="Times New Roman"/>
          <w:color w:val="auto"/>
          <w:kern w:val="22"/>
          <w:sz w:val="22"/>
          <w:szCs w:val="22"/>
          <w:lang w:val="fr-CA"/>
        </w:rPr>
        <w:t>Seul un nombre</w:t>
      </w:r>
      <w:r w:rsidR="00746344">
        <w:rPr>
          <w:rFonts w:ascii="Times New Roman" w:hAnsi="Times New Roman" w:cs="Times New Roman"/>
          <w:color w:val="auto"/>
          <w:kern w:val="22"/>
          <w:sz w:val="22"/>
          <w:szCs w:val="22"/>
          <w:lang w:val="fr-CA"/>
        </w:rPr>
        <w:t xml:space="preserve"> limité</w:t>
      </w:r>
      <w:r w:rsidRPr="00887A5D">
        <w:rPr>
          <w:rFonts w:ascii="Times New Roman" w:hAnsi="Times New Roman" w:cs="Times New Roman"/>
          <w:color w:val="auto"/>
          <w:kern w:val="22"/>
          <w:sz w:val="22"/>
          <w:szCs w:val="22"/>
          <w:lang w:val="fr-CA"/>
        </w:rPr>
        <w:t xml:space="preserve"> de Parties ont adopté leurs stratégies et plans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action nationaux pour la diversité biologique en tant qu</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instruments de politique générale pour l</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ensemble du gouvernement</w:t>
      </w:r>
      <w:r w:rsidR="003D5F0C" w:rsidRPr="004C3718">
        <w:rPr>
          <w:rFonts w:ascii="Times New Roman" w:hAnsi="Times New Roman" w:cs="Times New Roman"/>
          <w:color w:val="auto"/>
          <w:kern w:val="22"/>
          <w:sz w:val="22"/>
          <w:szCs w:val="22"/>
          <w:lang w:val="fr-CA"/>
        </w:rPr>
        <w:t>;</w:t>
      </w:r>
    </w:p>
    <w:p w:rsidR="003D5F0C" w:rsidRPr="004C3718" w:rsidRDefault="00746344" w:rsidP="00414824">
      <w:pPr>
        <w:pStyle w:val="NormalWeb"/>
        <w:numPr>
          <w:ilvl w:val="0"/>
          <w:numId w:val="25"/>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fr-CA"/>
        </w:rPr>
      </w:pPr>
      <w:r>
        <w:rPr>
          <w:rFonts w:ascii="Times New Roman" w:hAnsi="Times New Roman" w:cs="Times New Roman"/>
          <w:color w:val="auto"/>
          <w:kern w:val="22"/>
          <w:sz w:val="22"/>
          <w:szCs w:val="22"/>
          <w:lang w:val="fr-CA"/>
        </w:rPr>
        <w:t xml:space="preserve">Seul un </w:t>
      </w:r>
      <w:r w:rsidR="0032162F" w:rsidRPr="00887A5D">
        <w:rPr>
          <w:rFonts w:ascii="Times New Roman" w:hAnsi="Times New Roman" w:cs="Times New Roman"/>
          <w:color w:val="auto"/>
          <w:kern w:val="22"/>
          <w:sz w:val="22"/>
          <w:szCs w:val="22"/>
          <w:lang w:val="fr-CA"/>
        </w:rPr>
        <w:t xml:space="preserve">nombre </w:t>
      </w:r>
      <w:r>
        <w:rPr>
          <w:rFonts w:ascii="Times New Roman" w:hAnsi="Times New Roman" w:cs="Times New Roman"/>
          <w:color w:val="auto"/>
          <w:kern w:val="22"/>
          <w:sz w:val="22"/>
          <w:szCs w:val="22"/>
          <w:lang w:val="fr-CA"/>
        </w:rPr>
        <w:t xml:space="preserve">limité </w:t>
      </w:r>
      <w:r w:rsidR="0032162F" w:rsidRPr="00887A5D">
        <w:rPr>
          <w:rFonts w:ascii="Times New Roman" w:hAnsi="Times New Roman" w:cs="Times New Roman"/>
          <w:color w:val="auto"/>
          <w:kern w:val="22"/>
          <w:sz w:val="22"/>
          <w:szCs w:val="22"/>
          <w:lang w:val="fr-CA"/>
        </w:rPr>
        <w:t>de stratégies et plans d</w:t>
      </w:r>
      <w:r w:rsidR="00C93846">
        <w:rPr>
          <w:rFonts w:ascii="Times New Roman" w:hAnsi="Times New Roman" w:cs="Times New Roman"/>
          <w:color w:val="auto"/>
          <w:kern w:val="22"/>
          <w:sz w:val="22"/>
          <w:szCs w:val="22"/>
          <w:lang w:val="fr-CA"/>
        </w:rPr>
        <w:t>’</w:t>
      </w:r>
      <w:r w:rsidR="0032162F" w:rsidRPr="00887A5D">
        <w:rPr>
          <w:rFonts w:ascii="Times New Roman" w:hAnsi="Times New Roman" w:cs="Times New Roman"/>
          <w:color w:val="auto"/>
          <w:kern w:val="22"/>
          <w:sz w:val="22"/>
          <w:szCs w:val="22"/>
          <w:lang w:val="fr-CA"/>
        </w:rPr>
        <w:t>action nationaux pour la diversité biologique</w:t>
      </w:r>
      <w:r w:rsidR="0032162F" w:rsidRPr="00887A5D" w:rsidDel="001E23B4">
        <w:rPr>
          <w:rFonts w:ascii="Times New Roman" w:hAnsi="Times New Roman" w:cs="Times New Roman"/>
          <w:color w:val="auto"/>
          <w:kern w:val="22"/>
          <w:sz w:val="22"/>
          <w:szCs w:val="22"/>
          <w:lang w:val="fr-CA"/>
        </w:rPr>
        <w:t xml:space="preserve"> </w:t>
      </w:r>
      <w:r w:rsidR="0032162F" w:rsidRPr="00887A5D">
        <w:rPr>
          <w:rFonts w:ascii="Times New Roman" w:hAnsi="Times New Roman" w:cs="Times New Roman"/>
          <w:color w:val="auto"/>
          <w:kern w:val="22"/>
          <w:sz w:val="22"/>
          <w:szCs w:val="22"/>
          <w:lang w:val="fr-CA"/>
        </w:rPr>
        <w:t>comprennent des stratégies de mobilisation des ressources, des stratégies de communication et de sensibilisation du public, ou des stratégies de renforcement des capacités, comme le suggèrent les orientations fournies pour les stratégies et plans d</w:t>
      </w:r>
      <w:r w:rsidR="00C93846">
        <w:rPr>
          <w:rFonts w:ascii="Times New Roman" w:hAnsi="Times New Roman" w:cs="Times New Roman"/>
          <w:color w:val="auto"/>
          <w:kern w:val="22"/>
          <w:sz w:val="22"/>
          <w:szCs w:val="22"/>
          <w:lang w:val="fr-CA"/>
        </w:rPr>
        <w:t>’</w:t>
      </w:r>
      <w:r w:rsidR="0032162F" w:rsidRPr="00887A5D">
        <w:rPr>
          <w:rFonts w:ascii="Times New Roman" w:hAnsi="Times New Roman" w:cs="Times New Roman"/>
          <w:color w:val="auto"/>
          <w:kern w:val="22"/>
          <w:sz w:val="22"/>
          <w:szCs w:val="22"/>
          <w:lang w:val="fr-CA"/>
        </w:rPr>
        <w:t>action nationaux pour la diversité biologique</w:t>
      </w:r>
      <w:r w:rsidR="007745CD">
        <w:rPr>
          <w:rStyle w:val="FootnoteReference"/>
          <w:rFonts w:ascii="Times New Roman" w:hAnsi="Times New Roman" w:cs="Times New Roman"/>
          <w:color w:val="auto"/>
          <w:kern w:val="22"/>
          <w:szCs w:val="22"/>
          <w:lang w:val="en-GB"/>
        </w:rPr>
        <w:footnoteReference w:id="3"/>
      </w:r>
      <w:r w:rsidR="003D5F0C" w:rsidRPr="004C3718">
        <w:rPr>
          <w:rFonts w:ascii="Times New Roman" w:hAnsi="Times New Roman" w:cs="Times New Roman"/>
          <w:color w:val="auto"/>
          <w:kern w:val="22"/>
          <w:sz w:val="22"/>
          <w:szCs w:val="22"/>
          <w:lang w:val="fr-CA"/>
        </w:rPr>
        <w:t>;</w:t>
      </w:r>
    </w:p>
    <w:p w:rsidR="003D5F0C" w:rsidRPr="004C3718" w:rsidRDefault="00746344" w:rsidP="001E23B4">
      <w:pPr>
        <w:pStyle w:val="NormalWeb"/>
        <w:numPr>
          <w:ilvl w:val="0"/>
          <w:numId w:val="25"/>
        </w:numPr>
        <w:suppressLineNumbers/>
        <w:suppressAutoHyphens/>
        <w:kinsoku w:val="0"/>
        <w:overflowPunct w:val="0"/>
        <w:autoSpaceDE w:val="0"/>
        <w:autoSpaceDN w:val="0"/>
        <w:adjustRightInd w:val="0"/>
        <w:snapToGrid w:val="0"/>
        <w:spacing w:before="120" w:beforeAutospacing="0" w:after="120" w:afterAutospacing="0"/>
        <w:ind w:left="0" w:firstLine="720"/>
        <w:jc w:val="both"/>
        <w:rPr>
          <w:rFonts w:ascii="Times New Roman" w:hAnsi="Times New Roman" w:cs="Times New Roman"/>
          <w:color w:val="auto"/>
          <w:kern w:val="22"/>
          <w:sz w:val="22"/>
          <w:szCs w:val="22"/>
          <w:lang w:val="fr-CA"/>
        </w:rPr>
      </w:pPr>
      <w:r>
        <w:rPr>
          <w:rFonts w:ascii="Times New Roman" w:hAnsi="Times New Roman" w:cs="Times New Roman"/>
          <w:color w:val="auto"/>
          <w:kern w:val="22"/>
          <w:sz w:val="22"/>
          <w:szCs w:val="22"/>
          <w:lang w:val="fr-CA"/>
        </w:rPr>
        <w:lastRenderedPageBreak/>
        <w:t xml:space="preserve">Seul </w:t>
      </w:r>
      <w:r w:rsidR="0032162F" w:rsidRPr="00887A5D">
        <w:rPr>
          <w:rFonts w:ascii="Times New Roman" w:hAnsi="Times New Roman" w:cs="Times New Roman"/>
          <w:color w:val="auto"/>
          <w:kern w:val="22"/>
          <w:sz w:val="22"/>
          <w:szCs w:val="22"/>
          <w:lang w:val="fr-CA"/>
        </w:rPr>
        <w:t>nombre</w:t>
      </w:r>
      <w:r>
        <w:rPr>
          <w:rFonts w:ascii="Times New Roman" w:hAnsi="Times New Roman" w:cs="Times New Roman"/>
          <w:color w:val="auto"/>
          <w:kern w:val="22"/>
          <w:sz w:val="22"/>
          <w:szCs w:val="22"/>
          <w:lang w:val="fr-CA"/>
        </w:rPr>
        <w:t xml:space="preserve"> limité</w:t>
      </w:r>
      <w:r w:rsidR="0032162F" w:rsidRPr="00887A5D">
        <w:rPr>
          <w:rFonts w:ascii="Times New Roman" w:hAnsi="Times New Roman" w:cs="Times New Roman"/>
          <w:color w:val="auto"/>
          <w:kern w:val="22"/>
          <w:sz w:val="22"/>
          <w:szCs w:val="22"/>
          <w:lang w:val="fr-CA"/>
        </w:rPr>
        <w:t xml:space="preserve"> de stratégies et plans d</w:t>
      </w:r>
      <w:r w:rsidR="00C93846">
        <w:rPr>
          <w:rFonts w:ascii="Times New Roman" w:hAnsi="Times New Roman" w:cs="Times New Roman"/>
          <w:color w:val="auto"/>
          <w:kern w:val="22"/>
          <w:sz w:val="22"/>
          <w:szCs w:val="22"/>
          <w:lang w:val="fr-CA"/>
        </w:rPr>
        <w:t>’</w:t>
      </w:r>
      <w:r w:rsidR="0032162F" w:rsidRPr="00887A5D">
        <w:rPr>
          <w:rFonts w:ascii="Times New Roman" w:hAnsi="Times New Roman" w:cs="Times New Roman"/>
          <w:color w:val="auto"/>
          <w:kern w:val="22"/>
          <w:sz w:val="22"/>
          <w:szCs w:val="22"/>
          <w:lang w:val="fr-CA"/>
        </w:rPr>
        <w:t>action nationaux pour la diversité biologique</w:t>
      </w:r>
      <w:r w:rsidR="0032162F" w:rsidRPr="00887A5D" w:rsidDel="001E23B4">
        <w:rPr>
          <w:rFonts w:ascii="Times New Roman" w:hAnsi="Times New Roman" w:cs="Times New Roman"/>
          <w:color w:val="auto"/>
          <w:kern w:val="22"/>
          <w:sz w:val="22"/>
          <w:szCs w:val="22"/>
          <w:lang w:val="fr-CA"/>
        </w:rPr>
        <w:t xml:space="preserve"> </w:t>
      </w:r>
      <w:r w:rsidR="0032162F" w:rsidRPr="00887A5D">
        <w:rPr>
          <w:rFonts w:ascii="Times New Roman" w:hAnsi="Times New Roman" w:cs="Times New Roman"/>
          <w:color w:val="auto"/>
          <w:kern w:val="22"/>
          <w:sz w:val="22"/>
          <w:szCs w:val="22"/>
          <w:lang w:val="fr-CA"/>
        </w:rPr>
        <w:t>démontrent que la diversité biologique est intégrée de manière substantielle dans les programmes et les politiques intersectoriels, les politiques d</w:t>
      </w:r>
      <w:r w:rsidR="00C93846">
        <w:rPr>
          <w:rFonts w:ascii="Times New Roman" w:hAnsi="Times New Roman" w:cs="Times New Roman"/>
          <w:color w:val="auto"/>
          <w:kern w:val="22"/>
          <w:sz w:val="22"/>
          <w:szCs w:val="22"/>
          <w:lang w:val="fr-CA"/>
        </w:rPr>
        <w:t>’</w:t>
      </w:r>
      <w:r w:rsidR="0032162F" w:rsidRPr="00887A5D">
        <w:rPr>
          <w:rFonts w:ascii="Times New Roman" w:hAnsi="Times New Roman" w:cs="Times New Roman"/>
          <w:color w:val="auto"/>
          <w:kern w:val="22"/>
          <w:sz w:val="22"/>
          <w:szCs w:val="22"/>
          <w:lang w:val="fr-CA"/>
        </w:rPr>
        <w:t>élimination de la pauvreté et/ou les programmes de développement durable</w:t>
      </w:r>
      <w:r w:rsidR="003D5F0C" w:rsidRPr="004C3718">
        <w:rPr>
          <w:rFonts w:ascii="Times New Roman" w:hAnsi="Times New Roman" w:cs="Times New Roman"/>
          <w:color w:val="auto"/>
          <w:kern w:val="22"/>
          <w:sz w:val="22"/>
          <w:szCs w:val="22"/>
          <w:lang w:val="fr-CA"/>
        </w:rPr>
        <w:t>;</w:t>
      </w:r>
    </w:p>
    <w:p w:rsidR="003D5F0C" w:rsidRPr="004C3718" w:rsidRDefault="003D5F0C" w:rsidP="00270718">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sz w:val="22"/>
          <w:szCs w:val="22"/>
          <w:lang w:val="fr-CA"/>
        </w:rPr>
      </w:pPr>
      <w:r w:rsidRPr="004C3718">
        <w:rPr>
          <w:rFonts w:ascii="Times New Roman" w:hAnsi="Times New Roman" w:cs="Times New Roman"/>
          <w:sz w:val="22"/>
          <w:szCs w:val="22"/>
          <w:lang w:val="fr-CA"/>
        </w:rPr>
        <w:t>3.</w:t>
      </w:r>
      <w:r w:rsidRPr="004C3718">
        <w:rPr>
          <w:rFonts w:ascii="Times New Roman" w:hAnsi="Times New Roman" w:cs="Times New Roman"/>
          <w:sz w:val="22"/>
          <w:szCs w:val="22"/>
          <w:lang w:val="fr-CA"/>
        </w:rPr>
        <w:tab/>
      </w:r>
      <w:r w:rsidR="00557302">
        <w:rPr>
          <w:rFonts w:ascii="Times New Roman" w:hAnsi="Times New Roman" w:cs="Times New Roman"/>
          <w:i/>
          <w:sz w:val="22"/>
          <w:szCs w:val="22"/>
          <w:lang w:val="fr-CA"/>
        </w:rPr>
        <w:t>Constate</w:t>
      </w:r>
      <w:r w:rsidR="00270718" w:rsidRPr="00887A5D">
        <w:rPr>
          <w:rFonts w:ascii="Times New Roman" w:hAnsi="Times New Roman" w:cs="Times New Roman"/>
          <w:sz w:val="22"/>
          <w:szCs w:val="22"/>
          <w:lang w:val="fr-CA"/>
        </w:rPr>
        <w:t xml:space="preserve"> qu</w:t>
      </w:r>
      <w:r w:rsidR="00C93846">
        <w:rPr>
          <w:rFonts w:ascii="Times New Roman" w:hAnsi="Times New Roman" w:cs="Times New Roman"/>
          <w:sz w:val="22"/>
          <w:szCs w:val="22"/>
          <w:lang w:val="fr-CA"/>
        </w:rPr>
        <w:t>’</w:t>
      </w:r>
      <w:r w:rsidR="00270718" w:rsidRPr="00887A5D">
        <w:rPr>
          <w:rFonts w:ascii="Times New Roman" w:hAnsi="Times New Roman" w:cs="Times New Roman"/>
          <w:sz w:val="22"/>
          <w:szCs w:val="22"/>
          <w:lang w:val="fr-CA"/>
        </w:rPr>
        <w:t xml:space="preserve">un certain nombre de Parties ont intégré leurs </w:t>
      </w:r>
      <w:r w:rsidR="00270718" w:rsidRPr="00887A5D">
        <w:rPr>
          <w:rFonts w:ascii="Times New Roman" w:hAnsi="Times New Roman" w:cs="Times New Roman"/>
          <w:color w:val="auto"/>
          <w:kern w:val="22"/>
          <w:sz w:val="22"/>
          <w:szCs w:val="22"/>
          <w:lang w:val="fr-CA"/>
        </w:rPr>
        <w:t>stratégies et plans d</w:t>
      </w:r>
      <w:r w:rsidR="00C93846">
        <w:rPr>
          <w:rFonts w:ascii="Times New Roman" w:hAnsi="Times New Roman" w:cs="Times New Roman"/>
          <w:color w:val="auto"/>
          <w:kern w:val="22"/>
          <w:sz w:val="22"/>
          <w:szCs w:val="22"/>
          <w:lang w:val="fr-CA"/>
        </w:rPr>
        <w:t>’</w:t>
      </w:r>
      <w:r w:rsidR="00270718" w:rsidRPr="00887A5D">
        <w:rPr>
          <w:rFonts w:ascii="Times New Roman" w:hAnsi="Times New Roman" w:cs="Times New Roman"/>
          <w:color w:val="auto"/>
          <w:kern w:val="22"/>
          <w:sz w:val="22"/>
          <w:szCs w:val="22"/>
          <w:lang w:val="fr-CA"/>
        </w:rPr>
        <w:t>action nationaux pour la diversité biologique</w:t>
      </w:r>
      <w:r w:rsidR="00270718" w:rsidRPr="00887A5D" w:rsidDel="001E23B4">
        <w:rPr>
          <w:rFonts w:ascii="Times New Roman" w:hAnsi="Times New Roman" w:cs="Times New Roman"/>
          <w:sz w:val="22"/>
          <w:szCs w:val="22"/>
          <w:lang w:val="fr-CA"/>
        </w:rPr>
        <w:t xml:space="preserve"> </w:t>
      </w:r>
      <w:r w:rsidR="00270718" w:rsidRPr="00887A5D">
        <w:rPr>
          <w:rFonts w:ascii="Times New Roman" w:hAnsi="Times New Roman" w:cs="Times New Roman"/>
          <w:sz w:val="22"/>
          <w:szCs w:val="22"/>
          <w:lang w:val="fr-CA"/>
        </w:rPr>
        <w:t>dans d</w:t>
      </w:r>
      <w:r w:rsidR="00C93846">
        <w:rPr>
          <w:rFonts w:ascii="Times New Roman" w:hAnsi="Times New Roman" w:cs="Times New Roman"/>
          <w:sz w:val="22"/>
          <w:szCs w:val="22"/>
          <w:lang w:val="fr-CA"/>
        </w:rPr>
        <w:t>’</w:t>
      </w:r>
      <w:r w:rsidR="00270718" w:rsidRPr="00887A5D">
        <w:rPr>
          <w:rFonts w:ascii="Times New Roman" w:hAnsi="Times New Roman" w:cs="Times New Roman"/>
          <w:sz w:val="22"/>
          <w:szCs w:val="22"/>
          <w:lang w:val="fr-CA"/>
        </w:rPr>
        <w:t>autres stratégies nationales sur l</w:t>
      </w:r>
      <w:r w:rsidR="00C93846">
        <w:rPr>
          <w:rFonts w:ascii="Times New Roman" w:hAnsi="Times New Roman" w:cs="Times New Roman"/>
          <w:sz w:val="22"/>
          <w:szCs w:val="22"/>
          <w:lang w:val="fr-CA"/>
        </w:rPr>
        <w:t>’</w:t>
      </w:r>
      <w:r w:rsidR="00270718" w:rsidRPr="00887A5D">
        <w:rPr>
          <w:rFonts w:ascii="Times New Roman" w:hAnsi="Times New Roman" w:cs="Times New Roman"/>
          <w:sz w:val="22"/>
          <w:szCs w:val="22"/>
          <w:lang w:val="fr-CA"/>
        </w:rPr>
        <w:t xml:space="preserve">environnement et le </w:t>
      </w:r>
      <w:r w:rsidR="00746344">
        <w:rPr>
          <w:rFonts w:ascii="Times New Roman" w:hAnsi="Times New Roman" w:cs="Times New Roman"/>
          <w:sz w:val="22"/>
          <w:szCs w:val="22"/>
          <w:lang w:val="fr-CA"/>
        </w:rPr>
        <w:t xml:space="preserve">développement, et que cette démarche est en mesure de </w:t>
      </w:r>
      <w:r w:rsidR="00270718" w:rsidRPr="00887A5D">
        <w:rPr>
          <w:rFonts w:ascii="Times New Roman" w:hAnsi="Times New Roman" w:cs="Times New Roman"/>
          <w:sz w:val="22"/>
          <w:szCs w:val="22"/>
          <w:lang w:val="fr-CA"/>
        </w:rPr>
        <w:t>faciliter une mobilisation des ressources et une communication plus efficaces;</w:t>
      </w:r>
    </w:p>
    <w:p w:rsidR="003D5F0C" w:rsidRPr="004C3718" w:rsidRDefault="003D5F0C" w:rsidP="00403C52">
      <w:pPr>
        <w:suppressLineNumbers/>
        <w:suppressAutoHyphens/>
        <w:kinsoku w:val="0"/>
        <w:overflowPunct w:val="0"/>
        <w:autoSpaceDE w:val="0"/>
        <w:autoSpaceDN w:val="0"/>
        <w:adjustRightInd w:val="0"/>
        <w:snapToGrid w:val="0"/>
        <w:spacing w:before="120" w:after="120"/>
        <w:ind w:firstLine="720"/>
        <w:textAlignment w:val="baseline"/>
        <w:rPr>
          <w:color w:val="000000"/>
          <w:szCs w:val="22"/>
          <w:lang w:val="fr-CA" w:eastAsia="en-CA"/>
        </w:rPr>
      </w:pPr>
      <w:r w:rsidRPr="004C3718">
        <w:rPr>
          <w:kern w:val="22"/>
          <w:szCs w:val="22"/>
          <w:lang w:val="fr-CA"/>
        </w:rPr>
        <w:t>4</w:t>
      </w:r>
      <w:r w:rsidRPr="004C3718">
        <w:rPr>
          <w:i/>
          <w:kern w:val="22"/>
          <w:szCs w:val="22"/>
          <w:lang w:val="fr-CA"/>
        </w:rPr>
        <w:t>.</w:t>
      </w:r>
      <w:r w:rsidRPr="004C3718">
        <w:rPr>
          <w:i/>
          <w:kern w:val="22"/>
          <w:szCs w:val="22"/>
          <w:lang w:val="fr-CA"/>
        </w:rPr>
        <w:tab/>
      </w:r>
      <w:r w:rsidR="00270718" w:rsidRPr="00887A5D">
        <w:rPr>
          <w:i/>
          <w:kern w:val="22"/>
          <w:szCs w:val="22"/>
          <w:lang w:val="fr-CA"/>
        </w:rPr>
        <w:t>Invite</w:t>
      </w:r>
      <w:r w:rsidR="00270718" w:rsidRPr="00887A5D">
        <w:rPr>
          <w:kern w:val="22"/>
          <w:szCs w:val="22"/>
          <w:lang w:val="fr-CA"/>
        </w:rPr>
        <w:t xml:space="preserve"> les Parties qui ont adopté leurs stratégies et plans d</w:t>
      </w:r>
      <w:r w:rsidR="00C93846">
        <w:rPr>
          <w:kern w:val="22"/>
          <w:szCs w:val="22"/>
          <w:lang w:val="fr-CA"/>
        </w:rPr>
        <w:t>’</w:t>
      </w:r>
      <w:r w:rsidR="00270718" w:rsidRPr="00887A5D">
        <w:rPr>
          <w:kern w:val="22"/>
          <w:szCs w:val="22"/>
          <w:lang w:val="fr-CA"/>
        </w:rPr>
        <w:t>action nationaux pour la diversité biologique</w:t>
      </w:r>
      <w:r w:rsidR="00270718" w:rsidRPr="00887A5D" w:rsidDel="001E23B4">
        <w:rPr>
          <w:kern w:val="22"/>
          <w:szCs w:val="22"/>
          <w:lang w:val="fr-CA"/>
        </w:rPr>
        <w:t xml:space="preserve"> </w:t>
      </w:r>
      <w:r w:rsidR="00270718" w:rsidRPr="00887A5D">
        <w:rPr>
          <w:kern w:val="22"/>
          <w:szCs w:val="22"/>
          <w:lang w:val="fr-CA"/>
        </w:rPr>
        <w:t>en tant qu</w:t>
      </w:r>
      <w:r w:rsidR="00C93846">
        <w:rPr>
          <w:kern w:val="22"/>
          <w:szCs w:val="22"/>
          <w:lang w:val="fr-CA"/>
        </w:rPr>
        <w:t>’</w:t>
      </w:r>
      <w:r w:rsidR="00270718" w:rsidRPr="00887A5D">
        <w:rPr>
          <w:kern w:val="22"/>
          <w:szCs w:val="22"/>
          <w:lang w:val="fr-CA"/>
        </w:rPr>
        <w:t>instruments de politique générale pour l</w:t>
      </w:r>
      <w:r w:rsidR="00C93846">
        <w:rPr>
          <w:kern w:val="22"/>
          <w:szCs w:val="22"/>
          <w:lang w:val="fr-CA"/>
        </w:rPr>
        <w:t>’</w:t>
      </w:r>
      <w:r w:rsidR="00270718" w:rsidRPr="00887A5D">
        <w:rPr>
          <w:kern w:val="22"/>
          <w:szCs w:val="22"/>
          <w:lang w:val="fr-CA"/>
        </w:rPr>
        <w:t>ensemble du gouvernement</w:t>
      </w:r>
      <w:r w:rsidR="00746344">
        <w:rPr>
          <w:kern w:val="22"/>
          <w:szCs w:val="22"/>
          <w:lang w:val="fr-CA"/>
        </w:rPr>
        <w:t>,</w:t>
      </w:r>
      <w:r w:rsidR="00270718" w:rsidRPr="00887A5D">
        <w:rPr>
          <w:kern w:val="22"/>
          <w:szCs w:val="22"/>
          <w:lang w:val="fr-CA"/>
        </w:rPr>
        <w:t xml:space="preserve"> à partager</w:t>
      </w:r>
      <w:r w:rsidR="00270718">
        <w:rPr>
          <w:kern w:val="22"/>
          <w:szCs w:val="22"/>
          <w:lang w:val="fr-CA"/>
        </w:rPr>
        <w:t xml:space="preserve">, y compris par le biais du </w:t>
      </w:r>
      <w:r w:rsidR="00557302">
        <w:rPr>
          <w:kern w:val="22"/>
          <w:szCs w:val="22"/>
          <w:lang w:val="fr-CA"/>
        </w:rPr>
        <w:t>c</w:t>
      </w:r>
      <w:r w:rsidR="00270718">
        <w:rPr>
          <w:kern w:val="22"/>
          <w:szCs w:val="22"/>
          <w:lang w:val="fr-CA"/>
        </w:rPr>
        <w:t>entre d</w:t>
      </w:r>
      <w:r w:rsidR="00C93846">
        <w:rPr>
          <w:kern w:val="22"/>
          <w:szCs w:val="22"/>
          <w:lang w:val="fr-CA"/>
        </w:rPr>
        <w:t>’</w:t>
      </w:r>
      <w:r w:rsidR="00270718">
        <w:rPr>
          <w:kern w:val="22"/>
          <w:szCs w:val="22"/>
          <w:lang w:val="fr-CA"/>
        </w:rPr>
        <w:t>échange de la Convention,</w:t>
      </w:r>
      <w:r w:rsidR="00270718" w:rsidRPr="00887A5D">
        <w:rPr>
          <w:kern w:val="22"/>
          <w:szCs w:val="22"/>
          <w:lang w:val="fr-CA"/>
        </w:rPr>
        <w:t xml:space="preserve"> leurs données d</w:t>
      </w:r>
      <w:r w:rsidR="00C93846">
        <w:rPr>
          <w:kern w:val="22"/>
          <w:szCs w:val="22"/>
          <w:lang w:val="fr-CA"/>
        </w:rPr>
        <w:t>’</w:t>
      </w:r>
      <w:r w:rsidR="00270718" w:rsidRPr="00887A5D">
        <w:rPr>
          <w:kern w:val="22"/>
          <w:szCs w:val="22"/>
          <w:lang w:val="fr-CA"/>
        </w:rPr>
        <w:t>expérience et leurs bonnes pratiques en la matière, y compris les difficultés rencontrées</w:t>
      </w:r>
      <w:r w:rsidR="00270718">
        <w:rPr>
          <w:i/>
          <w:kern w:val="22"/>
          <w:szCs w:val="22"/>
          <w:lang w:val="fr-CA"/>
        </w:rPr>
        <w:t>;</w:t>
      </w:r>
    </w:p>
    <w:p w:rsidR="003D5F0C" w:rsidRPr="004C3718" w:rsidRDefault="003D5F0C" w:rsidP="00BE6F55">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fr-CA"/>
        </w:rPr>
      </w:pPr>
      <w:r w:rsidRPr="004C3718">
        <w:rPr>
          <w:rFonts w:ascii="Times New Roman" w:hAnsi="Times New Roman" w:cs="Times New Roman"/>
          <w:color w:val="auto"/>
          <w:kern w:val="22"/>
          <w:sz w:val="22"/>
          <w:szCs w:val="22"/>
          <w:lang w:val="fr-CA"/>
        </w:rPr>
        <w:t>5.</w:t>
      </w:r>
      <w:r w:rsidRPr="004C3718">
        <w:rPr>
          <w:rFonts w:ascii="Times New Roman" w:hAnsi="Times New Roman" w:cs="Times New Roman"/>
          <w:color w:val="auto"/>
          <w:kern w:val="22"/>
          <w:sz w:val="22"/>
          <w:szCs w:val="22"/>
          <w:lang w:val="fr-CA"/>
        </w:rPr>
        <w:tab/>
      </w:r>
      <w:r w:rsidR="00270718" w:rsidRPr="00887A5D">
        <w:rPr>
          <w:rFonts w:ascii="Times New Roman" w:hAnsi="Times New Roman" w:cs="Times New Roman"/>
          <w:i/>
          <w:color w:val="auto"/>
          <w:kern w:val="22"/>
          <w:sz w:val="22"/>
          <w:szCs w:val="22"/>
          <w:lang w:val="fr-CA"/>
        </w:rPr>
        <w:t>Prie instamment</w:t>
      </w:r>
      <w:r w:rsidR="00270718" w:rsidRPr="00887A5D">
        <w:rPr>
          <w:rFonts w:ascii="Times New Roman" w:hAnsi="Times New Roman" w:cs="Times New Roman"/>
          <w:color w:val="auto"/>
          <w:kern w:val="22"/>
          <w:sz w:val="22"/>
          <w:szCs w:val="22"/>
          <w:lang w:val="fr-CA"/>
        </w:rPr>
        <w:t xml:space="preserve"> les Parties d</w:t>
      </w:r>
      <w:r w:rsidR="00C93846">
        <w:rPr>
          <w:rFonts w:ascii="Times New Roman" w:hAnsi="Times New Roman" w:cs="Times New Roman"/>
          <w:color w:val="auto"/>
          <w:kern w:val="22"/>
          <w:sz w:val="22"/>
          <w:szCs w:val="22"/>
          <w:lang w:val="fr-CA"/>
        </w:rPr>
        <w:t>’</w:t>
      </w:r>
      <w:r w:rsidR="00270718" w:rsidRPr="00887A5D">
        <w:rPr>
          <w:rFonts w:ascii="Times New Roman" w:hAnsi="Times New Roman" w:cs="Times New Roman"/>
          <w:color w:val="auto"/>
          <w:kern w:val="22"/>
          <w:sz w:val="22"/>
          <w:szCs w:val="22"/>
          <w:lang w:val="fr-CA"/>
        </w:rPr>
        <w:t xml:space="preserve">accélérer considérablement leurs efforts prodigués pour mettre en œuvre le </w:t>
      </w:r>
      <w:r w:rsidR="00BE6F55" w:rsidRPr="00BE6F55">
        <w:rPr>
          <w:rFonts w:ascii="Times New Roman" w:hAnsi="Times New Roman" w:cs="Times New Roman"/>
          <w:color w:val="auto"/>
          <w:kern w:val="22"/>
          <w:sz w:val="22"/>
          <w:szCs w:val="22"/>
          <w:lang w:val="fr-CA"/>
        </w:rPr>
        <w:t xml:space="preserve">Plan stratégique </w:t>
      </w:r>
      <w:r w:rsidR="00942E5F">
        <w:rPr>
          <w:rFonts w:ascii="Times New Roman" w:hAnsi="Times New Roman" w:cs="Times New Roman"/>
          <w:color w:val="auto"/>
          <w:kern w:val="22"/>
          <w:sz w:val="22"/>
          <w:szCs w:val="22"/>
          <w:lang w:val="fr-CA"/>
        </w:rPr>
        <w:t xml:space="preserve">pour la diversité biologique </w:t>
      </w:r>
      <w:r w:rsidR="00BE6F55" w:rsidRPr="00BE6F55">
        <w:rPr>
          <w:rFonts w:ascii="Times New Roman" w:hAnsi="Times New Roman" w:cs="Times New Roman"/>
          <w:color w:val="auto"/>
          <w:kern w:val="22"/>
          <w:sz w:val="22"/>
          <w:szCs w:val="22"/>
          <w:lang w:val="fr-CA"/>
        </w:rPr>
        <w:t>2011</w:t>
      </w:r>
      <w:r w:rsidR="00BE6F55">
        <w:rPr>
          <w:rFonts w:ascii="Times New Roman" w:hAnsi="Times New Roman" w:cs="Times New Roman"/>
          <w:color w:val="auto"/>
          <w:kern w:val="22"/>
          <w:sz w:val="22"/>
          <w:szCs w:val="22"/>
          <w:lang w:val="fr-CA"/>
        </w:rPr>
        <w:noBreakHyphen/>
      </w:r>
      <w:r w:rsidR="00BE6F55" w:rsidRPr="00BE6F55">
        <w:rPr>
          <w:rFonts w:ascii="Times New Roman" w:hAnsi="Times New Roman" w:cs="Times New Roman"/>
          <w:color w:val="auto"/>
          <w:kern w:val="22"/>
          <w:sz w:val="22"/>
          <w:szCs w:val="22"/>
          <w:lang w:val="fr-CA"/>
        </w:rPr>
        <w:t>2</w:t>
      </w:r>
      <w:r w:rsidR="00942E5F">
        <w:rPr>
          <w:rFonts w:ascii="Times New Roman" w:hAnsi="Times New Roman" w:cs="Times New Roman"/>
          <w:color w:val="auto"/>
          <w:kern w:val="22"/>
          <w:sz w:val="22"/>
          <w:szCs w:val="22"/>
          <w:lang w:val="fr-CA"/>
        </w:rPr>
        <w:t>020</w:t>
      </w:r>
      <w:r w:rsidR="00270718" w:rsidRPr="00887A5D">
        <w:rPr>
          <w:rFonts w:ascii="Times New Roman" w:hAnsi="Times New Roman" w:cs="Times New Roman"/>
          <w:color w:val="auto"/>
          <w:kern w:val="22"/>
          <w:sz w:val="22"/>
          <w:szCs w:val="22"/>
          <w:lang w:val="fr-CA"/>
        </w:rPr>
        <w:t xml:space="preserve"> en comblant </w:t>
      </w:r>
      <w:r w:rsidR="00942E5F">
        <w:rPr>
          <w:rFonts w:ascii="Times New Roman" w:hAnsi="Times New Roman" w:cs="Times New Roman"/>
          <w:color w:val="auto"/>
          <w:kern w:val="22"/>
          <w:sz w:val="22"/>
          <w:szCs w:val="22"/>
          <w:lang w:val="fr-CA"/>
        </w:rPr>
        <w:t xml:space="preserve">notamment </w:t>
      </w:r>
      <w:r w:rsidR="00270718" w:rsidRPr="00887A5D">
        <w:rPr>
          <w:rFonts w:ascii="Times New Roman" w:hAnsi="Times New Roman" w:cs="Times New Roman"/>
          <w:color w:val="auto"/>
          <w:kern w:val="22"/>
          <w:sz w:val="22"/>
          <w:szCs w:val="22"/>
          <w:lang w:val="fr-CA"/>
        </w:rPr>
        <w:t xml:space="preserve">les lacunes subsistant entre les aspirations </w:t>
      </w:r>
      <w:r w:rsidR="00270718">
        <w:rPr>
          <w:rFonts w:ascii="Times New Roman" w:hAnsi="Times New Roman" w:cs="Times New Roman"/>
          <w:color w:val="auto"/>
          <w:kern w:val="22"/>
          <w:sz w:val="22"/>
          <w:szCs w:val="22"/>
          <w:lang w:val="fr-CA"/>
        </w:rPr>
        <w:t>incluses</w:t>
      </w:r>
      <w:r w:rsidR="00270718" w:rsidRPr="00887A5D">
        <w:rPr>
          <w:rFonts w:ascii="Times New Roman" w:hAnsi="Times New Roman" w:cs="Times New Roman"/>
          <w:color w:val="auto"/>
          <w:kern w:val="22"/>
          <w:sz w:val="22"/>
          <w:szCs w:val="22"/>
          <w:lang w:val="fr-CA"/>
        </w:rPr>
        <w:t xml:space="preserve"> dans leurs stratégies et plans d</w:t>
      </w:r>
      <w:r w:rsidR="00C93846">
        <w:rPr>
          <w:rFonts w:ascii="Times New Roman" w:hAnsi="Times New Roman" w:cs="Times New Roman"/>
          <w:color w:val="auto"/>
          <w:kern w:val="22"/>
          <w:sz w:val="22"/>
          <w:szCs w:val="22"/>
          <w:lang w:val="fr-CA"/>
        </w:rPr>
        <w:t>’</w:t>
      </w:r>
      <w:r w:rsidR="00270718" w:rsidRPr="00887A5D">
        <w:rPr>
          <w:rFonts w:ascii="Times New Roman" w:hAnsi="Times New Roman" w:cs="Times New Roman"/>
          <w:color w:val="auto"/>
          <w:kern w:val="22"/>
          <w:sz w:val="22"/>
          <w:szCs w:val="22"/>
          <w:lang w:val="fr-CA"/>
        </w:rPr>
        <w:t>action nationaux pour la diversité biologique et les mesures prises pour les réaliser</w:t>
      </w:r>
      <w:r w:rsidR="00270718">
        <w:rPr>
          <w:rFonts w:ascii="Times New Roman" w:hAnsi="Times New Roman" w:cs="Times New Roman"/>
          <w:color w:val="auto"/>
          <w:kern w:val="22"/>
          <w:sz w:val="22"/>
          <w:szCs w:val="22"/>
          <w:lang w:val="fr-CA"/>
        </w:rPr>
        <w:t>;</w:t>
      </w:r>
    </w:p>
    <w:p w:rsidR="00B53206" w:rsidRPr="00887A5D" w:rsidRDefault="003D5F0C" w:rsidP="00B53206">
      <w:pPr>
        <w:suppressLineNumbers/>
        <w:suppressAutoHyphens/>
        <w:kinsoku w:val="0"/>
        <w:overflowPunct w:val="0"/>
        <w:autoSpaceDE w:val="0"/>
        <w:autoSpaceDN w:val="0"/>
        <w:adjustRightInd w:val="0"/>
        <w:snapToGrid w:val="0"/>
        <w:spacing w:before="120" w:after="120"/>
        <w:ind w:firstLine="720"/>
        <w:textAlignment w:val="baseline"/>
        <w:rPr>
          <w:color w:val="000000"/>
          <w:szCs w:val="22"/>
          <w:lang w:val="fr-CA" w:eastAsia="en-CA"/>
        </w:rPr>
      </w:pPr>
      <w:r w:rsidRPr="004C3718">
        <w:rPr>
          <w:color w:val="000000"/>
          <w:szCs w:val="22"/>
          <w:lang w:val="fr-CA" w:eastAsia="en-CA"/>
        </w:rPr>
        <w:t>6.</w:t>
      </w:r>
      <w:r w:rsidRPr="004C3718">
        <w:rPr>
          <w:color w:val="000000"/>
          <w:szCs w:val="22"/>
          <w:lang w:val="fr-CA" w:eastAsia="en-CA"/>
        </w:rPr>
        <w:tab/>
      </w:r>
      <w:r w:rsidR="00B53206" w:rsidRPr="00887A5D">
        <w:rPr>
          <w:i/>
          <w:color w:val="000000"/>
          <w:szCs w:val="22"/>
          <w:lang w:val="fr-CA" w:eastAsia="en-CA"/>
        </w:rPr>
        <w:t xml:space="preserve">Invite </w:t>
      </w:r>
      <w:r w:rsidR="00B53206" w:rsidRPr="00887A5D">
        <w:rPr>
          <w:color w:val="000000"/>
          <w:szCs w:val="22"/>
          <w:lang w:val="fr-CA" w:eastAsia="en-CA"/>
        </w:rPr>
        <w:t>les Parties à collaborer avec les peuples autochtones et les communautés locales, les organi</w:t>
      </w:r>
      <w:r w:rsidR="00710499">
        <w:rPr>
          <w:color w:val="000000"/>
          <w:szCs w:val="22"/>
          <w:lang w:val="fr-CA" w:eastAsia="en-CA"/>
        </w:rPr>
        <w:t xml:space="preserve">sations de la société civile, </w:t>
      </w:r>
      <w:r w:rsidR="00B53206" w:rsidRPr="00887A5D">
        <w:rPr>
          <w:color w:val="000000"/>
          <w:szCs w:val="22"/>
          <w:lang w:val="fr-CA" w:eastAsia="en-CA"/>
        </w:rPr>
        <w:t>les groupements de femmes et d</w:t>
      </w:r>
      <w:r w:rsidR="00C93846">
        <w:rPr>
          <w:color w:val="000000"/>
          <w:szCs w:val="22"/>
          <w:lang w:val="fr-CA" w:eastAsia="en-CA"/>
        </w:rPr>
        <w:t>’</w:t>
      </w:r>
      <w:r w:rsidR="00B53206" w:rsidRPr="00887A5D">
        <w:rPr>
          <w:color w:val="000000"/>
          <w:szCs w:val="22"/>
          <w:lang w:val="fr-CA" w:eastAsia="en-CA"/>
        </w:rPr>
        <w:t>autres parties prenantes, afin d</w:t>
      </w:r>
      <w:r w:rsidR="00C93846">
        <w:rPr>
          <w:color w:val="000000"/>
          <w:szCs w:val="22"/>
          <w:lang w:val="fr-CA" w:eastAsia="en-CA"/>
        </w:rPr>
        <w:t>’</w:t>
      </w:r>
      <w:r w:rsidR="00B53206" w:rsidRPr="00887A5D">
        <w:rPr>
          <w:color w:val="000000"/>
          <w:szCs w:val="22"/>
          <w:lang w:val="fr-CA" w:eastAsia="en-CA"/>
        </w:rPr>
        <w:t>accélérer les progrès accomplis dans la mise en œuvre;</w:t>
      </w:r>
    </w:p>
    <w:p w:rsidR="00B53206" w:rsidRPr="00887A5D" w:rsidRDefault="00B53206" w:rsidP="00B53206">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fr-CA"/>
        </w:rPr>
      </w:pPr>
      <w:r w:rsidRPr="00887A5D">
        <w:rPr>
          <w:rFonts w:ascii="Times New Roman" w:hAnsi="Times New Roman" w:cs="Times New Roman"/>
          <w:color w:val="auto"/>
          <w:kern w:val="22"/>
          <w:sz w:val="22"/>
          <w:szCs w:val="22"/>
          <w:lang w:val="fr-CA"/>
        </w:rPr>
        <w:t>7.</w:t>
      </w:r>
      <w:r w:rsidRPr="00887A5D">
        <w:rPr>
          <w:rFonts w:ascii="Times New Roman" w:hAnsi="Times New Roman" w:cs="Times New Roman"/>
          <w:color w:val="auto"/>
          <w:kern w:val="22"/>
          <w:sz w:val="22"/>
          <w:szCs w:val="22"/>
          <w:lang w:val="fr-CA"/>
        </w:rPr>
        <w:tab/>
      </w:r>
      <w:r w:rsidRPr="00887A5D">
        <w:rPr>
          <w:rFonts w:ascii="Times New Roman" w:hAnsi="Times New Roman" w:cs="Times New Roman"/>
          <w:i/>
          <w:color w:val="auto"/>
          <w:kern w:val="22"/>
          <w:sz w:val="22"/>
          <w:szCs w:val="22"/>
          <w:lang w:val="fr-CA"/>
        </w:rPr>
        <w:t>Invite</w:t>
      </w:r>
      <w:r w:rsidRPr="00887A5D">
        <w:rPr>
          <w:rFonts w:ascii="Times New Roman" w:hAnsi="Times New Roman" w:cs="Times New Roman"/>
          <w:color w:val="auto"/>
          <w:kern w:val="22"/>
          <w:sz w:val="22"/>
          <w:szCs w:val="22"/>
          <w:lang w:val="fr-CA"/>
        </w:rPr>
        <w:t xml:space="preserve"> les Parties et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autres entités à se joindre et à contribuer aux partenariats, coalitions et alliances mis en p</w:t>
      </w:r>
      <w:r w:rsidR="00710499">
        <w:rPr>
          <w:rFonts w:ascii="Times New Roman" w:hAnsi="Times New Roman" w:cs="Times New Roman"/>
          <w:color w:val="auto"/>
          <w:kern w:val="22"/>
          <w:sz w:val="22"/>
          <w:szCs w:val="22"/>
          <w:lang w:val="fr-CA"/>
        </w:rPr>
        <w:t>lace pour appuyer la mise en œuvre</w:t>
      </w:r>
      <w:r w:rsidRPr="00887A5D">
        <w:rPr>
          <w:rFonts w:ascii="Times New Roman" w:hAnsi="Times New Roman" w:cs="Times New Roman"/>
          <w:color w:val="auto"/>
          <w:kern w:val="22"/>
          <w:sz w:val="22"/>
          <w:szCs w:val="22"/>
          <w:lang w:val="fr-CA"/>
        </w:rPr>
        <w:t xml:space="preserve"> du Plan stratégique et des Objectifs d</w:t>
      </w:r>
      <w:r w:rsidR="00C93846">
        <w:rPr>
          <w:rFonts w:ascii="Times New Roman" w:hAnsi="Times New Roman" w:cs="Times New Roman"/>
          <w:color w:val="auto"/>
          <w:kern w:val="22"/>
          <w:sz w:val="22"/>
          <w:szCs w:val="22"/>
          <w:lang w:val="fr-CA"/>
        </w:rPr>
        <w:t>’</w:t>
      </w:r>
      <w:r w:rsidRPr="00887A5D">
        <w:rPr>
          <w:rFonts w:ascii="Times New Roman" w:hAnsi="Times New Roman" w:cs="Times New Roman"/>
          <w:color w:val="auto"/>
          <w:kern w:val="22"/>
          <w:sz w:val="22"/>
          <w:szCs w:val="22"/>
          <w:lang w:val="fr-CA"/>
        </w:rPr>
        <w:t>Aichi pour la biodiversité;</w:t>
      </w:r>
    </w:p>
    <w:p w:rsidR="00904736" w:rsidRPr="004C3718" w:rsidRDefault="00B53206" w:rsidP="00D31501">
      <w:pPr>
        <w:suppressLineNumbers/>
        <w:suppressAutoHyphens/>
        <w:kinsoku w:val="0"/>
        <w:overflowPunct w:val="0"/>
        <w:autoSpaceDE w:val="0"/>
        <w:autoSpaceDN w:val="0"/>
        <w:adjustRightInd w:val="0"/>
        <w:snapToGrid w:val="0"/>
        <w:spacing w:before="120" w:after="120"/>
        <w:ind w:firstLine="720"/>
        <w:textAlignment w:val="baseline"/>
        <w:rPr>
          <w:kern w:val="22"/>
          <w:szCs w:val="22"/>
          <w:lang w:val="fr-CA"/>
        </w:rPr>
      </w:pPr>
      <w:r w:rsidRPr="00887A5D">
        <w:rPr>
          <w:kern w:val="22"/>
          <w:szCs w:val="22"/>
          <w:lang w:val="fr-CA"/>
        </w:rPr>
        <w:t>8.</w:t>
      </w:r>
      <w:r w:rsidRPr="00887A5D">
        <w:rPr>
          <w:i/>
          <w:kern w:val="22"/>
          <w:szCs w:val="22"/>
          <w:lang w:val="fr-CA"/>
        </w:rPr>
        <w:tab/>
        <w:t xml:space="preserve">Accueille avec satisfaction </w:t>
      </w:r>
      <w:r w:rsidRPr="00887A5D">
        <w:rPr>
          <w:kern w:val="22"/>
          <w:szCs w:val="22"/>
          <w:lang w:val="fr-CA"/>
        </w:rPr>
        <w:t>les options pour accélérer les progrès accomplis dans la réalisation des Objectifs d</w:t>
      </w:r>
      <w:r w:rsidR="00C93846">
        <w:rPr>
          <w:kern w:val="22"/>
          <w:szCs w:val="22"/>
          <w:lang w:val="fr-CA"/>
        </w:rPr>
        <w:t>’</w:t>
      </w:r>
      <w:r w:rsidRPr="00887A5D">
        <w:rPr>
          <w:kern w:val="22"/>
          <w:szCs w:val="22"/>
          <w:lang w:val="fr-CA"/>
        </w:rPr>
        <w:t>Aich</w:t>
      </w:r>
      <w:r w:rsidR="00710499">
        <w:rPr>
          <w:kern w:val="22"/>
          <w:szCs w:val="22"/>
          <w:lang w:val="fr-CA"/>
        </w:rPr>
        <w:t>i pour la biodiversité qui figurent</w:t>
      </w:r>
      <w:r w:rsidRPr="00887A5D">
        <w:rPr>
          <w:kern w:val="22"/>
          <w:szCs w:val="22"/>
          <w:lang w:val="fr-CA"/>
        </w:rPr>
        <w:t xml:space="preserve"> dans l</w:t>
      </w:r>
      <w:r w:rsidR="00C93846">
        <w:rPr>
          <w:kern w:val="22"/>
          <w:szCs w:val="22"/>
          <w:lang w:val="fr-CA"/>
        </w:rPr>
        <w:t>’</w:t>
      </w:r>
      <w:r w:rsidR="00710499">
        <w:rPr>
          <w:kern w:val="22"/>
          <w:szCs w:val="22"/>
          <w:lang w:val="fr-CA"/>
        </w:rPr>
        <w:t>annexe de</w:t>
      </w:r>
      <w:r w:rsidR="007E5718">
        <w:rPr>
          <w:kern w:val="22"/>
          <w:szCs w:val="22"/>
          <w:lang w:val="fr-CA"/>
        </w:rPr>
        <w:t xml:space="preserve"> la recommandation 22</w:t>
      </w:r>
      <w:r w:rsidRPr="00887A5D">
        <w:rPr>
          <w:kern w:val="22"/>
          <w:szCs w:val="22"/>
          <w:lang w:val="fr-CA"/>
        </w:rPr>
        <w:t>/4 de l</w:t>
      </w:r>
      <w:r w:rsidR="00C93846">
        <w:rPr>
          <w:kern w:val="22"/>
          <w:szCs w:val="22"/>
          <w:lang w:val="fr-CA"/>
        </w:rPr>
        <w:t>’</w:t>
      </w:r>
      <w:r w:rsidRPr="00887A5D">
        <w:rPr>
          <w:kern w:val="22"/>
          <w:szCs w:val="22"/>
          <w:lang w:val="fr-CA"/>
        </w:rPr>
        <w:t>Organe subsidiaire chargé de fournir des avis scientifiques, techniques et technologiques</w:t>
      </w:r>
      <w:r w:rsidR="00D31501">
        <w:rPr>
          <w:kern w:val="22"/>
          <w:szCs w:val="22"/>
          <w:lang w:val="fr-CA"/>
        </w:rPr>
        <w:t>;</w:t>
      </w:r>
    </w:p>
    <w:p w:rsidR="003D5F0C" w:rsidRPr="004C3718" w:rsidRDefault="006B4AEF" w:rsidP="00D31501">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color w:val="auto"/>
          <w:kern w:val="22"/>
          <w:sz w:val="22"/>
          <w:szCs w:val="22"/>
          <w:lang w:val="fr-CA"/>
        </w:rPr>
      </w:pPr>
      <w:r w:rsidRPr="004C3718">
        <w:rPr>
          <w:rFonts w:ascii="Times New Roman" w:hAnsi="Times New Roman" w:cs="Times New Roman"/>
          <w:iCs/>
          <w:color w:val="auto"/>
          <w:kern w:val="22"/>
          <w:sz w:val="22"/>
          <w:szCs w:val="22"/>
          <w:lang w:val="fr-CA"/>
        </w:rPr>
        <w:t>9.</w:t>
      </w:r>
      <w:r w:rsidRPr="004C3718">
        <w:rPr>
          <w:rFonts w:ascii="Times New Roman" w:hAnsi="Times New Roman" w:cs="Times New Roman"/>
          <w:iCs/>
          <w:color w:val="auto"/>
          <w:kern w:val="22"/>
          <w:sz w:val="22"/>
          <w:szCs w:val="22"/>
          <w:lang w:val="fr-CA"/>
        </w:rPr>
        <w:tab/>
      </w:r>
      <w:r w:rsidR="00D31501">
        <w:rPr>
          <w:rFonts w:ascii="Times New Roman" w:hAnsi="Times New Roman" w:cs="Times New Roman"/>
          <w:i/>
          <w:color w:val="auto"/>
          <w:kern w:val="22"/>
          <w:sz w:val="22"/>
          <w:szCs w:val="22"/>
          <w:lang w:val="fr-CA"/>
        </w:rPr>
        <w:t>P</w:t>
      </w:r>
      <w:r w:rsidR="00D31501" w:rsidRPr="00887A5D">
        <w:rPr>
          <w:rFonts w:ascii="Times New Roman" w:hAnsi="Times New Roman" w:cs="Times New Roman"/>
          <w:i/>
          <w:color w:val="auto"/>
          <w:kern w:val="22"/>
          <w:sz w:val="22"/>
          <w:szCs w:val="22"/>
          <w:lang w:val="fr-CA"/>
        </w:rPr>
        <w:t>rie instamment</w:t>
      </w:r>
      <w:r w:rsidR="00D31501" w:rsidRPr="00887A5D">
        <w:rPr>
          <w:rFonts w:ascii="Times New Roman" w:hAnsi="Times New Roman" w:cs="Times New Roman"/>
          <w:color w:val="auto"/>
          <w:kern w:val="22"/>
          <w:sz w:val="22"/>
          <w:szCs w:val="22"/>
          <w:lang w:val="fr-CA"/>
        </w:rPr>
        <w:t xml:space="preserve"> les Parties et </w:t>
      </w:r>
      <w:r w:rsidR="00D31501" w:rsidRPr="00887A5D">
        <w:rPr>
          <w:rFonts w:ascii="Times New Roman" w:hAnsi="Times New Roman" w:cs="Times New Roman"/>
          <w:i/>
          <w:color w:val="auto"/>
          <w:kern w:val="22"/>
          <w:sz w:val="22"/>
          <w:szCs w:val="22"/>
          <w:lang w:val="fr-CA"/>
        </w:rPr>
        <w:t>invite</w:t>
      </w:r>
      <w:r w:rsidR="00D31501" w:rsidRPr="00887A5D">
        <w:rPr>
          <w:rFonts w:ascii="Times New Roman" w:hAnsi="Times New Roman" w:cs="Times New Roman"/>
          <w:color w:val="auto"/>
          <w:kern w:val="22"/>
          <w:sz w:val="22"/>
          <w:szCs w:val="22"/>
          <w:lang w:val="fr-CA"/>
        </w:rPr>
        <w:t xml:space="preserve"> les autres gouvernements, en fonction de leurs circonstances nationales, et </w:t>
      </w:r>
      <w:r w:rsidR="00D31501" w:rsidRPr="00887A5D">
        <w:rPr>
          <w:rFonts w:ascii="Times New Roman" w:hAnsi="Times New Roman" w:cs="Times New Roman"/>
          <w:i/>
          <w:iCs/>
          <w:color w:val="auto"/>
          <w:kern w:val="22"/>
          <w:sz w:val="22"/>
          <w:szCs w:val="22"/>
          <w:lang w:val="fr-CA"/>
        </w:rPr>
        <w:t>invite</w:t>
      </w:r>
      <w:r w:rsidR="00D31501" w:rsidRPr="00887A5D">
        <w:rPr>
          <w:rFonts w:ascii="Times New Roman" w:hAnsi="Times New Roman" w:cs="Times New Roman"/>
          <w:color w:val="auto"/>
          <w:kern w:val="22"/>
          <w:sz w:val="22"/>
          <w:szCs w:val="22"/>
          <w:lang w:val="fr-CA"/>
        </w:rPr>
        <w:t xml:space="preserve"> les organisations compétentes, les peuples autochtones et communautés locales et les parties prenantes concernés </w:t>
      </w:r>
      <w:r w:rsidR="00D31501">
        <w:rPr>
          <w:rFonts w:ascii="Times New Roman" w:hAnsi="Times New Roman" w:cs="Times New Roman"/>
          <w:color w:val="auto"/>
          <w:kern w:val="22"/>
          <w:sz w:val="22"/>
          <w:szCs w:val="22"/>
          <w:lang w:val="fr-CA"/>
        </w:rPr>
        <w:t>à</w:t>
      </w:r>
      <w:r w:rsidR="00D31501" w:rsidRPr="00887A5D">
        <w:rPr>
          <w:rFonts w:ascii="Times New Roman" w:hAnsi="Times New Roman" w:cs="Times New Roman"/>
          <w:color w:val="auto"/>
          <w:kern w:val="22"/>
          <w:sz w:val="22"/>
          <w:szCs w:val="22"/>
          <w:lang w:val="fr-CA"/>
        </w:rPr>
        <w:t xml:space="preserve"> utiliser</w:t>
      </w:r>
      <w:r w:rsidR="00D31501">
        <w:rPr>
          <w:rFonts w:ascii="Times New Roman" w:hAnsi="Times New Roman" w:cs="Times New Roman"/>
          <w:color w:val="auto"/>
          <w:kern w:val="22"/>
          <w:sz w:val="22"/>
          <w:szCs w:val="22"/>
          <w:lang w:val="fr-CA"/>
        </w:rPr>
        <w:t xml:space="preserve"> les options mentionnées au paragraphe 8 ci</w:t>
      </w:r>
      <w:r w:rsidR="00BE6F55">
        <w:rPr>
          <w:rFonts w:ascii="Times New Roman" w:hAnsi="Times New Roman" w:cs="Times New Roman"/>
          <w:color w:val="auto"/>
          <w:kern w:val="22"/>
          <w:sz w:val="22"/>
          <w:szCs w:val="22"/>
          <w:lang w:val="fr-CA"/>
        </w:rPr>
        <w:noBreakHyphen/>
      </w:r>
      <w:r w:rsidR="00D31501">
        <w:rPr>
          <w:rFonts w:ascii="Times New Roman" w:hAnsi="Times New Roman" w:cs="Times New Roman"/>
          <w:color w:val="auto"/>
          <w:kern w:val="22"/>
          <w:sz w:val="22"/>
          <w:szCs w:val="22"/>
          <w:lang w:val="fr-CA"/>
        </w:rPr>
        <w:t>dessus</w:t>
      </w:r>
      <w:r w:rsidR="00D31501" w:rsidRPr="00887A5D">
        <w:rPr>
          <w:rFonts w:ascii="Times New Roman" w:hAnsi="Times New Roman" w:cs="Times New Roman"/>
          <w:color w:val="auto"/>
          <w:kern w:val="22"/>
          <w:sz w:val="22"/>
          <w:szCs w:val="22"/>
          <w:lang w:val="fr-CA"/>
        </w:rPr>
        <w:t>, selon qu</w:t>
      </w:r>
      <w:r w:rsidR="00C93846">
        <w:rPr>
          <w:rFonts w:ascii="Times New Roman" w:hAnsi="Times New Roman" w:cs="Times New Roman"/>
          <w:color w:val="auto"/>
          <w:kern w:val="22"/>
          <w:sz w:val="22"/>
          <w:szCs w:val="22"/>
          <w:lang w:val="fr-CA"/>
        </w:rPr>
        <w:t>’</w:t>
      </w:r>
      <w:r w:rsidR="00D31501" w:rsidRPr="00887A5D">
        <w:rPr>
          <w:rFonts w:ascii="Times New Roman" w:hAnsi="Times New Roman" w:cs="Times New Roman"/>
          <w:color w:val="auto"/>
          <w:kern w:val="22"/>
          <w:sz w:val="22"/>
          <w:szCs w:val="22"/>
          <w:lang w:val="fr-CA"/>
        </w:rPr>
        <w:t>il convient</w:t>
      </w:r>
      <w:r w:rsidR="00D31501">
        <w:rPr>
          <w:rFonts w:ascii="Times New Roman" w:hAnsi="Times New Roman" w:cs="Times New Roman"/>
          <w:color w:val="auto"/>
          <w:kern w:val="22"/>
          <w:sz w:val="22"/>
          <w:szCs w:val="22"/>
          <w:lang w:val="fr-CA"/>
        </w:rPr>
        <w:t>;</w:t>
      </w:r>
    </w:p>
    <w:p w:rsidR="003D5F0C" w:rsidRPr="004C3718" w:rsidRDefault="006B4AEF" w:rsidP="00757DC9">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fr-CA"/>
        </w:rPr>
      </w:pPr>
      <w:r w:rsidRPr="004C3718">
        <w:rPr>
          <w:rFonts w:ascii="Times New Roman" w:hAnsi="Times New Roman" w:cs="Times New Roman"/>
          <w:kern w:val="22"/>
          <w:sz w:val="22"/>
          <w:szCs w:val="22"/>
          <w:lang w:val="fr-CA"/>
        </w:rPr>
        <w:t>10</w:t>
      </w:r>
      <w:r w:rsidR="003D5F0C" w:rsidRPr="004C3718">
        <w:rPr>
          <w:rFonts w:ascii="Times New Roman" w:hAnsi="Times New Roman" w:cs="Times New Roman"/>
          <w:kern w:val="22"/>
          <w:sz w:val="22"/>
          <w:szCs w:val="22"/>
          <w:lang w:val="fr-CA"/>
        </w:rPr>
        <w:t>.</w:t>
      </w:r>
      <w:r w:rsidR="003D5F0C" w:rsidRPr="004C3718">
        <w:rPr>
          <w:rFonts w:ascii="Times New Roman" w:hAnsi="Times New Roman" w:cs="Times New Roman"/>
          <w:i/>
          <w:kern w:val="22"/>
          <w:sz w:val="22"/>
          <w:szCs w:val="22"/>
          <w:lang w:val="fr-CA"/>
        </w:rPr>
        <w:tab/>
      </w:r>
      <w:r w:rsidR="00D31501" w:rsidRPr="00887A5D">
        <w:rPr>
          <w:rFonts w:ascii="Times New Roman" w:hAnsi="Times New Roman" w:cs="Times New Roman"/>
          <w:i/>
          <w:kern w:val="22"/>
          <w:sz w:val="22"/>
          <w:szCs w:val="22"/>
          <w:lang w:val="fr-CA"/>
        </w:rPr>
        <w:t>Prie</w:t>
      </w:r>
      <w:r w:rsidR="00D31501" w:rsidRPr="00887A5D">
        <w:rPr>
          <w:rFonts w:ascii="Times New Roman" w:hAnsi="Times New Roman" w:cs="Times New Roman"/>
          <w:kern w:val="22"/>
          <w:sz w:val="22"/>
          <w:szCs w:val="22"/>
          <w:lang w:val="fr-CA"/>
        </w:rPr>
        <w:t xml:space="preserve"> la Secrétaire exécutive, en collaboration avec les Parties, de maintenir à jour l</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 xml:space="preserve">analyse des </w:t>
      </w:r>
      <w:r w:rsidR="00D31501" w:rsidRPr="00887A5D">
        <w:rPr>
          <w:rFonts w:ascii="Times New Roman" w:hAnsi="Times New Roman" w:cs="Times New Roman"/>
          <w:color w:val="auto"/>
          <w:kern w:val="22"/>
          <w:sz w:val="22"/>
          <w:szCs w:val="22"/>
          <w:lang w:val="fr-CA"/>
        </w:rPr>
        <w:t>stratégies et plans d</w:t>
      </w:r>
      <w:r w:rsidR="00C93846">
        <w:rPr>
          <w:rFonts w:ascii="Times New Roman" w:hAnsi="Times New Roman" w:cs="Times New Roman"/>
          <w:color w:val="auto"/>
          <w:kern w:val="22"/>
          <w:sz w:val="22"/>
          <w:szCs w:val="22"/>
          <w:lang w:val="fr-CA"/>
        </w:rPr>
        <w:t>’</w:t>
      </w:r>
      <w:r w:rsidR="00D31501" w:rsidRPr="00887A5D">
        <w:rPr>
          <w:rFonts w:ascii="Times New Roman" w:hAnsi="Times New Roman" w:cs="Times New Roman"/>
          <w:color w:val="auto"/>
          <w:kern w:val="22"/>
          <w:sz w:val="22"/>
          <w:szCs w:val="22"/>
          <w:lang w:val="fr-CA"/>
        </w:rPr>
        <w:t>action nationaux pour la diversité biologique</w:t>
      </w:r>
      <w:r w:rsidR="00D31501" w:rsidRPr="00887A5D">
        <w:rPr>
          <w:rFonts w:ascii="Times New Roman" w:hAnsi="Times New Roman" w:cs="Times New Roman"/>
          <w:kern w:val="22"/>
          <w:sz w:val="22"/>
          <w:szCs w:val="22"/>
          <w:lang w:val="fr-CA"/>
        </w:rPr>
        <w:t xml:space="preserve"> et des objectifs nationaux, et de mettre à disposition ce</w:t>
      </w:r>
      <w:r w:rsidR="006976F5">
        <w:rPr>
          <w:rFonts w:ascii="Times New Roman" w:hAnsi="Times New Roman" w:cs="Times New Roman"/>
          <w:kern w:val="22"/>
          <w:sz w:val="22"/>
          <w:szCs w:val="22"/>
          <w:lang w:val="fr-CA"/>
        </w:rPr>
        <w:t>s informations par le biais du c</w:t>
      </w:r>
      <w:r w:rsidR="00D31501" w:rsidRPr="00887A5D">
        <w:rPr>
          <w:rFonts w:ascii="Times New Roman" w:hAnsi="Times New Roman" w:cs="Times New Roman"/>
          <w:kern w:val="22"/>
          <w:sz w:val="22"/>
          <w:szCs w:val="22"/>
          <w:lang w:val="fr-CA"/>
        </w:rPr>
        <w:t>entre d</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échange de la Convention</w:t>
      </w:r>
      <w:r w:rsidR="00D31501">
        <w:rPr>
          <w:rFonts w:ascii="Times New Roman" w:hAnsi="Times New Roman" w:cs="Times New Roman"/>
          <w:kern w:val="22"/>
          <w:sz w:val="22"/>
          <w:szCs w:val="22"/>
          <w:lang w:val="fr-CA"/>
        </w:rPr>
        <w:t>;</w:t>
      </w:r>
    </w:p>
    <w:p w:rsidR="00904736" w:rsidRPr="004C3718" w:rsidRDefault="006B4AEF" w:rsidP="00757DC9">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sz w:val="22"/>
          <w:szCs w:val="22"/>
          <w:lang w:val="fr-CA"/>
        </w:rPr>
      </w:pPr>
      <w:r w:rsidRPr="004C3718">
        <w:rPr>
          <w:rFonts w:ascii="Times New Roman" w:hAnsi="Times New Roman" w:cs="Times New Roman"/>
          <w:iCs/>
          <w:kern w:val="22"/>
          <w:sz w:val="22"/>
          <w:szCs w:val="22"/>
          <w:lang w:val="fr-CA"/>
        </w:rPr>
        <w:t>11.</w:t>
      </w:r>
      <w:r w:rsidRPr="004C3718">
        <w:rPr>
          <w:rFonts w:ascii="Times New Roman" w:hAnsi="Times New Roman" w:cs="Times New Roman"/>
          <w:iCs/>
          <w:kern w:val="22"/>
          <w:sz w:val="22"/>
          <w:szCs w:val="22"/>
          <w:lang w:val="fr-CA"/>
        </w:rPr>
        <w:tab/>
      </w:r>
      <w:r w:rsidR="00757DC9">
        <w:rPr>
          <w:rFonts w:ascii="Times New Roman" w:hAnsi="Times New Roman" w:cs="Times New Roman"/>
          <w:i/>
          <w:kern w:val="22"/>
          <w:sz w:val="22"/>
          <w:szCs w:val="22"/>
          <w:lang w:val="fr-CA"/>
        </w:rPr>
        <w:t>Encourage</w:t>
      </w:r>
      <w:r w:rsidR="00757DC9">
        <w:rPr>
          <w:rFonts w:ascii="Times New Roman" w:hAnsi="Times New Roman" w:cs="Times New Roman"/>
          <w:iCs/>
          <w:kern w:val="22"/>
          <w:sz w:val="22"/>
          <w:szCs w:val="22"/>
          <w:lang w:val="fr-CA"/>
        </w:rPr>
        <w:t xml:space="preserve"> les Parties à soumettre leur sixième rapport national en temps voulu</w:t>
      </w:r>
      <w:r w:rsidR="004A3DFB">
        <w:rPr>
          <w:rStyle w:val="FootnoteReference"/>
          <w:rFonts w:ascii="Times New Roman" w:hAnsi="Times New Roman" w:cs="Times New Roman"/>
          <w:kern w:val="22"/>
          <w:szCs w:val="22"/>
          <w:lang w:val="en-GB"/>
        </w:rPr>
        <w:footnoteReference w:id="4"/>
      </w:r>
      <w:r w:rsidR="00757DC9">
        <w:rPr>
          <w:rFonts w:ascii="Times New Roman" w:hAnsi="Times New Roman" w:cs="Times New Roman"/>
          <w:iCs/>
          <w:kern w:val="22"/>
          <w:sz w:val="22"/>
          <w:szCs w:val="22"/>
          <w:lang w:val="fr-CA"/>
        </w:rPr>
        <w:t xml:space="preserve">, et </w:t>
      </w:r>
      <w:r w:rsidR="00757DC9">
        <w:rPr>
          <w:rFonts w:ascii="Times New Roman" w:hAnsi="Times New Roman" w:cs="Times New Roman"/>
          <w:i/>
          <w:kern w:val="22"/>
          <w:sz w:val="22"/>
          <w:szCs w:val="22"/>
          <w:lang w:val="fr-CA"/>
        </w:rPr>
        <w:t>prie</w:t>
      </w:r>
      <w:r w:rsidR="00757DC9">
        <w:rPr>
          <w:rFonts w:ascii="Times New Roman" w:hAnsi="Times New Roman" w:cs="Times New Roman"/>
          <w:iCs/>
          <w:kern w:val="22"/>
          <w:sz w:val="22"/>
          <w:szCs w:val="22"/>
          <w:lang w:val="fr-CA"/>
        </w:rPr>
        <w:t xml:space="preserve"> la Secrétaire exécutive de continuer à actualiser l</w:t>
      </w:r>
      <w:r w:rsidR="00C93846">
        <w:rPr>
          <w:rFonts w:ascii="Times New Roman" w:hAnsi="Times New Roman" w:cs="Times New Roman"/>
          <w:iCs/>
          <w:kern w:val="22"/>
          <w:sz w:val="22"/>
          <w:szCs w:val="22"/>
          <w:lang w:val="fr-CA"/>
        </w:rPr>
        <w:t>’</w:t>
      </w:r>
      <w:r w:rsidR="00757DC9">
        <w:rPr>
          <w:rFonts w:ascii="Times New Roman" w:hAnsi="Times New Roman" w:cs="Times New Roman"/>
          <w:iCs/>
          <w:kern w:val="22"/>
          <w:sz w:val="22"/>
          <w:szCs w:val="22"/>
          <w:lang w:val="fr-CA"/>
        </w:rPr>
        <w:t>analyse des progrès accomplis dans la mise en œuvre du Plan stratégique 2011</w:t>
      </w:r>
      <w:r w:rsidR="00BE6F55">
        <w:rPr>
          <w:rFonts w:ascii="Times New Roman" w:hAnsi="Times New Roman" w:cs="Times New Roman"/>
          <w:iCs/>
          <w:kern w:val="22"/>
          <w:sz w:val="22"/>
          <w:szCs w:val="22"/>
          <w:lang w:val="fr-CA"/>
        </w:rPr>
        <w:noBreakHyphen/>
      </w:r>
      <w:r w:rsidR="00757DC9">
        <w:rPr>
          <w:rFonts w:ascii="Times New Roman" w:hAnsi="Times New Roman" w:cs="Times New Roman"/>
          <w:iCs/>
          <w:kern w:val="22"/>
          <w:sz w:val="22"/>
          <w:szCs w:val="22"/>
          <w:lang w:val="fr-CA"/>
        </w:rPr>
        <w:t>2020 pour la diversité biologique sur la base des informations contenues dans les sixièmes rapports nation</w:t>
      </w:r>
      <w:r w:rsidR="004A3DFB">
        <w:rPr>
          <w:rFonts w:ascii="Times New Roman" w:hAnsi="Times New Roman" w:cs="Times New Roman"/>
          <w:iCs/>
          <w:kern w:val="22"/>
          <w:sz w:val="22"/>
          <w:szCs w:val="22"/>
          <w:lang w:val="fr-CA"/>
        </w:rPr>
        <w:t>aux</w:t>
      </w:r>
      <w:r w:rsidR="00757DC9">
        <w:rPr>
          <w:rFonts w:ascii="Times New Roman" w:hAnsi="Times New Roman" w:cs="Times New Roman"/>
          <w:iCs/>
          <w:kern w:val="22"/>
          <w:sz w:val="22"/>
          <w:szCs w:val="22"/>
          <w:lang w:val="fr-CA"/>
        </w:rPr>
        <w:t>, et de mettre l</w:t>
      </w:r>
      <w:r w:rsidR="00C93846">
        <w:rPr>
          <w:rFonts w:ascii="Times New Roman" w:hAnsi="Times New Roman" w:cs="Times New Roman"/>
          <w:iCs/>
          <w:kern w:val="22"/>
          <w:sz w:val="22"/>
          <w:szCs w:val="22"/>
          <w:lang w:val="fr-CA"/>
        </w:rPr>
        <w:t>’</w:t>
      </w:r>
      <w:r w:rsidR="00757DC9">
        <w:rPr>
          <w:rFonts w:ascii="Times New Roman" w:hAnsi="Times New Roman" w:cs="Times New Roman"/>
          <w:iCs/>
          <w:kern w:val="22"/>
          <w:sz w:val="22"/>
          <w:szCs w:val="22"/>
          <w:lang w:val="fr-CA"/>
        </w:rPr>
        <w:t>analyse actualisée à la disposition de l</w:t>
      </w:r>
      <w:r w:rsidR="00C93846">
        <w:rPr>
          <w:rFonts w:ascii="Times New Roman" w:hAnsi="Times New Roman" w:cs="Times New Roman"/>
          <w:iCs/>
          <w:kern w:val="22"/>
          <w:sz w:val="22"/>
          <w:szCs w:val="22"/>
          <w:lang w:val="fr-CA"/>
        </w:rPr>
        <w:t>’</w:t>
      </w:r>
      <w:r w:rsidR="00757DC9">
        <w:rPr>
          <w:rFonts w:ascii="Times New Roman" w:hAnsi="Times New Roman" w:cs="Times New Roman"/>
          <w:iCs/>
          <w:kern w:val="22"/>
          <w:sz w:val="22"/>
          <w:szCs w:val="22"/>
          <w:lang w:val="fr-CA"/>
        </w:rPr>
        <w:t>Organe subsidiaire chargé de l</w:t>
      </w:r>
      <w:r w:rsidR="00C93846">
        <w:rPr>
          <w:rFonts w:ascii="Times New Roman" w:hAnsi="Times New Roman" w:cs="Times New Roman"/>
          <w:iCs/>
          <w:kern w:val="22"/>
          <w:sz w:val="22"/>
          <w:szCs w:val="22"/>
          <w:lang w:val="fr-CA"/>
        </w:rPr>
        <w:t>’</w:t>
      </w:r>
      <w:r w:rsidR="00757DC9">
        <w:rPr>
          <w:rFonts w:ascii="Times New Roman" w:hAnsi="Times New Roman" w:cs="Times New Roman"/>
          <w:iCs/>
          <w:kern w:val="22"/>
          <w:sz w:val="22"/>
          <w:szCs w:val="22"/>
          <w:lang w:val="fr-CA"/>
        </w:rPr>
        <w:t>application aux fins d</w:t>
      </w:r>
      <w:r w:rsidR="00C93846">
        <w:rPr>
          <w:rFonts w:ascii="Times New Roman" w:hAnsi="Times New Roman" w:cs="Times New Roman"/>
          <w:iCs/>
          <w:kern w:val="22"/>
          <w:sz w:val="22"/>
          <w:szCs w:val="22"/>
          <w:lang w:val="fr-CA"/>
        </w:rPr>
        <w:t>’</w:t>
      </w:r>
      <w:r w:rsidR="00757DC9">
        <w:rPr>
          <w:rFonts w:ascii="Times New Roman" w:hAnsi="Times New Roman" w:cs="Times New Roman"/>
          <w:iCs/>
          <w:kern w:val="22"/>
          <w:sz w:val="22"/>
          <w:szCs w:val="22"/>
          <w:lang w:val="fr-CA"/>
        </w:rPr>
        <w:t>examen à sa troisième réunion;</w:t>
      </w:r>
    </w:p>
    <w:p w:rsidR="00F15DF2" w:rsidRPr="004C3718" w:rsidRDefault="003D5F0C" w:rsidP="009311C7">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fr-CA"/>
        </w:rPr>
      </w:pPr>
      <w:r w:rsidRPr="004C3718">
        <w:rPr>
          <w:rFonts w:ascii="Times New Roman" w:hAnsi="Times New Roman" w:cs="Times New Roman"/>
          <w:kern w:val="22"/>
          <w:sz w:val="22"/>
          <w:szCs w:val="22"/>
          <w:lang w:val="fr-CA"/>
        </w:rPr>
        <w:t>1</w:t>
      </w:r>
      <w:r w:rsidR="006B4AEF" w:rsidRPr="004C3718">
        <w:rPr>
          <w:rFonts w:ascii="Times New Roman" w:hAnsi="Times New Roman" w:cs="Times New Roman"/>
          <w:kern w:val="22"/>
          <w:sz w:val="22"/>
          <w:szCs w:val="22"/>
          <w:lang w:val="fr-CA"/>
        </w:rPr>
        <w:t>2</w:t>
      </w:r>
      <w:r w:rsidRPr="004C3718">
        <w:rPr>
          <w:rFonts w:ascii="Times New Roman" w:hAnsi="Times New Roman" w:cs="Times New Roman"/>
          <w:i/>
          <w:kern w:val="22"/>
          <w:sz w:val="22"/>
          <w:szCs w:val="22"/>
          <w:lang w:val="fr-CA"/>
        </w:rPr>
        <w:t>.</w:t>
      </w:r>
      <w:r w:rsidRPr="004C3718">
        <w:rPr>
          <w:rFonts w:ascii="Times New Roman" w:hAnsi="Times New Roman" w:cs="Times New Roman"/>
          <w:i/>
          <w:kern w:val="22"/>
          <w:sz w:val="22"/>
          <w:szCs w:val="22"/>
          <w:lang w:val="fr-CA"/>
        </w:rPr>
        <w:tab/>
      </w:r>
      <w:r w:rsidR="004A3DFB">
        <w:rPr>
          <w:rFonts w:ascii="Times New Roman" w:hAnsi="Times New Roman" w:cs="Times New Roman"/>
          <w:i/>
          <w:kern w:val="22"/>
          <w:sz w:val="22"/>
          <w:szCs w:val="22"/>
          <w:lang w:val="fr-CA"/>
        </w:rPr>
        <w:t>Prie</w:t>
      </w:r>
      <w:r w:rsidR="00D31501" w:rsidRPr="00887A5D">
        <w:rPr>
          <w:rFonts w:ascii="Times New Roman" w:hAnsi="Times New Roman" w:cs="Times New Roman"/>
          <w:kern w:val="22"/>
          <w:sz w:val="22"/>
          <w:szCs w:val="22"/>
          <w:lang w:val="fr-CA"/>
        </w:rPr>
        <w:t xml:space="preserve"> la Secrétaire exécutive, en co</w:t>
      </w:r>
      <w:r w:rsidR="009311C7">
        <w:rPr>
          <w:rFonts w:ascii="Times New Roman" w:hAnsi="Times New Roman" w:cs="Times New Roman"/>
          <w:kern w:val="22"/>
          <w:sz w:val="22"/>
          <w:szCs w:val="22"/>
          <w:lang w:val="fr-CA"/>
        </w:rPr>
        <w:t>nsultation</w:t>
      </w:r>
      <w:r w:rsidR="00D31501" w:rsidRPr="00887A5D">
        <w:rPr>
          <w:rFonts w:ascii="Times New Roman" w:hAnsi="Times New Roman" w:cs="Times New Roman"/>
          <w:kern w:val="22"/>
          <w:sz w:val="22"/>
          <w:szCs w:val="22"/>
          <w:lang w:val="fr-CA"/>
        </w:rPr>
        <w:t xml:space="preserve"> avec les Parties, le Secrétariat du Fonds pour l</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environnement mondial, le Programme des Nations Unies pour le développement et le Programme des Nations Unies pour l</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environnement, d</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analyser l</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état d</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avancement de l</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adoption de stratégies et plans d</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action nationaux pour la diversité biologique par les Parties admissibles à un financement et de poursuivre le suivi de l</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intégration de la diversité biologique dans les programmes de développement durable et les stratégies d</w:t>
      </w:r>
      <w:r w:rsidR="00C93846">
        <w:rPr>
          <w:rFonts w:ascii="Times New Roman" w:hAnsi="Times New Roman" w:cs="Times New Roman"/>
          <w:kern w:val="22"/>
          <w:sz w:val="22"/>
          <w:szCs w:val="22"/>
          <w:lang w:val="fr-CA"/>
        </w:rPr>
        <w:t>’</w:t>
      </w:r>
      <w:r w:rsidR="00D31501" w:rsidRPr="00887A5D">
        <w:rPr>
          <w:rFonts w:ascii="Times New Roman" w:hAnsi="Times New Roman" w:cs="Times New Roman"/>
          <w:kern w:val="22"/>
          <w:sz w:val="22"/>
          <w:szCs w:val="22"/>
          <w:lang w:val="fr-CA"/>
        </w:rPr>
        <w:t>élimination de la pauvreté</w:t>
      </w:r>
      <w:r w:rsidR="009E0522">
        <w:rPr>
          <w:rFonts w:ascii="Times New Roman" w:hAnsi="Times New Roman" w:cs="Times New Roman"/>
          <w:kern w:val="22"/>
          <w:sz w:val="22"/>
          <w:szCs w:val="22"/>
          <w:lang w:val="fr-CA"/>
        </w:rPr>
        <w:t>.</w:t>
      </w:r>
    </w:p>
    <w:p w:rsidR="00220988" w:rsidRPr="004C3718" w:rsidRDefault="00220988" w:rsidP="00574300">
      <w:pPr>
        <w:pStyle w:val="NormalWeb"/>
        <w:keepNext/>
        <w:suppressLineNumbers/>
        <w:tabs>
          <w:tab w:val="left" w:pos="360"/>
        </w:tabs>
        <w:suppressAutoHyphens/>
        <w:kinsoku w:val="0"/>
        <w:overflowPunct w:val="0"/>
        <w:autoSpaceDE w:val="0"/>
        <w:autoSpaceDN w:val="0"/>
        <w:adjustRightInd w:val="0"/>
        <w:snapToGrid w:val="0"/>
        <w:spacing w:before="240" w:beforeAutospacing="0" w:after="120" w:afterAutospacing="0"/>
        <w:jc w:val="center"/>
        <w:rPr>
          <w:rFonts w:ascii="Times New Roman" w:hAnsi="Times New Roman" w:cs="Times New Roman"/>
          <w:b/>
          <w:kern w:val="22"/>
          <w:sz w:val="22"/>
          <w:szCs w:val="22"/>
          <w:lang w:val="fr-CA"/>
        </w:rPr>
      </w:pPr>
      <w:r w:rsidRPr="004C3718">
        <w:rPr>
          <w:rFonts w:ascii="Times New Roman" w:hAnsi="Times New Roman" w:cs="Times New Roman"/>
          <w:b/>
          <w:kern w:val="22"/>
          <w:sz w:val="22"/>
          <w:szCs w:val="22"/>
          <w:lang w:val="fr-CA"/>
        </w:rPr>
        <w:lastRenderedPageBreak/>
        <w:t>B.</w:t>
      </w:r>
      <w:r w:rsidRPr="004C3718">
        <w:rPr>
          <w:rFonts w:ascii="Times New Roman" w:hAnsi="Times New Roman" w:cs="Times New Roman"/>
          <w:b/>
          <w:kern w:val="22"/>
          <w:sz w:val="22"/>
          <w:szCs w:val="22"/>
          <w:lang w:val="fr-CA"/>
        </w:rPr>
        <w:tab/>
      </w:r>
      <w:r w:rsidR="00574300" w:rsidRPr="00887A5D">
        <w:rPr>
          <w:rFonts w:ascii="Times New Roman" w:hAnsi="Times New Roman" w:cs="Times New Roman"/>
          <w:b/>
          <w:kern w:val="22"/>
          <w:sz w:val="22"/>
          <w:szCs w:val="22"/>
          <w:lang w:val="fr-CA"/>
        </w:rPr>
        <w:t>Plan d</w:t>
      </w:r>
      <w:r w:rsidR="00C93846">
        <w:rPr>
          <w:rFonts w:ascii="Times New Roman" w:hAnsi="Times New Roman" w:cs="Times New Roman"/>
          <w:b/>
          <w:kern w:val="22"/>
          <w:sz w:val="22"/>
          <w:szCs w:val="22"/>
          <w:lang w:val="fr-CA"/>
        </w:rPr>
        <w:t>’</w:t>
      </w:r>
      <w:r w:rsidR="00574300" w:rsidRPr="00887A5D">
        <w:rPr>
          <w:rFonts w:ascii="Times New Roman" w:hAnsi="Times New Roman" w:cs="Times New Roman"/>
          <w:b/>
          <w:kern w:val="22"/>
          <w:sz w:val="22"/>
          <w:szCs w:val="22"/>
          <w:lang w:val="fr-CA"/>
        </w:rPr>
        <w:t>action pour l</w:t>
      </w:r>
      <w:r w:rsidR="00C93846">
        <w:rPr>
          <w:rFonts w:ascii="Times New Roman" w:hAnsi="Times New Roman" w:cs="Times New Roman"/>
          <w:b/>
          <w:kern w:val="22"/>
          <w:sz w:val="22"/>
          <w:szCs w:val="22"/>
          <w:lang w:val="fr-CA"/>
        </w:rPr>
        <w:t>’</w:t>
      </w:r>
      <w:r w:rsidR="00574300" w:rsidRPr="00887A5D">
        <w:rPr>
          <w:rFonts w:ascii="Times New Roman" w:hAnsi="Times New Roman" w:cs="Times New Roman"/>
          <w:b/>
          <w:kern w:val="22"/>
          <w:sz w:val="22"/>
          <w:szCs w:val="22"/>
          <w:lang w:val="fr-CA"/>
        </w:rPr>
        <w:t>égalité entre les sexes</w:t>
      </w:r>
    </w:p>
    <w:p w:rsidR="00574300" w:rsidRPr="00887A5D" w:rsidRDefault="00574300" w:rsidP="0057430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fr-CA"/>
        </w:rPr>
      </w:pPr>
      <w:r w:rsidRPr="00887A5D">
        <w:rPr>
          <w:rFonts w:ascii="Times New Roman" w:hAnsi="Times New Roman" w:cs="Times New Roman"/>
          <w:i/>
          <w:kern w:val="22"/>
          <w:sz w:val="22"/>
          <w:szCs w:val="22"/>
          <w:lang w:val="fr-CA"/>
        </w:rPr>
        <w:t>Rappelant</w:t>
      </w:r>
      <w:r w:rsidR="009E0522">
        <w:rPr>
          <w:rFonts w:ascii="Times New Roman" w:hAnsi="Times New Roman" w:cs="Times New Roman"/>
          <w:kern w:val="22"/>
          <w:sz w:val="22"/>
          <w:szCs w:val="22"/>
          <w:lang w:val="fr-CA"/>
        </w:rPr>
        <w:t xml:space="preserve"> la décision XII/7 dans laquelle elle</w:t>
      </w:r>
      <w:r w:rsidRPr="00887A5D">
        <w:rPr>
          <w:rFonts w:ascii="Times New Roman" w:hAnsi="Times New Roman" w:cs="Times New Roman"/>
          <w:kern w:val="22"/>
          <w:sz w:val="22"/>
          <w:szCs w:val="22"/>
          <w:lang w:val="fr-CA"/>
        </w:rPr>
        <w:t xml:space="preserve"> s</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est félicitée du Plan d</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action 2015</w:t>
      </w:r>
      <w:r w:rsidR="00BE6F55">
        <w:rPr>
          <w:rFonts w:ascii="Times New Roman" w:hAnsi="Times New Roman" w:cs="Times New Roman"/>
          <w:kern w:val="22"/>
          <w:sz w:val="22"/>
          <w:szCs w:val="22"/>
          <w:lang w:val="fr-CA"/>
        </w:rPr>
        <w:noBreakHyphen/>
      </w:r>
      <w:r w:rsidRPr="00887A5D">
        <w:rPr>
          <w:rFonts w:ascii="Times New Roman" w:hAnsi="Times New Roman" w:cs="Times New Roman"/>
          <w:kern w:val="22"/>
          <w:sz w:val="22"/>
          <w:szCs w:val="22"/>
          <w:lang w:val="fr-CA"/>
        </w:rPr>
        <w:t>2020 pour l</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égalité entre les sexes dans le cadre de la Convention,</w:t>
      </w:r>
    </w:p>
    <w:p w:rsidR="00220988" w:rsidRPr="004C3718" w:rsidRDefault="00574300" w:rsidP="00BE6F55">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fr-CA"/>
        </w:rPr>
      </w:pPr>
      <w:r w:rsidRPr="00887A5D">
        <w:rPr>
          <w:rFonts w:ascii="Times New Roman" w:hAnsi="Times New Roman" w:cs="Times New Roman"/>
          <w:i/>
          <w:kern w:val="22"/>
          <w:sz w:val="22"/>
          <w:szCs w:val="22"/>
          <w:lang w:val="fr-CA"/>
        </w:rPr>
        <w:t>Notant</w:t>
      </w:r>
      <w:r w:rsidRPr="00887A5D">
        <w:rPr>
          <w:rFonts w:ascii="Times New Roman" w:hAnsi="Times New Roman" w:cs="Times New Roman"/>
          <w:kern w:val="22"/>
          <w:sz w:val="22"/>
          <w:szCs w:val="22"/>
          <w:lang w:val="fr-CA"/>
        </w:rPr>
        <w:t xml:space="preserve"> que la mise en œuvre du Plan d</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action 2015</w:t>
      </w:r>
      <w:r w:rsidR="00BE6F55">
        <w:rPr>
          <w:rFonts w:ascii="Times New Roman" w:hAnsi="Times New Roman" w:cs="Times New Roman"/>
          <w:kern w:val="22"/>
          <w:sz w:val="22"/>
          <w:szCs w:val="22"/>
          <w:lang w:val="fr-CA"/>
        </w:rPr>
        <w:noBreakHyphen/>
      </w:r>
      <w:r w:rsidRPr="00887A5D">
        <w:rPr>
          <w:rFonts w:ascii="Times New Roman" w:hAnsi="Times New Roman" w:cs="Times New Roman"/>
          <w:kern w:val="22"/>
          <w:sz w:val="22"/>
          <w:szCs w:val="22"/>
          <w:lang w:val="fr-CA"/>
        </w:rPr>
        <w:t>2020 pour l</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 xml:space="preserve">égalité entre les sexes est à </w:t>
      </w:r>
      <w:r w:rsidRPr="00887A5D">
        <w:rPr>
          <w:rFonts w:ascii="Times New Roman" w:hAnsi="Times New Roman" w:cs="Times New Roman"/>
          <w:noProof/>
          <w:kern w:val="22"/>
          <w:sz w:val="22"/>
          <w:szCs w:val="22"/>
          <w:lang w:val="fr-CA"/>
        </w:rPr>
        <w:t>mi</w:t>
      </w:r>
      <w:r w:rsidR="00BE6F55">
        <w:rPr>
          <w:rFonts w:ascii="Times New Roman" w:hAnsi="Times New Roman" w:cs="Times New Roman"/>
          <w:noProof/>
          <w:kern w:val="22"/>
          <w:sz w:val="22"/>
          <w:szCs w:val="22"/>
          <w:lang w:val="fr-CA"/>
        </w:rPr>
        <w:noBreakHyphen/>
      </w:r>
      <w:r w:rsidRPr="00887A5D">
        <w:rPr>
          <w:rFonts w:ascii="Times New Roman" w:hAnsi="Times New Roman" w:cs="Times New Roman"/>
          <w:noProof/>
          <w:kern w:val="22"/>
          <w:sz w:val="22"/>
          <w:szCs w:val="22"/>
          <w:lang w:val="fr-CA"/>
        </w:rPr>
        <w:t>parcours et</w:t>
      </w:r>
      <w:r w:rsidRPr="00887A5D">
        <w:rPr>
          <w:rFonts w:ascii="Times New Roman" w:hAnsi="Times New Roman" w:cs="Times New Roman"/>
          <w:i/>
          <w:noProof/>
          <w:kern w:val="22"/>
          <w:sz w:val="22"/>
          <w:szCs w:val="22"/>
          <w:lang w:val="fr-CA"/>
        </w:rPr>
        <w:t xml:space="preserve"> reconnaissant</w:t>
      </w:r>
      <w:r w:rsidRPr="00887A5D">
        <w:rPr>
          <w:rFonts w:ascii="Times New Roman" w:hAnsi="Times New Roman" w:cs="Times New Roman"/>
          <w:kern w:val="22"/>
          <w:sz w:val="22"/>
          <w:szCs w:val="22"/>
          <w:lang w:val="fr-CA"/>
        </w:rPr>
        <w:t xml:space="preserve"> la nécessité d</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une mise en œuvre effective de ce Plan d</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action, notamment pour pouvoir réaliser les Objectifs d</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 xml:space="preserve">Aichi pour la biodiversité et le </w:t>
      </w:r>
      <w:r w:rsidR="009E0522">
        <w:rPr>
          <w:rFonts w:ascii="Times New Roman" w:hAnsi="Times New Roman" w:cs="Times New Roman"/>
          <w:kern w:val="22"/>
          <w:sz w:val="22"/>
          <w:szCs w:val="22"/>
          <w:lang w:val="fr-CA"/>
        </w:rPr>
        <w:t xml:space="preserve">Plan stratégique </w:t>
      </w:r>
      <w:r w:rsidR="00BE6F55" w:rsidRPr="00BE6F55">
        <w:rPr>
          <w:rFonts w:ascii="Times New Roman" w:hAnsi="Times New Roman" w:cs="Times New Roman"/>
          <w:kern w:val="22"/>
          <w:sz w:val="22"/>
          <w:szCs w:val="22"/>
          <w:lang w:val="fr-CA"/>
        </w:rPr>
        <w:t>pour la diversité biologique</w:t>
      </w:r>
      <w:r w:rsidR="009E0522">
        <w:rPr>
          <w:rFonts w:ascii="Times New Roman" w:hAnsi="Times New Roman" w:cs="Times New Roman"/>
          <w:kern w:val="22"/>
          <w:sz w:val="22"/>
          <w:szCs w:val="22"/>
          <w:lang w:val="fr-CA"/>
        </w:rPr>
        <w:t xml:space="preserve"> </w:t>
      </w:r>
      <w:r w:rsidR="009E0522" w:rsidRPr="00BE6F55">
        <w:rPr>
          <w:rFonts w:ascii="Times New Roman" w:hAnsi="Times New Roman" w:cs="Times New Roman"/>
          <w:kern w:val="22"/>
          <w:sz w:val="22"/>
          <w:szCs w:val="22"/>
          <w:lang w:val="fr-CA"/>
        </w:rPr>
        <w:t>2011</w:t>
      </w:r>
      <w:r w:rsidR="009E0522">
        <w:rPr>
          <w:rFonts w:ascii="Times New Roman" w:hAnsi="Times New Roman" w:cs="Times New Roman"/>
          <w:kern w:val="22"/>
          <w:sz w:val="22"/>
          <w:szCs w:val="22"/>
          <w:lang w:val="fr-CA"/>
        </w:rPr>
        <w:noBreakHyphen/>
      </w:r>
      <w:r w:rsidR="009E0522" w:rsidRPr="00BE6F55">
        <w:rPr>
          <w:rFonts w:ascii="Times New Roman" w:hAnsi="Times New Roman" w:cs="Times New Roman"/>
          <w:kern w:val="22"/>
          <w:sz w:val="22"/>
          <w:szCs w:val="22"/>
          <w:lang w:val="fr-CA"/>
        </w:rPr>
        <w:t>2020</w:t>
      </w:r>
      <w:r w:rsidR="00220988" w:rsidRPr="004C3718">
        <w:rPr>
          <w:rFonts w:ascii="Times New Roman" w:hAnsi="Times New Roman" w:cs="Times New Roman"/>
          <w:kern w:val="22"/>
          <w:sz w:val="22"/>
          <w:szCs w:val="22"/>
          <w:lang w:val="fr-CA"/>
        </w:rPr>
        <w:t>,</w:t>
      </w:r>
    </w:p>
    <w:p w:rsidR="00574300" w:rsidRPr="00887A5D" w:rsidRDefault="00AA3CA5" w:rsidP="00574300">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fr-CA"/>
        </w:rPr>
      </w:pPr>
      <w:r w:rsidRPr="004C3718">
        <w:rPr>
          <w:rFonts w:ascii="Times New Roman" w:hAnsi="Times New Roman" w:cs="Times New Roman"/>
          <w:kern w:val="22"/>
          <w:sz w:val="22"/>
          <w:szCs w:val="22"/>
          <w:lang w:val="fr-CA"/>
        </w:rPr>
        <w:t>1.</w:t>
      </w:r>
      <w:r w:rsidR="009455DA" w:rsidRPr="004C3718">
        <w:rPr>
          <w:rFonts w:ascii="Times New Roman" w:hAnsi="Times New Roman" w:cs="Times New Roman"/>
          <w:kern w:val="22"/>
          <w:sz w:val="22"/>
          <w:szCs w:val="22"/>
          <w:lang w:val="fr-CA"/>
        </w:rPr>
        <w:tab/>
      </w:r>
      <w:r w:rsidR="00574300" w:rsidRPr="00887A5D">
        <w:rPr>
          <w:rFonts w:ascii="Times New Roman" w:hAnsi="Times New Roman" w:cs="Times New Roman"/>
          <w:i/>
          <w:iCs/>
          <w:kern w:val="22"/>
          <w:sz w:val="22"/>
          <w:szCs w:val="22"/>
          <w:lang w:val="fr-CA"/>
        </w:rPr>
        <w:t>Se félicite</w:t>
      </w:r>
      <w:r w:rsidR="00574300" w:rsidRPr="00887A5D">
        <w:rPr>
          <w:rFonts w:ascii="Times New Roman" w:hAnsi="Times New Roman" w:cs="Times New Roman"/>
          <w:kern w:val="22"/>
          <w:sz w:val="22"/>
          <w:szCs w:val="22"/>
          <w:lang w:val="fr-CA"/>
        </w:rPr>
        <w:t xml:space="preserve"> </w:t>
      </w:r>
      <w:r w:rsidR="00574300" w:rsidRPr="00887A5D">
        <w:rPr>
          <w:rFonts w:ascii="Times New Roman" w:hAnsi="Times New Roman" w:cs="Times New Roman"/>
          <w:color w:val="auto"/>
          <w:kern w:val="22"/>
          <w:sz w:val="22"/>
          <w:szCs w:val="22"/>
          <w:lang w:val="fr-CA"/>
        </w:rPr>
        <w:t>de l</w:t>
      </w:r>
      <w:r w:rsidR="00C93846">
        <w:rPr>
          <w:rFonts w:ascii="Times New Roman" w:hAnsi="Times New Roman" w:cs="Times New Roman"/>
          <w:color w:val="auto"/>
          <w:kern w:val="22"/>
          <w:sz w:val="22"/>
          <w:szCs w:val="22"/>
          <w:lang w:val="fr-CA"/>
        </w:rPr>
        <w:t>’</w:t>
      </w:r>
      <w:r w:rsidR="00574300" w:rsidRPr="00887A5D">
        <w:rPr>
          <w:rFonts w:ascii="Times New Roman" w:hAnsi="Times New Roman" w:cs="Times New Roman"/>
          <w:color w:val="auto"/>
          <w:kern w:val="22"/>
          <w:sz w:val="22"/>
          <w:szCs w:val="22"/>
          <w:lang w:val="fr-CA"/>
        </w:rPr>
        <w:t xml:space="preserve">évaluation actualisée des progrès accomplis dans la mise en œuvre du </w:t>
      </w:r>
      <w:r w:rsidR="00574300" w:rsidRPr="00887A5D">
        <w:rPr>
          <w:rFonts w:ascii="Times New Roman" w:hAnsi="Times New Roman" w:cs="Times New Roman"/>
          <w:kern w:val="22"/>
          <w:sz w:val="22"/>
          <w:szCs w:val="22"/>
          <w:lang w:val="fr-CA"/>
        </w:rPr>
        <w:t>Plan d</w:t>
      </w:r>
      <w:r w:rsidR="00C93846">
        <w:rPr>
          <w:rFonts w:ascii="Times New Roman" w:hAnsi="Times New Roman" w:cs="Times New Roman"/>
          <w:kern w:val="22"/>
          <w:sz w:val="22"/>
          <w:szCs w:val="22"/>
          <w:lang w:val="fr-CA"/>
        </w:rPr>
        <w:t>’</w:t>
      </w:r>
      <w:r w:rsidR="00574300" w:rsidRPr="00887A5D">
        <w:rPr>
          <w:rFonts w:ascii="Times New Roman" w:hAnsi="Times New Roman" w:cs="Times New Roman"/>
          <w:kern w:val="22"/>
          <w:sz w:val="22"/>
          <w:szCs w:val="22"/>
          <w:lang w:val="fr-CA"/>
        </w:rPr>
        <w:t>action 2015</w:t>
      </w:r>
      <w:r w:rsidR="00BE6F55">
        <w:rPr>
          <w:rFonts w:ascii="Times New Roman" w:hAnsi="Times New Roman" w:cs="Times New Roman"/>
          <w:kern w:val="22"/>
          <w:sz w:val="22"/>
          <w:szCs w:val="22"/>
          <w:lang w:val="fr-CA"/>
        </w:rPr>
        <w:noBreakHyphen/>
      </w:r>
      <w:r w:rsidR="00574300" w:rsidRPr="00887A5D">
        <w:rPr>
          <w:rFonts w:ascii="Times New Roman" w:hAnsi="Times New Roman" w:cs="Times New Roman"/>
          <w:kern w:val="22"/>
          <w:sz w:val="22"/>
          <w:szCs w:val="22"/>
          <w:lang w:val="fr-CA"/>
        </w:rPr>
        <w:t>2020 pour l</w:t>
      </w:r>
      <w:r w:rsidR="00C93846">
        <w:rPr>
          <w:rFonts w:ascii="Times New Roman" w:hAnsi="Times New Roman" w:cs="Times New Roman"/>
          <w:kern w:val="22"/>
          <w:sz w:val="22"/>
          <w:szCs w:val="22"/>
          <w:lang w:val="fr-CA"/>
        </w:rPr>
        <w:t>’</w:t>
      </w:r>
      <w:r w:rsidR="009E0522">
        <w:rPr>
          <w:rFonts w:ascii="Times New Roman" w:hAnsi="Times New Roman" w:cs="Times New Roman"/>
          <w:kern w:val="22"/>
          <w:sz w:val="22"/>
          <w:szCs w:val="22"/>
          <w:lang w:val="fr-CA"/>
        </w:rPr>
        <w:t>égalité entre les sexes</w:t>
      </w:r>
      <w:r w:rsidR="00574300" w:rsidRPr="00887A5D">
        <w:rPr>
          <w:rStyle w:val="FootnoteReference"/>
          <w:rFonts w:ascii="Times New Roman" w:hAnsi="Times New Roman" w:cs="Times New Roman"/>
          <w:kern w:val="22"/>
          <w:szCs w:val="22"/>
          <w:lang w:val="fr-CA"/>
        </w:rPr>
        <w:footnoteReference w:id="5"/>
      </w:r>
      <w:r w:rsidR="009E0522">
        <w:rPr>
          <w:rFonts w:ascii="Times New Roman" w:hAnsi="Times New Roman" w:cs="Times New Roman"/>
          <w:kern w:val="22"/>
          <w:sz w:val="22"/>
          <w:szCs w:val="22"/>
          <w:lang w:val="fr-CA"/>
        </w:rPr>
        <w:t>;</w:t>
      </w:r>
    </w:p>
    <w:p w:rsidR="00220988" w:rsidRPr="004C3718" w:rsidRDefault="00574300" w:rsidP="00BE6F55">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kern w:val="22"/>
          <w:sz w:val="22"/>
          <w:szCs w:val="22"/>
          <w:lang w:val="fr-CA"/>
        </w:rPr>
      </w:pPr>
      <w:r w:rsidRPr="00887A5D">
        <w:rPr>
          <w:rFonts w:ascii="Times New Roman" w:hAnsi="Times New Roman" w:cs="Times New Roman"/>
          <w:kern w:val="22"/>
          <w:sz w:val="22"/>
          <w:szCs w:val="22"/>
          <w:lang w:val="fr-CA"/>
        </w:rPr>
        <w:t>2.</w:t>
      </w:r>
      <w:r w:rsidRPr="00887A5D">
        <w:rPr>
          <w:rFonts w:ascii="Times New Roman" w:hAnsi="Times New Roman" w:cs="Times New Roman"/>
          <w:i/>
          <w:kern w:val="22"/>
          <w:sz w:val="22"/>
          <w:szCs w:val="22"/>
          <w:lang w:val="fr-CA"/>
        </w:rPr>
        <w:tab/>
        <w:t>Souligne</w:t>
      </w:r>
      <w:r w:rsidRPr="00887A5D">
        <w:rPr>
          <w:rFonts w:ascii="Times New Roman" w:hAnsi="Times New Roman" w:cs="Times New Roman"/>
          <w:kern w:val="22"/>
          <w:sz w:val="22"/>
          <w:szCs w:val="22"/>
          <w:lang w:val="fr-CA"/>
        </w:rPr>
        <w:t xml:space="preserve"> la nécessité de tenir compte de la question de l</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égalité des sexes dans l</w:t>
      </w:r>
      <w:r w:rsidR="00C93846">
        <w:rPr>
          <w:rFonts w:ascii="Times New Roman" w:hAnsi="Times New Roman" w:cs="Times New Roman"/>
          <w:kern w:val="22"/>
          <w:sz w:val="22"/>
          <w:szCs w:val="22"/>
          <w:lang w:val="fr-CA"/>
        </w:rPr>
        <w:t>’</w:t>
      </w:r>
      <w:r w:rsidRPr="00887A5D">
        <w:rPr>
          <w:rFonts w:ascii="Times New Roman" w:hAnsi="Times New Roman" w:cs="Times New Roman"/>
          <w:kern w:val="22"/>
          <w:sz w:val="22"/>
          <w:szCs w:val="22"/>
          <w:lang w:val="fr-CA"/>
        </w:rPr>
        <w:t xml:space="preserve">élaboration du </w:t>
      </w:r>
      <w:r w:rsidR="00BE6F55">
        <w:rPr>
          <w:rFonts w:ascii="Times New Roman" w:hAnsi="Times New Roman" w:cs="Times New Roman"/>
          <w:kern w:val="22"/>
          <w:sz w:val="22"/>
          <w:szCs w:val="22"/>
          <w:lang w:val="fr-CA"/>
        </w:rPr>
        <w:t>cadre mondial</w:t>
      </w:r>
      <w:r w:rsidR="009E0522">
        <w:rPr>
          <w:rFonts w:ascii="Times New Roman" w:hAnsi="Times New Roman" w:cs="Times New Roman"/>
          <w:kern w:val="22"/>
          <w:sz w:val="22"/>
          <w:szCs w:val="22"/>
          <w:lang w:val="fr-CA"/>
        </w:rPr>
        <w:t xml:space="preserve"> de</w:t>
      </w:r>
      <w:r w:rsidR="00BE6F55">
        <w:rPr>
          <w:rFonts w:ascii="Times New Roman" w:hAnsi="Times New Roman" w:cs="Times New Roman"/>
          <w:kern w:val="22"/>
          <w:sz w:val="22"/>
          <w:szCs w:val="22"/>
          <w:lang w:val="fr-CA"/>
        </w:rPr>
        <w:t xml:space="preserve"> </w:t>
      </w:r>
      <w:r w:rsidR="009E0522">
        <w:rPr>
          <w:rFonts w:ascii="Times New Roman" w:hAnsi="Times New Roman" w:cs="Times New Roman"/>
          <w:kern w:val="22"/>
          <w:sz w:val="22"/>
          <w:szCs w:val="22"/>
          <w:lang w:val="fr-CA"/>
        </w:rPr>
        <w:t>la biodiversité pour l’après</w:t>
      </w:r>
      <w:r w:rsidR="009E0522">
        <w:rPr>
          <w:rFonts w:ascii="Times New Roman" w:hAnsi="Times New Roman" w:cs="Times New Roman"/>
          <w:kern w:val="22"/>
          <w:sz w:val="22"/>
          <w:szCs w:val="22"/>
          <w:lang w:val="fr-CA"/>
        </w:rPr>
        <w:noBreakHyphen/>
        <w:t xml:space="preserve">2020 </w:t>
      </w:r>
      <w:r w:rsidR="00355ECE">
        <w:rPr>
          <w:rFonts w:ascii="Times New Roman" w:hAnsi="Times New Roman" w:cs="Times New Roman"/>
          <w:kern w:val="22"/>
          <w:sz w:val="22"/>
          <w:szCs w:val="22"/>
          <w:lang w:val="fr-CA"/>
        </w:rPr>
        <w:t>et de traiter cette question en a</w:t>
      </w:r>
      <w:r w:rsidR="00E57A70">
        <w:rPr>
          <w:rFonts w:ascii="Times New Roman" w:hAnsi="Times New Roman" w:cs="Times New Roman"/>
          <w:kern w:val="22"/>
          <w:sz w:val="22"/>
          <w:szCs w:val="22"/>
          <w:lang w:val="fr-CA"/>
        </w:rPr>
        <w:t>ccord avec les cibles relatives à</w:t>
      </w:r>
      <w:r w:rsidR="00355ECE">
        <w:rPr>
          <w:rFonts w:ascii="Times New Roman" w:hAnsi="Times New Roman" w:cs="Times New Roman"/>
          <w:kern w:val="22"/>
          <w:sz w:val="22"/>
          <w:szCs w:val="22"/>
          <w:lang w:val="fr-CA"/>
        </w:rPr>
        <w:t xml:space="preserve"> l’égalité des sexes des</w:t>
      </w:r>
      <w:r w:rsidRPr="00887A5D">
        <w:rPr>
          <w:rFonts w:ascii="Times New Roman" w:hAnsi="Times New Roman" w:cs="Times New Roman"/>
          <w:kern w:val="22"/>
          <w:sz w:val="22"/>
          <w:szCs w:val="22"/>
          <w:lang w:val="fr-CA"/>
        </w:rPr>
        <w:t xml:space="preserve"> Obj</w:t>
      </w:r>
      <w:r w:rsidR="00E75EB9">
        <w:rPr>
          <w:rFonts w:ascii="Times New Roman" w:hAnsi="Times New Roman" w:cs="Times New Roman"/>
          <w:kern w:val="22"/>
          <w:sz w:val="22"/>
          <w:szCs w:val="22"/>
          <w:lang w:val="fr-CA"/>
        </w:rPr>
        <w:t>ectifs de développement durable</w:t>
      </w:r>
      <w:r w:rsidRPr="00887A5D">
        <w:rPr>
          <w:rStyle w:val="FootnoteReference"/>
          <w:rFonts w:ascii="Times New Roman" w:hAnsi="Times New Roman" w:cs="Times New Roman"/>
          <w:kern w:val="22"/>
          <w:szCs w:val="22"/>
          <w:lang w:val="fr-CA"/>
        </w:rPr>
        <w:footnoteReference w:id="6"/>
      </w:r>
      <w:r w:rsidR="00E75EB9">
        <w:rPr>
          <w:rFonts w:ascii="Times New Roman" w:hAnsi="Times New Roman" w:cs="Times New Roman"/>
          <w:kern w:val="22"/>
          <w:sz w:val="22"/>
          <w:szCs w:val="22"/>
          <w:lang w:val="fr-CA"/>
        </w:rPr>
        <w:t>;</w:t>
      </w:r>
    </w:p>
    <w:p w:rsidR="00F60AB5" w:rsidRPr="004C3718" w:rsidRDefault="00506B0D" w:rsidP="00BE6F55">
      <w:pPr>
        <w:suppressLineNumbers/>
        <w:suppressAutoHyphens/>
        <w:kinsoku w:val="0"/>
        <w:overflowPunct w:val="0"/>
        <w:autoSpaceDE w:val="0"/>
        <w:autoSpaceDN w:val="0"/>
        <w:adjustRightInd w:val="0"/>
        <w:snapToGrid w:val="0"/>
        <w:spacing w:after="120"/>
        <w:ind w:firstLine="709"/>
        <w:rPr>
          <w:i/>
          <w:iCs/>
          <w:snapToGrid w:val="0"/>
          <w:kern w:val="22"/>
          <w:szCs w:val="22"/>
          <w:lang w:val="fr-CA"/>
        </w:rPr>
      </w:pPr>
      <w:r w:rsidRPr="004C3718">
        <w:rPr>
          <w:kern w:val="22"/>
          <w:szCs w:val="22"/>
          <w:lang w:val="fr-CA"/>
        </w:rPr>
        <w:t>3</w:t>
      </w:r>
      <w:r w:rsidR="00220988" w:rsidRPr="004C3718">
        <w:rPr>
          <w:kern w:val="22"/>
          <w:szCs w:val="22"/>
          <w:lang w:val="fr-CA"/>
        </w:rPr>
        <w:t>.</w:t>
      </w:r>
      <w:r w:rsidR="00220988" w:rsidRPr="004C3718">
        <w:rPr>
          <w:i/>
          <w:kern w:val="22"/>
          <w:szCs w:val="22"/>
          <w:lang w:val="fr-CA"/>
        </w:rPr>
        <w:tab/>
      </w:r>
      <w:r w:rsidR="009E2F55" w:rsidRPr="00887A5D">
        <w:rPr>
          <w:i/>
          <w:iCs/>
          <w:snapToGrid w:val="0"/>
          <w:kern w:val="22"/>
          <w:szCs w:val="22"/>
          <w:lang w:val="fr-CA"/>
        </w:rPr>
        <w:t xml:space="preserve">Encourage </w:t>
      </w:r>
      <w:r w:rsidR="009E2F55">
        <w:rPr>
          <w:snapToGrid w:val="0"/>
          <w:kern w:val="22"/>
          <w:szCs w:val="22"/>
          <w:lang w:val="fr-CA"/>
        </w:rPr>
        <w:t xml:space="preserve">les Parties à </w:t>
      </w:r>
      <w:r w:rsidR="009E2F55">
        <w:rPr>
          <w:iCs/>
          <w:snapToGrid w:val="0"/>
          <w:kern w:val="22"/>
          <w:szCs w:val="22"/>
          <w:lang w:val="fr-CA"/>
        </w:rPr>
        <w:t>élaborer</w:t>
      </w:r>
      <w:r w:rsidR="009E2F55" w:rsidRPr="00887A5D">
        <w:rPr>
          <w:iCs/>
          <w:snapToGrid w:val="0"/>
          <w:kern w:val="22"/>
          <w:szCs w:val="22"/>
          <w:lang w:val="fr-CA"/>
        </w:rPr>
        <w:t xml:space="preserve"> </w:t>
      </w:r>
      <w:r w:rsidR="009E2F55">
        <w:rPr>
          <w:iCs/>
          <w:snapToGrid w:val="0"/>
          <w:kern w:val="22"/>
          <w:szCs w:val="22"/>
          <w:lang w:val="fr-CA"/>
        </w:rPr>
        <w:t>et mettre</w:t>
      </w:r>
      <w:r w:rsidR="009E2F55" w:rsidRPr="00887A5D">
        <w:rPr>
          <w:iCs/>
          <w:snapToGrid w:val="0"/>
          <w:kern w:val="22"/>
          <w:szCs w:val="22"/>
          <w:lang w:val="fr-CA"/>
        </w:rPr>
        <w:t xml:space="preserve"> en œuvre de</w:t>
      </w:r>
      <w:r w:rsidR="009E2F55">
        <w:rPr>
          <w:iCs/>
          <w:snapToGrid w:val="0"/>
          <w:kern w:val="22"/>
          <w:szCs w:val="22"/>
          <w:lang w:val="fr-CA"/>
        </w:rPr>
        <w:t>s</w:t>
      </w:r>
      <w:r w:rsidR="009E2F55" w:rsidRPr="00887A5D">
        <w:rPr>
          <w:iCs/>
          <w:snapToGrid w:val="0"/>
          <w:kern w:val="22"/>
          <w:szCs w:val="22"/>
          <w:lang w:val="fr-CA"/>
        </w:rPr>
        <w:t xml:space="preserve"> stratégies et de</w:t>
      </w:r>
      <w:r w:rsidR="009E2F55">
        <w:rPr>
          <w:iCs/>
          <w:snapToGrid w:val="0"/>
          <w:kern w:val="22"/>
          <w:szCs w:val="22"/>
          <w:lang w:val="fr-CA"/>
        </w:rPr>
        <w:t>s</w:t>
      </w:r>
      <w:r w:rsidR="009E2F55" w:rsidRPr="00887A5D">
        <w:rPr>
          <w:iCs/>
          <w:snapToGrid w:val="0"/>
          <w:kern w:val="22"/>
          <w:szCs w:val="22"/>
          <w:lang w:val="fr-CA"/>
        </w:rPr>
        <w:t xml:space="preserve"> mesures qui tiennent compte de l</w:t>
      </w:r>
      <w:r w:rsidR="00C93846">
        <w:rPr>
          <w:iCs/>
          <w:snapToGrid w:val="0"/>
          <w:kern w:val="22"/>
          <w:szCs w:val="22"/>
          <w:lang w:val="fr-CA"/>
        </w:rPr>
        <w:t>’</w:t>
      </w:r>
      <w:r w:rsidR="009E2F55" w:rsidRPr="00887A5D">
        <w:rPr>
          <w:iCs/>
          <w:snapToGrid w:val="0"/>
          <w:kern w:val="22"/>
          <w:szCs w:val="22"/>
          <w:lang w:val="fr-CA"/>
        </w:rPr>
        <w:t>égalité entre les sexe</w:t>
      </w:r>
      <w:r w:rsidR="00E75EB9">
        <w:rPr>
          <w:iCs/>
          <w:snapToGrid w:val="0"/>
          <w:kern w:val="22"/>
          <w:szCs w:val="22"/>
          <w:lang w:val="fr-CA"/>
        </w:rPr>
        <w:t>s, pour appuyer l’application</w:t>
      </w:r>
      <w:r w:rsidR="009E2F55" w:rsidRPr="00887A5D">
        <w:rPr>
          <w:iCs/>
          <w:snapToGrid w:val="0"/>
          <w:kern w:val="22"/>
          <w:szCs w:val="22"/>
          <w:lang w:val="fr-CA"/>
        </w:rPr>
        <w:t xml:space="preserve"> de la Convention et </w:t>
      </w:r>
      <w:r w:rsidR="00E75EB9">
        <w:rPr>
          <w:iCs/>
          <w:snapToGrid w:val="0"/>
          <w:kern w:val="22"/>
          <w:szCs w:val="22"/>
          <w:lang w:val="fr-CA"/>
        </w:rPr>
        <w:t xml:space="preserve">la mise en œuvre </w:t>
      </w:r>
      <w:r w:rsidR="009E2F55" w:rsidRPr="00887A5D">
        <w:rPr>
          <w:iCs/>
          <w:snapToGrid w:val="0"/>
          <w:kern w:val="22"/>
          <w:szCs w:val="22"/>
          <w:lang w:val="fr-CA"/>
        </w:rPr>
        <w:t xml:space="preserve">du </w:t>
      </w:r>
      <w:r w:rsidR="009E2F55">
        <w:rPr>
          <w:iCs/>
          <w:snapToGrid w:val="0"/>
          <w:kern w:val="22"/>
          <w:szCs w:val="22"/>
          <w:lang w:val="fr-CA"/>
        </w:rPr>
        <w:t>Plan stratégique  pour la diversité biologique</w:t>
      </w:r>
      <w:r w:rsidR="00E75EB9">
        <w:rPr>
          <w:iCs/>
          <w:snapToGrid w:val="0"/>
          <w:kern w:val="22"/>
          <w:szCs w:val="22"/>
          <w:lang w:val="fr-CA"/>
        </w:rPr>
        <w:t xml:space="preserve"> 2011</w:t>
      </w:r>
      <w:r w:rsidR="00E75EB9">
        <w:rPr>
          <w:iCs/>
          <w:snapToGrid w:val="0"/>
          <w:kern w:val="22"/>
          <w:szCs w:val="22"/>
          <w:lang w:val="fr-CA"/>
        </w:rPr>
        <w:noBreakHyphen/>
        <w:t>2020</w:t>
      </w:r>
      <w:r w:rsidR="009E2F55">
        <w:rPr>
          <w:iCs/>
          <w:snapToGrid w:val="0"/>
          <w:kern w:val="22"/>
          <w:szCs w:val="22"/>
          <w:lang w:val="fr-CA"/>
        </w:rPr>
        <w:t>;</w:t>
      </w:r>
    </w:p>
    <w:p w:rsidR="00220988" w:rsidRPr="004C3718" w:rsidRDefault="00506B0D" w:rsidP="00F9047D">
      <w:pPr>
        <w:suppressLineNumbers/>
        <w:suppressAutoHyphens/>
        <w:kinsoku w:val="0"/>
        <w:overflowPunct w:val="0"/>
        <w:autoSpaceDE w:val="0"/>
        <w:autoSpaceDN w:val="0"/>
        <w:adjustRightInd w:val="0"/>
        <w:snapToGrid w:val="0"/>
        <w:spacing w:after="120"/>
        <w:ind w:firstLine="709"/>
        <w:rPr>
          <w:szCs w:val="22"/>
          <w:lang w:val="fr-CA"/>
        </w:rPr>
      </w:pPr>
      <w:r w:rsidRPr="004C3718">
        <w:rPr>
          <w:szCs w:val="22"/>
          <w:lang w:val="fr-CA"/>
        </w:rPr>
        <w:t>4</w:t>
      </w:r>
      <w:r w:rsidR="00694E64" w:rsidRPr="004C3718">
        <w:rPr>
          <w:szCs w:val="22"/>
          <w:lang w:val="fr-CA"/>
        </w:rPr>
        <w:t>.</w:t>
      </w:r>
      <w:r w:rsidR="00CE5740" w:rsidRPr="004C3718">
        <w:rPr>
          <w:szCs w:val="22"/>
          <w:lang w:val="fr-CA"/>
        </w:rPr>
        <w:tab/>
      </w:r>
      <w:r w:rsidR="005743E3">
        <w:rPr>
          <w:i/>
          <w:kern w:val="22"/>
          <w:szCs w:val="22"/>
          <w:lang w:val="fr-CA"/>
        </w:rPr>
        <w:t>Encourag</w:t>
      </w:r>
      <w:r w:rsidR="005743E3" w:rsidRPr="00887A5D">
        <w:rPr>
          <w:i/>
          <w:kern w:val="22"/>
          <w:szCs w:val="22"/>
          <w:lang w:val="fr-CA"/>
        </w:rPr>
        <w:t>e</w:t>
      </w:r>
      <w:r w:rsidR="005743E3">
        <w:rPr>
          <w:kern w:val="22"/>
          <w:szCs w:val="22"/>
          <w:lang w:val="fr-CA"/>
        </w:rPr>
        <w:t xml:space="preserve"> les</w:t>
      </w:r>
      <w:r w:rsidR="005743E3" w:rsidRPr="00887A5D">
        <w:rPr>
          <w:kern w:val="22"/>
          <w:szCs w:val="22"/>
          <w:lang w:val="fr-CA"/>
        </w:rPr>
        <w:t xml:space="preserve"> Parties et </w:t>
      </w:r>
      <w:r w:rsidR="005743E3" w:rsidRPr="00887A5D">
        <w:rPr>
          <w:i/>
          <w:kern w:val="22"/>
          <w:szCs w:val="22"/>
          <w:lang w:val="fr-CA"/>
        </w:rPr>
        <w:t>invite</w:t>
      </w:r>
      <w:r w:rsidR="005743E3" w:rsidRPr="00887A5D">
        <w:rPr>
          <w:kern w:val="22"/>
          <w:szCs w:val="22"/>
          <w:lang w:val="fr-CA"/>
        </w:rPr>
        <w:t xml:space="preserve"> les autres parties </w:t>
      </w:r>
      <w:r w:rsidR="00942E5F">
        <w:rPr>
          <w:kern w:val="22"/>
          <w:szCs w:val="22"/>
          <w:lang w:val="fr-CA"/>
        </w:rPr>
        <w:t>prenantes concernées à appuyer l</w:t>
      </w:r>
      <w:r w:rsidR="005743E3" w:rsidRPr="00887A5D">
        <w:rPr>
          <w:kern w:val="22"/>
          <w:szCs w:val="22"/>
          <w:lang w:val="fr-CA"/>
        </w:rPr>
        <w:t>es mesures visant à renforcer les connaissances sur les liens entre l</w:t>
      </w:r>
      <w:r w:rsidR="00C93846">
        <w:rPr>
          <w:kern w:val="22"/>
          <w:szCs w:val="22"/>
          <w:lang w:val="fr-CA"/>
        </w:rPr>
        <w:t>’</w:t>
      </w:r>
      <w:r w:rsidR="005743E3" w:rsidRPr="00887A5D">
        <w:rPr>
          <w:kern w:val="22"/>
          <w:szCs w:val="22"/>
          <w:lang w:val="fr-CA"/>
        </w:rPr>
        <w:t xml:space="preserve">égalité des sexes et la diversité biologique, </w:t>
      </w:r>
      <w:r w:rsidR="00F9047D">
        <w:rPr>
          <w:kern w:val="22"/>
          <w:szCs w:val="22"/>
          <w:lang w:val="fr-CA"/>
        </w:rPr>
        <w:t>notamment</w:t>
      </w:r>
      <w:r w:rsidR="005743E3" w:rsidRPr="00887A5D">
        <w:rPr>
          <w:kern w:val="22"/>
          <w:szCs w:val="22"/>
          <w:lang w:val="fr-CA"/>
        </w:rPr>
        <w:t xml:space="preserve"> en fournissant des ressources pour un renforcement </w:t>
      </w:r>
      <w:r w:rsidR="005743E3">
        <w:rPr>
          <w:kern w:val="22"/>
          <w:szCs w:val="22"/>
          <w:lang w:val="fr-CA"/>
        </w:rPr>
        <w:t xml:space="preserve">des capacités </w:t>
      </w:r>
      <w:r w:rsidR="00F9047D">
        <w:rPr>
          <w:kern w:val="22"/>
          <w:szCs w:val="22"/>
          <w:lang w:val="fr-CA"/>
        </w:rPr>
        <w:t>dans ce domaine</w:t>
      </w:r>
      <w:r w:rsidR="005743E3" w:rsidRPr="00887A5D">
        <w:rPr>
          <w:kern w:val="22"/>
          <w:szCs w:val="22"/>
          <w:lang w:val="fr-CA"/>
        </w:rPr>
        <w:t xml:space="preserve">, et </w:t>
      </w:r>
      <w:r w:rsidR="00F9047D">
        <w:rPr>
          <w:kern w:val="22"/>
          <w:szCs w:val="22"/>
          <w:lang w:val="fr-CA"/>
        </w:rPr>
        <w:t xml:space="preserve">en récoltant </w:t>
      </w:r>
      <w:r w:rsidR="005743E3" w:rsidRPr="00887A5D">
        <w:rPr>
          <w:kern w:val="22"/>
          <w:szCs w:val="22"/>
          <w:lang w:val="fr-CA"/>
        </w:rPr>
        <w:t>de</w:t>
      </w:r>
      <w:r w:rsidR="00F9047D">
        <w:rPr>
          <w:kern w:val="22"/>
          <w:szCs w:val="22"/>
          <w:lang w:val="fr-CA"/>
        </w:rPr>
        <w:t>s</w:t>
      </w:r>
      <w:r w:rsidR="005743E3" w:rsidRPr="00887A5D">
        <w:rPr>
          <w:kern w:val="22"/>
          <w:szCs w:val="22"/>
          <w:lang w:val="fr-CA"/>
        </w:rPr>
        <w:t xml:space="preserve"> données ventilées par sexe</w:t>
      </w:r>
      <w:r w:rsidR="00F9047D">
        <w:rPr>
          <w:kern w:val="22"/>
          <w:szCs w:val="22"/>
          <w:lang w:val="fr-CA"/>
        </w:rPr>
        <w:t>;</w:t>
      </w:r>
    </w:p>
    <w:p w:rsidR="00220988" w:rsidRPr="004C3718" w:rsidRDefault="00506B0D" w:rsidP="00674745">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fr-CA"/>
        </w:rPr>
      </w:pPr>
      <w:r w:rsidRPr="004C3718">
        <w:rPr>
          <w:rFonts w:ascii="Times New Roman" w:hAnsi="Times New Roman" w:cs="Times New Roman"/>
          <w:kern w:val="22"/>
          <w:sz w:val="22"/>
          <w:szCs w:val="22"/>
          <w:lang w:val="fr-CA"/>
        </w:rPr>
        <w:t>5</w:t>
      </w:r>
      <w:r w:rsidR="00220988" w:rsidRPr="004C3718">
        <w:rPr>
          <w:rFonts w:ascii="Times New Roman" w:hAnsi="Times New Roman" w:cs="Times New Roman"/>
          <w:kern w:val="22"/>
          <w:sz w:val="22"/>
          <w:szCs w:val="22"/>
          <w:lang w:val="fr-CA"/>
        </w:rPr>
        <w:t>.</w:t>
      </w:r>
      <w:r w:rsidR="00220988" w:rsidRPr="004C3718">
        <w:rPr>
          <w:rFonts w:ascii="Times New Roman" w:hAnsi="Times New Roman" w:cs="Times New Roman"/>
          <w:i/>
          <w:kern w:val="22"/>
          <w:sz w:val="22"/>
          <w:szCs w:val="22"/>
          <w:lang w:val="fr-CA"/>
        </w:rPr>
        <w:tab/>
      </w:r>
      <w:r w:rsidR="00674745">
        <w:rPr>
          <w:rFonts w:ascii="Times New Roman" w:hAnsi="Times New Roman" w:cs="Times New Roman"/>
          <w:i/>
          <w:kern w:val="22"/>
          <w:sz w:val="22"/>
          <w:szCs w:val="22"/>
          <w:lang w:val="fr-CA"/>
        </w:rPr>
        <w:t>Encourage</w:t>
      </w:r>
      <w:r w:rsidR="00674745" w:rsidRPr="00887A5D">
        <w:rPr>
          <w:rFonts w:ascii="Times New Roman" w:hAnsi="Times New Roman" w:cs="Times New Roman"/>
          <w:i/>
          <w:kern w:val="22"/>
          <w:sz w:val="22"/>
          <w:szCs w:val="22"/>
          <w:lang w:val="fr-CA"/>
        </w:rPr>
        <w:t xml:space="preserve"> </w:t>
      </w:r>
      <w:r w:rsidR="00674745">
        <w:rPr>
          <w:rFonts w:ascii="Times New Roman" w:hAnsi="Times New Roman" w:cs="Times New Roman"/>
          <w:kern w:val="22"/>
          <w:sz w:val="22"/>
          <w:szCs w:val="22"/>
          <w:lang w:val="fr-CA"/>
        </w:rPr>
        <w:t>les</w:t>
      </w:r>
      <w:r w:rsidR="00674745" w:rsidRPr="00887A5D">
        <w:rPr>
          <w:rFonts w:ascii="Times New Roman" w:hAnsi="Times New Roman" w:cs="Times New Roman"/>
          <w:kern w:val="22"/>
          <w:sz w:val="22"/>
          <w:szCs w:val="22"/>
          <w:lang w:val="fr-CA"/>
        </w:rPr>
        <w:t xml:space="preserve"> Parties et </w:t>
      </w:r>
      <w:r w:rsidR="00674745">
        <w:rPr>
          <w:rFonts w:ascii="Times New Roman" w:hAnsi="Times New Roman" w:cs="Times New Roman"/>
          <w:i/>
          <w:iCs/>
          <w:kern w:val="22"/>
          <w:sz w:val="22"/>
          <w:szCs w:val="22"/>
          <w:lang w:val="fr-CA"/>
        </w:rPr>
        <w:t>invite</w:t>
      </w:r>
      <w:r w:rsidR="00674745">
        <w:rPr>
          <w:rFonts w:ascii="Times New Roman" w:hAnsi="Times New Roman" w:cs="Times New Roman"/>
          <w:kern w:val="22"/>
          <w:sz w:val="22"/>
          <w:szCs w:val="22"/>
          <w:lang w:val="fr-CA"/>
        </w:rPr>
        <w:t xml:space="preserve"> les</w:t>
      </w:r>
      <w:r w:rsidR="00674745" w:rsidRPr="00887A5D">
        <w:rPr>
          <w:rFonts w:ascii="Times New Roman" w:hAnsi="Times New Roman" w:cs="Times New Roman"/>
          <w:kern w:val="22"/>
          <w:sz w:val="22"/>
          <w:szCs w:val="22"/>
          <w:lang w:val="fr-CA"/>
        </w:rPr>
        <w:t xml:space="preserve"> autres</w:t>
      </w:r>
      <w:r w:rsidR="00E75EB9">
        <w:rPr>
          <w:rFonts w:ascii="Times New Roman" w:hAnsi="Times New Roman" w:cs="Times New Roman"/>
          <w:kern w:val="22"/>
          <w:sz w:val="22"/>
          <w:szCs w:val="22"/>
          <w:lang w:val="fr-CA"/>
        </w:rPr>
        <w:t xml:space="preserve"> parties prenantes concernées à</w:t>
      </w:r>
      <w:r w:rsidR="00674745" w:rsidRPr="00887A5D">
        <w:rPr>
          <w:rFonts w:ascii="Times New Roman" w:hAnsi="Times New Roman" w:cs="Times New Roman"/>
          <w:kern w:val="22"/>
          <w:sz w:val="22"/>
          <w:szCs w:val="22"/>
          <w:lang w:val="fr-CA"/>
        </w:rPr>
        <w:t xml:space="preserve"> promouvoir des approches harmonisées en matière de renforcement des capacités et de mise en œuvre de mesures en faveur de la diversité biologique qui tiennent compte de l</w:t>
      </w:r>
      <w:r w:rsidR="00C93846">
        <w:rPr>
          <w:rFonts w:ascii="Times New Roman" w:hAnsi="Times New Roman" w:cs="Times New Roman"/>
          <w:kern w:val="22"/>
          <w:sz w:val="22"/>
          <w:szCs w:val="22"/>
          <w:lang w:val="fr-CA"/>
        </w:rPr>
        <w:t>’</w:t>
      </w:r>
      <w:r w:rsidR="00674745" w:rsidRPr="00887A5D">
        <w:rPr>
          <w:rFonts w:ascii="Times New Roman" w:hAnsi="Times New Roman" w:cs="Times New Roman"/>
          <w:kern w:val="22"/>
          <w:sz w:val="22"/>
          <w:szCs w:val="22"/>
          <w:lang w:val="fr-CA"/>
        </w:rPr>
        <w:t>égalité entre les sexes dans l</w:t>
      </w:r>
      <w:r w:rsidR="00C93846">
        <w:rPr>
          <w:rFonts w:ascii="Times New Roman" w:hAnsi="Times New Roman" w:cs="Times New Roman"/>
          <w:kern w:val="22"/>
          <w:sz w:val="22"/>
          <w:szCs w:val="22"/>
          <w:lang w:val="fr-CA"/>
        </w:rPr>
        <w:t>’</w:t>
      </w:r>
      <w:r w:rsidR="00674745" w:rsidRPr="00887A5D">
        <w:rPr>
          <w:rFonts w:ascii="Times New Roman" w:hAnsi="Times New Roman" w:cs="Times New Roman"/>
          <w:kern w:val="22"/>
          <w:sz w:val="22"/>
          <w:szCs w:val="22"/>
          <w:lang w:val="fr-CA"/>
        </w:rPr>
        <w:t>ensemble des accords multilatéraux sur l</w:t>
      </w:r>
      <w:r w:rsidR="00C93846">
        <w:rPr>
          <w:rFonts w:ascii="Times New Roman" w:hAnsi="Times New Roman" w:cs="Times New Roman"/>
          <w:kern w:val="22"/>
          <w:sz w:val="22"/>
          <w:szCs w:val="22"/>
          <w:lang w:val="fr-CA"/>
        </w:rPr>
        <w:t>’</w:t>
      </w:r>
      <w:r w:rsidR="00674745" w:rsidRPr="00887A5D">
        <w:rPr>
          <w:rFonts w:ascii="Times New Roman" w:hAnsi="Times New Roman" w:cs="Times New Roman"/>
          <w:kern w:val="22"/>
          <w:sz w:val="22"/>
          <w:szCs w:val="22"/>
          <w:lang w:val="fr-CA"/>
        </w:rPr>
        <w:t>environnement</w:t>
      </w:r>
      <w:r w:rsidR="00674745">
        <w:rPr>
          <w:rFonts w:ascii="Times New Roman" w:hAnsi="Times New Roman" w:cs="Times New Roman"/>
          <w:i/>
          <w:kern w:val="22"/>
          <w:sz w:val="22"/>
          <w:szCs w:val="22"/>
          <w:lang w:val="fr-CA"/>
        </w:rPr>
        <w:t>;</w:t>
      </w:r>
    </w:p>
    <w:p w:rsidR="00220988" w:rsidRPr="004C3718" w:rsidRDefault="00506B0D" w:rsidP="00C93846">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fr-CA"/>
        </w:rPr>
      </w:pPr>
      <w:r w:rsidRPr="004C3718">
        <w:rPr>
          <w:rFonts w:ascii="Times New Roman" w:hAnsi="Times New Roman" w:cs="Times New Roman"/>
          <w:kern w:val="22"/>
          <w:sz w:val="22"/>
          <w:szCs w:val="22"/>
          <w:lang w:val="fr-CA"/>
        </w:rPr>
        <w:t>6</w:t>
      </w:r>
      <w:r w:rsidR="00220988" w:rsidRPr="004C3718">
        <w:rPr>
          <w:rFonts w:ascii="Times New Roman" w:hAnsi="Times New Roman" w:cs="Times New Roman"/>
          <w:i/>
          <w:kern w:val="22"/>
          <w:sz w:val="22"/>
          <w:szCs w:val="22"/>
          <w:lang w:val="fr-CA"/>
        </w:rPr>
        <w:t>.</w:t>
      </w:r>
      <w:r w:rsidR="00220988" w:rsidRPr="004C3718">
        <w:rPr>
          <w:rFonts w:ascii="Times New Roman" w:hAnsi="Times New Roman" w:cs="Times New Roman"/>
          <w:i/>
          <w:kern w:val="22"/>
          <w:sz w:val="22"/>
          <w:szCs w:val="22"/>
          <w:lang w:val="fr-CA"/>
        </w:rPr>
        <w:tab/>
      </w:r>
      <w:r w:rsidR="00674745" w:rsidRPr="00887A5D">
        <w:rPr>
          <w:rFonts w:ascii="Times New Roman" w:hAnsi="Times New Roman" w:cs="Times New Roman"/>
          <w:i/>
          <w:kern w:val="22"/>
          <w:sz w:val="22"/>
          <w:szCs w:val="22"/>
          <w:lang w:val="fr-CA"/>
        </w:rPr>
        <w:t>Prie</w:t>
      </w:r>
      <w:r w:rsidR="00674745" w:rsidRPr="00887A5D">
        <w:rPr>
          <w:rFonts w:ascii="Times New Roman" w:hAnsi="Times New Roman" w:cs="Times New Roman"/>
          <w:kern w:val="22"/>
          <w:sz w:val="22"/>
          <w:szCs w:val="22"/>
          <w:lang w:val="fr-CA"/>
        </w:rPr>
        <w:t xml:space="preserve"> la Secrétaire exécutive, dans la limite des ressources disponibles, d</w:t>
      </w:r>
      <w:r w:rsidR="00C93846">
        <w:rPr>
          <w:rFonts w:ascii="Times New Roman" w:hAnsi="Times New Roman" w:cs="Times New Roman"/>
          <w:kern w:val="22"/>
          <w:sz w:val="22"/>
          <w:szCs w:val="22"/>
          <w:lang w:val="fr-CA"/>
        </w:rPr>
        <w:t>’</w:t>
      </w:r>
      <w:r w:rsidR="00674745" w:rsidRPr="00887A5D">
        <w:rPr>
          <w:rFonts w:ascii="Times New Roman" w:hAnsi="Times New Roman" w:cs="Times New Roman"/>
          <w:kern w:val="22"/>
          <w:sz w:val="22"/>
          <w:szCs w:val="22"/>
          <w:lang w:val="fr-CA"/>
        </w:rPr>
        <w:t>entreprendre un examen de la mise en œuvre du Plan d</w:t>
      </w:r>
      <w:r w:rsidR="00C93846">
        <w:rPr>
          <w:rFonts w:ascii="Times New Roman" w:hAnsi="Times New Roman" w:cs="Times New Roman"/>
          <w:kern w:val="22"/>
          <w:sz w:val="22"/>
          <w:szCs w:val="22"/>
          <w:lang w:val="fr-CA"/>
        </w:rPr>
        <w:t>’</w:t>
      </w:r>
      <w:r w:rsidR="00674745" w:rsidRPr="00887A5D">
        <w:rPr>
          <w:rFonts w:ascii="Times New Roman" w:hAnsi="Times New Roman" w:cs="Times New Roman"/>
          <w:kern w:val="22"/>
          <w:sz w:val="22"/>
          <w:szCs w:val="22"/>
          <w:lang w:val="fr-CA"/>
        </w:rPr>
        <w:t>action 2015</w:t>
      </w:r>
      <w:r w:rsidR="00BE6F55">
        <w:rPr>
          <w:rFonts w:ascii="Times New Roman" w:hAnsi="Times New Roman" w:cs="Times New Roman"/>
          <w:kern w:val="22"/>
          <w:sz w:val="22"/>
          <w:szCs w:val="22"/>
          <w:lang w:val="fr-CA"/>
        </w:rPr>
        <w:noBreakHyphen/>
      </w:r>
      <w:r w:rsidR="00674745" w:rsidRPr="00887A5D">
        <w:rPr>
          <w:rFonts w:ascii="Times New Roman" w:hAnsi="Times New Roman" w:cs="Times New Roman"/>
          <w:kern w:val="22"/>
          <w:sz w:val="22"/>
          <w:szCs w:val="22"/>
          <w:lang w:val="fr-CA"/>
        </w:rPr>
        <w:t>2020 pour l</w:t>
      </w:r>
      <w:r w:rsidR="00C93846">
        <w:rPr>
          <w:rFonts w:ascii="Times New Roman" w:hAnsi="Times New Roman" w:cs="Times New Roman"/>
          <w:kern w:val="22"/>
          <w:sz w:val="22"/>
          <w:szCs w:val="22"/>
          <w:lang w:val="fr-CA"/>
        </w:rPr>
        <w:t>’</w:t>
      </w:r>
      <w:r w:rsidR="00674745" w:rsidRPr="00887A5D">
        <w:rPr>
          <w:rFonts w:ascii="Times New Roman" w:hAnsi="Times New Roman" w:cs="Times New Roman"/>
          <w:kern w:val="22"/>
          <w:sz w:val="22"/>
          <w:szCs w:val="22"/>
          <w:lang w:val="fr-CA"/>
        </w:rPr>
        <w:t>égalité entre les sexes, en parallèle à l</w:t>
      </w:r>
      <w:r w:rsidR="00C93846">
        <w:rPr>
          <w:rFonts w:ascii="Times New Roman" w:hAnsi="Times New Roman" w:cs="Times New Roman"/>
          <w:kern w:val="22"/>
          <w:sz w:val="22"/>
          <w:szCs w:val="22"/>
          <w:lang w:val="fr-CA"/>
        </w:rPr>
        <w:t>’</w:t>
      </w:r>
      <w:r w:rsidR="00674745" w:rsidRPr="00887A5D">
        <w:rPr>
          <w:rFonts w:ascii="Times New Roman" w:hAnsi="Times New Roman" w:cs="Times New Roman"/>
          <w:kern w:val="22"/>
          <w:sz w:val="22"/>
          <w:szCs w:val="22"/>
          <w:lang w:val="fr-CA"/>
        </w:rPr>
        <w:t xml:space="preserve">élaboration de la cinquième édition des </w:t>
      </w:r>
      <w:r w:rsidR="00674745" w:rsidRPr="00887A5D">
        <w:rPr>
          <w:rFonts w:ascii="Times New Roman" w:hAnsi="Times New Roman" w:cs="Times New Roman"/>
          <w:i/>
          <w:kern w:val="22"/>
          <w:sz w:val="22"/>
          <w:szCs w:val="22"/>
          <w:lang w:val="fr-CA"/>
        </w:rPr>
        <w:t>Perspectives mondiales de la diversité biologique</w:t>
      </w:r>
      <w:r w:rsidR="00674745" w:rsidRPr="00887A5D">
        <w:rPr>
          <w:rFonts w:ascii="Times New Roman" w:hAnsi="Times New Roman" w:cs="Times New Roman"/>
          <w:kern w:val="22"/>
          <w:sz w:val="22"/>
          <w:szCs w:val="22"/>
          <w:lang w:val="fr-CA"/>
        </w:rPr>
        <w:t xml:space="preserve"> et de la deuxième édition des </w:t>
      </w:r>
      <w:r w:rsidR="00674745" w:rsidRPr="00887A5D">
        <w:rPr>
          <w:rFonts w:ascii="Times New Roman" w:hAnsi="Times New Roman" w:cs="Times New Roman"/>
          <w:i/>
          <w:kern w:val="22"/>
          <w:sz w:val="22"/>
          <w:szCs w:val="22"/>
          <w:lang w:val="fr-CA"/>
        </w:rPr>
        <w:t>Perspectives locales de la diversité biologique,</w:t>
      </w:r>
      <w:r w:rsidR="00674745" w:rsidRPr="00887A5D">
        <w:rPr>
          <w:rFonts w:ascii="Times New Roman" w:hAnsi="Times New Roman" w:cs="Times New Roman"/>
          <w:kern w:val="22"/>
          <w:sz w:val="22"/>
          <w:szCs w:val="22"/>
          <w:lang w:val="fr-CA"/>
        </w:rPr>
        <w:t xml:space="preserve"> afin de recenser les lacunes, les bonnes pratiques et les enseignements tirés</w:t>
      </w:r>
      <w:r w:rsidR="00C93846">
        <w:rPr>
          <w:rFonts w:ascii="Times New Roman" w:hAnsi="Times New Roman" w:cs="Times New Roman"/>
          <w:kern w:val="22"/>
          <w:sz w:val="22"/>
          <w:szCs w:val="22"/>
          <w:lang w:val="fr-CA"/>
        </w:rPr>
        <w:t>;</w:t>
      </w:r>
    </w:p>
    <w:p w:rsidR="00171018" w:rsidRPr="004C3718" w:rsidRDefault="00506B0D" w:rsidP="00C93846">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fr-CA"/>
        </w:rPr>
      </w:pPr>
      <w:r w:rsidRPr="004C3718">
        <w:rPr>
          <w:rFonts w:ascii="Times New Roman" w:hAnsi="Times New Roman" w:cs="Times New Roman"/>
          <w:kern w:val="22"/>
          <w:sz w:val="22"/>
          <w:szCs w:val="22"/>
          <w:lang w:val="fr-CA"/>
        </w:rPr>
        <w:t>7.</w:t>
      </w:r>
      <w:r w:rsidRPr="004C3718">
        <w:rPr>
          <w:rFonts w:ascii="Times New Roman" w:hAnsi="Times New Roman" w:cs="Times New Roman"/>
          <w:kern w:val="22"/>
          <w:sz w:val="22"/>
          <w:szCs w:val="22"/>
          <w:lang w:val="fr-CA"/>
        </w:rPr>
        <w:tab/>
      </w:r>
      <w:bookmarkEnd w:id="1"/>
      <w:r w:rsidR="00C93846" w:rsidRPr="00887A5D">
        <w:rPr>
          <w:rFonts w:ascii="Times New Roman" w:hAnsi="Times New Roman" w:cs="Times New Roman"/>
          <w:i/>
          <w:kern w:val="22"/>
          <w:sz w:val="22"/>
          <w:szCs w:val="22"/>
          <w:lang w:val="fr-CA"/>
        </w:rPr>
        <w:t xml:space="preserve">Prie </w:t>
      </w:r>
      <w:r w:rsidR="00C93846">
        <w:rPr>
          <w:rFonts w:ascii="Times New Roman" w:hAnsi="Times New Roman" w:cs="Times New Roman"/>
          <w:i/>
          <w:kern w:val="22"/>
          <w:sz w:val="22"/>
          <w:szCs w:val="22"/>
          <w:lang w:val="fr-CA"/>
        </w:rPr>
        <w:t>également</w:t>
      </w:r>
      <w:r w:rsidR="00C93846" w:rsidRPr="00887A5D">
        <w:rPr>
          <w:rFonts w:ascii="Times New Roman" w:hAnsi="Times New Roman" w:cs="Times New Roman"/>
          <w:kern w:val="22"/>
          <w:sz w:val="22"/>
          <w:szCs w:val="22"/>
          <w:lang w:val="fr-CA"/>
        </w:rPr>
        <w:t xml:space="preserve"> la Secrétaire exécutive, dans la limite des ressources disponibles, d</w:t>
      </w:r>
      <w:r w:rsidR="00C93846">
        <w:rPr>
          <w:rFonts w:ascii="Times New Roman" w:hAnsi="Times New Roman" w:cs="Times New Roman"/>
          <w:kern w:val="22"/>
          <w:sz w:val="22"/>
          <w:szCs w:val="22"/>
          <w:lang w:val="fr-CA"/>
        </w:rPr>
        <w:t>’</w:t>
      </w:r>
      <w:r w:rsidR="00C93846" w:rsidRPr="00887A5D">
        <w:rPr>
          <w:rFonts w:ascii="Times New Roman" w:hAnsi="Times New Roman" w:cs="Times New Roman"/>
          <w:kern w:val="22"/>
          <w:sz w:val="22"/>
          <w:szCs w:val="22"/>
          <w:lang w:val="fr-CA"/>
        </w:rPr>
        <w:t>organiser des ateliers régionaux sur les liens entre l</w:t>
      </w:r>
      <w:r w:rsidR="00C93846">
        <w:rPr>
          <w:rFonts w:ascii="Times New Roman" w:hAnsi="Times New Roman" w:cs="Times New Roman"/>
          <w:kern w:val="22"/>
          <w:sz w:val="22"/>
          <w:szCs w:val="22"/>
          <w:lang w:val="fr-CA"/>
        </w:rPr>
        <w:t>’</w:t>
      </w:r>
      <w:r w:rsidR="00C93846" w:rsidRPr="00887A5D">
        <w:rPr>
          <w:rFonts w:ascii="Times New Roman" w:hAnsi="Times New Roman" w:cs="Times New Roman"/>
          <w:kern w:val="22"/>
          <w:sz w:val="22"/>
          <w:szCs w:val="22"/>
          <w:lang w:val="fr-CA"/>
        </w:rPr>
        <w:t xml:space="preserve">égalité des sexes et la diversité biologique, et sur les enseignements tirés de la mise en œuvre du </w:t>
      </w:r>
      <w:r w:rsidR="00C93846">
        <w:rPr>
          <w:rFonts w:ascii="Times New Roman" w:hAnsi="Times New Roman" w:cs="Times New Roman"/>
          <w:kern w:val="22"/>
          <w:sz w:val="22"/>
          <w:szCs w:val="22"/>
          <w:lang w:val="fr-CA"/>
        </w:rPr>
        <w:t>Plan d’action 2015</w:t>
      </w:r>
      <w:r w:rsidR="00BE6F55">
        <w:rPr>
          <w:rFonts w:ascii="Times New Roman" w:hAnsi="Times New Roman" w:cs="Times New Roman"/>
          <w:kern w:val="22"/>
          <w:sz w:val="22"/>
          <w:szCs w:val="22"/>
          <w:lang w:val="fr-CA"/>
        </w:rPr>
        <w:noBreakHyphen/>
      </w:r>
      <w:r w:rsidR="00C93846">
        <w:rPr>
          <w:rFonts w:ascii="Times New Roman" w:hAnsi="Times New Roman" w:cs="Times New Roman"/>
          <w:kern w:val="22"/>
          <w:sz w:val="22"/>
          <w:szCs w:val="22"/>
          <w:lang w:val="fr-CA"/>
        </w:rPr>
        <w:t>2020 pour l’égalité entre les sexes;</w:t>
      </w:r>
    </w:p>
    <w:p w:rsidR="003A6508" w:rsidRPr="004C3718" w:rsidRDefault="00BB59E8" w:rsidP="00C93846">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fr-CA"/>
        </w:rPr>
      </w:pPr>
      <w:r w:rsidRPr="004C3718">
        <w:rPr>
          <w:rFonts w:ascii="Times New Roman" w:hAnsi="Times New Roman" w:cs="Times New Roman"/>
          <w:kern w:val="22"/>
          <w:sz w:val="22"/>
          <w:szCs w:val="22"/>
          <w:lang w:val="fr-CA"/>
        </w:rPr>
        <w:t>8.</w:t>
      </w:r>
      <w:r w:rsidR="006B4AEF" w:rsidRPr="004C3718">
        <w:rPr>
          <w:rFonts w:ascii="Times New Roman" w:hAnsi="Times New Roman" w:cs="Times New Roman"/>
          <w:kern w:val="22"/>
          <w:sz w:val="22"/>
          <w:szCs w:val="22"/>
          <w:lang w:val="fr-CA"/>
        </w:rPr>
        <w:tab/>
      </w:r>
      <w:r w:rsidR="00C93846">
        <w:rPr>
          <w:rFonts w:ascii="Times New Roman" w:hAnsi="Times New Roman" w:cs="Times New Roman"/>
          <w:i/>
          <w:iCs/>
          <w:kern w:val="22"/>
          <w:sz w:val="22"/>
          <w:szCs w:val="22"/>
          <w:lang w:val="fr-CA"/>
        </w:rPr>
        <w:t>Prie en outre</w:t>
      </w:r>
      <w:r w:rsidR="00C93846">
        <w:rPr>
          <w:rFonts w:ascii="Times New Roman" w:hAnsi="Times New Roman" w:cs="Times New Roman"/>
          <w:kern w:val="22"/>
          <w:sz w:val="22"/>
          <w:szCs w:val="22"/>
          <w:lang w:val="fr-CA"/>
        </w:rPr>
        <w:t xml:space="preserve"> la Secrétaire exécutive, </w:t>
      </w:r>
      <w:r w:rsidR="00C93846" w:rsidRPr="00887A5D">
        <w:rPr>
          <w:rFonts w:ascii="Times New Roman" w:hAnsi="Times New Roman" w:cs="Times New Roman"/>
          <w:kern w:val="22"/>
          <w:sz w:val="22"/>
          <w:szCs w:val="22"/>
          <w:lang w:val="fr-CA"/>
        </w:rPr>
        <w:t xml:space="preserve">dans la limite des ressources disponibles, </w:t>
      </w:r>
      <w:r w:rsidR="00C93846">
        <w:rPr>
          <w:rFonts w:ascii="Times New Roman" w:hAnsi="Times New Roman" w:cs="Times New Roman"/>
          <w:kern w:val="22"/>
          <w:sz w:val="22"/>
          <w:szCs w:val="22"/>
          <w:lang w:val="fr-CA"/>
        </w:rPr>
        <w:t xml:space="preserve">d’inclure des débats sur les </w:t>
      </w:r>
      <w:r w:rsidR="00C93846" w:rsidRPr="00C93846">
        <w:rPr>
          <w:rFonts w:ascii="Times New Roman" w:hAnsi="Times New Roman" w:cs="Times New Roman"/>
          <w:kern w:val="22"/>
          <w:sz w:val="22"/>
          <w:szCs w:val="22"/>
          <w:lang w:val="fr-CA"/>
        </w:rPr>
        <w:t>liens entre l</w:t>
      </w:r>
      <w:r w:rsidR="00C93846">
        <w:rPr>
          <w:rFonts w:ascii="Times New Roman" w:hAnsi="Times New Roman" w:cs="Times New Roman"/>
          <w:kern w:val="22"/>
          <w:sz w:val="22"/>
          <w:szCs w:val="22"/>
          <w:lang w:val="fr-CA"/>
        </w:rPr>
        <w:t>’</w:t>
      </w:r>
      <w:r w:rsidR="00C93846" w:rsidRPr="00C93846">
        <w:rPr>
          <w:rFonts w:ascii="Times New Roman" w:hAnsi="Times New Roman" w:cs="Times New Roman"/>
          <w:kern w:val="22"/>
          <w:sz w:val="22"/>
          <w:szCs w:val="22"/>
          <w:lang w:val="fr-CA"/>
        </w:rPr>
        <w:t>égalité des sexes et la diversité biologique</w:t>
      </w:r>
      <w:r w:rsidR="00C93846">
        <w:rPr>
          <w:rFonts w:ascii="Times New Roman" w:hAnsi="Times New Roman" w:cs="Times New Roman"/>
          <w:kern w:val="22"/>
          <w:sz w:val="22"/>
          <w:szCs w:val="22"/>
          <w:lang w:val="fr-CA"/>
        </w:rPr>
        <w:t xml:space="preserve"> et sur les enseignements tirés </w:t>
      </w:r>
      <w:r w:rsidR="00C93846" w:rsidRPr="00887A5D">
        <w:rPr>
          <w:rFonts w:ascii="Times New Roman" w:hAnsi="Times New Roman" w:cs="Times New Roman"/>
          <w:kern w:val="22"/>
          <w:sz w:val="22"/>
          <w:szCs w:val="22"/>
          <w:lang w:val="fr-CA"/>
        </w:rPr>
        <w:t xml:space="preserve">de la mise en œuvre du </w:t>
      </w:r>
      <w:r w:rsidR="00C93846">
        <w:rPr>
          <w:rFonts w:ascii="Times New Roman" w:hAnsi="Times New Roman" w:cs="Times New Roman"/>
          <w:kern w:val="22"/>
          <w:sz w:val="22"/>
          <w:szCs w:val="22"/>
          <w:lang w:val="fr-CA"/>
        </w:rPr>
        <w:t>Plan d’action 2015</w:t>
      </w:r>
      <w:r w:rsidR="00BE6F55">
        <w:rPr>
          <w:rFonts w:ascii="Times New Roman" w:hAnsi="Times New Roman" w:cs="Times New Roman"/>
          <w:kern w:val="22"/>
          <w:sz w:val="22"/>
          <w:szCs w:val="22"/>
          <w:lang w:val="fr-CA"/>
        </w:rPr>
        <w:noBreakHyphen/>
      </w:r>
      <w:r w:rsidR="00C93846">
        <w:rPr>
          <w:rFonts w:ascii="Times New Roman" w:hAnsi="Times New Roman" w:cs="Times New Roman"/>
          <w:kern w:val="22"/>
          <w:sz w:val="22"/>
          <w:szCs w:val="22"/>
          <w:lang w:val="fr-CA"/>
        </w:rPr>
        <w:t xml:space="preserve">2020 pour l’égalité entre les sexes dans les consultations régionales relatives au cadre mondial </w:t>
      </w:r>
      <w:r w:rsidR="00A84102">
        <w:rPr>
          <w:rFonts w:ascii="Times New Roman" w:hAnsi="Times New Roman" w:cs="Times New Roman"/>
          <w:kern w:val="22"/>
          <w:sz w:val="22"/>
          <w:szCs w:val="22"/>
          <w:lang w:val="fr-CA"/>
        </w:rPr>
        <w:t>de la biodiversité pour l’a</w:t>
      </w:r>
      <w:r w:rsidR="00C93846">
        <w:rPr>
          <w:rFonts w:ascii="Times New Roman" w:hAnsi="Times New Roman" w:cs="Times New Roman"/>
          <w:kern w:val="22"/>
          <w:sz w:val="22"/>
          <w:szCs w:val="22"/>
          <w:lang w:val="fr-CA"/>
        </w:rPr>
        <w:t>près</w:t>
      </w:r>
      <w:r w:rsidR="00BE6F55">
        <w:rPr>
          <w:rFonts w:ascii="Times New Roman" w:hAnsi="Times New Roman" w:cs="Times New Roman"/>
          <w:kern w:val="22"/>
          <w:sz w:val="22"/>
          <w:szCs w:val="22"/>
          <w:lang w:val="fr-CA"/>
        </w:rPr>
        <w:noBreakHyphen/>
      </w:r>
      <w:r w:rsidR="00A84102">
        <w:rPr>
          <w:rFonts w:ascii="Times New Roman" w:hAnsi="Times New Roman" w:cs="Times New Roman"/>
          <w:kern w:val="22"/>
          <w:sz w:val="22"/>
          <w:szCs w:val="22"/>
          <w:lang w:val="fr-CA"/>
        </w:rPr>
        <w:t>2020</w:t>
      </w:r>
      <w:r w:rsidR="00C93846">
        <w:rPr>
          <w:rFonts w:ascii="Times New Roman" w:hAnsi="Times New Roman" w:cs="Times New Roman"/>
          <w:kern w:val="22"/>
          <w:sz w:val="22"/>
          <w:szCs w:val="22"/>
          <w:lang w:val="fr-CA"/>
        </w:rPr>
        <w:t>.</w:t>
      </w:r>
    </w:p>
    <w:p w:rsidR="00DF70AB" w:rsidRPr="004C3718" w:rsidRDefault="00DF70AB" w:rsidP="00AE76D7">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both"/>
        <w:rPr>
          <w:rFonts w:ascii="Times New Roman" w:hAnsi="Times New Roman" w:cs="Times New Roman"/>
          <w:kern w:val="22"/>
          <w:sz w:val="22"/>
          <w:szCs w:val="22"/>
          <w:lang w:val="fr-CA"/>
        </w:rPr>
      </w:pPr>
    </w:p>
    <w:p w:rsidR="00220988" w:rsidRPr="004C3718" w:rsidRDefault="00220988" w:rsidP="00AE76D7">
      <w:pPr>
        <w:pStyle w:val="ListParagraph"/>
        <w:suppressLineNumbers/>
        <w:suppressAutoHyphens/>
        <w:kinsoku w:val="0"/>
        <w:overflowPunct w:val="0"/>
        <w:autoSpaceDE w:val="0"/>
        <w:autoSpaceDN w:val="0"/>
        <w:adjustRightInd w:val="0"/>
        <w:snapToGrid w:val="0"/>
        <w:spacing w:after="120"/>
        <w:ind w:left="1080"/>
        <w:contextualSpacing w:val="0"/>
        <w:jc w:val="center"/>
        <w:rPr>
          <w:i/>
          <w:iCs/>
          <w:snapToGrid w:val="0"/>
          <w:kern w:val="22"/>
          <w:szCs w:val="22"/>
          <w:lang w:val="fr-CA"/>
        </w:rPr>
      </w:pPr>
      <w:r w:rsidRPr="004C3718">
        <w:rPr>
          <w:kern w:val="22"/>
          <w:szCs w:val="22"/>
          <w:lang w:val="fr-CA"/>
        </w:rPr>
        <w:t>________</w:t>
      </w:r>
      <w:r w:rsidR="00EA6A3D" w:rsidRPr="004C3718">
        <w:rPr>
          <w:kern w:val="22"/>
          <w:szCs w:val="22"/>
          <w:lang w:val="fr-CA"/>
        </w:rPr>
        <w:t>__</w:t>
      </w:r>
    </w:p>
    <w:p w:rsidR="00B3369F" w:rsidRPr="004C3718" w:rsidRDefault="00B3369F" w:rsidP="00AE76D7">
      <w:pPr>
        <w:suppressLineNumbers/>
        <w:suppressAutoHyphens/>
        <w:kinsoku w:val="0"/>
        <w:overflowPunct w:val="0"/>
        <w:autoSpaceDE w:val="0"/>
        <w:autoSpaceDN w:val="0"/>
        <w:adjustRightInd w:val="0"/>
        <w:snapToGrid w:val="0"/>
        <w:rPr>
          <w:szCs w:val="22"/>
          <w:lang w:val="fr-CA"/>
        </w:rPr>
      </w:pPr>
    </w:p>
    <w:sectPr w:rsidR="00B3369F" w:rsidRPr="004C3718" w:rsidSect="006E08C6">
      <w:headerReference w:type="even" r:id="rId13"/>
      <w:headerReference w:type="default" r:id="rId14"/>
      <w:footerReference w:type="even" r:id="rId15"/>
      <w:pgSz w:w="12240" w:h="15840"/>
      <w:pgMar w:top="567" w:right="1389" w:bottom="1134" w:left="1389" w:header="461"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5E8475" w15:done="0"/>
  <w15:commentEx w15:paraId="0D0C6FAC" w15:done="0"/>
  <w15:commentEx w15:paraId="3124D3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E8475" w16cid:durableId="1EF0BF90"/>
  <w16cid:commentId w16cid:paraId="0D0C6FAC" w16cid:durableId="1EF0BF91"/>
  <w16cid:commentId w16cid:paraId="3124D3EE" w16cid:durableId="1EF0BF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BD" w:rsidRDefault="00165EBD" w:rsidP="00CF1848">
      <w:r>
        <w:separator/>
      </w:r>
    </w:p>
  </w:endnote>
  <w:endnote w:type="continuationSeparator" w:id="0">
    <w:p w:rsidR="00165EBD" w:rsidRDefault="00165EB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97" w:rsidRDefault="00ED4D97" w:rsidP="00ED4D97">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BD" w:rsidRDefault="00165EBD" w:rsidP="00CF1848">
      <w:r>
        <w:separator/>
      </w:r>
    </w:p>
  </w:footnote>
  <w:footnote w:type="continuationSeparator" w:id="0">
    <w:p w:rsidR="00165EBD" w:rsidRDefault="00165EBD" w:rsidP="00CF1848">
      <w:r>
        <w:continuationSeparator/>
      </w:r>
    </w:p>
  </w:footnote>
  <w:footnote w:id="1">
    <w:p w:rsidR="00493CB0" w:rsidRPr="007745CD" w:rsidRDefault="00493CB0" w:rsidP="00493CB0">
      <w:pPr>
        <w:keepLines/>
        <w:suppressLineNumbers/>
        <w:suppressAutoHyphens/>
        <w:kinsoku w:val="0"/>
        <w:overflowPunct w:val="0"/>
        <w:autoSpaceDE w:val="0"/>
        <w:autoSpaceDN w:val="0"/>
        <w:adjustRightInd w:val="0"/>
        <w:snapToGrid w:val="0"/>
        <w:spacing w:after="60"/>
        <w:jc w:val="left"/>
        <w:rPr>
          <w:sz w:val="18"/>
          <w:szCs w:val="18"/>
          <w:lang w:val="fr-FR"/>
        </w:rPr>
      </w:pPr>
      <w:r w:rsidRPr="007745CD">
        <w:rPr>
          <w:rStyle w:val="FootnoteReference"/>
          <w:sz w:val="18"/>
          <w:szCs w:val="18"/>
          <w:lang w:val="fr-FR"/>
        </w:rPr>
        <w:footnoteRef/>
      </w:r>
      <w:r w:rsidRPr="007745CD">
        <w:rPr>
          <w:bCs/>
          <w:sz w:val="18"/>
          <w:szCs w:val="18"/>
          <w:lang w:val="fr-FR" w:eastAsia="en-CA"/>
        </w:rPr>
        <w:t xml:space="preserve"> </w:t>
      </w:r>
      <w:hyperlink r:id="rId1" w:history="1">
        <w:r w:rsidRPr="00F00D2B">
          <w:rPr>
            <w:rStyle w:val="Hyperlink"/>
            <w:bCs/>
            <w:szCs w:val="18"/>
            <w:lang w:val="fr-FR" w:eastAsia="en-CA"/>
          </w:rPr>
          <w:t>CBD/SBI/2/2/</w:t>
        </w:r>
        <w:r w:rsidRPr="00F00D2B">
          <w:rPr>
            <w:rStyle w:val="Hyperlink"/>
            <w:bCs/>
            <w:noProof/>
            <w:szCs w:val="18"/>
            <w:lang w:val="fr-FR" w:eastAsia="en-CA"/>
          </w:rPr>
          <w:t>Add.1</w:t>
        </w:r>
      </w:hyperlink>
      <w:r w:rsidRPr="007745CD">
        <w:rPr>
          <w:bCs/>
          <w:noProof/>
          <w:sz w:val="18"/>
          <w:szCs w:val="18"/>
          <w:lang w:val="fr-FR" w:eastAsia="en-CA"/>
        </w:rPr>
        <w:t>.</w:t>
      </w:r>
      <w:r w:rsidR="0032162F" w:rsidRPr="007745CD">
        <w:rPr>
          <w:bCs/>
          <w:noProof/>
          <w:sz w:val="18"/>
          <w:szCs w:val="18"/>
          <w:lang w:val="fr-FR" w:eastAsia="en-CA"/>
        </w:rPr>
        <w:t xml:space="preserve"> </w:t>
      </w:r>
      <w:r w:rsidRPr="007745CD">
        <w:rPr>
          <w:noProof/>
          <w:sz w:val="18"/>
          <w:szCs w:val="18"/>
          <w:lang w:val="fr-FR" w:eastAsia="en-CA"/>
        </w:rPr>
        <w:t xml:space="preserve">et </w:t>
      </w:r>
      <w:hyperlink r:id="rId2" w:history="1">
        <w:r w:rsidRPr="00DA48BF">
          <w:rPr>
            <w:rStyle w:val="Hyperlink"/>
            <w:bCs/>
            <w:noProof/>
            <w:szCs w:val="18"/>
            <w:lang w:val="fr-FR" w:eastAsia="en-CA"/>
          </w:rPr>
          <w:t>Add.2</w:t>
        </w:r>
      </w:hyperlink>
      <w:r w:rsidRPr="007745CD">
        <w:rPr>
          <w:sz w:val="18"/>
          <w:szCs w:val="18"/>
          <w:lang w:val="fr-FR" w:eastAsia="en-CA"/>
        </w:rPr>
        <w:t>.</w:t>
      </w:r>
    </w:p>
  </w:footnote>
  <w:footnote w:id="2">
    <w:p w:rsidR="00C067C5" w:rsidRPr="007745CD" w:rsidRDefault="00C067C5" w:rsidP="00C067C5">
      <w:pPr>
        <w:pStyle w:val="FootnoteText"/>
        <w:suppressLineNumbers/>
        <w:suppressAutoHyphens/>
        <w:kinsoku w:val="0"/>
        <w:overflowPunct w:val="0"/>
        <w:autoSpaceDE w:val="0"/>
        <w:autoSpaceDN w:val="0"/>
        <w:adjustRightInd w:val="0"/>
        <w:snapToGrid w:val="0"/>
        <w:ind w:firstLine="0"/>
        <w:jc w:val="left"/>
        <w:rPr>
          <w:szCs w:val="18"/>
          <w:lang w:val="fr-FR"/>
        </w:rPr>
      </w:pPr>
      <w:r w:rsidRPr="007745CD">
        <w:rPr>
          <w:rStyle w:val="FootnoteReference"/>
          <w:sz w:val="18"/>
          <w:szCs w:val="18"/>
          <w:lang w:val="fr-FR"/>
        </w:rPr>
        <w:footnoteRef/>
      </w:r>
      <w:r w:rsidR="007745CD" w:rsidRPr="007745CD">
        <w:rPr>
          <w:szCs w:val="18"/>
          <w:lang w:val="fr-FR"/>
        </w:rPr>
        <w:t xml:space="preserve"> Dé</w:t>
      </w:r>
      <w:r w:rsidRPr="007745CD">
        <w:rPr>
          <w:szCs w:val="18"/>
          <w:lang w:val="fr-FR"/>
        </w:rPr>
        <w:t xml:space="preserve">cision </w:t>
      </w:r>
      <w:hyperlink r:id="rId3" w:history="1">
        <w:r w:rsidRPr="007745CD">
          <w:rPr>
            <w:rStyle w:val="Hyperlink"/>
            <w:szCs w:val="18"/>
            <w:lang w:val="fr-FR"/>
          </w:rPr>
          <w:t>X/2</w:t>
        </w:r>
      </w:hyperlink>
      <w:r w:rsidRPr="007745CD">
        <w:rPr>
          <w:szCs w:val="18"/>
          <w:lang w:val="fr-FR"/>
        </w:rPr>
        <w:t>, annex</w:t>
      </w:r>
      <w:r w:rsidR="007745CD" w:rsidRPr="007745CD">
        <w:rPr>
          <w:szCs w:val="18"/>
          <w:lang w:val="fr-FR"/>
        </w:rPr>
        <w:t>e</w:t>
      </w:r>
      <w:r w:rsidRPr="007745CD">
        <w:rPr>
          <w:szCs w:val="18"/>
          <w:lang w:val="fr-FR"/>
        </w:rPr>
        <w:t>.</w:t>
      </w:r>
    </w:p>
  </w:footnote>
  <w:footnote w:id="3">
    <w:p w:rsidR="007745CD" w:rsidRPr="009E0522" w:rsidRDefault="007745CD" w:rsidP="007745CD">
      <w:pPr>
        <w:pStyle w:val="FootnoteText"/>
        <w:ind w:firstLine="0"/>
        <w:rPr>
          <w:lang w:val="fr-FR"/>
        </w:rPr>
      </w:pPr>
      <w:r w:rsidRPr="009E0522">
        <w:rPr>
          <w:rStyle w:val="FootnoteReference"/>
          <w:lang w:val="fr-FR"/>
        </w:rPr>
        <w:footnoteRef/>
      </w:r>
      <w:r w:rsidRPr="009E0522">
        <w:rPr>
          <w:lang w:val="fr-FR"/>
        </w:rPr>
        <w:t xml:space="preserve"> </w:t>
      </w:r>
      <w:hyperlink r:id="rId4" w:history="1">
        <w:r w:rsidR="00DA48BF" w:rsidRPr="009E0522">
          <w:rPr>
            <w:rStyle w:val="Hyperlink"/>
            <w:lang w:val="fr-FR"/>
          </w:rPr>
          <w:t>Dé</w:t>
        </w:r>
        <w:r w:rsidRPr="009E0522">
          <w:rPr>
            <w:rStyle w:val="Hyperlink"/>
            <w:lang w:val="fr-FR"/>
          </w:rPr>
          <w:t>cision IX/8</w:t>
        </w:r>
      </w:hyperlink>
      <w:r w:rsidRPr="009E0522">
        <w:rPr>
          <w:lang w:val="fr-FR"/>
        </w:rPr>
        <w:t>.</w:t>
      </w:r>
    </w:p>
  </w:footnote>
  <w:footnote w:id="4">
    <w:p w:rsidR="004A3DFB" w:rsidRPr="009E0522" w:rsidRDefault="004A3DFB" w:rsidP="004A3DFB">
      <w:pPr>
        <w:pStyle w:val="FootnoteText"/>
        <w:ind w:firstLine="0"/>
        <w:rPr>
          <w:lang w:val="fr-FR"/>
        </w:rPr>
      </w:pPr>
      <w:r w:rsidRPr="009E0522">
        <w:rPr>
          <w:rStyle w:val="FootnoteReference"/>
          <w:lang w:val="fr-FR"/>
        </w:rPr>
        <w:footnoteRef/>
      </w:r>
      <w:r w:rsidRPr="009E0522">
        <w:rPr>
          <w:lang w:val="fr-FR"/>
        </w:rPr>
        <w:t xml:space="preserve"> </w:t>
      </w:r>
      <w:r w:rsidRPr="009E0522">
        <w:rPr>
          <w:kern w:val="22"/>
          <w:szCs w:val="18"/>
          <w:lang w:val="fr-FR"/>
        </w:rPr>
        <w:t>Avant le 31 décembre 2018.</w:t>
      </w:r>
    </w:p>
  </w:footnote>
  <w:footnote w:id="5">
    <w:p w:rsidR="00574300" w:rsidRPr="0000163D" w:rsidRDefault="00574300" w:rsidP="00574300">
      <w:pPr>
        <w:keepLines/>
        <w:suppressLineNumbers/>
        <w:suppressAutoHyphens/>
        <w:kinsoku w:val="0"/>
        <w:overflowPunct w:val="0"/>
        <w:autoSpaceDE w:val="0"/>
        <w:autoSpaceDN w:val="0"/>
        <w:adjustRightInd w:val="0"/>
        <w:snapToGrid w:val="0"/>
        <w:spacing w:after="60"/>
        <w:jc w:val="left"/>
        <w:rPr>
          <w:sz w:val="18"/>
          <w:szCs w:val="18"/>
          <w:lang w:val="fr-CA"/>
        </w:rPr>
      </w:pPr>
      <w:r w:rsidRPr="002A332C">
        <w:rPr>
          <w:rStyle w:val="FootnoteReference"/>
          <w:sz w:val="18"/>
          <w:szCs w:val="18"/>
        </w:rPr>
        <w:footnoteRef/>
      </w:r>
      <w:r w:rsidRPr="0000163D">
        <w:rPr>
          <w:sz w:val="18"/>
          <w:szCs w:val="18"/>
          <w:lang w:val="fr-CA"/>
        </w:rPr>
        <w:t xml:space="preserve"> </w:t>
      </w:r>
      <w:hyperlink r:id="rId5" w:history="1">
        <w:r w:rsidRPr="00DA48BF">
          <w:rPr>
            <w:rStyle w:val="Hyperlink"/>
            <w:bCs/>
            <w:szCs w:val="18"/>
            <w:lang w:val="fr-CA" w:eastAsia="en-CA"/>
          </w:rPr>
          <w:t>CBD/</w:t>
        </w:r>
        <w:r w:rsidRPr="00DA48BF">
          <w:rPr>
            <w:rStyle w:val="Hyperlink"/>
            <w:bCs/>
            <w:noProof/>
            <w:szCs w:val="18"/>
            <w:lang w:val="fr-FR" w:eastAsia="en-CA"/>
          </w:rPr>
          <w:t>SBI/2/2/Add.3</w:t>
        </w:r>
      </w:hyperlink>
      <w:r w:rsidRPr="0000163D">
        <w:rPr>
          <w:sz w:val="18"/>
          <w:szCs w:val="18"/>
          <w:lang w:val="fr-CA" w:eastAsia="en-CA"/>
        </w:rPr>
        <w:t>.</w:t>
      </w:r>
    </w:p>
  </w:footnote>
  <w:footnote w:id="6">
    <w:p w:rsidR="00574300" w:rsidRPr="006D697E" w:rsidRDefault="00574300" w:rsidP="007C765C">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2A332C">
        <w:rPr>
          <w:rStyle w:val="FootnoteReference"/>
          <w:snapToGrid w:val="0"/>
          <w:kern w:val="18"/>
          <w:szCs w:val="18"/>
        </w:rPr>
        <w:footnoteRef/>
      </w:r>
      <w:r w:rsidR="00DA48BF">
        <w:rPr>
          <w:snapToGrid w:val="0"/>
          <w:kern w:val="18"/>
          <w:szCs w:val="18"/>
          <w:lang w:val="fr-FR"/>
        </w:rPr>
        <w:t xml:space="preserve"> Annexe de</w:t>
      </w:r>
      <w:r w:rsidRPr="006D697E">
        <w:rPr>
          <w:snapToGrid w:val="0"/>
          <w:kern w:val="18"/>
          <w:szCs w:val="18"/>
          <w:lang w:val="fr-FR"/>
        </w:rPr>
        <w:t xml:space="preserve"> la </w:t>
      </w:r>
      <w:r>
        <w:rPr>
          <w:snapToGrid w:val="0"/>
          <w:kern w:val="18"/>
          <w:szCs w:val="18"/>
          <w:lang w:val="fr-FR"/>
        </w:rPr>
        <w:t>ré</w:t>
      </w:r>
      <w:r w:rsidRPr="006D697E">
        <w:rPr>
          <w:snapToGrid w:val="0"/>
          <w:kern w:val="18"/>
          <w:szCs w:val="18"/>
          <w:lang w:val="fr-FR"/>
        </w:rPr>
        <w:t xml:space="preserve">solution </w:t>
      </w:r>
      <w:hyperlink r:id="rId6" w:history="1">
        <w:r w:rsidRPr="006D697E">
          <w:rPr>
            <w:rStyle w:val="Hyperlink"/>
            <w:snapToGrid w:val="0"/>
            <w:kern w:val="18"/>
            <w:szCs w:val="18"/>
            <w:lang w:val="fr-FR"/>
          </w:rPr>
          <w:t>70/1</w:t>
        </w:r>
      </w:hyperlink>
      <w:r>
        <w:rPr>
          <w:snapToGrid w:val="0"/>
          <w:kern w:val="18"/>
          <w:szCs w:val="18"/>
          <w:lang w:val="fr-FR"/>
        </w:rPr>
        <w:t xml:space="preserve"> de l</w:t>
      </w:r>
      <w:r w:rsidR="00C93846">
        <w:rPr>
          <w:snapToGrid w:val="0"/>
          <w:kern w:val="18"/>
          <w:szCs w:val="18"/>
          <w:lang w:val="fr-FR"/>
        </w:rPr>
        <w:t>’</w:t>
      </w:r>
      <w:r>
        <w:rPr>
          <w:snapToGrid w:val="0"/>
          <w:kern w:val="18"/>
          <w:szCs w:val="18"/>
          <w:lang w:val="fr-FR"/>
        </w:rPr>
        <w:t>Assemblée générale des Nations</w:t>
      </w:r>
      <w:r w:rsidR="007C765C">
        <w:rPr>
          <w:snapToGrid w:val="0"/>
          <w:kern w:val="18"/>
          <w:szCs w:val="18"/>
          <w:lang w:val="fr-FR"/>
        </w:rPr>
        <w:t> </w:t>
      </w:r>
      <w:r>
        <w:rPr>
          <w:snapToGrid w:val="0"/>
          <w:kern w:val="18"/>
          <w:szCs w:val="18"/>
          <w:lang w:val="fr-FR"/>
        </w:rPr>
        <w:t>Unies</w:t>
      </w:r>
      <w:r w:rsidRPr="006D697E">
        <w:rPr>
          <w:snapToGrid w:val="0"/>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05B" w:rsidRPr="00ED4D97" w:rsidRDefault="00A84102" w:rsidP="00ED4D97">
    <w:pPr>
      <w:pStyle w:val="Header"/>
      <w:tabs>
        <w:tab w:val="clear" w:pos="4320"/>
        <w:tab w:val="clear" w:pos="8640"/>
      </w:tabs>
      <w:kinsoku w:val="0"/>
      <w:overflowPunct w:val="0"/>
      <w:autoSpaceDE w:val="0"/>
      <w:autoSpaceDN w:val="0"/>
      <w:jc w:val="left"/>
      <w:rPr>
        <w:noProof/>
        <w:kern w:val="22"/>
      </w:rPr>
    </w:pPr>
    <w:r>
      <w:rPr>
        <w:lang w:val="fr-CA"/>
      </w:rPr>
      <w:t>CBD/SBI/REC</w:t>
    </w:r>
    <w:r w:rsidRPr="004C3718">
      <w:rPr>
        <w:lang w:val="fr-CA"/>
      </w:rPr>
      <w:t>/</w:t>
    </w:r>
    <w:r>
      <w:rPr>
        <w:lang w:val="fr-CA"/>
      </w:rPr>
      <w:t>2/1</w:t>
    </w:r>
  </w:p>
  <w:p w:rsidR="00860470" w:rsidRPr="00ED4D97" w:rsidRDefault="0019205B" w:rsidP="00ED4D97">
    <w:pPr>
      <w:pStyle w:val="Header"/>
      <w:tabs>
        <w:tab w:val="clear" w:pos="4320"/>
        <w:tab w:val="clear" w:pos="8640"/>
      </w:tabs>
      <w:kinsoku w:val="0"/>
      <w:overflowPunct w:val="0"/>
      <w:autoSpaceDE w:val="0"/>
      <w:autoSpaceDN w:val="0"/>
      <w:jc w:val="left"/>
      <w:rPr>
        <w:noProof/>
        <w:kern w:val="22"/>
      </w:rPr>
    </w:pPr>
    <w:r w:rsidRPr="00ED4D97">
      <w:rPr>
        <w:noProof/>
        <w:kern w:val="22"/>
      </w:rPr>
      <w:t>P</w:t>
    </w:r>
    <w:r w:rsidR="00860470" w:rsidRPr="00ED4D97">
      <w:rPr>
        <w:noProof/>
        <w:kern w:val="22"/>
      </w:rPr>
      <w:t xml:space="preserve">age </w:t>
    </w:r>
    <w:r w:rsidR="009148DF" w:rsidRPr="00ED4D97">
      <w:rPr>
        <w:noProof/>
        <w:kern w:val="22"/>
      </w:rPr>
      <w:fldChar w:fldCharType="begin"/>
    </w:r>
    <w:r w:rsidR="00860470" w:rsidRPr="00ED4D97">
      <w:rPr>
        <w:noProof/>
        <w:kern w:val="22"/>
      </w:rPr>
      <w:instrText xml:space="preserve"> PAGE   \* MERGEFORMAT </w:instrText>
    </w:r>
    <w:r w:rsidR="009148DF" w:rsidRPr="00ED4D97">
      <w:rPr>
        <w:noProof/>
        <w:kern w:val="22"/>
      </w:rPr>
      <w:fldChar w:fldCharType="separate"/>
    </w:r>
    <w:r w:rsidR="000B0D4A">
      <w:rPr>
        <w:noProof/>
        <w:kern w:val="22"/>
      </w:rPr>
      <w:t>2</w:t>
    </w:r>
    <w:r w:rsidR="009148DF" w:rsidRPr="00ED4D97">
      <w:rPr>
        <w:noProof/>
        <w:kern w:val="22"/>
      </w:rPr>
      <w:fldChar w:fldCharType="end"/>
    </w:r>
  </w:p>
  <w:p w:rsidR="00860470" w:rsidRPr="00ED4D97" w:rsidRDefault="00860470" w:rsidP="00ED4D97">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05B" w:rsidRPr="00ED4D97" w:rsidRDefault="00A84102" w:rsidP="00A15A27">
    <w:pPr>
      <w:pStyle w:val="Header"/>
      <w:tabs>
        <w:tab w:val="clear" w:pos="4320"/>
        <w:tab w:val="clear" w:pos="8640"/>
      </w:tabs>
      <w:kinsoku w:val="0"/>
      <w:overflowPunct w:val="0"/>
      <w:autoSpaceDE w:val="0"/>
      <w:autoSpaceDN w:val="0"/>
      <w:jc w:val="right"/>
      <w:rPr>
        <w:noProof/>
        <w:kern w:val="22"/>
      </w:rPr>
    </w:pPr>
    <w:r>
      <w:rPr>
        <w:lang w:val="fr-CA"/>
      </w:rPr>
      <w:t>CBD/SBI/REC</w:t>
    </w:r>
    <w:r w:rsidRPr="004C3718">
      <w:rPr>
        <w:lang w:val="fr-CA"/>
      </w:rPr>
      <w:t>/</w:t>
    </w:r>
    <w:r>
      <w:rPr>
        <w:lang w:val="fr-CA"/>
      </w:rPr>
      <w:t>2/1</w:t>
    </w:r>
    <w:r w:rsidR="0019205B" w:rsidRPr="00ED4D97">
      <w:rPr>
        <w:noProof/>
        <w:kern w:val="22"/>
      </w:rPr>
      <w:t xml:space="preserve"> </w:t>
    </w:r>
  </w:p>
  <w:p w:rsidR="00860470" w:rsidRPr="00ED4D97" w:rsidRDefault="0019205B" w:rsidP="00A15A27">
    <w:pPr>
      <w:pStyle w:val="Header"/>
      <w:tabs>
        <w:tab w:val="clear" w:pos="4320"/>
        <w:tab w:val="clear" w:pos="8640"/>
      </w:tabs>
      <w:kinsoku w:val="0"/>
      <w:overflowPunct w:val="0"/>
      <w:autoSpaceDE w:val="0"/>
      <w:autoSpaceDN w:val="0"/>
      <w:jc w:val="right"/>
      <w:rPr>
        <w:noProof/>
        <w:kern w:val="22"/>
      </w:rPr>
    </w:pPr>
    <w:r w:rsidRPr="00ED4D97">
      <w:rPr>
        <w:noProof/>
        <w:kern w:val="22"/>
      </w:rPr>
      <w:t>P</w:t>
    </w:r>
    <w:r w:rsidR="00860470" w:rsidRPr="00ED4D97">
      <w:rPr>
        <w:noProof/>
        <w:kern w:val="22"/>
      </w:rPr>
      <w:t xml:space="preserve">age </w:t>
    </w:r>
    <w:r w:rsidR="009148DF" w:rsidRPr="00ED4D97">
      <w:rPr>
        <w:noProof/>
        <w:kern w:val="22"/>
      </w:rPr>
      <w:fldChar w:fldCharType="begin"/>
    </w:r>
    <w:r w:rsidR="00860470" w:rsidRPr="00ED4D97">
      <w:rPr>
        <w:noProof/>
        <w:kern w:val="22"/>
      </w:rPr>
      <w:instrText xml:space="preserve"> PAGE   \* MERGEFORMAT </w:instrText>
    </w:r>
    <w:r w:rsidR="009148DF" w:rsidRPr="00ED4D97">
      <w:rPr>
        <w:noProof/>
        <w:kern w:val="22"/>
      </w:rPr>
      <w:fldChar w:fldCharType="separate"/>
    </w:r>
    <w:r w:rsidR="000B0D4A">
      <w:rPr>
        <w:noProof/>
        <w:kern w:val="22"/>
      </w:rPr>
      <w:t>3</w:t>
    </w:r>
    <w:r w:rsidR="009148DF" w:rsidRPr="00ED4D97">
      <w:rPr>
        <w:noProof/>
        <w:kern w:val="22"/>
      </w:rPr>
      <w:fldChar w:fldCharType="end"/>
    </w:r>
  </w:p>
  <w:p w:rsidR="00860470" w:rsidRPr="00ED4D97" w:rsidRDefault="00860470" w:rsidP="00A15A27">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E3861"/>
    <w:multiLevelType w:val="hybridMultilevel"/>
    <w:tmpl w:val="5B98569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DCD4B77"/>
    <w:multiLevelType w:val="hybridMultilevel"/>
    <w:tmpl w:val="0786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455F1B79"/>
    <w:multiLevelType w:val="hybridMultilevel"/>
    <w:tmpl w:val="47167C8A"/>
    <w:lvl w:ilvl="0" w:tplc="1FF68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20313"/>
    <w:multiLevelType w:val="hybridMultilevel"/>
    <w:tmpl w:val="7DA80896"/>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4C42A16"/>
    <w:multiLevelType w:val="hybridMultilevel"/>
    <w:tmpl w:val="7E74B61A"/>
    <w:lvl w:ilvl="0" w:tplc="0C0C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3C2992"/>
    <w:multiLevelType w:val="hybridMultilevel"/>
    <w:tmpl w:val="9F8683AA"/>
    <w:lvl w:ilvl="0" w:tplc="6D2244B0">
      <w:start w:val="1"/>
      <w:numFmt w:val="decimal"/>
      <w:lvlText w:val="%1."/>
      <w:lvlJc w:val="left"/>
      <w:pPr>
        <w:ind w:left="1080" w:hanging="720"/>
      </w:pPr>
      <w:rPr>
        <w:rFonts w:ascii="Times New Roman" w:hAnsi="Times New Roman" w:cs="Times New Roman"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1"/>
  </w:num>
  <w:num w:numId="5">
    <w:abstractNumId w:val="10"/>
  </w:num>
  <w:num w:numId="6">
    <w:abstractNumId w:val="0"/>
  </w:num>
  <w:num w:numId="7">
    <w:abstractNumId w:val="4"/>
  </w:num>
  <w:num w:numId="8">
    <w:abstractNumId w:val="7"/>
    <w:lvlOverride w:ilvl="0">
      <w:startOverride w:val="1"/>
    </w:lvlOverride>
  </w:num>
  <w:num w:numId="9">
    <w:abstractNumId w:val="15"/>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4"/>
  </w:num>
  <w:num w:numId="15">
    <w:abstractNumId w:val="13"/>
  </w:num>
  <w:num w:numId="16">
    <w:abstractNumId w:val="1"/>
  </w:num>
  <w:num w:numId="17">
    <w:abstractNumId w:val="16"/>
  </w:num>
  <w:num w:numId="18">
    <w:abstractNumId w:val="17"/>
  </w:num>
  <w:num w:numId="19">
    <w:abstractNumId w:val="2"/>
  </w:num>
  <w:num w:numId="20">
    <w:abstractNumId w:val="3"/>
  </w:num>
  <w:num w:numId="21">
    <w:abstractNumId w:val="8"/>
  </w:num>
  <w:num w:numId="22">
    <w:abstractNumId w:val="5"/>
  </w:num>
  <w:num w:numId="23">
    <w:abstractNumId w:val="18"/>
  </w:num>
  <w:num w:numId="24">
    <w:abstractNumId w:val="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que lefebvre">
    <w15:presenceInfo w15:providerId="AD" w15:userId="S-1-5-21-2142909598-1823411812-1512734326-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17A58"/>
    <w:rsid w:val="0002003F"/>
    <w:rsid w:val="0003565D"/>
    <w:rsid w:val="000422D4"/>
    <w:rsid w:val="00054263"/>
    <w:rsid w:val="0009013B"/>
    <w:rsid w:val="000B0D4A"/>
    <w:rsid w:val="000C2048"/>
    <w:rsid w:val="000E3958"/>
    <w:rsid w:val="000E6587"/>
    <w:rsid w:val="000E673A"/>
    <w:rsid w:val="000F2B6C"/>
    <w:rsid w:val="000F6103"/>
    <w:rsid w:val="000F74F5"/>
    <w:rsid w:val="00105372"/>
    <w:rsid w:val="00131E7A"/>
    <w:rsid w:val="00135F5C"/>
    <w:rsid w:val="001469A9"/>
    <w:rsid w:val="00157409"/>
    <w:rsid w:val="00165EBD"/>
    <w:rsid w:val="00170165"/>
    <w:rsid w:val="00171018"/>
    <w:rsid w:val="00172AF6"/>
    <w:rsid w:val="00176CEE"/>
    <w:rsid w:val="00187E51"/>
    <w:rsid w:val="0019205B"/>
    <w:rsid w:val="001A1904"/>
    <w:rsid w:val="001B3194"/>
    <w:rsid w:val="001D6563"/>
    <w:rsid w:val="001D7986"/>
    <w:rsid w:val="001E23B4"/>
    <w:rsid w:val="001E4AF0"/>
    <w:rsid w:val="001E63E5"/>
    <w:rsid w:val="00220988"/>
    <w:rsid w:val="0024630F"/>
    <w:rsid w:val="00250EB7"/>
    <w:rsid w:val="00251FB9"/>
    <w:rsid w:val="00263D38"/>
    <w:rsid w:val="00270718"/>
    <w:rsid w:val="002708C9"/>
    <w:rsid w:val="002919FE"/>
    <w:rsid w:val="002A332C"/>
    <w:rsid w:val="002C6470"/>
    <w:rsid w:val="002D2CC2"/>
    <w:rsid w:val="0032162F"/>
    <w:rsid w:val="00321FD0"/>
    <w:rsid w:val="00332E4F"/>
    <w:rsid w:val="00340F5E"/>
    <w:rsid w:val="00355ECE"/>
    <w:rsid w:val="00372C9C"/>
    <w:rsid w:val="00372F74"/>
    <w:rsid w:val="00374F9D"/>
    <w:rsid w:val="003765B7"/>
    <w:rsid w:val="0038526F"/>
    <w:rsid w:val="003A6508"/>
    <w:rsid w:val="003B310F"/>
    <w:rsid w:val="003D5F0C"/>
    <w:rsid w:val="003E4B68"/>
    <w:rsid w:val="003F7224"/>
    <w:rsid w:val="00403C52"/>
    <w:rsid w:val="004048E0"/>
    <w:rsid w:val="00405146"/>
    <w:rsid w:val="00414824"/>
    <w:rsid w:val="0042412C"/>
    <w:rsid w:val="00427D21"/>
    <w:rsid w:val="00436A49"/>
    <w:rsid w:val="00437641"/>
    <w:rsid w:val="00440A45"/>
    <w:rsid w:val="004644C2"/>
    <w:rsid w:val="00467F9C"/>
    <w:rsid w:val="00493CB0"/>
    <w:rsid w:val="004A3DFB"/>
    <w:rsid w:val="004C3718"/>
    <w:rsid w:val="00502220"/>
    <w:rsid w:val="00506B0D"/>
    <w:rsid w:val="005148F9"/>
    <w:rsid w:val="005201E8"/>
    <w:rsid w:val="0052566A"/>
    <w:rsid w:val="00534681"/>
    <w:rsid w:val="00557302"/>
    <w:rsid w:val="00574300"/>
    <w:rsid w:val="005743E3"/>
    <w:rsid w:val="00574EB4"/>
    <w:rsid w:val="005848EF"/>
    <w:rsid w:val="00595AD7"/>
    <w:rsid w:val="005A241F"/>
    <w:rsid w:val="00605BD9"/>
    <w:rsid w:val="006111CD"/>
    <w:rsid w:val="006122BA"/>
    <w:rsid w:val="00640070"/>
    <w:rsid w:val="0064661A"/>
    <w:rsid w:val="0066520B"/>
    <w:rsid w:val="00674745"/>
    <w:rsid w:val="0068601D"/>
    <w:rsid w:val="00686CFE"/>
    <w:rsid w:val="00694E64"/>
    <w:rsid w:val="006976F5"/>
    <w:rsid w:val="006A0F7C"/>
    <w:rsid w:val="006B2290"/>
    <w:rsid w:val="006B4AEF"/>
    <w:rsid w:val="006C4D65"/>
    <w:rsid w:val="006D3FAC"/>
    <w:rsid w:val="006D63CA"/>
    <w:rsid w:val="006E08C6"/>
    <w:rsid w:val="006E11AF"/>
    <w:rsid w:val="006F7267"/>
    <w:rsid w:val="00703B2B"/>
    <w:rsid w:val="00710499"/>
    <w:rsid w:val="00717D88"/>
    <w:rsid w:val="00727C36"/>
    <w:rsid w:val="00746344"/>
    <w:rsid w:val="007509E9"/>
    <w:rsid w:val="00755CF0"/>
    <w:rsid w:val="00757DC9"/>
    <w:rsid w:val="00761241"/>
    <w:rsid w:val="007745CD"/>
    <w:rsid w:val="00791C3E"/>
    <w:rsid w:val="00792039"/>
    <w:rsid w:val="007942D3"/>
    <w:rsid w:val="007A3651"/>
    <w:rsid w:val="007B6C09"/>
    <w:rsid w:val="007C765C"/>
    <w:rsid w:val="007C7EF0"/>
    <w:rsid w:val="007D28FA"/>
    <w:rsid w:val="007D3DAF"/>
    <w:rsid w:val="007E09DA"/>
    <w:rsid w:val="007E5718"/>
    <w:rsid w:val="007F0E30"/>
    <w:rsid w:val="007F21E6"/>
    <w:rsid w:val="00811EAD"/>
    <w:rsid w:val="008178B6"/>
    <w:rsid w:val="00831A95"/>
    <w:rsid w:val="008531D2"/>
    <w:rsid w:val="00855BB1"/>
    <w:rsid w:val="00860470"/>
    <w:rsid w:val="00865B74"/>
    <w:rsid w:val="0088172F"/>
    <w:rsid w:val="008A67AF"/>
    <w:rsid w:val="008C3198"/>
    <w:rsid w:val="008F1ACE"/>
    <w:rsid w:val="008F49D7"/>
    <w:rsid w:val="00904736"/>
    <w:rsid w:val="00904CE3"/>
    <w:rsid w:val="009067BE"/>
    <w:rsid w:val="009070AE"/>
    <w:rsid w:val="00911842"/>
    <w:rsid w:val="00912F13"/>
    <w:rsid w:val="009148DF"/>
    <w:rsid w:val="00926D29"/>
    <w:rsid w:val="00930BA1"/>
    <w:rsid w:val="009311C7"/>
    <w:rsid w:val="0093169E"/>
    <w:rsid w:val="00932A0A"/>
    <w:rsid w:val="009428C1"/>
    <w:rsid w:val="00942E5F"/>
    <w:rsid w:val="009455DA"/>
    <w:rsid w:val="00947420"/>
    <w:rsid w:val="009505C9"/>
    <w:rsid w:val="0095673C"/>
    <w:rsid w:val="0095788A"/>
    <w:rsid w:val="009B6249"/>
    <w:rsid w:val="009C200D"/>
    <w:rsid w:val="009D72FA"/>
    <w:rsid w:val="009E0522"/>
    <w:rsid w:val="009E2F55"/>
    <w:rsid w:val="00A15A27"/>
    <w:rsid w:val="00A17EBC"/>
    <w:rsid w:val="00A55256"/>
    <w:rsid w:val="00A808C0"/>
    <w:rsid w:val="00A84102"/>
    <w:rsid w:val="00A97B88"/>
    <w:rsid w:val="00AA3CA5"/>
    <w:rsid w:val="00AC2A1C"/>
    <w:rsid w:val="00AC39AA"/>
    <w:rsid w:val="00AE0FD2"/>
    <w:rsid w:val="00AE76D7"/>
    <w:rsid w:val="00AF13B1"/>
    <w:rsid w:val="00B11E3D"/>
    <w:rsid w:val="00B120E7"/>
    <w:rsid w:val="00B25E38"/>
    <w:rsid w:val="00B3369F"/>
    <w:rsid w:val="00B367B7"/>
    <w:rsid w:val="00B4761A"/>
    <w:rsid w:val="00B53206"/>
    <w:rsid w:val="00B67902"/>
    <w:rsid w:val="00B7481C"/>
    <w:rsid w:val="00B77AA2"/>
    <w:rsid w:val="00BB59E8"/>
    <w:rsid w:val="00BE1CCC"/>
    <w:rsid w:val="00BE2810"/>
    <w:rsid w:val="00BE4856"/>
    <w:rsid w:val="00BE6F55"/>
    <w:rsid w:val="00C067C5"/>
    <w:rsid w:val="00C220A0"/>
    <w:rsid w:val="00C24D99"/>
    <w:rsid w:val="00C256AE"/>
    <w:rsid w:val="00C302CA"/>
    <w:rsid w:val="00C3658F"/>
    <w:rsid w:val="00C63B3A"/>
    <w:rsid w:val="00C9161D"/>
    <w:rsid w:val="00C93846"/>
    <w:rsid w:val="00CA07A5"/>
    <w:rsid w:val="00CE5740"/>
    <w:rsid w:val="00CF1848"/>
    <w:rsid w:val="00CF2044"/>
    <w:rsid w:val="00D12044"/>
    <w:rsid w:val="00D135FC"/>
    <w:rsid w:val="00D216D9"/>
    <w:rsid w:val="00D31501"/>
    <w:rsid w:val="00D371BA"/>
    <w:rsid w:val="00D66313"/>
    <w:rsid w:val="00D76A18"/>
    <w:rsid w:val="00D82B43"/>
    <w:rsid w:val="00D946FE"/>
    <w:rsid w:val="00DA48BF"/>
    <w:rsid w:val="00DD118C"/>
    <w:rsid w:val="00DF2954"/>
    <w:rsid w:val="00DF70AB"/>
    <w:rsid w:val="00DF732E"/>
    <w:rsid w:val="00E01B5C"/>
    <w:rsid w:val="00E24FFF"/>
    <w:rsid w:val="00E57A70"/>
    <w:rsid w:val="00E66235"/>
    <w:rsid w:val="00E74E13"/>
    <w:rsid w:val="00E75D98"/>
    <w:rsid w:val="00E75EB9"/>
    <w:rsid w:val="00E83C24"/>
    <w:rsid w:val="00E9318D"/>
    <w:rsid w:val="00EA6A3D"/>
    <w:rsid w:val="00EB7A67"/>
    <w:rsid w:val="00EC0F16"/>
    <w:rsid w:val="00EC64CA"/>
    <w:rsid w:val="00ED0764"/>
    <w:rsid w:val="00ED1FEF"/>
    <w:rsid w:val="00ED4D97"/>
    <w:rsid w:val="00ED7FEA"/>
    <w:rsid w:val="00F00D2B"/>
    <w:rsid w:val="00F066B4"/>
    <w:rsid w:val="00F15DF2"/>
    <w:rsid w:val="00F60AB5"/>
    <w:rsid w:val="00F802A4"/>
    <w:rsid w:val="00F8091F"/>
    <w:rsid w:val="00F860BC"/>
    <w:rsid w:val="00F9047D"/>
    <w:rsid w:val="00F92EFA"/>
    <w:rsid w:val="00F94774"/>
    <w:rsid w:val="00FC4BE7"/>
    <w:rsid w:val="00FC53DB"/>
    <w:rsid w:val="00FD16CE"/>
    <w:rsid w:val="00FD7FCF"/>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NormalWeb">
    <w:name w:val="Normal (Web)"/>
    <w:basedOn w:val="Normal"/>
    <w:uiPriority w:val="99"/>
    <w:rsid w:val="0022098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20988"/>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C2A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C2A1C"/>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NormalWeb">
    <w:name w:val="Normal (Web)"/>
    <w:basedOn w:val="Normal"/>
    <w:uiPriority w:val="99"/>
    <w:rsid w:val="00220988"/>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220988"/>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AC2A1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C2A1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fr.pdf" TargetMode="External"/><Relationship Id="rId2" Type="http://schemas.openxmlformats.org/officeDocument/2006/relationships/hyperlink" Target="https://www.cbd.int/doc/c/58eb/01f5/cf30b31e2b59202db38203da/sbi-02-02-add2-fr.pdf" TargetMode="External"/><Relationship Id="rId1" Type="http://schemas.openxmlformats.org/officeDocument/2006/relationships/hyperlink" Target="https://www.cbd.int/doc/c/3d28/edf1/0e09fcd6911e6ef936e32db6/sbi-02-02-add1-fr.pdf" TargetMode="External"/><Relationship Id="rId6" Type="http://schemas.openxmlformats.org/officeDocument/2006/relationships/hyperlink" Target="http://www.un.org/en/ga/search/view_doc.asp?symbol=A/RES/70/1" TargetMode="External"/><Relationship Id="rId5" Type="http://schemas.openxmlformats.org/officeDocument/2006/relationships/hyperlink" Target="https://www.cbd.int/doc/c/0f25/8d61/055e16b7591ec4caa8136056/sbi-02-02-add3-fr.pdf" TargetMode="External"/><Relationship Id="rId4" Type="http://schemas.openxmlformats.org/officeDocument/2006/relationships/hyperlink" Target="https://www.cbd.int/doc/decisions/cop-09/cop-09-dec-08-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CFBD69-F4DF-43B2-AB8F-5E6E1F9A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Progress in the implementation of the Convention and the Strategic Plan for Biodiversity 2011-2020 and Towards the Achievement of the Aichi Biodiversity Targets</vt:lpstr>
    </vt:vector>
  </TitlesOfParts>
  <Company>SCBD</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in the implementation of the Convention and the Strategic Plan for Biodiversity 2011-2020 and Towards the Achievement of the Aichi Biodiversity Targets</dc:title>
  <dc:subject>BD/SBI/2/L.</dc:subject>
  <dc:creator>SBI 2</dc:creator>
  <cp:lastModifiedBy>--</cp:lastModifiedBy>
  <cp:revision>12</cp:revision>
  <cp:lastPrinted>2018-07-10T00:50:00Z</cp:lastPrinted>
  <dcterms:created xsi:type="dcterms:W3CDTF">2018-08-13T17:28:00Z</dcterms:created>
  <dcterms:modified xsi:type="dcterms:W3CDTF">2018-08-21T12:14:00Z</dcterms:modified>
  <cp:contentStatus>GENERAL</cp:contentStatus>
</cp:coreProperties>
</file>