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400AD" w:rsidRPr="00422055" w:rsidTr="006C5F2C">
        <w:trPr>
          <w:trHeight w:val="709"/>
        </w:trPr>
        <w:tc>
          <w:tcPr>
            <w:tcW w:w="976" w:type="dxa"/>
            <w:tcBorders>
              <w:bottom w:val="single" w:sz="12" w:space="0" w:color="auto"/>
            </w:tcBorders>
          </w:tcPr>
          <w:p w:rsidR="009400AD" w:rsidRPr="00422055" w:rsidRDefault="009400AD" w:rsidP="00FB4478">
            <w:pPr>
              <w:suppressLineNumbers/>
              <w:suppressAutoHyphens/>
              <w:kinsoku w:val="0"/>
              <w:overflowPunct w:val="0"/>
              <w:autoSpaceDE w:val="0"/>
              <w:autoSpaceDN w:val="0"/>
              <w:adjustRightInd w:val="0"/>
              <w:snapToGrid w:val="0"/>
              <w:rPr>
                <w:rFonts w:eastAsiaTheme="minorEastAsia"/>
              </w:rPr>
            </w:pPr>
            <w:bookmarkStart w:id="0" w:name="_Hlk519193753"/>
            <w:bookmarkStart w:id="1" w:name="Meeting"/>
            <w:r w:rsidRPr="00422055">
              <w:rPr>
                <w:rFonts w:eastAsiaTheme="minorEastAsia"/>
                <w:noProof/>
                <w:lang w:eastAsia="zh-CN"/>
              </w:rPr>
              <w:drawing>
                <wp:inline distT="0" distB="0" distL="0" distR="0" wp14:anchorId="30837FEB" wp14:editId="3FCF1604">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9400AD" w:rsidRPr="00422055" w:rsidRDefault="009400AD" w:rsidP="00FB4478">
            <w:pPr>
              <w:suppressLineNumbers/>
              <w:suppressAutoHyphens/>
              <w:kinsoku w:val="0"/>
              <w:overflowPunct w:val="0"/>
              <w:autoSpaceDE w:val="0"/>
              <w:autoSpaceDN w:val="0"/>
              <w:adjustRightInd w:val="0"/>
              <w:snapToGrid w:val="0"/>
              <w:rPr>
                <w:rFonts w:eastAsiaTheme="minorEastAsia"/>
              </w:rPr>
            </w:pPr>
            <w:r w:rsidRPr="00422055">
              <w:rPr>
                <w:rFonts w:eastAsiaTheme="minorEastAsia"/>
                <w:noProof/>
                <w:lang w:eastAsia="zh-CN"/>
              </w:rPr>
              <w:drawing>
                <wp:inline distT="0" distB="0" distL="0" distR="0" wp14:anchorId="068C6169" wp14:editId="5281B756">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9400AD" w:rsidRPr="00422055" w:rsidRDefault="009400AD" w:rsidP="00FB4478">
            <w:pPr>
              <w:suppressLineNumbers/>
              <w:suppressAutoHyphens/>
              <w:kinsoku w:val="0"/>
              <w:overflowPunct w:val="0"/>
              <w:autoSpaceDE w:val="0"/>
              <w:autoSpaceDN w:val="0"/>
              <w:adjustRightInd w:val="0"/>
              <w:snapToGrid w:val="0"/>
              <w:jc w:val="right"/>
              <w:rPr>
                <w:rFonts w:ascii="Arial" w:eastAsiaTheme="minorEastAsia" w:hAnsi="Arial" w:cs="Arial"/>
                <w:b/>
                <w:sz w:val="32"/>
                <w:szCs w:val="32"/>
              </w:rPr>
            </w:pPr>
            <w:r w:rsidRPr="00422055">
              <w:rPr>
                <w:rFonts w:ascii="Arial" w:eastAsiaTheme="minorEastAsia" w:hAnsi="Arial" w:cs="Arial"/>
                <w:b/>
                <w:sz w:val="32"/>
                <w:szCs w:val="32"/>
              </w:rPr>
              <w:t>CBD</w:t>
            </w:r>
          </w:p>
        </w:tc>
      </w:tr>
      <w:tr w:rsidR="009400AD" w:rsidRPr="00422055" w:rsidTr="006C5F2C">
        <w:tc>
          <w:tcPr>
            <w:tcW w:w="6117" w:type="dxa"/>
            <w:gridSpan w:val="2"/>
            <w:tcBorders>
              <w:top w:val="single" w:sz="12" w:space="0" w:color="auto"/>
              <w:bottom w:val="single" w:sz="36" w:space="0" w:color="auto"/>
            </w:tcBorders>
            <w:vAlign w:val="center"/>
          </w:tcPr>
          <w:p w:rsidR="009400AD" w:rsidRPr="00422055" w:rsidRDefault="009400AD" w:rsidP="00FB4478">
            <w:pPr>
              <w:suppressLineNumbers/>
              <w:suppressAutoHyphens/>
              <w:kinsoku w:val="0"/>
              <w:overflowPunct w:val="0"/>
              <w:autoSpaceDE w:val="0"/>
              <w:autoSpaceDN w:val="0"/>
              <w:adjustRightInd w:val="0"/>
              <w:snapToGrid w:val="0"/>
              <w:rPr>
                <w:rFonts w:eastAsiaTheme="minorEastAsia"/>
              </w:rPr>
            </w:pPr>
            <w:r w:rsidRPr="00422055">
              <w:rPr>
                <w:rFonts w:eastAsiaTheme="minorEastAsia"/>
                <w:noProof/>
                <w:lang w:eastAsia="zh-CN"/>
              </w:rPr>
              <w:drawing>
                <wp:inline distT="0" distB="0" distL="0" distR="0" wp14:anchorId="55632EF0" wp14:editId="590C9F14">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400AD" w:rsidRPr="00422055" w:rsidRDefault="009400AD" w:rsidP="00FB4478">
            <w:pPr>
              <w:suppressLineNumbers/>
              <w:suppressAutoHyphens/>
              <w:kinsoku w:val="0"/>
              <w:overflowPunct w:val="0"/>
              <w:autoSpaceDE w:val="0"/>
              <w:autoSpaceDN w:val="0"/>
              <w:adjustRightInd w:val="0"/>
              <w:snapToGrid w:val="0"/>
              <w:ind w:left="1215"/>
              <w:rPr>
                <w:rFonts w:eastAsiaTheme="minorEastAsia"/>
                <w:szCs w:val="22"/>
              </w:rPr>
            </w:pPr>
            <w:r w:rsidRPr="00422055">
              <w:rPr>
                <w:rFonts w:eastAsiaTheme="minorEastAsia"/>
                <w:szCs w:val="22"/>
              </w:rPr>
              <w:t>Distr.</w:t>
            </w:r>
          </w:p>
          <w:p w:rsidR="009400AD" w:rsidRPr="00422055" w:rsidRDefault="001C46C4" w:rsidP="00FB4478">
            <w:pPr>
              <w:suppressLineNumbers/>
              <w:suppressAutoHyphens/>
              <w:kinsoku w:val="0"/>
              <w:overflowPunct w:val="0"/>
              <w:autoSpaceDE w:val="0"/>
              <w:autoSpaceDN w:val="0"/>
              <w:adjustRightInd w:val="0"/>
              <w:snapToGrid w:val="0"/>
              <w:ind w:left="1215"/>
              <w:rPr>
                <w:rFonts w:eastAsiaTheme="minorEastAsia"/>
                <w:szCs w:val="22"/>
              </w:rPr>
            </w:pPr>
            <w:r>
              <w:rPr>
                <w:rFonts w:eastAsiaTheme="minorEastAsia"/>
                <w:caps/>
                <w:szCs w:val="22"/>
              </w:rPr>
              <w:t>GENERAL</w:t>
            </w:r>
          </w:p>
          <w:p w:rsidR="009400AD" w:rsidRPr="00422055" w:rsidRDefault="009400AD" w:rsidP="00FB4478">
            <w:pPr>
              <w:suppressLineNumbers/>
              <w:suppressAutoHyphens/>
              <w:kinsoku w:val="0"/>
              <w:overflowPunct w:val="0"/>
              <w:autoSpaceDE w:val="0"/>
              <w:autoSpaceDN w:val="0"/>
              <w:adjustRightInd w:val="0"/>
              <w:snapToGrid w:val="0"/>
              <w:ind w:left="1215"/>
              <w:rPr>
                <w:rFonts w:eastAsiaTheme="minorEastAsia"/>
                <w:szCs w:val="22"/>
              </w:rPr>
            </w:pPr>
          </w:p>
          <w:sdt>
            <w:sdtPr>
              <w:rPr>
                <w:rFonts w:eastAsiaTheme="minorEastAsia"/>
                <w:lang w:val="en-US"/>
              </w:rPr>
              <w:alias w:val="Subject"/>
              <w:tag w:val=""/>
              <w:id w:val="1951209993"/>
              <w:placeholder>
                <w:docPart w:val="D594BA64688C448B8EFD52A0F8C8DBBF"/>
              </w:placeholder>
              <w:dataBinding w:prefixMappings="xmlns:ns0='http://purl.org/dc/elements/1.1/' xmlns:ns1='http://schemas.openxmlformats.org/package/2006/metadata/core-properties' " w:xpath="/ns1:coreProperties[1]/ns0:subject[1]" w:storeItemID="{6C3C8BC8-F283-45AE-878A-BAB7291924A1}"/>
              <w:text/>
            </w:sdtPr>
            <w:sdtEndPr/>
            <w:sdtContent>
              <w:p w:rsidR="009400AD" w:rsidRPr="00422055" w:rsidRDefault="001C46C4" w:rsidP="00FB4478">
                <w:pPr>
                  <w:suppressLineNumbers/>
                  <w:suppressAutoHyphens/>
                  <w:kinsoku w:val="0"/>
                  <w:overflowPunct w:val="0"/>
                  <w:autoSpaceDE w:val="0"/>
                  <w:autoSpaceDN w:val="0"/>
                  <w:adjustRightInd w:val="0"/>
                  <w:snapToGrid w:val="0"/>
                  <w:ind w:left="1215"/>
                  <w:rPr>
                    <w:rFonts w:eastAsiaTheme="minorEastAsia"/>
                    <w:szCs w:val="22"/>
                  </w:rPr>
                </w:pPr>
                <w:r>
                  <w:rPr>
                    <w:rFonts w:eastAsiaTheme="minorEastAsia"/>
                    <w:lang w:val="en-US"/>
                  </w:rPr>
                  <w:t>CBD/SBI/REC/2/6</w:t>
                </w:r>
              </w:p>
            </w:sdtContent>
          </w:sdt>
          <w:p w:rsidR="009400AD" w:rsidRPr="00422055" w:rsidRDefault="009400AD" w:rsidP="00FB4478">
            <w:pPr>
              <w:suppressLineNumbers/>
              <w:suppressAutoHyphens/>
              <w:kinsoku w:val="0"/>
              <w:overflowPunct w:val="0"/>
              <w:autoSpaceDE w:val="0"/>
              <w:autoSpaceDN w:val="0"/>
              <w:adjustRightInd w:val="0"/>
              <w:snapToGrid w:val="0"/>
              <w:ind w:left="1215"/>
              <w:rPr>
                <w:rFonts w:eastAsiaTheme="minorEastAsia"/>
                <w:szCs w:val="22"/>
              </w:rPr>
            </w:pPr>
            <w:r w:rsidRPr="00422055">
              <w:rPr>
                <w:rFonts w:eastAsiaTheme="minorEastAsia"/>
                <w:szCs w:val="22"/>
                <w:lang w:val="en-US"/>
              </w:rPr>
              <w:t>1</w:t>
            </w:r>
            <w:r w:rsidR="00160F71">
              <w:rPr>
                <w:rFonts w:eastAsiaTheme="minorEastAsia"/>
                <w:szCs w:val="22"/>
                <w:lang w:val="en-US"/>
              </w:rPr>
              <w:t>3</w:t>
            </w:r>
            <w:r w:rsidRPr="00422055">
              <w:rPr>
                <w:rFonts w:eastAsiaTheme="minorEastAsia"/>
                <w:szCs w:val="22"/>
                <w:lang w:val="en-US"/>
              </w:rPr>
              <w:t xml:space="preserve"> July 2018</w:t>
            </w:r>
          </w:p>
          <w:p w:rsidR="009400AD" w:rsidRPr="00422055" w:rsidRDefault="009400AD" w:rsidP="00FB4478">
            <w:pPr>
              <w:suppressLineNumbers/>
              <w:suppressAutoHyphens/>
              <w:kinsoku w:val="0"/>
              <w:overflowPunct w:val="0"/>
              <w:autoSpaceDE w:val="0"/>
              <w:autoSpaceDN w:val="0"/>
              <w:adjustRightInd w:val="0"/>
              <w:snapToGrid w:val="0"/>
              <w:ind w:left="1215"/>
              <w:rPr>
                <w:rFonts w:eastAsiaTheme="minorEastAsia"/>
                <w:szCs w:val="22"/>
              </w:rPr>
            </w:pPr>
          </w:p>
          <w:p w:rsidR="009400AD" w:rsidRPr="00422055" w:rsidRDefault="009400AD" w:rsidP="00FB4478">
            <w:pPr>
              <w:suppressLineNumbers/>
              <w:suppressAutoHyphens/>
              <w:kinsoku w:val="0"/>
              <w:overflowPunct w:val="0"/>
              <w:autoSpaceDE w:val="0"/>
              <w:autoSpaceDN w:val="0"/>
              <w:adjustRightInd w:val="0"/>
              <w:snapToGrid w:val="0"/>
              <w:ind w:left="1215"/>
              <w:rPr>
                <w:rFonts w:eastAsiaTheme="minorEastAsia"/>
                <w:szCs w:val="22"/>
              </w:rPr>
            </w:pPr>
            <w:r w:rsidRPr="00422055">
              <w:rPr>
                <w:rFonts w:eastAsiaTheme="minorEastAsia"/>
                <w:szCs w:val="22"/>
              </w:rPr>
              <w:t>ORIGINAL: ENGLISH</w:t>
            </w:r>
          </w:p>
          <w:p w:rsidR="009400AD" w:rsidRPr="00422055" w:rsidRDefault="009400AD" w:rsidP="00FB4478">
            <w:pPr>
              <w:suppressLineNumbers/>
              <w:suppressAutoHyphens/>
              <w:kinsoku w:val="0"/>
              <w:overflowPunct w:val="0"/>
              <w:autoSpaceDE w:val="0"/>
              <w:autoSpaceDN w:val="0"/>
              <w:adjustRightInd w:val="0"/>
              <w:snapToGrid w:val="0"/>
              <w:rPr>
                <w:rFonts w:eastAsiaTheme="minorEastAsia"/>
              </w:rPr>
            </w:pPr>
          </w:p>
        </w:tc>
      </w:tr>
    </w:tbl>
    <w:bookmarkEnd w:id="0"/>
    <w:p w:rsidR="0042412C" w:rsidRPr="0091479A" w:rsidRDefault="00341FFD" w:rsidP="00A87189">
      <w:pPr>
        <w:pStyle w:val="meetingname"/>
        <w:suppressLineNumbers/>
        <w:suppressAutoHyphens/>
        <w:kinsoku w:val="0"/>
        <w:overflowPunct w:val="0"/>
        <w:autoSpaceDE w:val="0"/>
        <w:autoSpaceDN w:val="0"/>
        <w:adjustRightInd w:val="0"/>
        <w:snapToGrid w:val="0"/>
        <w:ind w:right="4590"/>
        <w:jc w:val="left"/>
        <w:rPr>
          <w:kern w:val="22"/>
        </w:rPr>
      </w:pPr>
      <w:sdt>
        <w:sdtPr>
          <w:rPr>
            <w:kern w:val="22"/>
          </w:rPr>
          <w:alias w:val="Meeting"/>
          <w:tag w:val="Meeting"/>
          <w:id w:val="1412045910"/>
          <w:placeholder>
            <w:docPart w:val="C444DEE40D7C456B82AF1A09CD132ABF"/>
          </w:placeholder>
          <w:text/>
        </w:sdtPr>
        <w:sdtEndPr/>
        <w:sdtContent>
          <w:r w:rsidR="00F802A4" w:rsidRPr="0091479A">
            <w:rPr>
              <w:kern w:val="22"/>
            </w:rPr>
            <w:t>SUBSIDIARY BODY ON IMPLEMENTATION</w:t>
          </w:r>
        </w:sdtContent>
      </w:sdt>
      <w:bookmarkEnd w:id="1"/>
    </w:p>
    <w:p w:rsidR="00F802A4" w:rsidRPr="0091479A" w:rsidRDefault="00F802A4" w:rsidP="003C2490">
      <w:pPr>
        <w:suppressLineNumbers/>
        <w:suppressAutoHyphens/>
        <w:kinsoku w:val="0"/>
        <w:overflowPunct w:val="0"/>
        <w:autoSpaceDE w:val="0"/>
        <w:autoSpaceDN w:val="0"/>
        <w:adjustRightInd w:val="0"/>
        <w:snapToGrid w:val="0"/>
        <w:ind w:left="284" w:hanging="284"/>
        <w:jc w:val="left"/>
        <w:rPr>
          <w:snapToGrid w:val="0"/>
          <w:kern w:val="22"/>
          <w:szCs w:val="22"/>
          <w:lang w:eastAsia="nb-NO"/>
        </w:rPr>
      </w:pPr>
      <w:r w:rsidRPr="0091479A">
        <w:rPr>
          <w:snapToGrid w:val="0"/>
          <w:kern w:val="22"/>
          <w:szCs w:val="22"/>
          <w:lang w:eastAsia="nb-NO"/>
        </w:rPr>
        <w:t>Second meeting</w:t>
      </w:r>
    </w:p>
    <w:p w:rsidR="00F802A4" w:rsidRPr="0091479A" w:rsidRDefault="00F802A4" w:rsidP="00FB4478">
      <w:pPr>
        <w:suppressLineNumbers/>
        <w:suppressAutoHyphens/>
        <w:kinsoku w:val="0"/>
        <w:overflowPunct w:val="0"/>
        <w:autoSpaceDE w:val="0"/>
        <w:autoSpaceDN w:val="0"/>
        <w:adjustRightInd w:val="0"/>
        <w:snapToGrid w:val="0"/>
        <w:ind w:left="284" w:hanging="284"/>
        <w:jc w:val="left"/>
        <w:rPr>
          <w:snapToGrid w:val="0"/>
          <w:kern w:val="22"/>
          <w:szCs w:val="22"/>
          <w:lang w:eastAsia="nb-NO"/>
        </w:rPr>
      </w:pPr>
      <w:r w:rsidRPr="0091479A">
        <w:rPr>
          <w:snapToGrid w:val="0"/>
          <w:kern w:val="22"/>
          <w:szCs w:val="22"/>
          <w:lang w:eastAsia="nb-NO"/>
        </w:rPr>
        <w:t>Montreal, Canada, 9-13 July 2018</w:t>
      </w:r>
    </w:p>
    <w:p w:rsidR="00C9161D" w:rsidRDefault="001952D2" w:rsidP="00FB4478">
      <w:pPr>
        <w:suppressLineNumbers/>
        <w:suppressAutoHyphens/>
        <w:kinsoku w:val="0"/>
        <w:overflowPunct w:val="0"/>
        <w:autoSpaceDE w:val="0"/>
        <w:autoSpaceDN w:val="0"/>
        <w:adjustRightInd w:val="0"/>
        <w:snapToGrid w:val="0"/>
      </w:pPr>
      <w:r w:rsidRPr="0091479A">
        <w:t>Agenda item 8</w:t>
      </w:r>
    </w:p>
    <w:p w:rsidR="001C46C4" w:rsidRDefault="001C46C4" w:rsidP="00FB4478">
      <w:pPr>
        <w:pStyle w:val="Heading1"/>
        <w:keepNext w:val="0"/>
        <w:suppressLineNumbers/>
        <w:suppressAutoHyphens/>
        <w:kinsoku w:val="0"/>
        <w:overflowPunct w:val="0"/>
        <w:autoSpaceDE w:val="0"/>
        <w:autoSpaceDN w:val="0"/>
        <w:adjustRightInd w:val="0"/>
        <w:snapToGrid w:val="0"/>
        <w:spacing w:after="240"/>
        <w:rPr>
          <w:szCs w:val="22"/>
        </w:rPr>
      </w:pPr>
      <w:r>
        <w:t>RECOMMENDATION ADOPTED BY THE SUBSIDIARY BODY ON IMPLEMENTATION</w:t>
      </w:r>
    </w:p>
    <w:p w:rsidR="00C9161D" w:rsidRPr="0091479A" w:rsidRDefault="00341FFD" w:rsidP="00FB4478">
      <w:pPr>
        <w:pStyle w:val="recommendationheader"/>
        <w:suppressLineNumbers/>
        <w:tabs>
          <w:tab w:val="clear" w:pos="720"/>
          <w:tab w:val="left" w:pos="540"/>
        </w:tabs>
        <w:suppressAutoHyphens/>
        <w:kinsoku w:val="0"/>
        <w:overflowPunct w:val="0"/>
        <w:autoSpaceDE w:val="0"/>
        <w:autoSpaceDN w:val="0"/>
        <w:adjustRightInd w:val="0"/>
        <w:snapToGrid w:val="0"/>
        <w:rPr>
          <w:caps/>
        </w:rPr>
      </w:pPr>
      <w:sdt>
        <w:sdtPr>
          <w:rPr>
            <w:rFonts w:ascii="Times New Roman Bold" w:hAnsi="Times New Roman Bold" w:cs="Times New Roman Bold"/>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87189">
            <w:rPr>
              <w:rFonts w:ascii="Times New Roman Bold" w:hAnsi="Times New Roman Bold" w:cs="Times New Roman Bold"/>
              <w:caps/>
              <w:kern w:val="22"/>
              <w:szCs w:val="22"/>
            </w:rPr>
            <w:t>2/</w:t>
          </w:r>
          <w:r w:rsidR="001C46C4">
            <w:rPr>
              <w:rFonts w:ascii="Times New Roman Bold" w:hAnsi="Times New Roman Bold" w:cs="Times New Roman Bold"/>
              <w:caps/>
              <w:kern w:val="22"/>
              <w:szCs w:val="22"/>
            </w:rPr>
            <w:t>6.</w:t>
          </w:r>
          <w:r w:rsidR="00A87189">
            <w:rPr>
              <w:rFonts w:ascii="Times New Roman Bold" w:hAnsi="Times New Roman Bold" w:cs="Times New Roman Bold"/>
              <w:caps/>
              <w:kern w:val="22"/>
              <w:szCs w:val="22"/>
            </w:rPr>
            <w:tab/>
          </w:r>
          <w:r w:rsidR="001C46C4" w:rsidRPr="0091479A">
            <w:rPr>
              <w:rFonts w:ascii="Times New Roman Bold" w:hAnsi="Times New Roman Bold" w:cs="Times New Roman Bold"/>
              <w:caps/>
              <w:kern w:val="22"/>
              <w:szCs w:val="22"/>
            </w:rPr>
            <w:t>R</w:t>
          </w:r>
          <w:r w:rsidR="0036092B" w:rsidRPr="0091479A">
            <w:rPr>
              <w:rFonts w:ascii="Times New Roman Bold" w:hAnsi="Times New Roman Bold" w:cs="Times New Roman Bold"/>
              <w:kern w:val="22"/>
              <w:szCs w:val="22"/>
            </w:rPr>
            <w:t>esource mobilization</w:t>
          </w:r>
        </w:sdtContent>
      </w:sdt>
    </w:p>
    <w:p w:rsidR="001952D2" w:rsidRPr="0091479A" w:rsidRDefault="001952D2" w:rsidP="00FB4478">
      <w:pPr>
        <w:suppressLineNumbers/>
        <w:suppressAutoHyphens/>
        <w:kinsoku w:val="0"/>
        <w:overflowPunct w:val="0"/>
        <w:autoSpaceDE w:val="0"/>
        <w:autoSpaceDN w:val="0"/>
        <w:adjustRightInd w:val="0"/>
        <w:snapToGrid w:val="0"/>
        <w:spacing w:before="120" w:after="120" w:line="238" w:lineRule="auto"/>
        <w:ind w:firstLine="720"/>
        <w:rPr>
          <w:i/>
          <w:snapToGrid w:val="0"/>
          <w:kern w:val="22"/>
          <w:szCs w:val="22"/>
        </w:rPr>
      </w:pPr>
      <w:r w:rsidRPr="0091479A">
        <w:rPr>
          <w:i/>
          <w:snapToGrid w:val="0"/>
          <w:kern w:val="22"/>
          <w:szCs w:val="22"/>
        </w:rPr>
        <w:t>The Subsidiary Body on Implementation,</w:t>
      </w:r>
    </w:p>
    <w:p w:rsidR="001952D2" w:rsidRPr="0091479A"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91479A">
        <w:rPr>
          <w:i/>
          <w:snapToGrid w:val="0"/>
          <w:kern w:val="22"/>
          <w:szCs w:val="22"/>
        </w:rPr>
        <w:t>Recalling</w:t>
      </w:r>
      <w:r w:rsidRPr="0091479A">
        <w:rPr>
          <w:snapToGrid w:val="0"/>
          <w:kern w:val="22"/>
          <w:szCs w:val="22"/>
        </w:rPr>
        <w:t xml:space="preserve"> decision </w:t>
      </w:r>
      <w:hyperlink r:id="rId12" w:history="1">
        <w:r w:rsidRPr="0091479A">
          <w:rPr>
            <w:rStyle w:val="Hyperlink"/>
            <w:snapToGrid w:val="0"/>
            <w:kern w:val="22"/>
            <w:sz w:val="22"/>
            <w:szCs w:val="22"/>
          </w:rPr>
          <w:t>XII/3</w:t>
        </w:r>
      </w:hyperlink>
      <w:r w:rsidRPr="0091479A">
        <w:rPr>
          <w:snapToGrid w:val="0"/>
          <w:kern w:val="22"/>
          <w:szCs w:val="22"/>
        </w:rPr>
        <w:t>, in particular the targets referred to in paragraphs 1(a) to (e) and 2 therein,</w:t>
      </w:r>
    </w:p>
    <w:p w:rsidR="001952D2" w:rsidRPr="0091479A"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91479A">
        <w:rPr>
          <w:i/>
          <w:snapToGrid w:val="0"/>
          <w:kern w:val="22"/>
          <w:szCs w:val="22"/>
        </w:rPr>
        <w:t>Stressing</w:t>
      </w:r>
      <w:r w:rsidRPr="0091479A">
        <w:rPr>
          <w:snapToGrid w:val="0"/>
          <w:kern w:val="22"/>
          <w:szCs w:val="22"/>
        </w:rPr>
        <w:t xml:space="preserve"> the need for continued efforts for effective mobilization and utilization of resources for biodiversity from all sources,</w:t>
      </w:r>
    </w:p>
    <w:p w:rsidR="001952D2" w:rsidRPr="0091479A" w:rsidRDefault="001952D2" w:rsidP="00FB4478">
      <w:pPr>
        <w:suppressLineNumbers/>
        <w:suppressAutoHyphens/>
        <w:kinsoku w:val="0"/>
        <w:overflowPunct w:val="0"/>
        <w:autoSpaceDE w:val="0"/>
        <w:autoSpaceDN w:val="0"/>
        <w:adjustRightInd w:val="0"/>
        <w:snapToGrid w:val="0"/>
        <w:spacing w:before="120" w:after="120" w:line="238" w:lineRule="auto"/>
        <w:ind w:firstLine="720"/>
        <w:rPr>
          <w:iCs/>
          <w:snapToGrid w:val="0"/>
          <w:kern w:val="22"/>
          <w:szCs w:val="22"/>
        </w:rPr>
      </w:pPr>
      <w:r w:rsidRPr="0091479A">
        <w:rPr>
          <w:i/>
          <w:snapToGrid w:val="0"/>
          <w:kern w:val="22"/>
          <w:szCs w:val="22"/>
        </w:rPr>
        <w:t>Noting</w:t>
      </w:r>
      <w:r w:rsidRPr="0091479A">
        <w:rPr>
          <w:iCs/>
          <w:snapToGrid w:val="0"/>
          <w:kern w:val="22"/>
          <w:szCs w:val="22"/>
        </w:rPr>
        <w:t xml:space="preserve"> the limited number of new or updated financial reporting frameworks received in time for consideration by the Subsidiary Body at its second meeting,</w:t>
      </w:r>
    </w:p>
    <w:p w:rsidR="001952D2" w:rsidRPr="00465D1D"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91479A">
        <w:rPr>
          <w:i/>
          <w:snapToGrid w:val="0"/>
          <w:kern w:val="22"/>
          <w:szCs w:val="22"/>
        </w:rPr>
        <w:t>Aware</w:t>
      </w:r>
      <w:r w:rsidRPr="0091479A">
        <w:rPr>
          <w:snapToGrid w:val="0"/>
          <w:kern w:val="22"/>
          <w:szCs w:val="22"/>
        </w:rPr>
        <w:t xml:space="preserve"> of the various ongoing challenges that many Parties face in their financial reporting, in</w:t>
      </w:r>
      <w:r w:rsidRPr="00E156E4">
        <w:rPr>
          <w:snapToGrid w:val="0"/>
          <w:kern w:val="22"/>
          <w:szCs w:val="22"/>
        </w:rPr>
        <w:t xml:space="preserve"> particular in identifying their funding needs, gaps and priorities, and in developing and reporting their national finance plans,</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i/>
          <w:snapToGrid w:val="0"/>
          <w:kern w:val="22"/>
          <w:szCs w:val="22"/>
        </w:rPr>
        <w:t xml:space="preserve">Recalling </w:t>
      </w:r>
      <w:r w:rsidRPr="0035727B">
        <w:rPr>
          <w:snapToGrid w:val="0"/>
          <w:kern w:val="22"/>
          <w:szCs w:val="22"/>
        </w:rPr>
        <w:t>Article 20 of the Convention,</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i/>
          <w:snapToGrid w:val="0"/>
          <w:kern w:val="22"/>
          <w:szCs w:val="22"/>
        </w:rPr>
        <w:t>Emphasizing</w:t>
      </w:r>
      <w:r w:rsidRPr="0035727B">
        <w:rPr>
          <w:snapToGrid w:val="0"/>
          <w:kern w:val="22"/>
          <w:szCs w:val="22"/>
        </w:rPr>
        <w:t xml:space="preserve"> the ongoing importance of increasing the mobilization of financial resources for the effective implementation, in the years remaining, of the Strategic Plan for Biodiversity 2011-2020, and of the post-2020 global biodiversity framework,</w:t>
      </w:r>
    </w:p>
    <w:p w:rsidR="001952D2" w:rsidRPr="0035727B" w:rsidRDefault="001952D2" w:rsidP="00FB4478">
      <w:pPr>
        <w:keepNext/>
        <w:suppressLineNumbers/>
        <w:tabs>
          <w:tab w:val="left" w:pos="360"/>
        </w:tabs>
        <w:suppressAutoHyphens/>
        <w:kinsoku w:val="0"/>
        <w:overflowPunct w:val="0"/>
        <w:autoSpaceDE w:val="0"/>
        <w:autoSpaceDN w:val="0"/>
        <w:adjustRightInd w:val="0"/>
        <w:snapToGrid w:val="0"/>
        <w:spacing w:line="238" w:lineRule="auto"/>
        <w:jc w:val="center"/>
        <w:rPr>
          <w:b/>
          <w:snapToGrid w:val="0"/>
          <w:kern w:val="22"/>
          <w:szCs w:val="22"/>
        </w:rPr>
      </w:pPr>
      <w:r w:rsidRPr="0035727B">
        <w:rPr>
          <w:b/>
          <w:snapToGrid w:val="0"/>
          <w:kern w:val="22"/>
          <w:szCs w:val="22"/>
        </w:rPr>
        <w:t>A.</w:t>
      </w:r>
      <w:r w:rsidRPr="0035727B">
        <w:rPr>
          <w:b/>
          <w:snapToGrid w:val="0"/>
          <w:kern w:val="22"/>
          <w:szCs w:val="22"/>
        </w:rPr>
        <w:tab/>
        <w:t>Financial reporting</w:t>
      </w:r>
    </w:p>
    <w:p w:rsidR="001952D2" w:rsidRPr="00FB37BA"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snapToGrid w:val="0"/>
          <w:kern w:val="22"/>
          <w:szCs w:val="22"/>
        </w:rPr>
        <w:t>1.</w:t>
      </w:r>
      <w:r w:rsidRPr="0035727B">
        <w:rPr>
          <w:snapToGrid w:val="0"/>
          <w:kern w:val="22"/>
          <w:szCs w:val="22"/>
        </w:rPr>
        <w:tab/>
      </w:r>
      <w:r w:rsidRPr="0035727B">
        <w:rPr>
          <w:i/>
          <w:snapToGrid w:val="0"/>
          <w:kern w:val="22"/>
          <w:szCs w:val="22"/>
        </w:rPr>
        <w:t xml:space="preserve">Takes note with appreciation </w:t>
      </w:r>
      <w:r w:rsidRPr="0035727B">
        <w:rPr>
          <w:snapToGrid w:val="0"/>
          <w:kern w:val="22"/>
          <w:szCs w:val="22"/>
        </w:rPr>
        <w:t>of the information provided by Parties through the financial reporting framework</w:t>
      </w:r>
      <w:r w:rsidR="008916C3" w:rsidRPr="0035727B">
        <w:rPr>
          <w:snapToGrid w:val="0"/>
          <w:kern w:val="22"/>
          <w:szCs w:val="22"/>
        </w:rPr>
        <w:t>,</w:t>
      </w:r>
      <w:r w:rsidR="006F0F6D" w:rsidRPr="0035727B">
        <w:rPr>
          <w:snapToGrid w:val="0"/>
          <w:kern w:val="22"/>
          <w:szCs w:val="22"/>
        </w:rPr>
        <w:t xml:space="preserve"> a</w:t>
      </w:r>
      <w:r w:rsidR="002501A4" w:rsidRPr="0035727B">
        <w:rPr>
          <w:snapToGrid w:val="0"/>
          <w:kern w:val="22"/>
          <w:szCs w:val="22"/>
        </w:rPr>
        <w:t xml:space="preserve">nd </w:t>
      </w:r>
      <w:r w:rsidR="002501A4" w:rsidRPr="00B514E4">
        <w:rPr>
          <w:i/>
          <w:iCs/>
          <w:snapToGrid w:val="0"/>
          <w:kern w:val="22"/>
          <w:szCs w:val="22"/>
        </w:rPr>
        <w:t>encourages</w:t>
      </w:r>
      <w:r w:rsidR="002501A4" w:rsidRPr="00B55E3C">
        <w:rPr>
          <w:snapToGrid w:val="0"/>
          <w:kern w:val="22"/>
          <w:szCs w:val="22"/>
        </w:rPr>
        <w:t xml:space="preserve"> P</w:t>
      </w:r>
      <w:r w:rsidR="006F0F6D" w:rsidRPr="00465D1D">
        <w:rPr>
          <w:snapToGrid w:val="0"/>
          <w:kern w:val="22"/>
          <w:szCs w:val="22"/>
        </w:rPr>
        <w:t xml:space="preserve">arties to continue </w:t>
      </w:r>
      <w:r w:rsidR="00442687">
        <w:rPr>
          <w:snapToGrid w:val="0"/>
          <w:kern w:val="22"/>
          <w:szCs w:val="22"/>
        </w:rPr>
        <w:t>to</w:t>
      </w:r>
      <w:r w:rsidR="006F0F6D" w:rsidRPr="00465D1D">
        <w:rPr>
          <w:snapToGrid w:val="0"/>
          <w:kern w:val="22"/>
          <w:szCs w:val="22"/>
        </w:rPr>
        <w:t xml:space="preserve"> sh</w:t>
      </w:r>
      <w:r w:rsidR="008916C3" w:rsidRPr="00465D1D">
        <w:rPr>
          <w:snapToGrid w:val="0"/>
          <w:kern w:val="22"/>
          <w:szCs w:val="22"/>
        </w:rPr>
        <w:t>ar</w:t>
      </w:r>
      <w:r w:rsidR="00442687">
        <w:rPr>
          <w:snapToGrid w:val="0"/>
          <w:kern w:val="22"/>
          <w:szCs w:val="22"/>
        </w:rPr>
        <w:t>e</w:t>
      </w:r>
      <w:r w:rsidR="008916C3" w:rsidRPr="00465D1D">
        <w:rPr>
          <w:snapToGrid w:val="0"/>
          <w:kern w:val="22"/>
          <w:szCs w:val="22"/>
        </w:rPr>
        <w:t xml:space="preserve"> </w:t>
      </w:r>
      <w:r w:rsidR="006F0F6D" w:rsidRPr="00465D1D">
        <w:rPr>
          <w:snapToGrid w:val="0"/>
          <w:kern w:val="22"/>
          <w:szCs w:val="22"/>
        </w:rPr>
        <w:t>their experiences</w:t>
      </w:r>
      <w:r w:rsidR="008916C3" w:rsidRPr="00A7357E">
        <w:rPr>
          <w:snapToGrid w:val="0"/>
          <w:kern w:val="22"/>
          <w:szCs w:val="22"/>
        </w:rPr>
        <w:t>;</w:t>
      </w:r>
    </w:p>
    <w:p w:rsidR="001952D2" w:rsidRPr="009A1F66"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snapToGrid w:val="0"/>
          <w:kern w:val="22"/>
          <w:szCs w:val="22"/>
        </w:rPr>
        <w:t>2.</w:t>
      </w:r>
      <w:r w:rsidRPr="0035727B">
        <w:rPr>
          <w:snapToGrid w:val="0"/>
          <w:kern w:val="22"/>
          <w:szCs w:val="22"/>
        </w:rPr>
        <w:tab/>
      </w:r>
      <w:r w:rsidRPr="0035727B">
        <w:rPr>
          <w:i/>
          <w:snapToGrid w:val="0"/>
          <w:kern w:val="22"/>
          <w:szCs w:val="22"/>
        </w:rPr>
        <w:t>Takes note</w:t>
      </w:r>
      <w:r w:rsidRPr="0035727B">
        <w:rPr>
          <w:snapToGrid w:val="0"/>
          <w:kern w:val="22"/>
          <w:szCs w:val="22"/>
        </w:rPr>
        <w:t xml:space="preserve"> of the stocktake and updated analysis of the information provided by Parties through the financial reporting framework, in particular the progress towards the </w:t>
      </w:r>
      <w:r w:rsidR="00471C01" w:rsidRPr="0035727B">
        <w:rPr>
          <w:snapToGrid w:val="0"/>
          <w:kern w:val="22"/>
          <w:szCs w:val="22"/>
        </w:rPr>
        <w:t xml:space="preserve">global </w:t>
      </w:r>
      <w:r w:rsidRPr="0035727B">
        <w:rPr>
          <w:snapToGrid w:val="0"/>
          <w:kern w:val="22"/>
          <w:szCs w:val="22"/>
        </w:rPr>
        <w:t>targets adopted in decision XII/3</w:t>
      </w:r>
      <w:r w:rsidR="00471C01" w:rsidRPr="0035727B">
        <w:rPr>
          <w:snapToGrid w:val="0"/>
          <w:kern w:val="22"/>
          <w:szCs w:val="22"/>
        </w:rPr>
        <w:t>,</w:t>
      </w:r>
      <w:r w:rsidR="00D30AFB" w:rsidRPr="00B514E4">
        <w:t xml:space="preserve"> </w:t>
      </w:r>
      <w:r w:rsidR="00D30AFB" w:rsidRPr="00465D1D">
        <w:t xml:space="preserve">and </w:t>
      </w:r>
      <w:r w:rsidR="00D30AFB" w:rsidRPr="00465D1D">
        <w:rPr>
          <w:i/>
        </w:rPr>
        <w:t>note</w:t>
      </w:r>
      <w:r w:rsidR="00471C01" w:rsidRPr="00465D1D">
        <w:rPr>
          <w:i/>
        </w:rPr>
        <w:t>s</w:t>
      </w:r>
      <w:r w:rsidR="00471C01" w:rsidRPr="00A7357E">
        <w:t xml:space="preserve"> that only a few P</w:t>
      </w:r>
      <w:r w:rsidR="00D30AFB" w:rsidRPr="00FB37BA">
        <w:t>arties have submitted their financial reports</w:t>
      </w:r>
      <w:r w:rsidR="00465D1D">
        <w:t>,</w:t>
      </w:r>
      <w:r w:rsidR="00D30AFB" w:rsidRPr="00465D1D">
        <w:t xml:space="preserve"> including reports</w:t>
      </w:r>
      <w:r w:rsidR="00D30AFB" w:rsidRPr="00A7357E">
        <w:t xml:space="preserve"> on domestic resources</w:t>
      </w:r>
      <w:r w:rsidR="008916C3" w:rsidRPr="00FB37BA">
        <w:t>;</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snapToGrid w:val="0"/>
          <w:kern w:val="22"/>
          <w:szCs w:val="22"/>
        </w:rPr>
        <w:t>3.</w:t>
      </w:r>
      <w:r w:rsidRPr="0035727B">
        <w:rPr>
          <w:snapToGrid w:val="0"/>
          <w:kern w:val="22"/>
          <w:szCs w:val="22"/>
        </w:rPr>
        <w:tab/>
      </w:r>
      <w:r w:rsidRPr="0035727B">
        <w:rPr>
          <w:i/>
          <w:snapToGrid w:val="0"/>
          <w:kern w:val="22"/>
          <w:szCs w:val="22"/>
        </w:rPr>
        <w:t>Urges</w:t>
      </w:r>
      <w:r w:rsidRPr="0035727B">
        <w:rPr>
          <w:snapToGrid w:val="0"/>
          <w:kern w:val="22"/>
          <w:szCs w:val="22"/>
        </w:rPr>
        <w:t xml:space="preserve"> </w:t>
      </w:r>
      <w:r w:rsidR="00D30AFB" w:rsidRPr="0035727B">
        <w:rPr>
          <w:snapToGrid w:val="0"/>
          <w:kern w:val="22"/>
          <w:szCs w:val="22"/>
        </w:rPr>
        <w:t xml:space="preserve">all </w:t>
      </w:r>
      <w:r w:rsidRPr="0035727B">
        <w:rPr>
          <w:snapToGrid w:val="0"/>
          <w:kern w:val="22"/>
          <w:szCs w:val="22"/>
        </w:rPr>
        <w:t>Parties to increase their efforts to achieve the targets, including the doubling of total biodiversity-related international financial resource flows to developing countries, in particular least developed countries and small island developing States as well as countries with economies in transition, and maintaining this level until 2020, as stated in target 1(a), bearing in mind that the targets are considered to be mutually supportive;</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snapToGrid w:val="0"/>
          <w:kern w:val="22"/>
          <w:szCs w:val="22"/>
        </w:rPr>
        <w:t>4.</w:t>
      </w:r>
      <w:r w:rsidRPr="0035727B">
        <w:rPr>
          <w:snapToGrid w:val="0"/>
          <w:kern w:val="22"/>
          <w:szCs w:val="22"/>
        </w:rPr>
        <w:tab/>
      </w:r>
      <w:r w:rsidRPr="0035727B">
        <w:rPr>
          <w:i/>
          <w:snapToGrid w:val="0"/>
          <w:kern w:val="22"/>
          <w:szCs w:val="22"/>
        </w:rPr>
        <w:t xml:space="preserve">Urges </w:t>
      </w:r>
      <w:r w:rsidRPr="0035727B">
        <w:rPr>
          <w:snapToGrid w:val="0"/>
          <w:kern w:val="22"/>
          <w:szCs w:val="22"/>
        </w:rPr>
        <w:t>Parties that have not yet done so</w:t>
      </w:r>
      <w:r w:rsidR="00367145" w:rsidRPr="0035727B">
        <w:rPr>
          <w:snapToGrid w:val="0"/>
          <w:kern w:val="22"/>
          <w:szCs w:val="22"/>
        </w:rPr>
        <w:t xml:space="preserve"> </w:t>
      </w:r>
      <w:r w:rsidRPr="0035727B">
        <w:rPr>
          <w:snapToGrid w:val="0"/>
          <w:kern w:val="22"/>
          <w:szCs w:val="22"/>
        </w:rPr>
        <w:t xml:space="preserve">to provide the necessary baseline information and report initial progress against the targets for resource mobilization up to 2015, </w:t>
      </w:r>
      <w:r w:rsidR="00670952" w:rsidRPr="0035727B">
        <w:rPr>
          <w:snapToGrid w:val="0"/>
          <w:kern w:val="22"/>
          <w:szCs w:val="22"/>
        </w:rPr>
        <w:t xml:space="preserve">where feasible </w:t>
      </w:r>
      <w:r w:rsidRPr="0035727B">
        <w:rPr>
          <w:snapToGrid w:val="0"/>
          <w:kern w:val="22"/>
          <w:szCs w:val="22"/>
        </w:rPr>
        <w:t xml:space="preserve">by 1 September 2018, using the financial reporting framework, and </w:t>
      </w:r>
      <w:r w:rsidRPr="00FB4478">
        <w:rPr>
          <w:i/>
          <w:iCs/>
          <w:snapToGrid w:val="0"/>
          <w:kern w:val="22"/>
          <w:szCs w:val="22"/>
        </w:rPr>
        <w:t>invites</w:t>
      </w:r>
      <w:r w:rsidRPr="0035727B">
        <w:rPr>
          <w:snapToGrid w:val="0"/>
          <w:kern w:val="22"/>
          <w:szCs w:val="22"/>
        </w:rPr>
        <w:t xml:space="preserve"> Parties to update, as appropriate, their financial reporting frameworks with confirmed/final data for 2015, with a view to improving the robustness of the data and enabling</w:t>
      </w:r>
      <w:r w:rsidRPr="0035727B">
        <w:rPr>
          <w:kern w:val="22"/>
          <w:szCs w:val="22"/>
        </w:rPr>
        <w:t xml:space="preserve"> a </w:t>
      </w:r>
      <w:r w:rsidRPr="0035727B">
        <w:rPr>
          <w:snapToGrid w:val="0"/>
          <w:kern w:val="22"/>
          <w:szCs w:val="22"/>
        </w:rPr>
        <w:t>comprehensive assessment of progress towards achieving the targets set by the Conference of the Parties at its fourteenth meeting;</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snapToGrid w:val="0"/>
          <w:kern w:val="22"/>
          <w:szCs w:val="22"/>
        </w:rPr>
        <w:t>5.</w:t>
      </w:r>
      <w:r w:rsidRPr="0035727B">
        <w:rPr>
          <w:snapToGrid w:val="0"/>
          <w:kern w:val="22"/>
          <w:szCs w:val="22"/>
        </w:rPr>
        <w:tab/>
      </w:r>
      <w:r w:rsidRPr="0035727B">
        <w:rPr>
          <w:i/>
          <w:snapToGrid w:val="0"/>
          <w:kern w:val="22"/>
          <w:szCs w:val="22"/>
        </w:rPr>
        <w:t xml:space="preserve">Encourages </w:t>
      </w:r>
      <w:r w:rsidRPr="0035727B">
        <w:rPr>
          <w:snapToGrid w:val="0"/>
          <w:kern w:val="22"/>
          <w:szCs w:val="22"/>
        </w:rPr>
        <w:t>Parties in a positon to do so to submit available data on 2016 and 2017, in the second round of reporting, further to decision XIII/20, paragraph 8;</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snapToGrid w:val="0"/>
          <w:kern w:val="22"/>
          <w:szCs w:val="22"/>
        </w:rPr>
        <w:t>6.</w:t>
      </w:r>
      <w:r w:rsidRPr="0035727B">
        <w:rPr>
          <w:snapToGrid w:val="0"/>
          <w:kern w:val="22"/>
          <w:szCs w:val="22"/>
        </w:rPr>
        <w:tab/>
      </w:r>
      <w:r w:rsidR="00670952" w:rsidRPr="0035727B">
        <w:rPr>
          <w:i/>
          <w:snapToGrid w:val="0"/>
          <w:kern w:val="22"/>
          <w:szCs w:val="22"/>
        </w:rPr>
        <w:t>Invites</w:t>
      </w:r>
      <w:r w:rsidR="00670952" w:rsidRPr="0035727B">
        <w:rPr>
          <w:snapToGrid w:val="0"/>
          <w:kern w:val="22"/>
          <w:szCs w:val="22"/>
        </w:rPr>
        <w:t xml:space="preserve"> </w:t>
      </w:r>
      <w:r w:rsidRPr="0035727B">
        <w:rPr>
          <w:snapToGrid w:val="0"/>
          <w:kern w:val="22"/>
          <w:szCs w:val="22"/>
        </w:rPr>
        <w:t>Parties that have finalized the revision and updating of their national biodiversity strategies and action plans to identify their funding needs, gaps, and priorities, on the basis, as appropriate, of revised national biodiversity strategies and action plans and other complementary information, and to develop and implement their national finance plans for the effective implementation of revised national biodiversity strategies and action plans as a matter of priority</w:t>
      </w:r>
      <w:r w:rsidR="00670952" w:rsidRPr="0035727B">
        <w:rPr>
          <w:snapToGrid w:val="0"/>
          <w:kern w:val="22"/>
          <w:szCs w:val="22"/>
        </w:rPr>
        <w:t xml:space="preserve"> and in line with national circumstances</w:t>
      </w:r>
      <w:r w:rsidRPr="0035727B">
        <w:rPr>
          <w:snapToGrid w:val="0"/>
          <w:kern w:val="22"/>
          <w:szCs w:val="22"/>
        </w:rPr>
        <w:t>;</w:t>
      </w:r>
    </w:p>
    <w:p w:rsidR="00CD7F87" w:rsidRPr="0035727B"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35727B">
        <w:rPr>
          <w:snapToGrid w:val="0"/>
          <w:kern w:val="22"/>
          <w:szCs w:val="22"/>
        </w:rPr>
        <w:t>7.</w:t>
      </w:r>
      <w:r w:rsidRPr="0035727B">
        <w:rPr>
          <w:snapToGrid w:val="0"/>
          <w:kern w:val="22"/>
          <w:szCs w:val="22"/>
        </w:rPr>
        <w:tab/>
      </w:r>
      <w:r w:rsidRPr="0035727B">
        <w:rPr>
          <w:i/>
          <w:snapToGrid w:val="0"/>
          <w:kern w:val="22"/>
          <w:szCs w:val="22"/>
        </w:rPr>
        <w:t xml:space="preserve">Requests </w:t>
      </w:r>
      <w:r w:rsidRPr="0035727B">
        <w:rPr>
          <w:snapToGrid w:val="0"/>
          <w:kern w:val="22"/>
          <w:szCs w:val="22"/>
        </w:rPr>
        <w:t>the Executive Secretary to prepare an updated analysis of financial reports received, including elements for completion of the draft decision contained in paragraph 9 below, for consideration by the Conference of the Parties at its fourteenth meeting;</w:t>
      </w:r>
    </w:p>
    <w:p w:rsidR="001952D2" w:rsidRPr="0035727B" w:rsidRDefault="001952D2" w:rsidP="00FB4478">
      <w:pPr>
        <w:keepNext/>
        <w:suppressLineNumbers/>
        <w:tabs>
          <w:tab w:val="left" w:pos="360"/>
        </w:tabs>
        <w:suppressAutoHyphens/>
        <w:kinsoku w:val="0"/>
        <w:overflowPunct w:val="0"/>
        <w:autoSpaceDE w:val="0"/>
        <w:autoSpaceDN w:val="0"/>
        <w:adjustRightInd w:val="0"/>
        <w:snapToGrid w:val="0"/>
        <w:spacing w:line="238" w:lineRule="auto"/>
        <w:jc w:val="center"/>
        <w:rPr>
          <w:b/>
          <w:snapToGrid w:val="0"/>
          <w:kern w:val="22"/>
          <w:szCs w:val="22"/>
        </w:rPr>
      </w:pPr>
      <w:r w:rsidRPr="0035727B">
        <w:rPr>
          <w:b/>
          <w:snapToGrid w:val="0"/>
          <w:kern w:val="22"/>
          <w:szCs w:val="22"/>
        </w:rPr>
        <w:t>B.</w:t>
      </w:r>
      <w:r w:rsidRPr="0035727B">
        <w:rPr>
          <w:b/>
          <w:snapToGrid w:val="0"/>
          <w:kern w:val="22"/>
          <w:szCs w:val="22"/>
        </w:rPr>
        <w:tab/>
        <w:t>Resource mobilization component of the post-2020 biodiversity framework</w:t>
      </w:r>
    </w:p>
    <w:p w:rsidR="001952D2" w:rsidRPr="00FB4478"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FB4478">
        <w:rPr>
          <w:snapToGrid w:val="0"/>
          <w:kern w:val="22"/>
          <w:szCs w:val="22"/>
        </w:rPr>
        <w:t>8.</w:t>
      </w:r>
      <w:r w:rsidRPr="00FB4478">
        <w:rPr>
          <w:snapToGrid w:val="0"/>
          <w:kern w:val="22"/>
          <w:szCs w:val="22"/>
        </w:rPr>
        <w:tab/>
      </w:r>
      <w:r w:rsidRPr="00FB4478">
        <w:rPr>
          <w:i/>
          <w:snapToGrid w:val="0"/>
          <w:kern w:val="22"/>
          <w:szCs w:val="22"/>
        </w:rPr>
        <w:t>Invites</w:t>
      </w:r>
      <w:r w:rsidRPr="00FB4478">
        <w:rPr>
          <w:snapToGrid w:val="0"/>
          <w:kern w:val="22"/>
          <w:szCs w:val="22"/>
        </w:rPr>
        <w:t xml:space="preserve"> Parties, other Governments, stakeholders and relevant international organizations and initiatives, to review their experiences in implementing Aichi Biodiversity Target 20 as well as the strategy and the targets for resource mobilization, and in using relevant guidance, and, building on this review, to submit </w:t>
      </w:r>
      <w:r w:rsidR="006403CF" w:rsidRPr="00FB4478">
        <w:rPr>
          <w:snapToGrid w:val="0"/>
          <w:kern w:val="22"/>
          <w:szCs w:val="22"/>
        </w:rPr>
        <w:t xml:space="preserve">by 15 December 2018 </w:t>
      </w:r>
      <w:r w:rsidRPr="00FB4478">
        <w:rPr>
          <w:snapToGrid w:val="0"/>
          <w:kern w:val="22"/>
          <w:szCs w:val="22"/>
        </w:rPr>
        <w:t xml:space="preserve">views on </w:t>
      </w:r>
      <w:r w:rsidR="006403CF" w:rsidRPr="00FB4478">
        <w:rPr>
          <w:snapToGrid w:val="0"/>
          <w:kern w:val="22"/>
          <w:szCs w:val="22"/>
        </w:rPr>
        <w:t xml:space="preserve">the </w:t>
      </w:r>
      <w:r w:rsidRPr="00FB4478">
        <w:rPr>
          <w:snapToGrid w:val="0"/>
          <w:kern w:val="22"/>
          <w:szCs w:val="22"/>
        </w:rPr>
        <w:t xml:space="preserve">scope and content of the resource mobilization component of the post-2020 biodiversity framework, as part of the intersessional work foreseen in </w:t>
      </w:r>
      <w:r w:rsidR="006403CF" w:rsidRPr="00FB4478">
        <w:rPr>
          <w:snapToGrid w:val="0"/>
          <w:kern w:val="22"/>
          <w:szCs w:val="22"/>
        </w:rPr>
        <w:t xml:space="preserve">paragraph 7 of </w:t>
      </w:r>
      <w:r w:rsidR="007A3804" w:rsidRPr="00FB4478">
        <w:rPr>
          <w:snapToGrid w:val="0"/>
          <w:kern w:val="22"/>
          <w:szCs w:val="22"/>
        </w:rPr>
        <w:t>recommendation 2/</w:t>
      </w:r>
      <w:r w:rsidR="0047686D" w:rsidRPr="00AF76F6">
        <w:rPr>
          <w:snapToGrid w:val="0"/>
          <w:kern w:val="22"/>
          <w:szCs w:val="22"/>
        </w:rPr>
        <w:t>19, adopted</w:t>
      </w:r>
      <w:r w:rsidR="007A3804" w:rsidRPr="00FB4478">
        <w:rPr>
          <w:snapToGrid w:val="0"/>
          <w:kern w:val="22"/>
          <w:szCs w:val="22"/>
        </w:rPr>
        <w:t xml:space="preserve"> </w:t>
      </w:r>
      <w:r w:rsidRPr="00FB4478">
        <w:rPr>
          <w:snapToGrid w:val="0"/>
          <w:kern w:val="22"/>
          <w:szCs w:val="22"/>
        </w:rPr>
        <w:t>under agenda item 16;</w:t>
      </w:r>
    </w:p>
    <w:p w:rsidR="009205A7" w:rsidRPr="00A94593" w:rsidRDefault="001952D2" w:rsidP="00FB447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465D1D">
        <w:rPr>
          <w:snapToGrid w:val="0"/>
          <w:kern w:val="22"/>
          <w:szCs w:val="22"/>
        </w:rPr>
        <w:t>9.</w:t>
      </w:r>
      <w:r w:rsidRPr="00465D1D">
        <w:rPr>
          <w:snapToGrid w:val="0"/>
          <w:kern w:val="22"/>
          <w:szCs w:val="22"/>
        </w:rPr>
        <w:tab/>
      </w:r>
      <w:r w:rsidRPr="00A7357E">
        <w:rPr>
          <w:i/>
          <w:snapToGrid w:val="0"/>
          <w:kern w:val="22"/>
          <w:szCs w:val="22"/>
        </w:rPr>
        <w:t>Recommends</w:t>
      </w:r>
      <w:r w:rsidRPr="00A7357E">
        <w:rPr>
          <w:snapToGrid w:val="0"/>
          <w:kern w:val="22"/>
          <w:szCs w:val="22"/>
        </w:rPr>
        <w:t xml:space="preserve"> that the Conference of the Parties at its fourteenth meeting adopt a decision along the following lines:</w:t>
      </w:r>
    </w:p>
    <w:p w:rsidR="001952D2" w:rsidRPr="00A94593" w:rsidRDefault="001952D2" w:rsidP="00FB4478">
      <w:pPr>
        <w:keepNext/>
        <w:suppressLineNumbers/>
        <w:suppressAutoHyphens/>
        <w:kinsoku w:val="0"/>
        <w:overflowPunct w:val="0"/>
        <w:autoSpaceDE w:val="0"/>
        <w:autoSpaceDN w:val="0"/>
        <w:adjustRightInd w:val="0"/>
        <w:snapToGrid w:val="0"/>
        <w:spacing w:before="120" w:after="120" w:line="238" w:lineRule="auto"/>
        <w:ind w:left="720" w:firstLine="720"/>
        <w:rPr>
          <w:i/>
          <w:snapToGrid w:val="0"/>
          <w:kern w:val="22"/>
          <w:szCs w:val="22"/>
        </w:rPr>
      </w:pPr>
      <w:r w:rsidRPr="00A94593">
        <w:rPr>
          <w:i/>
          <w:snapToGrid w:val="0"/>
          <w:kern w:val="22"/>
          <w:szCs w:val="22"/>
        </w:rPr>
        <w:t>The Conference of the Parties</w:t>
      </w:r>
    </w:p>
    <w:p w:rsidR="001952D2" w:rsidRPr="0035727B" w:rsidRDefault="001952D2" w:rsidP="00FB4478">
      <w:pPr>
        <w:keepNext/>
        <w:suppressLineNumbers/>
        <w:tabs>
          <w:tab w:val="left" w:pos="1080"/>
        </w:tabs>
        <w:suppressAutoHyphens/>
        <w:kinsoku w:val="0"/>
        <w:overflowPunct w:val="0"/>
        <w:autoSpaceDE w:val="0"/>
        <w:autoSpaceDN w:val="0"/>
        <w:adjustRightInd w:val="0"/>
        <w:snapToGrid w:val="0"/>
        <w:spacing w:line="238" w:lineRule="auto"/>
        <w:ind w:left="720"/>
        <w:jc w:val="center"/>
        <w:rPr>
          <w:b/>
          <w:snapToGrid w:val="0"/>
          <w:kern w:val="22"/>
          <w:szCs w:val="22"/>
        </w:rPr>
      </w:pPr>
      <w:r w:rsidRPr="0035727B">
        <w:rPr>
          <w:b/>
          <w:snapToGrid w:val="0"/>
          <w:kern w:val="22"/>
          <w:szCs w:val="22"/>
        </w:rPr>
        <w:t>A.</w:t>
      </w:r>
      <w:r w:rsidRPr="0035727B">
        <w:rPr>
          <w:b/>
          <w:snapToGrid w:val="0"/>
          <w:kern w:val="22"/>
          <w:szCs w:val="22"/>
        </w:rPr>
        <w:tab/>
        <w:t>Financial reporting</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35727B">
        <w:rPr>
          <w:snapToGrid w:val="0"/>
          <w:kern w:val="22"/>
          <w:szCs w:val="22"/>
        </w:rPr>
        <w:t>1.</w:t>
      </w:r>
      <w:r w:rsidRPr="0035727B">
        <w:rPr>
          <w:snapToGrid w:val="0"/>
          <w:kern w:val="22"/>
          <w:szCs w:val="22"/>
        </w:rPr>
        <w:tab/>
      </w:r>
      <w:r w:rsidRPr="0035727B">
        <w:rPr>
          <w:i/>
          <w:snapToGrid w:val="0"/>
          <w:kern w:val="22"/>
          <w:szCs w:val="22"/>
        </w:rPr>
        <w:t>Takes note with appreciation</w:t>
      </w:r>
      <w:r w:rsidRPr="0035727B">
        <w:rPr>
          <w:snapToGrid w:val="0"/>
          <w:kern w:val="22"/>
          <w:szCs w:val="22"/>
        </w:rPr>
        <w:t xml:space="preserve"> of the information provided by Parties through the financial reporting framework;</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35727B">
        <w:rPr>
          <w:snapToGrid w:val="0"/>
          <w:kern w:val="22"/>
          <w:szCs w:val="22"/>
        </w:rPr>
        <w:t>2.</w:t>
      </w:r>
      <w:r w:rsidRPr="0035727B">
        <w:rPr>
          <w:snapToGrid w:val="0"/>
          <w:kern w:val="22"/>
          <w:szCs w:val="22"/>
        </w:rPr>
        <w:tab/>
      </w:r>
      <w:r w:rsidRPr="0035727B">
        <w:rPr>
          <w:i/>
          <w:snapToGrid w:val="0"/>
          <w:kern w:val="22"/>
          <w:szCs w:val="22"/>
        </w:rPr>
        <w:t>Takes note</w:t>
      </w:r>
      <w:r w:rsidRPr="0035727B">
        <w:rPr>
          <w:snapToGrid w:val="0"/>
          <w:kern w:val="22"/>
          <w:szCs w:val="22"/>
        </w:rPr>
        <w:t xml:space="preserve"> of the analysis of the information provided by Parties through the financial reporting framework, in particular the progress towards the targets adopted in decision XII/3, as contained in the note by the Executive Secretary on </w:t>
      </w:r>
      <w:r w:rsidRPr="0035727B">
        <w:rPr>
          <w:snapToGrid w:val="0"/>
          <w:kern w:val="18"/>
          <w:szCs w:val="22"/>
        </w:rPr>
        <w:t>resource mobilization: stocktake and updated analysis of information provided through the financial reporting framework</w:t>
      </w:r>
      <w:r w:rsidRPr="0035727B">
        <w:rPr>
          <w:snapToGrid w:val="0"/>
          <w:kern w:val="22"/>
          <w:szCs w:val="22"/>
        </w:rPr>
        <w:t>;</w:t>
      </w:r>
      <w:r w:rsidRPr="0035727B">
        <w:rPr>
          <w:rStyle w:val="FootnoteReference"/>
          <w:snapToGrid w:val="0"/>
          <w:kern w:val="22"/>
          <w:szCs w:val="22"/>
        </w:rPr>
        <w:footnoteReference w:id="1"/>
      </w:r>
    </w:p>
    <w:p w:rsidR="001952D2" w:rsidRPr="00E156E4"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EA3919">
        <w:rPr>
          <w:snapToGrid w:val="0"/>
          <w:kern w:val="22"/>
          <w:szCs w:val="22"/>
        </w:rPr>
        <w:t>3.</w:t>
      </w:r>
      <w:r w:rsidRPr="00EA3919">
        <w:rPr>
          <w:snapToGrid w:val="0"/>
          <w:kern w:val="22"/>
          <w:szCs w:val="22"/>
        </w:rPr>
        <w:tab/>
      </w:r>
      <w:r w:rsidRPr="00EA3919">
        <w:rPr>
          <w:i/>
          <w:snapToGrid w:val="0"/>
          <w:kern w:val="22"/>
          <w:szCs w:val="22"/>
        </w:rPr>
        <w:t>Reiterates</w:t>
      </w:r>
      <w:r w:rsidRPr="00EA3919">
        <w:rPr>
          <w:snapToGrid w:val="0"/>
          <w:kern w:val="22"/>
          <w:szCs w:val="22"/>
        </w:rPr>
        <w:t xml:space="preserve"> its invitation to Parties to report, using the online financial reporting framework, on their further contribution to the collective efforts to reach the global targets for resource mobilization, against the established baseline, in conjunction with their</w:t>
      </w:r>
      <w:r w:rsidRPr="00D920F7">
        <w:rPr>
          <w:snapToGrid w:val="0"/>
          <w:kern w:val="22"/>
          <w:szCs w:val="22"/>
        </w:rPr>
        <w:t xml:space="preserve"> sixth national reports, by 31 December 2018;</w:t>
      </w:r>
    </w:p>
    <w:p w:rsidR="001952D2" w:rsidRPr="00E156E4" w:rsidRDefault="001952D2" w:rsidP="00FB4478">
      <w:pPr>
        <w:keepNext/>
        <w:suppressLineNumbers/>
        <w:tabs>
          <w:tab w:val="left" w:pos="1080"/>
        </w:tabs>
        <w:suppressAutoHyphens/>
        <w:kinsoku w:val="0"/>
        <w:overflowPunct w:val="0"/>
        <w:autoSpaceDE w:val="0"/>
        <w:autoSpaceDN w:val="0"/>
        <w:adjustRightInd w:val="0"/>
        <w:snapToGrid w:val="0"/>
        <w:spacing w:line="238" w:lineRule="auto"/>
        <w:ind w:left="720"/>
        <w:jc w:val="center"/>
        <w:rPr>
          <w:b/>
          <w:snapToGrid w:val="0"/>
          <w:kern w:val="22"/>
          <w:szCs w:val="22"/>
        </w:rPr>
      </w:pPr>
      <w:r w:rsidRPr="00E156E4">
        <w:rPr>
          <w:b/>
          <w:snapToGrid w:val="0"/>
          <w:kern w:val="22"/>
          <w:szCs w:val="22"/>
        </w:rPr>
        <w:t>B.</w:t>
      </w:r>
      <w:r w:rsidRPr="00E156E4">
        <w:rPr>
          <w:b/>
          <w:snapToGrid w:val="0"/>
          <w:kern w:val="22"/>
          <w:szCs w:val="22"/>
        </w:rPr>
        <w:tab/>
        <w:t>Capacity-building and technical support</w:t>
      </w:r>
    </w:p>
    <w:p w:rsidR="00063D6D" w:rsidRPr="0035727B"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E156E4">
        <w:rPr>
          <w:snapToGrid w:val="0"/>
          <w:kern w:val="22"/>
          <w:szCs w:val="22"/>
        </w:rPr>
        <w:t>4.</w:t>
      </w:r>
      <w:r w:rsidRPr="00E156E4">
        <w:rPr>
          <w:snapToGrid w:val="0"/>
          <w:kern w:val="22"/>
          <w:szCs w:val="22"/>
        </w:rPr>
        <w:tab/>
      </w:r>
      <w:r w:rsidRPr="00E156E4">
        <w:rPr>
          <w:i/>
          <w:snapToGrid w:val="0"/>
          <w:kern w:val="22"/>
          <w:szCs w:val="22"/>
        </w:rPr>
        <w:t>Welcomes</w:t>
      </w:r>
      <w:r w:rsidRPr="00E156E4">
        <w:rPr>
          <w:snapToGrid w:val="0"/>
          <w:kern w:val="22"/>
          <w:szCs w:val="22"/>
        </w:rPr>
        <w:t xml:space="preserve"> the work of relevant organizations and initiatives, including the Biodiversity Finance Initiative of the United Nations Development Programme, to provide t</w:t>
      </w:r>
      <w:r w:rsidRPr="00465D1D">
        <w:rPr>
          <w:snapToGrid w:val="0"/>
          <w:kern w:val="22"/>
          <w:szCs w:val="22"/>
        </w:rPr>
        <w:t>echnical support and capacity</w:t>
      </w:r>
      <w:r w:rsidRPr="00465D1D">
        <w:rPr>
          <w:snapToGrid w:val="0"/>
          <w:kern w:val="22"/>
          <w:szCs w:val="22"/>
        </w:rPr>
        <w:noBreakHyphen/>
        <w:t xml:space="preserve">building for interested developing country Parties, in particular the least developed </w:t>
      </w:r>
      <w:r w:rsidRPr="00FB37BA">
        <w:rPr>
          <w:snapToGrid w:val="0"/>
          <w:kern w:val="22"/>
          <w:szCs w:val="22"/>
        </w:rPr>
        <w:t>countries and small island developing States, as well as countries with economies in transition,</w:t>
      </w:r>
      <w:r w:rsidR="009205A7" w:rsidRPr="00FB37BA">
        <w:t xml:space="preserve"> </w:t>
      </w:r>
      <w:r w:rsidR="00466C9F">
        <w:t>including</w:t>
      </w:r>
      <w:r w:rsidR="0009276D" w:rsidRPr="00FB37BA">
        <w:rPr>
          <w:snapToGrid w:val="0"/>
          <w:kern w:val="22"/>
          <w:szCs w:val="22"/>
        </w:rPr>
        <w:t xml:space="preserve"> </w:t>
      </w:r>
      <w:r w:rsidR="00FB37BA">
        <w:rPr>
          <w:snapToGrid w:val="0"/>
          <w:kern w:val="22"/>
          <w:szCs w:val="22"/>
        </w:rPr>
        <w:t>i</w:t>
      </w:r>
      <w:r w:rsidR="009205A7" w:rsidRPr="00FB37BA">
        <w:rPr>
          <w:snapToGrid w:val="0"/>
          <w:kern w:val="22"/>
          <w:szCs w:val="22"/>
        </w:rPr>
        <w:t xml:space="preserve">ndigenous </w:t>
      </w:r>
      <w:r w:rsidR="00FB37BA">
        <w:rPr>
          <w:snapToGrid w:val="0"/>
          <w:kern w:val="22"/>
          <w:szCs w:val="22"/>
        </w:rPr>
        <w:t>p</w:t>
      </w:r>
      <w:r w:rsidR="009205A7" w:rsidRPr="00FB37BA">
        <w:rPr>
          <w:snapToGrid w:val="0"/>
          <w:kern w:val="22"/>
          <w:szCs w:val="22"/>
        </w:rPr>
        <w:t xml:space="preserve">eoples and </w:t>
      </w:r>
      <w:r w:rsidR="00FB37BA">
        <w:rPr>
          <w:snapToGrid w:val="0"/>
          <w:kern w:val="22"/>
          <w:szCs w:val="22"/>
        </w:rPr>
        <w:t>l</w:t>
      </w:r>
      <w:r w:rsidR="009205A7" w:rsidRPr="00FB37BA">
        <w:rPr>
          <w:snapToGrid w:val="0"/>
          <w:kern w:val="22"/>
          <w:szCs w:val="22"/>
        </w:rPr>
        <w:t xml:space="preserve">ocal </w:t>
      </w:r>
      <w:r w:rsidR="00FB37BA">
        <w:rPr>
          <w:snapToGrid w:val="0"/>
          <w:kern w:val="22"/>
          <w:szCs w:val="22"/>
        </w:rPr>
        <w:t>c</w:t>
      </w:r>
      <w:r w:rsidR="009205A7" w:rsidRPr="00FB37BA">
        <w:rPr>
          <w:snapToGrid w:val="0"/>
          <w:kern w:val="22"/>
          <w:szCs w:val="22"/>
        </w:rPr>
        <w:t xml:space="preserve">ommunities </w:t>
      </w:r>
      <w:r w:rsidR="00466C9F">
        <w:rPr>
          <w:snapToGrid w:val="0"/>
          <w:kern w:val="22"/>
          <w:szCs w:val="22"/>
        </w:rPr>
        <w:t xml:space="preserve">and other relevant stakeholders </w:t>
      </w:r>
      <w:r w:rsidR="009205A7" w:rsidRPr="00FB37BA">
        <w:rPr>
          <w:snapToGrid w:val="0"/>
          <w:kern w:val="22"/>
          <w:szCs w:val="22"/>
        </w:rPr>
        <w:t>within those countries,</w:t>
      </w:r>
      <w:r w:rsidRPr="00FB37BA">
        <w:rPr>
          <w:snapToGrid w:val="0"/>
          <w:kern w:val="22"/>
          <w:szCs w:val="22"/>
        </w:rPr>
        <w:t xml:space="preserve"> on the identification of funding needs, gaps and priorities, the development and implementation of national resource mobilization strategies, and on financial reporting, and </w:t>
      </w:r>
      <w:r w:rsidR="00466C9F">
        <w:rPr>
          <w:snapToGrid w:val="0"/>
          <w:kern w:val="22"/>
          <w:szCs w:val="22"/>
        </w:rPr>
        <w:t>invites</w:t>
      </w:r>
      <w:r w:rsidR="00367145" w:rsidRPr="00CD1B06">
        <w:rPr>
          <w:snapToGrid w:val="0"/>
          <w:kern w:val="22"/>
          <w:szCs w:val="22"/>
        </w:rPr>
        <w:t xml:space="preserve"> </w:t>
      </w:r>
      <w:r w:rsidR="00471C01" w:rsidRPr="00C948C7">
        <w:rPr>
          <w:snapToGrid w:val="0"/>
          <w:kern w:val="22"/>
          <w:szCs w:val="22"/>
        </w:rPr>
        <w:t xml:space="preserve">the </w:t>
      </w:r>
      <w:r w:rsidR="00943749" w:rsidRPr="00E156E4">
        <w:rPr>
          <w:snapToGrid w:val="0"/>
          <w:kern w:val="22"/>
          <w:szCs w:val="22"/>
        </w:rPr>
        <w:t>Biodiversity Finance</w:t>
      </w:r>
      <w:r w:rsidR="00943749" w:rsidRPr="00C948C7" w:rsidDel="00943749">
        <w:rPr>
          <w:snapToGrid w:val="0"/>
          <w:kern w:val="22"/>
          <w:szCs w:val="22"/>
        </w:rPr>
        <w:t xml:space="preserve"> </w:t>
      </w:r>
      <w:r w:rsidR="00367145" w:rsidRPr="00C948C7">
        <w:rPr>
          <w:snapToGrid w:val="0"/>
          <w:kern w:val="22"/>
          <w:szCs w:val="22"/>
        </w:rPr>
        <w:t xml:space="preserve">Initiative </w:t>
      </w:r>
      <w:r w:rsidR="00367145" w:rsidRPr="00A94593">
        <w:rPr>
          <w:snapToGrid w:val="0"/>
          <w:kern w:val="22"/>
          <w:szCs w:val="22"/>
        </w:rPr>
        <w:t>and similar program</w:t>
      </w:r>
      <w:r w:rsidR="00471C01" w:rsidRPr="00A94593">
        <w:rPr>
          <w:snapToGrid w:val="0"/>
          <w:kern w:val="22"/>
          <w:szCs w:val="22"/>
        </w:rPr>
        <w:t>me</w:t>
      </w:r>
      <w:r w:rsidR="00367145" w:rsidRPr="00A94593">
        <w:rPr>
          <w:snapToGrid w:val="0"/>
          <w:kern w:val="22"/>
          <w:szCs w:val="22"/>
        </w:rPr>
        <w:t>s</w:t>
      </w:r>
      <w:r w:rsidR="00471C01" w:rsidRPr="00A94593">
        <w:rPr>
          <w:snapToGrid w:val="0"/>
          <w:kern w:val="22"/>
          <w:szCs w:val="22"/>
        </w:rPr>
        <w:t xml:space="preserve"> or </w:t>
      </w:r>
      <w:r w:rsidR="00367145" w:rsidRPr="0035727B">
        <w:rPr>
          <w:snapToGrid w:val="0"/>
          <w:kern w:val="22"/>
          <w:szCs w:val="22"/>
        </w:rPr>
        <w:t xml:space="preserve">initiatives to </w:t>
      </w:r>
      <w:r w:rsidR="00466C9F">
        <w:rPr>
          <w:snapToGrid w:val="0"/>
          <w:kern w:val="22"/>
          <w:szCs w:val="22"/>
        </w:rPr>
        <w:t xml:space="preserve">further </w:t>
      </w:r>
      <w:r w:rsidR="00367145" w:rsidRPr="0035727B">
        <w:rPr>
          <w:snapToGrid w:val="0"/>
          <w:kern w:val="22"/>
          <w:szCs w:val="22"/>
        </w:rPr>
        <w:t>provi</w:t>
      </w:r>
      <w:r w:rsidR="00466C9F">
        <w:rPr>
          <w:snapToGrid w:val="0"/>
          <w:kern w:val="22"/>
          <w:szCs w:val="22"/>
        </w:rPr>
        <w:t>de</w:t>
      </w:r>
      <w:r w:rsidR="00367145" w:rsidRPr="0035727B">
        <w:rPr>
          <w:snapToGrid w:val="0"/>
          <w:kern w:val="22"/>
          <w:szCs w:val="22"/>
        </w:rPr>
        <w:t xml:space="preserve"> </w:t>
      </w:r>
      <w:r w:rsidR="00442687">
        <w:rPr>
          <w:snapToGrid w:val="0"/>
          <w:kern w:val="22"/>
          <w:szCs w:val="22"/>
        </w:rPr>
        <w:t xml:space="preserve">financial and </w:t>
      </w:r>
      <w:r w:rsidR="00367145" w:rsidRPr="0035727B">
        <w:rPr>
          <w:snapToGrid w:val="0"/>
          <w:kern w:val="22"/>
          <w:szCs w:val="22"/>
        </w:rPr>
        <w:t>technical support and capacity-building for interested developing country Parties to participate in the initiative;</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35727B">
        <w:rPr>
          <w:snapToGrid w:val="0"/>
          <w:kern w:val="22"/>
          <w:szCs w:val="22"/>
        </w:rPr>
        <w:t>5.</w:t>
      </w:r>
      <w:r w:rsidRPr="0035727B">
        <w:rPr>
          <w:snapToGrid w:val="0"/>
          <w:kern w:val="22"/>
          <w:szCs w:val="22"/>
        </w:rPr>
        <w:tab/>
      </w:r>
      <w:r w:rsidR="0056403F">
        <w:rPr>
          <w:i/>
          <w:snapToGrid w:val="0"/>
          <w:kern w:val="22"/>
          <w:szCs w:val="22"/>
        </w:rPr>
        <w:t xml:space="preserve">Invites </w:t>
      </w:r>
      <w:r w:rsidRPr="0035727B">
        <w:rPr>
          <w:snapToGrid w:val="0"/>
          <w:kern w:val="22"/>
          <w:szCs w:val="22"/>
        </w:rPr>
        <w:t>Parties</w:t>
      </w:r>
      <w:r w:rsidR="00466C9F">
        <w:rPr>
          <w:snapToGrid w:val="0"/>
          <w:kern w:val="22"/>
          <w:szCs w:val="22"/>
        </w:rPr>
        <w:t xml:space="preserve"> and </w:t>
      </w:r>
      <w:r w:rsidRPr="0035727B">
        <w:rPr>
          <w:snapToGrid w:val="0"/>
          <w:kern w:val="22"/>
          <w:szCs w:val="22"/>
        </w:rPr>
        <w:t>other Governments and donors</w:t>
      </w:r>
      <w:r w:rsidR="0025552C">
        <w:rPr>
          <w:snapToGrid w:val="0"/>
          <w:kern w:val="22"/>
          <w:szCs w:val="22"/>
        </w:rPr>
        <w:t>,</w:t>
      </w:r>
      <w:r w:rsidR="00466C9F">
        <w:rPr>
          <w:snapToGrid w:val="0"/>
          <w:kern w:val="22"/>
          <w:szCs w:val="22"/>
        </w:rPr>
        <w:t xml:space="preserve"> in accordance with their capabilities</w:t>
      </w:r>
      <w:r w:rsidR="0025552C">
        <w:rPr>
          <w:snapToGrid w:val="0"/>
          <w:kern w:val="22"/>
          <w:szCs w:val="22"/>
        </w:rPr>
        <w:t>,</w:t>
      </w:r>
      <w:r w:rsidRPr="0035727B">
        <w:rPr>
          <w:snapToGrid w:val="0"/>
          <w:kern w:val="22"/>
          <w:szCs w:val="22"/>
        </w:rPr>
        <w:t xml:space="preserve"> to provide financial </w:t>
      </w:r>
      <w:r w:rsidR="00466C9F">
        <w:rPr>
          <w:snapToGrid w:val="0"/>
          <w:kern w:val="22"/>
          <w:szCs w:val="22"/>
        </w:rPr>
        <w:t xml:space="preserve">resources in accordance with </w:t>
      </w:r>
      <w:r w:rsidR="0025552C">
        <w:rPr>
          <w:snapToGrid w:val="0"/>
          <w:kern w:val="22"/>
          <w:szCs w:val="22"/>
        </w:rPr>
        <w:t>A</w:t>
      </w:r>
      <w:r w:rsidR="00466C9F">
        <w:rPr>
          <w:snapToGrid w:val="0"/>
          <w:kern w:val="22"/>
          <w:szCs w:val="22"/>
        </w:rPr>
        <w:t>rticle 20</w:t>
      </w:r>
      <w:r w:rsidR="00F3422E">
        <w:rPr>
          <w:snapToGrid w:val="0"/>
          <w:kern w:val="22"/>
          <w:szCs w:val="22"/>
        </w:rPr>
        <w:t xml:space="preserve"> of the Convention</w:t>
      </w:r>
      <w:r w:rsidR="00466C9F">
        <w:rPr>
          <w:snapToGrid w:val="0"/>
          <w:kern w:val="22"/>
          <w:szCs w:val="22"/>
        </w:rPr>
        <w:t xml:space="preserve"> </w:t>
      </w:r>
      <w:r w:rsidR="00881DE1">
        <w:rPr>
          <w:snapToGrid w:val="0"/>
          <w:kern w:val="22"/>
          <w:szCs w:val="22"/>
        </w:rPr>
        <w:t xml:space="preserve">for </w:t>
      </w:r>
      <w:r w:rsidRPr="0035727B">
        <w:rPr>
          <w:snapToGrid w:val="0"/>
          <w:kern w:val="22"/>
          <w:szCs w:val="22"/>
        </w:rPr>
        <w:t>capacity-building and technical</w:t>
      </w:r>
      <w:r w:rsidR="00F3422E">
        <w:rPr>
          <w:snapToGrid w:val="0"/>
          <w:kern w:val="22"/>
          <w:szCs w:val="22"/>
        </w:rPr>
        <w:t xml:space="preserve"> assistance</w:t>
      </w:r>
      <w:r w:rsidRPr="0035727B">
        <w:rPr>
          <w:snapToGrid w:val="0"/>
          <w:kern w:val="22"/>
          <w:szCs w:val="22"/>
        </w:rPr>
        <w:t xml:space="preserve"> </w:t>
      </w:r>
      <w:r w:rsidR="00F3422E">
        <w:rPr>
          <w:snapToGrid w:val="0"/>
          <w:kern w:val="22"/>
          <w:szCs w:val="22"/>
        </w:rPr>
        <w:t>as well as to facilitate technology transfer</w:t>
      </w:r>
      <w:r w:rsidRPr="0035727B">
        <w:rPr>
          <w:snapToGrid w:val="0"/>
          <w:kern w:val="22"/>
          <w:szCs w:val="22"/>
        </w:rPr>
        <w:t>;</w:t>
      </w:r>
    </w:p>
    <w:p w:rsidR="001952D2" w:rsidRPr="00CE5095"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35727B">
        <w:rPr>
          <w:snapToGrid w:val="0"/>
          <w:kern w:val="22"/>
          <w:szCs w:val="22"/>
        </w:rPr>
        <w:t>6.</w:t>
      </w:r>
      <w:r w:rsidRPr="0035727B">
        <w:rPr>
          <w:snapToGrid w:val="0"/>
          <w:kern w:val="22"/>
          <w:szCs w:val="22"/>
        </w:rPr>
        <w:tab/>
      </w:r>
      <w:r w:rsidRPr="0035727B">
        <w:rPr>
          <w:i/>
          <w:snapToGrid w:val="0"/>
          <w:kern w:val="22"/>
          <w:szCs w:val="22"/>
        </w:rPr>
        <w:t>Takes note</w:t>
      </w:r>
      <w:r w:rsidRPr="0035727B">
        <w:rPr>
          <w:snapToGrid w:val="0"/>
          <w:kern w:val="22"/>
          <w:szCs w:val="22"/>
        </w:rPr>
        <w:t xml:space="preserve"> of the work undertaken by the Development Assistance Committee of the Organi</w:t>
      </w:r>
      <w:r w:rsidR="00C948C7">
        <w:rPr>
          <w:snapToGrid w:val="0"/>
          <w:kern w:val="22"/>
          <w:szCs w:val="22"/>
        </w:rPr>
        <w:t>z</w:t>
      </w:r>
      <w:r w:rsidRPr="00C948C7">
        <w:rPr>
          <w:snapToGrid w:val="0"/>
          <w:kern w:val="22"/>
          <w:szCs w:val="22"/>
        </w:rPr>
        <w:t>ation for Economic Cooperation and Development to refine the Rio marker methodology,</w:t>
      </w:r>
      <w:r w:rsidR="000E0AD3" w:rsidRPr="00C948C7">
        <w:t xml:space="preserve"> </w:t>
      </w:r>
      <w:r w:rsidR="000E0AD3" w:rsidRPr="00C948C7">
        <w:rPr>
          <w:snapToGrid w:val="0"/>
          <w:kern w:val="22"/>
          <w:szCs w:val="22"/>
        </w:rPr>
        <w:t xml:space="preserve">and the work of the Environmental Policy Committee of the </w:t>
      </w:r>
      <w:r w:rsidR="00C948C7">
        <w:rPr>
          <w:snapToGrid w:val="0"/>
          <w:kern w:val="22"/>
          <w:szCs w:val="22"/>
        </w:rPr>
        <w:t>Organization</w:t>
      </w:r>
      <w:r w:rsidR="00C948C7" w:rsidRPr="00C948C7">
        <w:rPr>
          <w:snapToGrid w:val="0"/>
          <w:kern w:val="22"/>
          <w:szCs w:val="22"/>
        </w:rPr>
        <w:t xml:space="preserve"> </w:t>
      </w:r>
      <w:r w:rsidR="000E0AD3" w:rsidRPr="00C948C7">
        <w:rPr>
          <w:snapToGrid w:val="0"/>
          <w:kern w:val="22"/>
          <w:szCs w:val="22"/>
        </w:rPr>
        <w:t>to track economic instruments and the finance they mobili</w:t>
      </w:r>
      <w:r w:rsidR="005D6C6B">
        <w:rPr>
          <w:snapToGrid w:val="0"/>
          <w:kern w:val="22"/>
          <w:szCs w:val="22"/>
        </w:rPr>
        <w:t>z</w:t>
      </w:r>
      <w:r w:rsidR="000E0AD3" w:rsidRPr="00C948C7">
        <w:rPr>
          <w:snapToGrid w:val="0"/>
          <w:kern w:val="22"/>
          <w:szCs w:val="22"/>
        </w:rPr>
        <w:t xml:space="preserve">e, and invites the </w:t>
      </w:r>
      <w:r w:rsidR="00C948C7">
        <w:rPr>
          <w:snapToGrid w:val="0"/>
          <w:kern w:val="22"/>
          <w:szCs w:val="22"/>
        </w:rPr>
        <w:t>Organization</w:t>
      </w:r>
      <w:r w:rsidR="00C948C7" w:rsidRPr="00C948C7">
        <w:rPr>
          <w:snapToGrid w:val="0"/>
          <w:kern w:val="22"/>
          <w:szCs w:val="22"/>
        </w:rPr>
        <w:t xml:space="preserve"> </w:t>
      </w:r>
      <w:r w:rsidR="000E0AD3" w:rsidRPr="00C948C7">
        <w:rPr>
          <w:snapToGrid w:val="0"/>
          <w:kern w:val="22"/>
          <w:szCs w:val="22"/>
        </w:rPr>
        <w:t>to continue and further intensify this work</w:t>
      </w:r>
      <w:r w:rsidR="00CE5095">
        <w:rPr>
          <w:snapToGrid w:val="0"/>
          <w:kern w:val="22"/>
          <w:szCs w:val="22"/>
        </w:rPr>
        <w:t>;</w:t>
      </w:r>
    </w:p>
    <w:p w:rsidR="001952D2" w:rsidRPr="005D6C6B" w:rsidRDefault="001952D2" w:rsidP="00FB4478">
      <w:pPr>
        <w:keepNext/>
        <w:suppressLineNumbers/>
        <w:tabs>
          <w:tab w:val="left" w:pos="1080"/>
        </w:tabs>
        <w:suppressAutoHyphens/>
        <w:kinsoku w:val="0"/>
        <w:overflowPunct w:val="0"/>
        <w:autoSpaceDE w:val="0"/>
        <w:autoSpaceDN w:val="0"/>
        <w:adjustRightInd w:val="0"/>
        <w:snapToGrid w:val="0"/>
        <w:spacing w:line="238" w:lineRule="auto"/>
        <w:ind w:left="720"/>
        <w:jc w:val="center"/>
        <w:rPr>
          <w:b/>
          <w:snapToGrid w:val="0"/>
          <w:kern w:val="22"/>
          <w:szCs w:val="22"/>
        </w:rPr>
      </w:pPr>
      <w:r w:rsidRPr="00FF6E2F">
        <w:rPr>
          <w:b/>
          <w:snapToGrid w:val="0"/>
          <w:kern w:val="22"/>
          <w:szCs w:val="22"/>
        </w:rPr>
        <w:t>C.</w:t>
      </w:r>
      <w:r w:rsidRPr="00FF6E2F">
        <w:rPr>
          <w:b/>
          <w:snapToGrid w:val="0"/>
          <w:kern w:val="22"/>
          <w:szCs w:val="22"/>
        </w:rPr>
        <w:tab/>
        <w:t>Milestones for the full implementation of Aichi Biodiversity Target</w:t>
      </w:r>
      <w:r w:rsidRPr="004D07BC">
        <w:rPr>
          <w:b/>
          <w:snapToGrid w:val="0"/>
          <w:kern w:val="22"/>
          <w:szCs w:val="22"/>
        </w:rPr>
        <w:t> </w:t>
      </w:r>
      <w:r w:rsidRPr="005D6C6B">
        <w:rPr>
          <w:b/>
          <w:snapToGrid w:val="0"/>
          <w:kern w:val="22"/>
          <w:szCs w:val="22"/>
        </w:rPr>
        <w:t>3</w:t>
      </w:r>
    </w:p>
    <w:p w:rsidR="001952D2" w:rsidRPr="00B56DB0"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5D6C6B">
        <w:rPr>
          <w:snapToGrid w:val="0"/>
          <w:kern w:val="22"/>
          <w:szCs w:val="22"/>
        </w:rPr>
        <w:t>7</w:t>
      </w:r>
      <w:r w:rsidRPr="009A1F66">
        <w:rPr>
          <w:snapToGrid w:val="0"/>
          <w:kern w:val="22"/>
          <w:szCs w:val="22"/>
        </w:rPr>
        <w:t>.</w:t>
      </w:r>
      <w:r w:rsidRPr="009A1F66">
        <w:rPr>
          <w:snapToGrid w:val="0"/>
          <w:kern w:val="22"/>
          <w:szCs w:val="22"/>
        </w:rPr>
        <w:tab/>
      </w:r>
      <w:r w:rsidRPr="009A1F66">
        <w:rPr>
          <w:i/>
          <w:snapToGrid w:val="0"/>
          <w:kern w:val="22"/>
          <w:szCs w:val="22"/>
        </w:rPr>
        <w:t>Recognizes</w:t>
      </w:r>
      <w:r w:rsidRPr="009A1F66">
        <w:rPr>
          <w:snapToGrid w:val="0"/>
          <w:kern w:val="22"/>
          <w:szCs w:val="22"/>
        </w:rPr>
        <w:t xml:space="preserve"> the potential contribution of implementing Aichi Biodiversity Target</w:t>
      </w:r>
      <w:r w:rsidRPr="00507B6E">
        <w:rPr>
          <w:snapToGrid w:val="0"/>
          <w:kern w:val="22"/>
          <w:szCs w:val="22"/>
        </w:rPr>
        <w:t xml:space="preserve"> 3 for the mobilization of </w:t>
      </w:r>
      <w:r w:rsidRPr="00B56DB0">
        <w:rPr>
          <w:snapToGrid w:val="0"/>
          <w:kern w:val="22"/>
          <w:szCs w:val="22"/>
        </w:rPr>
        <w:t>financial resources</w:t>
      </w:r>
      <w:r w:rsidR="00466C9F">
        <w:rPr>
          <w:snapToGrid w:val="0"/>
          <w:kern w:val="22"/>
          <w:szCs w:val="22"/>
        </w:rPr>
        <w:t xml:space="preserve"> from all sources</w:t>
      </w:r>
      <w:r w:rsidRPr="00B56DB0">
        <w:rPr>
          <w:snapToGrid w:val="0"/>
          <w:kern w:val="22"/>
          <w:szCs w:val="22"/>
        </w:rPr>
        <w:t>;</w:t>
      </w:r>
    </w:p>
    <w:p w:rsidR="001952D2" w:rsidRPr="0035727B"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231140">
        <w:rPr>
          <w:snapToGrid w:val="0"/>
          <w:kern w:val="22"/>
          <w:szCs w:val="22"/>
        </w:rPr>
        <w:t>8</w:t>
      </w:r>
      <w:r w:rsidRPr="00BA6CCC">
        <w:rPr>
          <w:snapToGrid w:val="0"/>
          <w:kern w:val="22"/>
          <w:szCs w:val="22"/>
        </w:rPr>
        <w:t>.</w:t>
      </w:r>
      <w:r w:rsidRPr="00BA6CCC">
        <w:rPr>
          <w:snapToGrid w:val="0"/>
          <w:kern w:val="22"/>
          <w:szCs w:val="22"/>
        </w:rPr>
        <w:tab/>
      </w:r>
      <w:r w:rsidRPr="005D210F">
        <w:rPr>
          <w:i/>
          <w:snapToGrid w:val="0"/>
          <w:kern w:val="22"/>
          <w:szCs w:val="22"/>
        </w:rPr>
        <w:t xml:space="preserve">Notes </w:t>
      </w:r>
      <w:r w:rsidR="005B27DA">
        <w:rPr>
          <w:i/>
          <w:snapToGrid w:val="0"/>
          <w:kern w:val="22"/>
          <w:szCs w:val="22"/>
        </w:rPr>
        <w:t xml:space="preserve">with concern </w:t>
      </w:r>
      <w:r w:rsidRPr="005D210F">
        <w:rPr>
          <w:snapToGrid w:val="0"/>
          <w:kern w:val="22"/>
          <w:szCs w:val="22"/>
        </w:rPr>
        <w:t xml:space="preserve">the limited progress made in </w:t>
      </w:r>
      <w:r w:rsidRPr="00A94593">
        <w:rPr>
          <w:snapToGrid w:val="0"/>
          <w:kern w:val="22"/>
          <w:szCs w:val="22"/>
        </w:rPr>
        <w:t>implementing Ai</w:t>
      </w:r>
      <w:r w:rsidRPr="0035727B">
        <w:rPr>
          <w:snapToGrid w:val="0"/>
          <w:kern w:val="22"/>
          <w:szCs w:val="22"/>
        </w:rPr>
        <w:t>chi Biodiversity Target 3 and the milestones for its implementation, in particular on the elimination, phase out, or reform of incentives, including subsidies, that are harmful for biodiversity, consistent and in harmony with the Convention and other relevant international obligations, taking into account national socioeconomic conditions;</w:t>
      </w:r>
    </w:p>
    <w:p w:rsidR="001952D2" w:rsidRPr="00EA3919"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35727B">
        <w:rPr>
          <w:snapToGrid w:val="0"/>
          <w:kern w:val="22"/>
          <w:szCs w:val="22"/>
        </w:rPr>
        <w:t>9.</w:t>
      </w:r>
      <w:r w:rsidRPr="0035727B">
        <w:rPr>
          <w:snapToGrid w:val="0"/>
          <w:kern w:val="22"/>
          <w:szCs w:val="22"/>
        </w:rPr>
        <w:tab/>
      </w:r>
      <w:r w:rsidR="00670952" w:rsidRPr="0035727B">
        <w:rPr>
          <w:i/>
          <w:snapToGrid w:val="0"/>
          <w:kern w:val="22"/>
          <w:szCs w:val="22"/>
        </w:rPr>
        <w:t>Encourages</w:t>
      </w:r>
      <w:r w:rsidR="00670952" w:rsidRPr="0035727B">
        <w:rPr>
          <w:snapToGrid w:val="0"/>
          <w:kern w:val="22"/>
          <w:szCs w:val="22"/>
        </w:rPr>
        <w:t xml:space="preserve"> </w:t>
      </w:r>
      <w:r w:rsidRPr="0035727B">
        <w:rPr>
          <w:snapToGrid w:val="0"/>
          <w:kern w:val="22"/>
          <w:szCs w:val="22"/>
        </w:rPr>
        <w:t>Parties and other Governments to intensify their efforts to implement measures for the full implementation of Aichi Biodiversity Target 3, taking into account, as a flexible framework, the milestones adopted by the Conference of the Parties at its twelfth meeting,</w:t>
      </w:r>
      <w:r w:rsidRPr="0035727B">
        <w:rPr>
          <w:rStyle w:val="FootnoteReference"/>
          <w:snapToGrid w:val="0"/>
          <w:kern w:val="22"/>
          <w:szCs w:val="22"/>
        </w:rPr>
        <w:footnoteReference w:id="2"/>
      </w:r>
      <w:r w:rsidRPr="0035727B">
        <w:rPr>
          <w:snapToGrid w:val="0"/>
          <w:kern w:val="22"/>
          <w:szCs w:val="22"/>
        </w:rPr>
        <w:t xml:space="preserve"> consistent and in harmony with the Convention and other relevant international obligations, and taking into account national socioe</w:t>
      </w:r>
      <w:r w:rsidRPr="00EA3919">
        <w:rPr>
          <w:snapToGrid w:val="0"/>
          <w:kern w:val="22"/>
          <w:szCs w:val="22"/>
        </w:rPr>
        <w:t>conomic conditions;</w:t>
      </w:r>
    </w:p>
    <w:p w:rsidR="001952D2" w:rsidRPr="00E156E4"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EA3919">
        <w:rPr>
          <w:snapToGrid w:val="0"/>
          <w:kern w:val="22"/>
          <w:szCs w:val="22"/>
        </w:rPr>
        <w:t>1</w:t>
      </w:r>
      <w:r w:rsidRPr="00D920F7">
        <w:rPr>
          <w:snapToGrid w:val="0"/>
          <w:kern w:val="22"/>
          <w:szCs w:val="22"/>
        </w:rPr>
        <w:t>0.</w:t>
      </w:r>
      <w:r w:rsidRPr="00D920F7">
        <w:rPr>
          <w:snapToGrid w:val="0"/>
          <w:kern w:val="22"/>
          <w:szCs w:val="22"/>
        </w:rPr>
        <w:tab/>
      </w:r>
      <w:r w:rsidRPr="00D920F7">
        <w:rPr>
          <w:i/>
          <w:snapToGrid w:val="0"/>
          <w:kern w:val="22"/>
          <w:szCs w:val="22"/>
        </w:rPr>
        <w:t>Welcomes</w:t>
      </w:r>
      <w:r w:rsidRPr="00D920F7">
        <w:rPr>
          <w:snapToGrid w:val="0"/>
          <w:kern w:val="22"/>
          <w:szCs w:val="22"/>
        </w:rPr>
        <w:t xml:space="preserve"> the work of relevant organizations and initiatives, including the Biodiversity Finance Initiative of the United Nations Development Programme, the United Nations Environment Programme, the Organization for Economic Cooperat</w:t>
      </w:r>
      <w:r w:rsidRPr="00E156E4">
        <w:rPr>
          <w:snapToGrid w:val="0"/>
          <w:kern w:val="22"/>
          <w:szCs w:val="22"/>
        </w:rPr>
        <w:t>ion and Development, the International Institute for Sustainable Development, and other partners, to provide analytical and technical support and capacity-building to the implementation of Aichi Biodiversity Target 3, and invites them to continue and further intensify this work;</w:t>
      </w:r>
    </w:p>
    <w:p w:rsidR="00985EB0" w:rsidRPr="00231140"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E156E4">
        <w:rPr>
          <w:snapToGrid w:val="0"/>
          <w:kern w:val="22"/>
          <w:szCs w:val="22"/>
        </w:rPr>
        <w:t>11</w:t>
      </w:r>
      <w:r w:rsidRPr="001D3213">
        <w:rPr>
          <w:snapToGrid w:val="0"/>
          <w:kern w:val="22"/>
          <w:szCs w:val="22"/>
        </w:rPr>
        <w:t>.</w:t>
      </w:r>
      <w:r w:rsidRPr="001D3213">
        <w:rPr>
          <w:snapToGrid w:val="0"/>
          <w:kern w:val="22"/>
          <w:szCs w:val="22"/>
        </w:rPr>
        <w:tab/>
      </w:r>
      <w:r w:rsidRPr="001D3213">
        <w:rPr>
          <w:i/>
          <w:snapToGrid w:val="0"/>
          <w:kern w:val="22"/>
          <w:szCs w:val="22"/>
        </w:rPr>
        <w:t>Notes</w:t>
      </w:r>
      <w:r w:rsidRPr="001D3213">
        <w:rPr>
          <w:snapToGrid w:val="0"/>
          <w:kern w:val="22"/>
          <w:szCs w:val="22"/>
        </w:rPr>
        <w:t xml:space="preserve"> the useful role of national studies to identify harmful incentives and opportunities for removal or reform of harmful incentives, including subsidies, and in scoping and identifying the most effective policy action, </w:t>
      </w:r>
      <w:r w:rsidRPr="00465D1D">
        <w:rPr>
          <w:i/>
          <w:snapToGrid w:val="0"/>
          <w:kern w:val="22"/>
          <w:szCs w:val="22"/>
        </w:rPr>
        <w:t>invites</w:t>
      </w:r>
      <w:r w:rsidRPr="00CE5095">
        <w:rPr>
          <w:snapToGrid w:val="0"/>
          <w:kern w:val="22"/>
          <w:szCs w:val="22"/>
        </w:rPr>
        <w:t xml:space="preserve"> interested organizations, such as the organizations and initiatives mentioned in the previous paragraph, to consider undertaking a systematic compilation and analysis of existing studies with a view to identifying good-practice methods for identify</w:t>
      </w:r>
      <w:r w:rsidRPr="00B56DB0">
        <w:rPr>
          <w:snapToGrid w:val="0"/>
          <w:kern w:val="22"/>
          <w:szCs w:val="22"/>
        </w:rPr>
        <w:t>ing harmful incentives and developing appropriate policy responses, and develop a standard or template for such standards as voluntary guidance;</w:t>
      </w:r>
    </w:p>
    <w:p w:rsidR="00947A1B" w:rsidRPr="0035727B" w:rsidRDefault="001952D2"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231140">
        <w:rPr>
          <w:snapToGrid w:val="0"/>
          <w:kern w:val="22"/>
          <w:szCs w:val="22"/>
        </w:rPr>
        <w:t>12.</w:t>
      </w:r>
      <w:r w:rsidRPr="00231140">
        <w:rPr>
          <w:snapToGrid w:val="0"/>
          <w:kern w:val="22"/>
          <w:szCs w:val="22"/>
        </w:rPr>
        <w:tab/>
      </w:r>
      <w:r w:rsidRPr="00231140">
        <w:rPr>
          <w:i/>
          <w:snapToGrid w:val="0"/>
          <w:kern w:val="22"/>
          <w:szCs w:val="22"/>
        </w:rPr>
        <w:t>Requests</w:t>
      </w:r>
      <w:r w:rsidRPr="00231140">
        <w:rPr>
          <w:snapToGrid w:val="0"/>
          <w:kern w:val="22"/>
          <w:szCs w:val="22"/>
        </w:rPr>
        <w:t xml:space="preserve"> the Executive Secretary, subject to the availability of resources, </w:t>
      </w:r>
      <w:r w:rsidR="00367145" w:rsidRPr="00231140">
        <w:rPr>
          <w:snapToGrid w:val="0"/>
          <w:kern w:val="22"/>
          <w:szCs w:val="22"/>
        </w:rPr>
        <w:t xml:space="preserve">to actively engage with </w:t>
      </w:r>
      <w:r w:rsidR="00367145" w:rsidRPr="0035727B">
        <w:rPr>
          <w:snapToGrid w:val="0"/>
          <w:kern w:val="22"/>
          <w:szCs w:val="22"/>
        </w:rPr>
        <w:t>partners facilitating</w:t>
      </w:r>
      <w:r w:rsidRPr="0035727B">
        <w:rPr>
          <w:snapToGrid w:val="0"/>
          <w:kern w:val="22"/>
          <w:szCs w:val="22"/>
        </w:rPr>
        <w:t xml:space="preserve"> the work referred to in paragraphs 4, 10 and 11 above</w:t>
      </w:r>
      <w:r w:rsidR="00947A1B" w:rsidRPr="0035727B">
        <w:rPr>
          <w:snapToGrid w:val="0"/>
          <w:kern w:val="22"/>
          <w:szCs w:val="22"/>
        </w:rPr>
        <w:t>;</w:t>
      </w:r>
    </w:p>
    <w:p w:rsidR="00C57E93" w:rsidRPr="0035727B" w:rsidRDefault="00C57E93" w:rsidP="00FB4478">
      <w:pPr>
        <w:keepNext/>
        <w:suppressLineNumbers/>
        <w:tabs>
          <w:tab w:val="left" w:pos="1080"/>
        </w:tabs>
        <w:suppressAutoHyphens/>
        <w:kinsoku w:val="0"/>
        <w:overflowPunct w:val="0"/>
        <w:autoSpaceDE w:val="0"/>
        <w:autoSpaceDN w:val="0"/>
        <w:adjustRightInd w:val="0"/>
        <w:snapToGrid w:val="0"/>
        <w:spacing w:line="238" w:lineRule="auto"/>
        <w:ind w:left="720"/>
        <w:jc w:val="center"/>
        <w:rPr>
          <w:b/>
          <w:snapToGrid w:val="0"/>
          <w:kern w:val="22"/>
          <w:szCs w:val="22"/>
        </w:rPr>
      </w:pPr>
      <w:r w:rsidRPr="0035727B">
        <w:rPr>
          <w:b/>
          <w:snapToGrid w:val="0"/>
          <w:kern w:val="22"/>
          <w:szCs w:val="22"/>
        </w:rPr>
        <w:t>B.</w:t>
      </w:r>
      <w:r w:rsidRPr="0035727B">
        <w:rPr>
          <w:b/>
          <w:snapToGrid w:val="0"/>
          <w:kern w:val="22"/>
          <w:szCs w:val="22"/>
        </w:rPr>
        <w:tab/>
        <w:t>Resource mobilization component of the post-2020 biodiversity framework</w:t>
      </w:r>
    </w:p>
    <w:p w:rsidR="006F0F6D" w:rsidRPr="00231140" w:rsidRDefault="00985EB0"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35727B">
        <w:rPr>
          <w:snapToGrid w:val="0"/>
          <w:kern w:val="22"/>
          <w:szCs w:val="22"/>
        </w:rPr>
        <w:t>13</w:t>
      </w:r>
      <w:r w:rsidR="006F0F6D" w:rsidRPr="0035727B">
        <w:rPr>
          <w:snapToGrid w:val="0"/>
          <w:kern w:val="22"/>
          <w:szCs w:val="22"/>
        </w:rPr>
        <w:t>.</w:t>
      </w:r>
      <w:r w:rsidR="006F0F6D" w:rsidRPr="0035727B">
        <w:rPr>
          <w:snapToGrid w:val="0"/>
          <w:kern w:val="22"/>
          <w:szCs w:val="22"/>
        </w:rPr>
        <w:tab/>
      </w:r>
      <w:r w:rsidR="00063D6D" w:rsidRPr="0035727B">
        <w:rPr>
          <w:i/>
          <w:snapToGrid w:val="0"/>
          <w:kern w:val="22"/>
          <w:szCs w:val="22"/>
        </w:rPr>
        <w:t>Affirms</w:t>
      </w:r>
      <w:r w:rsidR="00C57E93" w:rsidRPr="0035727B">
        <w:rPr>
          <w:snapToGrid w:val="0"/>
          <w:kern w:val="22"/>
          <w:szCs w:val="22"/>
        </w:rPr>
        <w:t xml:space="preserve"> </w:t>
      </w:r>
      <w:r w:rsidR="00063D6D" w:rsidRPr="0035727B">
        <w:rPr>
          <w:snapToGrid w:val="0"/>
          <w:kern w:val="22"/>
          <w:szCs w:val="22"/>
        </w:rPr>
        <w:t>that</w:t>
      </w:r>
      <w:r w:rsidR="006F0F6D" w:rsidRPr="0035727B">
        <w:rPr>
          <w:snapToGrid w:val="0"/>
          <w:kern w:val="22"/>
          <w:szCs w:val="22"/>
        </w:rPr>
        <w:t xml:space="preserve"> resource mobilization </w:t>
      </w:r>
      <w:r w:rsidR="00063D6D" w:rsidRPr="0035727B">
        <w:rPr>
          <w:snapToGrid w:val="0"/>
          <w:kern w:val="22"/>
          <w:szCs w:val="22"/>
        </w:rPr>
        <w:t xml:space="preserve">will be an integral part of </w:t>
      </w:r>
      <w:r w:rsidR="006F0F6D" w:rsidRPr="0035727B">
        <w:rPr>
          <w:snapToGrid w:val="0"/>
          <w:kern w:val="22"/>
          <w:szCs w:val="22"/>
        </w:rPr>
        <w:t xml:space="preserve">the </w:t>
      </w:r>
      <w:r w:rsidR="00C57E93" w:rsidRPr="0035727B">
        <w:rPr>
          <w:snapToGrid w:val="0"/>
          <w:kern w:val="22"/>
          <w:szCs w:val="22"/>
        </w:rPr>
        <w:t xml:space="preserve">post-2020 </w:t>
      </w:r>
      <w:r w:rsidR="00063D6D" w:rsidRPr="0035727B">
        <w:rPr>
          <w:snapToGrid w:val="0"/>
          <w:kern w:val="22"/>
          <w:szCs w:val="22"/>
        </w:rPr>
        <w:t xml:space="preserve">global </w:t>
      </w:r>
      <w:r w:rsidR="00C57E93" w:rsidRPr="0035727B">
        <w:rPr>
          <w:snapToGrid w:val="0"/>
          <w:kern w:val="22"/>
          <w:szCs w:val="22"/>
        </w:rPr>
        <w:t xml:space="preserve">biodiversity </w:t>
      </w:r>
      <w:r w:rsidR="006F0F6D" w:rsidRPr="0035727B">
        <w:rPr>
          <w:snapToGrid w:val="0"/>
          <w:kern w:val="22"/>
          <w:szCs w:val="22"/>
        </w:rPr>
        <w:t xml:space="preserve">framework </w:t>
      </w:r>
      <w:r w:rsidR="00063D6D" w:rsidRPr="0035727B">
        <w:rPr>
          <w:snapToGrid w:val="0"/>
          <w:kern w:val="22"/>
          <w:szCs w:val="22"/>
        </w:rPr>
        <w:t xml:space="preserve">to be adopted </w:t>
      </w:r>
      <w:r w:rsidR="00231140">
        <w:rPr>
          <w:snapToGrid w:val="0"/>
          <w:kern w:val="22"/>
          <w:szCs w:val="22"/>
        </w:rPr>
        <w:t xml:space="preserve">by </w:t>
      </w:r>
      <w:r w:rsidR="00BF6336" w:rsidRPr="00231140">
        <w:rPr>
          <w:snapToGrid w:val="0"/>
          <w:kern w:val="22"/>
          <w:szCs w:val="22"/>
        </w:rPr>
        <w:t>the Conference of the Parties to the Convention</w:t>
      </w:r>
      <w:r w:rsidR="00063D6D" w:rsidRPr="00231140">
        <w:rPr>
          <w:snapToGrid w:val="0"/>
          <w:kern w:val="22"/>
          <w:szCs w:val="22"/>
        </w:rPr>
        <w:t xml:space="preserve"> </w:t>
      </w:r>
      <w:r w:rsidR="00231140" w:rsidRPr="0043551F">
        <w:rPr>
          <w:snapToGrid w:val="0"/>
          <w:kern w:val="22"/>
          <w:szCs w:val="22"/>
        </w:rPr>
        <w:t xml:space="preserve">at </w:t>
      </w:r>
      <w:r w:rsidR="00231140">
        <w:rPr>
          <w:snapToGrid w:val="0"/>
          <w:kern w:val="22"/>
          <w:szCs w:val="22"/>
        </w:rPr>
        <w:t>its fifteenth meeting,</w:t>
      </w:r>
      <w:r w:rsidR="00231140" w:rsidRPr="00231140">
        <w:rPr>
          <w:snapToGrid w:val="0"/>
          <w:kern w:val="22"/>
          <w:szCs w:val="22"/>
        </w:rPr>
        <w:t xml:space="preserve"> </w:t>
      </w:r>
      <w:r w:rsidR="00063D6D" w:rsidRPr="00231140">
        <w:rPr>
          <w:snapToGrid w:val="0"/>
          <w:kern w:val="22"/>
          <w:szCs w:val="22"/>
        </w:rPr>
        <w:t xml:space="preserve">and </w:t>
      </w:r>
      <w:r w:rsidR="00063D6D" w:rsidRPr="00B514E4">
        <w:rPr>
          <w:i/>
          <w:iCs/>
          <w:snapToGrid w:val="0"/>
          <w:kern w:val="22"/>
          <w:szCs w:val="22"/>
        </w:rPr>
        <w:t>decides</w:t>
      </w:r>
      <w:r w:rsidR="00063D6D" w:rsidRPr="00231140">
        <w:rPr>
          <w:snapToGrid w:val="0"/>
          <w:kern w:val="22"/>
          <w:szCs w:val="22"/>
        </w:rPr>
        <w:t xml:space="preserve"> to</w:t>
      </w:r>
      <w:r w:rsidRPr="00231140">
        <w:rPr>
          <w:snapToGrid w:val="0"/>
          <w:kern w:val="22"/>
          <w:szCs w:val="22"/>
        </w:rPr>
        <w:t xml:space="preserve"> initiate preparations on this component at an early stage</w:t>
      </w:r>
      <w:r w:rsidR="00063D6D" w:rsidRPr="00231140">
        <w:rPr>
          <w:snapToGrid w:val="0"/>
          <w:kern w:val="22"/>
          <w:szCs w:val="22"/>
        </w:rPr>
        <w:t xml:space="preserve"> in the process of developing the framework</w:t>
      </w:r>
      <w:r w:rsidR="00CC1F8B">
        <w:rPr>
          <w:snapToGrid w:val="0"/>
          <w:kern w:val="22"/>
          <w:szCs w:val="22"/>
        </w:rPr>
        <w:t xml:space="preserve">, in full coherence and coordination with the overall process for the post-2020 framework as agreed in </w:t>
      </w:r>
      <w:r w:rsidR="009522FD" w:rsidRPr="00124AFB">
        <w:rPr>
          <w:snapToGrid w:val="0"/>
          <w:kern w:val="22"/>
          <w:szCs w:val="22"/>
        </w:rPr>
        <w:t xml:space="preserve">decision </w:t>
      </w:r>
      <w:r w:rsidR="00110C83">
        <w:rPr>
          <w:snapToGrid w:val="0"/>
          <w:kern w:val="22"/>
          <w:szCs w:val="22"/>
        </w:rPr>
        <w:t>14</w:t>
      </w:r>
      <w:r w:rsidR="009522FD" w:rsidRPr="00124AFB">
        <w:rPr>
          <w:snapToGrid w:val="0"/>
          <w:kern w:val="22"/>
          <w:szCs w:val="22"/>
        </w:rPr>
        <w:t>/--</w:t>
      </w:r>
      <w:r w:rsidR="00372F9C" w:rsidRPr="009522FD">
        <w:rPr>
          <w:snapToGrid w:val="0"/>
          <w:kern w:val="22"/>
          <w:szCs w:val="22"/>
        </w:rPr>
        <w:t>;</w:t>
      </w:r>
    </w:p>
    <w:p w:rsidR="006F0F6D" w:rsidRPr="00B514E4" w:rsidRDefault="00985EB0" w:rsidP="00FB4478">
      <w:pPr>
        <w:suppressLineNumbers/>
        <w:suppressAutoHyphens/>
        <w:kinsoku w:val="0"/>
        <w:overflowPunct w:val="0"/>
        <w:autoSpaceDE w:val="0"/>
        <w:autoSpaceDN w:val="0"/>
        <w:adjustRightInd w:val="0"/>
        <w:snapToGrid w:val="0"/>
        <w:spacing w:before="120" w:after="120" w:line="238" w:lineRule="auto"/>
        <w:ind w:left="720" w:firstLine="720"/>
        <w:rPr>
          <w:snapToGrid w:val="0"/>
          <w:spacing w:val="-1"/>
          <w:kern w:val="22"/>
          <w:szCs w:val="22"/>
        </w:rPr>
      </w:pPr>
      <w:r w:rsidRPr="00B514E4">
        <w:rPr>
          <w:snapToGrid w:val="0"/>
          <w:spacing w:val="-1"/>
          <w:kern w:val="22"/>
          <w:szCs w:val="22"/>
        </w:rPr>
        <w:t>14</w:t>
      </w:r>
      <w:r w:rsidR="00BF6336" w:rsidRPr="00B514E4">
        <w:rPr>
          <w:snapToGrid w:val="0"/>
          <w:spacing w:val="-1"/>
          <w:kern w:val="22"/>
          <w:szCs w:val="22"/>
        </w:rPr>
        <w:t>.</w:t>
      </w:r>
      <w:r w:rsidR="00AD2D64" w:rsidRPr="00B514E4">
        <w:rPr>
          <w:snapToGrid w:val="0"/>
          <w:spacing w:val="-1"/>
          <w:kern w:val="22"/>
          <w:szCs w:val="22"/>
        </w:rPr>
        <w:tab/>
      </w:r>
      <w:r w:rsidR="00AD2D64" w:rsidRPr="00B514E4">
        <w:rPr>
          <w:i/>
          <w:snapToGrid w:val="0"/>
          <w:spacing w:val="-1"/>
          <w:kern w:val="22"/>
          <w:szCs w:val="22"/>
        </w:rPr>
        <w:t>Requests</w:t>
      </w:r>
      <w:r w:rsidR="00AD2D64" w:rsidRPr="00B514E4">
        <w:rPr>
          <w:snapToGrid w:val="0"/>
          <w:spacing w:val="-1"/>
          <w:kern w:val="22"/>
          <w:szCs w:val="22"/>
        </w:rPr>
        <w:t xml:space="preserve"> the Executive Secretary to explore options and approaches for </w:t>
      </w:r>
      <w:r w:rsidR="00992278">
        <w:rPr>
          <w:snapToGrid w:val="0"/>
          <w:spacing w:val="-1"/>
          <w:kern w:val="22"/>
          <w:szCs w:val="22"/>
        </w:rPr>
        <w:t xml:space="preserve">mobilizing </w:t>
      </w:r>
      <w:r w:rsidR="00AD2D64" w:rsidRPr="00B514E4">
        <w:rPr>
          <w:snapToGrid w:val="0"/>
          <w:spacing w:val="-1"/>
          <w:kern w:val="22"/>
          <w:szCs w:val="22"/>
        </w:rPr>
        <w:t xml:space="preserve">additional resources </w:t>
      </w:r>
      <w:r w:rsidR="00BB6791">
        <w:rPr>
          <w:snapToGrid w:val="0"/>
          <w:spacing w:val="-1"/>
          <w:kern w:val="22"/>
          <w:szCs w:val="22"/>
        </w:rPr>
        <w:t xml:space="preserve">from all sources </w:t>
      </w:r>
      <w:r w:rsidR="00AD2D64" w:rsidRPr="00B514E4">
        <w:rPr>
          <w:snapToGrid w:val="0"/>
          <w:spacing w:val="-1"/>
          <w:kern w:val="22"/>
          <w:szCs w:val="22"/>
        </w:rPr>
        <w:t xml:space="preserve">to support Parties in their work to implement </w:t>
      </w:r>
      <w:r w:rsidR="00CC7257" w:rsidRPr="00B514E4">
        <w:rPr>
          <w:snapToGrid w:val="0"/>
          <w:spacing w:val="-1"/>
          <w:kern w:val="22"/>
          <w:szCs w:val="22"/>
        </w:rPr>
        <w:t>the</w:t>
      </w:r>
      <w:r w:rsidR="008916C3" w:rsidRPr="00B514E4">
        <w:rPr>
          <w:snapToGrid w:val="0"/>
          <w:spacing w:val="-1"/>
          <w:kern w:val="22"/>
          <w:szCs w:val="22"/>
        </w:rPr>
        <w:t xml:space="preserve"> </w:t>
      </w:r>
      <w:r w:rsidR="00AD2D64" w:rsidRPr="00B514E4">
        <w:rPr>
          <w:snapToGrid w:val="0"/>
          <w:spacing w:val="-1"/>
          <w:kern w:val="22"/>
          <w:szCs w:val="22"/>
        </w:rPr>
        <w:t xml:space="preserve">post-2020 biodiversity framework and </w:t>
      </w:r>
      <w:r w:rsidR="00992278">
        <w:rPr>
          <w:snapToGrid w:val="0"/>
          <w:spacing w:val="-1"/>
          <w:kern w:val="22"/>
          <w:szCs w:val="22"/>
        </w:rPr>
        <w:t xml:space="preserve">to build on the experiences in implementing </w:t>
      </w:r>
      <w:r w:rsidR="00CC7257" w:rsidRPr="00B514E4">
        <w:rPr>
          <w:snapToGrid w:val="0"/>
          <w:spacing w:val="-1"/>
          <w:kern w:val="22"/>
          <w:szCs w:val="22"/>
        </w:rPr>
        <w:t>the Strategy for R</w:t>
      </w:r>
      <w:r w:rsidR="00AD2D64" w:rsidRPr="00B514E4">
        <w:rPr>
          <w:snapToGrid w:val="0"/>
          <w:spacing w:val="-1"/>
          <w:kern w:val="22"/>
          <w:szCs w:val="22"/>
        </w:rPr>
        <w:t xml:space="preserve">esource </w:t>
      </w:r>
      <w:r w:rsidR="00CC7257" w:rsidRPr="00B514E4">
        <w:rPr>
          <w:snapToGrid w:val="0"/>
          <w:spacing w:val="-1"/>
          <w:kern w:val="22"/>
          <w:szCs w:val="22"/>
        </w:rPr>
        <w:t>M</w:t>
      </w:r>
      <w:r w:rsidR="00AD2D64" w:rsidRPr="00B514E4">
        <w:rPr>
          <w:snapToGrid w:val="0"/>
          <w:spacing w:val="-1"/>
          <w:kern w:val="22"/>
          <w:szCs w:val="22"/>
        </w:rPr>
        <w:t>obilization</w:t>
      </w:r>
      <w:r w:rsidR="00CC7257" w:rsidRPr="00B514E4">
        <w:rPr>
          <w:snapToGrid w:val="0"/>
          <w:spacing w:val="-1"/>
          <w:kern w:val="22"/>
          <w:szCs w:val="22"/>
        </w:rPr>
        <w:t>,</w:t>
      </w:r>
      <w:r w:rsidR="00CC7257" w:rsidRPr="00B514E4">
        <w:rPr>
          <w:rStyle w:val="FootnoteReference"/>
          <w:snapToGrid w:val="0"/>
          <w:spacing w:val="-1"/>
          <w:kern w:val="22"/>
          <w:szCs w:val="22"/>
        </w:rPr>
        <w:footnoteReference w:id="3"/>
      </w:r>
      <w:r w:rsidR="00CC7257" w:rsidRPr="00B514E4">
        <w:rPr>
          <w:snapToGrid w:val="0"/>
          <w:spacing w:val="-1"/>
          <w:kern w:val="22"/>
          <w:szCs w:val="22"/>
        </w:rPr>
        <w:t xml:space="preserve"> </w:t>
      </w:r>
      <w:r w:rsidR="00063D6D" w:rsidRPr="00B514E4">
        <w:rPr>
          <w:snapToGrid w:val="0"/>
          <w:spacing w:val="-1"/>
          <w:kern w:val="22"/>
          <w:szCs w:val="22"/>
        </w:rPr>
        <w:t xml:space="preserve">to inform the consultations in the preparatory process for the post-2020 global biodiversity framework </w:t>
      </w:r>
      <w:r w:rsidR="00AD2D64" w:rsidRPr="00B514E4">
        <w:rPr>
          <w:snapToGrid w:val="0"/>
          <w:spacing w:val="-1"/>
          <w:kern w:val="22"/>
          <w:szCs w:val="22"/>
        </w:rPr>
        <w:t xml:space="preserve">and </w:t>
      </w:r>
      <w:r w:rsidR="00CC7257" w:rsidRPr="00B514E4">
        <w:rPr>
          <w:snapToGrid w:val="0"/>
          <w:spacing w:val="-1"/>
          <w:kern w:val="22"/>
          <w:szCs w:val="22"/>
        </w:rPr>
        <w:t>to report to the Subsidiary Body on Implementation</w:t>
      </w:r>
      <w:r w:rsidR="00561753" w:rsidRPr="00B514E4">
        <w:rPr>
          <w:snapToGrid w:val="0"/>
          <w:spacing w:val="-1"/>
          <w:kern w:val="22"/>
          <w:szCs w:val="22"/>
        </w:rPr>
        <w:t xml:space="preserve"> at its third meeting</w:t>
      </w:r>
      <w:r w:rsidR="00CC7257" w:rsidRPr="00B514E4">
        <w:rPr>
          <w:snapToGrid w:val="0"/>
          <w:spacing w:val="-1"/>
          <w:kern w:val="22"/>
          <w:szCs w:val="22"/>
        </w:rPr>
        <w:t>.</w:t>
      </w:r>
      <w:r w:rsidR="003E5782">
        <w:rPr>
          <w:snapToGrid w:val="0"/>
          <w:spacing w:val="-1"/>
          <w:kern w:val="22"/>
          <w:szCs w:val="22"/>
        </w:rPr>
        <w:t xml:space="preserve"> </w:t>
      </w:r>
    </w:p>
    <w:p w:rsidR="00B3369F" w:rsidRPr="00D920F7" w:rsidRDefault="001952D2" w:rsidP="00FB4478">
      <w:pPr>
        <w:suppressLineNumbers/>
        <w:suppressAutoHyphens/>
        <w:kinsoku w:val="0"/>
        <w:overflowPunct w:val="0"/>
        <w:autoSpaceDE w:val="0"/>
        <w:autoSpaceDN w:val="0"/>
        <w:adjustRightInd w:val="0"/>
        <w:snapToGrid w:val="0"/>
        <w:spacing w:before="120" w:after="120" w:line="238" w:lineRule="auto"/>
        <w:jc w:val="center"/>
      </w:pPr>
      <w:r w:rsidRPr="00D920F7">
        <w:rPr>
          <w:kern w:val="22"/>
          <w:szCs w:val="22"/>
        </w:rPr>
        <w:t>__________</w:t>
      </w:r>
    </w:p>
    <w:sectPr w:rsidR="00B3369F" w:rsidRPr="00D920F7" w:rsidSect="00B514E4">
      <w:headerReference w:type="even" r:id="rId13"/>
      <w:headerReference w:type="default" r:id="rId14"/>
      <w:footerReference w:type="even"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FFD" w:rsidRDefault="00341FFD" w:rsidP="00CF1848">
      <w:r>
        <w:separator/>
      </w:r>
    </w:p>
  </w:endnote>
  <w:endnote w:type="continuationSeparator" w:id="0">
    <w:p w:rsidR="00341FFD" w:rsidRDefault="00341FF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213" w:rsidRDefault="001D3213" w:rsidP="00B514E4">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FFD" w:rsidRDefault="00341FFD" w:rsidP="00CF1848">
      <w:r>
        <w:separator/>
      </w:r>
    </w:p>
  </w:footnote>
  <w:footnote w:type="continuationSeparator" w:id="0">
    <w:p w:rsidR="00341FFD" w:rsidRDefault="00341FFD" w:rsidP="00CF1848">
      <w:r>
        <w:continuationSeparator/>
      </w:r>
    </w:p>
  </w:footnote>
  <w:footnote w:id="1">
    <w:p w:rsidR="001952D2" w:rsidRPr="00B514E4" w:rsidRDefault="001952D2" w:rsidP="00D920F7">
      <w:pPr>
        <w:pStyle w:val="FootnoteText"/>
        <w:suppressLineNumbers/>
        <w:suppressAutoHyphens/>
        <w:kinsoku w:val="0"/>
        <w:overflowPunct w:val="0"/>
        <w:autoSpaceDE w:val="0"/>
        <w:autoSpaceDN w:val="0"/>
        <w:ind w:firstLine="0"/>
        <w:jc w:val="left"/>
        <w:rPr>
          <w:snapToGrid w:val="0"/>
          <w:kern w:val="18"/>
          <w:szCs w:val="18"/>
        </w:rPr>
      </w:pPr>
      <w:r w:rsidRPr="00B514E4">
        <w:rPr>
          <w:rStyle w:val="FootnoteReference"/>
          <w:snapToGrid w:val="0"/>
          <w:kern w:val="18"/>
          <w:sz w:val="18"/>
          <w:szCs w:val="18"/>
        </w:rPr>
        <w:footnoteRef/>
      </w:r>
      <w:r w:rsidRPr="00B514E4">
        <w:rPr>
          <w:snapToGrid w:val="0"/>
          <w:kern w:val="18"/>
          <w:szCs w:val="18"/>
        </w:rPr>
        <w:t xml:space="preserve"> </w:t>
      </w:r>
      <w:hyperlink r:id="rId1" w:history="1">
        <w:r w:rsidRPr="00F54FED">
          <w:rPr>
            <w:rStyle w:val="Hyperlink"/>
            <w:snapToGrid w:val="0"/>
            <w:kern w:val="18"/>
            <w:szCs w:val="18"/>
          </w:rPr>
          <w:t>CBD/SBI/2/7/Add.1</w:t>
        </w:r>
      </w:hyperlink>
      <w:r w:rsidRPr="00B514E4">
        <w:rPr>
          <w:snapToGrid w:val="0"/>
          <w:kern w:val="18"/>
          <w:szCs w:val="18"/>
        </w:rPr>
        <w:t>.</w:t>
      </w:r>
    </w:p>
  </w:footnote>
  <w:footnote w:id="2">
    <w:p w:rsidR="001952D2" w:rsidRPr="00B514E4" w:rsidRDefault="001952D2" w:rsidP="00B514E4">
      <w:pPr>
        <w:pStyle w:val="FootnoteText"/>
        <w:suppressLineNumbers/>
        <w:suppressAutoHyphens/>
        <w:kinsoku w:val="0"/>
        <w:overflowPunct w:val="0"/>
        <w:autoSpaceDE w:val="0"/>
        <w:autoSpaceDN w:val="0"/>
        <w:ind w:firstLine="0"/>
        <w:jc w:val="left"/>
        <w:rPr>
          <w:snapToGrid w:val="0"/>
          <w:kern w:val="18"/>
          <w:szCs w:val="18"/>
        </w:rPr>
      </w:pPr>
      <w:r w:rsidRPr="00B514E4">
        <w:rPr>
          <w:rStyle w:val="FootnoteReference"/>
          <w:snapToGrid w:val="0"/>
          <w:kern w:val="18"/>
          <w:sz w:val="18"/>
          <w:szCs w:val="18"/>
        </w:rPr>
        <w:footnoteRef/>
      </w:r>
      <w:r w:rsidRPr="00B514E4">
        <w:rPr>
          <w:snapToGrid w:val="0"/>
          <w:kern w:val="18"/>
          <w:szCs w:val="18"/>
        </w:rPr>
        <w:t xml:space="preserve"> Decision </w:t>
      </w:r>
      <w:hyperlink r:id="rId2" w:history="1">
        <w:r w:rsidRPr="00B514E4">
          <w:rPr>
            <w:rStyle w:val="Hyperlink"/>
            <w:snapToGrid w:val="0"/>
            <w:kern w:val="18"/>
            <w:szCs w:val="18"/>
          </w:rPr>
          <w:t>XII/3</w:t>
        </w:r>
      </w:hyperlink>
      <w:r w:rsidRPr="00B514E4">
        <w:rPr>
          <w:snapToGrid w:val="0"/>
          <w:kern w:val="18"/>
          <w:szCs w:val="18"/>
        </w:rPr>
        <w:t>.</w:t>
      </w:r>
    </w:p>
  </w:footnote>
  <w:footnote w:id="3">
    <w:p w:rsidR="00CC7257" w:rsidRPr="00B514E4" w:rsidRDefault="00CC7257" w:rsidP="00B514E4">
      <w:pPr>
        <w:pStyle w:val="FootnoteText"/>
        <w:suppressLineNumbers/>
        <w:suppressAutoHyphens/>
        <w:kinsoku w:val="0"/>
        <w:overflowPunct w:val="0"/>
        <w:autoSpaceDE w:val="0"/>
        <w:autoSpaceDN w:val="0"/>
        <w:ind w:firstLine="0"/>
        <w:jc w:val="left"/>
        <w:rPr>
          <w:szCs w:val="18"/>
        </w:rPr>
      </w:pPr>
      <w:r w:rsidRPr="00B514E4">
        <w:rPr>
          <w:rStyle w:val="FootnoteReference"/>
          <w:sz w:val="18"/>
          <w:szCs w:val="18"/>
        </w:rPr>
        <w:footnoteRef/>
      </w:r>
      <w:r w:rsidRPr="00442687">
        <w:rPr>
          <w:szCs w:val="18"/>
        </w:rPr>
        <w:t xml:space="preserve"> </w:t>
      </w:r>
      <w:r w:rsidRPr="00B514E4">
        <w:rPr>
          <w:szCs w:val="18"/>
        </w:rPr>
        <w:t xml:space="preserve">Decision </w:t>
      </w:r>
      <w:hyperlink r:id="rId3" w:history="1">
        <w:r w:rsidRPr="004636B9">
          <w:rPr>
            <w:rStyle w:val="Hyperlink"/>
            <w:szCs w:val="18"/>
          </w:rPr>
          <w:t>IX/11</w:t>
        </w:r>
      </w:hyperlink>
      <w:r w:rsidR="000043D4">
        <w:rPr>
          <w:szCs w:val="18"/>
        </w:rPr>
        <w:t>, annex</w:t>
      </w:r>
      <w:r w:rsidRPr="00B514E4">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B514E4" w:rsidRDefault="001C46C4" w:rsidP="00B514E4">
        <w:pPr>
          <w:pStyle w:val="Header"/>
          <w:tabs>
            <w:tab w:val="clear" w:pos="4320"/>
            <w:tab w:val="clear" w:pos="8640"/>
          </w:tabs>
          <w:kinsoku w:val="0"/>
          <w:overflowPunct w:val="0"/>
          <w:autoSpaceDE w:val="0"/>
          <w:autoSpaceDN w:val="0"/>
          <w:jc w:val="left"/>
          <w:rPr>
            <w:noProof/>
            <w:kern w:val="22"/>
          </w:rPr>
        </w:pPr>
        <w:r>
          <w:rPr>
            <w:noProof/>
            <w:kern w:val="22"/>
          </w:rPr>
          <w:t>CBD/SBI/REC/2/6</w:t>
        </w:r>
      </w:p>
    </w:sdtContent>
  </w:sdt>
  <w:p w:rsidR="00534681" w:rsidRPr="00B514E4" w:rsidRDefault="00534681" w:rsidP="00B514E4">
    <w:pPr>
      <w:pStyle w:val="Header"/>
      <w:tabs>
        <w:tab w:val="clear" w:pos="4320"/>
        <w:tab w:val="clear" w:pos="8640"/>
      </w:tabs>
      <w:kinsoku w:val="0"/>
      <w:overflowPunct w:val="0"/>
      <w:autoSpaceDE w:val="0"/>
      <w:autoSpaceDN w:val="0"/>
      <w:jc w:val="left"/>
      <w:rPr>
        <w:noProof/>
        <w:kern w:val="22"/>
      </w:rPr>
    </w:pPr>
    <w:r w:rsidRPr="00B514E4">
      <w:rPr>
        <w:noProof/>
        <w:kern w:val="22"/>
      </w:rPr>
      <w:t xml:space="preserve">Page </w:t>
    </w:r>
    <w:r w:rsidRPr="00B514E4">
      <w:rPr>
        <w:noProof/>
        <w:kern w:val="22"/>
      </w:rPr>
      <w:fldChar w:fldCharType="begin"/>
    </w:r>
    <w:r w:rsidRPr="00B514E4">
      <w:rPr>
        <w:noProof/>
        <w:kern w:val="22"/>
      </w:rPr>
      <w:instrText xml:space="preserve"> PAGE   \* MERGEFORMAT </w:instrText>
    </w:r>
    <w:r w:rsidRPr="00B514E4">
      <w:rPr>
        <w:noProof/>
        <w:kern w:val="22"/>
      </w:rPr>
      <w:fldChar w:fldCharType="separate"/>
    </w:r>
    <w:r w:rsidR="00FB4478">
      <w:rPr>
        <w:noProof/>
        <w:kern w:val="22"/>
      </w:rPr>
      <w:t>2</w:t>
    </w:r>
    <w:r w:rsidRPr="00B514E4">
      <w:rPr>
        <w:noProof/>
        <w:kern w:val="22"/>
      </w:rPr>
      <w:fldChar w:fldCharType="end"/>
    </w:r>
  </w:p>
  <w:p w:rsidR="00534681" w:rsidRPr="00B514E4" w:rsidRDefault="00534681" w:rsidP="00B514E4">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B514E4" w:rsidRDefault="001C46C4" w:rsidP="00B514E4">
        <w:pPr>
          <w:pStyle w:val="Header"/>
          <w:tabs>
            <w:tab w:val="clear" w:pos="4320"/>
            <w:tab w:val="clear" w:pos="8640"/>
          </w:tabs>
          <w:kinsoku w:val="0"/>
          <w:overflowPunct w:val="0"/>
          <w:autoSpaceDE w:val="0"/>
          <w:autoSpaceDN w:val="0"/>
          <w:jc w:val="right"/>
          <w:rPr>
            <w:noProof/>
            <w:kern w:val="22"/>
          </w:rPr>
        </w:pPr>
        <w:r>
          <w:rPr>
            <w:noProof/>
            <w:kern w:val="22"/>
          </w:rPr>
          <w:t>CBD/SBI/REC/2/6</w:t>
        </w:r>
      </w:p>
    </w:sdtContent>
  </w:sdt>
  <w:p w:rsidR="009505C9" w:rsidRPr="00B514E4" w:rsidRDefault="009505C9" w:rsidP="00B514E4">
    <w:pPr>
      <w:pStyle w:val="Header"/>
      <w:tabs>
        <w:tab w:val="clear" w:pos="4320"/>
        <w:tab w:val="clear" w:pos="8640"/>
      </w:tabs>
      <w:kinsoku w:val="0"/>
      <w:overflowPunct w:val="0"/>
      <w:autoSpaceDE w:val="0"/>
      <w:autoSpaceDN w:val="0"/>
      <w:jc w:val="right"/>
      <w:rPr>
        <w:noProof/>
        <w:kern w:val="22"/>
      </w:rPr>
    </w:pPr>
    <w:r w:rsidRPr="00B514E4">
      <w:rPr>
        <w:noProof/>
        <w:kern w:val="22"/>
      </w:rPr>
      <w:t xml:space="preserve">Page </w:t>
    </w:r>
    <w:r w:rsidRPr="00B514E4">
      <w:rPr>
        <w:noProof/>
        <w:kern w:val="22"/>
      </w:rPr>
      <w:fldChar w:fldCharType="begin"/>
    </w:r>
    <w:r w:rsidRPr="00B514E4">
      <w:rPr>
        <w:noProof/>
        <w:kern w:val="22"/>
      </w:rPr>
      <w:instrText xml:space="preserve"> PAGE   \* MERGEFORMAT </w:instrText>
    </w:r>
    <w:r w:rsidRPr="00B514E4">
      <w:rPr>
        <w:noProof/>
        <w:kern w:val="22"/>
      </w:rPr>
      <w:fldChar w:fldCharType="separate"/>
    </w:r>
    <w:r w:rsidR="00FB4478">
      <w:rPr>
        <w:noProof/>
        <w:kern w:val="22"/>
      </w:rPr>
      <w:t>3</w:t>
    </w:r>
    <w:r w:rsidRPr="00B514E4">
      <w:rPr>
        <w:noProof/>
        <w:kern w:val="22"/>
      </w:rPr>
      <w:fldChar w:fldCharType="end"/>
    </w:r>
  </w:p>
  <w:p w:rsidR="009505C9" w:rsidRPr="00B514E4" w:rsidRDefault="009505C9" w:rsidP="00B514E4">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E27066"/>
    <w:multiLevelType w:val="hybridMultilevel"/>
    <w:tmpl w:val="F53C862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A21A02"/>
    <w:multiLevelType w:val="hybridMultilevel"/>
    <w:tmpl w:val="C9428D8E"/>
    <w:lvl w:ilvl="0" w:tplc="B8201B96">
      <w:numFmt w:val="bullet"/>
      <w:lvlText w:val="-"/>
      <w:lvlJc w:val="left"/>
      <w:pPr>
        <w:ind w:left="2880" w:hanging="144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388D3D6D"/>
    <w:multiLevelType w:val="hybridMultilevel"/>
    <w:tmpl w:val="69B606D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40E8B"/>
    <w:multiLevelType w:val="hybridMultilevel"/>
    <w:tmpl w:val="1CECF1B2"/>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9"/>
  </w:num>
  <w:num w:numId="5">
    <w:abstractNumId w:val="8"/>
  </w:num>
  <w:num w:numId="6">
    <w:abstractNumId w:val="0"/>
  </w:num>
  <w:num w:numId="7">
    <w:abstractNumId w:val="2"/>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1"/>
  </w:num>
  <w:num w:numId="17">
    <w:abstractNumId w:val="14"/>
  </w:num>
  <w:num w:numId="18">
    <w:abstractNumId w:val="15"/>
  </w:num>
  <w:num w:numId="19">
    <w:abstractNumId w:val="3"/>
  </w:num>
  <w:num w:numId="20">
    <w:abstractNumId w:val="12"/>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614"/>
    <w:rsid w:val="000043D4"/>
    <w:rsid w:val="00063D6D"/>
    <w:rsid w:val="0009276D"/>
    <w:rsid w:val="00095582"/>
    <w:rsid w:val="000C2048"/>
    <w:rsid w:val="000C6258"/>
    <w:rsid w:val="000E0AD3"/>
    <w:rsid w:val="000E673A"/>
    <w:rsid w:val="000F74F5"/>
    <w:rsid w:val="00105372"/>
    <w:rsid w:val="00110C83"/>
    <w:rsid w:val="00124AFB"/>
    <w:rsid w:val="00131E7A"/>
    <w:rsid w:val="00160F71"/>
    <w:rsid w:val="0016627B"/>
    <w:rsid w:val="00172AF6"/>
    <w:rsid w:val="00176CEE"/>
    <w:rsid w:val="001952D2"/>
    <w:rsid w:val="001A0240"/>
    <w:rsid w:val="001C46C4"/>
    <w:rsid w:val="001D3213"/>
    <w:rsid w:val="001F3529"/>
    <w:rsid w:val="00231140"/>
    <w:rsid w:val="002501A4"/>
    <w:rsid w:val="0025552C"/>
    <w:rsid w:val="00273A8C"/>
    <w:rsid w:val="002A3872"/>
    <w:rsid w:val="002D53A4"/>
    <w:rsid w:val="00305649"/>
    <w:rsid w:val="00341FFD"/>
    <w:rsid w:val="0035474C"/>
    <w:rsid w:val="0035727B"/>
    <w:rsid w:val="0036092B"/>
    <w:rsid w:val="00367145"/>
    <w:rsid w:val="00372F74"/>
    <w:rsid w:val="00372F9C"/>
    <w:rsid w:val="00373B9F"/>
    <w:rsid w:val="003A1B5D"/>
    <w:rsid w:val="003C2490"/>
    <w:rsid w:val="003E5782"/>
    <w:rsid w:val="003F7224"/>
    <w:rsid w:val="00405146"/>
    <w:rsid w:val="00421FFE"/>
    <w:rsid w:val="0042412C"/>
    <w:rsid w:val="00427D21"/>
    <w:rsid w:val="00442687"/>
    <w:rsid w:val="00462CF1"/>
    <w:rsid w:val="004636B9"/>
    <w:rsid w:val="004644C2"/>
    <w:rsid w:val="00465D1D"/>
    <w:rsid w:val="00466C9F"/>
    <w:rsid w:val="00467F9C"/>
    <w:rsid w:val="00471C01"/>
    <w:rsid w:val="0047686D"/>
    <w:rsid w:val="00480F96"/>
    <w:rsid w:val="004A0B50"/>
    <w:rsid w:val="004B7C43"/>
    <w:rsid w:val="004C7FDB"/>
    <w:rsid w:val="004D07BC"/>
    <w:rsid w:val="00507B6E"/>
    <w:rsid w:val="00534681"/>
    <w:rsid w:val="0053770D"/>
    <w:rsid w:val="00561753"/>
    <w:rsid w:val="0056403F"/>
    <w:rsid w:val="005B27DA"/>
    <w:rsid w:val="005D210F"/>
    <w:rsid w:val="005D6C6B"/>
    <w:rsid w:val="006122BA"/>
    <w:rsid w:val="006403CF"/>
    <w:rsid w:val="00654761"/>
    <w:rsid w:val="00670952"/>
    <w:rsid w:val="006A0F7C"/>
    <w:rsid w:val="006B2290"/>
    <w:rsid w:val="006C789B"/>
    <w:rsid w:val="006F0F6D"/>
    <w:rsid w:val="00717D88"/>
    <w:rsid w:val="00721D54"/>
    <w:rsid w:val="00727C36"/>
    <w:rsid w:val="0078346B"/>
    <w:rsid w:val="007942D3"/>
    <w:rsid w:val="007A17CF"/>
    <w:rsid w:val="007A3804"/>
    <w:rsid w:val="007B6C09"/>
    <w:rsid w:val="007D41F5"/>
    <w:rsid w:val="007E09DA"/>
    <w:rsid w:val="008178B6"/>
    <w:rsid w:val="00855EC7"/>
    <w:rsid w:val="00865B74"/>
    <w:rsid w:val="00881DE1"/>
    <w:rsid w:val="008916C3"/>
    <w:rsid w:val="008B0DD3"/>
    <w:rsid w:val="008C3198"/>
    <w:rsid w:val="0091479A"/>
    <w:rsid w:val="009205A7"/>
    <w:rsid w:val="00930BA1"/>
    <w:rsid w:val="0093169E"/>
    <w:rsid w:val="009400AD"/>
    <w:rsid w:val="00943749"/>
    <w:rsid w:val="00947A1B"/>
    <w:rsid w:val="009505C9"/>
    <w:rsid w:val="00951E27"/>
    <w:rsid w:val="009522FD"/>
    <w:rsid w:val="00985EB0"/>
    <w:rsid w:val="00986C04"/>
    <w:rsid w:val="00992278"/>
    <w:rsid w:val="009A1F66"/>
    <w:rsid w:val="009B66C4"/>
    <w:rsid w:val="009C200D"/>
    <w:rsid w:val="00A42EAC"/>
    <w:rsid w:val="00A7169C"/>
    <w:rsid w:val="00A7357E"/>
    <w:rsid w:val="00A87189"/>
    <w:rsid w:val="00A94593"/>
    <w:rsid w:val="00AC39AA"/>
    <w:rsid w:val="00AD2D64"/>
    <w:rsid w:val="00AF76F6"/>
    <w:rsid w:val="00AF7BBF"/>
    <w:rsid w:val="00B3369F"/>
    <w:rsid w:val="00B514E4"/>
    <w:rsid w:val="00B55E3C"/>
    <w:rsid w:val="00B56DB0"/>
    <w:rsid w:val="00BA6CCC"/>
    <w:rsid w:val="00BB6791"/>
    <w:rsid w:val="00BD5A2F"/>
    <w:rsid w:val="00BE2A32"/>
    <w:rsid w:val="00BF6336"/>
    <w:rsid w:val="00C220A0"/>
    <w:rsid w:val="00C57E93"/>
    <w:rsid w:val="00C71231"/>
    <w:rsid w:val="00C76779"/>
    <w:rsid w:val="00C9161D"/>
    <w:rsid w:val="00C948C7"/>
    <w:rsid w:val="00CC1F8B"/>
    <w:rsid w:val="00CC7257"/>
    <w:rsid w:val="00CD1B06"/>
    <w:rsid w:val="00CD21EA"/>
    <w:rsid w:val="00CD7F87"/>
    <w:rsid w:val="00CE5095"/>
    <w:rsid w:val="00CF1848"/>
    <w:rsid w:val="00D10B4D"/>
    <w:rsid w:val="00D12044"/>
    <w:rsid w:val="00D20F4B"/>
    <w:rsid w:val="00D301A5"/>
    <w:rsid w:val="00D30AFB"/>
    <w:rsid w:val="00D76A18"/>
    <w:rsid w:val="00D920F7"/>
    <w:rsid w:val="00DB6455"/>
    <w:rsid w:val="00DD118C"/>
    <w:rsid w:val="00E0306B"/>
    <w:rsid w:val="00E156E4"/>
    <w:rsid w:val="00E204F5"/>
    <w:rsid w:val="00E50BC3"/>
    <w:rsid w:val="00E66235"/>
    <w:rsid w:val="00E83C24"/>
    <w:rsid w:val="00E9318D"/>
    <w:rsid w:val="00E93B3A"/>
    <w:rsid w:val="00EA3919"/>
    <w:rsid w:val="00EB504E"/>
    <w:rsid w:val="00F33C4E"/>
    <w:rsid w:val="00F3422E"/>
    <w:rsid w:val="00F35969"/>
    <w:rsid w:val="00F54FED"/>
    <w:rsid w:val="00F642B6"/>
    <w:rsid w:val="00F802A4"/>
    <w:rsid w:val="00F847F1"/>
    <w:rsid w:val="00F94774"/>
    <w:rsid w:val="00FB37BA"/>
    <w:rsid w:val="00FB4478"/>
    <w:rsid w:val="00FC53DB"/>
    <w:rsid w:val="00FE3267"/>
    <w:rsid w:val="00FF6E2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66F7437-1354-4721-8B00-080E592D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CommentSubject">
    <w:name w:val="annotation subject"/>
    <w:basedOn w:val="CommentText"/>
    <w:next w:val="CommentText"/>
    <w:link w:val="CommentSubjectChar"/>
    <w:uiPriority w:val="99"/>
    <w:semiHidden/>
    <w:unhideWhenUsed/>
    <w:rsid w:val="006F0F6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F0F6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051019">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03-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9/cop-09-dec-11-en.pdf" TargetMode="External"/><Relationship Id="rId2" Type="http://schemas.openxmlformats.org/officeDocument/2006/relationships/hyperlink" Target="https://www.cbd.int/doc/decisions/cop-12/cop-12-dec-03-en.pdf" TargetMode="External"/><Relationship Id="rId1" Type="http://schemas.openxmlformats.org/officeDocument/2006/relationships/hyperlink" Target="https://www.cbd.int/doc/c/45da/4d14/d4125a3b2c554b6cb8228689/sbi-02-07-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rPr>
            <w:t>Click here to enter text.</w:t>
          </w:r>
        </w:p>
      </w:docPartBody>
    </w:docPart>
    <w:docPart>
      <w:docPartPr>
        <w:name w:val="D594BA64688C448B8EFD52A0F8C8DBBF"/>
        <w:category>
          <w:name w:val="General"/>
          <w:gallery w:val="placeholder"/>
        </w:category>
        <w:types>
          <w:type w:val="bbPlcHdr"/>
        </w:types>
        <w:behaviors>
          <w:behavior w:val="content"/>
        </w:behaviors>
        <w:guid w:val="{CE6EA26C-44F3-4008-A485-3297435CB0E7}"/>
      </w:docPartPr>
      <w:docPartBody>
        <w:p w:rsidR="002D7DF7" w:rsidRDefault="00B677FA" w:rsidP="00B677FA">
          <w:pPr>
            <w:pStyle w:val="D594BA64688C448B8EFD52A0F8C8DBBF"/>
          </w:pPr>
          <w:r w:rsidRPr="00384CD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6447"/>
    <w:rsid w:val="00200ACA"/>
    <w:rsid w:val="002D7DF7"/>
    <w:rsid w:val="00421D13"/>
    <w:rsid w:val="00500A2B"/>
    <w:rsid w:val="0058288D"/>
    <w:rsid w:val="006801B3"/>
    <w:rsid w:val="00720F63"/>
    <w:rsid w:val="00775558"/>
    <w:rsid w:val="007F1B76"/>
    <w:rsid w:val="00810A55"/>
    <w:rsid w:val="008C6619"/>
    <w:rsid w:val="008D420E"/>
    <w:rsid w:val="0098642F"/>
    <w:rsid w:val="00B64962"/>
    <w:rsid w:val="00B677FA"/>
    <w:rsid w:val="00CE6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7FA"/>
    <w:rPr>
      <w:color w:val="808080"/>
    </w:rPr>
  </w:style>
  <w:style w:type="paragraph" w:customStyle="1" w:styleId="C444DEE40D7C456B82AF1A09CD132ABF">
    <w:name w:val="C444DEE40D7C456B82AF1A09CD132ABF"/>
    <w:rsid w:val="00CE6602"/>
    <w:pPr>
      <w:spacing w:after="160" w:line="259" w:lineRule="auto"/>
    </w:pPr>
  </w:style>
  <w:style w:type="paragraph" w:customStyle="1" w:styleId="D594BA64688C448B8EFD52A0F8C8DBBF">
    <w:name w:val="D594BA64688C448B8EFD52A0F8C8DBBF"/>
    <w:rsid w:val="00B677F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67808A-B105-4530-936B-52402BAE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2/6.	Resource mobilization</vt:lpstr>
    </vt:vector>
  </TitlesOfParts>
  <Company>SCBD</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Resource mobilization</dc:title>
  <dc:subject>CBD/SBI/REC/2/6</dc:subject>
  <dc:creator>SBI 2</dc:creator>
  <cp:lastModifiedBy>Orestes Plasencia</cp:lastModifiedBy>
  <cp:revision>2</cp:revision>
  <dcterms:created xsi:type="dcterms:W3CDTF">2018-07-17T19:10:00Z</dcterms:created>
  <dcterms:modified xsi:type="dcterms:W3CDTF">2018-07-17T19:10:00Z</dcterms:modified>
  <cp:contentStatus>GENERAL</cp:contentStatus>
</cp:coreProperties>
</file>