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015DF3" w:rsidRPr="00FF7527" w:rsidTr="003F1EDE">
        <w:trPr>
          <w:trHeight w:val="709"/>
        </w:trPr>
        <w:tc>
          <w:tcPr>
            <w:tcW w:w="976" w:type="dxa"/>
            <w:tcBorders>
              <w:bottom w:val="single" w:sz="12" w:space="0" w:color="auto"/>
            </w:tcBorders>
          </w:tcPr>
          <w:p w:rsidR="00015DF3" w:rsidRPr="00EC37D7" w:rsidRDefault="00015DF3" w:rsidP="001521BF">
            <w:pPr>
              <w:suppressLineNumbers/>
              <w:suppressAutoHyphens/>
              <w:kinsoku w:val="0"/>
              <w:overflowPunct w:val="0"/>
              <w:autoSpaceDE w:val="0"/>
              <w:autoSpaceDN w:val="0"/>
              <w:adjustRightInd w:val="0"/>
              <w:snapToGrid w:val="0"/>
              <w:rPr>
                <w:rFonts w:eastAsiaTheme="minorEastAsia"/>
              </w:rPr>
            </w:pPr>
            <w:bookmarkStart w:id="0" w:name="_Hlk519193753"/>
            <w:bookmarkStart w:id="1" w:name="Meeting"/>
            <w:r w:rsidRPr="00FF7527">
              <w:rPr>
                <w:rFonts w:eastAsiaTheme="minorEastAsia"/>
                <w:noProof/>
                <w:lang w:eastAsia="zh-CN"/>
              </w:rPr>
              <w:drawing>
                <wp:inline distT="0" distB="0" distL="0" distR="0" wp14:anchorId="153F54E7" wp14:editId="39A8D0D3">
                  <wp:extent cx="428625" cy="361950"/>
                  <wp:effectExtent l="0" t="0" r="9525" b="0"/>
                  <wp:docPr id="3" name="Picture 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p>
        </w:tc>
        <w:tc>
          <w:tcPr>
            <w:tcW w:w="5141" w:type="dxa"/>
            <w:tcBorders>
              <w:bottom w:val="single" w:sz="12" w:space="0" w:color="auto"/>
            </w:tcBorders>
          </w:tcPr>
          <w:p w:rsidR="00015DF3" w:rsidRPr="00EC37D7" w:rsidRDefault="00015DF3" w:rsidP="001521BF">
            <w:pPr>
              <w:suppressLineNumbers/>
              <w:suppressAutoHyphens/>
              <w:kinsoku w:val="0"/>
              <w:overflowPunct w:val="0"/>
              <w:autoSpaceDE w:val="0"/>
              <w:autoSpaceDN w:val="0"/>
              <w:adjustRightInd w:val="0"/>
              <w:snapToGrid w:val="0"/>
              <w:rPr>
                <w:rFonts w:eastAsiaTheme="minorEastAsia"/>
              </w:rPr>
            </w:pPr>
            <w:r w:rsidRPr="00FF7527">
              <w:rPr>
                <w:rFonts w:eastAsiaTheme="minorEastAsia"/>
                <w:noProof/>
                <w:lang w:eastAsia="zh-CN"/>
              </w:rPr>
              <w:drawing>
                <wp:inline distT="0" distB="0" distL="0" distR="0" wp14:anchorId="1C5FFD41" wp14:editId="29836ED9">
                  <wp:extent cx="333375" cy="390525"/>
                  <wp:effectExtent l="0" t="0" r="9525" b="9525"/>
                  <wp:docPr id="2" name="Picture 2"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 cy="390525"/>
                          </a:xfrm>
                          <a:prstGeom prst="rect">
                            <a:avLst/>
                          </a:prstGeom>
                          <a:noFill/>
                          <a:ln>
                            <a:noFill/>
                          </a:ln>
                        </pic:spPr>
                      </pic:pic>
                    </a:graphicData>
                  </a:graphic>
                </wp:inline>
              </w:drawing>
            </w:r>
          </w:p>
        </w:tc>
        <w:tc>
          <w:tcPr>
            <w:tcW w:w="4090" w:type="dxa"/>
            <w:tcBorders>
              <w:bottom w:val="single" w:sz="12" w:space="0" w:color="auto"/>
            </w:tcBorders>
          </w:tcPr>
          <w:p w:rsidR="00015DF3" w:rsidRPr="00EC37D7" w:rsidRDefault="00015DF3" w:rsidP="001521BF">
            <w:pPr>
              <w:suppressLineNumbers/>
              <w:suppressAutoHyphens/>
              <w:kinsoku w:val="0"/>
              <w:overflowPunct w:val="0"/>
              <w:autoSpaceDE w:val="0"/>
              <w:autoSpaceDN w:val="0"/>
              <w:adjustRightInd w:val="0"/>
              <w:snapToGrid w:val="0"/>
              <w:jc w:val="right"/>
              <w:rPr>
                <w:rFonts w:ascii="Arial" w:eastAsiaTheme="minorEastAsia" w:hAnsi="Arial" w:cs="Arial"/>
                <w:b/>
                <w:sz w:val="32"/>
                <w:szCs w:val="32"/>
              </w:rPr>
            </w:pPr>
            <w:r w:rsidRPr="00EC37D7">
              <w:rPr>
                <w:rFonts w:ascii="Arial" w:eastAsiaTheme="minorEastAsia" w:hAnsi="Arial" w:cs="Arial"/>
                <w:b/>
                <w:sz w:val="32"/>
                <w:szCs w:val="32"/>
              </w:rPr>
              <w:t>CBD</w:t>
            </w:r>
          </w:p>
        </w:tc>
      </w:tr>
      <w:tr w:rsidR="00015DF3" w:rsidRPr="00FF7527" w:rsidTr="003F1EDE">
        <w:tc>
          <w:tcPr>
            <w:tcW w:w="6117" w:type="dxa"/>
            <w:gridSpan w:val="2"/>
            <w:tcBorders>
              <w:top w:val="single" w:sz="12" w:space="0" w:color="auto"/>
              <w:bottom w:val="single" w:sz="36" w:space="0" w:color="auto"/>
            </w:tcBorders>
            <w:vAlign w:val="center"/>
          </w:tcPr>
          <w:p w:rsidR="00015DF3" w:rsidRPr="00EC37D7" w:rsidRDefault="00015DF3" w:rsidP="001521BF">
            <w:pPr>
              <w:suppressLineNumbers/>
              <w:suppressAutoHyphens/>
              <w:kinsoku w:val="0"/>
              <w:overflowPunct w:val="0"/>
              <w:autoSpaceDE w:val="0"/>
              <w:autoSpaceDN w:val="0"/>
              <w:adjustRightInd w:val="0"/>
              <w:snapToGrid w:val="0"/>
              <w:rPr>
                <w:rFonts w:eastAsiaTheme="minorEastAsia"/>
              </w:rPr>
            </w:pPr>
            <w:r w:rsidRPr="00FF7527">
              <w:rPr>
                <w:rFonts w:eastAsiaTheme="minorEastAsia"/>
                <w:noProof/>
                <w:lang w:eastAsia="zh-CN"/>
              </w:rPr>
              <w:drawing>
                <wp:inline distT="0" distB="0" distL="0" distR="0" wp14:anchorId="32403235" wp14:editId="63D2D7A5">
                  <wp:extent cx="2876550" cy="1076325"/>
                  <wp:effectExtent l="0" t="0" r="0" b="9525"/>
                  <wp:docPr id="1" name="Picture 1"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655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015DF3" w:rsidRPr="00EC37D7" w:rsidRDefault="00015DF3" w:rsidP="001521BF">
            <w:pPr>
              <w:suppressLineNumbers/>
              <w:suppressAutoHyphens/>
              <w:kinsoku w:val="0"/>
              <w:overflowPunct w:val="0"/>
              <w:autoSpaceDE w:val="0"/>
              <w:autoSpaceDN w:val="0"/>
              <w:adjustRightInd w:val="0"/>
              <w:snapToGrid w:val="0"/>
              <w:ind w:left="1215"/>
              <w:rPr>
                <w:rFonts w:eastAsiaTheme="minorEastAsia"/>
                <w:szCs w:val="22"/>
              </w:rPr>
            </w:pPr>
            <w:r w:rsidRPr="00EC37D7">
              <w:rPr>
                <w:rFonts w:eastAsiaTheme="minorEastAsia"/>
                <w:szCs w:val="22"/>
              </w:rPr>
              <w:t>Distr.</w:t>
            </w:r>
          </w:p>
          <w:p w:rsidR="00015DF3" w:rsidRPr="001F6518" w:rsidRDefault="00016C70" w:rsidP="001521BF">
            <w:pPr>
              <w:suppressLineNumbers/>
              <w:suppressAutoHyphens/>
              <w:kinsoku w:val="0"/>
              <w:overflowPunct w:val="0"/>
              <w:autoSpaceDE w:val="0"/>
              <w:autoSpaceDN w:val="0"/>
              <w:adjustRightInd w:val="0"/>
              <w:snapToGrid w:val="0"/>
              <w:ind w:left="1215"/>
              <w:rPr>
                <w:rFonts w:eastAsiaTheme="minorEastAsia"/>
                <w:szCs w:val="22"/>
              </w:rPr>
            </w:pPr>
            <w:r>
              <w:rPr>
                <w:rFonts w:eastAsiaTheme="minorEastAsia"/>
                <w:caps/>
                <w:szCs w:val="22"/>
              </w:rPr>
              <w:t>GENERAL</w:t>
            </w:r>
          </w:p>
          <w:p w:rsidR="00015DF3" w:rsidRPr="00FF7527" w:rsidRDefault="00015DF3" w:rsidP="001521BF">
            <w:pPr>
              <w:suppressLineNumbers/>
              <w:suppressAutoHyphens/>
              <w:kinsoku w:val="0"/>
              <w:overflowPunct w:val="0"/>
              <w:autoSpaceDE w:val="0"/>
              <w:autoSpaceDN w:val="0"/>
              <w:adjustRightInd w:val="0"/>
              <w:snapToGrid w:val="0"/>
              <w:ind w:left="1215"/>
              <w:rPr>
                <w:rFonts w:eastAsiaTheme="minorEastAsia"/>
                <w:szCs w:val="22"/>
              </w:rPr>
            </w:pPr>
          </w:p>
          <w:sdt>
            <w:sdtPr>
              <w:rPr>
                <w:rFonts w:eastAsiaTheme="minorEastAsia"/>
              </w:rPr>
              <w:alias w:val="Subject"/>
              <w:tag w:val=""/>
              <w:id w:val="1528062713"/>
              <w:placeholder>
                <w:docPart w:val="4E6D25871205480FAEA37EC2537C191B"/>
              </w:placeholder>
              <w:dataBinding w:prefixMappings="xmlns:ns0='http://purl.org/dc/elements/1.1/' xmlns:ns1='http://schemas.openxmlformats.org/package/2006/metadata/core-properties' " w:xpath="/ns1:coreProperties[1]/ns0:subject[1]" w:storeItemID="{6C3C8BC8-F283-45AE-878A-BAB7291924A1}"/>
              <w:text/>
            </w:sdtPr>
            <w:sdtEndPr/>
            <w:sdtContent>
              <w:p w:rsidR="00015DF3" w:rsidRPr="00EC37D7" w:rsidRDefault="00016C70" w:rsidP="001521BF">
                <w:pPr>
                  <w:suppressLineNumbers/>
                  <w:suppressAutoHyphens/>
                  <w:kinsoku w:val="0"/>
                  <w:overflowPunct w:val="0"/>
                  <w:autoSpaceDE w:val="0"/>
                  <w:autoSpaceDN w:val="0"/>
                  <w:adjustRightInd w:val="0"/>
                  <w:snapToGrid w:val="0"/>
                  <w:ind w:left="1215"/>
                  <w:rPr>
                    <w:rFonts w:eastAsiaTheme="minorEastAsia"/>
                    <w:szCs w:val="22"/>
                  </w:rPr>
                </w:pPr>
                <w:r>
                  <w:rPr>
                    <w:rFonts w:eastAsiaTheme="minorEastAsia"/>
                  </w:rPr>
                  <w:t>CBD/SBI/REC/2/7</w:t>
                </w:r>
              </w:p>
            </w:sdtContent>
          </w:sdt>
          <w:p w:rsidR="00015DF3" w:rsidRPr="00EC37D7" w:rsidRDefault="00015DF3" w:rsidP="001521BF">
            <w:pPr>
              <w:suppressLineNumbers/>
              <w:suppressAutoHyphens/>
              <w:kinsoku w:val="0"/>
              <w:overflowPunct w:val="0"/>
              <w:autoSpaceDE w:val="0"/>
              <w:autoSpaceDN w:val="0"/>
              <w:adjustRightInd w:val="0"/>
              <w:snapToGrid w:val="0"/>
              <w:ind w:left="1215"/>
              <w:rPr>
                <w:rFonts w:eastAsiaTheme="minorEastAsia"/>
                <w:szCs w:val="22"/>
              </w:rPr>
            </w:pPr>
            <w:r w:rsidRPr="00FF7527">
              <w:rPr>
                <w:rFonts w:eastAsiaTheme="minorEastAsia"/>
                <w:szCs w:val="22"/>
              </w:rPr>
              <w:t>1</w:t>
            </w:r>
            <w:r w:rsidR="005D498B">
              <w:rPr>
                <w:rFonts w:eastAsiaTheme="minorEastAsia"/>
                <w:szCs w:val="22"/>
              </w:rPr>
              <w:t>3</w:t>
            </w:r>
            <w:r w:rsidRPr="00FF7527">
              <w:rPr>
                <w:rFonts w:eastAsiaTheme="minorEastAsia"/>
                <w:szCs w:val="22"/>
              </w:rPr>
              <w:t xml:space="preserve"> July 2018</w:t>
            </w:r>
          </w:p>
          <w:p w:rsidR="00015DF3" w:rsidRPr="00EC37D7" w:rsidRDefault="00015DF3">
            <w:pPr>
              <w:suppressLineNumbers/>
              <w:suppressAutoHyphens/>
              <w:kinsoku w:val="0"/>
              <w:overflowPunct w:val="0"/>
              <w:autoSpaceDE w:val="0"/>
              <w:autoSpaceDN w:val="0"/>
              <w:adjustRightInd w:val="0"/>
              <w:snapToGrid w:val="0"/>
              <w:ind w:left="1215"/>
              <w:rPr>
                <w:rFonts w:eastAsiaTheme="minorEastAsia"/>
                <w:szCs w:val="22"/>
              </w:rPr>
            </w:pPr>
          </w:p>
          <w:p w:rsidR="00015DF3" w:rsidRPr="001F6518" w:rsidRDefault="00015DF3">
            <w:pPr>
              <w:suppressLineNumbers/>
              <w:suppressAutoHyphens/>
              <w:kinsoku w:val="0"/>
              <w:overflowPunct w:val="0"/>
              <w:autoSpaceDE w:val="0"/>
              <w:autoSpaceDN w:val="0"/>
              <w:adjustRightInd w:val="0"/>
              <w:snapToGrid w:val="0"/>
              <w:ind w:left="1215"/>
              <w:rPr>
                <w:rFonts w:eastAsiaTheme="minorEastAsia"/>
                <w:szCs w:val="22"/>
              </w:rPr>
            </w:pPr>
            <w:r w:rsidRPr="001F6518">
              <w:rPr>
                <w:rFonts w:eastAsiaTheme="minorEastAsia"/>
                <w:szCs w:val="22"/>
              </w:rPr>
              <w:t>ORIGINAL: ENGLISH</w:t>
            </w:r>
          </w:p>
          <w:p w:rsidR="00015DF3" w:rsidRPr="00FF7527" w:rsidRDefault="00015DF3">
            <w:pPr>
              <w:suppressLineNumbers/>
              <w:suppressAutoHyphens/>
              <w:kinsoku w:val="0"/>
              <w:overflowPunct w:val="0"/>
              <w:autoSpaceDE w:val="0"/>
              <w:autoSpaceDN w:val="0"/>
              <w:adjustRightInd w:val="0"/>
              <w:snapToGrid w:val="0"/>
              <w:rPr>
                <w:rFonts w:eastAsiaTheme="minorEastAsia"/>
              </w:rPr>
            </w:pPr>
          </w:p>
        </w:tc>
      </w:tr>
    </w:tbl>
    <w:bookmarkEnd w:id="0"/>
    <w:p w:rsidR="0042412C" w:rsidRPr="00EC37D7" w:rsidRDefault="001F0A11" w:rsidP="001521BF">
      <w:pPr>
        <w:pStyle w:val="meetingname"/>
        <w:suppressLineNumbers/>
        <w:suppressAutoHyphens/>
        <w:kinsoku w:val="0"/>
        <w:overflowPunct w:val="0"/>
        <w:autoSpaceDE w:val="0"/>
        <w:autoSpaceDN w:val="0"/>
        <w:adjustRightInd w:val="0"/>
        <w:snapToGrid w:val="0"/>
        <w:ind w:right="4590"/>
        <w:jc w:val="left"/>
        <w:rPr>
          <w:kern w:val="22"/>
        </w:rPr>
      </w:pPr>
      <w:sdt>
        <w:sdtPr>
          <w:rPr>
            <w:kern w:val="22"/>
          </w:rPr>
          <w:alias w:val="Meeting"/>
          <w:tag w:val="Meeting"/>
          <w:id w:val="1412045910"/>
          <w:placeholder>
            <w:docPart w:val="C444DEE40D7C456B82AF1A09CD132ABF"/>
          </w:placeholder>
          <w:text/>
        </w:sdtPr>
        <w:sdtEndPr/>
        <w:sdtContent>
          <w:r w:rsidR="00F802A4" w:rsidRPr="00EC37D7">
            <w:rPr>
              <w:kern w:val="22"/>
            </w:rPr>
            <w:t>SUBSIDIARY BODY ON IMPLEMENTATION</w:t>
          </w:r>
        </w:sdtContent>
      </w:sdt>
      <w:bookmarkEnd w:id="1"/>
    </w:p>
    <w:p w:rsidR="00F802A4" w:rsidRPr="00FF7527" w:rsidRDefault="00F802A4">
      <w:pPr>
        <w:suppressLineNumbers/>
        <w:suppressAutoHyphens/>
        <w:kinsoku w:val="0"/>
        <w:overflowPunct w:val="0"/>
        <w:autoSpaceDE w:val="0"/>
        <w:autoSpaceDN w:val="0"/>
        <w:adjustRightInd w:val="0"/>
        <w:snapToGrid w:val="0"/>
        <w:ind w:left="284" w:hanging="284"/>
        <w:jc w:val="left"/>
        <w:rPr>
          <w:kern w:val="22"/>
          <w:szCs w:val="22"/>
          <w:lang w:eastAsia="nb-NO"/>
        </w:rPr>
      </w:pPr>
      <w:r w:rsidRPr="00FF7527">
        <w:rPr>
          <w:kern w:val="22"/>
          <w:szCs w:val="22"/>
          <w:lang w:eastAsia="nb-NO"/>
        </w:rPr>
        <w:t>Second meeting</w:t>
      </w:r>
    </w:p>
    <w:p w:rsidR="00F802A4" w:rsidRPr="00FF7527" w:rsidRDefault="00F802A4">
      <w:pPr>
        <w:suppressLineNumbers/>
        <w:suppressAutoHyphens/>
        <w:kinsoku w:val="0"/>
        <w:overflowPunct w:val="0"/>
        <w:autoSpaceDE w:val="0"/>
        <w:autoSpaceDN w:val="0"/>
        <w:adjustRightInd w:val="0"/>
        <w:snapToGrid w:val="0"/>
        <w:ind w:left="284" w:hanging="284"/>
        <w:jc w:val="left"/>
        <w:rPr>
          <w:kern w:val="22"/>
          <w:szCs w:val="22"/>
          <w:lang w:eastAsia="nb-NO"/>
        </w:rPr>
      </w:pPr>
      <w:r w:rsidRPr="00FF7527">
        <w:rPr>
          <w:kern w:val="22"/>
          <w:szCs w:val="22"/>
          <w:lang w:eastAsia="nb-NO"/>
        </w:rPr>
        <w:t>Montreal, Canada, 9-13 July 2018</w:t>
      </w:r>
    </w:p>
    <w:p w:rsidR="00C9161D" w:rsidRDefault="00CF01E1">
      <w:pPr>
        <w:suppressLineNumbers/>
        <w:suppressAutoHyphens/>
        <w:kinsoku w:val="0"/>
        <w:overflowPunct w:val="0"/>
        <w:autoSpaceDE w:val="0"/>
        <w:autoSpaceDN w:val="0"/>
        <w:adjustRightInd w:val="0"/>
        <w:snapToGrid w:val="0"/>
        <w:rPr>
          <w:kern w:val="22"/>
        </w:rPr>
      </w:pPr>
      <w:r w:rsidRPr="00FF7527">
        <w:rPr>
          <w:kern w:val="22"/>
        </w:rPr>
        <w:t>Agenda item 9</w:t>
      </w:r>
    </w:p>
    <w:p w:rsidR="00016C70" w:rsidRDefault="00016C70">
      <w:pPr>
        <w:pStyle w:val="Heading1"/>
        <w:keepNext w:val="0"/>
        <w:suppressLineNumbers/>
        <w:suppressAutoHyphens/>
        <w:kinsoku w:val="0"/>
        <w:overflowPunct w:val="0"/>
        <w:autoSpaceDE w:val="0"/>
        <w:autoSpaceDN w:val="0"/>
        <w:adjustRightInd w:val="0"/>
        <w:snapToGrid w:val="0"/>
        <w:spacing w:after="240"/>
        <w:rPr>
          <w:szCs w:val="22"/>
        </w:rPr>
      </w:pPr>
      <w:r>
        <w:t>RECOMMENDATION ADOPTED BY THE SUBSIDIARY BODY ON IMPLEMENTATION</w:t>
      </w:r>
    </w:p>
    <w:p w:rsidR="00C9161D" w:rsidRPr="00EC37D7" w:rsidRDefault="001F0A11" w:rsidP="001F0A11">
      <w:pPr>
        <w:pStyle w:val="recommendationheader"/>
        <w:suppressLineNumbers/>
        <w:suppressAutoHyphens/>
        <w:kinsoku w:val="0"/>
        <w:overflowPunct w:val="0"/>
        <w:autoSpaceDE w:val="0"/>
        <w:autoSpaceDN w:val="0"/>
        <w:adjustRightInd w:val="0"/>
        <w:snapToGrid w:val="0"/>
      </w:pPr>
      <w:sdt>
        <w:sdtPr>
          <w:rPr>
            <w:rFonts w:eastAsia="MS Mincho"/>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016C70">
            <w:rPr>
              <w:rFonts w:eastAsia="MS Mincho"/>
            </w:rPr>
            <w:t>2/7.</w:t>
          </w:r>
          <w:r w:rsidR="00016C70">
            <w:rPr>
              <w:rFonts w:eastAsia="MS Mincho"/>
            </w:rPr>
            <w:tab/>
          </w:r>
          <w:r w:rsidR="00900EBC" w:rsidRPr="00EC37D7">
            <w:rPr>
              <w:rFonts w:eastAsia="MS Mincho"/>
            </w:rPr>
            <w:t xml:space="preserve">Review </w:t>
          </w:r>
          <w:r w:rsidR="00081C7C" w:rsidRPr="00EC37D7">
            <w:rPr>
              <w:rFonts w:eastAsia="MS Mincho"/>
            </w:rPr>
            <w:t>of</w:t>
          </w:r>
          <w:r w:rsidR="00573F16" w:rsidRPr="00EC37D7">
            <w:rPr>
              <w:rFonts w:eastAsia="MS Mincho"/>
            </w:rPr>
            <w:t xml:space="preserve"> i</w:t>
          </w:r>
          <w:r w:rsidR="00081C7C" w:rsidRPr="00EC37D7">
            <w:rPr>
              <w:rFonts w:eastAsia="MS Mincho"/>
            </w:rPr>
            <w:t xml:space="preserve">mplementation of </w:t>
          </w:r>
          <w:r w:rsidR="00900EBC" w:rsidRPr="00EC37D7">
            <w:rPr>
              <w:rFonts w:eastAsia="MS Mincho"/>
            </w:rPr>
            <w:t xml:space="preserve">the financial mechanism </w:t>
          </w:r>
          <w:r w:rsidR="00081C7C" w:rsidRPr="00EC37D7">
            <w:rPr>
              <w:rFonts w:eastAsia="MS Mincho"/>
            </w:rPr>
            <w:t>(</w:t>
          </w:r>
          <w:r w:rsidR="00900EBC" w:rsidRPr="00EC37D7">
            <w:rPr>
              <w:rFonts w:eastAsia="MS Mincho"/>
            </w:rPr>
            <w:t>Article </w:t>
          </w:r>
          <w:r w:rsidR="00081C7C" w:rsidRPr="00EC37D7">
            <w:rPr>
              <w:rFonts w:eastAsia="MS Mincho"/>
            </w:rPr>
            <w:t>21)</w:t>
          </w:r>
        </w:sdtContent>
      </w:sdt>
      <w:r w:rsidR="00105372" w:rsidRPr="00EC37D7">
        <w:t xml:space="preserve"> </w:t>
      </w:r>
    </w:p>
    <w:p w:rsidR="003C03BE" w:rsidRPr="00FF7527" w:rsidRDefault="003C03BE" w:rsidP="001521BF">
      <w:pPr>
        <w:pStyle w:val="Para1"/>
        <w:numPr>
          <w:ilvl w:val="0"/>
          <w:numId w:val="0"/>
        </w:numPr>
        <w:suppressLineNumbers/>
        <w:suppressAutoHyphens/>
        <w:kinsoku w:val="0"/>
        <w:overflowPunct w:val="0"/>
        <w:autoSpaceDE w:val="0"/>
        <w:autoSpaceDN w:val="0"/>
        <w:adjustRightInd w:val="0"/>
        <w:snapToGrid w:val="0"/>
        <w:ind w:firstLine="720"/>
        <w:rPr>
          <w:i/>
          <w:iCs/>
          <w:snapToGrid/>
          <w:kern w:val="22"/>
          <w:szCs w:val="22"/>
        </w:rPr>
      </w:pPr>
      <w:r w:rsidRPr="00FF7527">
        <w:rPr>
          <w:i/>
          <w:iCs/>
          <w:snapToGrid/>
          <w:kern w:val="22"/>
          <w:szCs w:val="22"/>
        </w:rPr>
        <w:t>The Subsidiary Body on Implementation,</w:t>
      </w:r>
    </w:p>
    <w:p w:rsidR="00081C7C" w:rsidRPr="00FF7527" w:rsidRDefault="00081C7C">
      <w:pPr>
        <w:suppressLineNumbers/>
        <w:suppressAutoHyphens/>
        <w:kinsoku w:val="0"/>
        <w:overflowPunct w:val="0"/>
        <w:autoSpaceDE w:val="0"/>
        <w:autoSpaceDN w:val="0"/>
        <w:adjustRightInd w:val="0"/>
        <w:snapToGrid w:val="0"/>
        <w:spacing w:before="120" w:after="120"/>
        <w:ind w:firstLine="720"/>
        <w:rPr>
          <w:iCs/>
          <w:kern w:val="22"/>
          <w:szCs w:val="22"/>
        </w:rPr>
      </w:pPr>
      <w:r w:rsidRPr="00FF7527">
        <w:rPr>
          <w:i/>
          <w:iCs/>
          <w:kern w:val="22"/>
          <w:szCs w:val="22"/>
        </w:rPr>
        <w:t>Recalling</w:t>
      </w:r>
      <w:r w:rsidRPr="00FF7527">
        <w:rPr>
          <w:iCs/>
          <w:kern w:val="22"/>
          <w:szCs w:val="22"/>
        </w:rPr>
        <w:t xml:space="preserve"> Article 21 and related provisions of the Convention, Article 28 of the Cartagena Protocol on Biosafety and Article 25 of the Nagoya Protocol on Access and Benefit-sharing,</w:t>
      </w:r>
    </w:p>
    <w:p w:rsidR="00081C7C" w:rsidRPr="00FF7527" w:rsidRDefault="00081C7C">
      <w:pPr>
        <w:pStyle w:val="Para1"/>
        <w:numPr>
          <w:ilvl w:val="0"/>
          <w:numId w:val="0"/>
        </w:numPr>
        <w:suppressLineNumbers/>
        <w:suppressAutoHyphens/>
        <w:kinsoku w:val="0"/>
        <w:overflowPunct w:val="0"/>
        <w:autoSpaceDE w:val="0"/>
        <w:autoSpaceDN w:val="0"/>
        <w:adjustRightInd w:val="0"/>
        <w:snapToGrid w:val="0"/>
        <w:ind w:firstLine="720"/>
        <w:rPr>
          <w:iCs/>
          <w:snapToGrid/>
          <w:kern w:val="22"/>
          <w:szCs w:val="22"/>
        </w:rPr>
      </w:pPr>
      <w:r w:rsidRPr="00FF7527">
        <w:rPr>
          <w:i/>
          <w:iCs/>
          <w:snapToGrid/>
          <w:kern w:val="22"/>
          <w:szCs w:val="22"/>
        </w:rPr>
        <w:t>Also recalling</w:t>
      </w:r>
      <w:r w:rsidRPr="00FF7527">
        <w:rPr>
          <w:iCs/>
          <w:snapToGrid/>
          <w:kern w:val="22"/>
          <w:szCs w:val="22"/>
        </w:rPr>
        <w:t xml:space="preserve"> decision</w:t>
      </w:r>
      <w:r w:rsidR="008E56D5" w:rsidRPr="00FF7527">
        <w:rPr>
          <w:iCs/>
          <w:snapToGrid/>
          <w:kern w:val="22"/>
          <w:szCs w:val="22"/>
        </w:rPr>
        <w:t>s</w:t>
      </w:r>
      <w:r w:rsidRPr="00FF7527">
        <w:rPr>
          <w:iCs/>
          <w:snapToGrid/>
          <w:kern w:val="22"/>
          <w:szCs w:val="22"/>
        </w:rPr>
        <w:t xml:space="preserve"> XIII/21</w:t>
      </w:r>
      <w:r w:rsidR="003246F4" w:rsidRPr="00FF7527">
        <w:rPr>
          <w:iCs/>
          <w:snapToGrid/>
          <w:kern w:val="22"/>
          <w:szCs w:val="22"/>
        </w:rPr>
        <w:t xml:space="preserve"> and III/8</w:t>
      </w:r>
      <w:r w:rsidRPr="00FF7527">
        <w:rPr>
          <w:iCs/>
          <w:snapToGrid/>
          <w:kern w:val="22"/>
          <w:szCs w:val="22"/>
        </w:rPr>
        <w:t>,</w:t>
      </w:r>
    </w:p>
    <w:p w:rsidR="00081C7C" w:rsidRPr="00EC37D7" w:rsidRDefault="00081C7C">
      <w:pPr>
        <w:pStyle w:val="Para1"/>
        <w:numPr>
          <w:ilvl w:val="0"/>
          <w:numId w:val="0"/>
        </w:numPr>
        <w:suppressLineNumbers/>
        <w:suppressAutoHyphens/>
        <w:kinsoku w:val="0"/>
        <w:overflowPunct w:val="0"/>
        <w:autoSpaceDE w:val="0"/>
        <w:autoSpaceDN w:val="0"/>
        <w:adjustRightInd w:val="0"/>
        <w:snapToGrid w:val="0"/>
        <w:ind w:firstLine="720"/>
        <w:rPr>
          <w:iCs/>
          <w:snapToGrid/>
          <w:kern w:val="22"/>
          <w:szCs w:val="22"/>
        </w:rPr>
      </w:pPr>
      <w:r w:rsidRPr="00FF7527">
        <w:rPr>
          <w:i/>
          <w:iCs/>
          <w:snapToGrid/>
          <w:kern w:val="22"/>
          <w:szCs w:val="22"/>
        </w:rPr>
        <w:t xml:space="preserve">Taking note </w:t>
      </w:r>
      <w:r w:rsidRPr="00FF7527">
        <w:rPr>
          <w:iCs/>
          <w:snapToGrid/>
          <w:kern w:val="22"/>
          <w:szCs w:val="22"/>
        </w:rPr>
        <w:t>of</w:t>
      </w:r>
      <w:r w:rsidRPr="00FF7527">
        <w:rPr>
          <w:i/>
          <w:iCs/>
          <w:snapToGrid/>
          <w:kern w:val="22"/>
          <w:szCs w:val="22"/>
        </w:rPr>
        <w:t xml:space="preserve"> </w:t>
      </w:r>
      <w:r w:rsidRPr="00FF7527">
        <w:rPr>
          <w:iCs/>
          <w:snapToGrid/>
          <w:kern w:val="22"/>
          <w:szCs w:val="22"/>
        </w:rPr>
        <w:t xml:space="preserve">the information regarding the implementation of Article 21 of the Convention contained in the note by the Executive Secretary on </w:t>
      </w:r>
      <w:r w:rsidR="00955EC4" w:rsidRPr="00FF7527">
        <w:rPr>
          <w:iCs/>
          <w:snapToGrid/>
          <w:kern w:val="22"/>
          <w:szCs w:val="22"/>
        </w:rPr>
        <w:t xml:space="preserve">the </w:t>
      </w:r>
      <w:r w:rsidRPr="00FF7527">
        <w:rPr>
          <w:iCs/>
          <w:snapToGrid/>
          <w:kern w:val="22"/>
          <w:szCs w:val="22"/>
        </w:rPr>
        <w:t>financial mechanism,</w:t>
      </w:r>
      <w:r w:rsidRPr="00EC37D7">
        <w:rPr>
          <w:rStyle w:val="FootnoteReference"/>
          <w:iCs/>
          <w:snapToGrid/>
          <w:kern w:val="22"/>
          <w:szCs w:val="22"/>
        </w:rPr>
        <w:footnoteReference w:id="1"/>
      </w:r>
    </w:p>
    <w:p w:rsidR="00191CDD" w:rsidRPr="00EC37D7" w:rsidRDefault="00191CDD">
      <w:pPr>
        <w:pStyle w:val="Para1"/>
        <w:numPr>
          <w:ilvl w:val="0"/>
          <w:numId w:val="0"/>
        </w:numPr>
        <w:suppressLineNumbers/>
        <w:suppressAutoHyphens/>
        <w:kinsoku w:val="0"/>
        <w:overflowPunct w:val="0"/>
        <w:autoSpaceDE w:val="0"/>
        <w:autoSpaceDN w:val="0"/>
        <w:adjustRightInd w:val="0"/>
        <w:snapToGrid w:val="0"/>
        <w:ind w:firstLine="720"/>
        <w:rPr>
          <w:iCs/>
          <w:snapToGrid/>
          <w:kern w:val="22"/>
          <w:szCs w:val="22"/>
        </w:rPr>
      </w:pPr>
      <w:r w:rsidRPr="00FF7527">
        <w:rPr>
          <w:i/>
          <w:iCs/>
          <w:snapToGrid/>
          <w:kern w:val="22"/>
          <w:szCs w:val="22"/>
        </w:rPr>
        <w:t xml:space="preserve">Also taking note of </w:t>
      </w:r>
      <w:r w:rsidRPr="00FF7527">
        <w:rPr>
          <w:snapToGrid/>
          <w:kern w:val="22"/>
          <w:szCs w:val="22"/>
        </w:rPr>
        <w:t xml:space="preserve">the sixth overall performance study of </w:t>
      </w:r>
      <w:r w:rsidR="00B35027" w:rsidRPr="00FF7527">
        <w:rPr>
          <w:snapToGrid/>
          <w:kern w:val="22"/>
          <w:szCs w:val="22"/>
        </w:rPr>
        <w:t xml:space="preserve">the Global Environment Facility </w:t>
      </w:r>
      <w:r w:rsidR="00B35027">
        <w:rPr>
          <w:snapToGrid/>
          <w:kern w:val="22"/>
          <w:szCs w:val="22"/>
        </w:rPr>
        <w:t xml:space="preserve">carried out by </w:t>
      </w:r>
      <w:r w:rsidRPr="00FF7527">
        <w:rPr>
          <w:snapToGrid/>
          <w:kern w:val="22"/>
          <w:szCs w:val="22"/>
        </w:rPr>
        <w:t>the Independent Evaluation Office of the Global Environment Facility, and the summary of evaluation results of the Global Environment Facility Independent Evaluation Office</w:t>
      </w:r>
      <w:r w:rsidR="006058B1" w:rsidRPr="00FF7527">
        <w:rPr>
          <w:snapToGrid/>
          <w:kern w:val="22"/>
          <w:szCs w:val="22"/>
        </w:rPr>
        <w:t>,</w:t>
      </w:r>
      <w:r w:rsidRPr="00EC37D7">
        <w:rPr>
          <w:rStyle w:val="FootnoteReference"/>
          <w:snapToGrid/>
          <w:kern w:val="22"/>
          <w:szCs w:val="22"/>
        </w:rPr>
        <w:footnoteReference w:id="2"/>
      </w:r>
    </w:p>
    <w:p w:rsidR="00BA76AC" w:rsidRPr="00EC37D7" w:rsidRDefault="00BA76AC">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rPr>
      </w:pPr>
      <w:r w:rsidRPr="00EC37D7">
        <w:rPr>
          <w:snapToGrid/>
          <w:kern w:val="22"/>
          <w:szCs w:val="22"/>
        </w:rPr>
        <w:t>1.</w:t>
      </w:r>
      <w:r w:rsidRPr="00EC37D7">
        <w:rPr>
          <w:snapToGrid/>
          <w:kern w:val="22"/>
          <w:szCs w:val="22"/>
        </w:rPr>
        <w:tab/>
      </w:r>
      <w:r w:rsidRPr="00EC37D7">
        <w:rPr>
          <w:i/>
          <w:iCs/>
          <w:snapToGrid/>
          <w:kern w:val="22"/>
          <w:szCs w:val="22"/>
        </w:rPr>
        <w:t>Note</w:t>
      </w:r>
      <w:r w:rsidR="006058B1" w:rsidRPr="001F6518">
        <w:rPr>
          <w:i/>
          <w:iCs/>
          <w:snapToGrid/>
          <w:kern w:val="22"/>
          <w:szCs w:val="22"/>
        </w:rPr>
        <w:t>s</w:t>
      </w:r>
      <w:r w:rsidRPr="001F6518">
        <w:rPr>
          <w:i/>
          <w:iCs/>
          <w:snapToGrid/>
          <w:kern w:val="22"/>
          <w:szCs w:val="22"/>
        </w:rPr>
        <w:t xml:space="preserve"> with appreciation</w:t>
      </w:r>
      <w:r w:rsidRPr="001F6518">
        <w:rPr>
          <w:snapToGrid/>
          <w:kern w:val="22"/>
          <w:szCs w:val="22"/>
        </w:rPr>
        <w:t xml:space="preserve"> the preliminary report of the Global Environment Facility;</w:t>
      </w:r>
      <w:r w:rsidRPr="00EC37D7">
        <w:rPr>
          <w:rStyle w:val="FootnoteReference"/>
          <w:snapToGrid/>
          <w:kern w:val="22"/>
          <w:szCs w:val="22"/>
        </w:rPr>
        <w:footnoteReference w:id="3"/>
      </w:r>
    </w:p>
    <w:p w:rsidR="00BA76AC" w:rsidRPr="00FF7527" w:rsidRDefault="00BA76AC">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rPr>
      </w:pPr>
      <w:r w:rsidRPr="00FF7527">
        <w:rPr>
          <w:snapToGrid/>
          <w:kern w:val="22"/>
          <w:szCs w:val="22"/>
        </w:rPr>
        <w:t>2.</w:t>
      </w:r>
      <w:r w:rsidRPr="00FF7527">
        <w:rPr>
          <w:snapToGrid/>
          <w:kern w:val="22"/>
          <w:szCs w:val="22"/>
        </w:rPr>
        <w:tab/>
      </w:r>
      <w:r w:rsidRPr="00FF7527">
        <w:rPr>
          <w:i/>
          <w:snapToGrid/>
          <w:kern w:val="22"/>
          <w:szCs w:val="22"/>
        </w:rPr>
        <w:t xml:space="preserve">Invites </w:t>
      </w:r>
      <w:r w:rsidRPr="00FF7527">
        <w:rPr>
          <w:snapToGrid/>
          <w:kern w:val="22"/>
          <w:szCs w:val="22"/>
        </w:rPr>
        <w:t xml:space="preserve">the Council of the Global Environment Facility to </w:t>
      </w:r>
      <w:r w:rsidR="007123D1" w:rsidRPr="00FF7527">
        <w:rPr>
          <w:snapToGrid/>
          <w:kern w:val="22"/>
          <w:szCs w:val="22"/>
        </w:rPr>
        <w:t>submit</w:t>
      </w:r>
      <w:r w:rsidRPr="00FF7527">
        <w:rPr>
          <w:snapToGrid/>
          <w:kern w:val="22"/>
          <w:szCs w:val="22"/>
        </w:rPr>
        <w:t xml:space="preserve"> its final report in time for consideration by the </w:t>
      </w:r>
      <w:r w:rsidR="006058B1" w:rsidRPr="00FF7527">
        <w:rPr>
          <w:snapToGrid/>
          <w:kern w:val="22"/>
          <w:szCs w:val="22"/>
        </w:rPr>
        <w:t xml:space="preserve">Conference of the Parties at its </w:t>
      </w:r>
      <w:r w:rsidRPr="00FF7527">
        <w:rPr>
          <w:snapToGrid/>
          <w:kern w:val="22"/>
          <w:szCs w:val="22"/>
        </w:rPr>
        <w:t>fourteenth meeting;</w:t>
      </w:r>
    </w:p>
    <w:p w:rsidR="00191CDD" w:rsidRPr="00FF7527" w:rsidRDefault="00191CDD">
      <w:pPr>
        <w:pStyle w:val="Para1"/>
        <w:numPr>
          <w:ilvl w:val="0"/>
          <w:numId w:val="0"/>
        </w:numPr>
        <w:suppressLineNumbers/>
        <w:suppressAutoHyphens/>
        <w:kinsoku w:val="0"/>
        <w:overflowPunct w:val="0"/>
        <w:autoSpaceDE w:val="0"/>
        <w:autoSpaceDN w:val="0"/>
        <w:adjustRightInd w:val="0"/>
        <w:snapToGrid w:val="0"/>
        <w:ind w:firstLine="720"/>
        <w:rPr>
          <w:snapToGrid/>
          <w:kern w:val="22"/>
        </w:rPr>
      </w:pPr>
      <w:r w:rsidRPr="00FF7527">
        <w:rPr>
          <w:snapToGrid/>
          <w:kern w:val="22"/>
        </w:rPr>
        <w:t>3.</w:t>
      </w:r>
      <w:r w:rsidRPr="00FF7527">
        <w:rPr>
          <w:snapToGrid/>
          <w:kern w:val="22"/>
        </w:rPr>
        <w:tab/>
      </w:r>
      <w:r w:rsidRPr="00FF7527">
        <w:rPr>
          <w:i/>
          <w:snapToGrid/>
          <w:kern w:val="22"/>
        </w:rPr>
        <w:t>Regrets</w:t>
      </w:r>
      <w:r w:rsidRPr="00FF7527">
        <w:rPr>
          <w:snapToGrid/>
          <w:kern w:val="22"/>
        </w:rPr>
        <w:t xml:space="preserve"> that the terms of reference for the fifth review of the financial mechanism </w:t>
      </w:r>
      <w:r w:rsidR="0084175F" w:rsidRPr="00FF7527">
        <w:rPr>
          <w:snapToGrid/>
          <w:kern w:val="22"/>
        </w:rPr>
        <w:t>were</w:t>
      </w:r>
      <w:r w:rsidRPr="00FF7527">
        <w:rPr>
          <w:snapToGrid/>
          <w:kern w:val="22"/>
        </w:rPr>
        <w:t xml:space="preserve"> not implemented due to lack of funding;</w:t>
      </w:r>
    </w:p>
    <w:p w:rsidR="00191CDD" w:rsidRPr="00FF7527" w:rsidRDefault="00191CDD">
      <w:pPr>
        <w:pStyle w:val="Para1"/>
        <w:numPr>
          <w:ilvl w:val="0"/>
          <w:numId w:val="0"/>
        </w:numPr>
        <w:suppressLineNumbers/>
        <w:suppressAutoHyphens/>
        <w:kinsoku w:val="0"/>
        <w:overflowPunct w:val="0"/>
        <w:autoSpaceDE w:val="0"/>
        <w:autoSpaceDN w:val="0"/>
        <w:adjustRightInd w:val="0"/>
        <w:snapToGrid w:val="0"/>
        <w:ind w:firstLine="720"/>
        <w:rPr>
          <w:iCs/>
          <w:snapToGrid/>
          <w:kern w:val="22"/>
          <w:szCs w:val="22"/>
        </w:rPr>
      </w:pPr>
      <w:r w:rsidRPr="00FF7527">
        <w:rPr>
          <w:snapToGrid/>
          <w:kern w:val="22"/>
        </w:rPr>
        <w:t>4.</w:t>
      </w:r>
      <w:r w:rsidRPr="00FF7527">
        <w:rPr>
          <w:snapToGrid/>
          <w:kern w:val="22"/>
        </w:rPr>
        <w:tab/>
      </w:r>
      <w:r w:rsidRPr="00FF7527">
        <w:rPr>
          <w:i/>
          <w:snapToGrid/>
          <w:kern w:val="22"/>
        </w:rPr>
        <w:t xml:space="preserve">Invites </w:t>
      </w:r>
      <w:r w:rsidRPr="00FF7527">
        <w:rPr>
          <w:iCs/>
          <w:snapToGrid/>
          <w:kern w:val="22"/>
          <w:szCs w:val="22"/>
        </w:rPr>
        <w:t xml:space="preserve">Parties and </w:t>
      </w:r>
      <w:r w:rsidR="006A051B">
        <w:rPr>
          <w:iCs/>
          <w:snapToGrid/>
          <w:kern w:val="22"/>
          <w:szCs w:val="22"/>
        </w:rPr>
        <w:t xml:space="preserve">other </w:t>
      </w:r>
      <w:r w:rsidRPr="00FF7527">
        <w:rPr>
          <w:iCs/>
          <w:snapToGrid/>
          <w:kern w:val="22"/>
          <w:szCs w:val="22"/>
        </w:rPr>
        <w:t>Governments</w:t>
      </w:r>
      <w:r w:rsidR="006058B1" w:rsidRPr="00FF7527">
        <w:rPr>
          <w:iCs/>
          <w:snapToGrid/>
          <w:kern w:val="22"/>
          <w:szCs w:val="22"/>
        </w:rPr>
        <w:t>,</w:t>
      </w:r>
      <w:r w:rsidRPr="00FF7527">
        <w:rPr>
          <w:iCs/>
          <w:snapToGrid/>
          <w:kern w:val="22"/>
          <w:szCs w:val="22"/>
        </w:rPr>
        <w:t xml:space="preserve"> as well as </w:t>
      </w:r>
      <w:r w:rsidR="00C647C5" w:rsidRPr="00FF7527">
        <w:rPr>
          <w:iCs/>
          <w:snapToGrid/>
          <w:kern w:val="22"/>
          <w:szCs w:val="22"/>
        </w:rPr>
        <w:t xml:space="preserve">relevant </w:t>
      </w:r>
      <w:r w:rsidRPr="00FF7527">
        <w:rPr>
          <w:iCs/>
          <w:snapToGrid/>
          <w:kern w:val="22"/>
          <w:szCs w:val="22"/>
        </w:rPr>
        <w:t>stakeholders</w:t>
      </w:r>
      <w:r w:rsidR="006058B1" w:rsidRPr="00FF7527">
        <w:rPr>
          <w:iCs/>
          <w:snapToGrid/>
          <w:kern w:val="22"/>
          <w:szCs w:val="22"/>
        </w:rPr>
        <w:t>,</w:t>
      </w:r>
      <w:r w:rsidRPr="00FF7527">
        <w:rPr>
          <w:iCs/>
          <w:snapToGrid/>
          <w:kern w:val="22"/>
          <w:szCs w:val="22"/>
        </w:rPr>
        <w:t xml:space="preserve"> to submit </w:t>
      </w:r>
      <w:r w:rsidR="00C647C5" w:rsidRPr="00FF7527">
        <w:rPr>
          <w:iCs/>
          <w:snapToGrid/>
          <w:kern w:val="22"/>
          <w:szCs w:val="22"/>
        </w:rPr>
        <w:t xml:space="preserve">views and </w:t>
      </w:r>
      <w:r w:rsidR="0042021A" w:rsidRPr="00FF7527">
        <w:rPr>
          <w:iCs/>
          <w:snapToGrid/>
          <w:kern w:val="22"/>
          <w:szCs w:val="22"/>
        </w:rPr>
        <w:t xml:space="preserve">other </w:t>
      </w:r>
      <w:r w:rsidR="00C647C5" w:rsidRPr="00FF7527">
        <w:rPr>
          <w:iCs/>
          <w:snapToGrid/>
          <w:kern w:val="22"/>
          <w:szCs w:val="22"/>
        </w:rPr>
        <w:t xml:space="preserve">information </w:t>
      </w:r>
      <w:r w:rsidRPr="00FF7527">
        <w:rPr>
          <w:iCs/>
          <w:snapToGrid/>
          <w:kern w:val="22"/>
          <w:szCs w:val="22"/>
        </w:rPr>
        <w:t xml:space="preserve">on </w:t>
      </w:r>
      <w:r w:rsidRPr="00FF7527">
        <w:rPr>
          <w:snapToGrid/>
          <w:kern w:val="22"/>
          <w:szCs w:val="22"/>
        </w:rPr>
        <w:t xml:space="preserve">the sixth overall performance study of </w:t>
      </w:r>
      <w:r w:rsidR="00F563B6" w:rsidRPr="00FF7527">
        <w:rPr>
          <w:snapToGrid/>
          <w:kern w:val="22"/>
          <w:szCs w:val="22"/>
        </w:rPr>
        <w:t xml:space="preserve">the Global Environment Facility </w:t>
      </w:r>
      <w:r w:rsidR="00F563B6">
        <w:rPr>
          <w:snapToGrid/>
          <w:kern w:val="22"/>
          <w:szCs w:val="22"/>
        </w:rPr>
        <w:t xml:space="preserve">carried out by </w:t>
      </w:r>
      <w:r w:rsidRPr="00FF7527">
        <w:rPr>
          <w:snapToGrid/>
          <w:kern w:val="22"/>
          <w:szCs w:val="22"/>
        </w:rPr>
        <w:t xml:space="preserve">the Independent Evaluation Office of the Global Environment Facility, and the summary of evaluation results of the Global Environment Facility Independent Evaluation Office, </w:t>
      </w:r>
      <w:r w:rsidRPr="00FF7527">
        <w:rPr>
          <w:iCs/>
          <w:snapToGrid/>
          <w:kern w:val="22"/>
          <w:szCs w:val="22"/>
        </w:rPr>
        <w:t>to the Executive Secretary by 15 September 2018;</w:t>
      </w:r>
    </w:p>
    <w:p w:rsidR="00191CDD" w:rsidRPr="00FF7527" w:rsidRDefault="00191CDD">
      <w:pPr>
        <w:suppressLineNumbers/>
        <w:suppressAutoHyphens/>
        <w:kinsoku w:val="0"/>
        <w:overflowPunct w:val="0"/>
        <w:autoSpaceDE w:val="0"/>
        <w:autoSpaceDN w:val="0"/>
        <w:adjustRightInd w:val="0"/>
        <w:snapToGrid w:val="0"/>
        <w:spacing w:before="120" w:after="120"/>
        <w:ind w:firstLine="720"/>
        <w:rPr>
          <w:i/>
          <w:iCs/>
          <w:kern w:val="22"/>
          <w:szCs w:val="22"/>
        </w:rPr>
      </w:pPr>
      <w:r w:rsidRPr="00FF7527">
        <w:rPr>
          <w:iCs/>
          <w:kern w:val="22"/>
          <w:szCs w:val="22"/>
        </w:rPr>
        <w:t>5.</w:t>
      </w:r>
      <w:r w:rsidRPr="00FF7527">
        <w:rPr>
          <w:iCs/>
          <w:kern w:val="22"/>
          <w:szCs w:val="22"/>
        </w:rPr>
        <w:tab/>
      </w:r>
      <w:r w:rsidRPr="00FF7527">
        <w:rPr>
          <w:i/>
          <w:iCs/>
          <w:kern w:val="22"/>
          <w:szCs w:val="22"/>
        </w:rPr>
        <w:t xml:space="preserve">Requests </w:t>
      </w:r>
      <w:r w:rsidRPr="00FF7527">
        <w:rPr>
          <w:iCs/>
          <w:kern w:val="22"/>
          <w:szCs w:val="22"/>
        </w:rPr>
        <w:t>the Executive Secretary to prepare a compilation of submissions received from Parties</w:t>
      </w:r>
      <w:r w:rsidR="00323F9C">
        <w:rPr>
          <w:iCs/>
          <w:kern w:val="22"/>
          <w:szCs w:val="22"/>
        </w:rPr>
        <w:t xml:space="preserve">, </w:t>
      </w:r>
      <w:r w:rsidR="00323F9C" w:rsidRPr="00E72248">
        <w:rPr>
          <w:iCs/>
          <w:kern w:val="22"/>
          <w:szCs w:val="22"/>
          <w:u w:val="single"/>
        </w:rPr>
        <w:t xml:space="preserve">other Governments, </w:t>
      </w:r>
      <w:r w:rsidR="00323F9C">
        <w:rPr>
          <w:iCs/>
          <w:kern w:val="22"/>
          <w:szCs w:val="22"/>
          <w:u w:val="single"/>
        </w:rPr>
        <w:t>and</w:t>
      </w:r>
      <w:r w:rsidR="00323F9C" w:rsidRPr="00E72248">
        <w:rPr>
          <w:iCs/>
          <w:kern w:val="22"/>
          <w:szCs w:val="22"/>
          <w:u w:val="single"/>
        </w:rPr>
        <w:t xml:space="preserve"> relevant stakeholders</w:t>
      </w:r>
      <w:r w:rsidR="00323F9C">
        <w:rPr>
          <w:iCs/>
          <w:kern w:val="22"/>
          <w:szCs w:val="22"/>
          <w:u w:val="single"/>
        </w:rPr>
        <w:t>,</w:t>
      </w:r>
      <w:r w:rsidRPr="00FF7527">
        <w:rPr>
          <w:iCs/>
          <w:kern w:val="22"/>
          <w:szCs w:val="22"/>
        </w:rPr>
        <w:t xml:space="preserve"> </w:t>
      </w:r>
      <w:r w:rsidR="004316B3" w:rsidRPr="00FF7527">
        <w:rPr>
          <w:iCs/>
          <w:kern w:val="22"/>
          <w:szCs w:val="22"/>
        </w:rPr>
        <w:t xml:space="preserve">as well </w:t>
      </w:r>
      <w:r w:rsidR="00323F9C">
        <w:rPr>
          <w:iCs/>
          <w:kern w:val="22"/>
          <w:szCs w:val="22"/>
        </w:rPr>
        <w:t xml:space="preserve">as </w:t>
      </w:r>
      <w:r w:rsidR="004316B3" w:rsidRPr="00FF7527">
        <w:rPr>
          <w:iCs/>
          <w:kern w:val="22"/>
          <w:szCs w:val="22"/>
        </w:rPr>
        <w:t>the inform</w:t>
      </w:r>
      <w:r w:rsidR="00FD5C8E" w:rsidRPr="00FF7527">
        <w:rPr>
          <w:iCs/>
          <w:kern w:val="22"/>
          <w:szCs w:val="22"/>
        </w:rPr>
        <w:t>ation derived from the</w:t>
      </w:r>
      <w:r w:rsidR="004011B7" w:rsidRPr="00FF7527">
        <w:t xml:space="preserve"> </w:t>
      </w:r>
      <w:r w:rsidR="004011B7" w:rsidRPr="00FF7527">
        <w:rPr>
          <w:iCs/>
          <w:kern w:val="22"/>
          <w:szCs w:val="22"/>
        </w:rPr>
        <w:t xml:space="preserve">sixth overall performance study of </w:t>
      </w:r>
      <w:r w:rsidR="00BB2D60" w:rsidRPr="00FF7527">
        <w:rPr>
          <w:kern w:val="22"/>
          <w:szCs w:val="22"/>
        </w:rPr>
        <w:t>the Global Environment Facility</w:t>
      </w:r>
      <w:r w:rsidR="00BB2D60" w:rsidRPr="00FF7527">
        <w:rPr>
          <w:iCs/>
          <w:kern w:val="22"/>
          <w:szCs w:val="22"/>
        </w:rPr>
        <w:t xml:space="preserve"> </w:t>
      </w:r>
      <w:r w:rsidR="00BB2D60">
        <w:rPr>
          <w:iCs/>
          <w:kern w:val="22"/>
          <w:szCs w:val="22"/>
        </w:rPr>
        <w:t xml:space="preserve">carried out by </w:t>
      </w:r>
      <w:r w:rsidR="004011B7" w:rsidRPr="00FF7527">
        <w:rPr>
          <w:iCs/>
          <w:kern w:val="22"/>
          <w:szCs w:val="22"/>
        </w:rPr>
        <w:t>the Independent Evaluation Office of the Global Environment Facility</w:t>
      </w:r>
      <w:r w:rsidR="004316B3" w:rsidRPr="00FF7527">
        <w:rPr>
          <w:iCs/>
          <w:kern w:val="22"/>
          <w:szCs w:val="22"/>
        </w:rPr>
        <w:t xml:space="preserve">, which will be the basis for </w:t>
      </w:r>
      <w:r w:rsidRPr="00FF7527">
        <w:rPr>
          <w:iCs/>
          <w:kern w:val="22"/>
          <w:szCs w:val="22"/>
        </w:rPr>
        <w:t>the fifth review of effectiveness of the financial mechanism</w:t>
      </w:r>
      <w:r w:rsidR="004316B3" w:rsidRPr="00FF7527">
        <w:rPr>
          <w:iCs/>
          <w:kern w:val="22"/>
          <w:szCs w:val="22"/>
        </w:rPr>
        <w:t xml:space="preserve"> to be performed by </w:t>
      </w:r>
      <w:r w:rsidRPr="00FF7527">
        <w:rPr>
          <w:iCs/>
          <w:kern w:val="22"/>
          <w:szCs w:val="22"/>
        </w:rPr>
        <w:t>the Conference of the Parties</w:t>
      </w:r>
      <w:r w:rsidR="0099531D" w:rsidRPr="00FF7527">
        <w:rPr>
          <w:iCs/>
          <w:kern w:val="22"/>
          <w:szCs w:val="22"/>
        </w:rPr>
        <w:t xml:space="preserve"> at its fourteenth meeting</w:t>
      </w:r>
      <w:r w:rsidRPr="00FF7527">
        <w:rPr>
          <w:iCs/>
          <w:kern w:val="22"/>
          <w:szCs w:val="22"/>
        </w:rPr>
        <w:t>;</w:t>
      </w:r>
    </w:p>
    <w:p w:rsidR="00BA76AC" w:rsidRPr="00FF7527" w:rsidRDefault="00191CDD">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rPr>
      </w:pPr>
      <w:r w:rsidRPr="00FF7527">
        <w:rPr>
          <w:snapToGrid/>
          <w:kern w:val="22"/>
          <w:szCs w:val="22"/>
        </w:rPr>
        <w:t>6</w:t>
      </w:r>
      <w:r w:rsidR="00BA76AC" w:rsidRPr="00FF7527">
        <w:rPr>
          <w:snapToGrid/>
          <w:kern w:val="22"/>
          <w:szCs w:val="22"/>
        </w:rPr>
        <w:t>.</w:t>
      </w:r>
      <w:r w:rsidR="00BA76AC" w:rsidRPr="00FF7527">
        <w:rPr>
          <w:snapToGrid/>
          <w:kern w:val="22"/>
          <w:szCs w:val="22"/>
        </w:rPr>
        <w:tab/>
      </w:r>
      <w:r w:rsidR="00BA76AC" w:rsidRPr="00FF7527">
        <w:rPr>
          <w:i/>
          <w:snapToGrid/>
          <w:kern w:val="22"/>
          <w:szCs w:val="22"/>
        </w:rPr>
        <w:t>Recommends</w:t>
      </w:r>
      <w:r w:rsidR="00BA76AC" w:rsidRPr="00FF7527">
        <w:rPr>
          <w:snapToGrid/>
          <w:kern w:val="22"/>
          <w:szCs w:val="22"/>
        </w:rPr>
        <w:t xml:space="preserve"> that the Conference of the Parties at its fourteenth meeting adopt </w:t>
      </w:r>
      <w:r w:rsidR="0042021A" w:rsidRPr="00FF7527">
        <w:rPr>
          <w:snapToGrid/>
          <w:kern w:val="22"/>
          <w:szCs w:val="22"/>
        </w:rPr>
        <w:t xml:space="preserve">a </w:t>
      </w:r>
      <w:r w:rsidR="00BA76AC" w:rsidRPr="00FF7527">
        <w:rPr>
          <w:snapToGrid/>
          <w:kern w:val="22"/>
          <w:szCs w:val="22"/>
        </w:rPr>
        <w:t>decision along the following lines:</w:t>
      </w:r>
      <w:bookmarkStart w:id="2" w:name="_GoBack"/>
      <w:bookmarkEnd w:id="2"/>
    </w:p>
    <w:p w:rsidR="00BA76AC" w:rsidRPr="00FF7527" w:rsidRDefault="00BA76AC">
      <w:pPr>
        <w:keepNext/>
        <w:suppressLineNumbers/>
        <w:suppressAutoHyphens/>
        <w:kinsoku w:val="0"/>
        <w:overflowPunct w:val="0"/>
        <w:autoSpaceDE w:val="0"/>
        <w:autoSpaceDN w:val="0"/>
        <w:adjustRightInd w:val="0"/>
        <w:snapToGrid w:val="0"/>
        <w:spacing w:before="120" w:after="120"/>
        <w:ind w:left="720" w:firstLine="720"/>
        <w:rPr>
          <w:i/>
          <w:kern w:val="22"/>
          <w:szCs w:val="22"/>
        </w:rPr>
      </w:pPr>
      <w:r w:rsidRPr="00FF7527">
        <w:rPr>
          <w:i/>
          <w:kern w:val="22"/>
          <w:szCs w:val="22"/>
        </w:rPr>
        <w:lastRenderedPageBreak/>
        <w:t>The Conference of the Parties</w:t>
      </w:r>
    </w:p>
    <w:p w:rsidR="00BA76AC" w:rsidRPr="00FF7527" w:rsidRDefault="00BA76AC">
      <w:pPr>
        <w:pStyle w:val="Para1"/>
        <w:numPr>
          <w:ilvl w:val="0"/>
          <w:numId w:val="0"/>
        </w:numPr>
        <w:suppressLineNumbers/>
        <w:suppressAutoHyphens/>
        <w:kinsoku w:val="0"/>
        <w:overflowPunct w:val="0"/>
        <w:autoSpaceDE w:val="0"/>
        <w:autoSpaceDN w:val="0"/>
        <w:adjustRightInd w:val="0"/>
        <w:snapToGrid w:val="0"/>
        <w:ind w:left="720" w:firstLine="720"/>
        <w:rPr>
          <w:b/>
          <w:snapToGrid/>
          <w:kern w:val="22"/>
          <w:szCs w:val="22"/>
        </w:rPr>
      </w:pPr>
      <w:r w:rsidRPr="00FF7527">
        <w:rPr>
          <w:iCs/>
          <w:snapToGrid/>
          <w:kern w:val="22"/>
          <w:szCs w:val="22"/>
        </w:rPr>
        <w:t>1.</w:t>
      </w:r>
      <w:r w:rsidRPr="00FF7527">
        <w:rPr>
          <w:iCs/>
          <w:snapToGrid/>
          <w:kern w:val="22"/>
          <w:szCs w:val="22"/>
        </w:rPr>
        <w:tab/>
      </w:r>
      <w:r w:rsidRPr="00FF7527">
        <w:rPr>
          <w:i/>
          <w:iCs/>
          <w:snapToGrid/>
          <w:kern w:val="22"/>
          <w:szCs w:val="22"/>
        </w:rPr>
        <w:t xml:space="preserve">Welcomes </w:t>
      </w:r>
      <w:r w:rsidRPr="00FF7527">
        <w:rPr>
          <w:iCs/>
          <w:snapToGrid/>
          <w:kern w:val="22"/>
          <w:szCs w:val="22"/>
        </w:rPr>
        <w:t xml:space="preserve">the successful </w:t>
      </w:r>
      <w:r w:rsidRPr="00FF7527">
        <w:rPr>
          <w:snapToGrid/>
          <w:kern w:val="22"/>
        </w:rPr>
        <w:t>conclusion</w:t>
      </w:r>
      <w:r w:rsidRPr="00FF7527">
        <w:rPr>
          <w:iCs/>
          <w:snapToGrid/>
          <w:kern w:val="22"/>
          <w:szCs w:val="22"/>
        </w:rPr>
        <w:t xml:space="preserve"> of the seventh replenishment of the Global Environment Facility Trust Fund, and </w:t>
      </w:r>
      <w:r w:rsidRPr="00FF7527">
        <w:rPr>
          <w:i/>
          <w:iCs/>
          <w:snapToGrid/>
          <w:kern w:val="22"/>
          <w:szCs w:val="22"/>
        </w:rPr>
        <w:t>expresses its appreciation</w:t>
      </w:r>
      <w:r w:rsidRPr="00FF7527">
        <w:rPr>
          <w:snapToGrid/>
          <w:kern w:val="22"/>
          <w:szCs w:val="22"/>
        </w:rPr>
        <w:t xml:space="preserve"> for </w:t>
      </w:r>
      <w:r w:rsidRPr="00FF7527">
        <w:rPr>
          <w:iCs/>
          <w:snapToGrid/>
          <w:kern w:val="22"/>
          <w:szCs w:val="22"/>
        </w:rPr>
        <w:t xml:space="preserve">the continuing financial support from Parties and Governments for carrying out the tasks under the Strategic Plan for Biodiversity 2011-2020 in its remaining years, and </w:t>
      </w:r>
      <w:r w:rsidR="000D7E15" w:rsidRPr="00FF7527">
        <w:rPr>
          <w:iCs/>
          <w:snapToGrid/>
          <w:kern w:val="22"/>
          <w:szCs w:val="22"/>
        </w:rPr>
        <w:t xml:space="preserve">for </w:t>
      </w:r>
      <w:r w:rsidRPr="00FF7527">
        <w:rPr>
          <w:iCs/>
          <w:snapToGrid/>
          <w:kern w:val="22"/>
          <w:szCs w:val="22"/>
        </w:rPr>
        <w:t>supporting the implementation of the post-2020 global biodiversity framework in its first two years;</w:t>
      </w:r>
    </w:p>
    <w:p w:rsidR="00081C7C" w:rsidRPr="00EC37D7" w:rsidRDefault="00BA76AC">
      <w:pPr>
        <w:pStyle w:val="Para1"/>
        <w:numPr>
          <w:ilvl w:val="0"/>
          <w:numId w:val="0"/>
        </w:numPr>
        <w:suppressLineNumbers/>
        <w:suppressAutoHyphens/>
        <w:kinsoku w:val="0"/>
        <w:overflowPunct w:val="0"/>
        <w:autoSpaceDE w:val="0"/>
        <w:autoSpaceDN w:val="0"/>
        <w:adjustRightInd w:val="0"/>
        <w:snapToGrid w:val="0"/>
        <w:ind w:left="720" w:firstLine="720"/>
        <w:rPr>
          <w:iCs/>
          <w:snapToGrid/>
          <w:kern w:val="22"/>
          <w:szCs w:val="22"/>
        </w:rPr>
      </w:pPr>
      <w:r w:rsidRPr="00FF7527">
        <w:rPr>
          <w:iCs/>
          <w:snapToGrid/>
          <w:kern w:val="22"/>
          <w:szCs w:val="22"/>
        </w:rPr>
        <w:t>2</w:t>
      </w:r>
      <w:r w:rsidR="00081C7C" w:rsidRPr="00FF7527">
        <w:rPr>
          <w:iCs/>
          <w:snapToGrid/>
          <w:kern w:val="22"/>
          <w:szCs w:val="22"/>
        </w:rPr>
        <w:t>.</w:t>
      </w:r>
      <w:r w:rsidR="00081C7C" w:rsidRPr="00FF7527">
        <w:rPr>
          <w:iCs/>
          <w:snapToGrid/>
          <w:kern w:val="22"/>
          <w:szCs w:val="22"/>
        </w:rPr>
        <w:tab/>
      </w:r>
      <w:r w:rsidR="00081C7C" w:rsidRPr="00FF7527">
        <w:rPr>
          <w:i/>
          <w:iCs/>
          <w:snapToGrid/>
          <w:kern w:val="22"/>
          <w:szCs w:val="22"/>
        </w:rPr>
        <w:t>Notes</w:t>
      </w:r>
      <w:r w:rsidR="00081C7C" w:rsidRPr="00FF7527">
        <w:rPr>
          <w:iCs/>
          <w:snapToGrid/>
          <w:kern w:val="22"/>
          <w:szCs w:val="22"/>
        </w:rPr>
        <w:t xml:space="preserve"> that the biodiversity programming directions for the seventh replenishment of the Trust Fund reflect the guidance adopted by the Conference of the Parties at its thirteenth meeting, which includes the consolidated guidance to the financial mechanism and the four-year framework of programme priorities (2018-2022), as well as further guidance;</w:t>
      </w:r>
      <w:r w:rsidR="00B43720" w:rsidRPr="00EC37D7">
        <w:rPr>
          <w:rStyle w:val="FootnoteReference"/>
          <w:iCs/>
          <w:snapToGrid/>
          <w:kern w:val="22"/>
          <w:szCs w:val="22"/>
        </w:rPr>
        <w:footnoteReference w:id="4"/>
      </w:r>
    </w:p>
    <w:p w:rsidR="00081C7C" w:rsidRPr="00FF7527" w:rsidRDefault="00BA76AC">
      <w:pPr>
        <w:pStyle w:val="Para1"/>
        <w:numPr>
          <w:ilvl w:val="0"/>
          <w:numId w:val="0"/>
        </w:numPr>
        <w:suppressLineNumbers/>
        <w:suppressAutoHyphens/>
        <w:kinsoku w:val="0"/>
        <w:overflowPunct w:val="0"/>
        <w:autoSpaceDE w:val="0"/>
        <w:autoSpaceDN w:val="0"/>
        <w:adjustRightInd w:val="0"/>
        <w:snapToGrid w:val="0"/>
        <w:ind w:left="720" w:firstLine="720"/>
        <w:rPr>
          <w:snapToGrid/>
          <w:kern w:val="22"/>
        </w:rPr>
      </w:pPr>
      <w:r w:rsidRPr="00FF7527">
        <w:rPr>
          <w:snapToGrid/>
          <w:kern w:val="22"/>
        </w:rPr>
        <w:t>3</w:t>
      </w:r>
      <w:r w:rsidR="00081C7C" w:rsidRPr="00FF7527">
        <w:rPr>
          <w:snapToGrid/>
          <w:kern w:val="22"/>
        </w:rPr>
        <w:t>.</w:t>
      </w:r>
      <w:r w:rsidR="00081C7C" w:rsidRPr="00FF7527">
        <w:rPr>
          <w:snapToGrid/>
          <w:kern w:val="22"/>
        </w:rPr>
        <w:tab/>
      </w:r>
      <w:r w:rsidR="00081C7C" w:rsidRPr="00FF7527">
        <w:rPr>
          <w:i/>
          <w:snapToGrid/>
          <w:kern w:val="22"/>
        </w:rPr>
        <w:t>Invites</w:t>
      </w:r>
      <w:r w:rsidR="00081C7C" w:rsidRPr="00FF7527">
        <w:rPr>
          <w:snapToGrid/>
          <w:kern w:val="22"/>
        </w:rPr>
        <w:t xml:space="preserve"> Parties</w:t>
      </w:r>
      <w:r w:rsidR="00D7558E" w:rsidRPr="00FF7527">
        <w:rPr>
          <w:snapToGrid/>
          <w:kern w:val="22"/>
        </w:rPr>
        <w:t>, while utilizing allocations</w:t>
      </w:r>
      <w:r w:rsidR="003F63E4">
        <w:rPr>
          <w:snapToGrid/>
          <w:kern w:val="22"/>
        </w:rPr>
        <w:t xml:space="preserve"> from the</w:t>
      </w:r>
      <w:r w:rsidR="003F63E4" w:rsidRPr="003F63E4">
        <w:rPr>
          <w:iCs/>
          <w:snapToGrid/>
          <w:kern w:val="22"/>
          <w:szCs w:val="22"/>
        </w:rPr>
        <w:t xml:space="preserve"> </w:t>
      </w:r>
      <w:r w:rsidR="003F63E4" w:rsidRPr="00FF7527">
        <w:rPr>
          <w:iCs/>
          <w:snapToGrid/>
          <w:kern w:val="22"/>
          <w:szCs w:val="22"/>
        </w:rPr>
        <w:t>seventh replenishment</w:t>
      </w:r>
      <w:r w:rsidR="00D7558E" w:rsidRPr="00FF7527">
        <w:rPr>
          <w:snapToGrid/>
          <w:kern w:val="22"/>
        </w:rPr>
        <w:t xml:space="preserve">, </w:t>
      </w:r>
      <w:r w:rsidR="00081C7C" w:rsidRPr="00FF7527">
        <w:rPr>
          <w:snapToGrid/>
          <w:kern w:val="22"/>
        </w:rPr>
        <w:t xml:space="preserve">to </w:t>
      </w:r>
      <w:r w:rsidR="00233AF5" w:rsidRPr="00FF7527">
        <w:rPr>
          <w:snapToGrid/>
          <w:kern w:val="22"/>
        </w:rPr>
        <w:t xml:space="preserve">support </w:t>
      </w:r>
      <w:r w:rsidR="00081C7C" w:rsidRPr="00FF7527">
        <w:rPr>
          <w:snapToGrid/>
          <w:kern w:val="22"/>
        </w:rPr>
        <w:t>the collective action and contributions of indigenous peoples and local communities towards achieving the Aichi Biodiversity Targets through</w:t>
      </w:r>
      <w:r w:rsidR="00233AF5" w:rsidRPr="00FF7527">
        <w:rPr>
          <w:snapToGrid/>
          <w:kern w:val="22"/>
        </w:rPr>
        <w:t>,</w:t>
      </w:r>
      <w:r w:rsidR="00081C7C" w:rsidRPr="00FF7527">
        <w:rPr>
          <w:snapToGrid/>
          <w:kern w:val="22"/>
        </w:rPr>
        <w:t xml:space="preserve"> </w:t>
      </w:r>
      <w:r w:rsidR="00233AF5" w:rsidRPr="00FF7527">
        <w:rPr>
          <w:snapToGrid/>
          <w:kern w:val="22"/>
        </w:rPr>
        <w:t xml:space="preserve">as appropriate, </w:t>
      </w:r>
      <w:r w:rsidR="00081C7C" w:rsidRPr="00FF7527">
        <w:rPr>
          <w:snapToGrid/>
          <w:kern w:val="22"/>
        </w:rPr>
        <w:t xml:space="preserve">programmes, projects and activities of indigenous peoples and local communities </w:t>
      </w:r>
      <w:r w:rsidR="008A4F67" w:rsidRPr="00FF7527">
        <w:rPr>
          <w:snapToGrid/>
          <w:kern w:val="22"/>
        </w:rPr>
        <w:t>including</w:t>
      </w:r>
      <w:r w:rsidR="00081C7C" w:rsidRPr="00FF7527">
        <w:rPr>
          <w:snapToGrid/>
          <w:kern w:val="22"/>
        </w:rPr>
        <w:t xml:space="preserve"> the Small Grants Programme</w:t>
      </w:r>
      <w:r w:rsidR="00DF7D83">
        <w:rPr>
          <w:snapToGrid/>
          <w:kern w:val="22"/>
        </w:rPr>
        <w:t xml:space="preserve"> of the Global Environment Facility</w:t>
      </w:r>
      <w:r w:rsidR="00081C7C" w:rsidRPr="00FF7527">
        <w:rPr>
          <w:snapToGrid/>
          <w:kern w:val="22"/>
        </w:rPr>
        <w:t>;</w:t>
      </w:r>
    </w:p>
    <w:p w:rsidR="00081C7C" w:rsidRPr="00FF7527" w:rsidRDefault="00BA76AC">
      <w:pPr>
        <w:pStyle w:val="Para1"/>
        <w:numPr>
          <w:ilvl w:val="0"/>
          <w:numId w:val="0"/>
        </w:numPr>
        <w:suppressLineNumbers/>
        <w:suppressAutoHyphens/>
        <w:kinsoku w:val="0"/>
        <w:overflowPunct w:val="0"/>
        <w:autoSpaceDE w:val="0"/>
        <w:autoSpaceDN w:val="0"/>
        <w:adjustRightInd w:val="0"/>
        <w:snapToGrid w:val="0"/>
        <w:ind w:left="720" w:firstLine="720"/>
        <w:rPr>
          <w:iCs/>
          <w:snapToGrid/>
          <w:kern w:val="22"/>
          <w:szCs w:val="22"/>
        </w:rPr>
      </w:pPr>
      <w:r w:rsidRPr="00FF7527">
        <w:rPr>
          <w:snapToGrid/>
          <w:kern w:val="22"/>
        </w:rPr>
        <w:t>4</w:t>
      </w:r>
      <w:r w:rsidR="00081C7C" w:rsidRPr="00FF7527">
        <w:rPr>
          <w:snapToGrid/>
          <w:kern w:val="22"/>
        </w:rPr>
        <w:t>.</w:t>
      </w:r>
      <w:r w:rsidR="00081C7C" w:rsidRPr="00FF7527">
        <w:rPr>
          <w:snapToGrid/>
          <w:kern w:val="22"/>
        </w:rPr>
        <w:tab/>
      </w:r>
      <w:r w:rsidR="0033517A">
        <w:rPr>
          <w:i/>
          <w:snapToGrid/>
          <w:kern w:val="22"/>
        </w:rPr>
        <w:t>I</w:t>
      </w:r>
      <w:r w:rsidR="00081C7C" w:rsidRPr="00FF7527">
        <w:rPr>
          <w:i/>
          <w:snapToGrid/>
          <w:kern w:val="22"/>
        </w:rPr>
        <w:t>nvites</w:t>
      </w:r>
      <w:r w:rsidR="00081C7C" w:rsidRPr="00FF7527">
        <w:rPr>
          <w:snapToGrid/>
          <w:kern w:val="22"/>
        </w:rPr>
        <w:t xml:space="preserve"> the Global</w:t>
      </w:r>
      <w:r w:rsidR="00081C7C" w:rsidRPr="00FF7527">
        <w:rPr>
          <w:iCs/>
          <w:snapToGrid/>
          <w:kern w:val="22"/>
          <w:szCs w:val="22"/>
        </w:rPr>
        <w:t xml:space="preserve"> Environment Facility</w:t>
      </w:r>
      <w:r w:rsidR="0033517A">
        <w:rPr>
          <w:iCs/>
          <w:snapToGrid/>
          <w:kern w:val="22"/>
          <w:szCs w:val="22"/>
        </w:rPr>
        <w:t>,</w:t>
      </w:r>
      <w:r w:rsidR="0033517A" w:rsidRPr="0033517A">
        <w:rPr>
          <w:snapToGrid/>
          <w:kern w:val="22"/>
        </w:rPr>
        <w:t xml:space="preserve"> </w:t>
      </w:r>
      <w:r w:rsidR="0033517A">
        <w:rPr>
          <w:snapToGrid/>
          <w:kern w:val="22"/>
        </w:rPr>
        <w:t>i</w:t>
      </w:r>
      <w:r w:rsidR="0033517A" w:rsidRPr="00FF7527">
        <w:rPr>
          <w:snapToGrid/>
          <w:kern w:val="22"/>
        </w:rPr>
        <w:t>n line with</w:t>
      </w:r>
      <w:r w:rsidR="0033517A" w:rsidRPr="00FF7527">
        <w:rPr>
          <w:i/>
          <w:snapToGrid/>
          <w:kern w:val="22"/>
        </w:rPr>
        <w:t xml:space="preserve"> </w:t>
      </w:r>
      <w:r w:rsidR="0033517A" w:rsidRPr="00FF7527">
        <w:rPr>
          <w:snapToGrid/>
          <w:kern w:val="22"/>
        </w:rPr>
        <w:t>the consolidated guidance provided in decision XIII/21,</w:t>
      </w:r>
      <w:r w:rsidR="00081C7C" w:rsidRPr="00FF7527">
        <w:rPr>
          <w:iCs/>
          <w:snapToGrid/>
          <w:kern w:val="22"/>
          <w:szCs w:val="22"/>
        </w:rPr>
        <w:t xml:space="preserve"> to</w:t>
      </w:r>
      <w:r w:rsidR="008A4F67" w:rsidRPr="00FF7527">
        <w:rPr>
          <w:iCs/>
          <w:snapToGrid/>
          <w:kern w:val="22"/>
          <w:szCs w:val="22"/>
        </w:rPr>
        <w:t xml:space="preserve"> continue to</w:t>
      </w:r>
      <w:r w:rsidR="00C647C5" w:rsidRPr="00FF7527">
        <w:rPr>
          <w:iCs/>
          <w:snapToGrid/>
          <w:kern w:val="22"/>
          <w:szCs w:val="22"/>
        </w:rPr>
        <w:t xml:space="preserve"> provide all eligible Parties </w:t>
      </w:r>
      <w:r w:rsidR="0003020D">
        <w:rPr>
          <w:iCs/>
          <w:snapToGrid/>
          <w:kern w:val="22"/>
          <w:szCs w:val="22"/>
        </w:rPr>
        <w:t>with</w:t>
      </w:r>
      <w:r w:rsidR="0003020D" w:rsidRPr="0003020D">
        <w:rPr>
          <w:iCs/>
          <w:snapToGrid/>
          <w:kern w:val="22"/>
          <w:szCs w:val="22"/>
        </w:rPr>
        <w:t xml:space="preserve"> </w:t>
      </w:r>
      <w:r w:rsidR="0003020D">
        <w:rPr>
          <w:iCs/>
          <w:snapToGrid/>
          <w:kern w:val="22"/>
          <w:szCs w:val="22"/>
        </w:rPr>
        <w:t>support</w:t>
      </w:r>
      <w:r w:rsidR="0003020D" w:rsidRPr="00FF7527">
        <w:rPr>
          <w:iCs/>
          <w:snapToGrid/>
          <w:kern w:val="22"/>
          <w:szCs w:val="22"/>
        </w:rPr>
        <w:t xml:space="preserve"> </w:t>
      </w:r>
      <w:r w:rsidR="00C647C5" w:rsidRPr="00FF7527">
        <w:rPr>
          <w:iCs/>
          <w:snapToGrid/>
          <w:kern w:val="22"/>
          <w:szCs w:val="22"/>
        </w:rPr>
        <w:t>for capacity</w:t>
      </w:r>
      <w:r w:rsidR="006058B1" w:rsidRPr="00FF7527">
        <w:rPr>
          <w:iCs/>
          <w:snapToGrid/>
          <w:kern w:val="22"/>
          <w:szCs w:val="22"/>
        </w:rPr>
        <w:noBreakHyphen/>
      </w:r>
      <w:r w:rsidR="00C647C5" w:rsidRPr="00FF7527">
        <w:rPr>
          <w:iCs/>
          <w:snapToGrid/>
          <w:kern w:val="22"/>
          <w:szCs w:val="22"/>
        </w:rPr>
        <w:t>building</w:t>
      </w:r>
      <w:r w:rsidR="00081C7C" w:rsidRPr="00FF7527">
        <w:rPr>
          <w:iCs/>
          <w:snapToGrid/>
          <w:kern w:val="22"/>
          <w:szCs w:val="22"/>
        </w:rPr>
        <w:t>:</w:t>
      </w:r>
    </w:p>
    <w:p w:rsidR="00081C7C" w:rsidRPr="00FF7527" w:rsidRDefault="006058B1">
      <w:pPr>
        <w:pStyle w:val="Para1"/>
        <w:numPr>
          <w:ilvl w:val="1"/>
          <w:numId w:val="2"/>
        </w:numPr>
        <w:suppressLineNumbers/>
        <w:suppressAutoHyphens/>
        <w:kinsoku w:val="0"/>
        <w:overflowPunct w:val="0"/>
        <w:autoSpaceDE w:val="0"/>
        <w:autoSpaceDN w:val="0"/>
        <w:adjustRightInd w:val="0"/>
        <w:snapToGrid w:val="0"/>
        <w:ind w:left="720"/>
        <w:rPr>
          <w:iCs/>
          <w:snapToGrid/>
          <w:kern w:val="22"/>
          <w:szCs w:val="22"/>
        </w:rPr>
      </w:pPr>
      <w:r w:rsidRPr="00FF7527">
        <w:rPr>
          <w:iCs/>
          <w:snapToGrid/>
          <w:kern w:val="22"/>
          <w:szCs w:val="22"/>
        </w:rPr>
        <w:t>O</w:t>
      </w:r>
      <w:r w:rsidR="00081C7C" w:rsidRPr="00FF7527">
        <w:rPr>
          <w:iCs/>
          <w:snapToGrid/>
          <w:kern w:val="22"/>
          <w:szCs w:val="22"/>
        </w:rPr>
        <w:t xml:space="preserve">n issues identified by the Parties to facilitate further implementation of the Cartagena Protocol on Biosafety and Nagoya Protocol on </w:t>
      </w:r>
      <w:r w:rsidRPr="00FF7527">
        <w:rPr>
          <w:iCs/>
          <w:snapToGrid/>
          <w:kern w:val="22"/>
          <w:szCs w:val="22"/>
        </w:rPr>
        <w:t>A</w:t>
      </w:r>
      <w:r w:rsidR="00081C7C" w:rsidRPr="00FF7527">
        <w:rPr>
          <w:iCs/>
          <w:snapToGrid/>
          <w:kern w:val="22"/>
          <w:szCs w:val="22"/>
        </w:rPr>
        <w:t xml:space="preserve">ccess and </w:t>
      </w:r>
      <w:r w:rsidRPr="00FF7527">
        <w:rPr>
          <w:iCs/>
          <w:snapToGrid/>
          <w:kern w:val="22"/>
          <w:szCs w:val="22"/>
        </w:rPr>
        <w:t>B</w:t>
      </w:r>
      <w:r w:rsidR="00081C7C" w:rsidRPr="00FF7527">
        <w:rPr>
          <w:iCs/>
          <w:snapToGrid/>
          <w:kern w:val="22"/>
          <w:szCs w:val="22"/>
        </w:rPr>
        <w:t>enefit</w:t>
      </w:r>
      <w:r w:rsidRPr="00FF7527">
        <w:rPr>
          <w:iCs/>
          <w:snapToGrid/>
          <w:kern w:val="22"/>
          <w:szCs w:val="22"/>
        </w:rPr>
        <w:t>-s</w:t>
      </w:r>
      <w:r w:rsidR="00081C7C" w:rsidRPr="00FF7527">
        <w:rPr>
          <w:iCs/>
          <w:snapToGrid/>
          <w:kern w:val="22"/>
          <w:szCs w:val="22"/>
        </w:rPr>
        <w:t>haring, including regional cooperation projects</w:t>
      </w:r>
      <w:r w:rsidR="006E764B">
        <w:rPr>
          <w:iCs/>
          <w:snapToGrid/>
          <w:kern w:val="22"/>
          <w:szCs w:val="22"/>
        </w:rPr>
        <w:t>,</w:t>
      </w:r>
      <w:r w:rsidR="00081C7C" w:rsidRPr="00FF7527">
        <w:rPr>
          <w:iCs/>
          <w:snapToGrid/>
          <w:kern w:val="22"/>
          <w:szCs w:val="22"/>
        </w:rPr>
        <w:t xml:space="preserve"> with a view to facilitating the sharing of experiences and lessons learned and harnessing associated synergies;</w:t>
      </w:r>
    </w:p>
    <w:p w:rsidR="00081C7C" w:rsidRPr="00FF7527" w:rsidRDefault="00323F9C">
      <w:pPr>
        <w:pStyle w:val="Para1"/>
        <w:numPr>
          <w:ilvl w:val="1"/>
          <w:numId w:val="2"/>
        </w:numPr>
        <w:suppressLineNumbers/>
        <w:suppressAutoHyphens/>
        <w:kinsoku w:val="0"/>
        <w:overflowPunct w:val="0"/>
        <w:autoSpaceDE w:val="0"/>
        <w:autoSpaceDN w:val="0"/>
        <w:adjustRightInd w:val="0"/>
        <w:snapToGrid w:val="0"/>
        <w:ind w:left="720"/>
        <w:rPr>
          <w:iCs/>
          <w:snapToGrid/>
          <w:kern w:val="22"/>
          <w:szCs w:val="22"/>
        </w:rPr>
      </w:pPr>
      <w:r>
        <w:rPr>
          <w:iCs/>
          <w:snapToGrid/>
          <w:kern w:val="22"/>
          <w:szCs w:val="22"/>
        </w:rPr>
        <w:t>O</w:t>
      </w:r>
      <w:r w:rsidR="00081C7C" w:rsidRPr="00FF7527">
        <w:rPr>
          <w:iCs/>
          <w:snapToGrid/>
          <w:kern w:val="22"/>
          <w:szCs w:val="22"/>
        </w:rPr>
        <w:t xml:space="preserve">n the use of the Access and </w:t>
      </w:r>
      <w:r w:rsidR="006058B1" w:rsidRPr="00FF7527">
        <w:rPr>
          <w:iCs/>
          <w:snapToGrid/>
          <w:kern w:val="22"/>
          <w:szCs w:val="22"/>
        </w:rPr>
        <w:t>B</w:t>
      </w:r>
      <w:r w:rsidR="00081C7C" w:rsidRPr="00FF7527">
        <w:rPr>
          <w:iCs/>
          <w:snapToGrid/>
          <w:kern w:val="22"/>
          <w:szCs w:val="22"/>
        </w:rPr>
        <w:t>enefit</w:t>
      </w:r>
      <w:r w:rsidR="006058B1" w:rsidRPr="00FF7527">
        <w:rPr>
          <w:iCs/>
          <w:snapToGrid/>
          <w:kern w:val="22"/>
          <w:szCs w:val="22"/>
        </w:rPr>
        <w:t>-</w:t>
      </w:r>
      <w:r w:rsidR="009F7541">
        <w:rPr>
          <w:iCs/>
          <w:snapToGrid/>
          <w:kern w:val="22"/>
          <w:szCs w:val="22"/>
        </w:rPr>
        <w:t>s</w:t>
      </w:r>
      <w:r w:rsidR="00081C7C" w:rsidRPr="00FF7527">
        <w:rPr>
          <w:iCs/>
          <w:snapToGrid/>
          <w:kern w:val="22"/>
          <w:szCs w:val="22"/>
        </w:rPr>
        <w:t xml:space="preserve">haring Clearing-House, </w:t>
      </w:r>
      <w:proofErr w:type="gramStart"/>
      <w:r w:rsidR="00081C7C" w:rsidRPr="00FF7527">
        <w:rPr>
          <w:iCs/>
          <w:snapToGrid/>
          <w:kern w:val="22"/>
          <w:szCs w:val="22"/>
        </w:rPr>
        <w:t xml:space="preserve">on </w:t>
      </w:r>
      <w:r w:rsidR="00957FCD">
        <w:rPr>
          <w:iCs/>
          <w:snapToGrid/>
          <w:kern w:val="22"/>
          <w:szCs w:val="22"/>
        </w:rPr>
        <w:t>the basis of</w:t>
      </w:r>
      <w:proofErr w:type="gramEnd"/>
      <w:r w:rsidR="00957FCD">
        <w:rPr>
          <w:iCs/>
          <w:snapToGrid/>
          <w:kern w:val="22"/>
          <w:szCs w:val="22"/>
        </w:rPr>
        <w:t xml:space="preserve"> </w:t>
      </w:r>
      <w:r w:rsidR="00081C7C" w:rsidRPr="00FF7527">
        <w:rPr>
          <w:iCs/>
          <w:snapToGrid/>
          <w:kern w:val="22"/>
          <w:szCs w:val="22"/>
        </w:rPr>
        <w:t>experiences and lessons learned during the Project on Continued Enhancement of Building Capacity for Effective Participation in the Biosafety Clearing-House and using resources under the biodiversity focal area;</w:t>
      </w:r>
    </w:p>
    <w:p w:rsidR="00081C7C" w:rsidRPr="001F0A11" w:rsidRDefault="00BA76AC">
      <w:pPr>
        <w:pStyle w:val="Para1"/>
        <w:numPr>
          <w:ilvl w:val="0"/>
          <w:numId w:val="0"/>
        </w:numPr>
        <w:suppressLineNumbers/>
        <w:suppressAutoHyphens/>
        <w:kinsoku w:val="0"/>
        <w:overflowPunct w:val="0"/>
        <w:autoSpaceDE w:val="0"/>
        <w:autoSpaceDN w:val="0"/>
        <w:adjustRightInd w:val="0"/>
        <w:snapToGrid w:val="0"/>
        <w:ind w:left="720" w:firstLine="720"/>
        <w:rPr>
          <w:snapToGrid/>
          <w:spacing w:val="-1"/>
          <w:kern w:val="22"/>
        </w:rPr>
      </w:pPr>
      <w:r w:rsidRPr="001F0A11">
        <w:rPr>
          <w:snapToGrid/>
          <w:spacing w:val="-1"/>
          <w:kern w:val="22"/>
        </w:rPr>
        <w:t>5</w:t>
      </w:r>
      <w:r w:rsidR="00081C7C" w:rsidRPr="001F0A11">
        <w:rPr>
          <w:snapToGrid/>
          <w:spacing w:val="-1"/>
          <w:kern w:val="22"/>
        </w:rPr>
        <w:t>.</w:t>
      </w:r>
      <w:r w:rsidR="00081C7C" w:rsidRPr="001F0A11">
        <w:rPr>
          <w:snapToGrid/>
          <w:spacing w:val="-1"/>
          <w:kern w:val="22"/>
        </w:rPr>
        <w:tab/>
      </w:r>
      <w:r w:rsidR="00B21601" w:rsidRPr="001F0A11">
        <w:rPr>
          <w:i/>
          <w:snapToGrid/>
          <w:spacing w:val="-1"/>
          <w:kern w:val="22"/>
        </w:rPr>
        <w:t xml:space="preserve">Notes </w:t>
      </w:r>
      <w:r w:rsidR="00B21601" w:rsidRPr="001F0A11">
        <w:rPr>
          <w:snapToGrid/>
          <w:spacing w:val="-1"/>
          <w:kern w:val="22"/>
        </w:rPr>
        <w:t xml:space="preserve">the ongoing </w:t>
      </w:r>
      <w:r w:rsidR="00081C7C" w:rsidRPr="001F0A11">
        <w:rPr>
          <w:snapToGrid/>
          <w:spacing w:val="-1"/>
          <w:kern w:val="22"/>
        </w:rPr>
        <w:t>review and updat</w:t>
      </w:r>
      <w:r w:rsidR="003935F1" w:rsidRPr="001F0A11">
        <w:rPr>
          <w:snapToGrid/>
          <w:spacing w:val="-1"/>
          <w:kern w:val="22"/>
        </w:rPr>
        <w:t>ing</w:t>
      </w:r>
      <w:r w:rsidR="00081C7C" w:rsidRPr="001F0A11">
        <w:rPr>
          <w:snapToGrid/>
          <w:spacing w:val="-1"/>
          <w:kern w:val="22"/>
        </w:rPr>
        <w:t xml:space="preserve"> </w:t>
      </w:r>
      <w:r w:rsidR="00323F9C" w:rsidRPr="00E61DC1">
        <w:rPr>
          <w:snapToGrid/>
          <w:spacing w:val="-1"/>
          <w:kern w:val="22"/>
        </w:rPr>
        <w:t>against criteria of best practice</w:t>
      </w:r>
      <w:r w:rsidR="00323F9C" w:rsidRPr="00323F9C">
        <w:rPr>
          <w:snapToGrid/>
          <w:spacing w:val="-1"/>
          <w:kern w:val="22"/>
        </w:rPr>
        <w:t xml:space="preserve"> </w:t>
      </w:r>
      <w:r w:rsidR="00B21601" w:rsidRPr="001F0A11">
        <w:rPr>
          <w:snapToGrid/>
          <w:spacing w:val="-1"/>
          <w:kern w:val="22"/>
        </w:rPr>
        <w:t xml:space="preserve">of </w:t>
      </w:r>
      <w:r w:rsidR="003B7B15" w:rsidRPr="001F0A11">
        <w:rPr>
          <w:snapToGrid/>
          <w:spacing w:val="-1"/>
          <w:kern w:val="22"/>
        </w:rPr>
        <w:t>the Global Environment Facility</w:t>
      </w:r>
      <w:r w:rsidR="00B21601" w:rsidRPr="001F0A11">
        <w:rPr>
          <w:snapToGrid/>
          <w:spacing w:val="-1"/>
          <w:kern w:val="22"/>
        </w:rPr>
        <w:t xml:space="preserve">’s </w:t>
      </w:r>
      <w:r w:rsidR="00081C7C" w:rsidRPr="001F0A11">
        <w:rPr>
          <w:snapToGrid/>
          <w:spacing w:val="-1"/>
          <w:kern w:val="22"/>
        </w:rPr>
        <w:t>policy on safeguards and rules of engagement with indigenous peoples;</w:t>
      </w:r>
    </w:p>
    <w:p w:rsidR="00081C7C" w:rsidRPr="00FF7527" w:rsidRDefault="00191CDD">
      <w:pPr>
        <w:pStyle w:val="Para1"/>
        <w:numPr>
          <w:ilvl w:val="0"/>
          <w:numId w:val="0"/>
        </w:numPr>
        <w:suppressLineNumbers/>
        <w:suppressAutoHyphens/>
        <w:kinsoku w:val="0"/>
        <w:overflowPunct w:val="0"/>
        <w:autoSpaceDE w:val="0"/>
        <w:autoSpaceDN w:val="0"/>
        <w:adjustRightInd w:val="0"/>
        <w:snapToGrid w:val="0"/>
        <w:ind w:left="720" w:firstLine="720"/>
        <w:rPr>
          <w:snapToGrid/>
          <w:kern w:val="22"/>
        </w:rPr>
      </w:pPr>
      <w:r w:rsidRPr="00FF7527">
        <w:rPr>
          <w:snapToGrid/>
          <w:kern w:val="22"/>
        </w:rPr>
        <w:t>6</w:t>
      </w:r>
      <w:r w:rsidR="00081C7C" w:rsidRPr="00FF7527">
        <w:rPr>
          <w:snapToGrid/>
          <w:kern w:val="22"/>
        </w:rPr>
        <w:t>.</w:t>
      </w:r>
      <w:r w:rsidR="00081C7C" w:rsidRPr="00FF7527">
        <w:rPr>
          <w:snapToGrid/>
          <w:kern w:val="22"/>
        </w:rPr>
        <w:tab/>
      </w:r>
      <w:r w:rsidRPr="00FF7527">
        <w:rPr>
          <w:i/>
          <w:snapToGrid/>
          <w:kern w:val="22"/>
        </w:rPr>
        <w:t>I</w:t>
      </w:r>
      <w:r w:rsidR="00081C7C" w:rsidRPr="00FF7527">
        <w:rPr>
          <w:i/>
          <w:snapToGrid/>
          <w:kern w:val="22"/>
        </w:rPr>
        <w:t xml:space="preserve">nvites </w:t>
      </w:r>
      <w:r w:rsidR="00081C7C" w:rsidRPr="00FF7527">
        <w:rPr>
          <w:snapToGrid/>
          <w:kern w:val="22"/>
        </w:rPr>
        <w:t xml:space="preserve">the Global Environment Facility to </w:t>
      </w:r>
      <w:r w:rsidR="002C4EF0" w:rsidRPr="00FF7527">
        <w:rPr>
          <w:snapToGrid/>
          <w:kern w:val="22"/>
        </w:rPr>
        <w:t>continue</w:t>
      </w:r>
      <w:r w:rsidR="00081C7C" w:rsidRPr="00FF7527">
        <w:rPr>
          <w:snapToGrid/>
          <w:kern w:val="22"/>
        </w:rPr>
        <w:t xml:space="preserve"> its support for national </w:t>
      </w:r>
      <w:r w:rsidR="00B21601" w:rsidRPr="00FF7527">
        <w:rPr>
          <w:snapToGrid/>
          <w:kern w:val="22"/>
        </w:rPr>
        <w:t xml:space="preserve">implementation </w:t>
      </w:r>
      <w:r w:rsidR="00081C7C" w:rsidRPr="00FF7527">
        <w:rPr>
          <w:snapToGrid/>
          <w:kern w:val="22"/>
        </w:rPr>
        <w:t>activities under the Strategic Plan for Biodiversity 2011-2020</w:t>
      </w:r>
      <w:r w:rsidR="002C4EF0" w:rsidRPr="00FF7527">
        <w:rPr>
          <w:snapToGrid/>
          <w:kern w:val="22"/>
        </w:rPr>
        <w:t xml:space="preserve"> in an efficient manner</w:t>
      </w:r>
      <w:r w:rsidR="00ED6D0E" w:rsidRPr="00FF7527">
        <w:rPr>
          <w:snapToGrid/>
          <w:kern w:val="22"/>
        </w:rPr>
        <w:t>, with a view to enabl</w:t>
      </w:r>
      <w:r w:rsidR="00F2463B">
        <w:rPr>
          <w:snapToGrid/>
          <w:kern w:val="22"/>
        </w:rPr>
        <w:t>ing</w:t>
      </w:r>
      <w:r w:rsidR="00ED6D0E" w:rsidRPr="00FF7527">
        <w:rPr>
          <w:snapToGrid/>
          <w:kern w:val="22"/>
        </w:rPr>
        <w:t xml:space="preserve"> Parties to enhance </w:t>
      </w:r>
      <w:r w:rsidR="00233AF5" w:rsidRPr="00FF7527">
        <w:rPr>
          <w:snapToGrid/>
          <w:kern w:val="22"/>
        </w:rPr>
        <w:t xml:space="preserve">progress towards the </w:t>
      </w:r>
      <w:r w:rsidR="00016C70" w:rsidRPr="00FF7527">
        <w:rPr>
          <w:snapToGrid/>
          <w:kern w:val="22"/>
        </w:rPr>
        <w:t xml:space="preserve">Aichi </w:t>
      </w:r>
      <w:r w:rsidR="00233AF5" w:rsidRPr="00FF7527">
        <w:rPr>
          <w:snapToGrid/>
          <w:kern w:val="22"/>
        </w:rPr>
        <w:t>Biodiversity</w:t>
      </w:r>
      <w:r w:rsidR="00ED6D0E" w:rsidRPr="00FF7527">
        <w:rPr>
          <w:snapToGrid/>
          <w:kern w:val="22"/>
        </w:rPr>
        <w:t xml:space="preserve"> Targets by 2020</w:t>
      </w:r>
      <w:r w:rsidR="00081C7C" w:rsidRPr="00FF7527">
        <w:rPr>
          <w:snapToGrid/>
          <w:kern w:val="22"/>
        </w:rPr>
        <w:t>;</w:t>
      </w:r>
    </w:p>
    <w:p w:rsidR="00081C7C" w:rsidRPr="00FF7527" w:rsidRDefault="00BA1927">
      <w:pPr>
        <w:pStyle w:val="Para1"/>
        <w:numPr>
          <w:ilvl w:val="0"/>
          <w:numId w:val="0"/>
        </w:numPr>
        <w:suppressLineNumbers/>
        <w:suppressAutoHyphens/>
        <w:kinsoku w:val="0"/>
        <w:overflowPunct w:val="0"/>
        <w:autoSpaceDE w:val="0"/>
        <w:autoSpaceDN w:val="0"/>
        <w:adjustRightInd w:val="0"/>
        <w:snapToGrid w:val="0"/>
        <w:ind w:left="720" w:firstLine="720"/>
        <w:rPr>
          <w:iCs/>
          <w:snapToGrid/>
          <w:kern w:val="22"/>
          <w:szCs w:val="22"/>
        </w:rPr>
      </w:pPr>
      <w:r w:rsidRPr="00FF7527">
        <w:rPr>
          <w:iCs/>
          <w:snapToGrid/>
          <w:kern w:val="22"/>
          <w:szCs w:val="22"/>
        </w:rPr>
        <w:t>7</w:t>
      </w:r>
      <w:r w:rsidR="00081C7C" w:rsidRPr="00FF7527">
        <w:rPr>
          <w:iCs/>
          <w:snapToGrid/>
          <w:kern w:val="22"/>
          <w:szCs w:val="22"/>
        </w:rPr>
        <w:t>.</w:t>
      </w:r>
      <w:r w:rsidR="00081C7C" w:rsidRPr="00FF7527">
        <w:rPr>
          <w:iCs/>
          <w:snapToGrid/>
          <w:kern w:val="22"/>
          <w:szCs w:val="22"/>
        </w:rPr>
        <w:tab/>
      </w:r>
      <w:r w:rsidR="00081C7C" w:rsidRPr="00FF7527">
        <w:rPr>
          <w:i/>
          <w:iCs/>
          <w:snapToGrid/>
          <w:kern w:val="22"/>
          <w:szCs w:val="22"/>
        </w:rPr>
        <w:t>Encourages</w:t>
      </w:r>
      <w:r w:rsidR="00081C7C" w:rsidRPr="00FF7527">
        <w:rPr>
          <w:iCs/>
          <w:snapToGrid/>
          <w:kern w:val="22"/>
          <w:szCs w:val="22"/>
        </w:rPr>
        <w:t xml:space="preserve"> the Executive Secretary to work closely with the Global Environment Facility in the transition to the </w:t>
      </w:r>
      <w:r w:rsidR="00323F9C">
        <w:t>post-2020 global biodiversity framework</w:t>
      </w:r>
      <w:r w:rsidR="00B64168" w:rsidRPr="00FF7527">
        <w:rPr>
          <w:iCs/>
          <w:snapToGrid/>
          <w:kern w:val="22"/>
          <w:szCs w:val="22"/>
        </w:rPr>
        <w:t>;</w:t>
      </w:r>
    </w:p>
    <w:p w:rsidR="00B64168" w:rsidRPr="00FF7527" w:rsidRDefault="00BA1927">
      <w:pPr>
        <w:pStyle w:val="Para1"/>
        <w:numPr>
          <w:ilvl w:val="0"/>
          <w:numId w:val="0"/>
        </w:numPr>
        <w:suppressLineNumbers/>
        <w:suppressAutoHyphens/>
        <w:kinsoku w:val="0"/>
        <w:overflowPunct w:val="0"/>
        <w:autoSpaceDE w:val="0"/>
        <w:autoSpaceDN w:val="0"/>
        <w:adjustRightInd w:val="0"/>
        <w:snapToGrid w:val="0"/>
        <w:ind w:left="720" w:firstLine="720"/>
        <w:rPr>
          <w:snapToGrid/>
          <w:kern w:val="22"/>
        </w:rPr>
      </w:pPr>
      <w:r w:rsidRPr="00FF7527">
        <w:rPr>
          <w:snapToGrid/>
          <w:kern w:val="22"/>
        </w:rPr>
        <w:t>8</w:t>
      </w:r>
      <w:r w:rsidR="00B64168" w:rsidRPr="00FF7527">
        <w:rPr>
          <w:snapToGrid/>
          <w:kern w:val="22"/>
        </w:rPr>
        <w:t>.</w:t>
      </w:r>
      <w:r w:rsidR="00B64168" w:rsidRPr="00FF7527">
        <w:rPr>
          <w:snapToGrid/>
          <w:kern w:val="22"/>
        </w:rPr>
        <w:tab/>
      </w:r>
      <w:r w:rsidR="003246F4" w:rsidRPr="00FF7527">
        <w:rPr>
          <w:i/>
          <w:snapToGrid/>
          <w:kern w:val="22"/>
        </w:rPr>
        <w:t>Also e</w:t>
      </w:r>
      <w:r w:rsidR="00B64168" w:rsidRPr="00FF7527">
        <w:rPr>
          <w:i/>
          <w:snapToGrid/>
          <w:kern w:val="22"/>
        </w:rPr>
        <w:t>ncourages</w:t>
      </w:r>
      <w:r w:rsidR="00B64168" w:rsidRPr="00FF7527">
        <w:rPr>
          <w:snapToGrid/>
          <w:kern w:val="22"/>
        </w:rPr>
        <w:t xml:space="preserve"> the Executive Secretary to work closely with agencies associated with the Global Environment Facility in the transition to the </w:t>
      </w:r>
      <w:r w:rsidR="00323F9C">
        <w:t>post-2020 global biodiversity framework</w:t>
      </w:r>
      <w:r w:rsidR="00B64168" w:rsidRPr="00FF7527">
        <w:rPr>
          <w:snapToGrid/>
          <w:kern w:val="22"/>
        </w:rPr>
        <w:t xml:space="preserve">, </w:t>
      </w:r>
      <w:proofErr w:type="gramStart"/>
      <w:r w:rsidR="00B64168" w:rsidRPr="00FF7527">
        <w:rPr>
          <w:snapToGrid/>
          <w:kern w:val="22"/>
        </w:rPr>
        <w:t>taking into account</w:t>
      </w:r>
      <w:proofErr w:type="gramEnd"/>
      <w:r w:rsidR="00B64168" w:rsidRPr="00FF7527">
        <w:rPr>
          <w:snapToGrid/>
          <w:kern w:val="22"/>
        </w:rPr>
        <w:t xml:space="preserve"> the need to promote greater synergies between the Global Environment Facility and other financing mechanisms</w:t>
      </w:r>
      <w:r w:rsidRPr="00FF7527">
        <w:rPr>
          <w:snapToGrid/>
          <w:kern w:val="22"/>
        </w:rPr>
        <w:t>.</w:t>
      </w:r>
    </w:p>
    <w:p w:rsidR="00233AF5" w:rsidRPr="00FF7527" w:rsidRDefault="00233AF5">
      <w:pPr>
        <w:pStyle w:val="Para1"/>
        <w:numPr>
          <w:ilvl w:val="0"/>
          <w:numId w:val="0"/>
        </w:numPr>
        <w:suppressLineNumbers/>
        <w:suppressAutoHyphens/>
        <w:kinsoku w:val="0"/>
        <w:overflowPunct w:val="0"/>
        <w:autoSpaceDE w:val="0"/>
        <w:autoSpaceDN w:val="0"/>
        <w:adjustRightInd w:val="0"/>
        <w:snapToGrid w:val="0"/>
        <w:ind w:left="720" w:firstLine="720"/>
        <w:rPr>
          <w:snapToGrid/>
          <w:kern w:val="22"/>
          <w:szCs w:val="22"/>
        </w:rPr>
      </w:pPr>
    </w:p>
    <w:p w:rsidR="003C03BE" w:rsidRPr="00FF7527" w:rsidRDefault="003C03BE">
      <w:pPr>
        <w:pStyle w:val="Para1"/>
        <w:numPr>
          <w:ilvl w:val="0"/>
          <w:numId w:val="0"/>
        </w:numPr>
        <w:suppressLineNumbers/>
        <w:suppressAutoHyphens/>
        <w:kinsoku w:val="0"/>
        <w:overflowPunct w:val="0"/>
        <w:autoSpaceDE w:val="0"/>
        <w:autoSpaceDN w:val="0"/>
        <w:adjustRightInd w:val="0"/>
        <w:snapToGrid w:val="0"/>
        <w:jc w:val="center"/>
        <w:rPr>
          <w:snapToGrid/>
          <w:kern w:val="22"/>
          <w:szCs w:val="22"/>
        </w:rPr>
      </w:pPr>
      <w:r w:rsidRPr="00FF7527">
        <w:rPr>
          <w:snapToGrid/>
          <w:kern w:val="22"/>
          <w:szCs w:val="22"/>
        </w:rPr>
        <w:t>__________</w:t>
      </w:r>
    </w:p>
    <w:p w:rsidR="00B3369F" w:rsidRPr="00FF7527" w:rsidRDefault="00B3369F">
      <w:pPr>
        <w:suppressLineNumbers/>
        <w:suppressAutoHyphens/>
        <w:kinsoku w:val="0"/>
        <w:overflowPunct w:val="0"/>
        <w:autoSpaceDE w:val="0"/>
        <w:autoSpaceDN w:val="0"/>
        <w:adjustRightInd w:val="0"/>
        <w:snapToGrid w:val="0"/>
        <w:rPr>
          <w:kern w:val="22"/>
        </w:rPr>
      </w:pPr>
    </w:p>
    <w:sectPr w:rsidR="00B3369F" w:rsidRPr="00FF7527" w:rsidSect="00B31CE7">
      <w:headerReference w:type="even" r:id="rId12"/>
      <w:headerReference w:type="default" r:id="rId13"/>
      <w:footerReference w:type="even" r:id="rId14"/>
      <w:footerReference w:type="default" r:id="rId15"/>
      <w:footerReference w:type="first" r:id="rId16"/>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4DBE" w:rsidRDefault="005E4DBE" w:rsidP="00CF1848">
      <w:r>
        <w:separator/>
      </w:r>
    </w:p>
  </w:endnote>
  <w:endnote w:type="continuationSeparator" w:id="0">
    <w:p w:rsidR="005E4DBE" w:rsidRDefault="005E4DBE"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A44" w:rsidRDefault="006C5A44" w:rsidP="00B31CE7">
    <w:pPr>
      <w:pStyle w:val="Footer"/>
      <w:tabs>
        <w:tab w:val="clear" w:pos="4320"/>
        <w:tab w:val="clear" w:pos="8640"/>
      </w:tabs>
      <w:ind w:firstLine="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06C" w:rsidRDefault="0028406C" w:rsidP="00B31CE7">
    <w:pPr>
      <w:pStyle w:val="Footer"/>
      <w:tabs>
        <w:tab w:val="clear" w:pos="4320"/>
        <w:tab w:val="clear" w:pos="8640"/>
      </w:tabs>
      <w:ind w:firstLine="0"/>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06C" w:rsidRDefault="0028406C" w:rsidP="00B31CE7">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4DBE" w:rsidRDefault="005E4DBE" w:rsidP="00CF1848">
      <w:r>
        <w:separator/>
      </w:r>
    </w:p>
  </w:footnote>
  <w:footnote w:type="continuationSeparator" w:id="0">
    <w:p w:rsidR="005E4DBE" w:rsidRDefault="005E4DBE" w:rsidP="00CF1848">
      <w:r>
        <w:continuationSeparator/>
      </w:r>
    </w:p>
  </w:footnote>
  <w:footnote w:id="1">
    <w:p w:rsidR="00081C7C" w:rsidRPr="00E259ED" w:rsidRDefault="00081C7C" w:rsidP="00EC37D7">
      <w:pPr>
        <w:pStyle w:val="FootnoteText"/>
        <w:kinsoku w:val="0"/>
        <w:overflowPunct w:val="0"/>
        <w:autoSpaceDE w:val="0"/>
        <w:autoSpaceDN w:val="0"/>
        <w:adjustRightInd w:val="0"/>
        <w:snapToGrid w:val="0"/>
        <w:ind w:firstLine="0"/>
        <w:jc w:val="left"/>
        <w:rPr>
          <w:snapToGrid w:val="0"/>
          <w:kern w:val="18"/>
          <w:szCs w:val="18"/>
        </w:rPr>
      </w:pPr>
      <w:r w:rsidRPr="00E259ED">
        <w:rPr>
          <w:rStyle w:val="FootnoteReference"/>
          <w:snapToGrid w:val="0"/>
          <w:kern w:val="18"/>
          <w:sz w:val="18"/>
          <w:szCs w:val="18"/>
        </w:rPr>
        <w:footnoteRef/>
      </w:r>
      <w:r w:rsidRPr="00E259ED">
        <w:rPr>
          <w:snapToGrid w:val="0"/>
          <w:kern w:val="18"/>
          <w:szCs w:val="18"/>
        </w:rPr>
        <w:t xml:space="preserve"> </w:t>
      </w:r>
      <w:r w:rsidRPr="00E259ED">
        <w:rPr>
          <w:iCs/>
          <w:snapToGrid w:val="0"/>
          <w:kern w:val="18"/>
          <w:szCs w:val="18"/>
        </w:rPr>
        <w:t>CBD/SBI/2/8.</w:t>
      </w:r>
    </w:p>
  </w:footnote>
  <w:footnote w:id="2">
    <w:p w:rsidR="00191CDD" w:rsidRPr="00E259ED" w:rsidRDefault="00191CDD" w:rsidP="00EC37D7">
      <w:pPr>
        <w:pStyle w:val="FootnoteText"/>
        <w:kinsoku w:val="0"/>
        <w:overflowPunct w:val="0"/>
        <w:autoSpaceDE w:val="0"/>
        <w:autoSpaceDN w:val="0"/>
        <w:adjustRightInd w:val="0"/>
        <w:snapToGrid w:val="0"/>
        <w:ind w:firstLine="0"/>
        <w:jc w:val="left"/>
        <w:rPr>
          <w:szCs w:val="18"/>
        </w:rPr>
      </w:pPr>
      <w:r w:rsidRPr="00E259ED">
        <w:rPr>
          <w:rStyle w:val="FootnoteReference"/>
          <w:sz w:val="18"/>
          <w:szCs w:val="18"/>
        </w:rPr>
        <w:footnoteRef/>
      </w:r>
      <w:r w:rsidRPr="00E259ED">
        <w:rPr>
          <w:szCs w:val="18"/>
        </w:rPr>
        <w:t xml:space="preserve"> CBD/SBI/2/INF/25</w:t>
      </w:r>
      <w:r w:rsidR="001F6518" w:rsidRPr="00E259ED">
        <w:rPr>
          <w:szCs w:val="18"/>
        </w:rPr>
        <w:t>.</w:t>
      </w:r>
    </w:p>
  </w:footnote>
  <w:footnote w:id="3">
    <w:p w:rsidR="00BA76AC" w:rsidRPr="00E259ED" w:rsidRDefault="00BA76AC" w:rsidP="00EC37D7">
      <w:pPr>
        <w:pStyle w:val="FootnoteText"/>
        <w:kinsoku w:val="0"/>
        <w:overflowPunct w:val="0"/>
        <w:autoSpaceDE w:val="0"/>
        <w:autoSpaceDN w:val="0"/>
        <w:adjustRightInd w:val="0"/>
        <w:snapToGrid w:val="0"/>
        <w:ind w:firstLine="0"/>
        <w:jc w:val="left"/>
        <w:rPr>
          <w:snapToGrid w:val="0"/>
          <w:kern w:val="18"/>
          <w:szCs w:val="18"/>
        </w:rPr>
      </w:pPr>
      <w:r w:rsidRPr="00E259ED">
        <w:rPr>
          <w:rStyle w:val="FootnoteReference"/>
          <w:snapToGrid w:val="0"/>
          <w:kern w:val="18"/>
          <w:sz w:val="18"/>
          <w:szCs w:val="18"/>
        </w:rPr>
        <w:footnoteRef/>
      </w:r>
      <w:r w:rsidRPr="00E259ED">
        <w:rPr>
          <w:snapToGrid w:val="0"/>
          <w:kern w:val="18"/>
          <w:szCs w:val="18"/>
        </w:rPr>
        <w:t xml:space="preserve"> CBD/SBI/2/8/Add.1.</w:t>
      </w:r>
    </w:p>
  </w:footnote>
  <w:footnote w:id="4">
    <w:p w:rsidR="00B43720" w:rsidRPr="00323F9C" w:rsidRDefault="00B43720" w:rsidP="00FF7527">
      <w:pPr>
        <w:pStyle w:val="FootnoteText"/>
        <w:kinsoku w:val="0"/>
        <w:overflowPunct w:val="0"/>
        <w:autoSpaceDE w:val="0"/>
        <w:autoSpaceDN w:val="0"/>
        <w:adjustRightInd w:val="0"/>
        <w:snapToGrid w:val="0"/>
        <w:ind w:firstLine="0"/>
        <w:jc w:val="left"/>
        <w:rPr>
          <w:szCs w:val="18"/>
        </w:rPr>
      </w:pPr>
      <w:r w:rsidRPr="001F0A11">
        <w:rPr>
          <w:rStyle w:val="FootnoteReference"/>
          <w:sz w:val="18"/>
          <w:szCs w:val="18"/>
        </w:rPr>
        <w:footnoteRef/>
      </w:r>
      <w:r w:rsidRPr="00323F9C">
        <w:rPr>
          <w:szCs w:val="18"/>
        </w:rPr>
        <w:t xml:space="preserve"> See decision XIII/21.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534681" w:rsidRPr="00B31CE7" w:rsidRDefault="00016C70" w:rsidP="00B31CE7">
        <w:pPr>
          <w:pStyle w:val="Header"/>
          <w:tabs>
            <w:tab w:val="clear" w:pos="4320"/>
            <w:tab w:val="clear" w:pos="8640"/>
          </w:tabs>
          <w:rPr>
            <w:noProof/>
          </w:rPr>
        </w:pPr>
        <w:r>
          <w:rPr>
            <w:noProof/>
          </w:rPr>
          <w:t>CBD/SBI/REC/2/7</w:t>
        </w:r>
      </w:p>
    </w:sdtContent>
  </w:sdt>
  <w:p w:rsidR="00534681" w:rsidRPr="00B31CE7" w:rsidRDefault="00534681" w:rsidP="00B31CE7">
    <w:pPr>
      <w:pStyle w:val="Header"/>
      <w:tabs>
        <w:tab w:val="clear" w:pos="4320"/>
        <w:tab w:val="clear" w:pos="8640"/>
      </w:tabs>
      <w:rPr>
        <w:noProof/>
      </w:rPr>
    </w:pPr>
    <w:r w:rsidRPr="00B31CE7">
      <w:rPr>
        <w:noProof/>
      </w:rPr>
      <w:t xml:space="preserve">Page </w:t>
    </w:r>
    <w:r w:rsidRPr="00B31CE7">
      <w:rPr>
        <w:noProof/>
      </w:rPr>
      <w:fldChar w:fldCharType="begin"/>
    </w:r>
    <w:r w:rsidRPr="00B31CE7">
      <w:rPr>
        <w:noProof/>
      </w:rPr>
      <w:instrText xml:space="preserve"> PAGE   \* MERGEFORMAT </w:instrText>
    </w:r>
    <w:r w:rsidRPr="00B31CE7">
      <w:rPr>
        <w:noProof/>
      </w:rPr>
      <w:fldChar w:fldCharType="separate"/>
    </w:r>
    <w:r w:rsidR="001F0A11">
      <w:rPr>
        <w:noProof/>
      </w:rPr>
      <w:t>2</w:t>
    </w:r>
    <w:r w:rsidRPr="00B31CE7">
      <w:rPr>
        <w:noProof/>
      </w:rPr>
      <w:fldChar w:fldCharType="end"/>
    </w:r>
  </w:p>
  <w:p w:rsidR="00534681" w:rsidRPr="00B31CE7" w:rsidRDefault="00534681" w:rsidP="00B31CE7">
    <w:pPr>
      <w:pStyle w:val="Header"/>
      <w:tabs>
        <w:tab w:val="clear" w:pos="4320"/>
        <w:tab w:val="clear" w:pos="8640"/>
      </w:tabs>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9505C9" w:rsidRPr="00B31CE7" w:rsidRDefault="00016C70" w:rsidP="00B31CE7">
        <w:pPr>
          <w:pStyle w:val="Header"/>
          <w:tabs>
            <w:tab w:val="clear" w:pos="4320"/>
            <w:tab w:val="clear" w:pos="8640"/>
          </w:tabs>
          <w:kinsoku w:val="0"/>
          <w:overflowPunct w:val="0"/>
          <w:autoSpaceDE w:val="0"/>
          <w:autoSpaceDN w:val="0"/>
          <w:jc w:val="right"/>
          <w:rPr>
            <w:noProof/>
            <w:kern w:val="22"/>
          </w:rPr>
        </w:pPr>
        <w:r>
          <w:rPr>
            <w:noProof/>
            <w:kern w:val="22"/>
          </w:rPr>
          <w:t>CBD/SBI/REC/2/7</w:t>
        </w:r>
      </w:p>
    </w:sdtContent>
  </w:sdt>
  <w:p w:rsidR="009505C9" w:rsidRPr="00B31CE7" w:rsidRDefault="009505C9" w:rsidP="00B31CE7">
    <w:pPr>
      <w:pStyle w:val="Header"/>
      <w:tabs>
        <w:tab w:val="clear" w:pos="4320"/>
        <w:tab w:val="clear" w:pos="8640"/>
      </w:tabs>
      <w:kinsoku w:val="0"/>
      <w:overflowPunct w:val="0"/>
      <w:autoSpaceDE w:val="0"/>
      <w:autoSpaceDN w:val="0"/>
      <w:jc w:val="right"/>
      <w:rPr>
        <w:noProof/>
        <w:kern w:val="22"/>
      </w:rPr>
    </w:pPr>
    <w:r w:rsidRPr="00B31CE7">
      <w:rPr>
        <w:noProof/>
        <w:kern w:val="22"/>
      </w:rPr>
      <w:t xml:space="preserve">Page </w:t>
    </w:r>
    <w:r w:rsidRPr="00B31CE7">
      <w:rPr>
        <w:noProof/>
        <w:kern w:val="22"/>
      </w:rPr>
      <w:fldChar w:fldCharType="begin"/>
    </w:r>
    <w:r w:rsidRPr="00B31CE7">
      <w:rPr>
        <w:noProof/>
        <w:kern w:val="22"/>
      </w:rPr>
      <w:instrText xml:space="preserve"> PAGE   \* MERGEFORMAT </w:instrText>
    </w:r>
    <w:r w:rsidRPr="00B31CE7">
      <w:rPr>
        <w:noProof/>
        <w:kern w:val="22"/>
      </w:rPr>
      <w:fldChar w:fldCharType="separate"/>
    </w:r>
    <w:r w:rsidR="00015DF3">
      <w:rPr>
        <w:noProof/>
        <w:kern w:val="22"/>
      </w:rPr>
      <w:t>3</w:t>
    </w:r>
    <w:r w:rsidRPr="00B31CE7">
      <w:rPr>
        <w:noProof/>
        <w:kern w:val="22"/>
      </w:rPr>
      <w:fldChar w:fldCharType="end"/>
    </w:r>
  </w:p>
  <w:p w:rsidR="009505C9" w:rsidRPr="00B31CE7" w:rsidRDefault="009505C9" w:rsidP="00B31CE7">
    <w:pPr>
      <w:pStyle w:val="Header"/>
      <w:tabs>
        <w:tab w:val="clear" w:pos="4320"/>
        <w:tab w:val="clear" w:pos="8640"/>
      </w:tabs>
      <w:kinsoku w:val="0"/>
      <w:overflowPunct w:val="0"/>
      <w:autoSpaceDE w:val="0"/>
      <w:autoSpaceDN w:val="0"/>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 w:numId="19">
    <w:abstractNumId w:val="6"/>
  </w:num>
  <w:num w:numId="20">
    <w:abstractNumId w:val="6"/>
  </w:num>
  <w:num w:numId="21">
    <w:abstractNumId w:val="6"/>
  </w:num>
  <w:num w:numId="22">
    <w:abstractNumId w:val="6"/>
  </w:num>
  <w:num w:numId="23">
    <w:abstractNumId w:val="6"/>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0614"/>
    <w:rsid w:val="00015DF3"/>
    <w:rsid w:val="00016C70"/>
    <w:rsid w:val="0003020D"/>
    <w:rsid w:val="00081C7C"/>
    <w:rsid w:val="00085A1C"/>
    <w:rsid w:val="0008762A"/>
    <w:rsid w:val="000B653F"/>
    <w:rsid w:val="000C2048"/>
    <w:rsid w:val="000D7E15"/>
    <w:rsid w:val="000E673A"/>
    <w:rsid w:val="000F641C"/>
    <w:rsid w:val="000F74F5"/>
    <w:rsid w:val="00105372"/>
    <w:rsid w:val="00131E7A"/>
    <w:rsid w:val="001521BF"/>
    <w:rsid w:val="0015430C"/>
    <w:rsid w:val="00162CAB"/>
    <w:rsid w:val="00172AF6"/>
    <w:rsid w:val="00176CEE"/>
    <w:rsid w:val="00191CDD"/>
    <w:rsid w:val="001F0A11"/>
    <w:rsid w:val="001F6518"/>
    <w:rsid w:val="00233AF5"/>
    <w:rsid w:val="0028406C"/>
    <w:rsid w:val="002C4EF0"/>
    <w:rsid w:val="00323F9C"/>
    <w:rsid w:val="003246F4"/>
    <w:rsid w:val="0033517A"/>
    <w:rsid w:val="0036072C"/>
    <w:rsid w:val="00372F74"/>
    <w:rsid w:val="003935F1"/>
    <w:rsid w:val="003B7B15"/>
    <w:rsid w:val="003C03BE"/>
    <w:rsid w:val="003C47EE"/>
    <w:rsid w:val="003E2EBB"/>
    <w:rsid w:val="003F63E4"/>
    <w:rsid w:val="003F7224"/>
    <w:rsid w:val="004011B7"/>
    <w:rsid w:val="00405146"/>
    <w:rsid w:val="004073C0"/>
    <w:rsid w:val="0042021A"/>
    <w:rsid w:val="0042412C"/>
    <w:rsid w:val="00426974"/>
    <w:rsid w:val="00427D21"/>
    <w:rsid w:val="004316B3"/>
    <w:rsid w:val="004644C2"/>
    <w:rsid w:val="004665D7"/>
    <w:rsid w:val="00467F9C"/>
    <w:rsid w:val="00503835"/>
    <w:rsid w:val="00520243"/>
    <w:rsid w:val="00522B04"/>
    <w:rsid w:val="00534681"/>
    <w:rsid w:val="00573F16"/>
    <w:rsid w:val="005D498B"/>
    <w:rsid w:val="005E4DBE"/>
    <w:rsid w:val="006058B1"/>
    <w:rsid w:val="006122BA"/>
    <w:rsid w:val="00625BEC"/>
    <w:rsid w:val="00665101"/>
    <w:rsid w:val="006A051B"/>
    <w:rsid w:val="006A0F7C"/>
    <w:rsid w:val="006B2290"/>
    <w:rsid w:val="006C5A44"/>
    <w:rsid w:val="006C7F4E"/>
    <w:rsid w:val="006E764B"/>
    <w:rsid w:val="007123D1"/>
    <w:rsid w:val="00717D88"/>
    <w:rsid w:val="00727C36"/>
    <w:rsid w:val="00792701"/>
    <w:rsid w:val="007942D3"/>
    <w:rsid w:val="007B6C09"/>
    <w:rsid w:val="007E0625"/>
    <w:rsid w:val="007E09DA"/>
    <w:rsid w:val="008178B6"/>
    <w:rsid w:val="00826973"/>
    <w:rsid w:val="0084175F"/>
    <w:rsid w:val="00865B74"/>
    <w:rsid w:val="008A4F67"/>
    <w:rsid w:val="008C3198"/>
    <w:rsid w:val="008C4547"/>
    <w:rsid w:val="008C49DF"/>
    <w:rsid w:val="008E56D5"/>
    <w:rsid w:val="00900EBC"/>
    <w:rsid w:val="009234AC"/>
    <w:rsid w:val="00923E9C"/>
    <w:rsid w:val="00930BA1"/>
    <w:rsid w:val="0093169E"/>
    <w:rsid w:val="0093306A"/>
    <w:rsid w:val="009505C9"/>
    <w:rsid w:val="00955EC4"/>
    <w:rsid w:val="00957FCD"/>
    <w:rsid w:val="00963E56"/>
    <w:rsid w:val="00967E0D"/>
    <w:rsid w:val="0099531D"/>
    <w:rsid w:val="009C200D"/>
    <w:rsid w:val="009C3522"/>
    <w:rsid w:val="009C6E7E"/>
    <w:rsid w:val="009F7541"/>
    <w:rsid w:val="00A37986"/>
    <w:rsid w:val="00A60104"/>
    <w:rsid w:val="00A75F76"/>
    <w:rsid w:val="00AA3C7D"/>
    <w:rsid w:val="00AC2E4F"/>
    <w:rsid w:val="00AC39AA"/>
    <w:rsid w:val="00AF2C3E"/>
    <w:rsid w:val="00B10B12"/>
    <w:rsid w:val="00B21601"/>
    <w:rsid w:val="00B23FEE"/>
    <w:rsid w:val="00B31CE7"/>
    <w:rsid w:val="00B3369F"/>
    <w:rsid w:val="00B35027"/>
    <w:rsid w:val="00B43720"/>
    <w:rsid w:val="00B64168"/>
    <w:rsid w:val="00BA1927"/>
    <w:rsid w:val="00BA76AC"/>
    <w:rsid w:val="00BB2D60"/>
    <w:rsid w:val="00BC2AA4"/>
    <w:rsid w:val="00C220A0"/>
    <w:rsid w:val="00C647C5"/>
    <w:rsid w:val="00C9161D"/>
    <w:rsid w:val="00CB0DC0"/>
    <w:rsid w:val="00CB7D74"/>
    <w:rsid w:val="00CF01E1"/>
    <w:rsid w:val="00CF1848"/>
    <w:rsid w:val="00D12044"/>
    <w:rsid w:val="00D25FFB"/>
    <w:rsid w:val="00D7558E"/>
    <w:rsid w:val="00D76A18"/>
    <w:rsid w:val="00DA13B9"/>
    <w:rsid w:val="00DC2017"/>
    <w:rsid w:val="00DD118C"/>
    <w:rsid w:val="00DF7D83"/>
    <w:rsid w:val="00E06E2A"/>
    <w:rsid w:val="00E259ED"/>
    <w:rsid w:val="00E35DAB"/>
    <w:rsid w:val="00E66235"/>
    <w:rsid w:val="00E72337"/>
    <w:rsid w:val="00E83C24"/>
    <w:rsid w:val="00E9318D"/>
    <w:rsid w:val="00EC00F9"/>
    <w:rsid w:val="00EC37D7"/>
    <w:rsid w:val="00ED2006"/>
    <w:rsid w:val="00ED6D0E"/>
    <w:rsid w:val="00F2463B"/>
    <w:rsid w:val="00F563B6"/>
    <w:rsid w:val="00F802A4"/>
    <w:rsid w:val="00F935F7"/>
    <w:rsid w:val="00F94774"/>
    <w:rsid w:val="00FC53DB"/>
    <w:rsid w:val="00FD562D"/>
    <w:rsid w:val="00FD5C8E"/>
    <w:rsid w:val="00FF7527"/>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6A27D8D"/>
  <w15:docId w15:val="{F1006019-7C61-4A9C-8080-98244E646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72"/>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Para1HeadingsCSTimesNewRoman">
    <w:name w:val="Style Para1 + +Headings CS (Times New Roman)"/>
    <w:basedOn w:val="Para1"/>
    <w:rsid w:val="00727C36"/>
    <w:pPr>
      <w:numPr>
        <w:numId w:val="0"/>
      </w:numPr>
    </w:pPr>
    <w:rPr>
      <w:rFonts w:asciiTheme="majorBidi" w:hAnsiTheme="majorBidi"/>
    </w:rPr>
  </w:style>
  <w:style w:type="paragraph" w:styleId="CommentSubject">
    <w:name w:val="annotation subject"/>
    <w:basedOn w:val="CommentText"/>
    <w:next w:val="CommentText"/>
    <w:link w:val="CommentSubjectChar"/>
    <w:uiPriority w:val="99"/>
    <w:semiHidden/>
    <w:unhideWhenUsed/>
    <w:rsid w:val="004316B3"/>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4316B3"/>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4205179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C444DEE40D7C456B82AF1A09CD132ABF"/>
        <w:category>
          <w:name w:val="General"/>
          <w:gallery w:val="placeholder"/>
        </w:category>
        <w:types>
          <w:type w:val="bbPlcHdr"/>
        </w:types>
        <w:behaviors>
          <w:behavior w:val="content"/>
        </w:behaviors>
        <w:guid w:val="{20618E59-89A7-48DE-AEDB-A201645FEDD4}"/>
      </w:docPartPr>
      <w:docPartBody>
        <w:p w:rsidR="00200ACA" w:rsidRDefault="00CE6602" w:rsidP="00CE6602">
          <w:pPr>
            <w:pStyle w:val="C444DEE40D7C456B82AF1A09CD132ABF"/>
          </w:pPr>
          <w:r>
            <w:rPr>
              <w:rStyle w:val="PlaceholderText"/>
            </w:rPr>
            <w:t>Click here to enter text.</w:t>
          </w:r>
        </w:p>
      </w:docPartBody>
    </w:docPart>
    <w:docPart>
      <w:docPartPr>
        <w:name w:val="4E6D25871205480FAEA37EC2537C191B"/>
        <w:category>
          <w:name w:val="General"/>
          <w:gallery w:val="placeholder"/>
        </w:category>
        <w:types>
          <w:type w:val="bbPlcHdr"/>
        </w:types>
        <w:behaviors>
          <w:behavior w:val="content"/>
        </w:behaviors>
        <w:guid w:val="{740802DC-1959-484E-8F5C-0D2E5354F473}"/>
      </w:docPartPr>
      <w:docPartBody>
        <w:p w:rsidR="00293B89" w:rsidRDefault="00414B24">
          <w:r w:rsidRPr="00BC2AB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Arial Unicode MS"/>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200ACA"/>
    <w:rsid w:val="00293B89"/>
    <w:rsid w:val="00414B24"/>
    <w:rsid w:val="00500A2B"/>
    <w:rsid w:val="0054330E"/>
    <w:rsid w:val="0058288D"/>
    <w:rsid w:val="006801B3"/>
    <w:rsid w:val="00720F63"/>
    <w:rsid w:val="007F1B76"/>
    <w:rsid w:val="00810A55"/>
    <w:rsid w:val="008C6619"/>
    <w:rsid w:val="008D420E"/>
    <w:rsid w:val="0098642F"/>
    <w:rsid w:val="00CE66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4B24"/>
    <w:rPr>
      <w:color w:val="808080"/>
    </w:rPr>
  </w:style>
  <w:style w:type="paragraph" w:customStyle="1" w:styleId="C444DEE40D7C456B82AF1A09CD132ABF">
    <w:name w:val="C444DEE40D7C456B82AF1A09CD132ABF"/>
    <w:rsid w:val="00CE660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BDF781-2892-4438-9026-2BA829C3D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2/7.	Review of implementation of the financial mechanism (Article 21)</vt:lpstr>
    </vt:vector>
  </TitlesOfParts>
  <Company>SCBD</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	Review of implementation of the financial mechanism (Article 21)</dc:title>
  <dc:subject>CBD/SBI/REC/2/7</dc:subject>
  <dc:creator>SBI 2</dc:creator>
  <cp:lastModifiedBy>Veronique Lefebvre</cp:lastModifiedBy>
  <cp:revision>3</cp:revision>
  <cp:lastPrinted>2018-07-12T14:39:00Z</cp:lastPrinted>
  <dcterms:created xsi:type="dcterms:W3CDTF">2018-07-30T18:34:00Z</dcterms:created>
  <dcterms:modified xsi:type="dcterms:W3CDTF">2018-07-30T18:34:00Z</dcterms:modified>
  <cp:contentStatus>GENERAL</cp:contentStatus>
</cp:coreProperties>
</file>