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8659CF" w:rsidRPr="006F4060" w14:paraId="2CCD72A4" w14:textId="77777777" w:rsidTr="00A70B2D">
        <w:tc>
          <w:tcPr>
            <w:tcW w:w="852" w:type="dxa"/>
            <w:tcBorders>
              <w:top w:val="nil"/>
              <w:bottom w:val="single" w:sz="12" w:space="0" w:color="000000"/>
              <w:right w:val="nil"/>
            </w:tcBorders>
          </w:tcPr>
          <w:p w14:paraId="33E5F401" w14:textId="77777777" w:rsidR="008659CF" w:rsidRPr="006F4060" w:rsidRDefault="008659CF" w:rsidP="00A70B2D">
            <w:pPr>
              <w:pStyle w:val="BodyText2"/>
              <w:rPr>
                <w:b/>
                <w:noProof/>
                <w:snapToGrid w:val="0"/>
                <w:kern w:val="22"/>
              </w:rPr>
            </w:pPr>
            <w:r w:rsidRPr="006F4060">
              <w:rPr>
                <w:b/>
                <w:noProof/>
                <w:snapToGrid w:val="0"/>
                <w:kern w:val="22"/>
                <w:lang w:val="en-GB" w:eastAsia="en-GB"/>
              </w:rPr>
              <w:drawing>
                <wp:inline distT="0" distB="0" distL="0" distR="0" wp14:anchorId="387F1C1C" wp14:editId="7F663695">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17CEA64E" w14:textId="77777777" w:rsidR="008659CF" w:rsidRPr="006F4060" w:rsidRDefault="008659CF" w:rsidP="00A70B2D">
            <w:pPr>
              <w:rPr>
                <w:noProof/>
                <w:snapToGrid w:val="0"/>
                <w:kern w:val="22"/>
              </w:rPr>
            </w:pPr>
            <w:r w:rsidRPr="006F4060">
              <w:rPr>
                <w:noProof/>
                <w:snapToGrid w:val="0"/>
                <w:kern w:val="22"/>
                <w:lang w:val="en-GB" w:eastAsia="en-GB"/>
              </w:rPr>
              <w:drawing>
                <wp:inline distT="0" distB="0" distL="0" distR="0" wp14:anchorId="0F48FF39" wp14:editId="7E73E261">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DCEACF0" w14:textId="77777777" w:rsidR="008659CF" w:rsidRPr="006F4060" w:rsidRDefault="008659CF" w:rsidP="00A70B2D">
            <w:pPr>
              <w:jc w:val="right"/>
              <w:rPr>
                <w:rFonts w:ascii="Univers" w:hAnsi="Univers"/>
                <w:b/>
                <w:snapToGrid w:val="0"/>
                <w:kern w:val="22"/>
                <w:sz w:val="32"/>
              </w:rPr>
            </w:pPr>
            <w:r w:rsidRPr="006F4060">
              <w:rPr>
                <w:rFonts w:ascii="Univers" w:hAnsi="Univers"/>
                <w:b/>
                <w:snapToGrid w:val="0"/>
                <w:kern w:val="22"/>
                <w:sz w:val="32"/>
              </w:rPr>
              <w:t>CBD</w:t>
            </w:r>
          </w:p>
        </w:tc>
      </w:tr>
      <w:tr w:rsidR="008659CF" w:rsidRPr="008659CF" w14:paraId="4BF2B10D" w14:textId="77777777" w:rsidTr="00A70B2D">
        <w:trPr>
          <w:trHeight w:val="1693"/>
        </w:trPr>
        <w:tc>
          <w:tcPr>
            <w:tcW w:w="6086" w:type="dxa"/>
            <w:gridSpan w:val="3"/>
            <w:tcBorders>
              <w:top w:val="nil"/>
              <w:bottom w:val="single" w:sz="36" w:space="0" w:color="000000"/>
            </w:tcBorders>
          </w:tcPr>
          <w:p w14:paraId="60B3D65E" w14:textId="77777777" w:rsidR="008659CF" w:rsidRPr="007A31F6" w:rsidRDefault="008659CF" w:rsidP="00A70B2D">
            <w:pPr>
              <w:rPr>
                <w:snapToGrid w:val="0"/>
                <w:kern w:val="22"/>
              </w:rPr>
            </w:pPr>
          </w:p>
          <w:p w14:paraId="6E33B75A" w14:textId="77777777" w:rsidR="008659CF" w:rsidRPr="007A31F6" w:rsidRDefault="008659CF" w:rsidP="00A70B2D">
            <w:pPr>
              <w:rPr>
                <w:snapToGrid w:val="0"/>
                <w:kern w:val="22"/>
              </w:rPr>
            </w:pPr>
            <w:r w:rsidRPr="00D25203">
              <w:rPr>
                <w:noProof/>
                <w:kern w:val="22"/>
                <w:lang w:val="en-GB" w:eastAsia="en-GB"/>
              </w:rPr>
              <w:drawing>
                <wp:inline distT="0" distB="0" distL="0" distR="0" wp14:anchorId="3EC097AD" wp14:editId="7D87AC2C">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14:paraId="510DE46A" w14:textId="77777777" w:rsidR="008659CF" w:rsidRPr="004F7BB3" w:rsidRDefault="008659CF" w:rsidP="00A70B2D">
            <w:pPr>
              <w:rPr>
                <w:rFonts w:ascii="Univers" w:hAnsi="Univers"/>
                <w:snapToGrid w:val="0"/>
                <w:kern w:val="22"/>
              </w:rPr>
            </w:pPr>
          </w:p>
        </w:tc>
        <w:tc>
          <w:tcPr>
            <w:tcW w:w="1144" w:type="dxa"/>
            <w:tcBorders>
              <w:top w:val="nil"/>
              <w:bottom w:val="single" w:sz="36" w:space="0" w:color="000000"/>
            </w:tcBorders>
          </w:tcPr>
          <w:p w14:paraId="1D00A5EE" w14:textId="77777777" w:rsidR="008659CF" w:rsidRPr="006F4060" w:rsidRDefault="008659CF" w:rsidP="00A70B2D">
            <w:pPr>
              <w:pStyle w:val="Header"/>
              <w:tabs>
                <w:tab w:val="clear" w:pos="4320"/>
                <w:tab w:val="clear" w:pos="8640"/>
              </w:tabs>
              <w:rPr>
                <w:bCs/>
                <w:snapToGrid w:val="0"/>
                <w:kern w:val="22"/>
                <w:sz w:val="32"/>
                <w:szCs w:val="32"/>
              </w:rPr>
            </w:pPr>
          </w:p>
        </w:tc>
        <w:tc>
          <w:tcPr>
            <w:tcW w:w="2977" w:type="dxa"/>
            <w:tcBorders>
              <w:top w:val="nil"/>
              <w:bottom w:val="single" w:sz="36" w:space="0" w:color="000000"/>
            </w:tcBorders>
          </w:tcPr>
          <w:p w14:paraId="3CEA52C2" w14:textId="77777777" w:rsidR="008659CF" w:rsidRPr="00AA6DB8" w:rsidRDefault="008659CF" w:rsidP="00A70B2D">
            <w:pPr>
              <w:ind w:left="318"/>
              <w:rPr>
                <w:snapToGrid w:val="0"/>
                <w:kern w:val="22"/>
                <w:sz w:val="22"/>
                <w:szCs w:val="22"/>
                <w:lang w:val="fr-CA"/>
              </w:rPr>
            </w:pPr>
            <w:proofErr w:type="spellStart"/>
            <w:r w:rsidRPr="00AA6DB8">
              <w:rPr>
                <w:snapToGrid w:val="0"/>
                <w:kern w:val="22"/>
                <w:sz w:val="22"/>
                <w:szCs w:val="22"/>
                <w:lang w:val="fr-CA"/>
              </w:rPr>
              <w:t>Distr</w:t>
            </w:r>
            <w:proofErr w:type="spellEnd"/>
            <w:r w:rsidRPr="00AA6DB8">
              <w:rPr>
                <w:snapToGrid w:val="0"/>
                <w:kern w:val="22"/>
                <w:sz w:val="22"/>
                <w:szCs w:val="22"/>
                <w:lang w:val="fr-CA"/>
              </w:rPr>
              <w:t>.</w:t>
            </w:r>
          </w:p>
          <w:p w14:paraId="0475B845" w14:textId="5958AE40" w:rsidR="008659CF" w:rsidRPr="00AA6DB8" w:rsidRDefault="004B55E9" w:rsidP="00A70B2D">
            <w:pPr>
              <w:ind w:left="318"/>
              <w:rPr>
                <w:snapToGrid w:val="0"/>
                <w:kern w:val="22"/>
                <w:sz w:val="22"/>
                <w:szCs w:val="22"/>
                <w:lang w:val="fr-CA"/>
              </w:rPr>
            </w:pPr>
            <w:r>
              <w:rPr>
                <w:snapToGrid w:val="0"/>
                <w:kern w:val="22"/>
                <w:szCs w:val="22"/>
                <w:lang w:val="fr-CA"/>
              </w:rPr>
              <w:t>GÉNÉRALE</w:t>
            </w:r>
          </w:p>
          <w:p w14:paraId="332ACFBC" w14:textId="77777777" w:rsidR="008659CF" w:rsidRPr="00AA6DB8" w:rsidRDefault="008659CF" w:rsidP="00A70B2D">
            <w:pPr>
              <w:ind w:left="318"/>
              <w:rPr>
                <w:snapToGrid w:val="0"/>
                <w:kern w:val="22"/>
                <w:sz w:val="22"/>
                <w:szCs w:val="22"/>
                <w:lang w:val="fr-CA"/>
              </w:rPr>
            </w:pPr>
          </w:p>
          <w:sdt>
            <w:sdtPr>
              <w:rPr>
                <w:snapToGrid w:val="0"/>
                <w:kern w:val="22"/>
                <w:sz w:val="22"/>
                <w:szCs w:val="22"/>
                <w:lang w:val="fr-CA" w:eastAsia="en-US"/>
              </w:rPr>
              <w:alias w:val="Subject"/>
              <w:tag w:val=""/>
              <w:id w:val="1384679032"/>
              <w:placeholder>
                <w:docPart w:val="72468469EFA643DD9C0D67A52B31904D"/>
              </w:placeholder>
              <w:dataBinding w:prefixMappings="xmlns:ns0='http://purl.org/dc/elements/1.1/' xmlns:ns1='http://schemas.openxmlformats.org/package/2006/metadata/core-properties' " w:xpath="/ns1:coreProperties[1]/ns0:subject[1]" w:storeItemID="{6C3C8BC8-F283-45AE-878A-BAB7291924A1}"/>
              <w:text/>
            </w:sdtPr>
            <w:sdtEndPr/>
            <w:sdtContent>
              <w:p w14:paraId="0C7040A2" w14:textId="618B4413" w:rsidR="008659CF" w:rsidRPr="00AA6DB8" w:rsidRDefault="004B55E9" w:rsidP="00A70B2D">
                <w:pPr>
                  <w:ind w:left="318"/>
                  <w:rPr>
                    <w:snapToGrid w:val="0"/>
                    <w:kern w:val="22"/>
                    <w:sz w:val="22"/>
                    <w:szCs w:val="22"/>
                    <w:lang w:val="fr-CA"/>
                  </w:rPr>
                </w:pPr>
                <w:r>
                  <w:rPr>
                    <w:snapToGrid w:val="0"/>
                    <w:kern w:val="22"/>
                    <w:sz w:val="22"/>
                    <w:szCs w:val="22"/>
                    <w:lang w:val="fr-CA" w:eastAsia="en-US"/>
                  </w:rPr>
                  <w:t>CBD/SBI/REC/2/11</w:t>
                </w:r>
              </w:p>
            </w:sdtContent>
          </w:sdt>
          <w:p w14:paraId="496C3874" w14:textId="702C6216" w:rsidR="008659CF" w:rsidRPr="00AA6DB8" w:rsidRDefault="004B55E9" w:rsidP="00A70B2D">
            <w:pPr>
              <w:ind w:left="318"/>
              <w:rPr>
                <w:snapToGrid w:val="0"/>
                <w:kern w:val="22"/>
                <w:sz w:val="22"/>
                <w:szCs w:val="22"/>
                <w:lang w:val="fr-CA"/>
              </w:rPr>
            </w:pPr>
            <w:r>
              <w:rPr>
                <w:snapToGrid w:val="0"/>
                <w:kern w:val="22"/>
                <w:sz w:val="22"/>
                <w:szCs w:val="22"/>
                <w:lang w:val="fr-CA"/>
              </w:rPr>
              <w:t>13</w:t>
            </w:r>
            <w:r w:rsidR="008659CF" w:rsidRPr="00AA6DB8">
              <w:rPr>
                <w:snapToGrid w:val="0"/>
                <w:kern w:val="22"/>
                <w:sz w:val="22"/>
                <w:szCs w:val="22"/>
                <w:lang w:val="fr-CA"/>
              </w:rPr>
              <w:t xml:space="preserve"> juillet 2018</w:t>
            </w:r>
          </w:p>
          <w:p w14:paraId="57BE9D6B" w14:textId="77777777" w:rsidR="008659CF" w:rsidRPr="00AA6DB8" w:rsidRDefault="008659CF" w:rsidP="00A70B2D">
            <w:pPr>
              <w:ind w:left="318"/>
              <w:rPr>
                <w:snapToGrid w:val="0"/>
                <w:kern w:val="22"/>
                <w:sz w:val="22"/>
                <w:szCs w:val="22"/>
                <w:lang w:val="fr-CA"/>
              </w:rPr>
            </w:pPr>
          </w:p>
          <w:p w14:paraId="46AA058F" w14:textId="77777777" w:rsidR="008659CF" w:rsidRPr="00AA6DB8" w:rsidRDefault="008659CF" w:rsidP="00A70B2D">
            <w:pPr>
              <w:ind w:left="318"/>
              <w:rPr>
                <w:snapToGrid w:val="0"/>
                <w:kern w:val="22"/>
                <w:sz w:val="22"/>
                <w:szCs w:val="22"/>
                <w:lang w:val="fr-CA"/>
              </w:rPr>
            </w:pPr>
            <w:r w:rsidRPr="00AA6DB8">
              <w:rPr>
                <w:snapToGrid w:val="0"/>
                <w:kern w:val="22"/>
                <w:sz w:val="22"/>
                <w:szCs w:val="22"/>
                <w:lang w:val="fr-CA"/>
              </w:rPr>
              <w:t>FRANÇAIS</w:t>
            </w:r>
          </w:p>
          <w:p w14:paraId="03A42A2D" w14:textId="77777777" w:rsidR="008659CF" w:rsidRPr="008659CF" w:rsidRDefault="008659CF" w:rsidP="00A70B2D">
            <w:pPr>
              <w:ind w:left="318"/>
              <w:rPr>
                <w:snapToGrid w:val="0"/>
                <w:kern w:val="22"/>
                <w:szCs w:val="22"/>
                <w:u w:val="single"/>
                <w:lang w:val="fr-CA"/>
              </w:rPr>
            </w:pPr>
            <w:r w:rsidRPr="00AA6DB8">
              <w:rPr>
                <w:snapToGrid w:val="0"/>
                <w:kern w:val="22"/>
                <w:sz w:val="22"/>
                <w:szCs w:val="22"/>
                <w:lang w:val="fr-CA"/>
              </w:rPr>
              <w:t>ORIGINAL : ANGLAIS</w:t>
            </w:r>
          </w:p>
        </w:tc>
      </w:tr>
    </w:tbl>
    <w:bookmarkStart w:id="0" w:name="Meeting"/>
    <w:p w14:paraId="4F3AD866" w14:textId="43E2E63E" w:rsidR="00566937" w:rsidRPr="00B029CA" w:rsidRDefault="00F57AA6" w:rsidP="008659CF">
      <w:pPr>
        <w:suppressLineNumbers/>
        <w:suppressAutoHyphens/>
        <w:kinsoku w:val="0"/>
        <w:overflowPunct w:val="0"/>
        <w:autoSpaceDE w:val="0"/>
        <w:autoSpaceDN w:val="0"/>
        <w:adjustRightInd w:val="0"/>
        <w:snapToGrid w:val="0"/>
        <w:ind w:left="142" w:right="3420" w:hanging="142"/>
        <w:rPr>
          <w:caps/>
          <w:kern w:val="22"/>
          <w:sz w:val="22"/>
          <w:szCs w:val="22"/>
          <w:lang w:val="fr-FR" w:eastAsia="en-US"/>
        </w:rPr>
      </w:pPr>
      <w:sdt>
        <w:sdtPr>
          <w:rPr>
            <w:sz w:val="22"/>
            <w:lang w:val="fr-FR" w:eastAsia="en-US"/>
          </w:rPr>
          <w:alias w:val="Meeting"/>
          <w:tag w:val="Meeting"/>
          <w:id w:val="1412045910"/>
          <w:placeholder>
            <w:docPart w:val="093A8C50E2524E1EA3F81D05E764C340"/>
          </w:placeholder>
          <w:text/>
        </w:sdtPr>
        <w:sdtEndPr/>
        <w:sdtContent>
          <w:r w:rsidR="00B029CA" w:rsidRPr="00B029CA">
            <w:rPr>
              <w:sz w:val="22"/>
              <w:lang w:val="fr-FR" w:eastAsia="en-US"/>
            </w:rPr>
            <w:t>ORGANE SUBSIDIAIRE CHARGÉ DE L’APPLICATION</w:t>
          </w:r>
        </w:sdtContent>
      </w:sdt>
      <w:bookmarkEnd w:id="0"/>
    </w:p>
    <w:p w14:paraId="1F8C99B2" w14:textId="116A83CB" w:rsidR="00566937" w:rsidRPr="00B029CA" w:rsidRDefault="008659CF" w:rsidP="0025586F">
      <w:pPr>
        <w:suppressLineNumbers/>
        <w:suppressAutoHyphens/>
        <w:kinsoku w:val="0"/>
        <w:overflowPunct w:val="0"/>
        <w:autoSpaceDE w:val="0"/>
        <w:autoSpaceDN w:val="0"/>
        <w:adjustRightInd w:val="0"/>
        <w:snapToGrid w:val="0"/>
        <w:ind w:left="284" w:hanging="284"/>
        <w:rPr>
          <w:kern w:val="22"/>
          <w:sz w:val="22"/>
          <w:szCs w:val="22"/>
          <w:lang w:val="fr-FR" w:eastAsia="nb-NO"/>
        </w:rPr>
      </w:pPr>
      <w:r>
        <w:rPr>
          <w:kern w:val="22"/>
          <w:sz w:val="22"/>
          <w:szCs w:val="22"/>
          <w:lang w:val="fr-FR" w:eastAsia="nb-NO"/>
        </w:rPr>
        <w:t xml:space="preserve">  </w:t>
      </w:r>
      <w:r w:rsidR="00B029CA" w:rsidRPr="00B029CA">
        <w:rPr>
          <w:kern w:val="22"/>
          <w:sz w:val="22"/>
          <w:szCs w:val="22"/>
          <w:lang w:val="fr-FR" w:eastAsia="nb-NO"/>
        </w:rPr>
        <w:t>Deuxième réunion</w:t>
      </w:r>
    </w:p>
    <w:p w14:paraId="6FF116EE" w14:textId="3E4EB014" w:rsidR="00566937" w:rsidRPr="00B029CA" w:rsidRDefault="008659CF" w:rsidP="0025586F">
      <w:pPr>
        <w:suppressLineNumbers/>
        <w:suppressAutoHyphens/>
        <w:kinsoku w:val="0"/>
        <w:overflowPunct w:val="0"/>
        <w:autoSpaceDE w:val="0"/>
        <w:autoSpaceDN w:val="0"/>
        <w:adjustRightInd w:val="0"/>
        <w:snapToGrid w:val="0"/>
        <w:ind w:left="284" w:hanging="284"/>
        <w:rPr>
          <w:kern w:val="22"/>
          <w:sz w:val="22"/>
          <w:szCs w:val="22"/>
          <w:lang w:val="fr-FR" w:eastAsia="nb-NO"/>
        </w:rPr>
      </w:pPr>
      <w:r>
        <w:rPr>
          <w:kern w:val="22"/>
          <w:sz w:val="22"/>
          <w:szCs w:val="22"/>
          <w:lang w:val="fr-FR" w:eastAsia="nb-NO"/>
        </w:rPr>
        <w:t xml:space="preserve">  </w:t>
      </w:r>
      <w:r w:rsidR="00B029CA" w:rsidRPr="00B029CA">
        <w:rPr>
          <w:kern w:val="22"/>
          <w:sz w:val="22"/>
          <w:szCs w:val="22"/>
          <w:lang w:val="fr-FR" w:eastAsia="nb-NO"/>
        </w:rPr>
        <w:t xml:space="preserve">Montréal, Canada, 9-13 juillet </w:t>
      </w:r>
      <w:r w:rsidR="00566937" w:rsidRPr="00B029CA">
        <w:rPr>
          <w:kern w:val="22"/>
          <w:sz w:val="22"/>
          <w:szCs w:val="22"/>
          <w:lang w:val="fr-FR" w:eastAsia="nb-NO"/>
        </w:rPr>
        <w:t>2018</w:t>
      </w:r>
    </w:p>
    <w:p w14:paraId="0F099D6D" w14:textId="6BC5D359" w:rsidR="00566937" w:rsidRPr="00B029CA" w:rsidRDefault="008659CF" w:rsidP="0025586F">
      <w:pPr>
        <w:suppressLineNumbers/>
        <w:suppressAutoHyphens/>
        <w:kinsoku w:val="0"/>
        <w:overflowPunct w:val="0"/>
        <w:autoSpaceDE w:val="0"/>
        <w:autoSpaceDN w:val="0"/>
        <w:adjustRightInd w:val="0"/>
        <w:snapToGrid w:val="0"/>
        <w:jc w:val="both"/>
        <w:rPr>
          <w:kern w:val="22"/>
          <w:sz w:val="22"/>
          <w:szCs w:val="22"/>
          <w:lang w:val="fr-FR" w:eastAsia="en-US"/>
        </w:rPr>
      </w:pPr>
      <w:r>
        <w:rPr>
          <w:kern w:val="22"/>
          <w:sz w:val="22"/>
          <w:szCs w:val="22"/>
          <w:lang w:val="fr-FR" w:eastAsia="en-US"/>
        </w:rPr>
        <w:t xml:space="preserve">  </w:t>
      </w:r>
      <w:r w:rsidR="00B029CA" w:rsidRPr="00B029CA">
        <w:rPr>
          <w:kern w:val="22"/>
          <w:sz w:val="22"/>
          <w:szCs w:val="22"/>
          <w:lang w:val="fr-FR" w:eastAsia="en-US"/>
        </w:rPr>
        <w:t>Point </w:t>
      </w:r>
      <w:r w:rsidR="00875746" w:rsidRPr="00B029CA">
        <w:rPr>
          <w:kern w:val="22"/>
          <w:sz w:val="22"/>
          <w:szCs w:val="22"/>
          <w:lang w:val="fr-FR" w:eastAsia="en-US"/>
        </w:rPr>
        <w:t>13</w:t>
      </w:r>
      <w:r w:rsidR="00B029CA" w:rsidRPr="00B029CA">
        <w:rPr>
          <w:kern w:val="22"/>
          <w:sz w:val="22"/>
          <w:szCs w:val="22"/>
          <w:lang w:val="fr-FR" w:eastAsia="en-US"/>
        </w:rPr>
        <w:t xml:space="preserve"> de l’ordre du jour</w:t>
      </w:r>
    </w:p>
    <w:p w14:paraId="7EE926E6" w14:textId="2C9139B6" w:rsidR="00566937" w:rsidRPr="00B029CA" w:rsidRDefault="00F57AA6" w:rsidP="0025586F">
      <w:pPr>
        <w:suppressLineNumbers/>
        <w:suppressAutoHyphens/>
        <w:kinsoku w:val="0"/>
        <w:overflowPunct w:val="0"/>
        <w:autoSpaceDE w:val="0"/>
        <w:autoSpaceDN w:val="0"/>
        <w:adjustRightInd w:val="0"/>
        <w:snapToGrid w:val="0"/>
        <w:spacing w:before="240" w:after="120"/>
        <w:jc w:val="center"/>
        <w:rPr>
          <w:b/>
          <w:caps/>
          <w:kern w:val="22"/>
          <w:sz w:val="22"/>
          <w:szCs w:val="22"/>
          <w:lang w:val="fr-FR" w:eastAsia="en-US"/>
        </w:rPr>
      </w:pPr>
      <w:sdt>
        <w:sdtPr>
          <w:rPr>
            <w:rStyle w:val="Heading1Char"/>
            <w:lang w:val="fr-CA" w:eastAsia="fr-FR"/>
          </w:rPr>
          <w:alias w:val="Title"/>
          <w:tag w:val=""/>
          <w:id w:val="772832786"/>
          <w:placeholder>
            <w:docPart w:val="3E531BDDB532487AAEFD414D3AE04FAE"/>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4B55E9" w:rsidRPr="004B55E9">
            <w:rPr>
              <w:rStyle w:val="Heading1Char"/>
              <w:lang w:val="fr-CA" w:eastAsia="fr-FR"/>
            </w:rPr>
            <w:t>RECOMMANDATION ADOPTÉE PAR L’ORGANE SUBSIDIAIRE CHARGÉ DE L’APPLICATION</w:t>
          </w:r>
        </w:sdtContent>
      </w:sdt>
    </w:p>
    <w:p w14:paraId="5186509F" w14:textId="6EB110E1" w:rsidR="00566937" w:rsidRPr="00B029CA" w:rsidRDefault="004B55E9" w:rsidP="004B55E9">
      <w:pPr>
        <w:pStyle w:val="recommendationheader"/>
        <w:rPr>
          <w:b w:val="0"/>
          <w:caps/>
          <w:kern w:val="22"/>
          <w:szCs w:val="22"/>
          <w:lang w:val="fr-FR"/>
        </w:rPr>
      </w:pPr>
      <w:r w:rsidRPr="004B55E9">
        <w:rPr>
          <w:lang w:val="fr-FR" w:bidi="fr-FR"/>
        </w:rPr>
        <w:t>2/11.</w:t>
      </w:r>
      <w:r w:rsidRPr="004B55E9">
        <w:rPr>
          <w:lang w:val="fr-FR" w:bidi="fr-FR"/>
        </w:rPr>
        <w:tab/>
        <w:t>Rapports établis au titre de la Convention et de ses protocoles</w:t>
      </w:r>
    </w:p>
    <w:p w14:paraId="6333B6D1" w14:textId="1D5DB9DF" w:rsidR="00AB78A0" w:rsidRDefault="00AB78A0" w:rsidP="00AB78A0">
      <w:pPr>
        <w:spacing w:before="120" w:after="120"/>
        <w:jc w:val="both"/>
        <w:rPr>
          <w:i/>
          <w:lang w:val="fr-FR"/>
        </w:rPr>
      </w:pPr>
      <w:r>
        <w:rPr>
          <w:lang w:val="fr-FR"/>
        </w:rPr>
        <w:tab/>
      </w:r>
      <w:r w:rsidRPr="00AB78A0">
        <w:rPr>
          <w:i/>
          <w:lang w:val="fr-FR"/>
        </w:rPr>
        <w:t>L’Organe subsidiaire chargé de l’application</w:t>
      </w:r>
    </w:p>
    <w:p w14:paraId="2FB05B35" w14:textId="096B5E4E" w:rsidR="00AB78A0" w:rsidRPr="00AB78A0" w:rsidRDefault="00AB78A0" w:rsidP="00AB78A0">
      <w:pPr>
        <w:spacing w:before="120" w:after="120"/>
        <w:jc w:val="both"/>
        <w:rPr>
          <w:i/>
          <w:lang w:val="fr-FR"/>
        </w:rPr>
      </w:pPr>
      <w:r>
        <w:rPr>
          <w:i/>
          <w:lang w:val="fr-FR"/>
        </w:rPr>
        <w:tab/>
        <w:t>Recommande</w:t>
      </w:r>
      <w:r w:rsidRPr="00AB78A0">
        <w:rPr>
          <w:i/>
          <w:kern w:val="22"/>
          <w:szCs w:val="22"/>
          <w:lang w:val="fr-FR" w:bidi="fr-FR"/>
        </w:rPr>
        <w:t xml:space="preserve"> </w:t>
      </w:r>
      <w:r>
        <w:rPr>
          <w:kern w:val="22"/>
          <w:szCs w:val="22"/>
          <w:lang w:val="fr-FR" w:bidi="fr-FR"/>
        </w:rPr>
        <w:t xml:space="preserve"> à la Conférence des Parties d’adopter, à sa quatorzième réunion une décision dans ce sens :</w:t>
      </w:r>
    </w:p>
    <w:p w14:paraId="3B62114F" w14:textId="24AB9964" w:rsidR="008C7F9C" w:rsidRPr="00B029CA" w:rsidRDefault="008C7F9C" w:rsidP="0025586F">
      <w:pPr>
        <w:keepNext/>
        <w:suppressLineNumbers/>
        <w:tabs>
          <w:tab w:val="left" w:pos="360"/>
        </w:tabs>
        <w:suppressAutoHyphens/>
        <w:kinsoku w:val="0"/>
        <w:overflowPunct w:val="0"/>
        <w:autoSpaceDE w:val="0"/>
        <w:autoSpaceDN w:val="0"/>
        <w:adjustRightInd w:val="0"/>
        <w:snapToGrid w:val="0"/>
        <w:spacing w:before="120" w:after="120"/>
        <w:jc w:val="center"/>
        <w:rPr>
          <w:b/>
          <w:kern w:val="22"/>
          <w:sz w:val="22"/>
          <w:szCs w:val="22"/>
          <w:lang w:val="fr-FR" w:eastAsia="en-US"/>
        </w:rPr>
      </w:pPr>
      <w:r w:rsidRPr="00B029CA">
        <w:rPr>
          <w:b/>
          <w:kern w:val="22"/>
          <w:sz w:val="22"/>
          <w:szCs w:val="22"/>
          <w:lang w:val="fr-FR"/>
        </w:rPr>
        <w:t>A.</w:t>
      </w:r>
      <w:r w:rsidRPr="00B029CA">
        <w:rPr>
          <w:b/>
          <w:kern w:val="22"/>
          <w:sz w:val="22"/>
          <w:szCs w:val="22"/>
          <w:lang w:val="fr-FR"/>
        </w:rPr>
        <w:tab/>
      </w:r>
      <w:r w:rsidR="00B029CA" w:rsidRPr="00B029CA">
        <w:rPr>
          <w:b/>
          <w:kern w:val="22"/>
          <w:sz w:val="22"/>
          <w:szCs w:val="22"/>
          <w:lang w:val="fr-FR"/>
        </w:rPr>
        <w:t>Projet de dé</w:t>
      </w:r>
      <w:r w:rsidRPr="00B029CA">
        <w:rPr>
          <w:b/>
          <w:kern w:val="22"/>
          <w:sz w:val="22"/>
          <w:szCs w:val="22"/>
          <w:lang w:val="fr-FR"/>
        </w:rPr>
        <w:t xml:space="preserve">cision </w:t>
      </w:r>
      <w:r w:rsidR="00B029CA" w:rsidRPr="00B029CA">
        <w:rPr>
          <w:b/>
          <w:kern w:val="22"/>
          <w:sz w:val="22"/>
          <w:szCs w:val="22"/>
          <w:lang w:val="fr-FR"/>
        </w:rPr>
        <w:t>pour</w:t>
      </w:r>
      <w:r w:rsidRPr="00B029CA">
        <w:rPr>
          <w:b/>
          <w:kern w:val="22"/>
          <w:sz w:val="22"/>
          <w:szCs w:val="22"/>
          <w:lang w:val="fr-FR"/>
        </w:rPr>
        <w:t xml:space="preserve"> </w:t>
      </w:r>
      <w:r w:rsidR="00B029CA" w:rsidRPr="00B029CA">
        <w:rPr>
          <w:b/>
          <w:kern w:val="22"/>
          <w:sz w:val="22"/>
          <w:szCs w:val="22"/>
          <w:lang w:val="fr-FR"/>
        </w:rPr>
        <w:t xml:space="preserve">la Conférence des Parties à la </w:t>
      </w:r>
      <w:r w:rsidRPr="00B029CA">
        <w:rPr>
          <w:b/>
          <w:kern w:val="22"/>
          <w:sz w:val="22"/>
          <w:szCs w:val="22"/>
          <w:lang w:val="fr-FR"/>
        </w:rPr>
        <w:t xml:space="preserve">Convention </w:t>
      </w:r>
      <w:r w:rsidR="00B029CA" w:rsidRPr="00B029CA">
        <w:rPr>
          <w:b/>
          <w:kern w:val="22"/>
          <w:sz w:val="22"/>
          <w:szCs w:val="22"/>
          <w:lang w:val="fr-FR"/>
        </w:rPr>
        <w:t>sur la diversité biologique</w:t>
      </w:r>
    </w:p>
    <w:p w14:paraId="24DED7A6" w14:textId="28C22230" w:rsidR="00DF691E" w:rsidRPr="00B029CA" w:rsidRDefault="00B029CA" w:rsidP="0025586F">
      <w:pPr>
        <w:pStyle w:val="Para1"/>
        <w:suppressLineNumbers/>
        <w:suppressAutoHyphens/>
        <w:kinsoku w:val="0"/>
        <w:overflowPunct w:val="0"/>
        <w:autoSpaceDE w:val="0"/>
        <w:autoSpaceDN w:val="0"/>
        <w:adjustRightInd w:val="0"/>
        <w:snapToGrid w:val="0"/>
        <w:spacing w:before="120"/>
        <w:ind w:firstLine="720"/>
        <w:jc w:val="both"/>
        <w:rPr>
          <w:i/>
          <w:snapToGrid/>
          <w:kern w:val="22"/>
          <w:sz w:val="22"/>
          <w:szCs w:val="22"/>
          <w:lang w:val="fr-FR"/>
        </w:rPr>
      </w:pPr>
      <w:r w:rsidRPr="00D642B3">
        <w:rPr>
          <w:i/>
          <w:kern w:val="22"/>
          <w:sz w:val="22"/>
          <w:szCs w:val="22"/>
          <w:lang w:val="fr-FR"/>
        </w:rPr>
        <w:t>La Conférence des Parties</w:t>
      </w:r>
      <w:r w:rsidR="005049F9" w:rsidRPr="00B029CA">
        <w:rPr>
          <w:i/>
          <w:snapToGrid/>
          <w:kern w:val="22"/>
          <w:sz w:val="22"/>
          <w:szCs w:val="22"/>
          <w:lang w:val="fr-FR"/>
        </w:rPr>
        <w:t>,</w:t>
      </w:r>
    </w:p>
    <w:p w14:paraId="6BD085A7" w14:textId="78B6714C" w:rsidR="00615DCF" w:rsidRPr="00B029CA" w:rsidRDefault="00DC6106" w:rsidP="004B1E7C">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 xml:space="preserve">Soulignant </w:t>
      </w:r>
      <w:r w:rsidRPr="00D642B3">
        <w:rPr>
          <w:iCs/>
          <w:kern w:val="22"/>
          <w:sz w:val="22"/>
          <w:szCs w:val="22"/>
          <w:lang w:val="fr-FR"/>
        </w:rPr>
        <w:t xml:space="preserve">l’utilité d’améliorer l’harmonisation des rapports </w:t>
      </w:r>
      <w:r w:rsidRPr="00D642B3">
        <w:rPr>
          <w:kern w:val="22"/>
          <w:sz w:val="22"/>
          <w:szCs w:val="22"/>
          <w:lang w:val="fr-FR"/>
        </w:rPr>
        <w:t>nationaux établis au titre de la Convention et de ses protocoles</w:t>
      </w:r>
      <w:r>
        <w:rPr>
          <w:kern w:val="22"/>
          <w:sz w:val="22"/>
          <w:szCs w:val="22"/>
          <w:lang w:val="fr-FR"/>
        </w:rPr>
        <w:t xml:space="preserve">, </w:t>
      </w:r>
      <w:r w:rsidR="008659CF">
        <w:rPr>
          <w:kern w:val="22"/>
          <w:sz w:val="22"/>
          <w:szCs w:val="22"/>
          <w:lang w:val="fr-FR"/>
        </w:rPr>
        <w:t>afin</w:t>
      </w:r>
      <w:r>
        <w:rPr>
          <w:kern w:val="22"/>
          <w:sz w:val="22"/>
          <w:szCs w:val="22"/>
          <w:lang w:val="fr-FR"/>
        </w:rPr>
        <w:t xml:space="preserve"> de réduire la charge que ces rapports</w:t>
      </w:r>
      <w:r w:rsidRPr="00D642B3">
        <w:rPr>
          <w:kern w:val="22"/>
          <w:sz w:val="22"/>
          <w:szCs w:val="22"/>
          <w:lang w:val="fr-FR"/>
        </w:rPr>
        <w:t xml:space="preserve"> induisent</w:t>
      </w:r>
      <w:r w:rsidR="008C7F9C" w:rsidRPr="00B029CA">
        <w:rPr>
          <w:snapToGrid/>
          <w:kern w:val="22"/>
          <w:sz w:val="22"/>
          <w:szCs w:val="22"/>
          <w:lang w:val="fr-FR"/>
        </w:rPr>
        <w:t>,</w:t>
      </w:r>
    </w:p>
    <w:p w14:paraId="1403BAEC" w14:textId="380479FE" w:rsidR="00DF691E" w:rsidRPr="00B029CA" w:rsidRDefault="00DC6106"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iCs/>
          <w:kern w:val="22"/>
          <w:sz w:val="22"/>
          <w:szCs w:val="22"/>
          <w:lang w:val="fr-FR"/>
        </w:rPr>
        <w:t>Soulignant également</w:t>
      </w:r>
      <w:r w:rsidRPr="00D642B3">
        <w:rPr>
          <w:kern w:val="22"/>
          <w:sz w:val="22"/>
          <w:szCs w:val="22"/>
          <w:lang w:val="fr-FR"/>
        </w:rPr>
        <w:t xml:space="preserve"> l’utilité d’accroître les synergies qui existent parmi les conventions relatives à la diversité biologique et les conventions de Rio, et </w:t>
      </w:r>
      <w:r w:rsidRPr="00D642B3">
        <w:rPr>
          <w:i/>
          <w:iCs/>
          <w:kern w:val="22"/>
          <w:sz w:val="22"/>
          <w:szCs w:val="22"/>
          <w:lang w:val="fr-FR"/>
        </w:rPr>
        <w:t>prenant acte</w:t>
      </w:r>
      <w:r w:rsidRPr="00D642B3">
        <w:rPr>
          <w:kern w:val="22"/>
          <w:sz w:val="22"/>
          <w:szCs w:val="22"/>
          <w:lang w:val="fr-FR"/>
        </w:rPr>
        <w:t xml:space="preserve"> des progrès accomplis à ce jour à cet égard, n</w:t>
      </w:r>
      <w:r w:rsidR="00AB78A0">
        <w:rPr>
          <w:kern w:val="22"/>
          <w:sz w:val="22"/>
          <w:szCs w:val="22"/>
          <w:lang w:val="fr-FR"/>
        </w:rPr>
        <w:t>otamment des activités menées</w:t>
      </w:r>
      <w:r w:rsidRPr="00D642B3">
        <w:rPr>
          <w:kern w:val="22"/>
          <w:sz w:val="22"/>
          <w:szCs w:val="22"/>
          <w:lang w:val="fr-FR"/>
        </w:rPr>
        <w:t xml:space="preserve"> par le Groupe de liaison des conventions liées à la biodiversité et le Groupe de liaison mixte des conventions de Rio, ainsi que des initiatives pertinentes</w:t>
      </w:r>
      <w:r>
        <w:rPr>
          <w:kern w:val="22"/>
          <w:sz w:val="22"/>
          <w:szCs w:val="22"/>
          <w:lang w:val="fr-FR"/>
        </w:rPr>
        <w:t>,</w:t>
      </w:r>
      <w:r w:rsidRPr="00D642B3">
        <w:rPr>
          <w:kern w:val="22"/>
          <w:sz w:val="22"/>
          <w:szCs w:val="22"/>
          <w:lang w:val="fr-FR"/>
        </w:rPr>
        <w:t xml:space="preserve"> telles que l’élaboration de l’Outil de données et de notification dans le cadre de l’initiative InforMEA</w:t>
      </w:r>
      <w:r w:rsidR="008608AC" w:rsidRPr="00B029CA">
        <w:rPr>
          <w:snapToGrid/>
          <w:kern w:val="22"/>
          <w:sz w:val="22"/>
          <w:szCs w:val="22"/>
          <w:lang w:val="fr-FR"/>
        </w:rPr>
        <w:t>,</w:t>
      </w:r>
    </w:p>
    <w:p w14:paraId="6E26AB60" w14:textId="6F678DF9" w:rsidR="00DF691E" w:rsidRPr="00B029CA" w:rsidRDefault="00DC6106"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Reconnaissant</w:t>
      </w:r>
      <w:r w:rsidRPr="00D642B3">
        <w:rPr>
          <w:iCs/>
          <w:kern w:val="22"/>
          <w:sz w:val="22"/>
          <w:szCs w:val="22"/>
          <w:lang w:val="fr-FR"/>
        </w:rPr>
        <w:t xml:space="preserve"> les possibilités o</w:t>
      </w:r>
      <w:r w:rsidR="00AB78A0">
        <w:rPr>
          <w:iCs/>
          <w:kern w:val="22"/>
          <w:sz w:val="22"/>
          <w:szCs w:val="22"/>
          <w:lang w:val="fr-FR"/>
        </w:rPr>
        <w:t>ffertes par le Cadre mondial de</w:t>
      </w:r>
      <w:r w:rsidR="00933F28">
        <w:rPr>
          <w:iCs/>
          <w:kern w:val="22"/>
          <w:sz w:val="22"/>
          <w:szCs w:val="22"/>
          <w:lang w:val="fr-FR"/>
        </w:rPr>
        <w:t xml:space="preserve"> biodiversité</w:t>
      </w:r>
      <w:r w:rsidRPr="00D642B3">
        <w:rPr>
          <w:iCs/>
          <w:kern w:val="22"/>
          <w:sz w:val="22"/>
          <w:szCs w:val="22"/>
          <w:lang w:val="fr-FR"/>
        </w:rPr>
        <w:t xml:space="preserve"> pour l’après-2020</w:t>
      </w:r>
      <w:r>
        <w:rPr>
          <w:iCs/>
          <w:kern w:val="22"/>
          <w:sz w:val="22"/>
          <w:szCs w:val="22"/>
          <w:lang w:val="fr-FR"/>
        </w:rPr>
        <w:t>,</w:t>
      </w:r>
      <w:r w:rsidRPr="00D642B3">
        <w:rPr>
          <w:iCs/>
          <w:kern w:val="22"/>
          <w:sz w:val="22"/>
          <w:szCs w:val="22"/>
          <w:lang w:val="fr-FR"/>
        </w:rPr>
        <w:t xml:space="preserve"> qui facilitera l’harmonisation des rapports </w:t>
      </w:r>
      <w:r w:rsidRPr="00D642B3">
        <w:rPr>
          <w:kern w:val="22"/>
          <w:sz w:val="22"/>
          <w:szCs w:val="22"/>
          <w:lang w:val="fr-FR"/>
        </w:rPr>
        <w:t>nationaux établis au titre de la Convention et de ses protocoles</w:t>
      </w:r>
      <w:r w:rsidR="005049F9" w:rsidRPr="00B029CA">
        <w:rPr>
          <w:snapToGrid/>
          <w:kern w:val="22"/>
          <w:sz w:val="22"/>
          <w:szCs w:val="22"/>
          <w:lang w:val="fr-FR"/>
        </w:rPr>
        <w:t>,</w:t>
      </w:r>
    </w:p>
    <w:p w14:paraId="5C897231" w14:textId="0836DD87" w:rsidR="00DF691E" w:rsidRPr="00B029CA" w:rsidRDefault="00DC6106"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 xml:space="preserve">Constatant </w:t>
      </w:r>
      <w:r w:rsidRPr="00D642B3">
        <w:rPr>
          <w:iCs/>
          <w:kern w:val="22"/>
          <w:sz w:val="22"/>
          <w:szCs w:val="22"/>
          <w:lang w:val="fr-FR"/>
        </w:rPr>
        <w:t>que la Convention et chacun de ses protocoles constituent des instruments juridiques distincts</w:t>
      </w:r>
      <w:r>
        <w:rPr>
          <w:iCs/>
          <w:kern w:val="22"/>
          <w:sz w:val="22"/>
          <w:szCs w:val="22"/>
          <w:lang w:val="fr-FR"/>
        </w:rPr>
        <w:t>,</w:t>
      </w:r>
      <w:r w:rsidRPr="00D642B3">
        <w:rPr>
          <w:iCs/>
          <w:kern w:val="22"/>
          <w:sz w:val="22"/>
          <w:szCs w:val="22"/>
          <w:lang w:val="fr-FR"/>
        </w:rPr>
        <w:t xml:space="preserve"> dont les obligations </w:t>
      </w:r>
      <w:r>
        <w:rPr>
          <w:iCs/>
          <w:kern w:val="22"/>
          <w:sz w:val="22"/>
          <w:szCs w:val="22"/>
          <w:lang w:val="fr-FR"/>
        </w:rPr>
        <w:t>s’appliquent</w:t>
      </w:r>
      <w:r w:rsidR="002A4782">
        <w:rPr>
          <w:iCs/>
          <w:kern w:val="22"/>
          <w:sz w:val="22"/>
          <w:szCs w:val="22"/>
          <w:lang w:val="fr-FR"/>
        </w:rPr>
        <w:t xml:space="preserve"> à leurs Parties</w:t>
      </w:r>
      <w:r w:rsidRPr="00D642B3">
        <w:rPr>
          <w:iCs/>
          <w:kern w:val="22"/>
          <w:sz w:val="22"/>
          <w:szCs w:val="22"/>
          <w:lang w:val="fr-FR"/>
        </w:rPr>
        <w:t xml:space="preserve">, et que les informations fournies dans les différents formats de rapports </w:t>
      </w:r>
      <w:r w:rsidRPr="00D642B3">
        <w:rPr>
          <w:kern w:val="22"/>
          <w:sz w:val="22"/>
          <w:szCs w:val="22"/>
          <w:lang w:val="fr-FR"/>
        </w:rPr>
        <w:t>nationaux dépendent des priorités et des objectifs des stratégies de mise en œuvre adoptées pour chaque instrument à un moment précis</w:t>
      </w:r>
      <w:r w:rsidR="00022BBD" w:rsidRPr="00B029CA">
        <w:rPr>
          <w:snapToGrid/>
          <w:kern w:val="22"/>
          <w:sz w:val="22"/>
          <w:szCs w:val="22"/>
          <w:lang w:val="fr-FR"/>
        </w:rPr>
        <w:t>,</w:t>
      </w:r>
    </w:p>
    <w:p w14:paraId="7F83EF13" w14:textId="47299A01" w:rsidR="009D6158" w:rsidRPr="00B029CA" w:rsidRDefault="00DC6106"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Notant</w:t>
      </w:r>
      <w:r w:rsidRPr="00D642B3">
        <w:rPr>
          <w:iCs/>
          <w:kern w:val="22"/>
          <w:sz w:val="22"/>
          <w:szCs w:val="22"/>
          <w:lang w:val="fr-FR"/>
        </w:rPr>
        <w:t xml:space="preserve"> la nécessité persistante de renforcer les capacités des pays en développement, en particulier des pays les moins avancés, notamment des petits États insulaires en développement, et des </w:t>
      </w:r>
      <w:r>
        <w:rPr>
          <w:iCs/>
          <w:kern w:val="22"/>
          <w:sz w:val="22"/>
          <w:szCs w:val="22"/>
          <w:lang w:val="fr-FR"/>
        </w:rPr>
        <w:t>pays</w:t>
      </w:r>
      <w:r w:rsidRPr="00D642B3">
        <w:rPr>
          <w:iCs/>
          <w:kern w:val="22"/>
          <w:sz w:val="22"/>
          <w:szCs w:val="22"/>
          <w:lang w:val="fr-FR"/>
        </w:rPr>
        <w:t xml:space="preserve"> à économies en </w:t>
      </w:r>
      <w:r w:rsidRPr="00D642B3">
        <w:rPr>
          <w:kern w:val="22"/>
          <w:sz w:val="22"/>
          <w:szCs w:val="22"/>
          <w:lang w:val="fr-FR"/>
        </w:rPr>
        <w:t>transition, et de leur fournir un appui financier</w:t>
      </w:r>
      <w:r w:rsidRPr="00D642B3">
        <w:rPr>
          <w:iCs/>
          <w:kern w:val="22"/>
          <w:sz w:val="22"/>
          <w:szCs w:val="22"/>
          <w:lang w:val="fr-FR"/>
        </w:rPr>
        <w:t xml:space="preserve">, dans le cadre des futurs cycles </w:t>
      </w:r>
      <w:r>
        <w:rPr>
          <w:iCs/>
          <w:kern w:val="22"/>
          <w:sz w:val="22"/>
          <w:szCs w:val="22"/>
          <w:lang w:val="fr-FR"/>
        </w:rPr>
        <w:t>des</w:t>
      </w:r>
      <w:r w:rsidRPr="00D642B3">
        <w:rPr>
          <w:iCs/>
          <w:kern w:val="22"/>
          <w:sz w:val="22"/>
          <w:szCs w:val="22"/>
          <w:lang w:val="fr-FR"/>
        </w:rPr>
        <w:t xml:space="preserve"> rapports établis au titre de la </w:t>
      </w:r>
      <w:r w:rsidRPr="00D642B3">
        <w:rPr>
          <w:kern w:val="22"/>
          <w:sz w:val="22"/>
          <w:szCs w:val="22"/>
          <w:lang w:val="fr-FR"/>
        </w:rPr>
        <w:t>Convention et de ses protocoles</w:t>
      </w:r>
      <w:r w:rsidR="008C7F9C" w:rsidRPr="00B029CA">
        <w:rPr>
          <w:snapToGrid/>
          <w:kern w:val="22"/>
          <w:sz w:val="22"/>
          <w:szCs w:val="22"/>
          <w:lang w:val="fr-FR"/>
        </w:rPr>
        <w:t>,</w:t>
      </w:r>
    </w:p>
    <w:p w14:paraId="1FEEA66F" w14:textId="05FC1ABB" w:rsidR="00DF691E" w:rsidRPr="00B029CA" w:rsidRDefault="00DF691E"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B029CA">
        <w:rPr>
          <w:snapToGrid/>
          <w:kern w:val="22"/>
          <w:sz w:val="22"/>
          <w:szCs w:val="22"/>
          <w:lang w:val="fr-FR"/>
        </w:rPr>
        <w:t>1.</w:t>
      </w:r>
      <w:r w:rsidRPr="00B029CA">
        <w:rPr>
          <w:snapToGrid/>
          <w:kern w:val="22"/>
          <w:sz w:val="22"/>
          <w:szCs w:val="22"/>
          <w:lang w:val="fr-FR"/>
        </w:rPr>
        <w:tab/>
      </w:r>
      <w:r w:rsidR="00DC6106" w:rsidRPr="00D642B3">
        <w:rPr>
          <w:i/>
          <w:kern w:val="22"/>
          <w:sz w:val="22"/>
          <w:szCs w:val="22"/>
          <w:lang w:val="fr-FR"/>
        </w:rPr>
        <w:t>Décide</w:t>
      </w:r>
      <w:r w:rsidR="00DC6106" w:rsidRPr="00D642B3">
        <w:rPr>
          <w:iCs/>
          <w:kern w:val="22"/>
          <w:sz w:val="22"/>
          <w:szCs w:val="22"/>
          <w:lang w:val="fr-FR"/>
        </w:rPr>
        <w:t xml:space="preserve"> de commencer à synchroniser les cycles </w:t>
      </w:r>
      <w:r w:rsidR="00DC6106">
        <w:rPr>
          <w:iCs/>
          <w:kern w:val="22"/>
          <w:sz w:val="22"/>
          <w:szCs w:val="22"/>
          <w:lang w:val="fr-FR"/>
        </w:rPr>
        <w:t>d</w:t>
      </w:r>
      <w:r w:rsidR="00DC6106" w:rsidRPr="00D642B3">
        <w:rPr>
          <w:iCs/>
          <w:kern w:val="22"/>
          <w:sz w:val="22"/>
          <w:szCs w:val="22"/>
          <w:lang w:val="fr-FR"/>
        </w:rPr>
        <w:t xml:space="preserve">’établissement des rapports relatifs à la </w:t>
      </w:r>
      <w:r w:rsidR="00DC6106" w:rsidRPr="00D642B3">
        <w:rPr>
          <w:kern w:val="22"/>
          <w:sz w:val="22"/>
          <w:szCs w:val="22"/>
          <w:lang w:val="fr-FR"/>
        </w:rPr>
        <w:t xml:space="preserve">Convention, au Protocole de Cartagena et au Protocole de Nagoya en 2023, et </w:t>
      </w:r>
      <w:r w:rsidR="00DC6106" w:rsidRPr="00D642B3">
        <w:rPr>
          <w:i/>
          <w:iCs/>
          <w:kern w:val="22"/>
          <w:sz w:val="22"/>
          <w:szCs w:val="22"/>
          <w:lang w:val="fr-FR"/>
        </w:rPr>
        <w:t>invite</w:t>
      </w:r>
      <w:r w:rsidR="00DC6106" w:rsidRPr="00D642B3">
        <w:rPr>
          <w:kern w:val="22"/>
          <w:sz w:val="22"/>
          <w:szCs w:val="22"/>
          <w:lang w:val="fr-FR"/>
        </w:rPr>
        <w:t xml:space="preserve"> la Conférence des Parties siégeant en tant que réunion des Parties au Protocole de Cartagena et la Conférence des Parties </w:t>
      </w:r>
      <w:r w:rsidR="00DC6106" w:rsidRPr="00D642B3">
        <w:rPr>
          <w:kern w:val="22"/>
          <w:sz w:val="22"/>
          <w:szCs w:val="22"/>
          <w:lang w:val="fr-FR"/>
        </w:rPr>
        <w:lastRenderedPageBreak/>
        <w:t>siégeant en tant que réunion des Parties au Protocole de Nagoya à prendre les mesures préparatoires nécessaires pour appliquer des approches synchronisées et respecter les cycles synchronisés lors de l’établissement de leurs rapports </w:t>
      </w:r>
      <w:r w:rsidRPr="00B029CA">
        <w:rPr>
          <w:snapToGrid/>
          <w:kern w:val="22"/>
          <w:sz w:val="22"/>
          <w:szCs w:val="22"/>
          <w:lang w:val="fr-FR"/>
        </w:rPr>
        <w:t>;</w:t>
      </w:r>
    </w:p>
    <w:p w14:paraId="75D3CE36" w14:textId="42E7B0E9" w:rsidR="00AB17D9" w:rsidRPr="00B029CA" w:rsidRDefault="009D6158"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B029CA">
        <w:rPr>
          <w:snapToGrid/>
          <w:kern w:val="22"/>
          <w:sz w:val="22"/>
          <w:szCs w:val="22"/>
          <w:lang w:val="fr-FR"/>
        </w:rPr>
        <w:t>2</w:t>
      </w:r>
      <w:r w:rsidR="00AB17D9" w:rsidRPr="00B029CA">
        <w:rPr>
          <w:snapToGrid/>
          <w:kern w:val="22"/>
          <w:sz w:val="22"/>
          <w:szCs w:val="22"/>
          <w:lang w:val="fr-FR"/>
        </w:rPr>
        <w:t>.</w:t>
      </w:r>
      <w:r w:rsidR="00B934D1" w:rsidRPr="00B029CA">
        <w:rPr>
          <w:snapToGrid/>
          <w:kern w:val="22"/>
          <w:sz w:val="22"/>
          <w:szCs w:val="22"/>
          <w:lang w:val="fr-FR"/>
        </w:rPr>
        <w:tab/>
      </w:r>
      <w:r w:rsidR="00DC6106" w:rsidRPr="00D642B3">
        <w:rPr>
          <w:i/>
          <w:kern w:val="22"/>
          <w:sz w:val="22"/>
          <w:szCs w:val="22"/>
          <w:lang w:val="fr-FR"/>
        </w:rPr>
        <w:t>Encourage</w:t>
      </w:r>
      <w:r w:rsidR="00DC6106" w:rsidRPr="00D642B3">
        <w:rPr>
          <w:iCs/>
          <w:kern w:val="22"/>
          <w:sz w:val="22"/>
          <w:szCs w:val="22"/>
          <w:lang w:val="fr-FR"/>
        </w:rPr>
        <w:t xml:space="preserve"> les Parties à cerner les synergies possibles à l’échelle nationale, en incluant tous les processus d’établissement de</w:t>
      </w:r>
      <w:r w:rsidR="00DC6106">
        <w:rPr>
          <w:iCs/>
          <w:kern w:val="22"/>
          <w:sz w:val="22"/>
          <w:szCs w:val="22"/>
          <w:lang w:val="fr-FR"/>
        </w:rPr>
        <w:t>s</w:t>
      </w:r>
      <w:r w:rsidR="00DC6106" w:rsidRPr="00D642B3">
        <w:rPr>
          <w:iCs/>
          <w:kern w:val="22"/>
          <w:sz w:val="22"/>
          <w:szCs w:val="22"/>
          <w:lang w:val="fr-FR"/>
        </w:rPr>
        <w:t xml:space="preserve"> rapports relatifs à la diversité biologique pertinents, afin d’améliorer l’harmonisation et la cohérence des informations et des données présentées dans les rapports </w:t>
      </w:r>
      <w:r w:rsidR="00DC6106" w:rsidRPr="00D642B3">
        <w:rPr>
          <w:kern w:val="22"/>
          <w:sz w:val="22"/>
          <w:szCs w:val="22"/>
          <w:lang w:val="fr-FR"/>
        </w:rPr>
        <w:t>nationaux </w:t>
      </w:r>
      <w:r w:rsidR="00AB17D9" w:rsidRPr="00B029CA">
        <w:rPr>
          <w:snapToGrid/>
          <w:kern w:val="22"/>
          <w:sz w:val="22"/>
          <w:szCs w:val="22"/>
          <w:lang w:val="fr-FR"/>
        </w:rPr>
        <w:t>;</w:t>
      </w:r>
    </w:p>
    <w:p w14:paraId="2173A1A1" w14:textId="103E8C58" w:rsidR="00DF691E" w:rsidRPr="00B029CA" w:rsidRDefault="009D6158"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B029CA">
        <w:rPr>
          <w:snapToGrid/>
          <w:kern w:val="22"/>
          <w:sz w:val="22"/>
          <w:szCs w:val="22"/>
          <w:lang w:val="fr-FR"/>
        </w:rPr>
        <w:t>3</w:t>
      </w:r>
      <w:r w:rsidR="00DF691E" w:rsidRPr="00B029CA">
        <w:rPr>
          <w:snapToGrid/>
          <w:kern w:val="22"/>
          <w:sz w:val="22"/>
          <w:szCs w:val="22"/>
          <w:lang w:val="fr-FR"/>
        </w:rPr>
        <w:t>.</w:t>
      </w:r>
      <w:r w:rsidR="00DF691E" w:rsidRPr="00B029CA">
        <w:rPr>
          <w:snapToGrid/>
          <w:kern w:val="22"/>
          <w:sz w:val="22"/>
          <w:szCs w:val="22"/>
          <w:lang w:val="fr-FR"/>
        </w:rPr>
        <w:tab/>
      </w:r>
      <w:r w:rsidR="00DC6106" w:rsidRPr="00D642B3">
        <w:rPr>
          <w:i/>
          <w:kern w:val="22"/>
          <w:sz w:val="22"/>
          <w:szCs w:val="22"/>
          <w:lang w:val="fr-FR"/>
        </w:rPr>
        <w:t xml:space="preserve">Prie </w:t>
      </w:r>
      <w:r w:rsidR="008659CF">
        <w:rPr>
          <w:iCs/>
          <w:kern w:val="22"/>
          <w:sz w:val="22"/>
          <w:szCs w:val="22"/>
          <w:lang w:val="fr-FR"/>
        </w:rPr>
        <w:t>la Secrétaire exécutive</w:t>
      </w:r>
      <w:r w:rsidR="00F57AA6">
        <w:rPr>
          <w:iCs/>
          <w:kern w:val="22"/>
          <w:sz w:val="22"/>
          <w:szCs w:val="22"/>
          <w:lang w:val="fr-FR"/>
        </w:rPr>
        <w:t>,</w:t>
      </w:r>
      <w:r w:rsidR="004105B9">
        <w:rPr>
          <w:iCs/>
          <w:kern w:val="22"/>
          <w:sz w:val="22"/>
          <w:szCs w:val="22"/>
          <w:lang w:val="fr-FR"/>
        </w:rPr>
        <w:t xml:space="preserve"> [</w:t>
      </w:r>
      <w:bookmarkStart w:id="1" w:name="_GoBack"/>
      <w:bookmarkEnd w:id="1"/>
      <w:r w:rsidR="004105B9">
        <w:rPr>
          <w:iCs/>
          <w:kern w:val="22"/>
          <w:sz w:val="22"/>
          <w:szCs w:val="22"/>
          <w:lang w:val="fr-FR"/>
        </w:rPr>
        <w:t xml:space="preserve">dans la limite des ressources disponibles,] </w:t>
      </w:r>
      <w:r w:rsidR="00DC6106" w:rsidRPr="00D642B3">
        <w:rPr>
          <w:iCs/>
          <w:kern w:val="22"/>
          <w:sz w:val="22"/>
          <w:szCs w:val="22"/>
          <w:lang w:val="fr-FR"/>
        </w:rPr>
        <w:t>de </w:t>
      </w:r>
      <w:r w:rsidR="00DF691E" w:rsidRPr="00B029CA">
        <w:rPr>
          <w:snapToGrid/>
          <w:kern w:val="22"/>
          <w:sz w:val="22"/>
          <w:szCs w:val="22"/>
          <w:lang w:val="fr-FR"/>
        </w:rPr>
        <w:t>:</w:t>
      </w:r>
    </w:p>
    <w:p w14:paraId="123A5878" w14:textId="39230D40" w:rsidR="00AB17D9" w:rsidRPr="00B029CA" w:rsidRDefault="00964580" w:rsidP="0025586F">
      <w:pPr>
        <w:pStyle w:val="Para1"/>
        <w:suppressLineNumbers/>
        <w:suppressAutoHyphens/>
        <w:kinsoku w:val="0"/>
        <w:overflowPunct w:val="0"/>
        <w:autoSpaceDE w:val="0"/>
        <w:autoSpaceDN w:val="0"/>
        <w:adjustRightInd w:val="0"/>
        <w:snapToGrid w:val="0"/>
        <w:ind w:firstLine="1440"/>
        <w:jc w:val="both"/>
        <w:rPr>
          <w:snapToGrid/>
          <w:kern w:val="22"/>
          <w:sz w:val="22"/>
          <w:szCs w:val="22"/>
          <w:lang w:val="fr-FR"/>
        </w:rPr>
      </w:pPr>
      <w:r w:rsidRPr="00B029CA">
        <w:rPr>
          <w:snapToGrid/>
          <w:kern w:val="22"/>
          <w:sz w:val="22"/>
          <w:szCs w:val="22"/>
          <w:lang w:val="fr-FR"/>
        </w:rPr>
        <w:t>a)</w:t>
      </w:r>
      <w:r w:rsidR="008C7F9C" w:rsidRPr="00B029CA">
        <w:rPr>
          <w:snapToGrid/>
          <w:kern w:val="22"/>
          <w:sz w:val="22"/>
          <w:szCs w:val="22"/>
          <w:lang w:val="fr-FR"/>
        </w:rPr>
        <w:tab/>
      </w:r>
      <w:r w:rsidR="00DC6106" w:rsidRPr="00D642B3">
        <w:rPr>
          <w:kern w:val="22"/>
          <w:sz w:val="22"/>
          <w:szCs w:val="22"/>
          <w:lang w:val="fr-FR"/>
        </w:rPr>
        <w:t>Évaluer le coût de la sync</w:t>
      </w:r>
      <w:r w:rsidR="00DC6106">
        <w:rPr>
          <w:kern w:val="22"/>
          <w:sz w:val="22"/>
          <w:szCs w:val="22"/>
          <w:lang w:val="fr-FR"/>
        </w:rPr>
        <w:t>hronisation des cycles d</w:t>
      </w:r>
      <w:r w:rsidR="00DC6106" w:rsidRPr="00D642B3">
        <w:rPr>
          <w:kern w:val="22"/>
          <w:sz w:val="22"/>
          <w:szCs w:val="22"/>
          <w:lang w:val="fr-FR"/>
        </w:rPr>
        <w:t>’établissement des rapports qui commencera en 2023 pour la Convention, le Protocole de Cartagena et</w:t>
      </w:r>
      <w:r w:rsidR="00243963">
        <w:rPr>
          <w:kern w:val="22"/>
          <w:sz w:val="22"/>
          <w:szCs w:val="22"/>
          <w:lang w:val="fr-FR"/>
        </w:rPr>
        <w:t xml:space="preserve"> le Protocole de Nagoya, afin d’</w:t>
      </w:r>
      <w:r w:rsidR="00DC6106" w:rsidRPr="00D642B3">
        <w:rPr>
          <w:kern w:val="22"/>
          <w:sz w:val="22"/>
          <w:szCs w:val="22"/>
          <w:lang w:val="fr-FR"/>
        </w:rPr>
        <w:t xml:space="preserve">informer le Fonds pour l’environnement mondial </w:t>
      </w:r>
      <w:r w:rsidR="00243963">
        <w:rPr>
          <w:kern w:val="22"/>
          <w:sz w:val="22"/>
          <w:szCs w:val="22"/>
          <w:lang w:val="fr-FR"/>
        </w:rPr>
        <w:t>des aspects relatifs à la préparation de l</w:t>
      </w:r>
      <w:r w:rsidR="00DC6106" w:rsidRPr="00D642B3">
        <w:rPr>
          <w:kern w:val="22"/>
          <w:sz w:val="22"/>
          <w:szCs w:val="22"/>
          <w:lang w:val="fr-FR"/>
        </w:rPr>
        <w:t xml:space="preserve">a reconstitution </w:t>
      </w:r>
      <w:r w:rsidR="00CF5DCE">
        <w:rPr>
          <w:kern w:val="22"/>
          <w:sz w:val="22"/>
          <w:szCs w:val="22"/>
          <w:lang w:val="fr-FR"/>
        </w:rPr>
        <w:t>du Fonds d’affectation spéciale pour le</w:t>
      </w:r>
      <w:r w:rsidR="00DC6106">
        <w:rPr>
          <w:kern w:val="22"/>
          <w:sz w:val="22"/>
          <w:szCs w:val="22"/>
          <w:lang w:val="fr-FR"/>
        </w:rPr>
        <w:t xml:space="preserve"> cycle de </w:t>
      </w:r>
      <w:r w:rsidR="00DC6106" w:rsidRPr="00D642B3">
        <w:rPr>
          <w:kern w:val="22"/>
          <w:sz w:val="22"/>
          <w:szCs w:val="22"/>
          <w:lang w:val="fr-FR"/>
        </w:rPr>
        <w:t>2022-2026 </w:t>
      </w:r>
      <w:r w:rsidR="00AB17D9" w:rsidRPr="00B029CA">
        <w:rPr>
          <w:snapToGrid/>
          <w:kern w:val="22"/>
          <w:sz w:val="22"/>
          <w:szCs w:val="22"/>
          <w:lang w:val="fr-FR"/>
        </w:rPr>
        <w:t>;</w:t>
      </w:r>
    </w:p>
    <w:p w14:paraId="6C0C64E5" w14:textId="294B692F" w:rsidR="00DF691E" w:rsidRPr="00B029CA" w:rsidRDefault="00C03D6F" w:rsidP="0025586F">
      <w:pPr>
        <w:pStyle w:val="Para1"/>
        <w:suppressLineNumbers/>
        <w:suppressAutoHyphens/>
        <w:kinsoku w:val="0"/>
        <w:overflowPunct w:val="0"/>
        <w:autoSpaceDE w:val="0"/>
        <w:autoSpaceDN w:val="0"/>
        <w:adjustRightInd w:val="0"/>
        <w:snapToGrid w:val="0"/>
        <w:ind w:firstLine="1440"/>
        <w:jc w:val="both"/>
        <w:rPr>
          <w:snapToGrid/>
          <w:kern w:val="22"/>
          <w:sz w:val="22"/>
          <w:szCs w:val="22"/>
          <w:lang w:val="fr-FR"/>
        </w:rPr>
      </w:pPr>
      <w:r w:rsidRPr="00B029CA">
        <w:rPr>
          <w:snapToGrid/>
          <w:kern w:val="22"/>
          <w:sz w:val="22"/>
          <w:szCs w:val="22"/>
          <w:lang w:val="fr-FR"/>
        </w:rPr>
        <w:t>b)</w:t>
      </w:r>
      <w:r w:rsidR="008C7F9C" w:rsidRPr="00B029CA">
        <w:rPr>
          <w:snapToGrid/>
          <w:kern w:val="22"/>
          <w:sz w:val="22"/>
          <w:szCs w:val="22"/>
          <w:lang w:val="fr-FR"/>
        </w:rPr>
        <w:tab/>
      </w:r>
      <w:r w:rsidR="00DC6106" w:rsidRPr="00D642B3">
        <w:rPr>
          <w:kern w:val="22"/>
          <w:sz w:val="22"/>
          <w:szCs w:val="22"/>
          <w:lang w:val="fr-FR"/>
        </w:rPr>
        <w:t>Continuer à s’efforcer d’améliorer et d’harmoniser l’interface utilisateur et la conception des rapports nationaux établis au titre de la Convention et de ses protocoles, en incluant l’outil de notification en ligne, et de rendre compte des progrès accomplis à cet égard à l’Organe subsidiaire chargé de l’application à sa troisième réunion </w:t>
      </w:r>
      <w:r w:rsidR="00DF691E" w:rsidRPr="00B029CA">
        <w:rPr>
          <w:snapToGrid/>
          <w:kern w:val="22"/>
          <w:sz w:val="22"/>
          <w:szCs w:val="22"/>
          <w:lang w:val="fr-FR"/>
        </w:rPr>
        <w:t>;</w:t>
      </w:r>
    </w:p>
    <w:p w14:paraId="304E336F" w14:textId="1E313A3E" w:rsidR="00C03D6F" w:rsidRPr="00B029CA" w:rsidRDefault="008C7F9C" w:rsidP="0025586F">
      <w:pPr>
        <w:suppressLineNumbers/>
        <w:suppressAutoHyphens/>
        <w:kinsoku w:val="0"/>
        <w:overflowPunct w:val="0"/>
        <w:autoSpaceDE w:val="0"/>
        <w:autoSpaceDN w:val="0"/>
        <w:adjustRightInd w:val="0"/>
        <w:snapToGrid w:val="0"/>
        <w:spacing w:after="120"/>
        <w:ind w:firstLine="1440"/>
        <w:jc w:val="both"/>
        <w:rPr>
          <w:kern w:val="22"/>
          <w:sz w:val="22"/>
          <w:szCs w:val="22"/>
          <w:lang w:val="fr-FR"/>
        </w:rPr>
      </w:pPr>
      <w:r w:rsidRPr="00B029CA">
        <w:rPr>
          <w:kern w:val="22"/>
          <w:sz w:val="22"/>
          <w:szCs w:val="22"/>
          <w:lang w:val="fr-FR"/>
        </w:rPr>
        <w:t>c</w:t>
      </w:r>
      <w:r w:rsidR="00C03D6F" w:rsidRPr="00B029CA">
        <w:rPr>
          <w:kern w:val="22"/>
          <w:sz w:val="22"/>
          <w:szCs w:val="22"/>
          <w:lang w:val="fr-FR"/>
        </w:rPr>
        <w:t>)</w:t>
      </w:r>
      <w:r w:rsidRPr="00B029CA">
        <w:rPr>
          <w:kern w:val="22"/>
          <w:sz w:val="22"/>
          <w:szCs w:val="22"/>
          <w:lang w:val="fr-FR"/>
        </w:rPr>
        <w:tab/>
      </w:r>
      <w:r w:rsidR="00DC6106" w:rsidRPr="00D642B3">
        <w:rPr>
          <w:snapToGrid w:val="0"/>
          <w:kern w:val="22"/>
          <w:sz w:val="22"/>
          <w:szCs w:val="22"/>
          <w:lang w:val="fr-FR"/>
        </w:rPr>
        <w:t>S’inspirer de l’expérience et des enseignements tirés des rapports les plus récents des Parties à la Convention et aux protocoles de Cartagena et de Nagoya, en particul</w:t>
      </w:r>
      <w:r w:rsidR="00DC6106">
        <w:rPr>
          <w:snapToGrid w:val="0"/>
          <w:kern w:val="22"/>
          <w:sz w:val="22"/>
          <w:szCs w:val="22"/>
          <w:lang w:val="fr-FR"/>
        </w:rPr>
        <w:t xml:space="preserve">ier des moyens de faciliter </w:t>
      </w:r>
      <w:r w:rsidR="00DC6106" w:rsidRPr="00D642B3">
        <w:rPr>
          <w:snapToGrid w:val="0"/>
          <w:kern w:val="22"/>
          <w:sz w:val="22"/>
          <w:szCs w:val="22"/>
          <w:lang w:val="fr-FR"/>
        </w:rPr>
        <w:t xml:space="preserve">l’harmonisation des processus </w:t>
      </w:r>
      <w:r w:rsidR="00DC6106" w:rsidRPr="00D642B3">
        <w:rPr>
          <w:iCs/>
          <w:kern w:val="22"/>
          <w:sz w:val="22"/>
          <w:szCs w:val="22"/>
          <w:lang w:val="fr-FR"/>
        </w:rPr>
        <w:t>d’établissement de</w:t>
      </w:r>
      <w:r w:rsidR="00DC6106">
        <w:rPr>
          <w:iCs/>
          <w:kern w:val="22"/>
          <w:sz w:val="22"/>
          <w:szCs w:val="22"/>
          <w:lang w:val="fr-FR"/>
        </w:rPr>
        <w:t>s</w:t>
      </w:r>
      <w:r w:rsidR="00DC6106" w:rsidRPr="00D642B3">
        <w:rPr>
          <w:iCs/>
          <w:kern w:val="22"/>
          <w:sz w:val="22"/>
          <w:szCs w:val="22"/>
          <w:lang w:val="fr-FR"/>
        </w:rPr>
        <w:t xml:space="preserve"> rapports </w:t>
      </w:r>
      <w:r w:rsidR="00716D19" w:rsidRPr="00B029CA">
        <w:rPr>
          <w:kern w:val="22"/>
          <w:sz w:val="22"/>
          <w:szCs w:val="22"/>
          <w:lang w:val="fr-FR"/>
        </w:rPr>
        <w:t>;</w:t>
      </w:r>
    </w:p>
    <w:p w14:paraId="32878301" w14:textId="5385D754" w:rsidR="00DF691E" w:rsidRPr="00B029CA" w:rsidRDefault="008C7F9C" w:rsidP="0025586F">
      <w:pPr>
        <w:pStyle w:val="Para1"/>
        <w:suppressLineNumbers/>
        <w:suppressAutoHyphens/>
        <w:kinsoku w:val="0"/>
        <w:overflowPunct w:val="0"/>
        <w:autoSpaceDE w:val="0"/>
        <w:autoSpaceDN w:val="0"/>
        <w:adjustRightInd w:val="0"/>
        <w:snapToGrid w:val="0"/>
        <w:ind w:firstLine="1440"/>
        <w:jc w:val="both"/>
        <w:rPr>
          <w:snapToGrid/>
          <w:kern w:val="22"/>
          <w:sz w:val="22"/>
          <w:szCs w:val="22"/>
          <w:lang w:val="fr-FR"/>
        </w:rPr>
      </w:pPr>
      <w:r w:rsidRPr="00B029CA">
        <w:rPr>
          <w:snapToGrid/>
          <w:kern w:val="22"/>
          <w:sz w:val="22"/>
          <w:szCs w:val="22"/>
          <w:lang w:val="fr-FR"/>
        </w:rPr>
        <w:t>d</w:t>
      </w:r>
      <w:r w:rsidR="00964580" w:rsidRPr="00B029CA">
        <w:rPr>
          <w:snapToGrid/>
          <w:kern w:val="22"/>
          <w:sz w:val="22"/>
          <w:szCs w:val="22"/>
          <w:lang w:val="fr-FR"/>
        </w:rPr>
        <w:t>)</w:t>
      </w:r>
      <w:r w:rsidR="00964580" w:rsidRPr="00B029CA">
        <w:rPr>
          <w:snapToGrid/>
          <w:kern w:val="22"/>
          <w:sz w:val="22"/>
          <w:szCs w:val="22"/>
          <w:lang w:val="fr-FR"/>
        </w:rPr>
        <w:tab/>
      </w:r>
      <w:r w:rsidR="00DC6106" w:rsidRPr="00D642B3">
        <w:rPr>
          <w:kern w:val="22"/>
          <w:sz w:val="22"/>
          <w:szCs w:val="22"/>
          <w:lang w:val="fr-FR"/>
        </w:rPr>
        <w:t xml:space="preserve">Recenser les options et les conséquences de l’harmonisation des processus </w:t>
      </w:r>
      <w:r w:rsidR="00DC6106" w:rsidRPr="00D642B3">
        <w:rPr>
          <w:iCs/>
          <w:kern w:val="22"/>
          <w:sz w:val="22"/>
          <w:szCs w:val="22"/>
          <w:lang w:val="fr-FR"/>
        </w:rPr>
        <w:t xml:space="preserve">d’établissement </w:t>
      </w:r>
      <w:r w:rsidR="00933F28">
        <w:rPr>
          <w:iCs/>
          <w:kern w:val="22"/>
          <w:sz w:val="22"/>
          <w:szCs w:val="22"/>
          <w:lang w:val="fr-FR"/>
        </w:rPr>
        <w:t xml:space="preserve">des rapports nationaux </w:t>
      </w:r>
      <w:r w:rsidR="00DC6106" w:rsidRPr="00D642B3">
        <w:rPr>
          <w:iCs/>
          <w:kern w:val="22"/>
          <w:sz w:val="22"/>
          <w:szCs w:val="22"/>
          <w:lang w:val="fr-FR"/>
        </w:rPr>
        <w:t xml:space="preserve">au titre de la </w:t>
      </w:r>
      <w:r w:rsidR="00DC6106" w:rsidRPr="00D642B3">
        <w:rPr>
          <w:kern w:val="22"/>
          <w:sz w:val="22"/>
          <w:szCs w:val="22"/>
          <w:lang w:val="fr-FR"/>
        </w:rPr>
        <w:t>Convention et de ses protocoles</w:t>
      </w:r>
      <w:r w:rsidR="00DC6106">
        <w:rPr>
          <w:kern w:val="22"/>
          <w:sz w:val="22"/>
          <w:szCs w:val="22"/>
          <w:lang w:val="fr-FR"/>
        </w:rPr>
        <w:t xml:space="preserve"> lors de la préparation des documents relatifs au Cadre </w:t>
      </w:r>
      <w:r w:rsidR="00933F28">
        <w:rPr>
          <w:iCs/>
          <w:kern w:val="22"/>
          <w:sz w:val="22"/>
          <w:szCs w:val="22"/>
          <w:lang w:val="fr-FR"/>
        </w:rPr>
        <w:t>mondial de la biodiversité</w:t>
      </w:r>
      <w:r w:rsidR="00DC6106" w:rsidRPr="00D642B3">
        <w:rPr>
          <w:iCs/>
          <w:kern w:val="22"/>
          <w:sz w:val="22"/>
          <w:szCs w:val="22"/>
          <w:lang w:val="fr-FR"/>
        </w:rPr>
        <w:t xml:space="preserve"> pour l’après-2020</w:t>
      </w:r>
      <w:r w:rsidR="00DC6106">
        <w:rPr>
          <w:iCs/>
          <w:kern w:val="22"/>
          <w:sz w:val="22"/>
          <w:szCs w:val="22"/>
          <w:lang w:val="fr-FR"/>
        </w:rPr>
        <w:t> </w:t>
      </w:r>
      <w:r w:rsidR="00DF691E" w:rsidRPr="00B029CA">
        <w:rPr>
          <w:snapToGrid/>
          <w:kern w:val="22"/>
          <w:sz w:val="22"/>
          <w:szCs w:val="22"/>
          <w:lang w:val="fr-FR"/>
        </w:rPr>
        <w:t>;</w:t>
      </w:r>
    </w:p>
    <w:p w14:paraId="47B580BD" w14:textId="5D0F26AA" w:rsidR="003A36BC" w:rsidRPr="00B029CA" w:rsidRDefault="008C7F9C" w:rsidP="0025586F">
      <w:pPr>
        <w:pStyle w:val="Para1"/>
        <w:suppressLineNumbers/>
        <w:suppressAutoHyphens/>
        <w:kinsoku w:val="0"/>
        <w:overflowPunct w:val="0"/>
        <w:autoSpaceDE w:val="0"/>
        <w:autoSpaceDN w:val="0"/>
        <w:adjustRightInd w:val="0"/>
        <w:snapToGrid w:val="0"/>
        <w:ind w:firstLine="1440"/>
        <w:jc w:val="both"/>
        <w:rPr>
          <w:snapToGrid/>
          <w:kern w:val="22"/>
          <w:sz w:val="22"/>
          <w:szCs w:val="22"/>
          <w:lang w:val="fr-FR"/>
        </w:rPr>
      </w:pPr>
      <w:r w:rsidRPr="00B029CA">
        <w:rPr>
          <w:snapToGrid/>
          <w:kern w:val="22"/>
          <w:sz w:val="22"/>
          <w:szCs w:val="22"/>
          <w:lang w:val="fr-FR"/>
        </w:rPr>
        <w:t>e</w:t>
      </w:r>
      <w:r w:rsidR="00DF691E" w:rsidRPr="00B029CA">
        <w:rPr>
          <w:snapToGrid/>
          <w:kern w:val="22"/>
          <w:sz w:val="22"/>
          <w:szCs w:val="22"/>
          <w:lang w:val="fr-FR"/>
        </w:rPr>
        <w:t>)</w:t>
      </w:r>
      <w:r w:rsidR="00964580" w:rsidRPr="00B029CA">
        <w:rPr>
          <w:snapToGrid/>
          <w:kern w:val="22"/>
          <w:sz w:val="22"/>
          <w:szCs w:val="22"/>
          <w:lang w:val="fr-FR"/>
        </w:rPr>
        <w:tab/>
      </w:r>
      <w:r w:rsidR="00DC6106" w:rsidRPr="00D642B3">
        <w:rPr>
          <w:kern w:val="22"/>
          <w:sz w:val="22"/>
          <w:szCs w:val="22"/>
          <w:lang w:val="fr-FR"/>
        </w:rPr>
        <w:t xml:space="preserve">Recenser, en concertation avec les secrétariats des conventions concernées, le Groupe de liaison des conventions liées à la biodiversité et le Groupe de liaison mixte des conventions de Rio, </w:t>
      </w:r>
      <w:r w:rsidR="00DC6106">
        <w:rPr>
          <w:kern w:val="22"/>
          <w:sz w:val="22"/>
          <w:szCs w:val="22"/>
          <w:lang w:val="fr-FR"/>
        </w:rPr>
        <w:t xml:space="preserve">et </w:t>
      </w:r>
      <w:r w:rsidR="00DC6106" w:rsidRPr="00D642B3">
        <w:rPr>
          <w:kern w:val="22"/>
          <w:sz w:val="22"/>
          <w:szCs w:val="22"/>
          <w:lang w:val="fr-FR"/>
        </w:rPr>
        <w:t>sur la base des propositions formulées par le groupe consultatif informel sur les synergies existant parmi les conventions relatives à la diversité biologique</w:t>
      </w:r>
      <w:r w:rsidR="00DC6106">
        <w:rPr>
          <w:kern w:val="22"/>
          <w:sz w:val="22"/>
          <w:szCs w:val="22"/>
          <w:lang w:val="fr-FR"/>
        </w:rPr>
        <w:t xml:space="preserve">, </w:t>
      </w:r>
      <w:r w:rsidR="00933F28">
        <w:rPr>
          <w:kern w:val="22"/>
          <w:sz w:val="22"/>
          <w:szCs w:val="22"/>
          <w:lang w:val="fr-FR"/>
        </w:rPr>
        <w:t>d</w:t>
      </w:r>
      <w:r w:rsidR="00DC6106" w:rsidRPr="00D642B3">
        <w:rPr>
          <w:kern w:val="22"/>
          <w:sz w:val="22"/>
          <w:szCs w:val="22"/>
          <w:lang w:val="fr-FR"/>
        </w:rPr>
        <w:t>es me</w:t>
      </w:r>
      <w:r w:rsidR="00933F28">
        <w:rPr>
          <w:kern w:val="22"/>
          <w:sz w:val="22"/>
          <w:szCs w:val="22"/>
          <w:lang w:val="fr-FR"/>
        </w:rPr>
        <w:t xml:space="preserve">sures concrètes pour favoriser des synergies en matière d’établissement des rapports, notamment </w:t>
      </w:r>
      <w:r w:rsidR="007E7476">
        <w:rPr>
          <w:kern w:val="22"/>
          <w:sz w:val="22"/>
          <w:szCs w:val="22"/>
          <w:lang w:val="fr-FR"/>
        </w:rPr>
        <w:t xml:space="preserve">au moyen </w:t>
      </w:r>
      <w:r w:rsidR="00DC6106">
        <w:rPr>
          <w:kern w:val="22"/>
          <w:sz w:val="22"/>
          <w:szCs w:val="22"/>
          <w:lang w:val="fr-FR"/>
        </w:rPr>
        <w:t>d</w:t>
      </w:r>
      <w:r w:rsidR="00DC6106" w:rsidRPr="00D642B3">
        <w:rPr>
          <w:kern w:val="22"/>
          <w:sz w:val="22"/>
          <w:szCs w:val="22"/>
          <w:lang w:val="fr-FR"/>
        </w:rPr>
        <w:t>es éléments suivants </w:t>
      </w:r>
      <w:r w:rsidR="003A36BC" w:rsidRPr="00B029CA">
        <w:rPr>
          <w:snapToGrid/>
          <w:kern w:val="22"/>
          <w:sz w:val="22"/>
          <w:szCs w:val="22"/>
          <w:lang w:val="fr-FR"/>
        </w:rPr>
        <w:t>:</w:t>
      </w:r>
    </w:p>
    <w:p w14:paraId="58FDF551" w14:textId="732ADEC4" w:rsidR="003A36BC" w:rsidRPr="00B029CA" w:rsidRDefault="00750FE2" w:rsidP="0025586F">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fr-FR"/>
        </w:rPr>
      </w:pPr>
      <w:r w:rsidRPr="00B029CA">
        <w:rPr>
          <w:snapToGrid/>
          <w:kern w:val="22"/>
          <w:sz w:val="22"/>
          <w:szCs w:val="22"/>
          <w:lang w:val="fr-FR"/>
        </w:rPr>
        <w:t>i)</w:t>
      </w:r>
      <w:r w:rsidRPr="00B029CA">
        <w:rPr>
          <w:snapToGrid/>
          <w:kern w:val="22"/>
          <w:sz w:val="22"/>
          <w:szCs w:val="22"/>
          <w:lang w:val="fr-FR"/>
        </w:rPr>
        <w:tab/>
      </w:r>
      <w:r w:rsidR="00DC6106">
        <w:rPr>
          <w:kern w:val="22"/>
          <w:sz w:val="22"/>
          <w:szCs w:val="22"/>
          <w:lang w:val="fr-FR"/>
        </w:rPr>
        <w:t>I</w:t>
      </w:r>
      <w:r w:rsidR="00DC6106" w:rsidRPr="00D642B3">
        <w:rPr>
          <w:kern w:val="22"/>
          <w:sz w:val="22"/>
          <w:szCs w:val="22"/>
          <w:lang w:val="fr-FR"/>
        </w:rPr>
        <w:t>ndicateurs communs</w:t>
      </w:r>
      <w:r w:rsidR="008659CF">
        <w:rPr>
          <w:kern w:val="22"/>
          <w:sz w:val="22"/>
          <w:szCs w:val="22"/>
          <w:lang w:val="fr-FR"/>
        </w:rPr>
        <w:t>, selon qu’il convient</w:t>
      </w:r>
      <w:r w:rsidR="00DC6106">
        <w:rPr>
          <w:kern w:val="22"/>
          <w:sz w:val="22"/>
          <w:szCs w:val="22"/>
          <w:lang w:val="fr-FR"/>
        </w:rPr>
        <w:t> </w:t>
      </w:r>
      <w:r w:rsidR="00B20531" w:rsidRPr="00B029CA">
        <w:rPr>
          <w:snapToGrid/>
          <w:kern w:val="22"/>
          <w:sz w:val="22"/>
          <w:szCs w:val="22"/>
          <w:lang w:val="fr-FR"/>
        </w:rPr>
        <w:t>;</w:t>
      </w:r>
    </w:p>
    <w:p w14:paraId="51D9BE8C" w14:textId="52DF3D20" w:rsidR="003A36BC" w:rsidRPr="00B029CA" w:rsidRDefault="00750FE2" w:rsidP="0025586F">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fr-FR"/>
        </w:rPr>
      </w:pPr>
      <w:r w:rsidRPr="00B029CA">
        <w:rPr>
          <w:snapToGrid/>
          <w:kern w:val="22"/>
          <w:sz w:val="22"/>
          <w:szCs w:val="22"/>
          <w:lang w:val="fr-FR"/>
        </w:rPr>
        <w:t>ii)</w:t>
      </w:r>
      <w:r w:rsidRPr="00B029CA">
        <w:rPr>
          <w:snapToGrid/>
          <w:kern w:val="22"/>
          <w:sz w:val="22"/>
          <w:szCs w:val="22"/>
          <w:lang w:val="fr-FR"/>
        </w:rPr>
        <w:tab/>
      </w:r>
      <w:r w:rsidR="00DC6106">
        <w:rPr>
          <w:kern w:val="22"/>
          <w:sz w:val="22"/>
          <w:szCs w:val="22"/>
          <w:lang w:val="fr-FR"/>
        </w:rPr>
        <w:t>M</w:t>
      </w:r>
      <w:r w:rsidR="00DC6106" w:rsidRPr="00D642B3">
        <w:rPr>
          <w:kern w:val="22"/>
          <w:sz w:val="22"/>
          <w:szCs w:val="22"/>
          <w:lang w:val="fr-FR"/>
        </w:rPr>
        <w:t>odules de rapports sur les questions communes</w:t>
      </w:r>
      <w:r w:rsidR="00DC6106">
        <w:rPr>
          <w:kern w:val="22"/>
          <w:sz w:val="22"/>
          <w:szCs w:val="22"/>
          <w:lang w:val="fr-FR"/>
        </w:rPr>
        <w:t> </w:t>
      </w:r>
      <w:r w:rsidR="00B20531" w:rsidRPr="00B029CA">
        <w:rPr>
          <w:snapToGrid/>
          <w:kern w:val="22"/>
          <w:sz w:val="22"/>
          <w:szCs w:val="22"/>
          <w:lang w:val="fr-FR"/>
        </w:rPr>
        <w:t>;</w:t>
      </w:r>
    </w:p>
    <w:p w14:paraId="42232257" w14:textId="1409A807" w:rsidR="003A36BC" w:rsidRPr="00B029CA" w:rsidRDefault="00750FE2" w:rsidP="0025586F">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fr-FR"/>
        </w:rPr>
      </w:pPr>
      <w:r w:rsidRPr="00B029CA">
        <w:rPr>
          <w:snapToGrid/>
          <w:kern w:val="22"/>
          <w:sz w:val="22"/>
          <w:szCs w:val="22"/>
          <w:lang w:val="fr-FR"/>
        </w:rPr>
        <w:t>iii)</w:t>
      </w:r>
      <w:r w:rsidRPr="00B029CA">
        <w:rPr>
          <w:snapToGrid/>
          <w:kern w:val="22"/>
          <w:sz w:val="22"/>
          <w:szCs w:val="22"/>
          <w:lang w:val="fr-FR"/>
        </w:rPr>
        <w:tab/>
      </w:r>
      <w:r w:rsidR="00DC6106">
        <w:rPr>
          <w:kern w:val="22"/>
          <w:sz w:val="22"/>
          <w:szCs w:val="22"/>
          <w:lang w:val="fr-FR"/>
        </w:rPr>
        <w:t>I</w:t>
      </w:r>
      <w:r w:rsidR="00DC6106" w:rsidRPr="00D642B3">
        <w:rPr>
          <w:kern w:val="22"/>
          <w:sz w:val="22"/>
          <w:szCs w:val="22"/>
          <w:lang w:val="fr-FR"/>
        </w:rPr>
        <w:t xml:space="preserve">nteropérabilité des systèmes de gestion et de </w:t>
      </w:r>
      <w:r w:rsidR="00DC6106">
        <w:rPr>
          <w:kern w:val="22"/>
          <w:sz w:val="22"/>
          <w:szCs w:val="22"/>
          <w:lang w:val="fr-FR"/>
        </w:rPr>
        <w:t>communication de l’information </w:t>
      </w:r>
      <w:r w:rsidR="00B20531" w:rsidRPr="00B029CA">
        <w:rPr>
          <w:snapToGrid/>
          <w:kern w:val="22"/>
          <w:sz w:val="22"/>
          <w:szCs w:val="22"/>
          <w:lang w:val="fr-FR"/>
        </w:rPr>
        <w:t>;</w:t>
      </w:r>
    </w:p>
    <w:p w14:paraId="04ED26DA" w14:textId="60848CD4" w:rsidR="003A36BC" w:rsidRPr="00B029CA" w:rsidRDefault="00750FE2" w:rsidP="0025586F">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fr-FR"/>
        </w:rPr>
      </w:pPr>
      <w:r w:rsidRPr="00B029CA">
        <w:rPr>
          <w:snapToGrid/>
          <w:kern w:val="22"/>
          <w:sz w:val="22"/>
          <w:szCs w:val="22"/>
          <w:lang w:val="fr-FR"/>
        </w:rPr>
        <w:t>iv)</w:t>
      </w:r>
      <w:r w:rsidRPr="00B029CA">
        <w:rPr>
          <w:snapToGrid/>
          <w:kern w:val="22"/>
          <w:sz w:val="22"/>
          <w:szCs w:val="22"/>
          <w:lang w:val="fr-FR"/>
        </w:rPr>
        <w:tab/>
      </w:r>
      <w:r w:rsidR="00DC6106">
        <w:rPr>
          <w:kern w:val="22"/>
          <w:sz w:val="22"/>
          <w:szCs w:val="22"/>
          <w:lang w:val="fr-FR"/>
        </w:rPr>
        <w:t>A</w:t>
      </w:r>
      <w:r w:rsidR="00DC6106" w:rsidRPr="00D642B3">
        <w:rPr>
          <w:kern w:val="22"/>
          <w:sz w:val="22"/>
          <w:szCs w:val="22"/>
          <w:lang w:val="fr-FR"/>
        </w:rPr>
        <w:t xml:space="preserve">utres options développant les synergies </w:t>
      </w:r>
      <w:r w:rsidR="00DC6106">
        <w:rPr>
          <w:kern w:val="22"/>
          <w:sz w:val="22"/>
          <w:szCs w:val="22"/>
          <w:lang w:val="fr-FR"/>
        </w:rPr>
        <w:t>qui existe</w:t>
      </w:r>
      <w:r w:rsidR="00DC6106" w:rsidRPr="00D642B3">
        <w:rPr>
          <w:kern w:val="22"/>
          <w:sz w:val="22"/>
          <w:szCs w:val="22"/>
          <w:lang w:val="fr-FR"/>
        </w:rPr>
        <w:t>nt pour l’établissement des rapports nationaux parmi les conventions relatives à la diversité biologique et les conventions de Rio</w:t>
      </w:r>
      <w:r w:rsidR="00DC6106">
        <w:rPr>
          <w:kern w:val="22"/>
          <w:sz w:val="22"/>
          <w:szCs w:val="22"/>
          <w:lang w:val="fr-FR"/>
        </w:rPr>
        <w:t> </w:t>
      </w:r>
      <w:r w:rsidR="00B20531" w:rsidRPr="00B029CA">
        <w:rPr>
          <w:snapToGrid/>
          <w:kern w:val="22"/>
          <w:sz w:val="22"/>
          <w:szCs w:val="22"/>
          <w:lang w:val="fr-FR"/>
        </w:rPr>
        <w:t>;</w:t>
      </w:r>
    </w:p>
    <w:p w14:paraId="7BDC7E62" w14:textId="18F85236" w:rsidR="002D4E43" w:rsidRPr="00B029CA" w:rsidRDefault="00DC6106" w:rsidP="0025586F">
      <w:pPr>
        <w:pStyle w:val="Para1"/>
        <w:suppressLineNumbers/>
        <w:suppressAutoHyphens/>
        <w:kinsoku w:val="0"/>
        <w:overflowPunct w:val="0"/>
        <w:autoSpaceDE w:val="0"/>
        <w:autoSpaceDN w:val="0"/>
        <w:adjustRightInd w:val="0"/>
        <w:snapToGrid w:val="0"/>
        <w:jc w:val="both"/>
        <w:rPr>
          <w:snapToGrid/>
          <w:kern w:val="22"/>
          <w:sz w:val="22"/>
          <w:szCs w:val="22"/>
          <w:lang w:val="fr-FR"/>
        </w:rPr>
      </w:pPr>
      <w:proofErr w:type="gramStart"/>
      <w:r w:rsidRPr="00D642B3">
        <w:rPr>
          <w:kern w:val="22"/>
          <w:sz w:val="22"/>
          <w:szCs w:val="22"/>
          <w:lang w:val="fr-FR"/>
        </w:rPr>
        <w:t>et</w:t>
      </w:r>
      <w:proofErr w:type="gramEnd"/>
      <w:r w:rsidRPr="00D642B3">
        <w:rPr>
          <w:kern w:val="22"/>
          <w:sz w:val="22"/>
          <w:szCs w:val="22"/>
          <w:lang w:val="fr-FR"/>
        </w:rPr>
        <w:t xml:space="preserve"> évaluer les implications financières de ces mesures, et en rendre compte à l’Organe subsidiaire chargé de l’application à sa troisième réunion </w:t>
      </w:r>
      <w:r w:rsidR="002D4E43" w:rsidRPr="00B029CA">
        <w:rPr>
          <w:snapToGrid/>
          <w:kern w:val="22"/>
          <w:sz w:val="22"/>
          <w:szCs w:val="22"/>
          <w:lang w:val="fr-FR"/>
        </w:rPr>
        <w:t>;</w:t>
      </w:r>
    </w:p>
    <w:p w14:paraId="19067CE9" w14:textId="6F5A053D" w:rsidR="001A5EA1" w:rsidRPr="00B029CA" w:rsidRDefault="00AA6DB8" w:rsidP="0025586F">
      <w:pPr>
        <w:suppressLineNumbers/>
        <w:suppressAutoHyphens/>
        <w:kinsoku w:val="0"/>
        <w:overflowPunct w:val="0"/>
        <w:autoSpaceDE w:val="0"/>
        <w:autoSpaceDN w:val="0"/>
        <w:adjustRightInd w:val="0"/>
        <w:snapToGrid w:val="0"/>
        <w:spacing w:after="120"/>
        <w:ind w:firstLine="1440"/>
        <w:jc w:val="both"/>
        <w:rPr>
          <w:kern w:val="22"/>
          <w:sz w:val="22"/>
          <w:szCs w:val="22"/>
          <w:lang w:val="fr-FR"/>
        </w:rPr>
      </w:pPr>
      <w:r>
        <w:rPr>
          <w:kern w:val="22"/>
          <w:sz w:val="22"/>
          <w:szCs w:val="22"/>
          <w:lang w:val="fr-FR"/>
        </w:rPr>
        <w:t>f</w:t>
      </w:r>
      <w:r w:rsidR="001A5EA1" w:rsidRPr="00B029CA">
        <w:rPr>
          <w:kern w:val="22"/>
          <w:sz w:val="22"/>
          <w:szCs w:val="22"/>
          <w:lang w:val="fr-FR"/>
        </w:rPr>
        <w:t>)</w:t>
      </w:r>
      <w:r w:rsidR="001A5EA1" w:rsidRPr="00B029CA">
        <w:rPr>
          <w:kern w:val="22"/>
          <w:sz w:val="22"/>
          <w:szCs w:val="22"/>
          <w:lang w:val="fr-FR"/>
        </w:rPr>
        <w:tab/>
      </w:r>
      <w:r w:rsidR="00DC6106" w:rsidRPr="00D642B3">
        <w:rPr>
          <w:snapToGrid w:val="0"/>
          <w:kern w:val="22"/>
          <w:sz w:val="22"/>
          <w:szCs w:val="22"/>
          <w:lang w:val="fr-FR"/>
        </w:rPr>
        <w:t>Continuer de contribuer au processus de suivi mis en place pour le Programme de développement durable à l’horizon 203</w:t>
      </w:r>
      <w:r w:rsidR="00DC6106">
        <w:rPr>
          <w:snapToGrid w:val="0"/>
          <w:kern w:val="22"/>
          <w:sz w:val="22"/>
          <w:szCs w:val="22"/>
          <w:lang w:val="fr-FR"/>
        </w:rPr>
        <w:t>0</w:t>
      </w:r>
      <w:r w:rsidR="003237CD" w:rsidRPr="00B029CA">
        <w:rPr>
          <w:rStyle w:val="FootnoteReference"/>
          <w:kern w:val="22"/>
          <w:sz w:val="22"/>
          <w:szCs w:val="22"/>
          <w:lang w:val="fr-FR"/>
        </w:rPr>
        <w:footnoteReference w:id="1"/>
      </w:r>
      <w:r w:rsidR="00A57090">
        <w:rPr>
          <w:snapToGrid w:val="0"/>
          <w:kern w:val="22"/>
          <w:sz w:val="22"/>
          <w:szCs w:val="22"/>
          <w:lang w:val="fr-FR"/>
        </w:rPr>
        <w:t xml:space="preserve">, </w:t>
      </w:r>
      <w:r w:rsidR="00DC6106" w:rsidRPr="00D642B3">
        <w:rPr>
          <w:snapToGrid w:val="0"/>
          <w:kern w:val="22"/>
          <w:sz w:val="22"/>
          <w:szCs w:val="22"/>
          <w:lang w:val="fr-FR"/>
        </w:rPr>
        <w:t>et cerner les synergies possibles avec les systèmes d’établissement de</w:t>
      </w:r>
      <w:r w:rsidR="00DC6106">
        <w:rPr>
          <w:snapToGrid w:val="0"/>
          <w:kern w:val="22"/>
          <w:sz w:val="22"/>
          <w:szCs w:val="22"/>
          <w:lang w:val="fr-FR"/>
        </w:rPr>
        <w:t>s rapports le concernant, ainsi que</w:t>
      </w:r>
      <w:r w:rsidR="00DC6106" w:rsidRPr="00D642B3">
        <w:rPr>
          <w:snapToGrid w:val="0"/>
          <w:kern w:val="22"/>
          <w:sz w:val="22"/>
          <w:szCs w:val="22"/>
          <w:lang w:val="fr-FR"/>
        </w:rPr>
        <w:t xml:space="preserve"> le</w:t>
      </w:r>
      <w:r w:rsidR="007E7476">
        <w:rPr>
          <w:snapToGrid w:val="0"/>
          <w:kern w:val="22"/>
          <w:sz w:val="22"/>
          <w:szCs w:val="22"/>
          <w:lang w:val="fr-FR"/>
        </w:rPr>
        <w:t>s outils mis en place pour les O</w:t>
      </w:r>
      <w:r w:rsidR="00DC6106" w:rsidRPr="00D642B3">
        <w:rPr>
          <w:snapToGrid w:val="0"/>
          <w:kern w:val="22"/>
          <w:sz w:val="22"/>
          <w:szCs w:val="22"/>
          <w:lang w:val="fr-FR"/>
        </w:rPr>
        <w:t xml:space="preserve">bjectifs de développement durable, </w:t>
      </w:r>
      <w:r w:rsidR="007E7476">
        <w:rPr>
          <w:snapToGrid w:val="0"/>
          <w:kern w:val="22"/>
          <w:sz w:val="22"/>
          <w:szCs w:val="22"/>
          <w:lang w:val="fr-FR"/>
        </w:rPr>
        <w:t xml:space="preserve">y compris </w:t>
      </w:r>
      <w:r w:rsidR="00DC6106" w:rsidRPr="00D642B3">
        <w:rPr>
          <w:snapToGrid w:val="0"/>
          <w:kern w:val="22"/>
          <w:sz w:val="22"/>
          <w:szCs w:val="22"/>
          <w:lang w:val="fr-FR"/>
        </w:rPr>
        <w:t>ceux utilisés pou</w:t>
      </w:r>
      <w:r w:rsidR="00DC6106">
        <w:rPr>
          <w:snapToGrid w:val="0"/>
          <w:kern w:val="22"/>
          <w:sz w:val="22"/>
          <w:szCs w:val="22"/>
          <w:lang w:val="fr-FR"/>
        </w:rPr>
        <w:t>r les approches méthodologiques </w:t>
      </w:r>
      <w:r w:rsidR="001A5EA1" w:rsidRPr="00B029CA">
        <w:rPr>
          <w:kern w:val="22"/>
          <w:sz w:val="22"/>
          <w:szCs w:val="22"/>
          <w:lang w:val="fr-FR"/>
        </w:rPr>
        <w:t>;</w:t>
      </w:r>
    </w:p>
    <w:p w14:paraId="70759180" w14:textId="701FF350" w:rsidR="000F0938" w:rsidRPr="00B029CA" w:rsidRDefault="00AA6DB8" w:rsidP="0025586F">
      <w:pPr>
        <w:pStyle w:val="Para1"/>
        <w:suppressLineNumbers/>
        <w:suppressAutoHyphens/>
        <w:kinsoku w:val="0"/>
        <w:overflowPunct w:val="0"/>
        <w:autoSpaceDE w:val="0"/>
        <w:autoSpaceDN w:val="0"/>
        <w:adjustRightInd w:val="0"/>
        <w:snapToGrid w:val="0"/>
        <w:ind w:firstLine="1440"/>
        <w:jc w:val="both"/>
        <w:rPr>
          <w:snapToGrid/>
          <w:kern w:val="22"/>
          <w:sz w:val="22"/>
          <w:szCs w:val="22"/>
          <w:lang w:val="fr-FR"/>
        </w:rPr>
      </w:pPr>
      <w:r>
        <w:rPr>
          <w:snapToGrid/>
          <w:kern w:val="22"/>
          <w:sz w:val="22"/>
          <w:szCs w:val="22"/>
          <w:lang w:val="fr-FR"/>
        </w:rPr>
        <w:t>g</w:t>
      </w:r>
      <w:r w:rsidR="00964580" w:rsidRPr="00B029CA">
        <w:rPr>
          <w:snapToGrid/>
          <w:kern w:val="22"/>
          <w:sz w:val="22"/>
          <w:szCs w:val="22"/>
          <w:lang w:val="fr-FR"/>
        </w:rPr>
        <w:t>)</w:t>
      </w:r>
      <w:r w:rsidR="00964580" w:rsidRPr="00B029CA">
        <w:rPr>
          <w:snapToGrid/>
          <w:kern w:val="22"/>
          <w:sz w:val="22"/>
          <w:szCs w:val="22"/>
          <w:lang w:val="fr-FR"/>
        </w:rPr>
        <w:tab/>
      </w:r>
      <w:r w:rsidR="00A57090" w:rsidRPr="00D642B3">
        <w:rPr>
          <w:kern w:val="22"/>
          <w:sz w:val="22"/>
          <w:szCs w:val="22"/>
          <w:lang w:val="fr-FR"/>
        </w:rPr>
        <w:t xml:space="preserve">Contribuer à l’élaboration, la mise à l’essai et la promotion de l’Outil de données et de notification en collaboration avec l’initiative InforMEA, en tenant compte de l’expérience </w:t>
      </w:r>
      <w:r w:rsidR="00A57090">
        <w:rPr>
          <w:kern w:val="22"/>
          <w:sz w:val="22"/>
          <w:szCs w:val="22"/>
          <w:lang w:val="fr-FR"/>
        </w:rPr>
        <w:t xml:space="preserve">acquise par les Parties dans l’établissement </w:t>
      </w:r>
      <w:r w:rsidR="00A57090" w:rsidRPr="00D642B3">
        <w:rPr>
          <w:kern w:val="22"/>
          <w:sz w:val="22"/>
          <w:szCs w:val="22"/>
          <w:lang w:val="fr-FR"/>
        </w:rPr>
        <w:t>de leurs sixièmes rapports nationaux à la Convention, afin de faciliter l’utilisation de cet outil dans le cadre des conventions relatives à la diversité biologique, ainsi qu’il convient </w:t>
      </w:r>
      <w:r w:rsidR="00716D19" w:rsidRPr="00B029CA">
        <w:rPr>
          <w:snapToGrid/>
          <w:kern w:val="22"/>
          <w:sz w:val="22"/>
          <w:szCs w:val="22"/>
          <w:lang w:val="fr-FR"/>
        </w:rPr>
        <w:t>;</w:t>
      </w:r>
    </w:p>
    <w:p w14:paraId="36B62EA9" w14:textId="4E194FD8" w:rsidR="00E42053" w:rsidRPr="00B029CA" w:rsidRDefault="00AA6DB8" w:rsidP="0025586F">
      <w:pPr>
        <w:suppressLineNumbers/>
        <w:suppressAutoHyphens/>
        <w:kinsoku w:val="0"/>
        <w:overflowPunct w:val="0"/>
        <w:autoSpaceDE w:val="0"/>
        <w:autoSpaceDN w:val="0"/>
        <w:adjustRightInd w:val="0"/>
        <w:snapToGrid w:val="0"/>
        <w:ind w:firstLine="1440"/>
        <w:jc w:val="both"/>
        <w:rPr>
          <w:kern w:val="22"/>
          <w:sz w:val="22"/>
          <w:szCs w:val="22"/>
          <w:lang w:val="fr-FR"/>
        </w:rPr>
      </w:pPr>
      <w:r>
        <w:rPr>
          <w:kern w:val="22"/>
          <w:sz w:val="22"/>
          <w:szCs w:val="22"/>
          <w:lang w:val="fr-FR"/>
        </w:rPr>
        <w:lastRenderedPageBreak/>
        <w:t>h</w:t>
      </w:r>
      <w:r w:rsidR="00E42053" w:rsidRPr="00B029CA">
        <w:rPr>
          <w:kern w:val="22"/>
          <w:sz w:val="22"/>
          <w:szCs w:val="22"/>
          <w:lang w:val="fr-FR"/>
        </w:rPr>
        <w:t>)</w:t>
      </w:r>
      <w:r w:rsidR="008C7F9C" w:rsidRPr="00B029CA">
        <w:rPr>
          <w:kern w:val="22"/>
          <w:sz w:val="22"/>
          <w:szCs w:val="22"/>
          <w:lang w:val="fr-FR"/>
        </w:rPr>
        <w:tab/>
      </w:r>
      <w:r w:rsidR="00A57090" w:rsidRPr="00D642B3">
        <w:rPr>
          <w:snapToGrid w:val="0"/>
          <w:kern w:val="22"/>
          <w:sz w:val="22"/>
          <w:szCs w:val="22"/>
          <w:lang w:val="fr-FR"/>
        </w:rPr>
        <w:t>Évaluer l’utilisation qui est faite des outils de notification en ligne par les Parties dans le cadre de l’établissement des sixièmes rapports nationaux, d</w:t>
      </w:r>
      <w:r w:rsidR="00A57090">
        <w:rPr>
          <w:snapToGrid w:val="0"/>
          <w:kern w:val="22"/>
          <w:sz w:val="22"/>
          <w:szCs w:val="22"/>
          <w:lang w:val="fr-FR"/>
        </w:rPr>
        <w:t>u</w:t>
      </w:r>
      <w:r w:rsidR="00A57090" w:rsidRPr="00D642B3">
        <w:rPr>
          <w:snapToGrid w:val="0"/>
          <w:kern w:val="22"/>
          <w:sz w:val="22"/>
          <w:szCs w:val="22"/>
          <w:lang w:val="fr-FR"/>
        </w:rPr>
        <w:t xml:space="preserve"> </w:t>
      </w:r>
      <w:r w:rsidR="00A57090">
        <w:rPr>
          <w:snapToGrid w:val="0"/>
          <w:kern w:val="22"/>
          <w:sz w:val="22"/>
          <w:szCs w:val="22"/>
          <w:lang w:val="fr-FR"/>
        </w:rPr>
        <w:t>rapport national provisoire</w:t>
      </w:r>
      <w:r w:rsidR="00A57090" w:rsidRPr="00D642B3">
        <w:rPr>
          <w:snapToGrid w:val="0"/>
          <w:kern w:val="22"/>
          <w:sz w:val="22"/>
          <w:szCs w:val="22"/>
          <w:lang w:val="fr-FR"/>
        </w:rPr>
        <w:t xml:space="preserve"> sur le Protocole de Nagoya et </w:t>
      </w:r>
      <w:r w:rsidR="00A57090">
        <w:rPr>
          <w:snapToGrid w:val="0"/>
          <w:kern w:val="22"/>
          <w:sz w:val="22"/>
          <w:szCs w:val="22"/>
          <w:lang w:val="fr-FR"/>
        </w:rPr>
        <w:t xml:space="preserve">du rapport national </w:t>
      </w:r>
      <w:r w:rsidR="00A57090" w:rsidRPr="00D642B3">
        <w:rPr>
          <w:snapToGrid w:val="0"/>
          <w:kern w:val="22"/>
          <w:sz w:val="22"/>
          <w:szCs w:val="22"/>
          <w:lang w:val="fr-FR"/>
        </w:rPr>
        <w:t>sur le Protocole de Cartagena, afin d’é</w:t>
      </w:r>
      <w:r w:rsidR="007E7476">
        <w:rPr>
          <w:snapToGrid w:val="0"/>
          <w:kern w:val="22"/>
          <w:sz w:val="22"/>
          <w:szCs w:val="22"/>
          <w:lang w:val="fr-FR"/>
        </w:rPr>
        <w:t xml:space="preserve">tudier l’harmonisation avec </w:t>
      </w:r>
      <w:r w:rsidR="00A57090" w:rsidRPr="00D642B3">
        <w:rPr>
          <w:snapToGrid w:val="0"/>
          <w:kern w:val="22"/>
          <w:sz w:val="22"/>
          <w:szCs w:val="22"/>
          <w:lang w:val="fr-FR"/>
        </w:rPr>
        <w:t>les systèmes d’établissement des rapports utilisés par les secrétariats des conventions concernées, et en rendre compte à l’Organe subsidiaire chargé de l’application à sa troisième réunion </w:t>
      </w:r>
      <w:r w:rsidR="00716D19" w:rsidRPr="00B029CA">
        <w:rPr>
          <w:kern w:val="22"/>
          <w:sz w:val="22"/>
          <w:szCs w:val="22"/>
          <w:lang w:val="fr-FR"/>
        </w:rPr>
        <w:t>;</w:t>
      </w:r>
    </w:p>
    <w:p w14:paraId="1A04E69A" w14:textId="3963E6E9" w:rsidR="00F220C3" w:rsidRPr="00B029CA" w:rsidRDefault="00AA6DB8" w:rsidP="0025586F">
      <w:pPr>
        <w:pStyle w:val="Para1"/>
        <w:suppressLineNumbers/>
        <w:suppressAutoHyphens/>
        <w:kinsoku w:val="0"/>
        <w:overflowPunct w:val="0"/>
        <w:autoSpaceDE w:val="0"/>
        <w:autoSpaceDN w:val="0"/>
        <w:adjustRightInd w:val="0"/>
        <w:snapToGrid w:val="0"/>
        <w:spacing w:before="120"/>
        <w:ind w:firstLine="1440"/>
        <w:jc w:val="both"/>
        <w:rPr>
          <w:snapToGrid/>
          <w:kern w:val="22"/>
          <w:sz w:val="22"/>
          <w:szCs w:val="22"/>
          <w:lang w:val="fr-FR"/>
        </w:rPr>
      </w:pPr>
      <w:r>
        <w:rPr>
          <w:snapToGrid/>
          <w:kern w:val="22"/>
          <w:sz w:val="22"/>
          <w:szCs w:val="22"/>
          <w:lang w:val="fr-FR"/>
        </w:rPr>
        <w:t>i</w:t>
      </w:r>
      <w:r w:rsidR="004F4849" w:rsidRPr="00B029CA">
        <w:rPr>
          <w:snapToGrid/>
          <w:kern w:val="22"/>
          <w:sz w:val="22"/>
          <w:szCs w:val="22"/>
          <w:lang w:val="fr-FR"/>
        </w:rPr>
        <w:t>)</w:t>
      </w:r>
      <w:r w:rsidR="008C7F9C" w:rsidRPr="00B029CA">
        <w:rPr>
          <w:snapToGrid/>
          <w:kern w:val="22"/>
          <w:sz w:val="22"/>
          <w:szCs w:val="22"/>
          <w:lang w:val="fr-FR"/>
        </w:rPr>
        <w:tab/>
      </w:r>
      <w:r w:rsidR="00A57090" w:rsidRPr="00D642B3">
        <w:rPr>
          <w:sz w:val="22"/>
          <w:szCs w:val="22"/>
          <w:lang w:val="fr-FR"/>
        </w:rPr>
        <w:t xml:space="preserve">Continuer à organiser des activités de renforcement des capacités </w:t>
      </w:r>
      <w:r w:rsidR="00A57090">
        <w:rPr>
          <w:sz w:val="22"/>
          <w:szCs w:val="22"/>
          <w:lang w:val="fr-FR"/>
        </w:rPr>
        <w:t>po</w:t>
      </w:r>
      <w:r w:rsidR="00A57090" w:rsidRPr="00D642B3">
        <w:rPr>
          <w:sz w:val="22"/>
          <w:szCs w:val="22"/>
          <w:lang w:val="fr-FR"/>
        </w:rPr>
        <w:t>ur l’utilisation des outils qui facilitent l’établissement et la présentation des rapports nationaux </w:t>
      </w:r>
      <w:r w:rsidR="00A82D03" w:rsidRPr="00B029CA">
        <w:rPr>
          <w:snapToGrid/>
          <w:kern w:val="22"/>
          <w:sz w:val="22"/>
          <w:szCs w:val="22"/>
          <w:lang w:val="fr-FR"/>
        </w:rPr>
        <w:t>;</w:t>
      </w:r>
    </w:p>
    <w:p w14:paraId="24CC35F2" w14:textId="53DD7DFD" w:rsidR="002B1F9C" w:rsidRPr="00B029CA" w:rsidRDefault="00AA6DB8" w:rsidP="0025586F">
      <w:pPr>
        <w:pStyle w:val="Para1"/>
        <w:suppressLineNumbers/>
        <w:suppressAutoHyphens/>
        <w:kinsoku w:val="0"/>
        <w:overflowPunct w:val="0"/>
        <w:autoSpaceDE w:val="0"/>
        <w:autoSpaceDN w:val="0"/>
        <w:adjustRightInd w:val="0"/>
        <w:snapToGrid w:val="0"/>
        <w:ind w:firstLine="1418"/>
        <w:jc w:val="both"/>
        <w:rPr>
          <w:snapToGrid/>
          <w:kern w:val="22"/>
          <w:sz w:val="22"/>
          <w:szCs w:val="22"/>
          <w:lang w:val="fr-FR"/>
        </w:rPr>
      </w:pPr>
      <w:r>
        <w:rPr>
          <w:snapToGrid/>
          <w:kern w:val="22"/>
          <w:sz w:val="22"/>
          <w:szCs w:val="22"/>
          <w:lang w:val="fr-FR"/>
        </w:rPr>
        <w:t>j</w:t>
      </w:r>
      <w:r w:rsidR="002B1F9C" w:rsidRPr="00B029CA">
        <w:rPr>
          <w:snapToGrid/>
          <w:kern w:val="22"/>
          <w:sz w:val="22"/>
          <w:szCs w:val="22"/>
          <w:lang w:val="fr-FR"/>
        </w:rPr>
        <w:t>)</w:t>
      </w:r>
      <w:r w:rsidR="008C7F9C" w:rsidRPr="00B029CA">
        <w:rPr>
          <w:snapToGrid/>
          <w:kern w:val="22"/>
          <w:sz w:val="22"/>
          <w:szCs w:val="22"/>
          <w:lang w:val="fr-FR"/>
        </w:rPr>
        <w:tab/>
      </w:r>
      <w:r w:rsidR="00A57090" w:rsidRPr="00D642B3">
        <w:rPr>
          <w:kern w:val="22"/>
          <w:sz w:val="22"/>
          <w:szCs w:val="22"/>
          <w:lang w:val="fr-FR"/>
        </w:rPr>
        <w:t>Fournir, en collaboration avec les partenaires compétents, des orientations aux Parties sur les sources de données spatio-temporelles relatives à la diversité biologique, afin d’</w:t>
      </w:r>
      <w:r w:rsidR="00576B17">
        <w:rPr>
          <w:kern w:val="22"/>
          <w:sz w:val="22"/>
          <w:szCs w:val="22"/>
          <w:lang w:val="fr-FR"/>
        </w:rPr>
        <w:t xml:space="preserve">éclairer les analyses qui sous-tendent les </w:t>
      </w:r>
      <w:r w:rsidR="00A57090" w:rsidRPr="00D642B3">
        <w:rPr>
          <w:kern w:val="22"/>
          <w:sz w:val="22"/>
          <w:szCs w:val="22"/>
          <w:lang w:val="fr-FR"/>
        </w:rPr>
        <w:t>évaluations des progrès</w:t>
      </w:r>
      <w:r w:rsidR="00576B17">
        <w:rPr>
          <w:kern w:val="22"/>
          <w:sz w:val="22"/>
          <w:szCs w:val="22"/>
          <w:lang w:val="fr-FR"/>
        </w:rPr>
        <w:t xml:space="preserve"> dans les rapports nationaux</w:t>
      </w:r>
      <w:r w:rsidR="00A57090" w:rsidRPr="00D642B3">
        <w:rPr>
          <w:kern w:val="22"/>
          <w:sz w:val="22"/>
          <w:szCs w:val="22"/>
          <w:lang w:val="fr-FR"/>
        </w:rPr>
        <w:t> </w:t>
      </w:r>
      <w:r w:rsidR="00CF5395" w:rsidRPr="00B029CA">
        <w:rPr>
          <w:snapToGrid/>
          <w:kern w:val="22"/>
          <w:sz w:val="22"/>
          <w:szCs w:val="22"/>
          <w:lang w:val="fr-FR"/>
        </w:rPr>
        <w:t>;</w:t>
      </w:r>
    </w:p>
    <w:p w14:paraId="0DF23CF8" w14:textId="3F392E5C" w:rsidR="008C7F9C" w:rsidRPr="00B029CA" w:rsidRDefault="008C7F9C" w:rsidP="0025586F">
      <w:pPr>
        <w:keepNext/>
        <w:suppressLineNumbers/>
        <w:suppressAutoHyphens/>
        <w:kinsoku w:val="0"/>
        <w:overflowPunct w:val="0"/>
        <w:autoSpaceDE w:val="0"/>
        <w:autoSpaceDN w:val="0"/>
        <w:adjustRightInd w:val="0"/>
        <w:snapToGrid w:val="0"/>
        <w:spacing w:before="120" w:after="120"/>
        <w:ind w:left="1152" w:hanging="576"/>
        <w:rPr>
          <w:i/>
          <w:kern w:val="22"/>
          <w:sz w:val="22"/>
          <w:szCs w:val="22"/>
          <w:lang w:val="fr-FR" w:eastAsia="en-US"/>
        </w:rPr>
      </w:pPr>
      <w:r w:rsidRPr="00B029CA">
        <w:rPr>
          <w:b/>
          <w:kern w:val="22"/>
          <w:sz w:val="22"/>
          <w:szCs w:val="22"/>
          <w:lang w:val="fr-FR"/>
        </w:rPr>
        <w:t>B.</w:t>
      </w:r>
      <w:r w:rsidRPr="00B029CA">
        <w:rPr>
          <w:b/>
          <w:kern w:val="22"/>
          <w:sz w:val="22"/>
          <w:szCs w:val="22"/>
          <w:lang w:val="fr-FR"/>
        </w:rPr>
        <w:tab/>
      </w:r>
      <w:r w:rsidR="00A57090">
        <w:rPr>
          <w:b/>
          <w:kern w:val="22"/>
          <w:sz w:val="22"/>
          <w:szCs w:val="22"/>
          <w:lang w:val="fr-FR"/>
        </w:rPr>
        <w:t>Projet de dé</w:t>
      </w:r>
      <w:r w:rsidRPr="00B029CA">
        <w:rPr>
          <w:b/>
          <w:kern w:val="22"/>
          <w:sz w:val="22"/>
          <w:szCs w:val="22"/>
          <w:lang w:val="fr-FR"/>
        </w:rPr>
        <w:t xml:space="preserve">cision </w:t>
      </w:r>
      <w:r w:rsidR="00A57090" w:rsidRPr="00D642B3">
        <w:rPr>
          <w:b/>
          <w:kern w:val="22"/>
          <w:sz w:val="22"/>
          <w:szCs w:val="22"/>
          <w:lang w:val="fr-FR"/>
        </w:rPr>
        <w:t>pour la Conférence des Parties siégeant en tant que réunion des Parties au Protocole de Cartagen</w:t>
      </w:r>
      <w:r w:rsidR="00A57090">
        <w:rPr>
          <w:b/>
          <w:kern w:val="22"/>
          <w:sz w:val="22"/>
          <w:szCs w:val="22"/>
          <w:lang w:val="fr-FR"/>
        </w:rPr>
        <w:t>a</w:t>
      </w:r>
    </w:p>
    <w:p w14:paraId="02B24975" w14:textId="316B30B6" w:rsidR="00DF691E" w:rsidRPr="00B029CA" w:rsidRDefault="00A57090" w:rsidP="0025586F">
      <w:pPr>
        <w:pStyle w:val="Para1"/>
        <w:keepNext/>
        <w:suppressLineNumbers/>
        <w:suppressAutoHyphens/>
        <w:kinsoku w:val="0"/>
        <w:overflowPunct w:val="0"/>
        <w:autoSpaceDE w:val="0"/>
        <w:autoSpaceDN w:val="0"/>
        <w:adjustRightInd w:val="0"/>
        <w:snapToGrid w:val="0"/>
        <w:spacing w:before="120"/>
        <w:ind w:firstLine="720"/>
        <w:jc w:val="both"/>
        <w:rPr>
          <w:i/>
          <w:snapToGrid/>
          <w:kern w:val="22"/>
          <w:sz w:val="22"/>
          <w:szCs w:val="22"/>
          <w:lang w:val="fr-FR"/>
        </w:rPr>
      </w:pPr>
      <w:r w:rsidRPr="00D642B3">
        <w:rPr>
          <w:i/>
          <w:kern w:val="22"/>
          <w:sz w:val="22"/>
          <w:szCs w:val="22"/>
          <w:lang w:val="fr-FR"/>
        </w:rPr>
        <w:t>La Conférence des Parties siégeant en tant que réunion des Parties au Protocole de Cartagena sur la prévention des risques biotechnologiques</w:t>
      </w:r>
      <w:r w:rsidR="00DF691E" w:rsidRPr="00B029CA">
        <w:rPr>
          <w:i/>
          <w:snapToGrid/>
          <w:kern w:val="22"/>
          <w:sz w:val="22"/>
          <w:szCs w:val="22"/>
          <w:lang w:val="fr-FR"/>
        </w:rPr>
        <w:t>,</w:t>
      </w:r>
    </w:p>
    <w:p w14:paraId="0CB8B837" w14:textId="3B480E98" w:rsidR="00964580" w:rsidRPr="00B029CA" w:rsidRDefault="00A57090"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 xml:space="preserve">Reconnaissant </w:t>
      </w:r>
      <w:r w:rsidRPr="00D642B3">
        <w:rPr>
          <w:iCs/>
          <w:kern w:val="22"/>
          <w:sz w:val="22"/>
          <w:szCs w:val="22"/>
          <w:lang w:val="fr-FR"/>
        </w:rPr>
        <w:t xml:space="preserve">l’importance </w:t>
      </w:r>
      <w:r w:rsidR="00CF5DCE">
        <w:rPr>
          <w:iCs/>
          <w:kern w:val="22"/>
          <w:sz w:val="22"/>
          <w:szCs w:val="22"/>
          <w:lang w:val="fr-FR"/>
        </w:rPr>
        <w:t>de mieux harmoniser l’établissement</w:t>
      </w:r>
      <w:r w:rsidRPr="00D642B3">
        <w:rPr>
          <w:iCs/>
          <w:kern w:val="22"/>
          <w:sz w:val="22"/>
          <w:szCs w:val="22"/>
          <w:lang w:val="fr-FR"/>
        </w:rPr>
        <w:t xml:space="preserve"> des rapports nationaux </w:t>
      </w:r>
      <w:r w:rsidR="00CF5DCE">
        <w:rPr>
          <w:kern w:val="22"/>
          <w:sz w:val="22"/>
          <w:szCs w:val="22"/>
          <w:lang w:val="fr-FR"/>
        </w:rPr>
        <w:t>relatifs à</w:t>
      </w:r>
      <w:r w:rsidRPr="00D642B3">
        <w:rPr>
          <w:kern w:val="22"/>
          <w:sz w:val="22"/>
          <w:szCs w:val="22"/>
          <w:lang w:val="fr-FR"/>
        </w:rPr>
        <w:t xml:space="preserve"> la Convention et </w:t>
      </w:r>
      <w:r w:rsidR="00CF5DCE">
        <w:rPr>
          <w:kern w:val="22"/>
          <w:sz w:val="22"/>
          <w:szCs w:val="22"/>
          <w:lang w:val="fr-FR"/>
        </w:rPr>
        <w:t>à</w:t>
      </w:r>
      <w:r w:rsidRPr="00D642B3">
        <w:rPr>
          <w:kern w:val="22"/>
          <w:sz w:val="22"/>
          <w:szCs w:val="22"/>
          <w:lang w:val="fr-FR"/>
        </w:rPr>
        <w:t xml:space="preserve"> ses protocoles, et d’accroître les synergies</w:t>
      </w:r>
      <w:r>
        <w:rPr>
          <w:kern w:val="22"/>
          <w:sz w:val="22"/>
          <w:szCs w:val="22"/>
          <w:lang w:val="fr-FR"/>
        </w:rPr>
        <w:t xml:space="preserve"> qui existe</w:t>
      </w:r>
      <w:r w:rsidRPr="00D642B3">
        <w:rPr>
          <w:kern w:val="22"/>
          <w:sz w:val="22"/>
          <w:szCs w:val="22"/>
          <w:lang w:val="fr-FR"/>
        </w:rPr>
        <w:t>nt parmi les conventions relatives à la diversité biologique, les conventions de Rio, le Programme de développement durable à l’horizon 2030</w:t>
      </w:r>
      <w:r w:rsidR="00B00118" w:rsidRPr="00B029CA">
        <w:rPr>
          <w:rStyle w:val="FootnoteReference"/>
          <w:kern w:val="22"/>
          <w:sz w:val="22"/>
          <w:szCs w:val="22"/>
          <w:lang w:val="fr-FR"/>
        </w:rPr>
        <w:footnoteReference w:id="2"/>
      </w:r>
      <w:r w:rsidR="00B00118" w:rsidRPr="00B029CA">
        <w:rPr>
          <w:snapToGrid/>
          <w:kern w:val="22"/>
          <w:sz w:val="22"/>
          <w:szCs w:val="22"/>
          <w:lang w:val="fr-FR"/>
        </w:rPr>
        <w:t xml:space="preserve"> </w:t>
      </w:r>
      <w:r w:rsidRPr="00D642B3">
        <w:rPr>
          <w:kern w:val="22"/>
          <w:sz w:val="22"/>
          <w:szCs w:val="22"/>
          <w:lang w:val="fr-FR"/>
        </w:rPr>
        <w:t>et les outils mis en place pour l’établisse</w:t>
      </w:r>
      <w:r w:rsidR="00EB0F09">
        <w:rPr>
          <w:kern w:val="22"/>
          <w:sz w:val="22"/>
          <w:szCs w:val="22"/>
          <w:lang w:val="fr-FR"/>
        </w:rPr>
        <w:t>ment des rapports relatifs aux O</w:t>
      </w:r>
      <w:r w:rsidRPr="00D642B3">
        <w:rPr>
          <w:kern w:val="22"/>
          <w:sz w:val="22"/>
          <w:szCs w:val="22"/>
          <w:lang w:val="fr-FR"/>
        </w:rPr>
        <w:t xml:space="preserve">bjectifs de développement durable, et </w:t>
      </w:r>
      <w:r w:rsidRPr="00D642B3">
        <w:rPr>
          <w:i/>
          <w:iCs/>
          <w:kern w:val="22"/>
          <w:sz w:val="22"/>
          <w:szCs w:val="22"/>
          <w:lang w:val="fr-FR"/>
        </w:rPr>
        <w:t>prenant acte</w:t>
      </w:r>
      <w:r w:rsidRPr="00D642B3">
        <w:rPr>
          <w:kern w:val="22"/>
          <w:sz w:val="22"/>
          <w:szCs w:val="22"/>
          <w:lang w:val="fr-FR"/>
        </w:rPr>
        <w:t xml:space="preserve"> des progrès accomplis à ce jour à cet égard</w:t>
      </w:r>
      <w:r w:rsidR="00964580" w:rsidRPr="00B029CA">
        <w:rPr>
          <w:snapToGrid/>
          <w:kern w:val="22"/>
          <w:sz w:val="22"/>
          <w:szCs w:val="22"/>
          <w:lang w:val="fr-FR"/>
        </w:rPr>
        <w:t>,</w:t>
      </w:r>
    </w:p>
    <w:p w14:paraId="357412BC" w14:textId="01714979" w:rsidR="00964580" w:rsidRPr="00B029CA" w:rsidRDefault="00A57090"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Accepte</w:t>
      </w:r>
      <w:r w:rsidRPr="00D642B3">
        <w:rPr>
          <w:iCs/>
          <w:kern w:val="22"/>
          <w:sz w:val="22"/>
          <w:szCs w:val="22"/>
          <w:lang w:val="fr-FR"/>
        </w:rPr>
        <w:t xml:space="preserve"> l’invitation qui lui a été faite par la Conférence des Parties à la </w:t>
      </w:r>
      <w:r w:rsidRPr="00D642B3">
        <w:rPr>
          <w:kern w:val="22"/>
          <w:sz w:val="22"/>
          <w:szCs w:val="22"/>
          <w:lang w:val="fr-FR"/>
        </w:rPr>
        <w:t>Convent</w:t>
      </w:r>
      <w:r w:rsidR="00D501E1">
        <w:rPr>
          <w:kern w:val="22"/>
          <w:sz w:val="22"/>
          <w:szCs w:val="22"/>
          <w:lang w:val="fr-FR"/>
        </w:rPr>
        <w:t>ion dans la décision 14</w:t>
      </w:r>
      <w:r>
        <w:rPr>
          <w:kern w:val="22"/>
          <w:sz w:val="22"/>
          <w:szCs w:val="22"/>
          <w:lang w:val="fr-FR"/>
        </w:rPr>
        <w:t>/--</w:t>
      </w:r>
      <w:r w:rsidRPr="00D642B3">
        <w:rPr>
          <w:kern w:val="22"/>
          <w:sz w:val="22"/>
          <w:szCs w:val="22"/>
          <w:lang w:val="fr-FR"/>
        </w:rPr>
        <w:t xml:space="preserve">, et </w:t>
      </w:r>
      <w:r w:rsidRPr="00D642B3">
        <w:rPr>
          <w:i/>
          <w:iCs/>
          <w:kern w:val="22"/>
          <w:sz w:val="22"/>
          <w:szCs w:val="22"/>
          <w:lang w:val="fr-FR"/>
        </w:rPr>
        <w:t>convient</w:t>
      </w:r>
      <w:r w:rsidRPr="00D642B3">
        <w:rPr>
          <w:kern w:val="22"/>
          <w:sz w:val="22"/>
          <w:szCs w:val="22"/>
          <w:lang w:val="fr-FR"/>
        </w:rPr>
        <w:t xml:space="preserve"> d’instaurer un cycle synchronisé pour l’établissement des rapports nationaux à partir de 2023</w:t>
      </w:r>
      <w:r w:rsidR="008C7F9C" w:rsidRPr="00B029CA">
        <w:rPr>
          <w:snapToGrid/>
          <w:kern w:val="22"/>
          <w:sz w:val="22"/>
          <w:szCs w:val="22"/>
          <w:lang w:val="fr-FR"/>
        </w:rPr>
        <w:t>.</w:t>
      </w:r>
    </w:p>
    <w:p w14:paraId="087DBB34" w14:textId="1BF071F7" w:rsidR="008C7F9C" w:rsidRPr="00B029CA" w:rsidRDefault="008C7F9C" w:rsidP="0025586F">
      <w:pPr>
        <w:keepNext/>
        <w:suppressLineNumbers/>
        <w:suppressAutoHyphens/>
        <w:kinsoku w:val="0"/>
        <w:overflowPunct w:val="0"/>
        <w:autoSpaceDE w:val="0"/>
        <w:autoSpaceDN w:val="0"/>
        <w:adjustRightInd w:val="0"/>
        <w:snapToGrid w:val="0"/>
        <w:spacing w:before="120" w:after="120"/>
        <w:ind w:left="1152" w:hanging="576"/>
        <w:rPr>
          <w:i/>
          <w:kern w:val="22"/>
          <w:sz w:val="22"/>
          <w:szCs w:val="22"/>
          <w:lang w:val="fr-FR" w:eastAsia="en-US"/>
        </w:rPr>
      </w:pPr>
      <w:r w:rsidRPr="00B029CA">
        <w:rPr>
          <w:b/>
          <w:kern w:val="22"/>
          <w:sz w:val="22"/>
          <w:szCs w:val="22"/>
          <w:lang w:val="fr-FR"/>
        </w:rPr>
        <w:t>C.</w:t>
      </w:r>
      <w:r w:rsidRPr="00B029CA">
        <w:rPr>
          <w:b/>
          <w:kern w:val="22"/>
          <w:sz w:val="22"/>
          <w:szCs w:val="22"/>
          <w:lang w:val="fr-FR"/>
        </w:rPr>
        <w:tab/>
      </w:r>
      <w:r w:rsidR="00A57090">
        <w:rPr>
          <w:b/>
          <w:kern w:val="22"/>
          <w:sz w:val="22"/>
          <w:szCs w:val="22"/>
          <w:lang w:val="fr-FR"/>
        </w:rPr>
        <w:t>Projet de dé</w:t>
      </w:r>
      <w:r w:rsidRPr="00B029CA">
        <w:rPr>
          <w:b/>
          <w:kern w:val="22"/>
          <w:sz w:val="22"/>
          <w:szCs w:val="22"/>
          <w:lang w:val="fr-FR"/>
        </w:rPr>
        <w:t xml:space="preserve">cision </w:t>
      </w:r>
      <w:r w:rsidR="006B30C3" w:rsidRPr="00D642B3">
        <w:rPr>
          <w:b/>
          <w:kern w:val="22"/>
          <w:sz w:val="22"/>
          <w:szCs w:val="22"/>
          <w:lang w:val="fr-FR"/>
        </w:rPr>
        <w:t xml:space="preserve">pour la </w:t>
      </w:r>
      <w:r w:rsidR="006B30C3">
        <w:rPr>
          <w:b/>
          <w:kern w:val="22"/>
          <w:sz w:val="22"/>
          <w:szCs w:val="22"/>
          <w:lang w:val="fr-FR"/>
        </w:rPr>
        <w:t>Conférence d</w:t>
      </w:r>
      <w:r w:rsidR="006B30C3" w:rsidRPr="00D642B3">
        <w:rPr>
          <w:b/>
          <w:kern w:val="22"/>
          <w:sz w:val="22"/>
          <w:szCs w:val="22"/>
          <w:lang w:val="fr-FR"/>
        </w:rPr>
        <w:t>es Parties siégeant en tant que réunion des Parties au Protocole de Nagoy</w:t>
      </w:r>
      <w:r w:rsidR="006B30C3">
        <w:rPr>
          <w:b/>
          <w:kern w:val="22"/>
          <w:sz w:val="22"/>
          <w:szCs w:val="22"/>
          <w:lang w:val="fr-FR"/>
        </w:rPr>
        <w:t>a</w:t>
      </w:r>
    </w:p>
    <w:p w14:paraId="26D4F5AA" w14:textId="7ADD2268" w:rsidR="00DF691E" w:rsidRPr="00B029CA" w:rsidRDefault="006B30C3" w:rsidP="0025586F">
      <w:pPr>
        <w:pStyle w:val="Para1"/>
        <w:keepNext/>
        <w:suppressLineNumbers/>
        <w:suppressAutoHyphens/>
        <w:kinsoku w:val="0"/>
        <w:overflowPunct w:val="0"/>
        <w:autoSpaceDE w:val="0"/>
        <w:autoSpaceDN w:val="0"/>
        <w:adjustRightInd w:val="0"/>
        <w:snapToGrid w:val="0"/>
        <w:spacing w:before="120"/>
        <w:ind w:firstLine="720"/>
        <w:jc w:val="both"/>
        <w:rPr>
          <w:i/>
          <w:snapToGrid/>
          <w:kern w:val="22"/>
          <w:sz w:val="22"/>
          <w:szCs w:val="22"/>
          <w:lang w:val="fr-FR"/>
        </w:rPr>
      </w:pPr>
      <w:r w:rsidRPr="00D642B3">
        <w:rPr>
          <w:i/>
          <w:kern w:val="22"/>
          <w:sz w:val="22"/>
          <w:szCs w:val="22"/>
          <w:lang w:val="fr-FR"/>
        </w:rPr>
        <w:t>La Conférence des Parties siégeant en tant que réunion des Parties au Protocole de Nagoya</w:t>
      </w:r>
      <w:r>
        <w:rPr>
          <w:i/>
          <w:kern w:val="22"/>
          <w:sz w:val="22"/>
          <w:szCs w:val="22"/>
          <w:lang w:val="fr-FR"/>
        </w:rPr>
        <w:t xml:space="preserve"> </w:t>
      </w:r>
      <w:r>
        <w:rPr>
          <w:i/>
          <w:snapToGrid/>
          <w:kern w:val="22"/>
          <w:sz w:val="22"/>
          <w:szCs w:val="22"/>
          <w:lang w:val="fr-FR"/>
        </w:rPr>
        <w:t>sur l’accès et le partage des avantages</w:t>
      </w:r>
      <w:r w:rsidR="00DF691E" w:rsidRPr="00B029CA">
        <w:rPr>
          <w:i/>
          <w:snapToGrid/>
          <w:kern w:val="22"/>
          <w:sz w:val="22"/>
          <w:szCs w:val="22"/>
          <w:lang w:val="fr-FR"/>
        </w:rPr>
        <w:t>,</w:t>
      </w:r>
    </w:p>
    <w:p w14:paraId="52E13EB8" w14:textId="037AF67E" w:rsidR="00DF691E" w:rsidRPr="00B029CA" w:rsidRDefault="006B30C3" w:rsidP="0025586F">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fr-FR"/>
        </w:rPr>
      </w:pPr>
      <w:r w:rsidRPr="00D642B3">
        <w:rPr>
          <w:i/>
          <w:kern w:val="22"/>
          <w:sz w:val="22"/>
          <w:szCs w:val="22"/>
          <w:lang w:val="fr-FR"/>
        </w:rPr>
        <w:t xml:space="preserve">Reconnaissant </w:t>
      </w:r>
      <w:r w:rsidRPr="00D642B3">
        <w:rPr>
          <w:iCs/>
          <w:kern w:val="22"/>
          <w:sz w:val="22"/>
          <w:szCs w:val="22"/>
          <w:lang w:val="fr-FR"/>
        </w:rPr>
        <w:t xml:space="preserve">l’importance </w:t>
      </w:r>
      <w:r w:rsidR="00CF5DCE">
        <w:rPr>
          <w:iCs/>
          <w:kern w:val="22"/>
          <w:sz w:val="22"/>
          <w:szCs w:val="22"/>
          <w:lang w:val="fr-FR"/>
        </w:rPr>
        <w:t>de mieux harmoniser l’établissement</w:t>
      </w:r>
      <w:r w:rsidR="00CF5DCE" w:rsidRPr="00D642B3">
        <w:rPr>
          <w:iCs/>
          <w:kern w:val="22"/>
          <w:sz w:val="22"/>
          <w:szCs w:val="22"/>
          <w:lang w:val="fr-FR"/>
        </w:rPr>
        <w:t xml:space="preserve"> des rapports nationaux </w:t>
      </w:r>
      <w:r w:rsidR="00CF5DCE">
        <w:rPr>
          <w:kern w:val="22"/>
          <w:sz w:val="22"/>
          <w:szCs w:val="22"/>
          <w:lang w:val="fr-FR"/>
        </w:rPr>
        <w:t>relatifs à</w:t>
      </w:r>
      <w:r w:rsidR="00CF5DCE" w:rsidRPr="00D642B3">
        <w:rPr>
          <w:kern w:val="22"/>
          <w:sz w:val="22"/>
          <w:szCs w:val="22"/>
          <w:lang w:val="fr-FR"/>
        </w:rPr>
        <w:t xml:space="preserve"> la Convention et </w:t>
      </w:r>
      <w:r w:rsidR="00CF5DCE">
        <w:rPr>
          <w:kern w:val="22"/>
          <w:sz w:val="22"/>
          <w:szCs w:val="22"/>
          <w:lang w:val="fr-FR"/>
        </w:rPr>
        <w:t>à</w:t>
      </w:r>
      <w:r w:rsidR="00CF5DCE" w:rsidRPr="00D642B3">
        <w:rPr>
          <w:kern w:val="22"/>
          <w:sz w:val="22"/>
          <w:szCs w:val="22"/>
          <w:lang w:val="fr-FR"/>
        </w:rPr>
        <w:t xml:space="preserve"> ses protocoles</w:t>
      </w:r>
      <w:r w:rsidRPr="00D642B3">
        <w:rPr>
          <w:iCs/>
          <w:kern w:val="22"/>
          <w:sz w:val="22"/>
          <w:szCs w:val="22"/>
          <w:lang w:val="fr-FR"/>
        </w:rPr>
        <w:t xml:space="preserve">, et </w:t>
      </w:r>
      <w:r w:rsidRPr="00D642B3">
        <w:rPr>
          <w:kern w:val="22"/>
          <w:sz w:val="22"/>
          <w:szCs w:val="22"/>
          <w:lang w:val="fr-FR"/>
        </w:rPr>
        <w:t xml:space="preserve">d’accroître </w:t>
      </w:r>
      <w:r w:rsidRPr="00D642B3">
        <w:rPr>
          <w:iCs/>
          <w:kern w:val="22"/>
          <w:sz w:val="22"/>
          <w:szCs w:val="22"/>
          <w:lang w:val="fr-FR"/>
        </w:rPr>
        <w:t xml:space="preserve">les synergies </w:t>
      </w:r>
      <w:r>
        <w:rPr>
          <w:iCs/>
          <w:kern w:val="22"/>
          <w:sz w:val="22"/>
          <w:szCs w:val="22"/>
          <w:lang w:val="fr-FR"/>
        </w:rPr>
        <w:t>qui existe</w:t>
      </w:r>
      <w:r w:rsidRPr="00D642B3">
        <w:rPr>
          <w:iCs/>
          <w:kern w:val="22"/>
          <w:sz w:val="22"/>
          <w:szCs w:val="22"/>
          <w:lang w:val="fr-FR"/>
        </w:rPr>
        <w:t>nt parmi les conventions relatives à la diversité biologique, les conventions de Rio, le Programme de développement durable à l’horizon 2030</w:t>
      </w:r>
      <w:r w:rsidR="00F148CE" w:rsidRPr="00B029CA">
        <w:rPr>
          <w:rStyle w:val="FootnoteReference"/>
          <w:kern w:val="22"/>
          <w:sz w:val="22"/>
          <w:szCs w:val="22"/>
          <w:lang w:val="fr-FR"/>
        </w:rPr>
        <w:footnoteReference w:id="3"/>
      </w:r>
      <w:r w:rsidR="00F148CE" w:rsidRPr="00B029CA">
        <w:rPr>
          <w:snapToGrid/>
          <w:kern w:val="22"/>
          <w:sz w:val="22"/>
          <w:szCs w:val="22"/>
          <w:lang w:val="fr-FR"/>
        </w:rPr>
        <w:t xml:space="preserve"> </w:t>
      </w:r>
      <w:r w:rsidRPr="00D642B3">
        <w:rPr>
          <w:iCs/>
          <w:kern w:val="22"/>
          <w:sz w:val="22"/>
          <w:szCs w:val="22"/>
          <w:lang w:val="fr-FR"/>
        </w:rPr>
        <w:t xml:space="preserve">et les outils mis en place pour l’établissement des rapports relatifs aux objectifs de développement durable, et </w:t>
      </w:r>
      <w:r w:rsidRPr="00D642B3">
        <w:rPr>
          <w:i/>
          <w:kern w:val="22"/>
          <w:sz w:val="22"/>
          <w:szCs w:val="22"/>
          <w:lang w:val="fr-FR"/>
        </w:rPr>
        <w:t>prenant acte</w:t>
      </w:r>
      <w:r w:rsidRPr="00D642B3">
        <w:rPr>
          <w:iCs/>
          <w:kern w:val="22"/>
          <w:sz w:val="22"/>
          <w:szCs w:val="22"/>
          <w:lang w:val="fr-FR"/>
        </w:rPr>
        <w:t xml:space="preserve"> des progrès accomplis à ce jour à cet égard</w:t>
      </w:r>
      <w:r w:rsidR="00964580" w:rsidRPr="00B029CA">
        <w:rPr>
          <w:snapToGrid/>
          <w:kern w:val="22"/>
          <w:sz w:val="22"/>
          <w:szCs w:val="22"/>
          <w:lang w:val="fr-FR"/>
        </w:rPr>
        <w:t>,</w:t>
      </w:r>
    </w:p>
    <w:p w14:paraId="262FE905" w14:textId="442203B8" w:rsidR="00DF691E" w:rsidRPr="00B029CA" w:rsidRDefault="006B30C3" w:rsidP="0025586F">
      <w:pPr>
        <w:pStyle w:val="Para1"/>
        <w:suppressLineNumbers/>
        <w:suppressAutoHyphens/>
        <w:kinsoku w:val="0"/>
        <w:overflowPunct w:val="0"/>
        <w:autoSpaceDE w:val="0"/>
        <w:autoSpaceDN w:val="0"/>
        <w:adjustRightInd w:val="0"/>
        <w:snapToGrid w:val="0"/>
        <w:ind w:firstLine="720"/>
        <w:jc w:val="both"/>
        <w:rPr>
          <w:snapToGrid/>
          <w:kern w:val="22"/>
          <w:sz w:val="22"/>
          <w:szCs w:val="22"/>
          <w:lang w:val="fr-FR"/>
        </w:rPr>
      </w:pPr>
      <w:r w:rsidRPr="00D642B3">
        <w:rPr>
          <w:i/>
          <w:kern w:val="22"/>
          <w:sz w:val="22"/>
          <w:szCs w:val="22"/>
          <w:lang w:val="fr-FR"/>
        </w:rPr>
        <w:t xml:space="preserve">Accepte </w:t>
      </w:r>
      <w:r w:rsidRPr="00D642B3">
        <w:rPr>
          <w:iCs/>
          <w:kern w:val="22"/>
          <w:sz w:val="22"/>
          <w:szCs w:val="22"/>
          <w:lang w:val="fr-FR"/>
        </w:rPr>
        <w:t>l’invitation qui lui a été faite par la Conférence des Parties à la Convent</w:t>
      </w:r>
      <w:r w:rsidR="00576B17">
        <w:rPr>
          <w:iCs/>
          <w:kern w:val="22"/>
          <w:sz w:val="22"/>
          <w:szCs w:val="22"/>
          <w:lang w:val="fr-FR"/>
        </w:rPr>
        <w:t>ion dans la décision 14</w:t>
      </w:r>
      <w:r>
        <w:rPr>
          <w:iCs/>
          <w:kern w:val="22"/>
          <w:sz w:val="22"/>
          <w:szCs w:val="22"/>
          <w:lang w:val="fr-FR"/>
        </w:rPr>
        <w:t>/--</w:t>
      </w:r>
      <w:r w:rsidRPr="00D642B3">
        <w:rPr>
          <w:iCs/>
          <w:kern w:val="22"/>
          <w:sz w:val="22"/>
          <w:szCs w:val="22"/>
          <w:lang w:val="fr-FR"/>
        </w:rPr>
        <w:t xml:space="preserve">, et </w:t>
      </w:r>
      <w:r w:rsidRPr="00D642B3">
        <w:rPr>
          <w:i/>
          <w:kern w:val="22"/>
          <w:sz w:val="22"/>
          <w:szCs w:val="22"/>
          <w:lang w:val="fr-FR"/>
        </w:rPr>
        <w:t>convient</w:t>
      </w:r>
      <w:r w:rsidRPr="00D642B3">
        <w:rPr>
          <w:iCs/>
          <w:kern w:val="22"/>
          <w:sz w:val="22"/>
          <w:szCs w:val="22"/>
          <w:lang w:val="fr-FR"/>
        </w:rPr>
        <w:t xml:space="preserve"> d’instaurer un cycle synchronisé pour l’établissement des rapports nationaux à partir de 2023</w:t>
      </w:r>
      <w:r w:rsidR="00964580" w:rsidRPr="00B029CA">
        <w:rPr>
          <w:snapToGrid/>
          <w:kern w:val="22"/>
          <w:sz w:val="22"/>
          <w:szCs w:val="22"/>
          <w:lang w:val="fr-FR"/>
        </w:rPr>
        <w:t>.</w:t>
      </w:r>
      <w:r w:rsidR="000F49AF">
        <w:rPr>
          <w:snapToGrid/>
          <w:kern w:val="22"/>
          <w:sz w:val="22"/>
          <w:szCs w:val="22"/>
          <w:lang w:val="fr-FR"/>
        </w:rPr>
        <w:t xml:space="preserve">    </w:t>
      </w:r>
    </w:p>
    <w:p w14:paraId="170B25EF" w14:textId="77777777" w:rsidR="00DF691E" w:rsidRPr="00B029CA" w:rsidRDefault="00DF691E" w:rsidP="007E5B99">
      <w:pPr>
        <w:suppressLineNumbers/>
        <w:suppressAutoHyphens/>
        <w:kinsoku w:val="0"/>
        <w:overflowPunct w:val="0"/>
        <w:autoSpaceDE w:val="0"/>
        <w:autoSpaceDN w:val="0"/>
        <w:adjustRightInd w:val="0"/>
        <w:snapToGrid w:val="0"/>
        <w:ind w:left="720" w:hanging="720"/>
        <w:rPr>
          <w:kern w:val="22"/>
          <w:sz w:val="22"/>
          <w:szCs w:val="22"/>
          <w:lang w:val="fr-FR"/>
        </w:rPr>
      </w:pPr>
    </w:p>
    <w:p w14:paraId="21BAEF62" w14:textId="77777777" w:rsidR="004F7E0D" w:rsidRPr="00B029CA" w:rsidRDefault="004F7E0D" w:rsidP="0025586F">
      <w:pPr>
        <w:pStyle w:val="Para1"/>
        <w:suppressLineNumbers/>
        <w:suppressAutoHyphens/>
        <w:kinsoku w:val="0"/>
        <w:overflowPunct w:val="0"/>
        <w:autoSpaceDE w:val="0"/>
        <w:autoSpaceDN w:val="0"/>
        <w:adjustRightInd w:val="0"/>
        <w:snapToGrid w:val="0"/>
        <w:spacing w:after="0"/>
        <w:jc w:val="center"/>
        <w:rPr>
          <w:snapToGrid/>
          <w:kern w:val="22"/>
          <w:sz w:val="22"/>
          <w:szCs w:val="22"/>
          <w:lang w:val="fr-FR"/>
        </w:rPr>
      </w:pPr>
      <w:r w:rsidRPr="00B029CA">
        <w:rPr>
          <w:snapToGrid/>
          <w:kern w:val="22"/>
          <w:sz w:val="22"/>
          <w:szCs w:val="22"/>
          <w:lang w:val="fr-FR"/>
        </w:rPr>
        <w:t>__________</w:t>
      </w:r>
    </w:p>
    <w:p w14:paraId="210237CF" w14:textId="3DF08BBA" w:rsidR="0069650C" w:rsidRPr="00B029CA" w:rsidRDefault="0069650C" w:rsidP="0025586F">
      <w:pPr>
        <w:pStyle w:val="Para1"/>
        <w:suppressLineNumbers/>
        <w:suppressAutoHyphens/>
        <w:kinsoku w:val="0"/>
        <w:overflowPunct w:val="0"/>
        <w:autoSpaceDE w:val="0"/>
        <w:autoSpaceDN w:val="0"/>
        <w:adjustRightInd w:val="0"/>
        <w:snapToGrid w:val="0"/>
        <w:spacing w:after="0"/>
        <w:rPr>
          <w:snapToGrid/>
          <w:kern w:val="22"/>
          <w:sz w:val="22"/>
          <w:szCs w:val="22"/>
          <w:lang w:val="fr-FR"/>
        </w:rPr>
      </w:pPr>
    </w:p>
    <w:sectPr w:rsidR="0069650C" w:rsidRPr="00B029CA">
      <w:headerReference w:type="even" r:id="rId11"/>
      <w:headerReference w:type="default" r:id="rId12"/>
      <w:footerReference w:type="even" r:id="rId13"/>
      <w:footerReference w:type="first" r:id="rId14"/>
      <w:type w:val="continuous"/>
      <w:pgSz w:w="12240" w:h="15840" w:code="1"/>
      <w:pgMar w:top="567" w:right="1440" w:bottom="851" w:left="1440" w:header="46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C71E3" w14:textId="77777777" w:rsidR="00D97520" w:rsidRDefault="00D97520">
      <w:r>
        <w:separator/>
      </w:r>
    </w:p>
  </w:endnote>
  <w:endnote w:type="continuationSeparator" w:id="0">
    <w:p w14:paraId="0571024F" w14:textId="77777777" w:rsidR="00D97520" w:rsidRDefault="00D9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E8D7" w14:textId="77777777" w:rsidR="00022BBD" w:rsidRPr="005C6B31" w:rsidRDefault="00022BBD" w:rsidP="005C6B31">
    <w:pPr>
      <w:pStyle w:val="Footer"/>
      <w:tabs>
        <w:tab w:val="clear" w:pos="4320"/>
        <w:tab w:val="clear" w:pos="8640"/>
      </w:tabs>
      <w:kinsoku w:val="0"/>
      <w:overflowPunct w:val="0"/>
      <w:autoSpaceDE w:val="0"/>
      <w:autoSpaceDN w:val="0"/>
      <w:ind w:firstLine="0"/>
      <w:rPr>
        <w:snapToGrid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5E1E" w14:textId="77777777" w:rsidR="00022BBD" w:rsidRPr="000C7F51" w:rsidRDefault="00022BBD" w:rsidP="005C6B31">
    <w:pPr>
      <w:pStyle w:val="Footer"/>
      <w:tabs>
        <w:tab w:val="clear" w:pos="4320"/>
        <w:tab w:val="clear" w:pos="8640"/>
      </w:tabs>
      <w:kinsoku w:val="0"/>
      <w:overflowPunct w:val="0"/>
      <w:autoSpaceDE w:val="0"/>
      <w:autoSpaceDN w:val="0"/>
      <w:adjustRightInd w:val="0"/>
      <w:snapToGrid w:val="0"/>
      <w:ind w:firstLine="0"/>
      <w:rPr>
        <w:noProof/>
        <w:sz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729C4" w14:textId="77777777" w:rsidR="00D97520" w:rsidRDefault="00D97520">
      <w:r>
        <w:separator/>
      </w:r>
    </w:p>
  </w:footnote>
  <w:footnote w:type="continuationSeparator" w:id="0">
    <w:p w14:paraId="062C2CEF" w14:textId="77777777" w:rsidR="00D97520" w:rsidRDefault="00D97520">
      <w:r>
        <w:continuationSeparator/>
      </w:r>
    </w:p>
  </w:footnote>
  <w:footnote w:id="1">
    <w:p w14:paraId="2700113E" w14:textId="5F872E08" w:rsidR="003237CD" w:rsidRPr="00A57090" w:rsidRDefault="003237CD" w:rsidP="0025586F">
      <w:pPr>
        <w:pStyle w:val="FootnoteText"/>
        <w:kinsoku w:val="0"/>
        <w:overflowPunct w:val="0"/>
        <w:autoSpaceDE w:val="0"/>
        <w:autoSpaceDN w:val="0"/>
        <w:ind w:firstLine="0"/>
        <w:rPr>
          <w:lang w:val="fr-FR"/>
        </w:rPr>
      </w:pPr>
      <w:r w:rsidRPr="00A57090">
        <w:rPr>
          <w:rStyle w:val="FootnoteReference"/>
          <w:lang w:val="fr-FR"/>
        </w:rPr>
        <w:footnoteRef/>
      </w:r>
      <w:r w:rsidRPr="00A57090">
        <w:rPr>
          <w:lang w:val="fr-FR"/>
        </w:rPr>
        <w:t xml:space="preserve"> </w:t>
      </w:r>
      <w:r w:rsidR="00A57090" w:rsidRPr="00A57090">
        <w:rPr>
          <w:lang w:val="fr-FR"/>
        </w:rPr>
        <w:t>Ré</w:t>
      </w:r>
      <w:r w:rsidRPr="00A57090">
        <w:rPr>
          <w:lang w:val="fr-FR"/>
        </w:rPr>
        <w:t xml:space="preserve">solution 70/1 </w:t>
      </w:r>
      <w:r w:rsidR="007E7476">
        <w:rPr>
          <w:lang w:val="fr-FR"/>
        </w:rPr>
        <w:t xml:space="preserve">de l’Assemblée générale </w:t>
      </w:r>
      <w:r w:rsidR="00A57090" w:rsidRPr="00A57090">
        <w:rPr>
          <w:lang w:val="fr-FR"/>
        </w:rPr>
        <w:t>du</w:t>
      </w:r>
      <w:r w:rsidR="00A57090">
        <w:rPr>
          <w:lang w:val="fr-FR"/>
        </w:rPr>
        <w:t xml:space="preserve"> 25 septembre </w:t>
      </w:r>
      <w:r w:rsidRPr="00A57090">
        <w:rPr>
          <w:lang w:val="fr-FR"/>
        </w:rPr>
        <w:t>2015.</w:t>
      </w:r>
    </w:p>
  </w:footnote>
  <w:footnote w:id="2">
    <w:p w14:paraId="5A7DB1C1" w14:textId="0CBA8922" w:rsidR="00B00118" w:rsidRPr="008659CF" w:rsidRDefault="00B00118" w:rsidP="0025586F">
      <w:pPr>
        <w:pStyle w:val="FootnoteText"/>
        <w:kinsoku w:val="0"/>
        <w:overflowPunct w:val="0"/>
        <w:autoSpaceDE w:val="0"/>
        <w:autoSpaceDN w:val="0"/>
        <w:ind w:firstLine="0"/>
        <w:rPr>
          <w:lang w:val="fr-CA"/>
        </w:rPr>
      </w:pPr>
      <w:r w:rsidRPr="0025586F">
        <w:rPr>
          <w:rStyle w:val="FootnoteReference"/>
          <w:lang w:val="en-GB"/>
        </w:rPr>
        <w:footnoteRef/>
      </w:r>
      <w:r w:rsidRPr="008659CF">
        <w:rPr>
          <w:lang w:val="fr-CA"/>
        </w:rPr>
        <w:t xml:space="preserve"> </w:t>
      </w:r>
      <w:r w:rsidR="006B30C3" w:rsidRPr="00A57090">
        <w:rPr>
          <w:lang w:val="fr-FR"/>
        </w:rPr>
        <w:t xml:space="preserve">Résolution 70/1 </w:t>
      </w:r>
      <w:r w:rsidR="00576B17">
        <w:rPr>
          <w:lang w:val="fr-FR"/>
        </w:rPr>
        <w:t xml:space="preserve">de l’Assemblée générale </w:t>
      </w:r>
      <w:r w:rsidR="006B30C3" w:rsidRPr="00A57090">
        <w:rPr>
          <w:lang w:val="fr-FR"/>
        </w:rPr>
        <w:t>du</w:t>
      </w:r>
      <w:r w:rsidR="006B30C3">
        <w:rPr>
          <w:lang w:val="fr-FR"/>
        </w:rPr>
        <w:t xml:space="preserve"> 25 septembre </w:t>
      </w:r>
      <w:r w:rsidR="006B30C3" w:rsidRPr="00A57090">
        <w:rPr>
          <w:lang w:val="fr-FR"/>
        </w:rPr>
        <w:t>2015</w:t>
      </w:r>
      <w:r w:rsidRPr="008659CF">
        <w:rPr>
          <w:lang w:val="fr-CA"/>
        </w:rPr>
        <w:t>.</w:t>
      </w:r>
    </w:p>
  </w:footnote>
  <w:footnote w:id="3">
    <w:p w14:paraId="222C176E" w14:textId="4277622C" w:rsidR="00F148CE" w:rsidRPr="008659CF" w:rsidRDefault="00F148CE" w:rsidP="0025586F">
      <w:pPr>
        <w:pStyle w:val="FootnoteText"/>
        <w:kinsoku w:val="0"/>
        <w:overflowPunct w:val="0"/>
        <w:autoSpaceDE w:val="0"/>
        <w:autoSpaceDN w:val="0"/>
        <w:ind w:firstLine="0"/>
        <w:rPr>
          <w:lang w:val="fr-CA"/>
        </w:rPr>
      </w:pPr>
      <w:r w:rsidRPr="0025586F">
        <w:rPr>
          <w:rStyle w:val="FootnoteReference"/>
          <w:lang w:val="en-GB"/>
        </w:rPr>
        <w:footnoteRef/>
      </w:r>
      <w:r w:rsidRPr="008659CF">
        <w:rPr>
          <w:lang w:val="fr-CA"/>
        </w:rPr>
        <w:t xml:space="preserve"> </w:t>
      </w:r>
      <w:r w:rsidR="006B30C3" w:rsidRPr="00A57090">
        <w:rPr>
          <w:lang w:val="fr-FR"/>
        </w:rPr>
        <w:t xml:space="preserve">Résolution 70/1 </w:t>
      </w:r>
      <w:r w:rsidR="00576B17">
        <w:rPr>
          <w:lang w:val="fr-FR"/>
        </w:rPr>
        <w:t xml:space="preserve">de l’Assemblée générale </w:t>
      </w:r>
      <w:r w:rsidR="006B30C3" w:rsidRPr="00A57090">
        <w:rPr>
          <w:lang w:val="fr-FR"/>
        </w:rPr>
        <w:t>du</w:t>
      </w:r>
      <w:r w:rsidR="006B30C3">
        <w:rPr>
          <w:lang w:val="fr-FR"/>
        </w:rPr>
        <w:t xml:space="preserve"> 25 septembre </w:t>
      </w:r>
      <w:r w:rsidR="006B30C3" w:rsidRPr="00A57090">
        <w:rPr>
          <w:lang w:val="fr-FR"/>
        </w:rPr>
        <w:t>2015</w:t>
      </w:r>
      <w:r w:rsidRPr="008659CF">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napToGrid w:val="0"/>
        <w:kern w:val="22"/>
        <w:sz w:val="22"/>
        <w:szCs w:val="22"/>
        <w:lang w:val="fr-FR"/>
      </w:rPr>
      <w:alias w:val="Subject"/>
      <w:tag w:val=""/>
      <w:id w:val="1409812736"/>
      <w:placeholder>
        <w:docPart w:val="315E0BFB24D040BE8E39C9FC7FC3D9A6"/>
      </w:placeholder>
      <w:dataBinding w:prefixMappings="xmlns:ns0='http://purl.org/dc/elements/1.1/' xmlns:ns1='http://schemas.openxmlformats.org/package/2006/metadata/core-properties' " w:xpath="/ns1:coreProperties[1]/ns0:subject[1]" w:storeItemID="{6C3C8BC8-F283-45AE-878A-BAB7291924A1}"/>
      <w:text/>
    </w:sdtPr>
    <w:sdtEndPr/>
    <w:sdtContent>
      <w:p w14:paraId="74BE2351" w14:textId="3FF220B7" w:rsidR="00022BBD" w:rsidRPr="009B0C0A" w:rsidRDefault="004B55E9" w:rsidP="005C6B31">
        <w:pPr>
          <w:pStyle w:val="Header"/>
          <w:tabs>
            <w:tab w:val="clear" w:pos="4320"/>
            <w:tab w:val="clear" w:pos="8640"/>
          </w:tabs>
          <w:kinsoku w:val="0"/>
          <w:overflowPunct w:val="0"/>
          <w:autoSpaceDE w:val="0"/>
          <w:autoSpaceDN w:val="0"/>
          <w:rPr>
            <w:noProof/>
            <w:snapToGrid w:val="0"/>
            <w:kern w:val="22"/>
            <w:sz w:val="22"/>
            <w:szCs w:val="22"/>
            <w:lang w:val="fr-FR"/>
          </w:rPr>
        </w:pPr>
        <w:r>
          <w:rPr>
            <w:noProof/>
            <w:snapToGrid w:val="0"/>
            <w:kern w:val="22"/>
            <w:sz w:val="22"/>
            <w:szCs w:val="22"/>
            <w:lang w:val="en-GB"/>
          </w:rPr>
          <w:t>CBD/SBI/REC/2/11</w:t>
        </w:r>
      </w:p>
    </w:sdtContent>
  </w:sdt>
  <w:p w14:paraId="3D5DC92C" w14:textId="1ED702FA" w:rsidR="00022BBD" w:rsidRPr="009B0C0A" w:rsidRDefault="00022BBD" w:rsidP="005C6B31">
    <w:pPr>
      <w:pStyle w:val="Header"/>
      <w:tabs>
        <w:tab w:val="clear" w:pos="4320"/>
        <w:tab w:val="clear" w:pos="8640"/>
      </w:tabs>
      <w:kinsoku w:val="0"/>
      <w:overflowPunct w:val="0"/>
      <w:autoSpaceDE w:val="0"/>
      <w:autoSpaceDN w:val="0"/>
      <w:rPr>
        <w:noProof/>
        <w:snapToGrid w:val="0"/>
        <w:kern w:val="22"/>
        <w:sz w:val="22"/>
        <w:szCs w:val="22"/>
        <w:lang w:val="fr-FR"/>
      </w:rPr>
    </w:pPr>
    <w:r w:rsidRPr="009B0C0A">
      <w:rPr>
        <w:noProof/>
        <w:snapToGrid w:val="0"/>
        <w:kern w:val="22"/>
        <w:sz w:val="22"/>
        <w:szCs w:val="22"/>
        <w:lang w:val="fr-FR"/>
      </w:rPr>
      <w:t xml:space="preserve">Page </w:t>
    </w:r>
    <w:r w:rsidRPr="005C6B31">
      <w:rPr>
        <w:bCs/>
        <w:noProof/>
        <w:snapToGrid w:val="0"/>
        <w:kern w:val="22"/>
        <w:sz w:val="22"/>
        <w:szCs w:val="22"/>
        <w:lang w:val="en-GB"/>
      </w:rPr>
      <w:fldChar w:fldCharType="begin"/>
    </w:r>
    <w:r w:rsidRPr="009B0C0A">
      <w:rPr>
        <w:bCs/>
        <w:noProof/>
        <w:snapToGrid w:val="0"/>
        <w:kern w:val="22"/>
        <w:sz w:val="22"/>
        <w:szCs w:val="22"/>
        <w:lang w:val="fr-FR"/>
      </w:rPr>
      <w:instrText xml:space="preserve"> PAGE </w:instrText>
    </w:r>
    <w:r w:rsidRPr="005C6B31">
      <w:rPr>
        <w:bCs/>
        <w:noProof/>
        <w:snapToGrid w:val="0"/>
        <w:kern w:val="22"/>
        <w:sz w:val="22"/>
        <w:szCs w:val="22"/>
        <w:lang w:val="en-GB"/>
      </w:rPr>
      <w:fldChar w:fldCharType="separate"/>
    </w:r>
    <w:r w:rsidR="00763BAC">
      <w:rPr>
        <w:bCs/>
        <w:noProof/>
        <w:snapToGrid w:val="0"/>
        <w:kern w:val="22"/>
        <w:sz w:val="22"/>
        <w:szCs w:val="22"/>
        <w:lang w:val="fr-FR"/>
      </w:rPr>
      <w:t>2</w:t>
    </w:r>
    <w:r w:rsidRPr="005C6B31">
      <w:rPr>
        <w:bCs/>
        <w:noProof/>
        <w:snapToGrid w:val="0"/>
        <w:kern w:val="22"/>
        <w:sz w:val="22"/>
        <w:szCs w:val="22"/>
        <w:lang w:val="en-GB"/>
      </w:rPr>
      <w:fldChar w:fldCharType="end"/>
    </w:r>
  </w:p>
  <w:p w14:paraId="51FB6271" w14:textId="77777777" w:rsidR="00022BBD" w:rsidRPr="009B0C0A" w:rsidRDefault="00022BBD" w:rsidP="005C6B31">
    <w:pPr>
      <w:pStyle w:val="Header"/>
      <w:tabs>
        <w:tab w:val="clear" w:pos="4320"/>
        <w:tab w:val="clear" w:pos="8640"/>
      </w:tabs>
      <w:kinsoku w:val="0"/>
      <w:overflowPunct w:val="0"/>
      <w:autoSpaceDE w:val="0"/>
      <w:autoSpaceDN w:val="0"/>
      <w:rPr>
        <w:noProof/>
        <w:snapToGrid w:val="0"/>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napToGrid w:val="0"/>
        <w:kern w:val="22"/>
        <w:sz w:val="22"/>
        <w:szCs w:val="22"/>
        <w:lang w:val="fr-FR"/>
      </w:rPr>
      <w:alias w:val="Subject"/>
      <w:tag w:val=""/>
      <w:id w:val="-1072192401"/>
      <w:dataBinding w:prefixMappings="xmlns:ns0='http://purl.org/dc/elements/1.1/' xmlns:ns1='http://schemas.openxmlformats.org/package/2006/metadata/core-properties' " w:xpath="/ns1:coreProperties[1]/ns0:subject[1]" w:storeItemID="{6C3C8BC8-F283-45AE-878A-BAB7291924A1}"/>
      <w:text/>
    </w:sdtPr>
    <w:sdtEndPr/>
    <w:sdtContent>
      <w:p w14:paraId="769B1D47" w14:textId="67DB186F" w:rsidR="00022BBD" w:rsidRPr="00875746" w:rsidRDefault="004B55E9" w:rsidP="005C6B31">
        <w:pPr>
          <w:pStyle w:val="Header"/>
          <w:tabs>
            <w:tab w:val="clear" w:pos="4320"/>
            <w:tab w:val="clear" w:pos="8640"/>
          </w:tabs>
          <w:kinsoku w:val="0"/>
          <w:overflowPunct w:val="0"/>
          <w:autoSpaceDE w:val="0"/>
          <w:autoSpaceDN w:val="0"/>
          <w:adjustRightInd w:val="0"/>
          <w:snapToGrid w:val="0"/>
          <w:jc w:val="right"/>
          <w:rPr>
            <w:noProof/>
            <w:snapToGrid w:val="0"/>
            <w:kern w:val="22"/>
            <w:sz w:val="22"/>
            <w:szCs w:val="22"/>
            <w:lang w:val="fr-FR"/>
          </w:rPr>
        </w:pPr>
        <w:r>
          <w:rPr>
            <w:noProof/>
            <w:snapToGrid w:val="0"/>
            <w:kern w:val="22"/>
            <w:sz w:val="22"/>
            <w:szCs w:val="22"/>
            <w:lang w:val="en-GB"/>
          </w:rPr>
          <w:t>CBD/SBI/REC/2/11</w:t>
        </w:r>
      </w:p>
    </w:sdtContent>
  </w:sdt>
  <w:p w14:paraId="37BF2E92" w14:textId="6D83B80D" w:rsidR="00022BBD" w:rsidRPr="00875746" w:rsidRDefault="00022BBD" w:rsidP="005C6B31">
    <w:pPr>
      <w:pStyle w:val="Header"/>
      <w:tabs>
        <w:tab w:val="clear" w:pos="4320"/>
        <w:tab w:val="clear" w:pos="8640"/>
      </w:tabs>
      <w:kinsoku w:val="0"/>
      <w:overflowPunct w:val="0"/>
      <w:autoSpaceDE w:val="0"/>
      <w:autoSpaceDN w:val="0"/>
      <w:adjustRightInd w:val="0"/>
      <w:snapToGrid w:val="0"/>
      <w:jc w:val="right"/>
      <w:rPr>
        <w:noProof/>
        <w:snapToGrid w:val="0"/>
        <w:kern w:val="22"/>
        <w:sz w:val="22"/>
        <w:szCs w:val="22"/>
        <w:lang w:val="fr-FR"/>
      </w:rPr>
    </w:pPr>
    <w:r w:rsidRPr="00875746">
      <w:rPr>
        <w:noProof/>
        <w:snapToGrid w:val="0"/>
        <w:kern w:val="22"/>
        <w:sz w:val="22"/>
        <w:szCs w:val="22"/>
        <w:lang w:val="fr-FR"/>
      </w:rPr>
      <w:t xml:space="preserve">Page </w:t>
    </w:r>
    <w:r w:rsidRPr="005C6B31">
      <w:rPr>
        <w:bCs/>
        <w:noProof/>
        <w:snapToGrid w:val="0"/>
        <w:kern w:val="22"/>
        <w:sz w:val="22"/>
        <w:szCs w:val="22"/>
        <w:lang w:val="en-GB"/>
      </w:rPr>
      <w:fldChar w:fldCharType="begin"/>
    </w:r>
    <w:r w:rsidRPr="00875746">
      <w:rPr>
        <w:bCs/>
        <w:noProof/>
        <w:snapToGrid w:val="0"/>
        <w:kern w:val="22"/>
        <w:sz w:val="22"/>
        <w:szCs w:val="22"/>
        <w:lang w:val="fr-FR"/>
      </w:rPr>
      <w:instrText xml:space="preserve"> PAGE </w:instrText>
    </w:r>
    <w:r w:rsidRPr="005C6B31">
      <w:rPr>
        <w:bCs/>
        <w:noProof/>
        <w:snapToGrid w:val="0"/>
        <w:kern w:val="22"/>
        <w:sz w:val="22"/>
        <w:szCs w:val="22"/>
        <w:lang w:val="en-GB"/>
      </w:rPr>
      <w:fldChar w:fldCharType="separate"/>
    </w:r>
    <w:r w:rsidR="00763BAC">
      <w:rPr>
        <w:bCs/>
        <w:noProof/>
        <w:snapToGrid w:val="0"/>
        <w:kern w:val="22"/>
        <w:sz w:val="22"/>
        <w:szCs w:val="22"/>
        <w:lang w:val="fr-FR"/>
      </w:rPr>
      <w:t>3</w:t>
    </w:r>
    <w:r w:rsidRPr="005C6B31">
      <w:rPr>
        <w:bCs/>
        <w:noProof/>
        <w:snapToGrid w:val="0"/>
        <w:kern w:val="22"/>
        <w:sz w:val="22"/>
        <w:szCs w:val="22"/>
        <w:lang w:val="en-GB"/>
      </w:rPr>
      <w:fldChar w:fldCharType="end"/>
    </w:r>
  </w:p>
  <w:p w14:paraId="3C6A6198" w14:textId="77777777" w:rsidR="00022BBD" w:rsidRPr="00875746" w:rsidRDefault="00022BBD" w:rsidP="005C6B31">
    <w:pPr>
      <w:pStyle w:val="Header"/>
      <w:tabs>
        <w:tab w:val="clear" w:pos="4320"/>
        <w:tab w:val="clear" w:pos="8640"/>
      </w:tabs>
      <w:kinsoku w:val="0"/>
      <w:overflowPunct w:val="0"/>
      <w:autoSpaceDE w:val="0"/>
      <w:autoSpaceDN w:val="0"/>
      <w:adjustRightInd w:val="0"/>
      <w:snapToGrid w:val="0"/>
      <w:jc w:val="right"/>
      <w:rPr>
        <w:noProof/>
        <w:snapToGrid w:val="0"/>
        <w:kern w:val="22"/>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53B"/>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71477E"/>
    <w:multiLevelType w:val="hybridMultilevel"/>
    <w:tmpl w:val="4282CBCA"/>
    <w:lvl w:ilvl="0" w:tplc="85FCB4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EFA412C"/>
    <w:multiLevelType w:val="multilevel"/>
    <w:tmpl w:val="7102F100"/>
    <w:lvl w:ilvl="0">
      <w:start w:val="1"/>
      <w:numFmt w:val="decimal"/>
      <w:lvlText w:val="%1."/>
      <w:lvlJc w:val="left"/>
      <w:pPr>
        <w:tabs>
          <w:tab w:val="num" w:pos="540"/>
        </w:tabs>
        <w:ind w:left="18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901FA3"/>
    <w:multiLevelType w:val="hybridMultilevel"/>
    <w:tmpl w:val="4A98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93A52"/>
    <w:multiLevelType w:val="hybridMultilevel"/>
    <w:tmpl w:val="20C6C3C0"/>
    <w:lvl w:ilvl="0" w:tplc="F8F21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8078B"/>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BD4335"/>
    <w:multiLevelType w:val="hybridMultilevel"/>
    <w:tmpl w:val="39863642"/>
    <w:lvl w:ilvl="0" w:tplc="E25214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8EC7FB9"/>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4" w15:restartNumberingAfterBreak="0">
    <w:nsid w:val="3DF6548C"/>
    <w:multiLevelType w:val="hybridMultilevel"/>
    <w:tmpl w:val="83D29DC8"/>
    <w:lvl w:ilvl="0" w:tplc="732025C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D0443"/>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31A25"/>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CA1DCB"/>
    <w:multiLevelType w:val="hybridMultilevel"/>
    <w:tmpl w:val="CADCEA64"/>
    <w:lvl w:ilvl="0" w:tplc="DBD87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C7040"/>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272B96"/>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4EE46A3"/>
    <w:multiLevelType w:val="hybridMultilevel"/>
    <w:tmpl w:val="8A542BA2"/>
    <w:lvl w:ilvl="0" w:tplc="5652EF34">
      <w:start w:val="1"/>
      <w:numFmt w:val="decimal"/>
      <w:lvlText w:val="%1."/>
      <w:lvlJc w:val="left"/>
      <w:pPr>
        <w:ind w:left="9149" w:hanging="360"/>
      </w:pPr>
      <w:rPr>
        <w:b w:val="0"/>
        <w:i w:val="0"/>
        <w:sz w:val="22"/>
      </w:rPr>
    </w:lvl>
    <w:lvl w:ilvl="1" w:tplc="645EF382">
      <w:start w:val="1"/>
      <w:numFmt w:val="lowerLetter"/>
      <w:lvlText w:val="(%2)"/>
      <w:lvlJc w:val="left"/>
      <w:pPr>
        <w:ind w:left="1958" w:hanging="360"/>
      </w:pPr>
      <w:rPr>
        <w:rFonts w:hint="default"/>
        <w:i w:val="0"/>
      </w:r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73972DA8"/>
    <w:multiLevelType w:val="hybridMultilevel"/>
    <w:tmpl w:val="039612D4"/>
    <w:lvl w:ilvl="0" w:tplc="238C00C0">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9" w15:restartNumberingAfterBreak="0">
    <w:nsid w:val="793A7E9E"/>
    <w:multiLevelType w:val="hybridMultilevel"/>
    <w:tmpl w:val="97481074"/>
    <w:lvl w:ilvl="0" w:tplc="F0708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BB72D1"/>
    <w:multiLevelType w:val="hybridMultilevel"/>
    <w:tmpl w:val="F356F4B4"/>
    <w:lvl w:ilvl="0" w:tplc="47F60D42">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7E1180"/>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9"/>
    <w:lvlOverride w:ilvl="0">
      <w:startOverride w:val="1"/>
    </w:lvlOverride>
  </w:num>
  <w:num w:numId="4">
    <w:abstractNumId w:val="2"/>
  </w:num>
  <w:num w:numId="5">
    <w:abstractNumId w:val="10"/>
  </w:num>
  <w:num w:numId="6">
    <w:abstractNumId w:val="27"/>
  </w:num>
  <w:num w:numId="7">
    <w:abstractNumId w:val="24"/>
  </w:num>
  <w:num w:numId="8">
    <w:abstractNumId w:val="12"/>
  </w:num>
  <w:num w:numId="9">
    <w:abstractNumId w:val="20"/>
  </w:num>
  <w:num w:numId="10">
    <w:abstractNumId w:val="13"/>
  </w:num>
  <w:num w:numId="11">
    <w:abstractNumId w:val="25"/>
  </w:num>
  <w:num w:numId="12">
    <w:abstractNumId w:val="7"/>
  </w:num>
  <w:num w:numId="13">
    <w:abstractNumId w:val="22"/>
  </w:num>
  <w:num w:numId="14">
    <w:abstractNumId w:val="26"/>
  </w:num>
  <w:num w:numId="15">
    <w:abstractNumId w:val="1"/>
  </w:num>
  <w:num w:numId="16">
    <w:abstractNumId w:val="16"/>
  </w:num>
  <w:num w:numId="17">
    <w:abstractNumId w:val="23"/>
  </w:num>
  <w:num w:numId="18">
    <w:abstractNumId w:val="0"/>
  </w:num>
  <w:num w:numId="19">
    <w:abstractNumId w:val="11"/>
  </w:num>
  <w:num w:numId="20">
    <w:abstractNumId w:val="14"/>
  </w:num>
  <w:num w:numId="21">
    <w:abstractNumId w:val="3"/>
  </w:num>
  <w:num w:numId="22">
    <w:abstractNumId w:val="30"/>
  </w:num>
  <w:num w:numId="2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9"/>
  </w:num>
  <w:num w:numId="26">
    <w:abstractNumId w:val="4"/>
  </w:num>
  <w:num w:numId="27">
    <w:abstractNumId w:val="15"/>
  </w:num>
  <w:num w:numId="28">
    <w:abstractNumId w:val="6"/>
  </w:num>
  <w:num w:numId="29">
    <w:abstractNumId w:val="31"/>
  </w:num>
  <w:num w:numId="30">
    <w:abstractNumId w:val="18"/>
  </w:num>
  <w:num w:numId="31">
    <w:abstractNumId w:val="8"/>
  </w:num>
  <w:num w:numId="32">
    <w:abstractNumId w:val="17"/>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4"/>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6" w:nlCheck="1" w:checkStyle="1"/>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A8D"/>
    <w:rsid w:val="0000456C"/>
    <w:rsid w:val="00004F53"/>
    <w:rsid w:val="0000504E"/>
    <w:rsid w:val="00010E58"/>
    <w:rsid w:val="000120E3"/>
    <w:rsid w:val="00013524"/>
    <w:rsid w:val="000146E4"/>
    <w:rsid w:val="000158D5"/>
    <w:rsid w:val="0001729D"/>
    <w:rsid w:val="00022BBD"/>
    <w:rsid w:val="00025872"/>
    <w:rsid w:val="000435FC"/>
    <w:rsid w:val="00050F02"/>
    <w:rsid w:val="00066508"/>
    <w:rsid w:val="00070651"/>
    <w:rsid w:val="00074389"/>
    <w:rsid w:val="00074DBF"/>
    <w:rsid w:val="000751F5"/>
    <w:rsid w:val="00075498"/>
    <w:rsid w:val="00081757"/>
    <w:rsid w:val="00083E52"/>
    <w:rsid w:val="00085303"/>
    <w:rsid w:val="00085F6F"/>
    <w:rsid w:val="0008714D"/>
    <w:rsid w:val="000959EC"/>
    <w:rsid w:val="000A0D1B"/>
    <w:rsid w:val="000A1D60"/>
    <w:rsid w:val="000A315E"/>
    <w:rsid w:val="000A5004"/>
    <w:rsid w:val="000A6AE2"/>
    <w:rsid w:val="000B516A"/>
    <w:rsid w:val="000B5DAA"/>
    <w:rsid w:val="000C6BAE"/>
    <w:rsid w:val="000C6E54"/>
    <w:rsid w:val="000C7F51"/>
    <w:rsid w:val="000D077C"/>
    <w:rsid w:val="000D0ABA"/>
    <w:rsid w:val="000D40C7"/>
    <w:rsid w:val="000D6CB3"/>
    <w:rsid w:val="000D73D6"/>
    <w:rsid w:val="000D7B6A"/>
    <w:rsid w:val="000E176D"/>
    <w:rsid w:val="000E2187"/>
    <w:rsid w:val="000E52F8"/>
    <w:rsid w:val="000F0938"/>
    <w:rsid w:val="000F49AF"/>
    <w:rsid w:val="000F5828"/>
    <w:rsid w:val="000F7151"/>
    <w:rsid w:val="00104545"/>
    <w:rsid w:val="001046C0"/>
    <w:rsid w:val="00105941"/>
    <w:rsid w:val="00106E25"/>
    <w:rsid w:val="001166A3"/>
    <w:rsid w:val="00120D09"/>
    <w:rsid w:val="00122C5C"/>
    <w:rsid w:val="00127965"/>
    <w:rsid w:val="00130614"/>
    <w:rsid w:val="00130D24"/>
    <w:rsid w:val="00132950"/>
    <w:rsid w:val="0013438A"/>
    <w:rsid w:val="00136FA0"/>
    <w:rsid w:val="00144195"/>
    <w:rsid w:val="00145003"/>
    <w:rsid w:val="00145DDF"/>
    <w:rsid w:val="00155560"/>
    <w:rsid w:val="0015614A"/>
    <w:rsid w:val="00162507"/>
    <w:rsid w:val="00162555"/>
    <w:rsid w:val="00170EB3"/>
    <w:rsid w:val="00171495"/>
    <w:rsid w:val="001749CF"/>
    <w:rsid w:val="0018090B"/>
    <w:rsid w:val="001815AB"/>
    <w:rsid w:val="001832E9"/>
    <w:rsid w:val="001854A5"/>
    <w:rsid w:val="0018650D"/>
    <w:rsid w:val="001873E4"/>
    <w:rsid w:val="00192D70"/>
    <w:rsid w:val="001956FA"/>
    <w:rsid w:val="00195A42"/>
    <w:rsid w:val="001966EC"/>
    <w:rsid w:val="001A5005"/>
    <w:rsid w:val="001A5765"/>
    <w:rsid w:val="001A5EA1"/>
    <w:rsid w:val="001B0814"/>
    <w:rsid w:val="001B1315"/>
    <w:rsid w:val="001B407E"/>
    <w:rsid w:val="001B5083"/>
    <w:rsid w:val="001C62F5"/>
    <w:rsid w:val="001D304E"/>
    <w:rsid w:val="001F1C94"/>
    <w:rsid w:val="001F3035"/>
    <w:rsid w:val="001F6337"/>
    <w:rsid w:val="0020144B"/>
    <w:rsid w:val="00210B17"/>
    <w:rsid w:val="00211C03"/>
    <w:rsid w:val="00215183"/>
    <w:rsid w:val="002151F5"/>
    <w:rsid w:val="00215833"/>
    <w:rsid w:val="00215D48"/>
    <w:rsid w:val="00220B63"/>
    <w:rsid w:val="0023274F"/>
    <w:rsid w:val="00234D9D"/>
    <w:rsid w:val="0023568A"/>
    <w:rsid w:val="00243963"/>
    <w:rsid w:val="00244327"/>
    <w:rsid w:val="002456D4"/>
    <w:rsid w:val="002554F1"/>
    <w:rsid w:val="0025586F"/>
    <w:rsid w:val="0026559C"/>
    <w:rsid w:val="00267C11"/>
    <w:rsid w:val="002709C3"/>
    <w:rsid w:val="00284A89"/>
    <w:rsid w:val="002864B4"/>
    <w:rsid w:val="0029615B"/>
    <w:rsid w:val="002A0A4B"/>
    <w:rsid w:val="002A1AB8"/>
    <w:rsid w:val="002A1D5A"/>
    <w:rsid w:val="002A388F"/>
    <w:rsid w:val="002A4782"/>
    <w:rsid w:val="002B1F9C"/>
    <w:rsid w:val="002B414F"/>
    <w:rsid w:val="002C272D"/>
    <w:rsid w:val="002C59E8"/>
    <w:rsid w:val="002D10A7"/>
    <w:rsid w:val="002D4E43"/>
    <w:rsid w:val="002D53CC"/>
    <w:rsid w:val="002D5ED8"/>
    <w:rsid w:val="002E1ED2"/>
    <w:rsid w:val="002E367F"/>
    <w:rsid w:val="002E4C98"/>
    <w:rsid w:val="002F1C60"/>
    <w:rsid w:val="002F551A"/>
    <w:rsid w:val="002F5CC5"/>
    <w:rsid w:val="002F6BE8"/>
    <w:rsid w:val="00301F3B"/>
    <w:rsid w:val="00302459"/>
    <w:rsid w:val="003070F2"/>
    <w:rsid w:val="00307840"/>
    <w:rsid w:val="0031455F"/>
    <w:rsid w:val="003237CD"/>
    <w:rsid w:val="00326112"/>
    <w:rsid w:val="00330471"/>
    <w:rsid w:val="003360D1"/>
    <w:rsid w:val="003373C8"/>
    <w:rsid w:val="00337B94"/>
    <w:rsid w:val="003411D8"/>
    <w:rsid w:val="00341B8D"/>
    <w:rsid w:val="0035494C"/>
    <w:rsid w:val="00356EC8"/>
    <w:rsid w:val="00357655"/>
    <w:rsid w:val="00357863"/>
    <w:rsid w:val="00357F15"/>
    <w:rsid w:val="00360DB7"/>
    <w:rsid w:val="00362E3C"/>
    <w:rsid w:val="003666F7"/>
    <w:rsid w:val="00366BD6"/>
    <w:rsid w:val="00377447"/>
    <w:rsid w:val="00377DDC"/>
    <w:rsid w:val="00390ED8"/>
    <w:rsid w:val="00391DF6"/>
    <w:rsid w:val="003A36BC"/>
    <w:rsid w:val="003A3BBE"/>
    <w:rsid w:val="003A44C4"/>
    <w:rsid w:val="003A635B"/>
    <w:rsid w:val="003A65C1"/>
    <w:rsid w:val="003B06E1"/>
    <w:rsid w:val="003B62CA"/>
    <w:rsid w:val="003C198C"/>
    <w:rsid w:val="003C1F21"/>
    <w:rsid w:val="003C3EBB"/>
    <w:rsid w:val="003C5F3C"/>
    <w:rsid w:val="003D10CC"/>
    <w:rsid w:val="003D567D"/>
    <w:rsid w:val="003E1C5B"/>
    <w:rsid w:val="003F2BCB"/>
    <w:rsid w:val="003F66F0"/>
    <w:rsid w:val="00401018"/>
    <w:rsid w:val="00402F09"/>
    <w:rsid w:val="00403843"/>
    <w:rsid w:val="00404BDE"/>
    <w:rsid w:val="004105B9"/>
    <w:rsid w:val="00410974"/>
    <w:rsid w:val="00411E90"/>
    <w:rsid w:val="00412B32"/>
    <w:rsid w:val="004144F4"/>
    <w:rsid w:val="0041473D"/>
    <w:rsid w:val="004163BE"/>
    <w:rsid w:val="004247B2"/>
    <w:rsid w:val="004276F2"/>
    <w:rsid w:val="00432AED"/>
    <w:rsid w:val="004337BE"/>
    <w:rsid w:val="0043655E"/>
    <w:rsid w:val="00440AE2"/>
    <w:rsid w:val="00441A4C"/>
    <w:rsid w:val="0044215F"/>
    <w:rsid w:val="00443183"/>
    <w:rsid w:val="0044616F"/>
    <w:rsid w:val="00455A9A"/>
    <w:rsid w:val="004608EE"/>
    <w:rsid w:val="00462736"/>
    <w:rsid w:val="0046529F"/>
    <w:rsid w:val="004671E4"/>
    <w:rsid w:val="004704D6"/>
    <w:rsid w:val="004719CB"/>
    <w:rsid w:val="00475318"/>
    <w:rsid w:val="004765C0"/>
    <w:rsid w:val="004828BD"/>
    <w:rsid w:val="00487B10"/>
    <w:rsid w:val="0049056D"/>
    <w:rsid w:val="00493849"/>
    <w:rsid w:val="00495CA3"/>
    <w:rsid w:val="004A4F98"/>
    <w:rsid w:val="004B1E7C"/>
    <w:rsid w:val="004B30DD"/>
    <w:rsid w:val="004B55E9"/>
    <w:rsid w:val="004B7ABB"/>
    <w:rsid w:val="004C0539"/>
    <w:rsid w:val="004C37A4"/>
    <w:rsid w:val="004C7DF8"/>
    <w:rsid w:val="004E1462"/>
    <w:rsid w:val="004E2020"/>
    <w:rsid w:val="004E2614"/>
    <w:rsid w:val="004E3DD2"/>
    <w:rsid w:val="004E42D0"/>
    <w:rsid w:val="004E554C"/>
    <w:rsid w:val="004E671A"/>
    <w:rsid w:val="004F4849"/>
    <w:rsid w:val="004F7BE4"/>
    <w:rsid w:val="004F7E0D"/>
    <w:rsid w:val="0050054E"/>
    <w:rsid w:val="005049F9"/>
    <w:rsid w:val="00504D95"/>
    <w:rsid w:val="00504EEF"/>
    <w:rsid w:val="005079D7"/>
    <w:rsid w:val="005102A3"/>
    <w:rsid w:val="00511D67"/>
    <w:rsid w:val="00513795"/>
    <w:rsid w:val="005156FC"/>
    <w:rsid w:val="00522265"/>
    <w:rsid w:val="005301C7"/>
    <w:rsid w:val="00530598"/>
    <w:rsid w:val="005408F1"/>
    <w:rsid w:val="0054152C"/>
    <w:rsid w:val="00546FE1"/>
    <w:rsid w:val="005477DB"/>
    <w:rsid w:val="00552737"/>
    <w:rsid w:val="0056032B"/>
    <w:rsid w:val="00566937"/>
    <w:rsid w:val="0057294C"/>
    <w:rsid w:val="00576B17"/>
    <w:rsid w:val="00581C5B"/>
    <w:rsid w:val="005909C7"/>
    <w:rsid w:val="00591B7A"/>
    <w:rsid w:val="00595DFE"/>
    <w:rsid w:val="005A0F16"/>
    <w:rsid w:val="005A28DE"/>
    <w:rsid w:val="005A3BF6"/>
    <w:rsid w:val="005A3DE0"/>
    <w:rsid w:val="005A4427"/>
    <w:rsid w:val="005A4D45"/>
    <w:rsid w:val="005A7E84"/>
    <w:rsid w:val="005B202B"/>
    <w:rsid w:val="005B29BD"/>
    <w:rsid w:val="005B5E07"/>
    <w:rsid w:val="005C6B31"/>
    <w:rsid w:val="005C7E79"/>
    <w:rsid w:val="005E12C4"/>
    <w:rsid w:val="005E37F7"/>
    <w:rsid w:val="005E46F3"/>
    <w:rsid w:val="005E4F0A"/>
    <w:rsid w:val="005F0D2C"/>
    <w:rsid w:val="005F1D1C"/>
    <w:rsid w:val="005F417F"/>
    <w:rsid w:val="00600CEB"/>
    <w:rsid w:val="006015C5"/>
    <w:rsid w:val="00604C5B"/>
    <w:rsid w:val="00613F18"/>
    <w:rsid w:val="00615DCF"/>
    <w:rsid w:val="006205ED"/>
    <w:rsid w:val="006218D9"/>
    <w:rsid w:val="00622324"/>
    <w:rsid w:val="006249C1"/>
    <w:rsid w:val="00632D10"/>
    <w:rsid w:val="00634AA6"/>
    <w:rsid w:val="00637514"/>
    <w:rsid w:val="00637EB9"/>
    <w:rsid w:val="00643262"/>
    <w:rsid w:val="0064653E"/>
    <w:rsid w:val="0065083C"/>
    <w:rsid w:val="0065157D"/>
    <w:rsid w:val="00657FD1"/>
    <w:rsid w:val="006608E4"/>
    <w:rsid w:val="00662AC8"/>
    <w:rsid w:val="0066652D"/>
    <w:rsid w:val="0066692C"/>
    <w:rsid w:val="006669E7"/>
    <w:rsid w:val="00677751"/>
    <w:rsid w:val="00683281"/>
    <w:rsid w:val="00683626"/>
    <w:rsid w:val="0069650C"/>
    <w:rsid w:val="006A094A"/>
    <w:rsid w:val="006A192C"/>
    <w:rsid w:val="006A1BD2"/>
    <w:rsid w:val="006A1F46"/>
    <w:rsid w:val="006A3A20"/>
    <w:rsid w:val="006A43FF"/>
    <w:rsid w:val="006A53FD"/>
    <w:rsid w:val="006A6DBB"/>
    <w:rsid w:val="006B30C3"/>
    <w:rsid w:val="006B3378"/>
    <w:rsid w:val="006B4E49"/>
    <w:rsid w:val="006C007E"/>
    <w:rsid w:val="006C780C"/>
    <w:rsid w:val="006D391E"/>
    <w:rsid w:val="006D5ACB"/>
    <w:rsid w:val="006E37C6"/>
    <w:rsid w:val="006E3BAF"/>
    <w:rsid w:val="006E43A3"/>
    <w:rsid w:val="006F061B"/>
    <w:rsid w:val="006F14DE"/>
    <w:rsid w:val="006F4896"/>
    <w:rsid w:val="00711F2E"/>
    <w:rsid w:val="007130A3"/>
    <w:rsid w:val="00713DEA"/>
    <w:rsid w:val="00716D19"/>
    <w:rsid w:val="007241DB"/>
    <w:rsid w:val="0072423A"/>
    <w:rsid w:val="00724845"/>
    <w:rsid w:val="00724E04"/>
    <w:rsid w:val="00725536"/>
    <w:rsid w:val="00727DC0"/>
    <w:rsid w:val="007342B8"/>
    <w:rsid w:val="0073531F"/>
    <w:rsid w:val="0074168A"/>
    <w:rsid w:val="00741878"/>
    <w:rsid w:val="007430C9"/>
    <w:rsid w:val="00750F44"/>
    <w:rsid w:val="00750FE2"/>
    <w:rsid w:val="007547F5"/>
    <w:rsid w:val="00757691"/>
    <w:rsid w:val="00762B95"/>
    <w:rsid w:val="00763BAC"/>
    <w:rsid w:val="0077330C"/>
    <w:rsid w:val="00775CC7"/>
    <w:rsid w:val="00782996"/>
    <w:rsid w:val="00786946"/>
    <w:rsid w:val="0078777D"/>
    <w:rsid w:val="00793A8D"/>
    <w:rsid w:val="007A3BE5"/>
    <w:rsid w:val="007B16C3"/>
    <w:rsid w:val="007B4F64"/>
    <w:rsid w:val="007B7D37"/>
    <w:rsid w:val="007C0D97"/>
    <w:rsid w:val="007C3065"/>
    <w:rsid w:val="007C3B7D"/>
    <w:rsid w:val="007C4C31"/>
    <w:rsid w:val="007E17A7"/>
    <w:rsid w:val="007E5B99"/>
    <w:rsid w:val="007E7476"/>
    <w:rsid w:val="007F00AD"/>
    <w:rsid w:val="008010AE"/>
    <w:rsid w:val="008024E8"/>
    <w:rsid w:val="0080296F"/>
    <w:rsid w:val="0080406B"/>
    <w:rsid w:val="0080691D"/>
    <w:rsid w:val="00823B3B"/>
    <w:rsid w:val="00826BE6"/>
    <w:rsid w:val="00831C6B"/>
    <w:rsid w:val="00831E30"/>
    <w:rsid w:val="0083420B"/>
    <w:rsid w:val="008342FE"/>
    <w:rsid w:val="0083551F"/>
    <w:rsid w:val="00835533"/>
    <w:rsid w:val="008376FA"/>
    <w:rsid w:val="00842139"/>
    <w:rsid w:val="00843D64"/>
    <w:rsid w:val="00845AFB"/>
    <w:rsid w:val="008473FB"/>
    <w:rsid w:val="00847A07"/>
    <w:rsid w:val="00851CAC"/>
    <w:rsid w:val="0085421D"/>
    <w:rsid w:val="00854D3F"/>
    <w:rsid w:val="0085790F"/>
    <w:rsid w:val="008608AC"/>
    <w:rsid w:val="00860C2A"/>
    <w:rsid w:val="008659CF"/>
    <w:rsid w:val="00867690"/>
    <w:rsid w:val="00870894"/>
    <w:rsid w:val="00875746"/>
    <w:rsid w:val="00875AB1"/>
    <w:rsid w:val="00876C4E"/>
    <w:rsid w:val="00877DE7"/>
    <w:rsid w:val="00880CE5"/>
    <w:rsid w:val="00885E6E"/>
    <w:rsid w:val="00886353"/>
    <w:rsid w:val="00886922"/>
    <w:rsid w:val="00886D02"/>
    <w:rsid w:val="00891ADC"/>
    <w:rsid w:val="00892ADE"/>
    <w:rsid w:val="00893441"/>
    <w:rsid w:val="008952DA"/>
    <w:rsid w:val="00895C54"/>
    <w:rsid w:val="00896464"/>
    <w:rsid w:val="008A03AD"/>
    <w:rsid w:val="008A17D6"/>
    <w:rsid w:val="008A48AE"/>
    <w:rsid w:val="008A613C"/>
    <w:rsid w:val="008A7FBC"/>
    <w:rsid w:val="008B01B6"/>
    <w:rsid w:val="008B247A"/>
    <w:rsid w:val="008B77A0"/>
    <w:rsid w:val="008C24EE"/>
    <w:rsid w:val="008C46C9"/>
    <w:rsid w:val="008C541E"/>
    <w:rsid w:val="008C7F9C"/>
    <w:rsid w:val="008D64A9"/>
    <w:rsid w:val="008E66A2"/>
    <w:rsid w:val="008F0B6F"/>
    <w:rsid w:val="008F15C4"/>
    <w:rsid w:val="008F3B34"/>
    <w:rsid w:val="00900BEB"/>
    <w:rsid w:val="00901444"/>
    <w:rsid w:val="00903111"/>
    <w:rsid w:val="00903C99"/>
    <w:rsid w:val="00903D8E"/>
    <w:rsid w:val="00904B72"/>
    <w:rsid w:val="00911371"/>
    <w:rsid w:val="00913946"/>
    <w:rsid w:val="00914312"/>
    <w:rsid w:val="00916407"/>
    <w:rsid w:val="009172BE"/>
    <w:rsid w:val="0092181B"/>
    <w:rsid w:val="00923971"/>
    <w:rsid w:val="009262F4"/>
    <w:rsid w:val="00927BD2"/>
    <w:rsid w:val="00933F28"/>
    <w:rsid w:val="009400D9"/>
    <w:rsid w:val="0094089C"/>
    <w:rsid w:val="009435CD"/>
    <w:rsid w:val="0095067F"/>
    <w:rsid w:val="00955E58"/>
    <w:rsid w:val="0095773B"/>
    <w:rsid w:val="00957E98"/>
    <w:rsid w:val="009600E6"/>
    <w:rsid w:val="00964580"/>
    <w:rsid w:val="0097450F"/>
    <w:rsid w:val="00975649"/>
    <w:rsid w:val="0099366F"/>
    <w:rsid w:val="00994F92"/>
    <w:rsid w:val="00995675"/>
    <w:rsid w:val="00997187"/>
    <w:rsid w:val="009973BE"/>
    <w:rsid w:val="009A2DA4"/>
    <w:rsid w:val="009A4206"/>
    <w:rsid w:val="009A54B0"/>
    <w:rsid w:val="009B0C0A"/>
    <w:rsid w:val="009B1B04"/>
    <w:rsid w:val="009C124D"/>
    <w:rsid w:val="009C4524"/>
    <w:rsid w:val="009C6E5A"/>
    <w:rsid w:val="009C71DD"/>
    <w:rsid w:val="009D0EBF"/>
    <w:rsid w:val="009D12C7"/>
    <w:rsid w:val="009D1D80"/>
    <w:rsid w:val="009D6158"/>
    <w:rsid w:val="009E2E6F"/>
    <w:rsid w:val="009E6208"/>
    <w:rsid w:val="009F0177"/>
    <w:rsid w:val="009F0A9F"/>
    <w:rsid w:val="009F6E84"/>
    <w:rsid w:val="00A02E4C"/>
    <w:rsid w:val="00A224FB"/>
    <w:rsid w:val="00A2485F"/>
    <w:rsid w:val="00A3735F"/>
    <w:rsid w:val="00A37AA0"/>
    <w:rsid w:val="00A37EEE"/>
    <w:rsid w:val="00A4209C"/>
    <w:rsid w:val="00A437EC"/>
    <w:rsid w:val="00A46A13"/>
    <w:rsid w:val="00A5389D"/>
    <w:rsid w:val="00A54A62"/>
    <w:rsid w:val="00A57090"/>
    <w:rsid w:val="00A624DB"/>
    <w:rsid w:val="00A63741"/>
    <w:rsid w:val="00A64FEF"/>
    <w:rsid w:val="00A655A3"/>
    <w:rsid w:val="00A74B4D"/>
    <w:rsid w:val="00A82D03"/>
    <w:rsid w:val="00A8326E"/>
    <w:rsid w:val="00A83937"/>
    <w:rsid w:val="00A9135C"/>
    <w:rsid w:val="00A94483"/>
    <w:rsid w:val="00A946E0"/>
    <w:rsid w:val="00A94EA4"/>
    <w:rsid w:val="00A97FAC"/>
    <w:rsid w:val="00AA1794"/>
    <w:rsid w:val="00AA6DB8"/>
    <w:rsid w:val="00AB176B"/>
    <w:rsid w:val="00AB17D9"/>
    <w:rsid w:val="00AB3A72"/>
    <w:rsid w:val="00AB78A0"/>
    <w:rsid w:val="00AC2A83"/>
    <w:rsid w:val="00AC6256"/>
    <w:rsid w:val="00AC635C"/>
    <w:rsid w:val="00AC6777"/>
    <w:rsid w:val="00AD7227"/>
    <w:rsid w:val="00AE0DB4"/>
    <w:rsid w:val="00AE3481"/>
    <w:rsid w:val="00AE6C02"/>
    <w:rsid w:val="00AF0562"/>
    <w:rsid w:val="00AF3C23"/>
    <w:rsid w:val="00AF5765"/>
    <w:rsid w:val="00B00118"/>
    <w:rsid w:val="00B029CA"/>
    <w:rsid w:val="00B1799C"/>
    <w:rsid w:val="00B20531"/>
    <w:rsid w:val="00B21544"/>
    <w:rsid w:val="00B2480A"/>
    <w:rsid w:val="00B257BD"/>
    <w:rsid w:val="00B304FC"/>
    <w:rsid w:val="00B33DFA"/>
    <w:rsid w:val="00B40FFA"/>
    <w:rsid w:val="00B5689C"/>
    <w:rsid w:val="00B67297"/>
    <w:rsid w:val="00B710F4"/>
    <w:rsid w:val="00B71610"/>
    <w:rsid w:val="00B71D8D"/>
    <w:rsid w:val="00B71E4B"/>
    <w:rsid w:val="00B734B3"/>
    <w:rsid w:val="00B77F68"/>
    <w:rsid w:val="00B814C6"/>
    <w:rsid w:val="00B8177F"/>
    <w:rsid w:val="00B81CDF"/>
    <w:rsid w:val="00B82360"/>
    <w:rsid w:val="00B91D46"/>
    <w:rsid w:val="00B92C87"/>
    <w:rsid w:val="00B93197"/>
    <w:rsid w:val="00B934D1"/>
    <w:rsid w:val="00B93BB7"/>
    <w:rsid w:val="00B9427F"/>
    <w:rsid w:val="00BA26DD"/>
    <w:rsid w:val="00BA43FA"/>
    <w:rsid w:val="00BA4A74"/>
    <w:rsid w:val="00BA7962"/>
    <w:rsid w:val="00BC48E5"/>
    <w:rsid w:val="00BC5524"/>
    <w:rsid w:val="00BC632D"/>
    <w:rsid w:val="00BD6167"/>
    <w:rsid w:val="00BD7406"/>
    <w:rsid w:val="00BE3354"/>
    <w:rsid w:val="00BF47A2"/>
    <w:rsid w:val="00C03D6F"/>
    <w:rsid w:val="00C06EEA"/>
    <w:rsid w:val="00C1211F"/>
    <w:rsid w:val="00C17AE6"/>
    <w:rsid w:val="00C17F6E"/>
    <w:rsid w:val="00C22CF5"/>
    <w:rsid w:val="00C24647"/>
    <w:rsid w:val="00C26F20"/>
    <w:rsid w:val="00C35914"/>
    <w:rsid w:val="00C40067"/>
    <w:rsid w:val="00C400E0"/>
    <w:rsid w:val="00C4392C"/>
    <w:rsid w:val="00C45BED"/>
    <w:rsid w:val="00C52124"/>
    <w:rsid w:val="00C55B78"/>
    <w:rsid w:val="00C57FD3"/>
    <w:rsid w:val="00C62644"/>
    <w:rsid w:val="00C65140"/>
    <w:rsid w:val="00C722E3"/>
    <w:rsid w:val="00C728B4"/>
    <w:rsid w:val="00C76AFB"/>
    <w:rsid w:val="00C84606"/>
    <w:rsid w:val="00C85265"/>
    <w:rsid w:val="00C92158"/>
    <w:rsid w:val="00C93D0B"/>
    <w:rsid w:val="00CA088E"/>
    <w:rsid w:val="00CA1DCF"/>
    <w:rsid w:val="00CA7E21"/>
    <w:rsid w:val="00CB01BC"/>
    <w:rsid w:val="00CB1810"/>
    <w:rsid w:val="00CB3274"/>
    <w:rsid w:val="00CB6892"/>
    <w:rsid w:val="00CB7D39"/>
    <w:rsid w:val="00CC0929"/>
    <w:rsid w:val="00CC2901"/>
    <w:rsid w:val="00CC2D27"/>
    <w:rsid w:val="00CC7801"/>
    <w:rsid w:val="00CD27A6"/>
    <w:rsid w:val="00CD288A"/>
    <w:rsid w:val="00CD7F02"/>
    <w:rsid w:val="00CE0D60"/>
    <w:rsid w:val="00CE4E94"/>
    <w:rsid w:val="00CE52EE"/>
    <w:rsid w:val="00CE6022"/>
    <w:rsid w:val="00CE680E"/>
    <w:rsid w:val="00CF03E2"/>
    <w:rsid w:val="00CF4E1A"/>
    <w:rsid w:val="00CF5395"/>
    <w:rsid w:val="00CF5DCE"/>
    <w:rsid w:val="00CF7BC7"/>
    <w:rsid w:val="00D03998"/>
    <w:rsid w:val="00D05081"/>
    <w:rsid w:val="00D0605E"/>
    <w:rsid w:val="00D109FB"/>
    <w:rsid w:val="00D141E4"/>
    <w:rsid w:val="00D15EC3"/>
    <w:rsid w:val="00D252D3"/>
    <w:rsid w:val="00D33EC1"/>
    <w:rsid w:val="00D3621E"/>
    <w:rsid w:val="00D36FDC"/>
    <w:rsid w:val="00D413DE"/>
    <w:rsid w:val="00D41DF3"/>
    <w:rsid w:val="00D42361"/>
    <w:rsid w:val="00D43B96"/>
    <w:rsid w:val="00D44426"/>
    <w:rsid w:val="00D45A36"/>
    <w:rsid w:val="00D45B5F"/>
    <w:rsid w:val="00D4725C"/>
    <w:rsid w:val="00D501E1"/>
    <w:rsid w:val="00D549C4"/>
    <w:rsid w:val="00D5636A"/>
    <w:rsid w:val="00D64AEA"/>
    <w:rsid w:val="00D73893"/>
    <w:rsid w:val="00D74D8E"/>
    <w:rsid w:val="00D75124"/>
    <w:rsid w:val="00D77B4E"/>
    <w:rsid w:val="00D90137"/>
    <w:rsid w:val="00D91691"/>
    <w:rsid w:val="00D95D4C"/>
    <w:rsid w:val="00D97520"/>
    <w:rsid w:val="00DA357E"/>
    <w:rsid w:val="00DA3E4F"/>
    <w:rsid w:val="00DA4C18"/>
    <w:rsid w:val="00DA5CFF"/>
    <w:rsid w:val="00DA5DBF"/>
    <w:rsid w:val="00DA5F11"/>
    <w:rsid w:val="00DB18E4"/>
    <w:rsid w:val="00DB3D94"/>
    <w:rsid w:val="00DB4A49"/>
    <w:rsid w:val="00DB64DE"/>
    <w:rsid w:val="00DC0A90"/>
    <w:rsid w:val="00DC15D8"/>
    <w:rsid w:val="00DC2DFB"/>
    <w:rsid w:val="00DC4871"/>
    <w:rsid w:val="00DC4FAF"/>
    <w:rsid w:val="00DC6106"/>
    <w:rsid w:val="00DD4F90"/>
    <w:rsid w:val="00DD524F"/>
    <w:rsid w:val="00DD7476"/>
    <w:rsid w:val="00DE1E68"/>
    <w:rsid w:val="00DE63F7"/>
    <w:rsid w:val="00DF04BF"/>
    <w:rsid w:val="00DF06E1"/>
    <w:rsid w:val="00DF0C4F"/>
    <w:rsid w:val="00DF49DA"/>
    <w:rsid w:val="00DF6761"/>
    <w:rsid w:val="00DF691E"/>
    <w:rsid w:val="00DF6971"/>
    <w:rsid w:val="00E00296"/>
    <w:rsid w:val="00E06C5F"/>
    <w:rsid w:val="00E07316"/>
    <w:rsid w:val="00E10CD2"/>
    <w:rsid w:val="00E1702F"/>
    <w:rsid w:val="00E23B18"/>
    <w:rsid w:val="00E24D12"/>
    <w:rsid w:val="00E303CC"/>
    <w:rsid w:val="00E32210"/>
    <w:rsid w:val="00E35BE4"/>
    <w:rsid w:val="00E36AC0"/>
    <w:rsid w:val="00E419FA"/>
    <w:rsid w:val="00E42053"/>
    <w:rsid w:val="00E42A10"/>
    <w:rsid w:val="00E437CA"/>
    <w:rsid w:val="00E43856"/>
    <w:rsid w:val="00E43D12"/>
    <w:rsid w:val="00E44F5C"/>
    <w:rsid w:val="00E45D21"/>
    <w:rsid w:val="00E45EE5"/>
    <w:rsid w:val="00E46C7C"/>
    <w:rsid w:val="00E532D4"/>
    <w:rsid w:val="00E55AE4"/>
    <w:rsid w:val="00E57A6A"/>
    <w:rsid w:val="00E60331"/>
    <w:rsid w:val="00E6184D"/>
    <w:rsid w:val="00E620C2"/>
    <w:rsid w:val="00E631C4"/>
    <w:rsid w:val="00E63936"/>
    <w:rsid w:val="00E64EF5"/>
    <w:rsid w:val="00E703B7"/>
    <w:rsid w:val="00E710BC"/>
    <w:rsid w:val="00E7180A"/>
    <w:rsid w:val="00E760FF"/>
    <w:rsid w:val="00E8102B"/>
    <w:rsid w:val="00E81A85"/>
    <w:rsid w:val="00E85B8A"/>
    <w:rsid w:val="00E9014E"/>
    <w:rsid w:val="00E90FF7"/>
    <w:rsid w:val="00E9394C"/>
    <w:rsid w:val="00EA477F"/>
    <w:rsid w:val="00EA5357"/>
    <w:rsid w:val="00EB0F09"/>
    <w:rsid w:val="00EB4AB7"/>
    <w:rsid w:val="00EB6417"/>
    <w:rsid w:val="00EB7440"/>
    <w:rsid w:val="00EC110A"/>
    <w:rsid w:val="00EC16CE"/>
    <w:rsid w:val="00EC2745"/>
    <w:rsid w:val="00EC2D10"/>
    <w:rsid w:val="00EC5B5C"/>
    <w:rsid w:val="00ED08B2"/>
    <w:rsid w:val="00ED11C9"/>
    <w:rsid w:val="00ED36B1"/>
    <w:rsid w:val="00ED7BE1"/>
    <w:rsid w:val="00EE0840"/>
    <w:rsid w:val="00EE1414"/>
    <w:rsid w:val="00EE2776"/>
    <w:rsid w:val="00EE6F12"/>
    <w:rsid w:val="00EF3A68"/>
    <w:rsid w:val="00F00756"/>
    <w:rsid w:val="00F033A9"/>
    <w:rsid w:val="00F05154"/>
    <w:rsid w:val="00F11A14"/>
    <w:rsid w:val="00F148CE"/>
    <w:rsid w:val="00F220C3"/>
    <w:rsid w:val="00F232FB"/>
    <w:rsid w:val="00F311E2"/>
    <w:rsid w:val="00F32700"/>
    <w:rsid w:val="00F335E0"/>
    <w:rsid w:val="00F33CFC"/>
    <w:rsid w:val="00F352B8"/>
    <w:rsid w:val="00F40121"/>
    <w:rsid w:val="00F40F57"/>
    <w:rsid w:val="00F42397"/>
    <w:rsid w:val="00F44199"/>
    <w:rsid w:val="00F47B61"/>
    <w:rsid w:val="00F47BC1"/>
    <w:rsid w:val="00F54220"/>
    <w:rsid w:val="00F57AA6"/>
    <w:rsid w:val="00F609D8"/>
    <w:rsid w:val="00F60B11"/>
    <w:rsid w:val="00F62DFD"/>
    <w:rsid w:val="00F62F8F"/>
    <w:rsid w:val="00F705A0"/>
    <w:rsid w:val="00F83246"/>
    <w:rsid w:val="00F84EDD"/>
    <w:rsid w:val="00F907C5"/>
    <w:rsid w:val="00F90DA7"/>
    <w:rsid w:val="00F91F54"/>
    <w:rsid w:val="00F941F1"/>
    <w:rsid w:val="00F95625"/>
    <w:rsid w:val="00FA391C"/>
    <w:rsid w:val="00FA54DF"/>
    <w:rsid w:val="00FA7443"/>
    <w:rsid w:val="00FB3C00"/>
    <w:rsid w:val="00FB5F9B"/>
    <w:rsid w:val="00FC1E5A"/>
    <w:rsid w:val="00FC46E1"/>
    <w:rsid w:val="00FD4655"/>
    <w:rsid w:val="00FE000F"/>
    <w:rsid w:val="00FE080F"/>
    <w:rsid w:val="00FE129C"/>
    <w:rsid w:val="00FE2100"/>
    <w:rsid w:val="00FF3530"/>
    <w:rsid w:val="00FF38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2915B8B"/>
  <w15:docId w15:val="{EC6C6A9F-A541-49D7-9B0F-D3921D3C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4C98"/>
    <w:rPr>
      <w:rFonts w:eastAsia="Times New Roman"/>
      <w:sz w:val="24"/>
      <w:szCs w:val="24"/>
      <w:lang w:val="en-CA" w:eastAsia="en-CA"/>
    </w:rPr>
  </w:style>
  <w:style w:type="paragraph" w:styleId="Heading1">
    <w:name w:val="heading 1"/>
    <w:basedOn w:val="Normal"/>
    <w:next w:val="Heading2"/>
    <w:link w:val="Heading1Char"/>
    <w:qFormat/>
    <w:rsid w:val="00916407"/>
    <w:pPr>
      <w:keepNext/>
      <w:tabs>
        <w:tab w:val="left" w:pos="720"/>
      </w:tabs>
      <w:spacing w:before="240" w:after="120"/>
      <w:jc w:val="center"/>
      <w:outlineLvl w:val="0"/>
    </w:pPr>
    <w:rPr>
      <w:b/>
      <w:caps/>
      <w:sz w:val="22"/>
    </w:rPr>
  </w:style>
  <w:style w:type="paragraph" w:styleId="Heading2">
    <w:name w:val="heading 2"/>
    <w:basedOn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pPr>
      <w:keepNext/>
      <w:numPr>
        <w:ilvl w:val="4"/>
        <w:numId w:val="5"/>
      </w:numPr>
      <w:spacing w:before="120" w:after="120"/>
      <w:outlineLvl w:val="4"/>
    </w:pPr>
    <w:rPr>
      <w:bCs/>
      <w:i/>
      <w:szCs w:val="26"/>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D90137"/>
    <w:rPr>
      <w:sz w:val="18"/>
      <w:u w:val="none"/>
      <w:vertAlign w:val="superscript"/>
    </w:rPr>
  </w:style>
  <w:style w:type="character" w:styleId="PageNumber">
    <w:name w:val="page number"/>
    <w:rPr>
      <w:rFonts w:ascii="Times New Roman" w:hAnsi="Times New Roman"/>
      <w:sz w:val="22"/>
    </w:rPr>
  </w:style>
  <w:style w:type="paragraph" w:styleId="BodyText">
    <w:name w:val="Body Text"/>
    <w:basedOn w:val="Normal"/>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pPr>
      <w:keepLines/>
      <w:spacing w:after="60"/>
      <w:ind w:firstLine="720"/>
    </w:pPr>
    <w:rPr>
      <w:sz w:val="18"/>
      <w:lang w:eastAsia="x-none"/>
    </w:rPr>
  </w:style>
  <w:style w:type="paragraph" w:styleId="BodyText2">
    <w:name w:val="Body Text 2"/>
    <w:basedOn w:val="Normal"/>
    <w:uiPriority w:val="99"/>
    <w:rPr>
      <w:i/>
      <w:iCs/>
    </w:rPr>
  </w:style>
  <w:style w:type="paragraph" w:styleId="BodyText3">
    <w:name w:val="Body Text 3"/>
    <w:basedOn w:val="Normal"/>
    <w:pPr>
      <w:jc w:val="center"/>
    </w:pPr>
    <w:rPr>
      <w:sz w:val="28"/>
    </w:rPr>
  </w:style>
  <w:style w:type="paragraph" w:styleId="BodyTextIndent2">
    <w:name w:val="Body Text Indent 2"/>
    <w:basedOn w:val="Normal"/>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pPr>
      <w:spacing w:before="120" w:after="120"/>
      <w:ind w:left="1440" w:hanging="720"/>
    </w:pPr>
  </w:style>
  <w:style w:type="character" w:styleId="EndnoteReference">
    <w:name w:val="endnote reference"/>
    <w:semiHidden/>
    <w:rPr>
      <w:vertAlign w:val="superscript"/>
    </w:rPr>
  </w:style>
  <w:style w:type="paragraph" w:styleId="Title">
    <w:name w:val="Title"/>
    <w:basedOn w:val="Normal"/>
    <w:qFormat/>
    <w:pPr>
      <w:jc w:val="center"/>
    </w:pPr>
    <w:rPr>
      <w:i/>
      <w:iCs/>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pPr>
      <w:ind w:left="284" w:right="4398" w:hanging="284"/>
    </w:pPr>
  </w:style>
  <w:style w:type="paragraph" w:customStyle="1" w:styleId="Para1">
    <w:name w:val="Para1"/>
    <w:basedOn w:val="Normal"/>
    <w:pPr>
      <w:spacing w:after="120"/>
    </w:pPr>
    <w:rPr>
      <w:snapToGrid w:val="0"/>
      <w:szCs w:val="18"/>
    </w:rPr>
  </w:style>
  <w:style w:type="paragraph" w:customStyle="1" w:styleId="para2">
    <w:name w:val="para2"/>
    <w:basedOn w:val="Normal"/>
    <w:pPr>
      <w:numPr>
        <w:numId w:val="8"/>
      </w:numPr>
      <w:spacing w:before="120" w:after="120"/>
    </w:pPr>
    <w:rPr>
      <w:szCs w:val="20"/>
    </w:rPr>
  </w:style>
  <w:style w:type="paragraph" w:customStyle="1" w:styleId="Para3">
    <w:name w:val="Para3"/>
    <w:basedOn w:val="Normal"/>
    <w:pPr>
      <w:numPr>
        <w:ilvl w:val="2"/>
        <w:numId w:val="13"/>
      </w:numPr>
      <w:tabs>
        <w:tab w:val="left" w:pos="1980"/>
      </w:tabs>
      <w:spacing w:before="80" w:after="80"/>
    </w:pPr>
    <w:rPr>
      <w:szCs w:val="20"/>
    </w:rPr>
  </w:style>
  <w:style w:type="paragraph" w:customStyle="1" w:styleId="para4">
    <w:name w:val="para4"/>
    <w:basedOn w:val="Normal"/>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pPr>
      <w:autoSpaceDE w:val="0"/>
      <w:autoSpaceDN w:val="0"/>
    </w:pPr>
  </w:style>
  <w:style w:type="paragraph" w:customStyle="1" w:styleId="HEADINGNOTFORTOC">
    <w:name w:val="HEADING (NOT FOR TOC)"/>
    <w:basedOn w:val="Heading1"/>
    <w:next w:val="Heading2"/>
  </w:style>
  <w:style w:type="paragraph" w:styleId="Subtitle">
    <w:name w:val="Subtitle"/>
    <w:basedOn w:val="Normal"/>
    <w:qFormat/>
    <w:rPr>
      <w:b/>
      <w:bCs/>
      <w:lang w:val="en-GB"/>
    </w:rPr>
  </w:style>
  <w:style w:type="character" w:styleId="Strong">
    <w:name w:val="Strong"/>
    <w:qFormat/>
    <w:rPr>
      <w:b/>
      <w:bCs/>
    </w:rPr>
  </w:style>
  <w:style w:type="paragraph" w:customStyle="1" w:styleId="Para10">
    <w:name w:val="Para 1"/>
    <w:basedOn w:val="BodyText"/>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semiHidden/>
    <w:rPr>
      <w:rFonts w:ascii="Tahoma" w:hAnsi="Tahoma" w:cs="Tahoma"/>
      <w:sz w:val="16"/>
      <w:szCs w:val="16"/>
    </w:rPr>
  </w:style>
  <w:style w:type="paragraph" w:customStyle="1" w:styleId="Paranum">
    <w:name w:val="Paranum"/>
    <w:basedOn w:val="Para1"/>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uiPriority w:val="20"/>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plain">
    <w:name w:val="Heading - plain"/>
    <w:basedOn w:val="Heading2"/>
    <w:next w:val="BodyText"/>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2noletter">
    <w:name w:val="Heading 2 (no letter)"/>
    <w:basedOn w:val="Heading2"/>
    <w:pPr>
      <w:tabs>
        <w:tab w:val="clear" w:pos="720"/>
      </w:tabs>
    </w:pPr>
  </w:style>
  <w:style w:type="character" w:customStyle="1" w:styleId="Heading2CharChar">
    <w:name w:val="Heading 2 Char Char"/>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pPr>
      <w:ind w:left="1418" w:hanging="425"/>
      <w:jc w:val="left"/>
    </w:pPr>
  </w:style>
  <w:style w:type="paragraph" w:customStyle="1" w:styleId="Heading-plain0">
    <w:name w:val="Heading-plain"/>
    <w:basedOn w:val="Normal"/>
    <w:pPr>
      <w:spacing w:before="120" w:after="120"/>
      <w:jc w:val="center"/>
      <w:outlineLvl w:val="0"/>
    </w:pPr>
    <w:rPr>
      <w:i/>
      <w:szCs w:val="20"/>
    </w:r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character" w:customStyle="1" w:styleId="Para1Char">
    <w:name w:val="Para 1 Char"/>
    <w:rPr>
      <w:rFonts w:eastAsia="MS Mincho"/>
      <w:bCs/>
      <w:iCs/>
      <w:sz w:val="22"/>
      <w:szCs w:val="22"/>
      <w:lang w:val="en-GB" w:eastAsia="en-US" w:bidi="ar-SA"/>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6"/>
      </w:numPr>
      <w:spacing w:before="240" w:after="240"/>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7"/>
      </w:numPr>
      <w:spacing w:after="120"/>
    </w:pPr>
    <w:rPr>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rFonts w:cs="Angsana New"/>
      <w:iCs/>
      <w:snapToGrid w:val="0"/>
      <w:color w:val="000000"/>
      <w:sz w:val="22"/>
      <w:szCs w:val="22"/>
      <w:lang w:val="en-US" w:eastAsia="en-US" w:bidi="ar-SA"/>
    </w:rPr>
  </w:style>
  <w:style w:type="paragraph" w:styleId="TOC2">
    <w:name w:val="toc 2"/>
    <w:basedOn w:val="Normal"/>
    <w:next w:val="Normal"/>
    <w:autoRedefine/>
    <w:semiHidden/>
    <w:pPr>
      <w:tabs>
        <w:tab w:val="left" w:pos="2700"/>
        <w:tab w:val="right" w:leader="dot" w:pos="9360"/>
      </w:tabs>
      <w:ind w:left="2160" w:right="720" w:hanging="1260"/>
    </w:pPr>
    <w:rPr>
      <w:noProof/>
      <w:szCs w:val="22"/>
    </w:rPr>
  </w:style>
  <w:style w:type="paragraph" w:styleId="TOC3">
    <w:name w:val="toc 3"/>
    <w:basedOn w:val="Normal"/>
    <w:next w:val="Normal"/>
    <w:autoRedefine/>
    <w:semiHidden/>
    <w:pPr>
      <w:ind w:left="2160" w:hanging="720"/>
    </w:pPr>
  </w:style>
  <w:style w:type="paragraph" w:styleId="TOC5">
    <w:name w:val="toc 5"/>
    <w:basedOn w:val="Normal"/>
    <w:next w:val="Normal"/>
    <w:autoRedefine/>
    <w:semiHidden/>
    <w:pPr>
      <w:ind w:left="880"/>
    </w:pPr>
  </w:style>
  <w:style w:type="character" w:customStyle="1" w:styleId="Heading1Char">
    <w:name w:val="Heading 1 Char"/>
    <w:link w:val="Heading1"/>
    <w:rsid w:val="00916407"/>
    <w:rPr>
      <w:rFonts w:eastAsia="Times New Roman"/>
      <w:b/>
      <w:caps/>
      <w:sz w:val="22"/>
      <w:szCs w:val="24"/>
      <w:lang w:val="en-CA" w:eastAsia="en-CA"/>
    </w:rPr>
  </w:style>
  <w:style w:type="numbering" w:styleId="111111">
    <w:name w:val="Outline List 2"/>
    <w:basedOn w:val="NoList"/>
    <w:pPr>
      <w:numPr>
        <w:numId w:val="11"/>
      </w:numPr>
    </w:pPr>
  </w:style>
  <w:style w:type="numbering" w:customStyle="1" w:styleId="Style2">
    <w:name w:val="Style2"/>
    <w:pPr>
      <w:numPr>
        <w:numId w:val="12"/>
      </w:numPr>
    </w:pPr>
  </w:style>
  <w:style w:type="character" w:customStyle="1" w:styleId="Heading1longmultilineChar">
    <w:name w:val="Heading 1 (long multiline) Char"/>
    <w:basedOn w:val="Heading1Char"/>
    <w:link w:val="Heading1longmultiline"/>
    <w:rPr>
      <w:rFonts w:eastAsia="Times New Roman" w:cs="Angsana New"/>
      <w:b/>
      <w:caps/>
      <w:sz w:val="22"/>
      <w:szCs w:val="24"/>
      <w:lang w:val="en-GB" w:eastAsia="en-US" w:bidi="ar-SA"/>
    </w:rPr>
  </w:style>
  <w:style w:type="paragraph" w:customStyle="1" w:styleId="ColorfulList-Accent11">
    <w:name w:val="Colorful List - Accent 11"/>
    <w:basedOn w:val="Normal"/>
    <w:uiPriority w:val="34"/>
    <w:qFormat/>
    <w:pPr>
      <w:ind w:left="720"/>
    </w:pPr>
  </w:style>
  <w:style w:type="paragraph" w:customStyle="1" w:styleId="Default">
    <w:name w:val="Default"/>
    <w:basedOn w:val="Normal"/>
    <w:pPr>
      <w:autoSpaceDE w:val="0"/>
      <w:autoSpaceDN w:val="0"/>
    </w:pPr>
    <w:rPr>
      <w:rFonts w:eastAsia="Calibri"/>
      <w:color w:val="000000"/>
      <w:lang w:val="en-US"/>
    </w:rPr>
  </w:style>
  <w:style w:type="character" w:customStyle="1" w:styleId="apple-style-span">
    <w:name w:val="apple-style-span"/>
  </w:style>
  <w:style w:type="character" w:customStyle="1" w:styleId="HeaderChar">
    <w:name w:val="Header Char"/>
    <w:link w:val="Header"/>
    <w:rPr>
      <w:rFonts w:cs="Angsana New"/>
      <w:sz w:val="22"/>
      <w:szCs w:val="24"/>
      <w:lang w:val="en-GB" w:eastAsia="en-US"/>
    </w:rPr>
  </w:style>
  <w:style w:type="character" w:customStyle="1" w:styleId="PlainTextChar">
    <w:name w:val="Plain Text Char"/>
    <w:link w:val="PlainText"/>
    <w:uiPriority w:val="99"/>
    <w:rPr>
      <w:rFonts w:ascii="Courier New" w:hAnsi="Courier New" w:cs="Courier New"/>
      <w:szCs w:val="24"/>
      <w:lang w:eastAsia="en-US"/>
    </w:rPr>
  </w:style>
  <w:style w:type="character" w:customStyle="1" w:styleId="FooterChar">
    <w:name w:val="Footer Char"/>
    <w:link w:val="Footer"/>
    <w:rPr>
      <w:rFonts w:cs="Angsana New"/>
      <w:sz w:val="22"/>
      <w:szCs w:val="24"/>
      <w:lang w:eastAsia="en-US"/>
    </w:rPr>
  </w:style>
  <w:style w:type="paragraph" w:customStyle="1" w:styleId="SubtleEmphasis1">
    <w:name w:val="Subtle Emphasis1"/>
    <w:basedOn w:val="Normal"/>
    <w:uiPriority w:val="34"/>
    <w:qFormat/>
    <w:pPr>
      <w:ind w:left="720"/>
    </w:pPr>
  </w:style>
  <w:style w:type="paragraph" w:customStyle="1" w:styleId="StyleHeading3TimesNewRomanBoldBoldNotItalicAllcaps">
    <w:name w:val="Style Heading 3 + Times New Roman Bold Bold Not Italic All caps"/>
    <w:basedOn w:val="Heading3"/>
    <w:next w:val="Heading2"/>
    <w:rPr>
      <w:rFonts w:ascii="Times New Roman Bold" w:hAnsi="Times New Roman Bold"/>
      <w:b/>
      <w:bCs/>
      <w:i w:val="0"/>
      <w:iCs w:val="0"/>
      <w:caps/>
    </w:rPr>
  </w:style>
  <w:style w:type="paragraph" w:styleId="Bibliography">
    <w:name w:val="Bibliography"/>
    <w:uiPriority w:val="1"/>
    <w:qFormat/>
    <w:rPr>
      <w:rFonts w:ascii="Calibri" w:hAnsi="Calibri"/>
      <w:sz w:val="22"/>
      <w:szCs w:val="22"/>
    </w:rPr>
  </w:style>
  <w:style w:type="paragraph" w:customStyle="1" w:styleId="Paraa">
    <w:name w:val="Para (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Pr>
      <w:rFonts w:cs="Angsana New"/>
      <w:sz w:val="18"/>
      <w:szCs w:val="24"/>
      <w:lang w:val="en-GB"/>
    </w:rPr>
  </w:style>
  <w:style w:type="character" w:customStyle="1" w:styleId="StyleFootnoteReferenceNounderlineSuperscriptKernat10pt">
    <w:name w:val="Style Footnote Reference + No underline Superscript Kern at 10 pt"/>
    <w:rPr>
      <w:kern w:val="20"/>
      <w:sz w:val="22"/>
      <w:u w:val="none"/>
      <w:vertAlign w:val="superscript"/>
    </w:rPr>
  </w:style>
  <w:style w:type="character" w:customStyle="1" w:styleId="s13">
    <w:name w:val="s13"/>
  </w:style>
  <w:style w:type="paragraph" w:customStyle="1" w:styleId="ColorfulGrid-Accent61">
    <w:name w:val="Colorful Grid - Accent 61"/>
    <w:hidden/>
    <w:uiPriority w:val="99"/>
    <w:semiHidden/>
    <w:rPr>
      <w:rFonts w:cs="Angsana New"/>
      <w:sz w:val="22"/>
      <w:szCs w:val="24"/>
      <w:lang w:val="en-GB"/>
    </w:rPr>
  </w:style>
  <w:style w:type="paragraph" w:customStyle="1" w:styleId="PlainTable21">
    <w:name w:val="Plain Table 21"/>
    <w:hidden/>
    <w:uiPriority w:val="99"/>
    <w:semiHidden/>
    <w:rPr>
      <w:rFonts w:cs="Angsana New"/>
      <w:sz w:val="22"/>
      <w:szCs w:val="24"/>
      <w:lang w:val="en-GB"/>
    </w:rPr>
  </w:style>
  <w:style w:type="paragraph" w:customStyle="1" w:styleId="PlainTable31">
    <w:name w:val="Plain Table 31"/>
    <w:basedOn w:val="Normal"/>
    <w:uiPriority w:val="34"/>
    <w:qFormat/>
    <w:pPr>
      <w:ind w:left="720"/>
    </w:pPr>
  </w:style>
  <w:style w:type="paragraph" w:customStyle="1" w:styleId="ColorfulShading-Accent31">
    <w:name w:val="Colorful Shading - Accent 31"/>
    <w:basedOn w:val="Normal"/>
    <w:uiPriority w:val="34"/>
    <w:qFormat/>
    <w:pPr>
      <w:ind w:left="720"/>
    </w:pPr>
  </w:style>
  <w:style w:type="paragraph" w:customStyle="1" w:styleId="ColorfulShading-Accent11">
    <w:name w:val="Colorful Shading - Accent 11"/>
    <w:hidden/>
    <w:uiPriority w:val="99"/>
    <w:semiHidden/>
    <w:rPr>
      <w:rFonts w:cs="Angsana New"/>
      <w:sz w:val="22"/>
      <w:szCs w:val="24"/>
      <w:lang w:val="en-GB"/>
    </w:rPr>
  </w:style>
  <w:style w:type="paragraph" w:customStyle="1" w:styleId="meetingname">
    <w:name w:val="meeting name"/>
    <w:basedOn w:val="Normal"/>
    <w:qFormat/>
    <w:pPr>
      <w:ind w:left="170" w:right="3119" w:hanging="170"/>
    </w:pPr>
    <w:rPr>
      <w:rFonts w:eastAsia="Malgun Gothic"/>
      <w:caps/>
      <w:snapToGrid w:val="0"/>
    </w:rPr>
  </w:style>
  <w:style w:type="paragraph" w:styleId="TOC9">
    <w:name w:val="toc 9"/>
    <w:basedOn w:val="Normal"/>
    <w:next w:val="Normal"/>
    <w:autoRedefine/>
    <w:pPr>
      <w:tabs>
        <w:tab w:val="num" w:pos="1440"/>
      </w:tabs>
      <w:spacing w:before="120" w:after="120"/>
      <w:ind w:left="1440" w:hanging="360"/>
    </w:pPr>
  </w:style>
  <w:style w:type="paragraph" w:customStyle="1" w:styleId="ColorfulList-Accent12">
    <w:name w:val="Colorful List - Accent 12"/>
    <w:basedOn w:val="Normal"/>
    <w:uiPriority w:val="34"/>
    <w:qFormat/>
    <w:pPr>
      <w:ind w:left="720"/>
    </w:pPr>
  </w:style>
  <w:style w:type="character" w:customStyle="1" w:styleId="CommentTextChar">
    <w:name w:val="Comment Text Char"/>
    <w:link w:val="CommentText"/>
    <w:uiPriority w:val="99"/>
    <w:rPr>
      <w:rFonts w:cs="Angsana New"/>
      <w:szCs w:val="24"/>
      <w:lang w:val="en-GB"/>
    </w:rPr>
  </w:style>
  <w:style w:type="character" w:styleId="HTMLVariable">
    <w:name w:val="HTML Variable"/>
    <w:uiPriority w:val="99"/>
    <w:unhideWhenUsed/>
    <w:rPr>
      <w:i/>
      <w:iCs/>
    </w:rPr>
  </w:style>
  <w:style w:type="paragraph" w:styleId="Revision">
    <w:name w:val="Revision"/>
    <w:hidden/>
    <w:uiPriority w:val="71"/>
    <w:rPr>
      <w:rFonts w:cs="Angsana New"/>
      <w:sz w:val="22"/>
      <w:szCs w:val="24"/>
      <w:lang w:val="en-GB"/>
    </w:rPr>
  </w:style>
  <w:style w:type="character" w:styleId="PlaceholderText">
    <w:name w:val="Placeholder Text"/>
    <w:basedOn w:val="DefaultParagraphFont"/>
    <w:uiPriority w:val="99"/>
    <w:unhideWhenUsed/>
    <w:rsid w:val="005049F9"/>
    <w:rPr>
      <w:color w:val="808080"/>
    </w:rPr>
  </w:style>
  <w:style w:type="character" w:customStyle="1" w:styleId="UnresolvedMention1">
    <w:name w:val="Unresolved Mention1"/>
    <w:basedOn w:val="DefaultParagraphFont"/>
    <w:uiPriority w:val="99"/>
    <w:semiHidden/>
    <w:unhideWhenUsed/>
    <w:rsid w:val="00916407"/>
    <w:rPr>
      <w:color w:val="808080"/>
      <w:shd w:val="clear" w:color="auto" w:fill="E6E6E6"/>
    </w:rPr>
  </w:style>
  <w:style w:type="paragraph" w:styleId="ListParagraph">
    <w:name w:val="List Paragraph"/>
    <w:basedOn w:val="Normal"/>
    <w:uiPriority w:val="34"/>
    <w:qFormat/>
    <w:rsid w:val="00683281"/>
    <w:pPr>
      <w:spacing w:after="160" w:line="259" w:lineRule="auto"/>
      <w:ind w:left="720"/>
      <w:contextualSpacing/>
    </w:pPr>
    <w:rPr>
      <w:rFonts w:asciiTheme="minorHAnsi" w:eastAsiaTheme="minorEastAsia" w:hAnsiTheme="minorHAnsi" w:cstheme="minorBidi"/>
      <w:sz w:val="22"/>
      <w:szCs w:val="22"/>
      <w:lang w:val="es-MX" w:eastAsia="en-US"/>
    </w:rPr>
  </w:style>
  <w:style w:type="paragraph" w:customStyle="1" w:styleId="recommendationheader">
    <w:name w:val="recommendation header"/>
    <w:basedOn w:val="Heading2"/>
    <w:qFormat/>
    <w:rsid w:val="004B55E9"/>
    <w:rPr>
      <w:i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163474895">
      <w:bodyDiv w:val="1"/>
      <w:marLeft w:val="0"/>
      <w:marRight w:val="0"/>
      <w:marTop w:val="0"/>
      <w:marBottom w:val="0"/>
      <w:divBdr>
        <w:top w:val="none" w:sz="0" w:space="0" w:color="auto"/>
        <w:left w:val="none" w:sz="0" w:space="0" w:color="auto"/>
        <w:bottom w:val="none" w:sz="0" w:space="0" w:color="auto"/>
        <w:right w:val="none" w:sz="0" w:space="0" w:color="auto"/>
      </w:divBdr>
    </w:div>
    <w:div w:id="195850173">
      <w:bodyDiv w:val="1"/>
      <w:marLeft w:val="0"/>
      <w:marRight w:val="0"/>
      <w:marTop w:val="0"/>
      <w:marBottom w:val="0"/>
      <w:divBdr>
        <w:top w:val="none" w:sz="0" w:space="0" w:color="auto"/>
        <w:left w:val="none" w:sz="0" w:space="0" w:color="auto"/>
        <w:bottom w:val="none" w:sz="0" w:space="0" w:color="auto"/>
        <w:right w:val="none" w:sz="0" w:space="0" w:color="auto"/>
      </w:divBdr>
    </w:div>
    <w:div w:id="214699593">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444664535">
      <w:bodyDiv w:val="1"/>
      <w:marLeft w:val="0"/>
      <w:marRight w:val="0"/>
      <w:marTop w:val="0"/>
      <w:marBottom w:val="0"/>
      <w:divBdr>
        <w:top w:val="none" w:sz="0" w:space="0" w:color="auto"/>
        <w:left w:val="none" w:sz="0" w:space="0" w:color="auto"/>
        <w:bottom w:val="none" w:sz="0" w:space="0" w:color="auto"/>
        <w:right w:val="none" w:sz="0" w:space="0" w:color="auto"/>
      </w:divBdr>
      <w:divsChild>
        <w:div w:id="441538936">
          <w:marLeft w:val="0"/>
          <w:marRight w:val="0"/>
          <w:marTop w:val="105"/>
          <w:marBottom w:val="105"/>
          <w:divBdr>
            <w:top w:val="none" w:sz="0" w:space="0" w:color="auto"/>
            <w:left w:val="none" w:sz="0" w:space="0" w:color="auto"/>
            <w:bottom w:val="none" w:sz="0" w:space="0" w:color="auto"/>
            <w:right w:val="none" w:sz="0" w:space="0" w:color="auto"/>
          </w:divBdr>
        </w:div>
        <w:div w:id="1087535836">
          <w:marLeft w:val="0"/>
          <w:marRight w:val="0"/>
          <w:marTop w:val="105"/>
          <w:marBottom w:val="105"/>
          <w:divBdr>
            <w:top w:val="none" w:sz="0" w:space="0" w:color="auto"/>
            <w:left w:val="none" w:sz="0" w:space="0" w:color="auto"/>
            <w:bottom w:val="none" w:sz="0" w:space="0" w:color="auto"/>
            <w:right w:val="none" w:sz="0" w:space="0" w:color="auto"/>
          </w:divBdr>
        </w:div>
        <w:div w:id="1716926389">
          <w:marLeft w:val="0"/>
          <w:marRight w:val="0"/>
          <w:marTop w:val="105"/>
          <w:marBottom w:val="105"/>
          <w:divBdr>
            <w:top w:val="none" w:sz="0" w:space="0" w:color="auto"/>
            <w:left w:val="none" w:sz="0" w:space="0" w:color="auto"/>
            <w:bottom w:val="none" w:sz="0" w:space="0" w:color="auto"/>
            <w:right w:val="none" w:sz="0" w:space="0" w:color="auto"/>
          </w:divBdr>
        </w:div>
        <w:div w:id="1872917196">
          <w:marLeft w:val="0"/>
          <w:marRight w:val="0"/>
          <w:marTop w:val="105"/>
          <w:marBottom w:val="105"/>
          <w:divBdr>
            <w:top w:val="none" w:sz="0" w:space="0" w:color="auto"/>
            <w:left w:val="none" w:sz="0" w:space="0" w:color="auto"/>
            <w:bottom w:val="none" w:sz="0" w:space="0" w:color="auto"/>
            <w:right w:val="none" w:sz="0" w:space="0" w:color="auto"/>
          </w:divBdr>
        </w:div>
      </w:divsChild>
    </w:div>
    <w:div w:id="547767693">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65172880">
      <w:bodyDiv w:val="1"/>
      <w:marLeft w:val="0"/>
      <w:marRight w:val="0"/>
      <w:marTop w:val="0"/>
      <w:marBottom w:val="0"/>
      <w:divBdr>
        <w:top w:val="none" w:sz="0" w:space="0" w:color="auto"/>
        <w:left w:val="none" w:sz="0" w:space="0" w:color="auto"/>
        <w:bottom w:val="none" w:sz="0" w:space="0" w:color="auto"/>
        <w:right w:val="none" w:sz="0" w:space="0" w:color="auto"/>
      </w:divBdr>
    </w:div>
    <w:div w:id="927613482">
      <w:bodyDiv w:val="1"/>
      <w:marLeft w:val="0"/>
      <w:marRight w:val="0"/>
      <w:marTop w:val="0"/>
      <w:marBottom w:val="0"/>
      <w:divBdr>
        <w:top w:val="none" w:sz="0" w:space="0" w:color="auto"/>
        <w:left w:val="none" w:sz="0" w:space="0" w:color="auto"/>
        <w:bottom w:val="none" w:sz="0" w:space="0" w:color="auto"/>
        <w:right w:val="none" w:sz="0" w:space="0" w:color="auto"/>
      </w:divBdr>
      <w:divsChild>
        <w:div w:id="99450483">
          <w:marLeft w:val="0"/>
          <w:marRight w:val="0"/>
          <w:marTop w:val="105"/>
          <w:marBottom w:val="105"/>
          <w:divBdr>
            <w:top w:val="none" w:sz="0" w:space="0" w:color="auto"/>
            <w:left w:val="none" w:sz="0" w:space="0" w:color="auto"/>
            <w:bottom w:val="none" w:sz="0" w:space="0" w:color="auto"/>
            <w:right w:val="none" w:sz="0" w:space="0" w:color="auto"/>
          </w:divBdr>
        </w:div>
      </w:divsChild>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8573105">
      <w:bodyDiv w:val="1"/>
      <w:marLeft w:val="0"/>
      <w:marRight w:val="0"/>
      <w:marTop w:val="0"/>
      <w:marBottom w:val="0"/>
      <w:divBdr>
        <w:top w:val="none" w:sz="0" w:space="0" w:color="auto"/>
        <w:left w:val="none" w:sz="0" w:space="0" w:color="auto"/>
        <w:bottom w:val="none" w:sz="0" w:space="0" w:color="auto"/>
        <w:right w:val="none" w:sz="0" w:space="0" w:color="auto"/>
      </w:divBdr>
      <w:divsChild>
        <w:div w:id="661079012">
          <w:marLeft w:val="0"/>
          <w:marRight w:val="0"/>
          <w:marTop w:val="0"/>
          <w:marBottom w:val="0"/>
          <w:divBdr>
            <w:top w:val="none" w:sz="0" w:space="0" w:color="auto"/>
            <w:left w:val="none" w:sz="0" w:space="0" w:color="auto"/>
            <w:bottom w:val="none" w:sz="0" w:space="0" w:color="auto"/>
            <w:right w:val="none" w:sz="0" w:space="0" w:color="auto"/>
          </w:divBdr>
        </w:div>
        <w:div w:id="356394619">
          <w:marLeft w:val="0"/>
          <w:marRight w:val="0"/>
          <w:marTop w:val="0"/>
          <w:marBottom w:val="0"/>
          <w:divBdr>
            <w:top w:val="none" w:sz="0" w:space="0" w:color="auto"/>
            <w:left w:val="none" w:sz="0" w:space="0" w:color="auto"/>
            <w:bottom w:val="none" w:sz="0" w:space="0" w:color="auto"/>
            <w:right w:val="none" w:sz="0" w:space="0" w:color="auto"/>
          </w:divBdr>
        </w:div>
      </w:divsChild>
    </w:div>
    <w:div w:id="1112362125">
      <w:bodyDiv w:val="1"/>
      <w:marLeft w:val="0"/>
      <w:marRight w:val="0"/>
      <w:marTop w:val="0"/>
      <w:marBottom w:val="0"/>
      <w:divBdr>
        <w:top w:val="none" w:sz="0" w:space="0" w:color="auto"/>
        <w:left w:val="none" w:sz="0" w:space="0" w:color="auto"/>
        <w:bottom w:val="none" w:sz="0" w:space="0" w:color="auto"/>
        <w:right w:val="none" w:sz="0" w:space="0" w:color="auto"/>
      </w:divBdr>
    </w:div>
    <w:div w:id="1113089538">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4302446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04025959">
      <w:bodyDiv w:val="1"/>
      <w:marLeft w:val="0"/>
      <w:marRight w:val="0"/>
      <w:marTop w:val="0"/>
      <w:marBottom w:val="0"/>
      <w:divBdr>
        <w:top w:val="none" w:sz="0" w:space="0" w:color="auto"/>
        <w:left w:val="none" w:sz="0" w:space="0" w:color="auto"/>
        <w:bottom w:val="none" w:sz="0" w:space="0" w:color="auto"/>
        <w:right w:val="none" w:sz="0" w:space="0" w:color="auto"/>
      </w:divBdr>
      <w:divsChild>
        <w:div w:id="991759366">
          <w:marLeft w:val="0"/>
          <w:marRight w:val="0"/>
          <w:marTop w:val="0"/>
          <w:marBottom w:val="0"/>
          <w:divBdr>
            <w:top w:val="none" w:sz="0" w:space="0" w:color="auto"/>
            <w:left w:val="none" w:sz="0" w:space="0" w:color="auto"/>
            <w:bottom w:val="none" w:sz="0" w:space="0" w:color="auto"/>
            <w:right w:val="none" w:sz="0" w:space="0" w:color="auto"/>
          </w:divBdr>
        </w:div>
        <w:div w:id="1451121102">
          <w:marLeft w:val="0"/>
          <w:marRight w:val="0"/>
          <w:marTop w:val="0"/>
          <w:marBottom w:val="0"/>
          <w:divBdr>
            <w:top w:val="none" w:sz="0" w:space="0" w:color="auto"/>
            <w:left w:val="none" w:sz="0" w:space="0" w:color="auto"/>
            <w:bottom w:val="none" w:sz="0" w:space="0" w:color="auto"/>
            <w:right w:val="none" w:sz="0" w:space="0" w:color="auto"/>
          </w:divBdr>
        </w:div>
      </w:divsChild>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695420229">
      <w:bodyDiv w:val="1"/>
      <w:marLeft w:val="0"/>
      <w:marRight w:val="0"/>
      <w:marTop w:val="0"/>
      <w:marBottom w:val="0"/>
      <w:divBdr>
        <w:top w:val="none" w:sz="0" w:space="0" w:color="auto"/>
        <w:left w:val="none" w:sz="0" w:space="0" w:color="auto"/>
        <w:bottom w:val="none" w:sz="0" w:space="0" w:color="auto"/>
        <w:right w:val="none" w:sz="0" w:space="0" w:color="auto"/>
      </w:divBdr>
      <w:divsChild>
        <w:div w:id="1932003135">
          <w:marLeft w:val="0"/>
          <w:marRight w:val="0"/>
          <w:marTop w:val="0"/>
          <w:marBottom w:val="0"/>
          <w:divBdr>
            <w:top w:val="none" w:sz="0" w:space="0" w:color="auto"/>
            <w:left w:val="none" w:sz="0" w:space="0" w:color="auto"/>
            <w:bottom w:val="none" w:sz="0" w:space="0" w:color="auto"/>
            <w:right w:val="none" w:sz="0" w:space="0" w:color="auto"/>
          </w:divBdr>
        </w:div>
        <w:div w:id="327250426">
          <w:marLeft w:val="0"/>
          <w:marRight w:val="0"/>
          <w:marTop w:val="0"/>
          <w:marBottom w:val="0"/>
          <w:divBdr>
            <w:top w:val="none" w:sz="0" w:space="0" w:color="auto"/>
            <w:left w:val="none" w:sz="0" w:space="0" w:color="auto"/>
            <w:bottom w:val="none" w:sz="0" w:space="0" w:color="auto"/>
            <w:right w:val="none" w:sz="0" w:space="0" w:color="auto"/>
          </w:divBdr>
        </w:div>
        <w:div w:id="868757960">
          <w:marLeft w:val="0"/>
          <w:marRight w:val="0"/>
          <w:marTop w:val="0"/>
          <w:marBottom w:val="0"/>
          <w:divBdr>
            <w:top w:val="none" w:sz="0" w:space="0" w:color="auto"/>
            <w:left w:val="none" w:sz="0" w:space="0" w:color="auto"/>
            <w:bottom w:val="none" w:sz="0" w:space="0" w:color="auto"/>
            <w:right w:val="none" w:sz="0" w:space="0" w:color="auto"/>
          </w:divBdr>
        </w:div>
        <w:div w:id="1668824808">
          <w:marLeft w:val="0"/>
          <w:marRight w:val="0"/>
          <w:marTop w:val="0"/>
          <w:marBottom w:val="0"/>
          <w:divBdr>
            <w:top w:val="none" w:sz="0" w:space="0" w:color="auto"/>
            <w:left w:val="none" w:sz="0" w:space="0" w:color="auto"/>
            <w:bottom w:val="none" w:sz="0" w:space="0" w:color="auto"/>
            <w:right w:val="none" w:sz="0" w:space="0" w:color="auto"/>
          </w:divBdr>
        </w:div>
      </w:divsChild>
    </w:div>
    <w:div w:id="1696231292">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9599">
      <w:bodyDiv w:val="1"/>
      <w:marLeft w:val="0"/>
      <w:marRight w:val="0"/>
      <w:marTop w:val="0"/>
      <w:marBottom w:val="0"/>
      <w:divBdr>
        <w:top w:val="none" w:sz="0" w:space="0" w:color="auto"/>
        <w:left w:val="none" w:sz="0" w:space="0" w:color="auto"/>
        <w:bottom w:val="none" w:sz="0" w:space="0" w:color="auto"/>
        <w:right w:val="none" w:sz="0" w:space="0" w:color="auto"/>
      </w:divBdr>
      <w:divsChild>
        <w:div w:id="1490511402">
          <w:marLeft w:val="0"/>
          <w:marRight w:val="0"/>
          <w:marTop w:val="105"/>
          <w:marBottom w:val="105"/>
          <w:divBdr>
            <w:top w:val="none" w:sz="0" w:space="0" w:color="auto"/>
            <w:left w:val="none" w:sz="0" w:space="0" w:color="auto"/>
            <w:bottom w:val="none" w:sz="0" w:space="0" w:color="auto"/>
            <w:right w:val="none" w:sz="0" w:space="0" w:color="auto"/>
          </w:divBdr>
        </w:div>
        <w:div w:id="2083674381">
          <w:marLeft w:val="0"/>
          <w:marRight w:val="0"/>
          <w:marTop w:val="105"/>
          <w:marBottom w:val="105"/>
          <w:divBdr>
            <w:top w:val="none" w:sz="0" w:space="0" w:color="auto"/>
            <w:left w:val="none" w:sz="0" w:space="0" w:color="auto"/>
            <w:bottom w:val="none" w:sz="0" w:space="0" w:color="auto"/>
            <w:right w:val="none" w:sz="0" w:space="0" w:color="auto"/>
          </w:divBdr>
        </w:div>
      </w:divsChild>
    </w:div>
    <w:div w:id="1865092679">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38122722">
      <w:bodyDiv w:val="1"/>
      <w:marLeft w:val="0"/>
      <w:marRight w:val="0"/>
      <w:marTop w:val="0"/>
      <w:marBottom w:val="0"/>
      <w:divBdr>
        <w:top w:val="none" w:sz="0" w:space="0" w:color="auto"/>
        <w:left w:val="none" w:sz="0" w:space="0" w:color="auto"/>
        <w:bottom w:val="none" w:sz="0" w:space="0" w:color="auto"/>
        <w:right w:val="none" w:sz="0" w:space="0" w:color="auto"/>
      </w:divBdr>
    </w:div>
    <w:div w:id="2043628380">
      <w:bodyDiv w:val="1"/>
      <w:marLeft w:val="0"/>
      <w:marRight w:val="0"/>
      <w:marTop w:val="0"/>
      <w:marBottom w:val="0"/>
      <w:divBdr>
        <w:top w:val="none" w:sz="0" w:space="0" w:color="auto"/>
        <w:left w:val="none" w:sz="0" w:space="0" w:color="auto"/>
        <w:bottom w:val="none" w:sz="0" w:space="0" w:color="auto"/>
        <w:right w:val="none" w:sz="0" w:space="0" w:color="auto"/>
      </w:divBdr>
    </w:div>
    <w:div w:id="2049143447">
      <w:bodyDiv w:val="1"/>
      <w:marLeft w:val="0"/>
      <w:marRight w:val="0"/>
      <w:marTop w:val="0"/>
      <w:marBottom w:val="0"/>
      <w:divBdr>
        <w:top w:val="none" w:sz="0" w:space="0" w:color="auto"/>
        <w:left w:val="none" w:sz="0" w:space="0" w:color="auto"/>
        <w:bottom w:val="none" w:sz="0" w:space="0" w:color="auto"/>
        <w:right w:val="none" w:sz="0" w:space="0" w:color="auto"/>
      </w:divBdr>
      <w:divsChild>
        <w:div w:id="392122930">
          <w:marLeft w:val="0"/>
          <w:marRight w:val="0"/>
          <w:marTop w:val="105"/>
          <w:marBottom w:val="105"/>
          <w:divBdr>
            <w:top w:val="none" w:sz="0" w:space="0" w:color="auto"/>
            <w:left w:val="none" w:sz="0" w:space="0" w:color="auto"/>
            <w:bottom w:val="none" w:sz="0" w:space="0" w:color="auto"/>
            <w:right w:val="none" w:sz="0" w:space="0" w:color="auto"/>
          </w:divBdr>
        </w:div>
        <w:div w:id="663243170">
          <w:marLeft w:val="0"/>
          <w:marRight w:val="0"/>
          <w:marTop w:val="105"/>
          <w:marBottom w:val="105"/>
          <w:divBdr>
            <w:top w:val="none" w:sz="0" w:space="0" w:color="auto"/>
            <w:left w:val="none" w:sz="0" w:space="0" w:color="auto"/>
            <w:bottom w:val="none" w:sz="0" w:space="0" w:color="auto"/>
            <w:right w:val="none" w:sz="0" w:space="0" w:color="auto"/>
          </w:divBdr>
        </w:div>
        <w:div w:id="1526751296">
          <w:marLeft w:val="0"/>
          <w:marRight w:val="0"/>
          <w:marTop w:val="105"/>
          <w:marBottom w:val="105"/>
          <w:divBdr>
            <w:top w:val="none" w:sz="0" w:space="0" w:color="auto"/>
            <w:left w:val="none" w:sz="0" w:space="0" w:color="auto"/>
            <w:bottom w:val="none" w:sz="0" w:space="0" w:color="auto"/>
            <w:right w:val="none" w:sz="0" w:space="0" w:color="auto"/>
          </w:divBdr>
        </w:div>
        <w:div w:id="1957522078">
          <w:marLeft w:val="0"/>
          <w:marRight w:val="0"/>
          <w:marTop w:val="105"/>
          <w:marBottom w:val="105"/>
          <w:divBdr>
            <w:top w:val="none" w:sz="0" w:space="0" w:color="auto"/>
            <w:left w:val="none" w:sz="0" w:space="0" w:color="auto"/>
            <w:bottom w:val="none" w:sz="0" w:space="0" w:color="auto"/>
            <w:right w:val="none" w:sz="0" w:space="0" w:color="auto"/>
          </w:divBdr>
        </w:div>
      </w:divsChild>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062168343">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5E0BFB24D040BE8E39C9FC7FC3D9A6"/>
        <w:category>
          <w:name w:val="General"/>
          <w:gallery w:val="placeholder"/>
        </w:category>
        <w:types>
          <w:type w:val="bbPlcHdr"/>
        </w:types>
        <w:behaviors>
          <w:behavior w:val="content"/>
        </w:behaviors>
        <w:guid w:val="{68FC584D-38B9-4680-B7F8-E8EE6C12006D}"/>
      </w:docPartPr>
      <w:docPartBody>
        <w:p w:rsidR="006E31DE" w:rsidRDefault="00B27726">
          <w:r w:rsidRPr="002164F1">
            <w:rPr>
              <w:rStyle w:val="PlaceholderText"/>
            </w:rPr>
            <w:t>[Subject]</w:t>
          </w:r>
        </w:p>
      </w:docPartBody>
    </w:docPart>
    <w:docPart>
      <w:docPartPr>
        <w:name w:val="093A8C50E2524E1EA3F81D05E764C340"/>
        <w:category>
          <w:name w:val="General"/>
          <w:gallery w:val="placeholder"/>
        </w:category>
        <w:types>
          <w:type w:val="bbPlcHdr"/>
        </w:types>
        <w:behaviors>
          <w:behavior w:val="content"/>
        </w:behaviors>
        <w:guid w:val="{7E7316F5-888E-400E-9317-B1344A85A220}"/>
      </w:docPartPr>
      <w:docPartBody>
        <w:p w:rsidR="006D10CD" w:rsidRDefault="000C57C5" w:rsidP="000C57C5">
          <w:pPr>
            <w:pStyle w:val="093A8C50E2524E1EA3F81D05E764C340"/>
          </w:pPr>
          <w:r>
            <w:rPr>
              <w:rStyle w:val="PlaceholderText"/>
            </w:rPr>
            <w:t>Click here to enter text.</w:t>
          </w:r>
        </w:p>
      </w:docPartBody>
    </w:docPart>
    <w:docPart>
      <w:docPartPr>
        <w:name w:val="3E531BDDB532487AAEFD414D3AE04FAE"/>
        <w:category>
          <w:name w:val="General"/>
          <w:gallery w:val="placeholder"/>
        </w:category>
        <w:types>
          <w:type w:val="bbPlcHdr"/>
        </w:types>
        <w:behaviors>
          <w:behavior w:val="content"/>
        </w:behaviors>
        <w:guid w:val="{F8D4F414-C0DD-40DA-91F3-48E374B97938}"/>
      </w:docPartPr>
      <w:docPartBody>
        <w:p w:rsidR="006D10CD" w:rsidRDefault="000C57C5" w:rsidP="000C57C5">
          <w:pPr>
            <w:pStyle w:val="3E531BDDB532487AAEFD414D3AE04FAE"/>
          </w:pPr>
          <w:r w:rsidRPr="007E02EB">
            <w:rPr>
              <w:rStyle w:val="PlaceholderText"/>
            </w:rPr>
            <w:t>[Title]</w:t>
          </w:r>
        </w:p>
      </w:docPartBody>
    </w:docPart>
    <w:docPart>
      <w:docPartPr>
        <w:name w:val="72468469EFA643DD9C0D67A52B31904D"/>
        <w:category>
          <w:name w:val="Général"/>
          <w:gallery w:val="placeholder"/>
        </w:category>
        <w:types>
          <w:type w:val="bbPlcHdr"/>
        </w:types>
        <w:behaviors>
          <w:behavior w:val="content"/>
        </w:behaviors>
        <w:guid w:val="{6805A68C-B18D-4A53-87FD-7EF10B7746E7}"/>
      </w:docPartPr>
      <w:docPartBody>
        <w:p w:rsidR="003E033A" w:rsidRDefault="007B2654" w:rsidP="007B2654">
          <w:pPr>
            <w:pStyle w:val="72468469EFA643DD9C0D67A52B31904D"/>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26"/>
    <w:rsid w:val="000C57C5"/>
    <w:rsid w:val="003E033A"/>
    <w:rsid w:val="003F0DA4"/>
    <w:rsid w:val="00664B9D"/>
    <w:rsid w:val="006D10CD"/>
    <w:rsid w:val="006E31DE"/>
    <w:rsid w:val="00715F5F"/>
    <w:rsid w:val="007B2654"/>
    <w:rsid w:val="009129BE"/>
    <w:rsid w:val="00953F21"/>
    <w:rsid w:val="00B27726"/>
    <w:rsid w:val="00F941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2654"/>
    <w:rPr>
      <w:color w:val="808080"/>
    </w:rPr>
  </w:style>
  <w:style w:type="paragraph" w:customStyle="1" w:styleId="28217CB2D2A740A6814BC69E087D1725">
    <w:name w:val="28217CB2D2A740A6814BC69E087D1725"/>
    <w:rsid w:val="000C57C5"/>
  </w:style>
  <w:style w:type="paragraph" w:customStyle="1" w:styleId="9EC020A10181481FA9DAA2BD269432F3">
    <w:name w:val="9EC020A10181481FA9DAA2BD269432F3"/>
    <w:rsid w:val="000C57C5"/>
  </w:style>
  <w:style w:type="paragraph" w:customStyle="1" w:styleId="F50E33719EAC4FA3BC3E8BA337C0CDD5">
    <w:name w:val="F50E33719EAC4FA3BC3E8BA337C0CDD5"/>
    <w:rsid w:val="000C57C5"/>
  </w:style>
  <w:style w:type="paragraph" w:customStyle="1" w:styleId="509B4566E79144F792A9BD3C8FA727FA">
    <w:name w:val="509B4566E79144F792A9BD3C8FA727FA"/>
    <w:rsid w:val="000C57C5"/>
  </w:style>
  <w:style w:type="paragraph" w:customStyle="1" w:styleId="093A8C50E2524E1EA3F81D05E764C340">
    <w:name w:val="093A8C50E2524E1EA3F81D05E764C340"/>
    <w:rsid w:val="000C57C5"/>
  </w:style>
  <w:style w:type="paragraph" w:customStyle="1" w:styleId="3E531BDDB532487AAEFD414D3AE04FAE">
    <w:name w:val="3E531BDDB532487AAEFD414D3AE04FAE"/>
    <w:rsid w:val="000C57C5"/>
  </w:style>
  <w:style w:type="paragraph" w:customStyle="1" w:styleId="72468469EFA643DD9C0D67A52B31904D">
    <w:name w:val="72468469EFA643DD9C0D67A52B31904D"/>
    <w:rsid w:val="007B2654"/>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1BF15-5FB4-4A1C-8586-DFE1E1F1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1357</Words>
  <Characters>7738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ADOPTÉE PAR L’ORGANE SUBSIDIAIRE CHARGÉ DE L’APPLICATION</vt:lpstr>
      <vt:lpstr>RAPPORTS NATIONAUX ÉTABLIS AU TITRE DE LA CONVENTION ET DE SES PROTOCOLES</vt:lpstr>
    </vt:vector>
  </TitlesOfParts>
  <Company>SCBD</Company>
  <LinksUpToDate>false</LinksUpToDate>
  <CharactersWithSpaces>9077</CharactersWithSpaces>
  <SharedDoc>false</SharedDoc>
  <HLinks>
    <vt:vector size="30" baseType="variant">
      <vt:variant>
        <vt:i4>4194389</vt:i4>
      </vt:variant>
      <vt:variant>
        <vt:i4>0</vt:i4>
      </vt:variant>
      <vt:variant>
        <vt:i4>0</vt:i4>
      </vt:variant>
      <vt:variant>
        <vt:i4>5</vt:i4>
      </vt:variant>
      <vt:variant>
        <vt:lpwstr>http://www.informea.org/</vt:lpwstr>
      </vt:variant>
      <vt:variant>
        <vt:lpwstr/>
      </vt:variant>
      <vt:variant>
        <vt:i4>131102</vt:i4>
      </vt:variant>
      <vt:variant>
        <vt:i4>9</vt:i4>
      </vt:variant>
      <vt:variant>
        <vt:i4>0</vt:i4>
      </vt:variant>
      <vt:variant>
        <vt:i4>5</vt:i4>
      </vt:variant>
      <vt:variant>
        <vt:lpwstr>https://www.cbd.int/doc/reports/jlg-12-report-en.pdf</vt:lpwstr>
      </vt:variant>
      <vt:variant>
        <vt:lpwstr/>
      </vt:variant>
      <vt:variant>
        <vt:i4>2359405</vt:i4>
      </vt:variant>
      <vt:variant>
        <vt:i4>6</vt:i4>
      </vt:variant>
      <vt:variant>
        <vt:i4>0</vt:i4>
      </vt:variant>
      <vt:variant>
        <vt:i4>5</vt:i4>
      </vt:variant>
      <vt:variant>
        <vt:lpwstr>https://www.cbd.int/meetings/BRCWS-2016-01</vt:lpwstr>
      </vt:variant>
      <vt:variant>
        <vt:lpwstr/>
      </vt:variant>
      <vt:variant>
        <vt:i4>5636105</vt:i4>
      </vt:variant>
      <vt:variant>
        <vt:i4>3</vt:i4>
      </vt:variant>
      <vt:variant>
        <vt:i4>0</vt:i4>
      </vt:variant>
      <vt:variant>
        <vt:i4>5</vt:i4>
      </vt:variant>
      <vt:variant>
        <vt:lpwstr>https://www.cbd.int/doc/meetings/cop/cop-13/information/cop-13-inf-24-en.pdf</vt:lpwstr>
      </vt:variant>
      <vt:variant>
        <vt:lpwstr/>
      </vt:variant>
      <vt:variant>
        <vt:i4>7798819</vt:i4>
      </vt:variant>
      <vt:variant>
        <vt:i4>0</vt:i4>
      </vt:variant>
      <vt:variant>
        <vt:i4>0</vt:i4>
      </vt:variant>
      <vt:variant>
        <vt:i4>5</vt:i4>
      </vt:variant>
      <vt:variant>
        <vt:lpwstr>https://wedocs.unep.org/bitstream/handle/20.500.11822/9967/elaborations-options-enhancing-synergies.pdf?sequence=1&amp;isAllowed=y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CBD/SBI/REC/2/11</dc:subject>
  <dc:creator>SBI 2</dc:creator>
  <cp:lastModifiedBy>Teresa Mazza</cp:lastModifiedBy>
  <cp:revision>9</cp:revision>
  <cp:lastPrinted>2018-07-12T02:07:00Z</cp:lastPrinted>
  <dcterms:created xsi:type="dcterms:W3CDTF">2018-08-21T08:12:00Z</dcterms:created>
  <dcterms:modified xsi:type="dcterms:W3CDTF">2018-08-21T19:13:00Z</dcterms:modified>
</cp:coreProperties>
</file>