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Borders>
          <w:bottom w:val="single" w:sz="30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"/>
        <w:gridCol w:w="1350"/>
        <w:gridCol w:w="1260"/>
        <w:gridCol w:w="2611"/>
        <w:gridCol w:w="1710"/>
        <w:gridCol w:w="2941"/>
      </w:tblGrid>
      <w:tr w:rsidR="0055078F" w:rsidRPr="00F53E07" w:rsidTr="00D71604">
        <w:trPr>
          <w:gridBefore w:val="1"/>
          <w:wBefore w:w="17" w:type="dxa"/>
          <w:trHeight w:val="1196"/>
        </w:trPr>
        <w:tc>
          <w:tcPr>
            <w:tcW w:w="1350" w:type="dxa"/>
            <w:tcBorders>
              <w:bottom w:val="single" w:sz="12" w:space="0" w:color="000000"/>
            </w:tcBorders>
          </w:tcPr>
          <w:p w:rsidR="0055078F" w:rsidRPr="00F53E07" w:rsidRDefault="0055078F" w:rsidP="00D71604">
            <w:pPr>
              <w:rPr>
                <w:noProof/>
                <w:lang w:val="fr-FR"/>
              </w:rPr>
            </w:pPr>
            <w:bookmarkStart w:id="0" w:name="Meeting"/>
            <w:r w:rsidRPr="00F53E07"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1" layoutInCell="1" allowOverlap="0" wp14:anchorId="3F0B392C" wp14:editId="2C9D160A">
                  <wp:simplePos x="0" y="0"/>
                  <wp:positionH relativeFrom="column">
                    <wp:posOffset>78105</wp:posOffset>
                  </wp:positionH>
                  <wp:positionV relativeFrom="page">
                    <wp:posOffset>69215</wp:posOffset>
                  </wp:positionV>
                  <wp:extent cx="495300" cy="581025"/>
                  <wp:effectExtent l="0" t="0" r="0" b="952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60" w:type="dxa"/>
            <w:tcBorders>
              <w:bottom w:val="single" w:sz="12" w:space="0" w:color="000000"/>
            </w:tcBorders>
          </w:tcPr>
          <w:p w:rsidR="0055078F" w:rsidRPr="00F53E07" w:rsidRDefault="0055078F" w:rsidP="00D71604">
            <w:pPr>
              <w:rPr>
                <w:noProof/>
                <w:lang w:val="fr-FR"/>
              </w:rPr>
            </w:pPr>
            <w:r w:rsidRPr="00F53E07">
              <w:rPr>
                <w:noProof/>
                <w:sz w:val="20"/>
                <w:lang w:eastAsia="en-GB"/>
              </w:rPr>
              <w:drawing>
                <wp:anchor distT="0" distB="0" distL="114300" distR="114300" simplePos="0" relativeHeight="251659264" behindDoc="0" locked="1" layoutInCell="1" allowOverlap="0" wp14:anchorId="21635B4C" wp14:editId="7BB22808">
                  <wp:simplePos x="0" y="0"/>
                  <wp:positionH relativeFrom="column">
                    <wp:posOffset>-26035</wp:posOffset>
                  </wp:positionH>
                  <wp:positionV relativeFrom="page">
                    <wp:posOffset>635</wp:posOffset>
                  </wp:positionV>
                  <wp:extent cx="822960" cy="582930"/>
                  <wp:effectExtent l="0" t="0" r="0" b="762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92" r="44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62" w:type="dxa"/>
            <w:gridSpan w:val="3"/>
            <w:tcBorders>
              <w:bottom w:val="single" w:sz="12" w:space="0" w:color="000000"/>
            </w:tcBorders>
          </w:tcPr>
          <w:p w:rsidR="0055078F" w:rsidRPr="00F53E07" w:rsidRDefault="0055078F" w:rsidP="00D71604">
            <w:pPr>
              <w:jc w:val="right"/>
              <w:rPr>
                <w:rFonts w:ascii="Univers" w:hAnsi="Univers"/>
                <w:b/>
                <w:noProof/>
                <w:sz w:val="32"/>
                <w:lang w:val="fr-FR"/>
              </w:rPr>
            </w:pPr>
            <w:r w:rsidRPr="00F53E07">
              <w:rPr>
                <w:rFonts w:ascii="Univers" w:hAnsi="Univers"/>
                <w:b/>
                <w:noProof/>
                <w:sz w:val="32"/>
                <w:lang w:val="fr-FR"/>
              </w:rPr>
              <w:t>CBD</w:t>
            </w:r>
          </w:p>
          <w:p w:rsidR="0055078F" w:rsidRPr="00F53E07" w:rsidRDefault="0055078F" w:rsidP="00D71604">
            <w:pPr>
              <w:jc w:val="left"/>
              <w:rPr>
                <w:rFonts w:ascii="Univers" w:hAnsi="Univers"/>
                <w:b/>
                <w:noProof/>
                <w:sz w:val="32"/>
                <w:lang w:val="fr-FR"/>
              </w:rPr>
            </w:pPr>
          </w:p>
        </w:tc>
      </w:tr>
      <w:tr w:rsidR="0055078F" w:rsidRPr="00F53E07" w:rsidTr="00D71604">
        <w:trPr>
          <w:trHeight w:val="1693"/>
        </w:trPr>
        <w:tc>
          <w:tcPr>
            <w:tcW w:w="5238" w:type="dxa"/>
            <w:gridSpan w:val="4"/>
          </w:tcPr>
          <w:p w:rsidR="0055078F" w:rsidRPr="00F53E07" w:rsidRDefault="0055078F" w:rsidP="00D71604">
            <w:pPr>
              <w:jc w:val="left"/>
              <w:rPr>
                <w:noProof/>
                <w:lang w:val="fr-FR"/>
              </w:rPr>
            </w:pPr>
            <w:r w:rsidRPr="00F53E07">
              <w:rPr>
                <w:bCs/>
                <w:noProof/>
                <w:szCs w:val="22"/>
                <w:lang w:eastAsia="en-GB"/>
              </w:rPr>
              <w:drawing>
                <wp:inline distT="0" distB="0" distL="0" distR="0" wp14:anchorId="7CB6A84C" wp14:editId="0663734F">
                  <wp:extent cx="2857500" cy="1076325"/>
                  <wp:effectExtent l="0" t="0" r="0" b="9525"/>
                  <wp:docPr id="4" name="Picture 4" descr="CBD_logo_fr-CMYK-black 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BD_logo_fr-CMYK-black 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</w:tcPr>
          <w:p w:rsidR="0055078F" w:rsidRPr="00F53E07" w:rsidRDefault="0055078F" w:rsidP="00D71604">
            <w:pPr>
              <w:rPr>
                <w:noProof/>
                <w:lang w:val="fr-FR"/>
              </w:rPr>
            </w:pPr>
          </w:p>
        </w:tc>
        <w:tc>
          <w:tcPr>
            <w:tcW w:w="2941" w:type="dxa"/>
          </w:tcPr>
          <w:p w:rsidR="0055078F" w:rsidRPr="00F53E07" w:rsidRDefault="0055078F" w:rsidP="00D71604">
            <w:pPr>
              <w:ind w:left="37"/>
              <w:rPr>
                <w:noProof/>
                <w:lang w:val="fr-FR"/>
              </w:rPr>
            </w:pPr>
            <w:r w:rsidRPr="00F53E07">
              <w:rPr>
                <w:noProof/>
                <w:lang w:val="fr-FR"/>
              </w:rPr>
              <w:t>Distr.</w:t>
            </w:r>
          </w:p>
          <w:p w:rsidR="0055078F" w:rsidRPr="00F53E07" w:rsidRDefault="005C2F69" w:rsidP="00D71604">
            <w:pPr>
              <w:ind w:left="37"/>
              <w:rPr>
                <w:noProof/>
                <w:lang w:val="fr-FR"/>
              </w:rPr>
            </w:pPr>
            <w:r>
              <w:rPr>
                <w:snapToGrid w:val="0"/>
                <w:kern w:val="22"/>
                <w:szCs w:val="22"/>
                <w:lang w:val="fr-CA"/>
              </w:rPr>
              <w:t>GÉNÉRALE</w:t>
            </w:r>
            <w:r w:rsidR="0055078F" w:rsidRPr="00F53E07">
              <w:rPr>
                <w:noProof/>
                <w:lang w:val="fr-FR"/>
              </w:rPr>
              <w:t xml:space="preserve"> </w:t>
            </w:r>
          </w:p>
          <w:p w:rsidR="0055078F" w:rsidRPr="00F53E07" w:rsidRDefault="0055078F" w:rsidP="00D71604">
            <w:pPr>
              <w:ind w:left="37"/>
              <w:rPr>
                <w:noProof/>
                <w:lang w:val="fr-FR"/>
              </w:rPr>
            </w:pPr>
          </w:p>
          <w:sdt>
            <w:sdtPr>
              <w:rPr>
                <w:snapToGrid w:val="0"/>
                <w:kern w:val="22"/>
                <w:szCs w:val="22"/>
                <w:lang w:val="fr-CA"/>
              </w:rPr>
              <w:alias w:val="Subject"/>
              <w:tag w:val=""/>
              <w:id w:val="1384679032"/>
              <w:placeholder>
                <w:docPart w:val="CA6C2B0A7C9D4B6FAE0870F2C47B87F3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p w:rsidR="005C2F69" w:rsidRDefault="005C2F69" w:rsidP="005C2F69">
                <w:pPr>
                  <w:rPr>
                    <w:snapToGrid w:val="0"/>
                    <w:kern w:val="22"/>
                    <w:szCs w:val="22"/>
                    <w:lang w:val="fr-CA"/>
                  </w:rPr>
                </w:pPr>
                <w:r>
                  <w:rPr>
                    <w:snapToGrid w:val="0"/>
                    <w:kern w:val="22"/>
                    <w:szCs w:val="22"/>
                  </w:rPr>
                  <w:t>CBD/SBI/REC/2/12</w:t>
                </w:r>
              </w:p>
            </w:sdtContent>
          </w:sdt>
          <w:p w:rsidR="0055078F" w:rsidRPr="00F53E07" w:rsidRDefault="005C2F69" w:rsidP="00D71604">
            <w:pPr>
              <w:ind w:left="37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13</w:t>
            </w:r>
            <w:r w:rsidR="0055078F" w:rsidRPr="00F53E07">
              <w:rPr>
                <w:noProof/>
                <w:lang w:val="fr-FR"/>
              </w:rPr>
              <w:t xml:space="preserve"> juillet 2018</w:t>
            </w:r>
          </w:p>
          <w:p w:rsidR="0055078F" w:rsidRPr="00F53E07" w:rsidRDefault="0055078F" w:rsidP="00D71604">
            <w:pPr>
              <w:ind w:left="37"/>
              <w:rPr>
                <w:noProof/>
                <w:lang w:val="fr-FR"/>
              </w:rPr>
            </w:pPr>
          </w:p>
          <w:p w:rsidR="0055078F" w:rsidRPr="00F53E07" w:rsidRDefault="0055078F" w:rsidP="00D71604">
            <w:pPr>
              <w:ind w:left="37"/>
              <w:rPr>
                <w:noProof/>
                <w:lang w:val="fr-FR"/>
              </w:rPr>
            </w:pPr>
            <w:r w:rsidRPr="00F53E07">
              <w:rPr>
                <w:noProof/>
                <w:lang w:val="fr-FR"/>
              </w:rPr>
              <w:t>FRANÇAIS</w:t>
            </w:r>
          </w:p>
          <w:p w:rsidR="0055078F" w:rsidRPr="00F53E07" w:rsidRDefault="0055078F" w:rsidP="00D71604">
            <w:pPr>
              <w:ind w:left="37"/>
              <w:rPr>
                <w:rFonts w:ascii="Courier New" w:hAnsi="Courier New"/>
                <w:noProof/>
                <w:lang w:val="fr-FR"/>
              </w:rPr>
            </w:pPr>
            <w:r w:rsidRPr="00F53E07">
              <w:rPr>
                <w:noProof/>
                <w:lang w:val="fr-FR"/>
              </w:rPr>
              <w:t>ORIGINAL : ANGLAIS</w:t>
            </w:r>
          </w:p>
        </w:tc>
      </w:tr>
    </w:tbl>
    <w:bookmarkEnd w:id="0"/>
    <w:p w:rsidR="009C200D" w:rsidRPr="00F47A09" w:rsidRDefault="00F47A09" w:rsidP="00133900">
      <w:pPr>
        <w:pStyle w:val="Cornernotation"/>
        <w:kinsoku w:val="0"/>
        <w:overflowPunct w:val="0"/>
        <w:autoSpaceDE w:val="0"/>
        <w:autoSpaceDN w:val="0"/>
        <w:ind w:left="0" w:right="4494" w:hanging="28"/>
        <w:rPr>
          <w:color w:val="000000"/>
          <w:szCs w:val="22"/>
          <w:lang w:val="fr-CA"/>
        </w:rPr>
      </w:pPr>
      <w:r w:rsidRPr="008D22A6">
        <w:rPr>
          <w:kern w:val="22"/>
          <w:lang w:val="fr-CA"/>
        </w:rPr>
        <w:t>ORGANE SUBSIDIAIRE CHARGÉ DE L</w:t>
      </w:r>
      <w:r w:rsidR="00DD135C">
        <w:rPr>
          <w:kern w:val="22"/>
          <w:lang w:val="fr-CA"/>
        </w:rPr>
        <w:t>’</w:t>
      </w:r>
      <w:r w:rsidRPr="008D22A6">
        <w:rPr>
          <w:kern w:val="22"/>
          <w:lang w:val="fr-CA"/>
        </w:rPr>
        <w:t>APPLICATION</w:t>
      </w:r>
    </w:p>
    <w:p w:rsidR="00F47A09" w:rsidRPr="008D22A6" w:rsidRDefault="00F47A09" w:rsidP="00F47A09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284" w:hanging="284"/>
        <w:jc w:val="left"/>
        <w:rPr>
          <w:snapToGrid w:val="0"/>
          <w:kern w:val="22"/>
          <w:szCs w:val="22"/>
          <w:lang w:val="fr-CA" w:eastAsia="nb-NO"/>
        </w:rPr>
      </w:pPr>
      <w:r w:rsidRPr="008D22A6">
        <w:rPr>
          <w:snapToGrid w:val="0"/>
          <w:kern w:val="22"/>
          <w:szCs w:val="22"/>
          <w:lang w:val="fr-CA" w:eastAsia="nb-NO"/>
        </w:rPr>
        <w:t>Deuxième réunion</w:t>
      </w:r>
    </w:p>
    <w:p w:rsidR="00F47A09" w:rsidRPr="0042731B" w:rsidRDefault="008632B2" w:rsidP="00F47A09">
      <w:pPr>
        <w:pStyle w:val="Cornernotation"/>
        <w:ind w:left="0" w:hanging="28"/>
        <w:jc w:val="both"/>
        <w:rPr>
          <w:color w:val="000000"/>
          <w:szCs w:val="22"/>
          <w:lang w:val="fr-CA"/>
        </w:rPr>
      </w:pPr>
      <w:r>
        <w:rPr>
          <w:snapToGrid w:val="0"/>
          <w:kern w:val="22"/>
          <w:szCs w:val="22"/>
          <w:lang w:val="fr-CA" w:eastAsia="nb-NO"/>
        </w:rPr>
        <w:t xml:space="preserve">Montréal, </w:t>
      </w:r>
      <w:r w:rsidR="00F47A09" w:rsidRPr="008D22A6">
        <w:rPr>
          <w:snapToGrid w:val="0"/>
          <w:kern w:val="22"/>
          <w:szCs w:val="22"/>
          <w:lang w:val="fr-CA" w:eastAsia="nb-NO"/>
        </w:rPr>
        <w:t>Canada</w:t>
      </w:r>
      <w:r w:rsidR="00F47A09">
        <w:rPr>
          <w:snapToGrid w:val="0"/>
          <w:kern w:val="22"/>
          <w:szCs w:val="22"/>
          <w:lang w:val="fr-CA" w:eastAsia="nb-NO"/>
        </w:rPr>
        <w:t>, 9</w:t>
      </w:r>
      <w:r w:rsidR="00D547E4">
        <w:rPr>
          <w:snapToGrid w:val="0"/>
          <w:kern w:val="22"/>
          <w:szCs w:val="22"/>
          <w:lang w:val="fr-CA" w:eastAsia="nb-NO"/>
        </w:rPr>
        <w:noBreakHyphen/>
      </w:r>
      <w:r w:rsidR="00F47A09">
        <w:rPr>
          <w:snapToGrid w:val="0"/>
          <w:kern w:val="22"/>
          <w:szCs w:val="22"/>
          <w:lang w:val="fr-CA" w:eastAsia="nb-NO"/>
        </w:rPr>
        <w:t>13 </w:t>
      </w:r>
      <w:r w:rsidR="00F47A09" w:rsidRPr="008D22A6">
        <w:rPr>
          <w:snapToGrid w:val="0"/>
          <w:kern w:val="22"/>
          <w:szCs w:val="22"/>
          <w:lang w:val="fr-CA" w:eastAsia="nb-NO"/>
        </w:rPr>
        <w:t>juillet</w:t>
      </w:r>
      <w:r w:rsidR="00F47A09">
        <w:rPr>
          <w:snapToGrid w:val="0"/>
          <w:kern w:val="22"/>
          <w:szCs w:val="22"/>
          <w:lang w:val="fr-CA" w:eastAsia="nb-NO"/>
        </w:rPr>
        <w:t> </w:t>
      </w:r>
      <w:r w:rsidR="00F47A09" w:rsidRPr="008D22A6">
        <w:rPr>
          <w:snapToGrid w:val="0"/>
          <w:kern w:val="22"/>
          <w:szCs w:val="22"/>
          <w:lang w:val="fr-CA" w:eastAsia="nb-NO"/>
        </w:rPr>
        <w:t>2018</w:t>
      </w:r>
    </w:p>
    <w:p w:rsidR="00C9161D" w:rsidRPr="00F47A09" w:rsidRDefault="00F47A09" w:rsidP="00C870B6">
      <w:pPr>
        <w:kinsoku w:val="0"/>
        <w:overflowPunct w:val="0"/>
        <w:autoSpaceDE w:val="0"/>
        <w:autoSpaceDN w:val="0"/>
        <w:spacing w:after="360"/>
        <w:ind w:hanging="28"/>
        <w:rPr>
          <w:lang w:val="fr-CA"/>
        </w:rPr>
      </w:pPr>
      <w:r w:rsidRPr="00E2057B">
        <w:rPr>
          <w:lang w:val="fr-CA"/>
        </w:rPr>
        <w:t>Point</w:t>
      </w:r>
      <w:r>
        <w:rPr>
          <w:lang w:val="fr-CA"/>
        </w:rPr>
        <w:t> 13 de l</w:t>
      </w:r>
      <w:r w:rsidR="00DD135C">
        <w:rPr>
          <w:lang w:val="fr-CA"/>
        </w:rPr>
        <w:t>’</w:t>
      </w:r>
      <w:r>
        <w:rPr>
          <w:lang w:val="fr-CA"/>
        </w:rPr>
        <w:t>ordre du jour</w:t>
      </w:r>
    </w:p>
    <w:p w:rsidR="00C9161D" w:rsidRPr="00F47A09" w:rsidRDefault="00705CBE" w:rsidP="00705CBE">
      <w:pPr>
        <w:pStyle w:val="Heading1"/>
        <w:rPr>
          <w:lang w:val="fr-CA"/>
        </w:rPr>
      </w:pPr>
      <w:r>
        <w:rPr>
          <w:snapToGrid w:val="0"/>
          <w:lang w:val="fr-CA"/>
        </w:rPr>
        <w:t xml:space="preserve">recommandation </w:t>
      </w:r>
      <w:r w:rsidRPr="004B6034">
        <w:rPr>
          <w:rFonts w:eastAsiaTheme="majorEastAsia"/>
          <w:lang w:val="fr-CA" w:eastAsia="fr-FR"/>
        </w:rPr>
        <w:t>ADOPTÉE</w:t>
      </w:r>
      <w:r>
        <w:rPr>
          <w:rFonts w:eastAsiaTheme="majorEastAsia"/>
          <w:lang w:val="fr-CA" w:eastAsia="fr-FR"/>
        </w:rPr>
        <w:t xml:space="preserve"> par l’organe subsidiaire </w:t>
      </w:r>
      <w:r w:rsidRPr="004B6034">
        <w:rPr>
          <w:rFonts w:eastAsiaTheme="majorEastAsia"/>
          <w:lang w:val="fr-CA" w:eastAsia="fr-FR"/>
        </w:rPr>
        <w:t>CHARGÉ</w:t>
      </w:r>
      <w:r>
        <w:rPr>
          <w:rFonts w:eastAsiaTheme="majorEastAsia"/>
          <w:lang w:val="fr-CA" w:eastAsia="fr-FR"/>
        </w:rPr>
        <w:t xml:space="preserve"> de l’application </w:t>
      </w:r>
    </w:p>
    <w:p w:rsidR="00176CEE" w:rsidRPr="00F47A09" w:rsidRDefault="007A15CF" w:rsidP="005564BA">
      <w:pPr>
        <w:pStyle w:val="recommendationheader"/>
        <w:tabs>
          <w:tab w:val="clear" w:pos="720"/>
        </w:tabs>
        <w:ind w:left="1418" w:hanging="709"/>
        <w:jc w:val="left"/>
        <w:rPr>
          <w:caps/>
          <w:lang w:val="fr-CA"/>
        </w:rPr>
      </w:pPr>
      <w:r>
        <w:rPr>
          <w:lang w:val="fr-CA"/>
        </w:rPr>
        <w:t>2/12.</w:t>
      </w:r>
      <w:r>
        <w:rPr>
          <w:lang w:val="fr-CA"/>
        </w:rPr>
        <w:tab/>
        <w:t>Évaluation et examen (article 35 du Protocole de Cartagena sur la prévention des risques biotechnologiques</w:t>
      </w:r>
    </w:p>
    <w:p w:rsidR="00561A22" w:rsidRPr="00F47A09" w:rsidRDefault="00CB3730" w:rsidP="00CB3730">
      <w:pPr>
        <w:pStyle w:val="Para1"/>
        <w:numPr>
          <w:ilvl w:val="0"/>
          <w:numId w:val="0"/>
        </w:numPr>
        <w:kinsoku w:val="0"/>
        <w:overflowPunct w:val="0"/>
        <w:autoSpaceDE w:val="0"/>
        <w:autoSpaceDN w:val="0"/>
        <w:ind w:firstLine="720"/>
        <w:rPr>
          <w:i/>
          <w:lang w:val="fr-CA"/>
        </w:rPr>
      </w:pPr>
      <w:r w:rsidRPr="00CB3730">
        <w:rPr>
          <w:i/>
          <w:iCs/>
          <w:kern w:val="22"/>
          <w:szCs w:val="22"/>
          <w:lang w:val="fr-CA" w:bidi="fr-FR"/>
        </w:rPr>
        <w:t>L</w:t>
      </w:r>
      <w:r w:rsidR="00DD135C">
        <w:rPr>
          <w:i/>
          <w:iCs/>
          <w:kern w:val="22"/>
          <w:szCs w:val="22"/>
          <w:lang w:val="fr-CA" w:bidi="fr-FR"/>
        </w:rPr>
        <w:t>’</w:t>
      </w:r>
      <w:r w:rsidRPr="00CB3730">
        <w:rPr>
          <w:i/>
          <w:iCs/>
          <w:kern w:val="22"/>
          <w:szCs w:val="22"/>
          <w:lang w:val="fr-CA" w:bidi="fr-FR"/>
        </w:rPr>
        <w:t>Organe subsidiaire chargé de l</w:t>
      </w:r>
      <w:r w:rsidR="00DD135C">
        <w:rPr>
          <w:i/>
          <w:iCs/>
          <w:kern w:val="22"/>
          <w:szCs w:val="22"/>
          <w:lang w:val="fr-CA" w:bidi="fr-FR"/>
        </w:rPr>
        <w:t>’</w:t>
      </w:r>
      <w:r w:rsidRPr="00CB3730">
        <w:rPr>
          <w:i/>
          <w:iCs/>
          <w:kern w:val="22"/>
          <w:szCs w:val="22"/>
          <w:lang w:val="fr-CA" w:bidi="fr-FR"/>
        </w:rPr>
        <w:t>application</w:t>
      </w:r>
      <w:r w:rsidR="00561A22" w:rsidRPr="00F47A09">
        <w:rPr>
          <w:i/>
          <w:lang w:val="fr-CA"/>
        </w:rPr>
        <w:t>,</w:t>
      </w:r>
    </w:p>
    <w:p w:rsidR="00FE1102" w:rsidRPr="00F47A09" w:rsidRDefault="00CB3730" w:rsidP="00CB3730">
      <w:pPr>
        <w:pStyle w:val="Para1"/>
        <w:numPr>
          <w:ilvl w:val="0"/>
          <w:numId w:val="0"/>
        </w:numPr>
        <w:kinsoku w:val="0"/>
        <w:overflowPunct w:val="0"/>
        <w:autoSpaceDE w:val="0"/>
        <w:autoSpaceDN w:val="0"/>
        <w:ind w:firstLine="720"/>
        <w:rPr>
          <w:lang w:val="fr-CA"/>
        </w:rPr>
      </w:pPr>
      <w:r>
        <w:rPr>
          <w:i/>
          <w:iCs/>
          <w:kern w:val="22"/>
          <w:szCs w:val="22"/>
          <w:lang w:val="fr-CA" w:bidi="fr-FR"/>
        </w:rPr>
        <w:t>R</w:t>
      </w:r>
      <w:r w:rsidRPr="00CB3730">
        <w:rPr>
          <w:i/>
          <w:iCs/>
          <w:kern w:val="22"/>
          <w:szCs w:val="22"/>
          <w:lang w:val="fr-CA" w:bidi="fr-FR"/>
        </w:rPr>
        <w:t>ecommande</w:t>
      </w:r>
      <w:r w:rsidRPr="00BD023E">
        <w:rPr>
          <w:kern w:val="22"/>
          <w:szCs w:val="22"/>
          <w:lang w:val="fr-CA" w:bidi="fr-FR"/>
        </w:rPr>
        <w:t xml:space="preserve"> que la Conférence des Parties siégeant en tant que réunion des Parties au Protocole de Cartagena</w:t>
      </w:r>
      <w:r w:rsidR="009F2610">
        <w:rPr>
          <w:kern w:val="22"/>
          <w:szCs w:val="22"/>
          <w:lang w:val="fr-CA" w:bidi="fr-FR"/>
        </w:rPr>
        <w:t xml:space="preserve"> adopte, à sa neuvième réunion, </w:t>
      </w:r>
      <w:r w:rsidRPr="00BD023E">
        <w:rPr>
          <w:kern w:val="22"/>
          <w:szCs w:val="22"/>
          <w:lang w:val="fr-CA" w:bidi="fr-FR"/>
        </w:rPr>
        <w:t>une décision libellée comme suit :</w:t>
      </w:r>
    </w:p>
    <w:p w:rsidR="008A7AF3" w:rsidRPr="00F47A09" w:rsidRDefault="00CB3730" w:rsidP="003F08B2">
      <w:pPr>
        <w:pStyle w:val="Para1"/>
        <w:numPr>
          <w:ilvl w:val="0"/>
          <w:numId w:val="0"/>
        </w:numPr>
        <w:kinsoku w:val="0"/>
        <w:overflowPunct w:val="0"/>
        <w:autoSpaceDE w:val="0"/>
        <w:autoSpaceDN w:val="0"/>
        <w:ind w:left="720" w:firstLine="720"/>
        <w:rPr>
          <w:lang w:val="fr-CA"/>
        </w:rPr>
      </w:pPr>
      <w:r w:rsidRPr="00BD023E">
        <w:rPr>
          <w:i/>
          <w:kern w:val="22"/>
          <w:szCs w:val="22"/>
          <w:lang w:val="fr-CA" w:bidi="fr-FR"/>
        </w:rPr>
        <w:t>La Conférence des Parties siégeant en tant que réunion des Parties au Protocole de Cartagena sur la prévention des risques biotechnologiques</w:t>
      </w:r>
      <w:r w:rsidR="00FE1102" w:rsidRPr="00F47A09">
        <w:rPr>
          <w:i/>
          <w:lang w:val="fr-CA"/>
        </w:rPr>
        <w:t>,</w:t>
      </w:r>
    </w:p>
    <w:p w:rsidR="00FE1102" w:rsidRPr="00F47A09" w:rsidRDefault="00CB3730" w:rsidP="00133900">
      <w:pPr>
        <w:pStyle w:val="Para1"/>
        <w:numPr>
          <w:ilvl w:val="0"/>
          <w:numId w:val="0"/>
        </w:numPr>
        <w:kinsoku w:val="0"/>
        <w:overflowPunct w:val="0"/>
        <w:autoSpaceDE w:val="0"/>
        <w:autoSpaceDN w:val="0"/>
        <w:ind w:left="720" w:firstLine="720"/>
        <w:rPr>
          <w:lang w:val="fr-CA"/>
        </w:rPr>
      </w:pPr>
      <w:r>
        <w:rPr>
          <w:i/>
          <w:lang w:val="fr-CA"/>
        </w:rPr>
        <w:t>Rappelant</w:t>
      </w:r>
      <w:r>
        <w:rPr>
          <w:iCs/>
          <w:lang w:val="fr-CA"/>
        </w:rPr>
        <w:t xml:space="preserve"> la décision BS</w:t>
      </w:r>
      <w:r w:rsidR="00D547E4">
        <w:rPr>
          <w:iCs/>
          <w:lang w:val="fr-CA"/>
        </w:rPr>
        <w:noBreakHyphen/>
      </w:r>
      <w:r>
        <w:rPr>
          <w:iCs/>
          <w:lang w:val="fr-CA"/>
        </w:rPr>
        <w:t>V/16 adoptant</w:t>
      </w:r>
      <w:r w:rsidR="00133900">
        <w:rPr>
          <w:iCs/>
          <w:lang w:val="fr-CA"/>
        </w:rPr>
        <w:t xml:space="preserve"> le </w:t>
      </w:r>
      <w:r w:rsidR="00133900" w:rsidRPr="00BD023E">
        <w:rPr>
          <w:kern w:val="22"/>
          <w:szCs w:val="22"/>
          <w:lang w:val="fr-CA" w:bidi="fr-FR"/>
        </w:rPr>
        <w:t xml:space="preserve">Plan </w:t>
      </w:r>
      <w:r w:rsidR="00C870B6">
        <w:rPr>
          <w:kern w:val="22"/>
          <w:szCs w:val="22"/>
          <w:lang w:val="fr-CA" w:bidi="fr-FR"/>
        </w:rPr>
        <w:t>stratégique du Pro</w:t>
      </w:r>
      <w:r>
        <w:rPr>
          <w:iCs/>
          <w:lang w:val="fr-CA"/>
        </w:rPr>
        <w:t>tocole de Cartagena sur la prévention des risques biotechnologiques pour la période 2011</w:t>
      </w:r>
      <w:r w:rsidR="00D547E4">
        <w:rPr>
          <w:iCs/>
          <w:lang w:val="fr-CA"/>
        </w:rPr>
        <w:noBreakHyphen/>
      </w:r>
      <w:r>
        <w:rPr>
          <w:iCs/>
          <w:lang w:val="fr-CA"/>
        </w:rPr>
        <w:t>2020,</w:t>
      </w:r>
    </w:p>
    <w:p w:rsidR="00561A22" w:rsidRPr="00F47A09" w:rsidRDefault="00FE1102" w:rsidP="00133900">
      <w:pPr>
        <w:pStyle w:val="Para1"/>
        <w:numPr>
          <w:ilvl w:val="0"/>
          <w:numId w:val="0"/>
        </w:numPr>
        <w:kinsoku w:val="0"/>
        <w:overflowPunct w:val="0"/>
        <w:autoSpaceDE w:val="0"/>
        <w:autoSpaceDN w:val="0"/>
        <w:ind w:left="720" w:firstLine="720"/>
        <w:rPr>
          <w:lang w:val="fr-CA"/>
        </w:rPr>
      </w:pPr>
      <w:r w:rsidRPr="00F47A09">
        <w:rPr>
          <w:lang w:val="fr-CA"/>
        </w:rPr>
        <w:t>1.</w:t>
      </w:r>
      <w:r w:rsidRPr="00F47A09">
        <w:rPr>
          <w:i/>
          <w:lang w:val="fr-CA"/>
        </w:rPr>
        <w:tab/>
      </w:r>
      <w:r w:rsidR="00DD135C" w:rsidRPr="00BD023E">
        <w:rPr>
          <w:i/>
          <w:kern w:val="22"/>
          <w:szCs w:val="22"/>
          <w:lang w:val="fr-CA" w:bidi="fr-FR"/>
        </w:rPr>
        <w:t>Réitère</w:t>
      </w:r>
      <w:r w:rsidR="00A54175">
        <w:rPr>
          <w:kern w:val="22"/>
          <w:szCs w:val="22"/>
          <w:lang w:val="fr-CA" w:bidi="fr-FR"/>
        </w:rPr>
        <w:t xml:space="preserve"> son invitation a</w:t>
      </w:r>
      <w:r w:rsidR="00DD135C" w:rsidRPr="00BD023E">
        <w:rPr>
          <w:kern w:val="22"/>
          <w:szCs w:val="22"/>
          <w:lang w:val="fr-CA" w:bidi="fr-FR"/>
        </w:rPr>
        <w:t xml:space="preserve">ux Parties, pour la période restante du Plan </w:t>
      </w:r>
      <w:r w:rsidR="00C870B6">
        <w:rPr>
          <w:kern w:val="22"/>
          <w:szCs w:val="22"/>
          <w:lang w:val="fr-CA" w:bidi="fr-FR"/>
        </w:rPr>
        <w:t>stratégique du Pro</w:t>
      </w:r>
      <w:r w:rsidR="00DD135C" w:rsidRPr="00BD023E">
        <w:rPr>
          <w:kern w:val="22"/>
          <w:szCs w:val="22"/>
          <w:lang w:val="fr-CA" w:bidi="fr-FR"/>
        </w:rPr>
        <w:t>tocole de Cartagena sur la prévention des risques biotechnologiques pour 2011</w:t>
      </w:r>
      <w:r w:rsidR="00D547E4">
        <w:rPr>
          <w:kern w:val="22"/>
          <w:szCs w:val="22"/>
          <w:lang w:val="fr-CA" w:bidi="fr-FR"/>
        </w:rPr>
        <w:noBreakHyphen/>
      </w:r>
      <w:r w:rsidR="00DD135C" w:rsidRPr="00BD023E">
        <w:rPr>
          <w:kern w:val="22"/>
          <w:szCs w:val="22"/>
          <w:lang w:val="fr-CA" w:bidi="fr-FR"/>
        </w:rPr>
        <w:t>2020, d</w:t>
      </w:r>
      <w:r w:rsidR="00DD135C">
        <w:rPr>
          <w:kern w:val="22"/>
          <w:szCs w:val="22"/>
          <w:lang w:val="fr-CA" w:bidi="fr-FR"/>
        </w:rPr>
        <w:t>’</w:t>
      </w:r>
      <w:r w:rsidR="00DD135C" w:rsidRPr="00BD023E">
        <w:rPr>
          <w:kern w:val="22"/>
          <w:szCs w:val="22"/>
          <w:lang w:val="fr-CA" w:bidi="fr-FR"/>
        </w:rPr>
        <w:t>envisager de hiérarchiser les objectifs opérati</w:t>
      </w:r>
      <w:r w:rsidR="005564BA">
        <w:rPr>
          <w:kern w:val="22"/>
          <w:szCs w:val="22"/>
          <w:lang w:val="fr-CA" w:bidi="fr-FR"/>
        </w:rPr>
        <w:t>onnels relatifs à l’élaboration</w:t>
      </w:r>
      <w:r w:rsidR="00DD135C" w:rsidRPr="00BD023E">
        <w:rPr>
          <w:kern w:val="22"/>
          <w:szCs w:val="22"/>
          <w:lang w:val="fr-CA" w:bidi="fr-FR"/>
        </w:rPr>
        <w:t xml:space="preserve"> de la législation sur la biosécurité, l</w:t>
      </w:r>
      <w:r w:rsidR="00DD135C">
        <w:rPr>
          <w:kern w:val="22"/>
          <w:szCs w:val="22"/>
          <w:lang w:val="fr-CA" w:bidi="fr-FR"/>
        </w:rPr>
        <w:t>’</w:t>
      </w:r>
      <w:r w:rsidR="00DD135C" w:rsidRPr="00BD023E">
        <w:rPr>
          <w:kern w:val="22"/>
          <w:szCs w:val="22"/>
          <w:lang w:val="fr-CA" w:bidi="fr-FR"/>
        </w:rPr>
        <w:t>évaluation des risques, la détection et l</w:t>
      </w:r>
      <w:r w:rsidR="00DD135C">
        <w:rPr>
          <w:kern w:val="22"/>
          <w:szCs w:val="22"/>
          <w:lang w:val="fr-CA" w:bidi="fr-FR"/>
        </w:rPr>
        <w:t>’</w:t>
      </w:r>
      <w:r w:rsidR="00DD135C" w:rsidRPr="00BD023E">
        <w:rPr>
          <w:kern w:val="22"/>
          <w:szCs w:val="22"/>
          <w:lang w:val="fr-CA" w:bidi="fr-FR"/>
        </w:rPr>
        <w:t>identification des organismes vivants modifiés et la sensibilisation du public compte tenu de leur importance essentielle pour faciliter la mise en œuvre du Protocole</w:t>
      </w:r>
      <w:r w:rsidR="00A104D6" w:rsidRPr="00F47A09">
        <w:rPr>
          <w:lang w:val="fr-CA"/>
        </w:rPr>
        <w:t>;</w:t>
      </w:r>
    </w:p>
    <w:p w:rsidR="00561A22" w:rsidRPr="00F47A09" w:rsidRDefault="006340A6" w:rsidP="00133900">
      <w:pPr>
        <w:pStyle w:val="Para1"/>
        <w:numPr>
          <w:ilvl w:val="0"/>
          <w:numId w:val="0"/>
        </w:numPr>
        <w:kinsoku w:val="0"/>
        <w:overflowPunct w:val="0"/>
        <w:autoSpaceDE w:val="0"/>
        <w:autoSpaceDN w:val="0"/>
        <w:ind w:left="720" w:firstLine="720"/>
        <w:rPr>
          <w:lang w:val="fr-CA"/>
        </w:rPr>
      </w:pPr>
      <w:r w:rsidRPr="00F47A09">
        <w:rPr>
          <w:lang w:val="fr-CA"/>
        </w:rPr>
        <w:t>2.</w:t>
      </w:r>
      <w:r w:rsidRPr="00F47A09">
        <w:rPr>
          <w:i/>
          <w:lang w:val="fr-CA"/>
        </w:rPr>
        <w:tab/>
      </w:r>
      <w:r w:rsidR="00DD135C" w:rsidRPr="00BD023E">
        <w:rPr>
          <w:i/>
          <w:kern w:val="22"/>
          <w:szCs w:val="22"/>
          <w:lang w:val="fr-CA" w:bidi="fr-FR"/>
        </w:rPr>
        <w:t>Décide</w:t>
      </w:r>
      <w:r w:rsidR="00DD135C" w:rsidRPr="00BD023E">
        <w:rPr>
          <w:kern w:val="22"/>
          <w:szCs w:val="22"/>
          <w:lang w:val="fr-CA" w:bidi="fr-FR"/>
        </w:rPr>
        <w:t xml:space="preserve"> que la quatrième évaluation et </w:t>
      </w:r>
      <w:r w:rsidR="00C870B6">
        <w:rPr>
          <w:kern w:val="22"/>
          <w:szCs w:val="22"/>
          <w:lang w:val="fr-CA" w:bidi="fr-FR"/>
        </w:rPr>
        <w:t>examen</w:t>
      </w:r>
      <w:r w:rsidR="00DD135C" w:rsidRPr="00BD023E">
        <w:rPr>
          <w:kern w:val="22"/>
          <w:szCs w:val="22"/>
          <w:lang w:val="fr-CA" w:bidi="fr-FR"/>
        </w:rPr>
        <w:t xml:space="preserve"> du Protocole</w:t>
      </w:r>
      <w:r w:rsidR="009F2610">
        <w:rPr>
          <w:kern w:val="22"/>
          <w:szCs w:val="22"/>
          <w:lang w:val="fr-CA" w:bidi="fr-FR"/>
        </w:rPr>
        <w:t xml:space="preserve"> de Cartagena sera effectuée en même temps que</w:t>
      </w:r>
      <w:r w:rsidR="00DD135C" w:rsidRPr="00BD023E">
        <w:rPr>
          <w:kern w:val="22"/>
          <w:szCs w:val="22"/>
          <w:lang w:val="fr-CA" w:bidi="fr-FR"/>
        </w:rPr>
        <w:t xml:space="preserve"> l</w:t>
      </w:r>
      <w:r w:rsidR="00DD135C">
        <w:rPr>
          <w:kern w:val="22"/>
          <w:szCs w:val="22"/>
          <w:lang w:val="fr-CA" w:bidi="fr-FR"/>
        </w:rPr>
        <w:t>’</w:t>
      </w:r>
      <w:r w:rsidR="00DD135C" w:rsidRPr="00BD023E">
        <w:rPr>
          <w:kern w:val="22"/>
          <w:szCs w:val="22"/>
          <w:lang w:val="fr-CA" w:bidi="fr-FR"/>
        </w:rPr>
        <w:t xml:space="preserve">évaluation finale du Plan </w:t>
      </w:r>
      <w:r w:rsidR="00C870B6">
        <w:rPr>
          <w:kern w:val="22"/>
          <w:szCs w:val="22"/>
          <w:lang w:val="fr-CA" w:bidi="fr-FR"/>
        </w:rPr>
        <w:t>stratégique du Pro</w:t>
      </w:r>
      <w:r w:rsidR="00DD135C" w:rsidRPr="00BD023E">
        <w:rPr>
          <w:kern w:val="22"/>
          <w:szCs w:val="22"/>
          <w:lang w:val="fr-CA" w:bidi="fr-FR"/>
        </w:rPr>
        <w:t>tocole de Cartagena pour la période 2011</w:t>
      </w:r>
      <w:r w:rsidR="00D547E4">
        <w:rPr>
          <w:kern w:val="22"/>
          <w:szCs w:val="22"/>
          <w:lang w:val="fr-CA" w:bidi="fr-FR"/>
        </w:rPr>
        <w:noBreakHyphen/>
      </w:r>
      <w:r w:rsidR="00DD135C" w:rsidRPr="00BD023E">
        <w:rPr>
          <w:kern w:val="22"/>
          <w:szCs w:val="22"/>
          <w:lang w:val="fr-CA" w:bidi="fr-FR"/>
        </w:rPr>
        <w:t>2020</w:t>
      </w:r>
      <w:r w:rsidR="00A104D6" w:rsidRPr="00F47A09">
        <w:rPr>
          <w:lang w:val="fr-CA"/>
        </w:rPr>
        <w:t>;</w:t>
      </w:r>
    </w:p>
    <w:p w:rsidR="00561A22" w:rsidRPr="00F47A09" w:rsidRDefault="006340A6" w:rsidP="00DD135C">
      <w:pPr>
        <w:pStyle w:val="Para1"/>
        <w:numPr>
          <w:ilvl w:val="0"/>
          <w:numId w:val="0"/>
        </w:numPr>
        <w:kinsoku w:val="0"/>
        <w:overflowPunct w:val="0"/>
        <w:autoSpaceDE w:val="0"/>
        <w:autoSpaceDN w:val="0"/>
        <w:ind w:left="720" w:firstLine="720"/>
        <w:rPr>
          <w:i/>
          <w:lang w:val="fr-CA"/>
        </w:rPr>
      </w:pPr>
      <w:r w:rsidRPr="00F47A09">
        <w:rPr>
          <w:lang w:val="fr-CA"/>
        </w:rPr>
        <w:t>3.</w:t>
      </w:r>
      <w:r w:rsidRPr="00F47A09">
        <w:rPr>
          <w:i/>
          <w:lang w:val="fr-CA"/>
        </w:rPr>
        <w:tab/>
      </w:r>
      <w:r w:rsidR="00DD135C">
        <w:rPr>
          <w:i/>
          <w:kern w:val="22"/>
          <w:szCs w:val="22"/>
          <w:lang w:val="fr-CA" w:bidi="fr-FR"/>
        </w:rPr>
        <w:t>Pri</w:t>
      </w:r>
      <w:r w:rsidR="00DD135C" w:rsidRPr="00BD023E">
        <w:rPr>
          <w:i/>
          <w:kern w:val="22"/>
          <w:szCs w:val="22"/>
          <w:lang w:val="fr-CA" w:bidi="fr-FR"/>
        </w:rPr>
        <w:t>e</w:t>
      </w:r>
      <w:r w:rsidR="00DD135C" w:rsidRPr="00BD023E">
        <w:rPr>
          <w:kern w:val="22"/>
          <w:szCs w:val="22"/>
          <w:lang w:val="fr-CA" w:bidi="fr-FR"/>
        </w:rPr>
        <w:t xml:space="preserve"> la Secrétaire exécutive </w:t>
      </w:r>
      <w:r w:rsidR="00561A22" w:rsidRPr="00F47A09">
        <w:rPr>
          <w:lang w:val="fr-CA"/>
        </w:rPr>
        <w:t>:</w:t>
      </w:r>
    </w:p>
    <w:p w:rsidR="00561A22" w:rsidRPr="00F47A09" w:rsidRDefault="00561A22" w:rsidP="00DD135C">
      <w:pPr>
        <w:pStyle w:val="Para1"/>
        <w:numPr>
          <w:ilvl w:val="0"/>
          <w:numId w:val="0"/>
        </w:numPr>
        <w:kinsoku w:val="0"/>
        <w:overflowPunct w:val="0"/>
        <w:autoSpaceDE w:val="0"/>
        <w:autoSpaceDN w:val="0"/>
        <w:ind w:left="720" w:firstLine="720"/>
        <w:rPr>
          <w:lang w:val="fr-CA"/>
        </w:rPr>
      </w:pPr>
      <w:r w:rsidRPr="00F47A09">
        <w:rPr>
          <w:lang w:val="fr-CA"/>
        </w:rPr>
        <w:t>a)</w:t>
      </w:r>
      <w:r w:rsidRPr="00F47A09">
        <w:rPr>
          <w:lang w:val="fr-CA"/>
        </w:rPr>
        <w:tab/>
      </w:r>
      <w:r w:rsidR="00DD135C" w:rsidRPr="00BD023E">
        <w:rPr>
          <w:kern w:val="22"/>
          <w:szCs w:val="22"/>
          <w:lang w:val="fr-CA" w:bidi="fr-FR"/>
        </w:rPr>
        <w:t>De continuer d</w:t>
      </w:r>
      <w:r w:rsidR="00DD135C">
        <w:rPr>
          <w:kern w:val="22"/>
          <w:szCs w:val="22"/>
          <w:lang w:val="fr-CA" w:bidi="fr-FR"/>
        </w:rPr>
        <w:t>’</w:t>
      </w:r>
      <w:r w:rsidR="00DD135C" w:rsidRPr="00BD023E">
        <w:rPr>
          <w:kern w:val="22"/>
          <w:szCs w:val="22"/>
          <w:lang w:val="fr-CA" w:bidi="fr-FR"/>
        </w:rPr>
        <w:t>améliorer l</w:t>
      </w:r>
      <w:r w:rsidR="00DD135C">
        <w:rPr>
          <w:kern w:val="22"/>
          <w:szCs w:val="22"/>
          <w:lang w:val="fr-CA" w:bidi="fr-FR"/>
        </w:rPr>
        <w:t>’</w:t>
      </w:r>
      <w:r w:rsidR="00DD135C" w:rsidRPr="00BD023E">
        <w:rPr>
          <w:kern w:val="22"/>
          <w:szCs w:val="22"/>
          <w:lang w:val="fr-CA" w:bidi="fr-FR"/>
        </w:rPr>
        <w:t>outil d</w:t>
      </w:r>
      <w:r w:rsidR="00DD135C">
        <w:rPr>
          <w:kern w:val="22"/>
          <w:szCs w:val="22"/>
          <w:lang w:val="fr-CA" w:bidi="fr-FR"/>
        </w:rPr>
        <w:t>’</w:t>
      </w:r>
      <w:r w:rsidR="00DD135C" w:rsidRPr="00BD023E">
        <w:rPr>
          <w:kern w:val="22"/>
          <w:szCs w:val="22"/>
          <w:lang w:val="fr-CA" w:bidi="fr-FR"/>
        </w:rPr>
        <w:t>analyse en ligne des rapports nationaux afin de faciliter la compilation, l</w:t>
      </w:r>
      <w:r w:rsidR="00DD135C">
        <w:rPr>
          <w:kern w:val="22"/>
          <w:szCs w:val="22"/>
          <w:lang w:val="fr-CA" w:bidi="fr-FR"/>
        </w:rPr>
        <w:t>’</w:t>
      </w:r>
      <w:r w:rsidR="00DD135C" w:rsidRPr="00BD023E">
        <w:rPr>
          <w:kern w:val="22"/>
          <w:szCs w:val="22"/>
          <w:lang w:val="fr-CA" w:bidi="fr-FR"/>
        </w:rPr>
        <w:t>agrégation et l</w:t>
      </w:r>
      <w:r w:rsidR="00DD135C">
        <w:rPr>
          <w:kern w:val="22"/>
          <w:szCs w:val="22"/>
          <w:lang w:val="fr-CA" w:bidi="fr-FR"/>
        </w:rPr>
        <w:t>’</w:t>
      </w:r>
      <w:r w:rsidR="00DD135C" w:rsidRPr="00BD023E">
        <w:rPr>
          <w:kern w:val="22"/>
          <w:szCs w:val="22"/>
          <w:lang w:val="fr-CA" w:bidi="fr-FR"/>
        </w:rPr>
        <w:t>analyse des données contenues dans le quatrième rapport national et autres sources par rapport aux données de base connexes obtenues au cours du deuxième cycle</w:t>
      </w:r>
      <w:r w:rsidR="0055689E">
        <w:rPr>
          <w:kern w:val="22"/>
          <w:szCs w:val="22"/>
          <w:lang w:val="fr-CA" w:bidi="fr-FR"/>
        </w:rPr>
        <w:t xml:space="preserve"> de rapport</w:t>
      </w:r>
      <w:r w:rsidR="00DD135C" w:rsidRPr="00BD023E">
        <w:rPr>
          <w:kern w:val="22"/>
          <w:szCs w:val="22"/>
          <w:lang w:val="fr-CA" w:bidi="fr-FR"/>
        </w:rPr>
        <w:t xml:space="preserve"> national</w:t>
      </w:r>
      <w:r w:rsidR="00DD135C">
        <w:rPr>
          <w:kern w:val="22"/>
          <w:szCs w:val="22"/>
          <w:lang w:val="fr-CA" w:bidi="fr-FR"/>
        </w:rPr>
        <w:t>;</w:t>
      </w:r>
    </w:p>
    <w:p w:rsidR="00561A22" w:rsidRPr="00F47A09" w:rsidRDefault="00561A22" w:rsidP="00DD135C">
      <w:pPr>
        <w:pStyle w:val="Para1"/>
        <w:numPr>
          <w:ilvl w:val="0"/>
          <w:numId w:val="0"/>
        </w:numPr>
        <w:kinsoku w:val="0"/>
        <w:overflowPunct w:val="0"/>
        <w:autoSpaceDE w:val="0"/>
        <w:autoSpaceDN w:val="0"/>
        <w:ind w:left="720" w:firstLine="720"/>
        <w:rPr>
          <w:lang w:val="fr-CA"/>
        </w:rPr>
      </w:pPr>
      <w:r w:rsidRPr="00F47A09">
        <w:rPr>
          <w:lang w:val="fr-CA"/>
        </w:rPr>
        <w:t>b)</w:t>
      </w:r>
      <w:r w:rsidRPr="00F47A09">
        <w:rPr>
          <w:lang w:val="fr-CA"/>
        </w:rPr>
        <w:tab/>
      </w:r>
      <w:r w:rsidR="00DD135C" w:rsidRPr="00BD023E">
        <w:rPr>
          <w:kern w:val="22"/>
          <w:szCs w:val="22"/>
          <w:lang w:val="fr-CA" w:bidi="fr-FR"/>
        </w:rPr>
        <w:t>D</w:t>
      </w:r>
      <w:r w:rsidR="00DD135C">
        <w:rPr>
          <w:kern w:val="22"/>
          <w:szCs w:val="22"/>
          <w:lang w:val="fr-CA" w:bidi="fr-FR"/>
        </w:rPr>
        <w:t>’</w:t>
      </w:r>
      <w:r w:rsidR="00C870B6">
        <w:rPr>
          <w:kern w:val="22"/>
          <w:szCs w:val="22"/>
          <w:lang w:val="fr-CA" w:bidi="fr-FR"/>
        </w:rPr>
        <w:t>analyser et de résum</w:t>
      </w:r>
      <w:r w:rsidR="00DD135C" w:rsidRPr="00BD023E">
        <w:rPr>
          <w:kern w:val="22"/>
          <w:szCs w:val="22"/>
          <w:lang w:val="fr-CA" w:bidi="fr-FR"/>
        </w:rPr>
        <w:t>er les i</w:t>
      </w:r>
      <w:r w:rsidR="009F2610">
        <w:rPr>
          <w:kern w:val="22"/>
          <w:szCs w:val="22"/>
          <w:lang w:val="fr-CA" w:bidi="fr-FR"/>
        </w:rPr>
        <w:t>nformations sur l’application</w:t>
      </w:r>
      <w:r w:rsidR="00DD135C" w:rsidRPr="00BD023E">
        <w:rPr>
          <w:kern w:val="22"/>
          <w:szCs w:val="22"/>
          <w:lang w:val="fr-CA" w:bidi="fr-FR"/>
        </w:rPr>
        <w:t xml:space="preserve"> du Protocole en utilisant</w:t>
      </w:r>
      <w:r w:rsidR="00C870B6">
        <w:rPr>
          <w:kern w:val="22"/>
          <w:szCs w:val="22"/>
          <w:lang w:val="fr-CA" w:bidi="fr-FR"/>
        </w:rPr>
        <w:t xml:space="preserve">, entre autres, </w:t>
      </w:r>
      <w:r w:rsidR="00DD135C" w:rsidRPr="00BD023E">
        <w:rPr>
          <w:kern w:val="22"/>
          <w:szCs w:val="22"/>
          <w:lang w:val="fr-CA" w:bidi="fr-FR"/>
        </w:rPr>
        <w:t>les quatrièmes rapports nationaux</w:t>
      </w:r>
      <w:r w:rsidR="00C870B6">
        <w:rPr>
          <w:kern w:val="22"/>
          <w:szCs w:val="22"/>
          <w:lang w:val="fr-CA" w:bidi="fr-FR"/>
        </w:rPr>
        <w:t xml:space="preserve"> comme source primaire</w:t>
      </w:r>
      <w:r w:rsidR="00DD135C" w:rsidRPr="00BD023E">
        <w:rPr>
          <w:kern w:val="22"/>
          <w:szCs w:val="22"/>
          <w:lang w:val="fr-CA" w:bidi="fr-FR"/>
        </w:rPr>
        <w:t>, le Centre d</w:t>
      </w:r>
      <w:r w:rsidR="00DD135C">
        <w:rPr>
          <w:kern w:val="22"/>
          <w:szCs w:val="22"/>
          <w:lang w:val="fr-CA" w:bidi="fr-FR"/>
        </w:rPr>
        <w:t>’</w:t>
      </w:r>
      <w:r w:rsidR="00DD135C" w:rsidRPr="00BD023E">
        <w:rPr>
          <w:kern w:val="22"/>
          <w:szCs w:val="22"/>
          <w:lang w:val="fr-CA" w:bidi="fr-FR"/>
        </w:rPr>
        <w:t xml:space="preserve">échange pour la prévention </w:t>
      </w:r>
      <w:r w:rsidR="00C870B6">
        <w:rPr>
          <w:kern w:val="22"/>
          <w:szCs w:val="22"/>
          <w:lang w:val="fr-CA" w:bidi="fr-FR"/>
        </w:rPr>
        <w:t xml:space="preserve">des risques biotechnologiques et les données d’expérience des projets de renforcement des capacités et du Comité chargé du respect des obligations, le cas </w:t>
      </w:r>
      <w:r w:rsidR="00C870B6">
        <w:rPr>
          <w:kern w:val="22"/>
          <w:szCs w:val="22"/>
          <w:lang w:val="fr-CA" w:bidi="fr-FR"/>
        </w:rPr>
        <w:lastRenderedPageBreak/>
        <w:t xml:space="preserve">échéant, </w:t>
      </w:r>
      <w:r w:rsidR="00F63CC8">
        <w:rPr>
          <w:kern w:val="22"/>
          <w:szCs w:val="22"/>
          <w:lang w:val="fr-CA" w:bidi="fr-FR"/>
        </w:rPr>
        <w:t>en vue de</w:t>
      </w:r>
      <w:r w:rsidR="00DD135C" w:rsidRPr="00BD023E">
        <w:rPr>
          <w:kern w:val="22"/>
          <w:szCs w:val="22"/>
          <w:lang w:val="fr-CA" w:bidi="fr-FR"/>
        </w:rPr>
        <w:t xml:space="preserve"> faciliter la quatrième évaluation et </w:t>
      </w:r>
      <w:r w:rsidR="00C870B6">
        <w:rPr>
          <w:kern w:val="22"/>
          <w:szCs w:val="22"/>
          <w:lang w:val="fr-CA" w:bidi="fr-FR"/>
        </w:rPr>
        <w:t>examen</w:t>
      </w:r>
      <w:r w:rsidR="00F63CC8">
        <w:rPr>
          <w:kern w:val="22"/>
          <w:szCs w:val="22"/>
          <w:lang w:val="fr-CA" w:bidi="fr-FR"/>
        </w:rPr>
        <w:t xml:space="preserve"> du Protocole en même temps que</w:t>
      </w:r>
      <w:r w:rsidR="00DD135C" w:rsidRPr="00BD023E">
        <w:rPr>
          <w:kern w:val="22"/>
          <w:szCs w:val="22"/>
          <w:lang w:val="fr-CA" w:bidi="fr-FR"/>
        </w:rPr>
        <w:t xml:space="preserve"> l</w:t>
      </w:r>
      <w:r w:rsidR="00DD135C">
        <w:rPr>
          <w:kern w:val="22"/>
          <w:szCs w:val="22"/>
          <w:lang w:val="fr-CA" w:bidi="fr-FR"/>
        </w:rPr>
        <w:t>’</w:t>
      </w:r>
      <w:r w:rsidR="00DD135C" w:rsidRPr="00BD023E">
        <w:rPr>
          <w:kern w:val="22"/>
          <w:szCs w:val="22"/>
          <w:lang w:val="fr-CA" w:bidi="fr-FR"/>
        </w:rPr>
        <w:t xml:space="preserve">évaluation finale du Plan stratégique et </w:t>
      </w:r>
      <w:r w:rsidR="009F2610">
        <w:rPr>
          <w:kern w:val="22"/>
          <w:szCs w:val="22"/>
          <w:lang w:val="fr-CA" w:bidi="fr-FR"/>
        </w:rPr>
        <w:t xml:space="preserve">de </w:t>
      </w:r>
      <w:r w:rsidR="00DD135C" w:rsidRPr="00BD023E">
        <w:rPr>
          <w:kern w:val="22"/>
          <w:szCs w:val="22"/>
          <w:lang w:val="fr-CA" w:bidi="fr-FR"/>
        </w:rPr>
        <w:t>mettre cette information à la disposition du Groupe de liaison sur le renforcement des capacités et</w:t>
      </w:r>
      <w:r w:rsidR="0055689E">
        <w:rPr>
          <w:kern w:val="22"/>
          <w:szCs w:val="22"/>
          <w:lang w:val="fr-CA" w:bidi="fr-FR"/>
        </w:rPr>
        <w:t>, selon qu’il convient,</w:t>
      </w:r>
      <w:r w:rsidR="00DD135C" w:rsidRPr="00BD023E">
        <w:rPr>
          <w:kern w:val="22"/>
          <w:szCs w:val="22"/>
          <w:lang w:val="fr-CA" w:bidi="fr-FR"/>
        </w:rPr>
        <w:t xml:space="preserve"> du Comité </w:t>
      </w:r>
      <w:r w:rsidR="00C870B6">
        <w:rPr>
          <w:kern w:val="22"/>
          <w:szCs w:val="22"/>
          <w:lang w:val="fr-CA" w:bidi="fr-FR"/>
        </w:rPr>
        <w:t xml:space="preserve">chargé du </w:t>
      </w:r>
      <w:r w:rsidR="00DD135C" w:rsidRPr="00BD023E">
        <w:rPr>
          <w:kern w:val="22"/>
          <w:szCs w:val="22"/>
          <w:lang w:val="fr-CA" w:bidi="fr-FR"/>
        </w:rPr>
        <w:t>respect des obligations</w:t>
      </w:r>
      <w:r w:rsidR="00A104D6" w:rsidRPr="00F47A09">
        <w:rPr>
          <w:lang w:val="fr-CA"/>
        </w:rPr>
        <w:t>;</w:t>
      </w:r>
    </w:p>
    <w:p w:rsidR="00561A22" w:rsidRPr="00F47A09" w:rsidRDefault="00A305FA" w:rsidP="00DD135C">
      <w:pPr>
        <w:pStyle w:val="Para1"/>
        <w:numPr>
          <w:ilvl w:val="0"/>
          <w:numId w:val="0"/>
        </w:numPr>
        <w:kinsoku w:val="0"/>
        <w:overflowPunct w:val="0"/>
        <w:autoSpaceDE w:val="0"/>
        <w:autoSpaceDN w:val="0"/>
        <w:ind w:left="720" w:firstLine="720"/>
        <w:rPr>
          <w:lang w:val="fr-CA"/>
        </w:rPr>
      </w:pPr>
      <w:r w:rsidRPr="00F47A09">
        <w:rPr>
          <w:lang w:val="fr-CA"/>
        </w:rPr>
        <w:t>4.</w:t>
      </w:r>
      <w:r w:rsidRPr="00F47A09">
        <w:rPr>
          <w:lang w:val="fr-CA"/>
        </w:rPr>
        <w:tab/>
      </w:r>
      <w:r w:rsidR="00DD135C">
        <w:rPr>
          <w:i/>
          <w:kern w:val="22"/>
          <w:szCs w:val="22"/>
          <w:lang w:val="fr-CA" w:bidi="fr-FR"/>
        </w:rPr>
        <w:t>Demande</w:t>
      </w:r>
      <w:r w:rsidR="00DD135C" w:rsidRPr="00BD023E">
        <w:rPr>
          <w:kern w:val="22"/>
          <w:szCs w:val="22"/>
          <w:lang w:val="fr-CA" w:bidi="fr-FR"/>
        </w:rPr>
        <w:t xml:space="preserve"> </w:t>
      </w:r>
      <w:r w:rsidR="00DD135C">
        <w:rPr>
          <w:kern w:val="22"/>
          <w:szCs w:val="22"/>
          <w:lang w:val="fr-CA" w:bidi="fr-FR"/>
        </w:rPr>
        <w:t>au</w:t>
      </w:r>
      <w:r w:rsidR="00DD135C" w:rsidRPr="00BD023E">
        <w:rPr>
          <w:kern w:val="22"/>
          <w:szCs w:val="22"/>
          <w:lang w:val="fr-CA" w:bidi="fr-FR"/>
        </w:rPr>
        <w:t xml:space="preserve"> Groupe de liaison sur le </w:t>
      </w:r>
      <w:r w:rsidR="00DD135C">
        <w:rPr>
          <w:kern w:val="22"/>
          <w:szCs w:val="22"/>
          <w:lang w:val="fr-CA" w:bidi="fr-FR"/>
        </w:rPr>
        <w:t>renforcement des capacités et au</w:t>
      </w:r>
      <w:r w:rsidR="00DD135C" w:rsidRPr="00BD023E">
        <w:rPr>
          <w:kern w:val="22"/>
          <w:szCs w:val="22"/>
          <w:lang w:val="fr-CA" w:bidi="fr-FR"/>
        </w:rPr>
        <w:t xml:space="preserve"> </w:t>
      </w:r>
      <w:r w:rsidR="00C870B6">
        <w:rPr>
          <w:kern w:val="22"/>
          <w:szCs w:val="22"/>
          <w:lang w:val="fr-CA" w:bidi="fr-FR"/>
        </w:rPr>
        <w:t>Comité chargé du respect</w:t>
      </w:r>
      <w:r w:rsidR="009F2610">
        <w:rPr>
          <w:kern w:val="22"/>
          <w:szCs w:val="22"/>
          <w:lang w:val="fr-CA" w:bidi="fr-FR"/>
        </w:rPr>
        <w:t xml:space="preserve"> des obligations de contribuer à </w:t>
      </w:r>
      <w:r w:rsidR="00DD135C" w:rsidRPr="00BD023E">
        <w:rPr>
          <w:kern w:val="22"/>
          <w:szCs w:val="22"/>
          <w:lang w:val="fr-CA" w:bidi="fr-FR"/>
        </w:rPr>
        <w:t xml:space="preserve">la quatrième évaluation et </w:t>
      </w:r>
      <w:r w:rsidR="00C870B6">
        <w:rPr>
          <w:kern w:val="22"/>
          <w:szCs w:val="22"/>
          <w:lang w:val="fr-CA" w:bidi="fr-FR"/>
        </w:rPr>
        <w:t>examen</w:t>
      </w:r>
      <w:r w:rsidR="00DD135C" w:rsidRPr="00BD023E">
        <w:rPr>
          <w:kern w:val="22"/>
          <w:szCs w:val="22"/>
          <w:lang w:val="fr-CA" w:bidi="fr-FR"/>
        </w:rPr>
        <w:t xml:space="preserve"> du Protocole de Carthagène et à l</w:t>
      </w:r>
      <w:r w:rsidR="00DD135C">
        <w:rPr>
          <w:kern w:val="22"/>
          <w:szCs w:val="22"/>
          <w:lang w:val="fr-CA" w:bidi="fr-FR"/>
        </w:rPr>
        <w:t>’</w:t>
      </w:r>
      <w:r w:rsidR="00DD135C" w:rsidRPr="00BD023E">
        <w:rPr>
          <w:kern w:val="22"/>
          <w:szCs w:val="22"/>
          <w:lang w:val="fr-CA" w:bidi="fr-FR"/>
        </w:rPr>
        <w:t>évaluation finale du Plan stratégique</w:t>
      </w:r>
      <w:r w:rsidR="00C4281A">
        <w:rPr>
          <w:kern w:val="22"/>
          <w:szCs w:val="22"/>
          <w:lang w:val="fr-CA" w:bidi="fr-FR"/>
        </w:rPr>
        <w:t xml:space="preserve"> en travaillant de manière com</w:t>
      </w:r>
      <w:r w:rsidR="009A36F9">
        <w:rPr>
          <w:kern w:val="22"/>
          <w:szCs w:val="22"/>
          <w:lang w:val="fr-CA" w:bidi="fr-FR"/>
        </w:rPr>
        <w:t>plémentaire et en évitant de faire</w:t>
      </w:r>
      <w:bookmarkStart w:id="1" w:name="_GoBack"/>
      <w:bookmarkEnd w:id="1"/>
      <w:r w:rsidR="00C4281A">
        <w:rPr>
          <w:kern w:val="22"/>
          <w:szCs w:val="22"/>
          <w:lang w:val="fr-CA" w:bidi="fr-FR"/>
        </w:rPr>
        <w:t xml:space="preserve"> double emploi, et de présenter leurs conclusions à</w:t>
      </w:r>
      <w:r w:rsidR="00DD135C" w:rsidRPr="00BD023E">
        <w:rPr>
          <w:kern w:val="22"/>
          <w:szCs w:val="22"/>
          <w:lang w:val="fr-CA" w:bidi="fr-FR"/>
        </w:rPr>
        <w:t xml:space="preserve"> l</w:t>
      </w:r>
      <w:r w:rsidR="00DD135C">
        <w:rPr>
          <w:kern w:val="22"/>
          <w:szCs w:val="22"/>
          <w:lang w:val="fr-CA" w:bidi="fr-FR"/>
        </w:rPr>
        <w:t>’</w:t>
      </w:r>
      <w:r w:rsidR="00DD135C" w:rsidRPr="00BD023E">
        <w:rPr>
          <w:kern w:val="22"/>
          <w:szCs w:val="22"/>
          <w:lang w:val="fr-CA" w:bidi="fr-FR"/>
        </w:rPr>
        <w:t>Organe subsidiaire chargé de l</w:t>
      </w:r>
      <w:r w:rsidR="00DD135C">
        <w:rPr>
          <w:kern w:val="22"/>
          <w:szCs w:val="22"/>
          <w:lang w:val="fr-CA" w:bidi="fr-FR"/>
        </w:rPr>
        <w:t>’</w:t>
      </w:r>
      <w:r w:rsidR="00DD135C" w:rsidRPr="00BD023E">
        <w:rPr>
          <w:kern w:val="22"/>
          <w:szCs w:val="22"/>
          <w:lang w:val="fr-CA" w:bidi="fr-FR"/>
        </w:rPr>
        <w:t>applicatio</w:t>
      </w:r>
      <w:r w:rsidR="00DD135C">
        <w:rPr>
          <w:kern w:val="22"/>
          <w:szCs w:val="22"/>
          <w:lang w:val="fr-CA" w:bidi="fr-FR"/>
        </w:rPr>
        <w:t>n</w:t>
      </w:r>
      <w:r w:rsidR="00C4281A">
        <w:rPr>
          <w:kern w:val="22"/>
          <w:szCs w:val="22"/>
          <w:lang w:val="fr-CA" w:bidi="fr-FR"/>
        </w:rPr>
        <w:t xml:space="preserve"> pour examen</w:t>
      </w:r>
      <w:r w:rsidR="00A104D6" w:rsidRPr="00F47A09">
        <w:rPr>
          <w:lang w:val="fr-CA"/>
        </w:rPr>
        <w:t>;</w:t>
      </w:r>
    </w:p>
    <w:p w:rsidR="00427D21" w:rsidRPr="00F47A09" w:rsidRDefault="00A305FA" w:rsidP="00F00DD7">
      <w:pPr>
        <w:pStyle w:val="Para1"/>
        <w:numPr>
          <w:ilvl w:val="0"/>
          <w:numId w:val="0"/>
        </w:numPr>
        <w:kinsoku w:val="0"/>
        <w:overflowPunct w:val="0"/>
        <w:autoSpaceDE w:val="0"/>
        <w:autoSpaceDN w:val="0"/>
        <w:spacing w:after="240"/>
        <w:ind w:left="720" w:firstLine="720"/>
        <w:rPr>
          <w:lang w:val="fr-CA"/>
        </w:rPr>
      </w:pPr>
      <w:r w:rsidRPr="00F47A09">
        <w:rPr>
          <w:lang w:val="fr-CA"/>
        </w:rPr>
        <w:t>5.</w:t>
      </w:r>
      <w:r w:rsidRPr="00F47A09">
        <w:rPr>
          <w:lang w:val="fr-CA"/>
        </w:rPr>
        <w:tab/>
      </w:r>
      <w:r w:rsidR="00DD135C" w:rsidRPr="00BD023E">
        <w:rPr>
          <w:i/>
          <w:kern w:val="22"/>
          <w:szCs w:val="22"/>
          <w:lang w:val="fr-CA" w:bidi="fr-FR"/>
        </w:rPr>
        <w:t>Demande</w:t>
      </w:r>
      <w:r w:rsidR="00DD135C" w:rsidRPr="00BD023E">
        <w:rPr>
          <w:kern w:val="22"/>
          <w:szCs w:val="22"/>
          <w:lang w:val="fr-CA" w:bidi="fr-FR"/>
        </w:rPr>
        <w:t xml:space="preserve"> à l</w:t>
      </w:r>
      <w:r w:rsidR="00DD135C">
        <w:rPr>
          <w:kern w:val="22"/>
          <w:szCs w:val="22"/>
          <w:lang w:val="fr-CA" w:bidi="fr-FR"/>
        </w:rPr>
        <w:t>’</w:t>
      </w:r>
      <w:r w:rsidR="00DD135C" w:rsidRPr="00BD023E">
        <w:rPr>
          <w:kern w:val="22"/>
          <w:szCs w:val="22"/>
          <w:lang w:val="fr-CA" w:bidi="fr-FR"/>
        </w:rPr>
        <w:t>Organe subsidiaire chargé de l</w:t>
      </w:r>
      <w:r w:rsidR="00DD135C">
        <w:rPr>
          <w:kern w:val="22"/>
          <w:szCs w:val="22"/>
          <w:lang w:val="fr-CA" w:bidi="fr-FR"/>
        </w:rPr>
        <w:t>’</w:t>
      </w:r>
      <w:r w:rsidR="00DD135C" w:rsidRPr="00BD023E">
        <w:rPr>
          <w:kern w:val="22"/>
          <w:szCs w:val="22"/>
          <w:lang w:val="fr-CA" w:bidi="fr-FR"/>
        </w:rPr>
        <w:t>application</w:t>
      </w:r>
      <w:r w:rsidR="00C4281A">
        <w:rPr>
          <w:kern w:val="22"/>
          <w:szCs w:val="22"/>
          <w:lang w:val="fr-CA" w:bidi="fr-FR"/>
        </w:rPr>
        <w:t xml:space="preserve"> d’examiner, à sa troisième réunion, </w:t>
      </w:r>
      <w:r w:rsidR="00DD135C" w:rsidRPr="00BD023E">
        <w:rPr>
          <w:kern w:val="22"/>
          <w:szCs w:val="22"/>
          <w:lang w:val="fr-CA" w:bidi="fr-FR"/>
        </w:rPr>
        <w:t xml:space="preserve">les informations fournies et les conclusions formulées par le Groupe de liaison et le </w:t>
      </w:r>
      <w:r w:rsidR="00C870B6">
        <w:rPr>
          <w:kern w:val="22"/>
          <w:szCs w:val="22"/>
          <w:lang w:val="fr-CA" w:bidi="fr-FR"/>
        </w:rPr>
        <w:t>Comité chargé du respect</w:t>
      </w:r>
      <w:r w:rsidR="00C4281A">
        <w:rPr>
          <w:kern w:val="22"/>
          <w:szCs w:val="22"/>
          <w:lang w:val="fr-CA" w:bidi="fr-FR"/>
        </w:rPr>
        <w:t xml:space="preserve"> des obligations et de présenter</w:t>
      </w:r>
      <w:r w:rsidR="00DD135C" w:rsidRPr="00BD023E">
        <w:rPr>
          <w:kern w:val="22"/>
          <w:szCs w:val="22"/>
          <w:lang w:val="fr-CA" w:bidi="fr-FR"/>
        </w:rPr>
        <w:t xml:space="preserve"> ses conclusions et recommandations à la Conférence des Parties siégeant en tant que </w:t>
      </w:r>
      <w:r w:rsidR="00C4281A">
        <w:rPr>
          <w:kern w:val="22"/>
          <w:szCs w:val="22"/>
          <w:lang w:val="fr-CA" w:bidi="fr-FR"/>
        </w:rPr>
        <w:t xml:space="preserve">réunion des </w:t>
      </w:r>
      <w:r w:rsidR="00DD135C" w:rsidRPr="00BD023E">
        <w:rPr>
          <w:kern w:val="22"/>
          <w:szCs w:val="22"/>
          <w:lang w:val="fr-CA" w:bidi="fr-FR"/>
        </w:rPr>
        <w:t xml:space="preserve">Parties au Protocole de Cartagena à sa dixième réunion, en vue de faciliter la quatrième évaluation et </w:t>
      </w:r>
      <w:r w:rsidR="00C870B6">
        <w:rPr>
          <w:kern w:val="22"/>
          <w:szCs w:val="22"/>
          <w:lang w:val="fr-CA" w:bidi="fr-FR"/>
        </w:rPr>
        <w:t>examen</w:t>
      </w:r>
      <w:r w:rsidR="00DD135C" w:rsidRPr="00BD023E">
        <w:rPr>
          <w:kern w:val="22"/>
          <w:szCs w:val="22"/>
          <w:lang w:val="fr-CA" w:bidi="fr-FR"/>
        </w:rPr>
        <w:t xml:space="preserve"> du Protocole de Cartagena et l</w:t>
      </w:r>
      <w:r w:rsidR="00DD135C">
        <w:rPr>
          <w:kern w:val="22"/>
          <w:szCs w:val="22"/>
          <w:lang w:val="fr-CA" w:bidi="fr-FR"/>
        </w:rPr>
        <w:t>’</w:t>
      </w:r>
      <w:r w:rsidR="00DD135C" w:rsidRPr="00BD023E">
        <w:rPr>
          <w:kern w:val="22"/>
          <w:szCs w:val="22"/>
          <w:lang w:val="fr-CA" w:bidi="fr-FR"/>
        </w:rPr>
        <w:t xml:space="preserve">évaluation finale du Plan </w:t>
      </w:r>
      <w:r w:rsidR="00C870B6">
        <w:rPr>
          <w:kern w:val="22"/>
          <w:szCs w:val="22"/>
          <w:lang w:val="fr-CA" w:bidi="fr-FR"/>
        </w:rPr>
        <w:t>stratégique du Pro</w:t>
      </w:r>
      <w:r w:rsidR="00DD135C" w:rsidRPr="00BD023E">
        <w:rPr>
          <w:kern w:val="22"/>
          <w:szCs w:val="22"/>
          <w:lang w:val="fr-CA" w:bidi="fr-FR"/>
        </w:rPr>
        <w:t>tocole de Cartagena sur la prévention des risques biotechnologiques pour la période 2011</w:t>
      </w:r>
      <w:r w:rsidR="00D547E4">
        <w:rPr>
          <w:kern w:val="22"/>
          <w:szCs w:val="22"/>
          <w:lang w:val="fr-CA" w:bidi="fr-FR"/>
        </w:rPr>
        <w:noBreakHyphen/>
      </w:r>
      <w:r w:rsidR="00DD135C" w:rsidRPr="00BD023E">
        <w:rPr>
          <w:kern w:val="22"/>
          <w:szCs w:val="22"/>
          <w:lang w:val="fr-CA" w:bidi="fr-FR"/>
        </w:rPr>
        <w:t>2020</w:t>
      </w:r>
      <w:r w:rsidR="005837AB">
        <w:rPr>
          <w:lang w:val="fr-CA"/>
        </w:rPr>
        <w:t>.</w:t>
      </w:r>
    </w:p>
    <w:p w:rsidR="00C9161D" w:rsidRPr="00F47A09" w:rsidRDefault="00C9161D" w:rsidP="003F08B2">
      <w:pPr>
        <w:kinsoku w:val="0"/>
        <w:overflowPunct w:val="0"/>
        <w:autoSpaceDE w:val="0"/>
        <w:autoSpaceDN w:val="0"/>
        <w:jc w:val="center"/>
        <w:rPr>
          <w:lang w:val="fr-CA"/>
        </w:rPr>
      </w:pPr>
      <w:r w:rsidRPr="00F47A09">
        <w:rPr>
          <w:lang w:val="fr-CA"/>
        </w:rPr>
        <w:t>______</w:t>
      </w:r>
      <w:r w:rsidR="00F00DD7">
        <w:rPr>
          <w:lang w:val="fr-CA"/>
        </w:rPr>
        <w:t>___</w:t>
      </w:r>
    </w:p>
    <w:p w:rsidR="00B3369F" w:rsidRPr="00F47A09" w:rsidRDefault="00B3369F" w:rsidP="003F08B2">
      <w:pPr>
        <w:kinsoku w:val="0"/>
        <w:overflowPunct w:val="0"/>
        <w:autoSpaceDE w:val="0"/>
        <w:autoSpaceDN w:val="0"/>
        <w:jc w:val="center"/>
        <w:rPr>
          <w:lang w:val="fr-CA"/>
        </w:rPr>
      </w:pPr>
    </w:p>
    <w:sectPr w:rsidR="00B3369F" w:rsidRPr="00F47A09" w:rsidSect="009C200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567" w:right="1389" w:bottom="1134" w:left="138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AF8" w:rsidRDefault="00655AF8" w:rsidP="00CF1848">
      <w:r>
        <w:separator/>
      </w:r>
    </w:p>
  </w:endnote>
  <w:endnote w:type="continuationSeparator" w:id="0">
    <w:p w:rsidR="00655AF8" w:rsidRDefault="00655AF8" w:rsidP="00CF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4B0" w:rsidRDefault="004E44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4B0" w:rsidRDefault="004E44B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4B0" w:rsidRDefault="004E44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AF8" w:rsidRDefault="00655AF8" w:rsidP="00CF1848">
      <w:r>
        <w:separator/>
      </w:r>
    </w:p>
  </w:footnote>
  <w:footnote w:type="continuationSeparator" w:id="0">
    <w:p w:rsidR="00655AF8" w:rsidRDefault="00655AF8" w:rsidP="00CF1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1" w:rsidRPr="0014445B" w:rsidRDefault="004E44B0" w:rsidP="00534681">
    <w:pPr>
      <w:pStyle w:val="Header"/>
      <w:rPr>
        <w:lang w:val="fr-FR"/>
      </w:rPr>
    </w:pPr>
    <w:r>
      <w:rPr>
        <w:lang w:val="fr-FR"/>
      </w:rPr>
      <w:t>CBD/SBI/REC/2/12</w:t>
    </w:r>
  </w:p>
  <w:p w:rsidR="00534681" w:rsidRPr="0014445B" w:rsidRDefault="00534681" w:rsidP="00534681">
    <w:pPr>
      <w:pStyle w:val="Header"/>
      <w:rPr>
        <w:lang w:val="fr-FR"/>
      </w:rPr>
    </w:pPr>
    <w:r w:rsidRPr="0014445B">
      <w:rPr>
        <w:lang w:val="fr-FR"/>
      </w:rPr>
      <w:t xml:space="preserve">Page </w:t>
    </w:r>
    <w:r w:rsidR="00F475F3">
      <w:fldChar w:fldCharType="begin"/>
    </w:r>
    <w:r w:rsidRPr="0014445B">
      <w:rPr>
        <w:lang w:val="fr-FR"/>
      </w:rPr>
      <w:instrText xml:space="preserve"> PAGE   \* MERGEFORMAT </w:instrText>
    </w:r>
    <w:r w:rsidR="00F475F3">
      <w:fldChar w:fldCharType="separate"/>
    </w:r>
    <w:r w:rsidR="009A36F9">
      <w:rPr>
        <w:noProof/>
        <w:lang w:val="fr-FR"/>
      </w:rPr>
      <w:t>2</w:t>
    </w:r>
    <w:r w:rsidR="00F475F3">
      <w:rPr>
        <w:noProof/>
      </w:rPr>
      <w:fldChar w:fldCharType="end"/>
    </w:r>
  </w:p>
  <w:p w:rsidR="00534681" w:rsidRPr="0014445B" w:rsidRDefault="00534681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lang w:val="fr-FR"/>
      </w:rPr>
      <w:alias w:val="Subject"/>
      <w:tag w:val=""/>
      <w:id w:val="851227268"/>
      <w:placeholder>
        <w:docPart w:val="9E64A1B551BC4D48B19DB33F17A999C0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:rsidR="009505C9" w:rsidRPr="0014445B" w:rsidRDefault="005C2F69" w:rsidP="009505C9">
        <w:pPr>
          <w:pStyle w:val="Header"/>
          <w:jc w:val="right"/>
          <w:rPr>
            <w:lang w:val="fr-FR"/>
          </w:rPr>
        </w:pPr>
        <w:r>
          <w:t>CBD/SBI/REC/2/12</w:t>
        </w:r>
      </w:p>
    </w:sdtContent>
  </w:sdt>
  <w:p w:rsidR="009505C9" w:rsidRPr="0014445B" w:rsidRDefault="009505C9" w:rsidP="009505C9">
    <w:pPr>
      <w:pStyle w:val="Header"/>
      <w:jc w:val="right"/>
      <w:rPr>
        <w:lang w:val="fr-FR"/>
      </w:rPr>
    </w:pPr>
    <w:r w:rsidRPr="0014445B">
      <w:rPr>
        <w:lang w:val="fr-FR"/>
      </w:rPr>
      <w:t xml:space="preserve">Page </w:t>
    </w:r>
    <w:r w:rsidR="00F475F3">
      <w:fldChar w:fldCharType="begin"/>
    </w:r>
    <w:r w:rsidRPr="0014445B">
      <w:rPr>
        <w:lang w:val="fr-FR"/>
      </w:rPr>
      <w:instrText xml:space="preserve"> PAGE   \* MERGEFORMAT </w:instrText>
    </w:r>
    <w:r w:rsidR="00F475F3">
      <w:fldChar w:fldCharType="separate"/>
    </w:r>
    <w:r w:rsidR="009C200D" w:rsidRPr="0014445B">
      <w:rPr>
        <w:noProof/>
        <w:lang w:val="fr-FR"/>
      </w:rPr>
      <w:t>1</w:t>
    </w:r>
    <w:r w:rsidR="00F475F3">
      <w:rPr>
        <w:noProof/>
      </w:rPr>
      <w:fldChar w:fldCharType="end"/>
    </w:r>
  </w:p>
  <w:p w:rsidR="009505C9" w:rsidRPr="0014445B" w:rsidRDefault="009505C9">
    <w:pPr>
      <w:pStyle w:val="Header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4B0" w:rsidRDefault="004E44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B8510F5"/>
    <w:multiLevelType w:val="hybridMultilevel"/>
    <w:tmpl w:val="EA10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>
    <w:nsid w:val="31665780"/>
    <w:multiLevelType w:val="hybridMultilevel"/>
    <w:tmpl w:val="76A27EA0"/>
    <w:lvl w:ilvl="0" w:tplc="F4A4BE5C">
      <w:start w:val="3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4E0442B4"/>
    <w:multiLevelType w:val="multilevel"/>
    <w:tmpl w:val="EEC826BA"/>
    <w:lvl w:ilvl="0">
      <w:start w:val="1"/>
      <w:numFmt w:val="decimal"/>
      <w:pStyle w:val="Para1"/>
      <w:lvlText w:val="%1."/>
      <w:lvlJc w:val="left"/>
      <w:pPr>
        <w:tabs>
          <w:tab w:val="num" w:pos="1800"/>
        </w:tabs>
        <w:ind w:left="1440" w:firstLine="0"/>
      </w:pPr>
      <w:rPr>
        <w:rFonts w:ascii="Times New Roman" w:eastAsia="Times New Roman" w:hAnsi="Times New Roman" w:cs="Times New Roman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2880"/>
        </w:tabs>
        <w:ind w:left="144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8">
    <w:nsid w:val="52C940CC"/>
    <w:multiLevelType w:val="hybridMultilevel"/>
    <w:tmpl w:val="33BC1A84"/>
    <w:lvl w:ilvl="0" w:tplc="A9BAD4FA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81151E5"/>
    <w:multiLevelType w:val="hybridMultilevel"/>
    <w:tmpl w:val="05FA9C00"/>
    <w:lvl w:ilvl="0" w:tplc="72F6D3A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975246"/>
    <w:multiLevelType w:val="hybridMultilevel"/>
    <w:tmpl w:val="8CC0468E"/>
    <w:lvl w:ilvl="0" w:tplc="4342A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3D802DE"/>
    <w:multiLevelType w:val="hybridMultilevel"/>
    <w:tmpl w:val="33140710"/>
    <w:lvl w:ilvl="0" w:tplc="D30ACC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617DFD"/>
    <w:multiLevelType w:val="hybridMultilevel"/>
    <w:tmpl w:val="0DFE4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5"/>
    <w:lvlOverride w:ilvl="0">
      <w:startOverride w:val="1"/>
    </w:lvlOverride>
  </w:num>
  <w:num w:numId="9">
    <w:abstractNumId w:val="11"/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10"/>
  </w:num>
  <w:num w:numId="15">
    <w:abstractNumId w:val="9"/>
  </w:num>
  <w:num w:numId="16">
    <w:abstractNumId w:val="1"/>
  </w:num>
  <w:num w:numId="17">
    <w:abstractNumId w:val="12"/>
  </w:num>
  <w:num w:numId="18">
    <w:abstractNumId w:val="13"/>
  </w:num>
  <w:num w:numId="19">
    <w:abstractNumId w:val="7"/>
  </w:num>
  <w:num w:numId="20">
    <w:abstractNumId w:val="7"/>
  </w:num>
  <w:num w:numId="21">
    <w:abstractNumId w:val="8"/>
  </w:num>
  <w:num w:numId="22">
    <w:abstractNumId w:val="4"/>
  </w:num>
  <w:num w:numId="23">
    <w:abstractNumId w:val="7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161D"/>
    <w:rsid w:val="00010F02"/>
    <w:rsid w:val="000560B0"/>
    <w:rsid w:val="00062F55"/>
    <w:rsid w:val="00092C4A"/>
    <w:rsid w:val="000A6DEB"/>
    <w:rsid w:val="000B3399"/>
    <w:rsid w:val="000C151C"/>
    <w:rsid w:val="000E673A"/>
    <w:rsid w:val="000F74F5"/>
    <w:rsid w:val="00103FD7"/>
    <w:rsid w:val="00105372"/>
    <w:rsid w:val="0011426F"/>
    <w:rsid w:val="00131E7A"/>
    <w:rsid w:val="00133900"/>
    <w:rsid w:val="0014445B"/>
    <w:rsid w:val="00172AF6"/>
    <w:rsid w:val="00176CEE"/>
    <w:rsid w:val="001853DE"/>
    <w:rsid w:val="0018743A"/>
    <w:rsid w:val="001B31BB"/>
    <w:rsid w:val="001E78A7"/>
    <w:rsid w:val="00211537"/>
    <w:rsid w:val="00372F74"/>
    <w:rsid w:val="00380F59"/>
    <w:rsid w:val="003A3593"/>
    <w:rsid w:val="003F08B2"/>
    <w:rsid w:val="003F7224"/>
    <w:rsid w:val="00405146"/>
    <w:rsid w:val="00427D21"/>
    <w:rsid w:val="00441EB0"/>
    <w:rsid w:val="004644C2"/>
    <w:rsid w:val="00467F9C"/>
    <w:rsid w:val="004A26CF"/>
    <w:rsid w:val="004E44B0"/>
    <w:rsid w:val="0051105B"/>
    <w:rsid w:val="00514517"/>
    <w:rsid w:val="00534681"/>
    <w:rsid w:val="00545579"/>
    <w:rsid w:val="0055078F"/>
    <w:rsid w:val="005564BA"/>
    <w:rsid w:val="0055689E"/>
    <w:rsid w:val="00561A22"/>
    <w:rsid w:val="005837AB"/>
    <w:rsid w:val="005C2F69"/>
    <w:rsid w:val="005F5EE7"/>
    <w:rsid w:val="006122BA"/>
    <w:rsid w:val="00633ACA"/>
    <w:rsid w:val="006340A6"/>
    <w:rsid w:val="00655AF8"/>
    <w:rsid w:val="006B2290"/>
    <w:rsid w:val="006B7B33"/>
    <w:rsid w:val="006E43FC"/>
    <w:rsid w:val="00705CBE"/>
    <w:rsid w:val="00717D88"/>
    <w:rsid w:val="007268DC"/>
    <w:rsid w:val="00740012"/>
    <w:rsid w:val="007942D3"/>
    <w:rsid w:val="007A15CF"/>
    <w:rsid w:val="007B6C09"/>
    <w:rsid w:val="007E09DA"/>
    <w:rsid w:val="008178B6"/>
    <w:rsid w:val="008338AA"/>
    <w:rsid w:val="008632B2"/>
    <w:rsid w:val="0086430C"/>
    <w:rsid w:val="00865B74"/>
    <w:rsid w:val="008A7AF3"/>
    <w:rsid w:val="008E19AA"/>
    <w:rsid w:val="00923CA3"/>
    <w:rsid w:val="00930BA1"/>
    <w:rsid w:val="0093169E"/>
    <w:rsid w:val="009505C9"/>
    <w:rsid w:val="009A36F9"/>
    <w:rsid w:val="009A7174"/>
    <w:rsid w:val="009C200D"/>
    <w:rsid w:val="009F2610"/>
    <w:rsid w:val="00A104D6"/>
    <w:rsid w:val="00A305FA"/>
    <w:rsid w:val="00A54175"/>
    <w:rsid w:val="00A7022C"/>
    <w:rsid w:val="00AA216A"/>
    <w:rsid w:val="00AE309A"/>
    <w:rsid w:val="00B01423"/>
    <w:rsid w:val="00B10F88"/>
    <w:rsid w:val="00B3369F"/>
    <w:rsid w:val="00B70733"/>
    <w:rsid w:val="00B9784F"/>
    <w:rsid w:val="00BE1044"/>
    <w:rsid w:val="00BF3033"/>
    <w:rsid w:val="00BF7C56"/>
    <w:rsid w:val="00C10757"/>
    <w:rsid w:val="00C4281A"/>
    <w:rsid w:val="00C45E6C"/>
    <w:rsid w:val="00C870B6"/>
    <w:rsid w:val="00C9161D"/>
    <w:rsid w:val="00CB3730"/>
    <w:rsid w:val="00CF1848"/>
    <w:rsid w:val="00D12044"/>
    <w:rsid w:val="00D547E4"/>
    <w:rsid w:val="00D722D6"/>
    <w:rsid w:val="00D76A18"/>
    <w:rsid w:val="00DD118C"/>
    <w:rsid w:val="00DD135C"/>
    <w:rsid w:val="00E43326"/>
    <w:rsid w:val="00E66235"/>
    <w:rsid w:val="00E83C24"/>
    <w:rsid w:val="00E9318D"/>
    <w:rsid w:val="00F007E6"/>
    <w:rsid w:val="00F00DD7"/>
    <w:rsid w:val="00F475F3"/>
    <w:rsid w:val="00F47A09"/>
    <w:rsid w:val="00F47B33"/>
    <w:rsid w:val="00F63CC8"/>
    <w:rsid w:val="00F94774"/>
    <w:rsid w:val="00FB72E0"/>
    <w:rsid w:val="00FC53DB"/>
    <w:rsid w:val="00FD3FA3"/>
    <w:rsid w:val="00FE1102"/>
    <w:rsid w:val="00FF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qFormat="1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  <w:lang w:val="en-GB"/>
    </w:rPr>
  </w:style>
  <w:style w:type="paragraph" w:styleId="Heading1">
    <w:name w:val="heading 1"/>
    <w:basedOn w:val="Normal"/>
    <w:next w:val="Heading2"/>
    <w:link w:val="Heading1Char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6122B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link w:val="Heading3Char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link w:val="Heading4Char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link w:val="Heading5Char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link w:val="Heading6Char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link w:val="Heading9Char"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105372"/>
    <w:rPr>
      <w:color w:val="808080"/>
    </w:rPr>
  </w:style>
  <w:style w:type="paragraph" w:styleId="Header">
    <w:name w:val="header"/>
    <w:basedOn w:val="Normal"/>
    <w:link w:val="HeaderChar"/>
    <w:rsid w:val="007E09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styleId="Footer">
    <w:name w:val="footer"/>
    <w:basedOn w:val="Normal"/>
    <w:link w:val="FooterChar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FooterChar">
    <w:name w:val="Footer Char"/>
    <w:basedOn w:val="DefaultParagraphFont"/>
    <w:link w:val="Foot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Normal"/>
    <w:qFormat/>
    <w:rsid w:val="00534681"/>
    <w:pPr>
      <w:ind w:left="142" w:right="4218" w:hanging="142"/>
    </w:pPr>
    <w:rPr>
      <w:caps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Heading1Char">
    <w:name w:val="Heading 1 Char"/>
    <w:basedOn w:val="DefaultParagraphFont"/>
    <w:link w:val="Heading1"/>
    <w:rsid w:val="007E09DA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BodyText">
    <w:name w:val="Body Text"/>
    <w:basedOn w:val="Normal"/>
    <w:link w:val="BodyTextChar"/>
    <w:rsid w:val="007E09DA"/>
    <w:pPr>
      <w:spacing w:before="120" w:after="120"/>
      <w:ind w:firstLine="720"/>
    </w:pPr>
    <w:rPr>
      <w:iCs/>
    </w:rPr>
  </w:style>
  <w:style w:type="character" w:customStyle="1" w:styleId="BodyTextChar">
    <w:name w:val="Body Text Char"/>
    <w:basedOn w:val="DefaultParagraphFont"/>
    <w:link w:val="BodyText"/>
    <w:rsid w:val="007E09DA"/>
    <w:rPr>
      <w:rFonts w:ascii="Times New Roman" w:eastAsia="Times New Roman" w:hAnsi="Times New Roman" w:cs="Times New Roman"/>
      <w:iCs/>
      <w:sz w:val="22"/>
      <w:lang w:val="en-GB"/>
    </w:rPr>
  </w:style>
  <w:style w:type="paragraph" w:styleId="BodyTextIndent">
    <w:name w:val="Body Text Indent"/>
    <w:basedOn w:val="Normal"/>
    <w:link w:val="BodyTextIndentChar"/>
    <w:rsid w:val="007E09DA"/>
    <w:pPr>
      <w:spacing w:before="120" w:after="120"/>
      <w:ind w:left="1440" w:hanging="720"/>
      <w:jc w:val="left"/>
    </w:pPr>
  </w:style>
  <w:style w:type="character" w:customStyle="1" w:styleId="BodyTextIndentChar">
    <w:name w:val="Body Text Indent Char"/>
    <w:basedOn w:val="DefaultParagraphFont"/>
    <w:link w:val="BodyTextIndent"/>
    <w:rsid w:val="007E09DA"/>
    <w:rPr>
      <w:rFonts w:ascii="Times New Roman" w:eastAsia="Times New Roman" w:hAnsi="Times New Roman" w:cs="Times New Roman"/>
      <w:sz w:val="22"/>
      <w:lang w:val="en-GB"/>
    </w:rPr>
  </w:style>
  <w:style w:type="character" w:styleId="CommentReference">
    <w:name w:val="annotation reference"/>
    <w:semiHidden/>
    <w:rsid w:val="007E09DA"/>
    <w:rPr>
      <w:sz w:val="16"/>
    </w:rPr>
  </w:style>
  <w:style w:type="paragraph" w:styleId="CommentText">
    <w:name w:val="annotation text"/>
    <w:basedOn w:val="Normal"/>
    <w:link w:val="CommentTextChar"/>
    <w:semiHidden/>
    <w:rsid w:val="007E09DA"/>
    <w:pPr>
      <w:spacing w:after="120" w:line="240" w:lineRule="exact"/>
    </w:pPr>
  </w:style>
  <w:style w:type="character" w:customStyle="1" w:styleId="CommentTextChar">
    <w:name w:val="Comment Text Char"/>
    <w:basedOn w:val="DefaultParagraphFont"/>
    <w:link w:val="CommentText"/>
    <w:semiHidden/>
    <w:rsid w:val="007E09DA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Normal"/>
    <w:rsid w:val="007E09DA"/>
    <w:pPr>
      <w:ind w:left="170" w:right="3119" w:hanging="170"/>
      <w:jc w:val="left"/>
    </w:pPr>
  </w:style>
  <w:style w:type="character" w:styleId="EndnoteReference">
    <w:name w:val="endnote reference"/>
    <w:semiHidden/>
    <w:rsid w:val="007E09D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EndnoteTextChar">
    <w:name w:val="Endnote Text Char"/>
    <w:basedOn w:val="DefaultParagraphFont"/>
    <w:link w:val="EndnoteText"/>
    <w:semiHidden/>
    <w:rsid w:val="007E09DA"/>
    <w:rPr>
      <w:rFonts w:ascii="Courier New" w:eastAsia="Times New Roman" w:hAnsi="Courier New" w:cs="Times New Roman"/>
      <w:sz w:val="22"/>
      <w:lang w:val="en-GB"/>
    </w:rPr>
  </w:style>
  <w:style w:type="character" w:styleId="FollowedHyperlink">
    <w:name w:val="FollowedHyperlink"/>
    <w:rsid w:val="007E09DA"/>
    <w:rPr>
      <w:color w:val="800080"/>
      <w:u w:val="single"/>
    </w:r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16 Poin"/>
    <w:uiPriority w:val="99"/>
    <w:qFormat/>
    <w:rsid w:val="00427D21"/>
    <w:rPr>
      <w:sz w:val="22"/>
      <w:u w:val="none"/>
      <w:vertAlign w:val="superscript"/>
    </w:rPr>
  </w:style>
  <w:style w:type="paragraph" w:styleId="FootnoteText">
    <w:name w:val="footnote text"/>
    <w:aliases w:val="fn,Geneva 9,Font: Geneva 9,Boston 10,f,ft,Fotnotstext Char,ft Char,single space,footnote text,FOOTNOTES,ADB,single space1,footnote text1,FOOTNOTES1,fn1,ADB1,single space2,footnote text2,FOOTNOTES2,fn2,ADB2,single space3,footnote text3,fn3"/>
    <w:basedOn w:val="Normal"/>
    <w:link w:val="FootnoteTextChar"/>
    <w:uiPriority w:val="99"/>
    <w:qFormat/>
    <w:rsid w:val="007E09DA"/>
    <w:pPr>
      <w:keepLines/>
      <w:spacing w:after="60"/>
      <w:ind w:firstLine="720"/>
    </w:pPr>
    <w:rPr>
      <w:sz w:val="18"/>
    </w:rPr>
  </w:style>
  <w:style w:type="character" w:customStyle="1" w:styleId="FootnoteTextChar">
    <w:name w:val="Footnote Text Char"/>
    <w:aliases w:val="fn Char,Geneva 9 Char,Font: Geneva 9 Char,Boston 10 Char,f Char,ft Char1,Fotnotstext Char Char,ft Char Char,single space Char,footnote text Char,FOOTNOTES Char,ADB Char,single space1 Char,footnote text1 Char,FOOTNOTES1 Char,fn1 Char"/>
    <w:basedOn w:val="DefaultParagraphFont"/>
    <w:link w:val="FootnoteText"/>
    <w:uiPriority w:val="99"/>
    <w:rsid w:val="007E09DA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Normal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Heading2Char">
    <w:name w:val="Heading 2 Char"/>
    <w:basedOn w:val="DefaultParagraphFont"/>
    <w:link w:val="Heading2"/>
    <w:rsid w:val="006122BA"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Heading1"/>
    <w:next w:val="Heading2"/>
    <w:rsid w:val="007E09DA"/>
  </w:style>
  <w:style w:type="paragraph" w:customStyle="1" w:styleId="Heading1longmultiline">
    <w:name w:val="Heading 1 (long multiline)"/>
    <w:basedOn w:val="Heading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Heading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Heading3Char">
    <w:name w:val="Heading 3 Char"/>
    <w:basedOn w:val="DefaultParagraphFont"/>
    <w:link w:val="Heading3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Heading3"/>
    <w:rsid w:val="007E09DA"/>
  </w:style>
  <w:style w:type="paragraph" w:customStyle="1" w:styleId="Heading3multiline">
    <w:name w:val="Heading 3 (multiline)"/>
    <w:basedOn w:val="Heading3"/>
    <w:next w:val="Normal"/>
    <w:rsid w:val="007E09DA"/>
    <w:pPr>
      <w:ind w:left="1418" w:hanging="425"/>
      <w:jc w:val="left"/>
    </w:pPr>
  </w:style>
  <w:style w:type="character" w:customStyle="1" w:styleId="Heading4Char">
    <w:name w:val="Heading 4 Char"/>
    <w:basedOn w:val="DefaultParagraphFont"/>
    <w:link w:val="Heading4"/>
    <w:rsid w:val="007E09DA"/>
    <w:rPr>
      <w:rFonts w:ascii="Times New Roman Bold" w:eastAsia="Arial Unicode MS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Heading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Heading5Char">
    <w:name w:val="Heading 5 Char"/>
    <w:basedOn w:val="DefaultParagraphFont"/>
    <w:link w:val="Heading5"/>
    <w:rsid w:val="007E09DA"/>
    <w:rPr>
      <w:rFonts w:ascii="Times New Roman" w:eastAsia="Times New Roman" w:hAnsi="Times New Roman" w:cs="Times New Roman"/>
      <w:bCs/>
      <w:i/>
      <w:sz w:val="22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rsid w:val="007E09DA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7E09DA"/>
    <w:rPr>
      <w:rFonts w:ascii="Univers" w:eastAsia="Times New Roman" w:hAnsi="Univers" w:cs="Times New Roman"/>
      <w:b/>
      <w:sz w:val="28"/>
      <w:lang w:val="en-GB"/>
    </w:rPr>
  </w:style>
  <w:style w:type="character" w:customStyle="1" w:styleId="Heading8Char">
    <w:name w:val="Heading 8 Char"/>
    <w:basedOn w:val="DefaultParagraphFont"/>
    <w:link w:val="Heading8"/>
    <w:rsid w:val="007E09DA"/>
    <w:rPr>
      <w:rFonts w:ascii="Univers" w:eastAsia="Times New Roman" w:hAnsi="Univers" w:cs="Times New Roman"/>
      <w:b/>
      <w:sz w:val="32"/>
      <w:lang w:val="en-GB"/>
    </w:rPr>
  </w:style>
  <w:style w:type="character" w:customStyle="1" w:styleId="Heading9Char">
    <w:name w:val="Heading 9 Char"/>
    <w:basedOn w:val="DefaultParagraphFont"/>
    <w:link w:val="Heading9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PageNumber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Normal"/>
    <w:link w:val="Para1Char"/>
    <w:rsid w:val="00427D21"/>
    <w:pPr>
      <w:numPr>
        <w:numId w:val="4"/>
      </w:numPr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Heading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Heading2"/>
    <w:qFormat/>
    <w:rsid w:val="0093169E"/>
    <w:pPr>
      <w:jc w:val="left"/>
      <w:outlineLvl w:val="9"/>
    </w:pPr>
    <w:rPr>
      <w:i/>
    </w:rPr>
  </w:style>
  <w:style w:type="paragraph" w:styleId="TOAHeading">
    <w:name w:val="toa heading"/>
    <w:basedOn w:val="Normal"/>
    <w:next w:val="Normal"/>
    <w:semiHidden/>
    <w:rsid w:val="007E09DA"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7E09DA"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rsid w:val="007E09DA"/>
    <w:pPr>
      <w:ind w:left="2160" w:hanging="720"/>
    </w:pPr>
  </w:style>
  <w:style w:type="paragraph" w:styleId="TOC4">
    <w:name w:val="toc 4"/>
    <w:basedOn w:val="Normal"/>
    <w:next w:val="Normal"/>
    <w:autoRedefine/>
    <w:semiHidden/>
    <w:rsid w:val="007E09DA"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rsid w:val="007E09DA"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rsid w:val="007E09DA"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rsid w:val="007E09DA"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rsid w:val="007E09DA"/>
    <w:pPr>
      <w:spacing w:before="120" w:after="120"/>
      <w:ind w:left="1540"/>
      <w:jc w:val="left"/>
    </w:pPr>
  </w:style>
  <w:style w:type="paragraph" w:styleId="TOC9">
    <w:name w:val="toc 9"/>
    <w:basedOn w:val="Normal"/>
    <w:next w:val="Normal"/>
    <w:autoRedefine/>
    <w:semiHidden/>
    <w:rsid w:val="007E09DA"/>
    <w:pPr>
      <w:spacing w:before="120" w:after="120"/>
      <w:ind w:left="1760"/>
      <w:jc w:val="left"/>
    </w:pPr>
  </w:style>
  <w:style w:type="character" w:styleId="Hyperlink">
    <w:name w:val="Hyperlink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locked/>
    <w:rsid w:val="00427D21"/>
    <w:rPr>
      <w:rFonts w:ascii="Times New Roman" w:eastAsia="Times New Roma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Normal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Normal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ListParagraph">
    <w:name w:val="List Paragraph"/>
    <w:basedOn w:val="Normal"/>
    <w:uiPriority w:val="34"/>
    <w:qFormat/>
    <w:rsid w:val="0093169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64A1B551BC4D48B19DB33F17A99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503CA-196A-4545-A30F-592581E2E56B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  <w:docPart>
      <w:docPartPr>
        <w:name w:val="CA6C2B0A7C9D4B6FAE0870F2C47B8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2B0B9-78E4-49ED-8F94-7FD969128801}"/>
      </w:docPartPr>
      <w:docPartBody>
        <w:p w:rsidR="00F676F3" w:rsidRDefault="00860C8A" w:rsidP="00860C8A">
          <w:pPr>
            <w:pStyle w:val="CA6C2B0A7C9D4B6FAE0870F2C47B87F3"/>
          </w:pPr>
          <w:r w:rsidRPr="00BC2AB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10A55"/>
    <w:rsid w:val="00500A2B"/>
    <w:rsid w:val="0058288D"/>
    <w:rsid w:val="006801B3"/>
    <w:rsid w:val="007C3890"/>
    <w:rsid w:val="007F1B76"/>
    <w:rsid w:val="00810A55"/>
    <w:rsid w:val="00860C8A"/>
    <w:rsid w:val="008C6619"/>
    <w:rsid w:val="008D420E"/>
    <w:rsid w:val="0098642F"/>
    <w:rsid w:val="00AB6506"/>
    <w:rsid w:val="00BC4A9B"/>
    <w:rsid w:val="00C30237"/>
    <w:rsid w:val="00D63CD3"/>
    <w:rsid w:val="00E0555E"/>
    <w:rsid w:val="00E21C58"/>
    <w:rsid w:val="00E403EE"/>
    <w:rsid w:val="00F6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0C8A"/>
    <w:rPr>
      <w:color w:val="808080"/>
    </w:rPr>
  </w:style>
  <w:style w:type="paragraph" w:customStyle="1" w:styleId="CA6C2B0A7C9D4B6FAE0870F2C47B87F3">
    <w:name w:val="CA6C2B0A7C9D4B6FAE0870F2C47B87F3"/>
    <w:rsid w:val="00860C8A"/>
    <w:rPr>
      <w:lang w:val="en-GB" w:eastAsia="en-GB"/>
    </w:rPr>
  </w:style>
  <w:style w:type="paragraph" w:customStyle="1" w:styleId="D38D4EB18DCF406D909404F36EC462EE">
    <w:name w:val="D38D4EB18DCF406D909404F36EC462EE"/>
    <w:rsid w:val="00860C8A"/>
    <w:rPr>
      <w:lang w:val="en-GB" w:eastAsia="en-GB"/>
    </w:rPr>
  </w:style>
  <w:style w:type="paragraph" w:customStyle="1" w:styleId="0A7D7F9BA53C4C74BD8E1AE06FC4EC54">
    <w:name w:val="0A7D7F9BA53C4C74BD8E1AE06FC4EC54"/>
    <w:rsid w:val="00860C8A"/>
    <w:rPr>
      <w:lang w:val="en-GB" w:eastAsia="en-GB"/>
    </w:rPr>
  </w:style>
  <w:style w:type="paragraph" w:customStyle="1" w:styleId="20337732071345C8BB4262618EA1C55D">
    <w:name w:val="20337732071345C8BB4262618EA1C55D"/>
    <w:rsid w:val="00860C8A"/>
    <w:rPr>
      <w:lang w:val="en-GB" w:eastAsia="en-GB"/>
    </w:rPr>
  </w:style>
  <w:style w:type="paragraph" w:customStyle="1" w:styleId="88A249FF89574F07B61DDB34587EE38C">
    <w:name w:val="88A249FF89574F07B61DDB34587EE38C"/>
    <w:rsid w:val="00860C8A"/>
    <w:rPr>
      <w:lang w:val="en-GB" w:eastAsia="en-GB"/>
    </w:rPr>
  </w:style>
  <w:style w:type="paragraph" w:customStyle="1" w:styleId="8FBAC9B4A5A047ABB4E2CF51DFB2565C">
    <w:name w:val="8FBAC9B4A5A047ABB4E2CF51DFB2565C"/>
    <w:rsid w:val="00860C8A"/>
    <w:rPr>
      <w:lang w:val="en-GB"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2017-12-12T00:00:00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FEFFD2-7535-45A8-BC75-FFCA9DF71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and review (Article 35 of the Cartagena Protocol on Biosafety)</vt:lpstr>
    </vt:vector>
  </TitlesOfParts>
  <Company>SCBD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and review (Article 35 of the Cartagena Protocol on Biosafety)</dc:title>
  <dc:subject>CBD/SBI/REC/2/12</dc:subject>
  <dc:creator>SBI 2</dc:creator>
  <cp:lastModifiedBy>--</cp:lastModifiedBy>
  <cp:revision>9</cp:revision>
  <dcterms:created xsi:type="dcterms:W3CDTF">2018-08-21T09:38:00Z</dcterms:created>
  <dcterms:modified xsi:type="dcterms:W3CDTF">2018-08-21T11:08:00Z</dcterms:modified>
  <cp:contentStatus>GENERAL</cp:contentStatus>
</cp:coreProperties>
</file>