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ayout w:type="fixed"/>
        <w:tblLook w:val="00A0"/>
      </w:tblPr>
      <w:tblGrid>
        <w:gridCol w:w="976"/>
        <w:gridCol w:w="5141"/>
        <w:gridCol w:w="4090"/>
      </w:tblGrid>
      <w:tr w:rsidR="00D96D70" w:rsidRPr="00423997">
        <w:trPr>
          <w:trHeight w:val="709"/>
        </w:trPr>
        <w:tc>
          <w:tcPr>
            <w:tcW w:w="976" w:type="dxa"/>
            <w:tcBorders>
              <w:bottom w:val="single" w:sz="12" w:space="0" w:color="auto"/>
            </w:tcBorders>
          </w:tcPr>
          <w:p w:rsidR="00D96D70" w:rsidRPr="00423997" w:rsidRDefault="00B05CE3">
            <w:pPr>
              <w:suppressLineNumbers/>
              <w:suppressAutoHyphens/>
              <w:kinsoku w:val="0"/>
              <w:overflowPunct w:val="0"/>
              <w:autoSpaceDE w:val="0"/>
              <w:autoSpaceDN w:val="0"/>
              <w:rPr>
                <w:rFonts w:ascii="MS Mincho" w:eastAsia="MS Mincho"/>
                <w:lang w:val="es-ES"/>
              </w:rPr>
            </w:pPr>
            <w:r w:rsidRPr="00423997">
              <w:rPr>
                <w:rFonts w:ascii="MS Mincho" w:eastAsia="MS Mincho"/>
                <w:noProof/>
                <w:snapToGrid/>
                <w:lang w:val="es-UY" w:eastAsia="es-UY"/>
              </w:rPr>
              <w:drawing>
                <wp:inline distT="0" distB="0" distL="0" distR="0">
                  <wp:extent cx="428625" cy="360680"/>
                  <wp:effectExtent l="19050" t="0" r="9525" b="0"/>
                  <wp:docPr id="1"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mf"/>
                          <pic:cNvPicPr>
                            <a:picLocks noChangeAspect="1" noChangeArrowheads="1"/>
                          </pic:cNvPicPr>
                        </pic:nvPicPr>
                        <pic:blipFill>
                          <a:blip r:embed="rId7" cstate="print"/>
                          <a:srcRect/>
                          <a:stretch>
                            <a:fillRect/>
                          </a:stretch>
                        </pic:blipFill>
                        <pic:spPr bwMode="auto">
                          <a:xfrm>
                            <a:off x="0" y="0"/>
                            <a:ext cx="428625" cy="360680"/>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rsidR="00D96D70" w:rsidRPr="00423997" w:rsidRDefault="00B05CE3">
            <w:pPr>
              <w:suppressLineNumbers/>
              <w:suppressAutoHyphens/>
              <w:kinsoku w:val="0"/>
              <w:overflowPunct w:val="0"/>
              <w:autoSpaceDE w:val="0"/>
              <w:autoSpaceDN w:val="0"/>
              <w:rPr>
                <w:rFonts w:ascii="MS Mincho" w:eastAsia="MS Mincho"/>
                <w:lang w:val="es-ES"/>
              </w:rPr>
            </w:pPr>
            <w:r w:rsidRPr="00423997">
              <w:rPr>
                <w:rFonts w:ascii="MS Mincho" w:eastAsia="MS Mincho"/>
                <w:noProof/>
                <w:snapToGrid/>
                <w:lang w:val="es-UY" w:eastAsia="es-UY"/>
              </w:rPr>
              <w:drawing>
                <wp:inline distT="0" distB="0" distL="0" distR="0">
                  <wp:extent cx="318770" cy="370840"/>
                  <wp:effectExtent l="19050" t="0" r="5080" b="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odeau:Desktop:logos:template 2017:unep-old.emf"/>
                          <pic:cNvPicPr>
                            <a:picLocks noChangeAspect="1" noChangeArrowheads="1"/>
                          </pic:cNvPicPr>
                        </pic:nvPicPr>
                        <pic:blipFill>
                          <a:blip r:embed="rId8" cstate="print"/>
                          <a:srcRect/>
                          <a:stretch>
                            <a:fillRect/>
                          </a:stretch>
                        </pic:blipFill>
                        <pic:spPr bwMode="auto">
                          <a:xfrm>
                            <a:off x="0" y="0"/>
                            <a:ext cx="318770" cy="3708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96D70" w:rsidRPr="00423997" w:rsidRDefault="00D96D70">
            <w:pPr>
              <w:suppressLineNumbers/>
              <w:suppressAutoHyphens/>
              <w:kinsoku w:val="0"/>
              <w:overflowPunct w:val="0"/>
              <w:autoSpaceDE w:val="0"/>
              <w:autoSpaceDN w:val="0"/>
              <w:jc w:val="right"/>
              <w:rPr>
                <w:rFonts w:ascii="Arial" w:hAnsi="Arial"/>
                <w:b/>
                <w:sz w:val="32"/>
                <w:lang w:val="es-ES"/>
              </w:rPr>
            </w:pPr>
            <w:r w:rsidRPr="00423997">
              <w:rPr>
                <w:rFonts w:ascii="Arial" w:hAnsi="Arial"/>
                <w:b/>
                <w:sz w:val="32"/>
                <w:lang w:val="es-ES"/>
              </w:rPr>
              <w:t>CBD</w:t>
            </w:r>
          </w:p>
        </w:tc>
      </w:tr>
      <w:tr w:rsidR="00D96D70" w:rsidRPr="00423997">
        <w:tc>
          <w:tcPr>
            <w:tcW w:w="6117" w:type="dxa"/>
            <w:gridSpan w:val="2"/>
            <w:tcBorders>
              <w:top w:val="single" w:sz="12" w:space="0" w:color="auto"/>
              <w:bottom w:val="single" w:sz="36" w:space="0" w:color="auto"/>
            </w:tcBorders>
            <w:vAlign w:val="center"/>
          </w:tcPr>
          <w:p w:rsidR="00D96D70" w:rsidRPr="00423997" w:rsidRDefault="00B05CE3">
            <w:pPr>
              <w:suppressLineNumbers/>
              <w:suppressAutoHyphens/>
              <w:kinsoku w:val="0"/>
              <w:overflowPunct w:val="0"/>
              <w:autoSpaceDE w:val="0"/>
              <w:autoSpaceDN w:val="0"/>
              <w:rPr>
                <w:rFonts w:ascii="MS Mincho" w:eastAsia="MS Mincho"/>
                <w:lang w:val="es-ES"/>
              </w:rPr>
            </w:pPr>
            <w:r w:rsidRPr="00423997">
              <w:rPr>
                <w:rFonts w:ascii="MS Mincho" w:eastAsia="MS Mincho"/>
                <w:noProof/>
                <w:snapToGrid/>
                <w:lang w:val="es-UY" w:eastAsia="es-UY"/>
              </w:rPr>
              <w:drawing>
                <wp:inline distT="0" distB="0" distL="0" distR="0">
                  <wp:extent cx="2905125" cy="1066165"/>
                  <wp:effectExtent l="19050" t="0" r="952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cstate="print"/>
                          <a:srcRect/>
                          <a:stretch>
                            <a:fillRect/>
                          </a:stretch>
                        </pic:blipFill>
                        <pic:spPr bwMode="auto">
                          <a:xfrm>
                            <a:off x="0" y="0"/>
                            <a:ext cx="2905125" cy="106616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96D70" w:rsidRPr="00423997" w:rsidRDefault="00D96D70">
            <w:pPr>
              <w:suppressLineNumbers/>
              <w:suppressAutoHyphens/>
              <w:kinsoku w:val="0"/>
              <w:overflowPunct w:val="0"/>
              <w:autoSpaceDE w:val="0"/>
              <w:autoSpaceDN w:val="0"/>
              <w:ind w:left="1215"/>
              <w:rPr>
                <w:lang w:val="es-ES"/>
              </w:rPr>
            </w:pPr>
            <w:r w:rsidRPr="00423997">
              <w:rPr>
                <w:lang w:val="es-ES"/>
              </w:rPr>
              <w:t>Distr.</w:t>
            </w:r>
          </w:p>
          <w:p w:rsidR="00D96D70" w:rsidRPr="00423997" w:rsidRDefault="00E47E57">
            <w:pPr>
              <w:suppressLineNumbers/>
              <w:suppressAutoHyphens/>
              <w:kinsoku w:val="0"/>
              <w:overflowPunct w:val="0"/>
              <w:autoSpaceDE w:val="0"/>
              <w:autoSpaceDN w:val="0"/>
              <w:ind w:left="1215"/>
              <w:rPr>
                <w:rFonts w:ascii="MS Mincho" w:eastAsia="MS Mincho"/>
                <w:lang w:val="es-ES"/>
              </w:rPr>
            </w:pPr>
            <w:r w:rsidRPr="00423997">
              <w:rPr>
                <w:caps/>
                <w:lang w:val="es-ES"/>
              </w:rPr>
              <w:t>GENERAL</w:t>
            </w:r>
          </w:p>
          <w:p w:rsidR="00D96D70" w:rsidRPr="00423997" w:rsidRDefault="00D96D70">
            <w:pPr>
              <w:suppressLineNumbers/>
              <w:suppressAutoHyphens/>
              <w:kinsoku w:val="0"/>
              <w:overflowPunct w:val="0"/>
              <w:autoSpaceDE w:val="0"/>
              <w:autoSpaceDN w:val="0"/>
              <w:ind w:left="1215"/>
              <w:rPr>
                <w:rFonts w:ascii="MS Mincho" w:eastAsia="MS Mincho"/>
                <w:lang w:val="es-ES"/>
              </w:rPr>
            </w:pPr>
          </w:p>
          <w:p w:rsidR="00D96D70" w:rsidRPr="00423997" w:rsidRDefault="00D96D70">
            <w:pPr>
              <w:suppressLineNumbers/>
              <w:suppressAutoHyphens/>
              <w:kinsoku w:val="0"/>
              <w:overflowPunct w:val="0"/>
              <w:autoSpaceDE w:val="0"/>
              <w:autoSpaceDN w:val="0"/>
              <w:ind w:left="1215"/>
              <w:rPr>
                <w:rFonts w:ascii="MS Mincho" w:eastAsia="MS Mincho"/>
                <w:lang w:val="es-ES"/>
              </w:rPr>
            </w:pPr>
            <w:r w:rsidRPr="00423997">
              <w:rPr>
                <w:lang w:val="es-ES"/>
              </w:rPr>
              <w:t>CBD/SBI/</w:t>
            </w:r>
            <w:r w:rsidR="00E47E57" w:rsidRPr="00423997">
              <w:rPr>
                <w:lang w:val="es-ES"/>
              </w:rPr>
              <w:t>REC/</w:t>
            </w:r>
            <w:r w:rsidRPr="00423997">
              <w:rPr>
                <w:lang w:val="es-ES"/>
              </w:rPr>
              <w:t>2/</w:t>
            </w:r>
            <w:r w:rsidR="00E47E57" w:rsidRPr="00423997">
              <w:rPr>
                <w:lang w:val="es-ES"/>
              </w:rPr>
              <w:t>14</w:t>
            </w:r>
          </w:p>
          <w:p w:rsidR="00D96D70" w:rsidRPr="00423997" w:rsidRDefault="00D96D70">
            <w:pPr>
              <w:suppressLineNumbers/>
              <w:suppressAutoHyphens/>
              <w:kinsoku w:val="0"/>
              <w:overflowPunct w:val="0"/>
              <w:autoSpaceDE w:val="0"/>
              <w:autoSpaceDN w:val="0"/>
              <w:ind w:left="1215"/>
              <w:rPr>
                <w:lang w:val="es-ES"/>
              </w:rPr>
            </w:pPr>
            <w:r w:rsidRPr="00423997">
              <w:rPr>
                <w:lang w:val="es-ES"/>
              </w:rPr>
              <w:t>1</w:t>
            </w:r>
            <w:r w:rsidR="00E47E57" w:rsidRPr="00423997">
              <w:rPr>
                <w:lang w:val="es-ES"/>
              </w:rPr>
              <w:t>3</w:t>
            </w:r>
            <w:r w:rsidRPr="00423997">
              <w:rPr>
                <w:lang w:val="es-ES"/>
              </w:rPr>
              <w:t xml:space="preserve"> de julio de 2018</w:t>
            </w:r>
          </w:p>
          <w:p w:rsidR="00D96D70" w:rsidRPr="00423997" w:rsidRDefault="00D96D70">
            <w:pPr>
              <w:suppressLineNumbers/>
              <w:suppressAutoHyphens/>
              <w:kinsoku w:val="0"/>
              <w:overflowPunct w:val="0"/>
              <w:autoSpaceDE w:val="0"/>
              <w:autoSpaceDN w:val="0"/>
              <w:ind w:left="1215"/>
              <w:rPr>
                <w:rFonts w:ascii="MS Mincho" w:eastAsia="MS Mincho"/>
                <w:lang w:val="es-ES"/>
              </w:rPr>
            </w:pPr>
          </w:p>
          <w:p w:rsidR="00D96D70" w:rsidRPr="00423997" w:rsidRDefault="00D96D70">
            <w:pPr>
              <w:suppressLineNumbers/>
              <w:suppressAutoHyphens/>
              <w:kinsoku w:val="0"/>
              <w:overflowPunct w:val="0"/>
              <w:autoSpaceDE w:val="0"/>
              <w:autoSpaceDN w:val="0"/>
              <w:ind w:left="1215"/>
              <w:rPr>
                <w:lang w:val="es-ES"/>
              </w:rPr>
            </w:pPr>
            <w:r w:rsidRPr="00423997">
              <w:rPr>
                <w:lang w:val="es-ES"/>
              </w:rPr>
              <w:t>ESPAÑOL</w:t>
            </w:r>
          </w:p>
          <w:p w:rsidR="00D96D70" w:rsidRPr="00423997" w:rsidRDefault="00D96D70">
            <w:pPr>
              <w:suppressLineNumbers/>
              <w:suppressAutoHyphens/>
              <w:kinsoku w:val="0"/>
              <w:overflowPunct w:val="0"/>
              <w:autoSpaceDE w:val="0"/>
              <w:autoSpaceDN w:val="0"/>
              <w:ind w:left="1215"/>
              <w:rPr>
                <w:lang w:val="es-ES"/>
              </w:rPr>
            </w:pPr>
            <w:r w:rsidRPr="00423997">
              <w:rPr>
                <w:lang w:val="es-ES"/>
              </w:rPr>
              <w:t>ORIGINAL: INGLÉS</w:t>
            </w:r>
          </w:p>
          <w:p w:rsidR="00D96D70" w:rsidRPr="00423997" w:rsidRDefault="00D96D70">
            <w:pPr>
              <w:suppressLineNumbers/>
              <w:suppressAutoHyphens/>
              <w:kinsoku w:val="0"/>
              <w:overflowPunct w:val="0"/>
              <w:autoSpaceDE w:val="0"/>
              <w:autoSpaceDN w:val="0"/>
              <w:rPr>
                <w:rFonts w:ascii="MS Mincho" w:eastAsia="MS Mincho"/>
                <w:lang w:val="es-ES"/>
              </w:rPr>
            </w:pPr>
          </w:p>
        </w:tc>
      </w:tr>
    </w:tbl>
    <w:p w:rsidR="00D96D70" w:rsidRPr="00423997" w:rsidRDefault="00D96D70">
      <w:pPr>
        <w:kinsoku w:val="0"/>
        <w:overflowPunct w:val="0"/>
        <w:autoSpaceDE w:val="0"/>
        <w:autoSpaceDN w:val="0"/>
        <w:ind w:left="227" w:right="3970" w:hanging="227"/>
        <w:jc w:val="left"/>
        <w:rPr>
          <w:rFonts w:eastAsia="Batang"/>
          <w:color w:val="000000"/>
          <w:kern w:val="22"/>
          <w:lang w:val="es-ES"/>
        </w:rPr>
      </w:pPr>
      <w:bookmarkStart w:id="0" w:name="Meeting"/>
      <w:r w:rsidRPr="00423997">
        <w:rPr>
          <w:lang w:val="es-ES"/>
        </w:rPr>
        <w:t>ÓRGANO SUBSIDIARIO SOBRE LA APLICACIÓN</w:t>
      </w:r>
      <w:bookmarkEnd w:id="0"/>
    </w:p>
    <w:p w:rsidR="00D96D70" w:rsidRPr="00423997" w:rsidRDefault="00D96D70">
      <w:pPr>
        <w:pStyle w:val="Cornernotation"/>
        <w:kinsoku w:val="0"/>
        <w:overflowPunct w:val="0"/>
        <w:autoSpaceDE w:val="0"/>
        <w:autoSpaceDN w:val="0"/>
        <w:ind w:left="227" w:right="3970" w:hanging="227"/>
        <w:rPr>
          <w:color w:val="000000"/>
          <w:kern w:val="22"/>
          <w:lang w:val="es-ES"/>
        </w:rPr>
      </w:pPr>
      <w:r w:rsidRPr="00423997">
        <w:rPr>
          <w:color w:val="000000"/>
          <w:kern w:val="22"/>
          <w:lang w:val="es-ES"/>
        </w:rPr>
        <w:t>Segunda reunión</w:t>
      </w:r>
    </w:p>
    <w:p w:rsidR="00D96D70" w:rsidRPr="00423997" w:rsidRDefault="00D96D70">
      <w:pPr>
        <w:pStyle w:val="Cornernotation"/>
        <w:kinsoku w:val="0"/>
        <w:overflowPunct w:val="0"/>
        <w:autoSpaceDE w:val="0"/>
        <w:autoSpaceDN w:val="0"/>
        <w:ind w:left="227" w:right="3970" w:hanging="227"/>
        <w:rPr>
          <w:color w:val="000000"/>
          <w:kern w:val="22"/>
          <w:lang w:val="es-ES"/>
        </w:rPr>
      </w:pPr>
      <w:r w:rsidRPr="00423997">
        <w:rPr>
          <w:color w:val="000000"/>
          <w:kern w:val="22"/>
          <w:lang w:val="es-ES"/>
        </w:rPr>
        <w:t>Montreal (Canadá), 9 a 13 de julio de 2018</w:t>
      </w:r>
    </w:p>
    <w:p w:rsidR="00D96D70" w:rsidRPr="00423997" w:rsidRDefault="00D96D70">
      <w:pPr>
        <w:suppressLineNumbers/>
        <w:suppressAutoHyphens/>
        <w:kinsoku w:val="0"/>
        <w:overflowPunct w:val="0"/>
        <w:autoSpaceDE w:val="0"/>
        <w:autoSpaceDN w:val="0"/>
        <w:ind w:hanging="28"/>
        <w:rPr>
          <w:kern w:val="22"/>
          <w:lang w:val="es-ES"/>
        </w:rPr>
      </w:pPr>
      <w:r w:rsidRPr="00423997">
        <w:rPr>
          <w:lang w:val="es-ES"/>
        </w:rPr>
        <w:t xml:space="preserve">Tema </w:t>
      </w:r>
      <w:r w:rsidRPr="00423997">
        <w:rPr>
          <w:kern w:val="22"/>
          <w:lang w:val="es-ES"/>
        </w:rPr>
        <w:t>14 del programa</w:t>
      </w:r>
    </w:p>
    <w:p w:rsidR="00E47E57" w:rsidRPr="00423997" w:rsidRDefault="00E47E57" w:rsidP="00E47E57">
      <w:pPr>
        <w:suppressLineNumbers/>
        <w:suppressAutoHyphens/>
        <w:kinsoku w:val="0"/>
        <w:overflowPunct w:val="0"/>
        <w:autoSpaceDE w:val="0"/>
        <w:autoSpaceDN w:val="0"/>
        <w:adjustRightInd w:val="0"/>
        <w:snapToGrid w:val="0"/>
        <w:spacing w:before="240" w:after="120"/>
        <w:jc w:val="center"/>
        <w:rPr>
          <w:b/>
          <w:caps/>
          <w:kern w:val="22"/>
          <w:lang w:val="es-ES"/>
        </w:rPr>
      </w:pPr>
      <w:r w:rsidRPr="00423997">
        <w:rPr>
          <w:b/>
          <w:kern w:val="22"/>
          <w:szCs w:val="22"/>
          <w:lang w:val="es-ES"/>
        </w:rPr>
        <w:t>RECOMENDACIÓN ADOPTADA POR EL ÓRGANO SUBSIDIARIO SOBRE LA APLICACIÓN</w:t>
      </w:r>
    </w:p>
    <w:p w:rsidR="00D96D70" w:rsidRPr="00423997" w:rsidRDefault="00E47E57" w:rsidP="00E47E57">
      <w:pPr>
        <w:suppressLineNumbers/>
        <w:tabs>
          <w:tab w:val="left" w:pos="709"/>
        </w:tabs>
        <w:suppressAutoHyphens/>
        <w:kinsoku w:val="0"/>
        <w:overflowPunct w:val="0"/>
        <w:autoSpaceDE w:val="0"/>
        <w:autoSpaceDN w:val="0"/>
        <w:spacing w:before="240" w:after="120"/>
        <w:ind w:left="1418" w:hanging="709"/>
        <w:jc w:val="left"/>
        <w:rPr>
          <w:b/>
          <w:caps/>
          <w:kern w:val="22"/>
          <w:lang w:val="es-ES"/>
        </w:rPr>
      </w:pPr>
      <w:r w:rsidRPr="00423997">
        <w:rPr>
          <w:b/>
          <w:color w:val="000000"/>
          <w:kern w:val="22"/>
          <w:lang w:val="es-ES"/>
        </w:rPr>
        <w:t>2/14.</w:t>
      </w:r>
      <w:r w:rsidRPr="00423997">
        <w:rPr>
          <w:b/>
          <w:color w:val="000000"/>
          <w:kern w:val="22"/>
          <w:lang w:val="es-ES"/>
        </w:rPr>
        <w:tab/>
        <w:t>Mayor integración en el marco del Convenio y sus Protocolos con respecto a las disposiciones relacionadas con la seguridad de la biotecnología y con el acceso y la participación en los beneficios</w:t>
      </w:r>
    </w:p>
    <w:p w:rsidR="00D96D70" w:rsidRPr="00423997" w:rsidRDefault="00D96D70">
      <w:pPr>
        <w:pStyle w:val="Para1"/>
        <w:numPr>
          <w:ilvl w:val="0"/>
          <w:numId w:val="0"/>
        </w:numPr>
        <w:suppressLineNumbers/>
        <w:suppressAutoHyphens/>
        <w:kinsoku w:val="0"/>
        <w:overflowPunct w:val="0"/>
        <w:autoSpaceDE w:val="0"/>
        <w:autoSpaceDN w:val="0"/>
        <w:ind w:firstLine="720"/>
        <w:rPr>
          <w:i/>
          <w:kern w:val="22"/>
          <w:szCs w:val="24"/>
          <w:lang w:val="es-ES"/>
        </w:rPr>
      </w:pPr>
      <w:r w:rsidRPr="00423997">
        <w:rPr>
          <w:i/>
          <w:kern w:val="22"/>
          <w:szCs w:val="24"/>
          <w:lang w:val="es-ES"/>
        </w:rPr>
        <w:t>El Órgano Subsidiario sobre la Aplicación,</w:t>
      </w:r>
    </w:p>
    <w:p w:rsidR="00D96D70" w:rsidRPr="00423997" w:rsidRDefault="00D96D70">
      <w:pPr>
        <w:pStyle w:val="Para1"/>
        <w:numPr>
          <w:ilvl w:val="0"/>
          <w:numId w:val="0"/>
        </w:numPr>
        <w:suppressLineNumbers/>
        <w:suppressAutoHyphens/>
        <w:kinsoku w:val="0"/>
        <w:overflowPunct w:val="0"/>
        <w:autoSpaceDE w:val="0"/>
        <w:autoSpaceDN w:val="0"/>
        <w:ind w:firstLine="720"/>
        <w:rPr>
          <w:kern w:val="22"/>
          <w:szCs w:val="24"/>
          <w:lang w:val="es-ES"/>
        </w:rPr>
      </w:pPr>
      <w:r w:rsidRPr="00423997">
        <w:rPr>
          <w:i/>
          <w:kern w:val="22"/>
          <w:szCs w:val="24"/>
          <w:lang w:val="es-ES"/>
        </w:rPr>
        <w:t xml:space="preserve">Recomienda </w:t>
      </w:r>
      <w:r w:rsidRPr="00423997">
        <w:rPr>
          <w:kern w:val="22"/>
          <w:szCs w:val="24"/>
          <w:lang w:val="es-ES"/>
        </w:rPr>
        <w:t>a la Conferencia de las Partes que en su 14ª reunión adopte una decisión del siguiente tenor:</w:t>
      </w:r>
    </w:p>
    <w:p w:rsidR="00D96D70" w:rsidRPr="00423997" w:rsidRDefault="00D96D70">
      <w:pPr>
        <w:pStyle w:val="Para1"/>
        <w:numPr>
          <w:ilvl w:val="0"/>
          <w:numId w:val="0"/>
        </w:numPr>
        <w:suppressLineNumbers/>
        <w:suppressAutoHyphens/>
        <w:kinsoku w:val="0"/>
        <w:overflowPunct w:val="0"/>
        <w:autoSpaceDE w:val="0"/>
        <w:autoSpaceDN w:val="0"/>
        <w:ind w:left="720" w:firstLine="720"/>
        <w:rPr>
          <w:i/>
          <w:kern w:val="22"/>
          <w:szCs w:val="24"/>
          <w:lang w:val="es-ES"/>
        </w:rPr>
      </w:pPr>
      <w:r w:rsidRPr="00423997">
        <w:rPr>
          <w:i/>
          <w:kern w:val="22"/>
          <w:szCs w:val="24"/>
          <w:lang w:val="es-ES"/>
        </w:rPr>
        <w:t>La Conferencia de las Partes,</w:t>
      </w:r>
    </w:p>
    <w:p w:rsidR="00D96D70" w:rsidRPr="00423997" w:rsidRDefault="00D96D70">
      <w:pPr>
        <w:keepNext/>
        <w:suppressLineNumbers/>
        <w:tabs>
          <w:tab w:val="left" w:pos="900"/>
        </w:tabs>
        <w:suppressAutoHyphens/>
        <w:kinsoku w:val="0"/>
        <w:overflowPunct w:val="0"/>
        <w:autoSpaceDE w:val="0"/>
        <w:autoSpaceDN w:val="0"/>
        <w:spacing w:before="120" w:after="120"/>
        <w:ind w:left="1124" w:right="389" w:hanging="562"/>
        <w:jc w:val="center"/>
        <w:rPr>
          <w:i/>
          <w:lang w:val="es-ES"/>
        </w:rPr>
      </w:pPr>
      <w:r w:rsidRPr="00423997">
        <w:rPr>
          <w:b/>
          <w:kern w:val="22"/>
          <w:lang w:val="es-ES"/>
        </w:rPr>
        <w:t>A.</w:t>
      </w:r>
      <w:r w:rsidRPr="00423997">
        <w:rPr>
          <w:b/>
          <w:kern w:val="22"/>
          <w:lang w:val="es-ES"/>
        </w:rPr>
        <w:tab/>
        <w:t>Disposiciones relacionadas con la seguridad de la biotecnología</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i/>
          <w:kern w:val="22"/>
          <w:szCs w:val="24"/>
          <w:lang w:val="es-ES"/>
        </w:rPr>
        <w:t>Recordando</w:t>
      </w:r>
      <w:r w:rsidRPr="00423997">
        <w:rPr>
          <w:kern w:val="22"/>
          <w:szCs w:val="24"/>
          <w:lang w:val="es-ES"/>
        </w:rPr>
        <w:t xml:space="preserve"> el llamamiento a las Partes a integrar la seguridad de la biotecnología en sus estrategias y planes de acción nacionales en materia de biodiversidad, </w:t>
      </w:r>
      <w:r w:rsidR="009D1D5A" w:rsidRPr="00423997">
        <w:rPr>
          <w:kern w:val="22"/>
          <w:szCs w:val="24"/>
          <w:lang w:val="es-ES"/>
        </w:rPr>
        <w:t xml:space="preserve">sus </w:t>
      </w:r>
      <w:r w:rsidRPr="00423997">
        <w:rPr>
          <w:kern w:val="22"/>
          <w:szCs w:val="24"/>
          <w:lang w:val="es-ES"/>
        </w:rPr>
        <w:t>planes nacionales de desarrollo y otras políticas, planes y programas sectoriales e intersectoriales pertinentes, según procediera, teniendo en cuenta las circunstancias, leyes y prioridades nacionales</w:t>
      </w:r>
      <w:r w:rsidRPr="00423997">
        <w:rPr>
          <w:rStyle w:val="FootnoteReference"/>
          <w:kern w:val="22"/>
          <w:szCs w:val="24"/>
          <w:lang w:val="es-ES"/>
        </w:rPr>
        <w:footnoteReference w:id="1"/>
      </w:r>
      <w:r w:rsidRPr="00423997">
        <w:rPr>
          <w:kern w:val="22"/>
          <w:szCs w:val="24"/>
          <w:lang w:val="es-ES"/>
        </w:rPr>
        <w:t>,</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i/>
          <w:kern w:val="22"/>
          <w:szCs w:val="24"/>
          <w:lang w:val="es-ES"/>
        </w:rPr>
        <w:t>Observando</w:t>
      </w:r>
      <w:r w:rsidRPr="00423997">
        <w:rPr>
          <w:kern w:val="22"/>
          <w:szCs w:val="24"/>
          <w:lang w:val="es-ES"/>
        </w:rPr>
        <w:t xml:space="preserve"> la relación entre las disposiciones del Convenio relacionadas con la seguridad de la biotecnología, en particular su</w:t>
      </w:r>
      <w:r w:rsidR="00137D73">
        <w:rPr>
          <w:kern w:val="22"/>
          <w:szCs w:val="24"/>
          <w:lang w:val="es-ES"/>
        </w:rPr>
        <w:t>s</w:t>
      </w:r>
      <w:r w:rsidRPr="00423997">
        <w:rPr>
          <w:kern w:val="22"/>
          <w:szCs w:val="24"/>
          <w:lang w:val="es-ES"/>
        </w:rPr>
        <w:t xml:space="preserve"> artículo</w:t>
      </w:r>
      <w:r w:rsidR="00E47E57" w:rsidRPr="00423997">
        <w:rPr>
          <w:kern w:val="22"/>
          <w:szCs w:val="24"/>
          <w:lang w:val="es-ES"/>
        </w:rPr>
        <w:t>s</w:t>
      </w:r>
      <w:r w:rsidRPr="00423997">
        <w:rPr>
          <w:kern w:val="22"/>
          <w:szCs w:val="24"/>
          <w:lang w:val="es-ES"/>
        </w:rPr>
        <w:t xml:space="preserve"> 8</w:t>
      </w:r>
      <w:r w:rsidR="00D07D11" w:rsidRPr="00423997">
        <w:rPr>
          <w:kern w:val="22"/>
          <w:szCs w:val="24"/>
          <w:lang w:val="es-ES"/>
        </w:rPr>
        <w:t> </w:t>
      </w:r>
      <w:r w:rsidRPr="00423997">
        <w:rPr>
          <w:kern w:val="22"/>
          <w:szCs w:val="24"/>
          <w:lang w:val="es-ES"/>
        </w:rPr>
        <w:t xml:space="preserve">g) y 19, </w:t>
      </w:r>
      <w:r w:rsidR="00E47E57" w:rsidRPr="00423997">
        <w:rPr>
          <w:kern w:val="22"/>
          <w:szCs w:val="24"/>
          <w:lang w:val="es-ES"/>
        </w:rPr>
        <w:t xml:space="preserve">párrafo 4, </w:t>
      </w:r>
      <w:r w:rsidRPr="00423997">
        <w:rPr>
          <w:kern w:val="22"/>
          <w:szCs w:val="24"/>
          <w:lang w:val="es-ES"/>
        </w:rPr>
        <w:t>y el Protocolo de Cartagena sobre Seguridad de la Biotecnología,</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i/>
          <w:kern w:val="22"/>
          <w:szCs w:val="24"/>
          <w:lang w:val="es-ES"/>
        </w:rPr>
        <w:t>Reconociendo</w:t>
      </w:r>
      <w:r w:rsidRPr="00423997">
        <w:rPr>
          <w:kern w:val="22"/>
          <w:szCs w:val="24"/>
          <w:lang w:val="es-ES"/>
        </w:rPr>
        <w:t xml:space="preserve"> que la ratificación y aplicación del Protocolo de Cartagena y el Protocolo Suplementario de Nagoya-Kuala Lumpur sobre Responsabilidad y Compensación contribuyen al logro de los objetivos del Convenio,</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t>1.</w:t>
      </w:r>
      <w:r w:rsidRPr="00423997">
        <w:rPr>
          <w:kern w:val="22"/>
          <w:szCs w:val="24"/>
          <w:lang w:val="es-ES"/>
        </w:rPr>
        <w:tab/>
      </w:r>
      <w:r w:rsidRPr="00423997">
        <w:rPr>
          <w:i/>
          <w:kern w:val="22"/>
          <w:szCs w:val="24"/>
          <w:lang w:val="es-ES"/>
        </w:rPr>
        <w:t>Insta</w:t>
      </w:r>
      <w:r w:rsidRPr="00423997">
        <w:rPr>
          <w:kern w:val="22"/>
          <w:szCs w:val="24"/>
          <w:lang w:val="es-ES"/>
        </w:rPr>
        <w:t xml:space="preserve"> a las Partes en el Convenio sobre la Diversidad Biológica que aún no lo hayan hecho a que depositen sus instrumentos de ratificación, aceptación</w:t>
      </w:r>
      <w:r w:rsidR="009D1D5A" w:rsidRPr="00423997">
        <w:rPr>
          <w:kern w:val="22"/>
          <w:szCs w:val="24"/>
          <w:lang w:val="es-ES"/>
        </w:rPr>
        <w:t>,</w:t>
      </w:r>
      <w:r w:rsidRPr="00423997">
        <w:rPr>
          <w:kern w:val="22"/>
          <w:szCs w:val="24"/>
          <w:lang w:val="es-ES"/>
        </w:rPr>
        <w:t xml:space="preserve"> aprobación o adhesión al Protocolo de Cartagena a la mayor brevedad posible y adopten medidas tendientes a su aplicación, incluido mediante el establecimiento de estructuras institucionales y </w:t>
      </w:r>
      <w:r w:rsidR="009D1D5A" w:rsidRPr="00423997">
        <w:rPr>
          <w:kern w:val="22"/>
          <w:szCs w:val="24"/>
          <w:lang w:val="es-ES"/>
        </w:rPr>
        <w:t xml:space="preserve">la adopción de </w:t>
      </w:r>
      <w:r w:rsidRPr="00423997">
        <w:rPr>
          <w:kern w:val="22"/>
          <w:szCs w:val="24"/>
          <w:lang w:val="es-ES"/>
        </w:rPr>
        <w:t>medidas legislativas, administrativas y de políticas sobre seguridad de la biotecnología;</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t>2.</w:t>
      </w:r>
      <w:r w:rsidRPr="00423997">
        <w:rPr>
          <w:kern w:val="22"/>
          <w:szCs w:val="24"/>
          <w:lang w:val="es-ES"/>
        </w:rPr>
        <w:tab/>
      </w:r>
      <w:r w:rsidRPr="00423997">
        <w:rPr>
          <w:i/>
          <w:kern w:val="22"/>
          <w:szCs w:val="24"/>
          <w:lang w:val="es-ES"/>
        </w:rPr>
        <w:t>Recuerda</w:t>
      </w:r>
      <w:r w:rsidRPr="00423997">
        <w:rPr>
          <w:kern w:val="22"/>
          <w:szCs w:val="24"/>
          <w:lang w:val="es-ES"/>
        </w:rPr>
        <w:t xml:space="preserve"> a las Partes en el Convenio sobre la Diversidad Biológica que no son Partes en el Protocolo de Cartagena sus obligaciones relacionadas con la seguridad de la biotecnología asumidas en virtud del Convenio y las invita a seguir facilitando información pertinente al Centro de Intercambio de Información sobre Seguridad de la Biotecnología y a presentar sus cuartos informes nacionales en el marco del Protocolo de Cartagena;</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lastRenderedPageBreak/>
        <w:t>3.</w:t>
      </w:r>
      <w:r w:rsidRPr="00423997">
        <w:rPr>
          <w:kern w:val="22"/>
          <w:szCs w:val="24"/>
          <w:lang w:val="es-ES"/>
        </w:rPr>
        <w:tab/>
      </w:r>
      <w:r w:rsidRPr="00423997">
        <w:rPr>
          <w:i/>
          <w:kern w:val="22"/>
          <w:szCs w:val="24"/>
          <w:lang w:val="es-ES"/>
        </w:rPr>
        <w:t>Alienta</w:t>
      </w:r>
      <w:r w:rsidRPr="00423997">
        <w:rPr>
          <w:kern w:val="22"/>
          <w:szCs w:val="24"/>
          <w:lang w:val="es-ES"/>
        </w:rPr>
        <w:t xml:space="preserve"> a las Partes a elaborar y aplicar planes de acción nacionales para la integración de la seguridad de la biotecnología en instrumentos jurídicos y de políticas nacionales y a informar sobre los progresos realizados al respecto en sus informes nacionales;</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t>4.</w:t>
      </w:r>
      <w:r w:rsidRPr="00423997">
        <w:rPr>
          <w:kern w:val="22"/>
          <w:szCs w:val="24"/>
          <w:lang w:val="es-ES"/>
        </w:rPr>
        <w:tab/>
      </w:r>
      <w:r w:rsidRPr="00423997">
        <w:rPr>
          <w:i/>
          <w:kern w:val="22"/>
          <w:szCs w:val="24"/>
          <w:lang w:val="es-ES"/>
        </w:rPr>
        <w:t>Invita</w:t>
      </w:r>
      <w:r w:rsidRPr="00423997">
        <w:rPr>
          <w:kern w:val="22"/>
          <w:szCs w:val="24"/>
          <w:lang w:val="es-ES"/>
        </w:rPr>
        <w:t xml:space="preserve"> a los Gobiernos y organizaciones pertinentes que estén en condiciones de hacerlo a prestar apoyo técnico y financiero para </w:t>
      </w:r>
      <w:r w:rsidR="00423997" w:rsidRPr="00423997">
        <w:rPr>
          <w:kern w:val="22"/>
          <w:szCs w:val="24"/>
          <w:lang w:val="es-ES"/>
        </w:rPr>
        <w:t>a</w:t>
      </w:r>
      <w:r w:rsidR="00423997">
        <w:rPr>
          <w:kern w:val="22"/>
          <w:szCs w:val="24"/>
          <w:lang w:val="es-ES"/>
        </w:rPr>
        <w:t>bo</w:t>
      </w:r>
      <w:r w:rsidR="00423997" w:rsidRPr="00423997">
        <w:rPr>
          <w:kern w:val="22"/>
          <w:szCs w:val="24"/>
          <w:lang w:val="es-ES"/>
        </w:rPr>
        <w:t>r</w:t>
      </w:r>
      <w:r w:rsidR="00423997">
        <w:rPr>
          <w:kern w:val="22"/>
          <w:szCs w:val="24"/>
          <w:lang w:val="es-ES"/>
        </w:rPr>
        <w:t>dar</w:t>
      </w:r>
      <w:r w:rsidRPr="00423997">
        <w:rPr>
          <w:kern w:val="22"/>
          <w:szCs w:val="24"/>
          <w:lang w:val="es-ES"/>
        </w:rPr>
        <w:t xml:space="preserve"> necesidades en materia de actividades de creación y desarrollo de capacidad, así como recursos financieros para apoyar la ratificación y aplicación del Protocolo de Cartagena;</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t>5.</w:t>
      </w:r>
      <w:r w:rsidRPr="00423997">
        <w:rPr>
          <w:kern w:val="22"/>
          <w:szCs w:val="24"/>
          <w:lang w:val="es-ES"/>
        </w:rPr>
        <w:tab/>
      </w:r>
      <w:r w:rsidRPr="00423997">
        <w:rPr>
          <w:i/>
          <w:kern w:val="22"/>
          <w:szCs w:val="24"/>
          <w:lang w:val="es-ES"/>
        </w:rPr>
        <w:t>Conviene en</w:t>
      </w:r>
      <w:r w:rsidRPr="00423997">
        <w:rPr>
          <w:kern w:val="22"/>
          <w:szCs w:val="24"/>
          <w:lang w:val="es-ES"/>
        </w:rPr>
        <w:t xml:space="preserve"> </w:t>
      </w:r>
      <w:r w:rsidR="00B43C7A" w:rsidRPr="00423997">
        <w:rPr>
          <w:kern w:val="22"/>
          <w:szCs w:val="24"/>
          <w:lang w:val="es-ES"/>
        </w:rPr>
        <w:t>estudiar</w:t>
      </w:r>
      <w:r w:rsidRPr="00423997">
        <w:rPr>
          <w:kern w:val="22"/>
          <w:szCs w:val="24"/>
          <w:lang w:val="es-ES"/>
        </w:rPr>
        <w:t xml:space="preserve"> la posibilidad de agregar consideraciones de seguridad de la biotecnología en el marco mundial de la diversidad biológica posterior a 2020 y en el formato de presentación de informes nacionales en el marco del Convenio, así como en otras esferas de trabajo del Convenio;</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t>6.</w:t>
      </w:r>
      <w:r w:rsidRPr="00423997">
        <w:rPr>
          <w:kern w:val="22"/>
          <w:szCs w:val="24"/>
          <w:lang w:val="es-ES"/>
        </w:rPr>
        <w:tab/>
      </w:r>
      <w:r w:rsidRPr="00423997">
        <w:rPr>
          <w:i/>
          <w:kern w:val="22"/>
          <w:szCs w:val="24"/>
          <w:lang w:val="es-ES"/>
        </w:rPr>
        <w:t>Pide</w:t>
      </w:r>
      <w:r w:rsidRPr="00423997">
        <w:rPr>
          <w:kern w:val="22"/>
          <w:szCs w:val="24"/>
          <w:lang w:val="es-ES"/>
        </w:rPr>
        <w:t xml:space="preserve"> a la Secretaria Ejecutiva que, con sujeción a la disponibilidad de recursos y teniendo en cuenta los objetivos del Convenio, el Protocolo de Cartagena y el Protocolo Suplementario de Nagoya-Kuala Lumpur sobre Responsabilidad y Compensación, continúe desplegando esfuerzos para</w:t>
      </w:r>
      <w:r w:rsidR="00423997" w:rsidRPr="00423997">
        <w:rPr>
          <w:kern w:val="22"/>
          <w:szCs w:val="24"/>
          <w:lang w:val="es-ES"/>
        </w:rPr>
        <w:t>:</w:t>
      </w:r>
      <w:r w:rsidRPr="00423997">
        <w:rPr>
          <w:kern w:val="22"/>
          <w:szCs w:val="24"/>
          <w:lang w:val="es-ES"/>
        </w:rPr>
        <w:t xml:space="preserve"> a) integrar la seguridad de la biotecnología en todos los programas de trabajo de la Secretaría; b) crear conciencia sobre las disposiciones relacionadas con la seguridad de la biotecnología del Convenio y del Protocolo de Cartagena; y c) apoyar a las Partes en sus esfuerzos para integrar la seguridad de la biotecnología en diversos sectores a nivel nacional;</w:t>
      </w:r>
    </w:p>
    <w:p w:rsidR="00D96D70" w:rsidRPr="00423997" w:rsidRDefault="00D96D70">
      <w:pPr>
        <w:keepNext/>
        <w:suppressLineNumbers/>
        <w:tabs>
          <w:tab w:val="left" w:pos="900"/>
        </w:tabs>
        <w:suppressAutoHyphens/>
        <w:kinsoku w:val="0"/>
        <w:overflowPunct w:val="0"/>
        <w:autoSpaceDE w:val="0"/>
        <w:autoSpaceDN w:val="0"/>
        <w:spacing w:before="120" w:after="120"/>
        <w:ind w:left="1124" w:right="389" w:hanging="562"/>
        <w:jc w:val="center"/>
        <w:rPr>
          <w:lang w:val="es-ES"/>
        </w:rPr>
      </w:pPr>
      <w:r w:rsidRPr="00423997">
        <w:rPr>
          <w:b/>
          <w:kern w:val="22"/>
          <w:lang w:val="es-ES"/>
        </w:rPr>
        <w:t>B.</w:t>
      </w:r>
      <w:r w:rsidRPr="00423997">
        <w:rPr>
          <w:b/>
          <w:kern w:val="22"/>
          <w:lang w:val="es-ES"/>
        </w:rPr>
        <w:tab/>
        <w:t>Disposiciones relacionadas con el acceso y la participación en los beneficios</w:t>
      </w:r>
    </w:p>
    <w:p w:rsidR="00D96D70" w:rsidRPr="00423997" w:rsidRDefault="00D96D70" w:rsidP="0037029F">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t>7.</w:t>
      </w:r>
      <w:r w:rsidRPr="00423997">
        <w:rPr>
          <w:kern w:val="22"/>
          <w:szCs w:val="24"/>
          <w:lang w:val="es-ES"/>
        </w:rPr>
        <w:tab/>
      </w:r>
      <w:r w:rsidRPr="00423997">
        <w:rPr>
          <w:i/>
          <w:kern w:val="22"/>
          <w:szCs w:val="24"/>
          <w:lang w:val="es-ES"/>
        </w:rPr>
        <w:t>Acoge con satisfacción</w:t>
      </w:r>
      <w:r w:rsidRPr="00423997">
        <w:rPr>
          <w:kern w:val="22"/>
          <w:szCs w:val="24"/>
          <w:lang w:val="es-ES"/>
        </w:rPr>
        <w:t xml:space="preserve"> los esfuerzos </w:t>
      </w:r>
      <w:r w:rsidR="0037029F" w:rsidRPr="00423997">
        <w:rPr>
          <w:kern w:val="22"/>
          <w:szCs w:val="24"/>
          <w:lang w:val="es-ES"/>
        </w:rPr>
        <w:t>de</w:t>
      </w:r>
      <w:r w:rsidRPr="00423997">
        <w:rPr>
          <w:kern w:val="22"/>
          <w:szCs w:val="24"/>
          <w:lang w:val="es-ES"/>
        </w:rPr>
        <w:t xml:space="preserve"> las Partes y Estados que no son Partes en el Protocolo de Nagoya sobre Acceso a los Recursos Genéticos y Participación Justa y Equitativa en los Beneficios que se Deriven de su Utilización para ratificar y aplicar el Protocolo;</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t>8.</w:t>
      </w:r>
      <w:r w:rsidRPr="00423997">
        <w:rPr>
          <w:kern w:val="22"/>
          <w:szCs w:val="24"/>
          <w:lang w:val="es-ES"/>
        </w:rPr>
        <w:tab/>
      </w:r>
      <w:r w:rsidRPr="00423997">
        <w:rPr>
          <w:i/>
          <w:kern w:val="22"/>
          <w:szCs w:val="24"/>
          <w:lang w:val="es-ES"/>
        </w:rPr>
        <w:t>Insta</w:t>
      </w:r>
      <w:r w:rsidRPr="00423997">
        <w:rPr>
          <w:kern w:val="22"/>
          <w:szCs w:val="24"/>
          <w:lang w:val="es-ES"/>
        </w:rPr>
        <w:t xml:space="preserve"> a las Partes en el Convenio sobre la Diversidad Biológica que aún no lo hayan hecho a que depositen sus instrumentos de ratificación, aceptación</w:t>
      </w:r>
      <w:r w:rsidR="00423997" w:rsidRPr="00423997">
        <w:rPr>
          <w:kern w:val="22"/>
          <w:szCs w:val="24"/>
          <w:lang w:val="es-ES"/>
        </w:rPr>
        <w:t>,</w:t>
      </w:r>
      <w:r w:rsidRPr="00423997">
        <w:rPr>
          <w:kern w:val="22"/>
          <w:szCs w:val="24"/>
          <w:lang w:val="es-ES"/>
        </w:rPr>
        <w:t xml:space="preserve"> aprobación o </w:t>
      </w:r>
      <w:r w:rsidR="00423997" w:rsidRPr="00423997">
        <w:rPr>
          <w:kern w:val="22"/>
          <w:szCs w:val="24"/>
          <w:lang w:val="es-ES"/>
        </w:rPr>
        <w:t xml:space="preserve">adhesión </w:t>
      </w:r>
      <w:r w:rsidRPr="00423997">
        <w:rPr>
          <w:kern w:val="22"/>
          <w:szCs w:val="24"/>
          <w:lang w:val="es-ES"/>
        </w:rPr>
        <w:t xml:space="preserve">al Protocolo de Nagoya a la mayor brevedad posible y adopten medidas tendientes a su aplicación, incluido mediante el establecimiento de estructuras institucionales y </w:t>
      </w:r>
      <w:r w:rsidR="00423997" w:rsidRPr="00423997">
        <w:rPr>
          <w:kern w:val="22"/>
          <w:szCs w:val="24"/>
          <w:lang w:val="es-ES"/>
        </w:rPr>
        <w:t xml:space="preserve">la adopción de </w:t>
      </w:r>
      <w:r w:rsidRPr="00423997">
        <w:rPr>
          <w:kern w:val="22"/>
          <w:szCs w:val="24"/>
          <w:lang w:val="es-ES"/>
        </w:rPr>
        <w:t>medidas legislativas, administrativas y de políticas sobre acceso y participación en los beneficios, y a que proporcionen información pertinente al Centro de Intercambio de Información sobre Acceso y Participación en los Beneficios;</w:t>
      </w:r>
    </w:p>
    <w:p w:rsidR="00D96D70" w:rsidRPr="00423997" w:rsidRDefault="00D96D70" w:rsidP="0037029F">
      <w:pPr>
        <w:pStyle w:val="Para1"/>
        <w:numPr>
          <w:ilvl w:val="0"/>
          <w:numId w:val="0"/>
        </w:numPr>
        <w:suppressLineNumbers/>
        <w:suppressAutoHyphens/>
        <w:kinsoku w:val="0"/>
        <w:overflowPunct w:val="0"/>
        <w:autoSpaceDE w:val="0"/>
        <w:autoSpaceDN w:val="0"/>
        <w:ind w:left="720" w:firstLine="720"/>
        <w:rPr>
          <w:spacing w:val="-2"/>
          <w:kern w:val="22"/>
          <w:szCs w:val="24"/>
          <w:lang w:val="es-ES"/>
        </w:rPr>
      </w:pPr>
      <w:r w:rsidRPr="00423997">
        <w:rPr>
          <w:kern w:val="22"/>
          <w:szCs w:val="24"/>
          <w:lang w:val="es-ES"/>
        </w:rPr>
        <w:t xml:space="preserve">9. </w:t>
      </w:r>
      <w:r w:rsidRPr="00423997">
        <w:rPr>
          <w:kern w:val="22"/>
          <w:szCs w:val="24"/>
          <w:lang w:val="es-ES"/>
        </w:rPr>
        <w:tab/>
      </w:r>
      <w:r w:rsidRPr="00423997">
        <w:rPr>
          <w:i/>
          <w:spacing w:val="-2"/>
          <w:kern w:val="22"/>
          <w:szCs w:val="24"/>
          <w:lang w:val="es-ES"/>
        </w:rPr>
        <w:t>Pide</w:t>
      </w:r>
      <w:r w:rsidRPr="00423997">
        <w:rPr>
          <w:spacing w:val="-2"/>
          <w:kern w:val="22"/>
          <w:szCs w:val="24"/>
          <w:lang w:val="es-ES"/>
        </w:rPr>
        <w:t xml:space="preserve"> a la Secretaria Ejecutiva que apoye la comunicación estratégica para </w:t>
      </w:r>
      <w:r w:rsidR="0037029F" w:rsidRPr="00423997">
        <w:rPr>
          <w:spacing w:val="-2"/>
          <w:kern w:val="22"/>
          <w:szCs w:val="24"/>
          <w:lang w:val="es-ES"/>
        </w:rPr>
        <w:t>c</w:t>
      </w:r>
      <w:r w:rsidRPr="00423997">
        <w:rPr>
          <w:spacing w:val="-2"/>
          <w:kern w:val="22"/>
          <w:szCs w:val="24"/>
          <w:lang w:val="es-ES"/>
        </w:rPr>
        <w:t>re</w:t>
      </w:r>
      <w:r w:rsidR="0037029F" w:rsidRPr="00423997">
        <w:rPr>
          <w:spacing w:val="-2"/>
          <w:kern w:val="22"/>
          <w:szCs w:val="24"/>
          <w:lang w:val="es-ES"/>
        </w:rPr>
        <w:t>a</w:t>
      </w:r>
      <w:r w:rsidRPr="00423997">
        <w:rPr>
          <w:spacing w:val="-2"/>
          <w:kern w:val="22"/>
          <w:szCs w:val="24"/>
          <w:lang w:val="es-ES"/>
        </w:rPr>
        <w:t xml:space="preserve">r </w:t>
      </w:r>
      <w:r w:rsidR="0037029F" w:rsidRPr="00423997">
        <w:rPr>
          <w:spacing w:val="-2"/>
          <w:kern w:val="22"/>
          <w:szCs w:val="24"/>
          <w:lang w:val="es-ES"/>
        </w:rPr>
        <w:t>un</w:t>
      </w:r>
      <w:r w:rsidRPr="00423997">
        <w:rPr>
          <w:spacing w:val="-2"/>
          <w:kern w:val="22"/>
          <w:szCs w:val="24"/>
          <w:lang w:val="es-ES"/>
        </w:rPr>
        <w:t xml:space="preserve">a </w:t>
      </w:r>
      <w:r w:rsidR="0037029F" w:rsidRPr="00423997">
        <w:rPr>
          <w:spacing w:val="-2"/>
          <w:kern w:val="22"/>
          <w:szCs w:val="24"/>
          <w:lang w:val="es-ES"/>
        </w:rPr>
        <w:t xml:space="preserve">mayor </w:t>
      </w:r>
      <w:r w:rsidRPr="00423997">
        <w:rPr>
          <w:spacing w:val="-2"/>
          <w:kern w:val="22"/>
          <w:szCs w:val="24"/>
          <w:lang w:val="es-ES"/>
        </w:rPr>
        <w:t xml:space="preserve">conciencia sobre el Protocolo de Nagoya y </w:t>
      </w:r>
      <w:r w:rsidR="00D07D11" w:rsidRPr="00423997">
        <w:rPr>
          <w:spacing w:val="-2"/>
          <w:kern w:val="22"/>
          <w:szCs w:val="24"/>
          <w:lang w:val="es-ES"/>
        </w:rPr>
        <w:t>promover</w:t>
      </w:r>
      <w:r w:rsidRPr="00423997">
        <w:rPr>
          <w:spacing w:val="-2"/>
          <w:kern w:val="22"/>
          <w:szCs w:val="24"/>
          <w:lang w:val="es-ES"/>
        </w:rPr>
        <w:t xml:space="preserve"> su integración en diversos sectores;</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t>10.</w:t>
      </w:r>
      <w:r w:rsidRPr="00423997">
        <w:rPr>
          <w:kern w:val="22"/>
          <w:szCs w:val="24"/>
          <w:lang w:val="es-ES"/>
        </w:rPr>
        <w:tab/>
      </w:r>
      <w:r w:rsidRPr="00423997">
        <w:rPr>
          <w:i/>
          <w:kern w:val="22"/>
          <w:szCs w:val="24"/>
          <w:lang w:val="es-ES"/>
        </w:rPr>
        <w:t>Insta</w:t>
      </w:r>
      <w:r w:rsidRPr="00423997">
        <w:rPr>
          <w:kern w:val="22"/>
          <w:szCs w:val="24"/>
          <w:lang w:val="es-ES"/>
        </w:rPr>
        <w:t xml:space="preserve"> a las Partes en el Convenio que aún no son Partes en el Protocolo de Nagoya a inclu</w:t>
      </w:r>
      <w:r w:rsidR="00D07D11" w:rsidRPr="00423997">
        <w:rPr>
          <w:kern w:val="22"/>
          <w:szCs w:val="24"/>
          <w:lang w:val="es-ES"/>
        </w:rPr>
        <w:t>ir</w:t>
      </w:r>
      <w:r w:rsidRPr="00423997">
        <w:rPr>
          <w:kern w:val="22"/>
          <w:szCs w:val="24"/>
          <w:lang w:val="es-ES"/>
        </w:rPr>
        <w:t xml:space="preserve"> información sobre</w:t>
      </w:r>
      <w:r w:rsidR="00CA56A4" w:rsidRPr="00423997">
        <w:rPr>
          <w:kern w:val="22"/>
          <w:szCs w:val="24"/>
          <w:lang w:val="es-ES"/>
        </w:rPr>
        <w:t xml:space="preserve"> </w:t>
      </w:r>
      <w:r w:rsidR="008E2D1A" w:rsidRPr="00423997">
        <w:rPr>
          <w:kern w:val="22"/>
          <w:szCs w:val="24"/>
          <w:lang w:val="es-ES"/>
        </w:rPr>
        <w:t>la aplicación</w:t>
      </w:r>
      <w:r w:rsidRPr="00423997">
        <w:rPr>
          <w:kern w:val="22"/>
          <w:szCs w:val="24"/>
          <w:lang w:val="es-ES"/>
        </w:rPr>
        <w:t xml:space="preserve"> del acceso y la participación en los beneficios</w:t>
      </w:r>
      <w:r w:rsidR="00D07D11" w:rsidRPr="00423997">
        <w:rPr>
          <w:kern w:val="22"/>
          <w:szCs w:val="24"/>
          <w:lang w:val="es-ES"/>
        </w:rPr>
        <w:t xml:space="preserve"> en sus sextos informes nacionales</w:t>
      </w:r>
      <w:r w:rsidRPr="00423997">
        <w:rPr>
          <w:kern w:val="22"/>
          <w:szCs w:val="24"/>
          <w:lang w:val="es-ES"/>
        </w:rPr>
        <w:t>;</w:t>
      </w:r>
    </w:p>
    <w:p w:rsidR="00D96D70" w:rsidRPr="00423997" w:rsidRDefault="00D96D70">
      <w:pPr>
        <w:suppressLineNumbers/>
        <w:suppressAutoHyphens/>
        <w:kinsoku w:val="0"/>
        <w:overflowPunct w:val="0"/>
        <w:autoSpaceDE w:val="0"/>
        <w:autoSpaceDN w:val="0"/>
        <w:spacing w:before="120" w:after="120"/>
        <w:ind w:left="720" w:firstLine="720"/>
        <w:rPr>
          <w:kern w:val="22"/>
          <w:lang w:val="es-ES"/>
        </w:rPr>
      </w:pPr>
      <w:r w:rsidRPr="00423997">
        <w:rPr>
          <w:kern w:val="22"/>
          <w:lang w:val="es-ES"/>
        </w:rPr>
        <w:t>11.</w:t>
      </w:r>
      <w:r w:rsidRPr="00423997">
        <w:rPr>
          <w:kern w:val="22"/>
          <w:lang w:val="es-ES"/>
        </w:rPr>
        <w:tab/>
      </w:r>
      <w:r w:rsidRPr="00423997">
        <w:rPr>
          <w:i/>
          <w:kern w:val="22"/>
          <w:lang w:val="es-ES"/>
        </w:rPr>
        <w:t>Reitera</w:t>
      </w:r>
      <w:r w:rsidRPr="00423997">
        <w:rPr>
          <w:kern w:val="22"/>
          <w:lang w:val="es-ES"/>
        </w:rPr>
        <w:t xml:space="preserve"> la necesidad de llevar a cabo actividades de creación y desarrollo de capacidad así como de </w:t>
      </w:r>
      <w:r w:rsidR="008E2D1A" w:rsidRPr="00423997">
        <w:rPr>
          <w:kern w:val="22"/>
          <w:lang w:val="es-ES"/>
        </w:rPr>
        <w:t>contar con recursos financieros</w:t>
      </w:r>
      <w:r w:rsidRPr="00423997">
        <w:rPr>
          <w:kern w:val="22"/>
          <w:lang w:val="es-ES"/>
        </w:rPr>
        <w:t xml:space="preserve"> para apoyar la ratificación y aplicación efectiva del Protocolo de Nagoya, e </w:t>
      </w:r>
      <w:r w:rsidRPr="00423997">
        <w:rPr>
          <w:i/>
          <w:kern w:val="22"/>
          <w:lang w:val="es-ES"/>
        </w:rPr>
        <w:t>invita</w:t>
      </w:r>
      <w:r w:rsidRPr="00423997">
        <w:rPr>
          <w:kern w:val="22"/>
          <w:lang w:val="es-ES"/>
        </w:rPr>
        <w:t xml:space="preserve"> a los Gobiernos y organizaciones pertinentes a proporcionar, donde sea posible, apoyo técnico y financiero;</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t>12.</w:t>
      </w:r>
      <w:r w:rsidRPr="00423997">
        <w:rPr>
          <w:kern w:val="22"/>
          <w:szCs w:val="24"/>
          <w:lang w:val="es-ES"/>
        </w:rPr>
        <w:tab/>
      </w:r>
      <w:r w:rsidRPr="00423997">
        <w:rPr>
          <w:i/>
          <w:kern w:val="22"/>
          <w:szCs w:val="24"/>
          <w:lang w:val="es-ES"/>
        </w:rPr>
        <w:t>Alienta</w:t>
      </w:r>
      <w:r w:rsidRPr="00423997">
        <w:rPr>
          <w:kern w:val="22"/>
          <w:szCs w:val="24"/>
          <w:lang w:val="es-ES"/>
        </w:rPr>
        <w:t xml:space="preserve"> a las Partes a considerar </w:t>
      </w:r>
      <w:r w:rsidR="008E2D1A" w:rsidRPr="00423997">
        <w:rPr>
          <w:kern w:val="22"/>
          <w:szCs w:val="24"/>
          <w:lang w:val="es-ES"/>
        </w:rPr>
        <w:t xml:space="preserve">más a fondo la </w:t>
      </w:r>
      <w:r w:rsidRPr="00423997">
        <w:rPr>
          <w:kern w:val="22"/>
          <w:szCs w:val="24"/>
          <w:lang w:val="es-ES"/>
        </w:rPr>
        <w:t>integración del acceso y la participación en los beneficios en otras esferas de trabajo del Convenio, como parte de las d</w:t>
      </w:r>
      <w:r w:rsidR="008E2D1A" w:rsidRPr="00423997">
        <w:rPr>
          <w:kern w:val="22"/>
          <w:szCs w:val="24"/>
          <w:lang w:val="es-ES"/>
        </w:rPr>
        <w:t>el</w:t>
      </w:r>
      <w:r w:rsidRPr="00423997">
        <w:rPr>
          <w:kern w:val="22"/>
          <w:szCs w:val="24"/>
          <w:lang w:val="es-ES"/>
        </w:rPr>
        <w:t>i</w:t>
      </w:r>
      <w:r w:rsidR="008E2D1A" w:rsidRPr="00423997">
        <w:rPr>
          <w:kern w:val="22"/>
          <w:szCs w:val="24"/>
          <w:lang w:val="es-ES"/>
        </w:rPr>
        <w:t>berac</w:t>
      </w:r>
      <w:r w:rsidRPr="00423997">
        <w:rPr>
          <w:kern w:val="22"/>
          <w:szCs w:val="24"/>
          <w:lang w:val="es-ES"/>
        </w:rPr>
        <w:t>iones sobre el marco mundial de la diversidad biológica posterior a 2020;</w:t>
      </w:r>
    </w:p>
    <w:p w:rsidR="00D96D70" w:rsidRPr="00423997" w:rsidRDefault="00D96D70">
      <w:pPr>
        <w:pStyle w:val="Para1"/>
        <w:numPr>
          <w:ilvl w:val="0"/>
          <w:numId w:val="0"/>
        </w:numPr>
        <w:suppressLineNumbers/>
        <w:suppressAutoHyphens/>
        <w:kinsoku w:val="0"/>
        <w:overflowPunct w:val="0"/>
        <w:autoSpaceDE w:val="0"/>
        <w:autoSpaceDN w:val="0"/>
        <w:ind w:left="720" w:firstLine="720"/>
        <w:rPr>
          <w:kern w:val="22"/>
          <w:szCs w:val="24"/>
          <w:lang w:val="es-ES"/>
        </w:rPr>
      </w:pPr>
      <w:r w:rsidRPr="00423997">
        <w:rPr>
          <w:kern w:val="22"/>
          <w:szCs w:val="24"/>
          <w:lang w:val="es-ES"/>
        </w:rPr>
        <w:t>13.</w:t>
      </w:r>
      <w:r w:rsidRPr="00423997">
        <w:rPr>
          <w:kern w:val="22"/>
          <w:szCs w:val="24"/>
          <w:lang w:val="es-ES"/>
        </w:rPr>
        <w:tab/>
      </w:r>
      <w:r w:rsidRPr="00423997">
        <w:rPr>
          <w:i/>
          <w:kern w:val="22"/>
          <w:szCs w:val="24"/>
          <w:lang w:val="es-ES"/>
        </w:rPr>
        <w:t>Pide</w:t>
      </w:r>
      <w:r w:rsidRPr="00423997">
        <w:rPr>
          <w:kern w:val="22"/>
          <w:szCs w:val="24"/>
          <w:lang w:val="es-ES"/>
        </w:rPr>
        <w:t xml:space="preserve"> a la Secretaria Ejecutiva que continúe </w:t>
      </w:r>
      <w:r w:rsidR="008E2D1A" w:rsidRPr="00423997">
        <w:rPr>
          <w:kern w:val="22"/>
          <w:szCs w:val="24"/>
          <w:lang w:val="es-ES"/>
        </w:rPr>
        <w:t>desplegando</w:t>
      </w:r>
      <w:r w:rsidRPr="00423997">
        <w:rPr>
          <w:kern w:val="22"/>
          <w:szCs w:val="24"/>
          <w:lang w:val="es-ES"/>
        </w:rPr>
        <w:t xml:space="preserve"> esfuerzos para integrar el acceso y la participación en los beneficios en todo el trabajo de la Secretaría y que apoye a las Partes en sus esfuerzos para integrar el acceso y la participación en los beneficios en diversos sectores a nivel nacional.</w:t>
      </w:r>
    </w:p>
    <w:p w:rsidR="00D96D70" w:rsidRPr="00423997" w:rsidRDefault="00D96D70">
      <w:pPr>
        <w:pStyle w:val="Para1"/>
        <w:numPr>
          <w:ilvl w:val="0"/>
          <w:numId w:val="0"/>
        </w:numPr>
        <w:suppressLineNumbers/>
        <w:suppressAutoHyphens/>
        <w:kinsoku w:val="0"/>
        <w:overflowPunct w:val="0"/>
        <w:autoSpaceDE w:val="0"/>
        <w:autoSpaceDN w:val="0"/>
        <w:spacing w:before="0" w:after="0"/>
        <w:rPr>
          <w:snapToGrid w:val="0"/>
          <w:kern w:val="22"/>
          <w:szCs w:val="24"/>
          <w:lang w:val="es-ES"/>
        </w:rPr>
      </w:pPr>
    </w:p>
    <w:p w:rsidR="00D96D70" w:rsidRPr="00423997" w:rsidRDefault="00D96D70" w:rsidP="0037029F">
      <w:pPr>
        <w:suppressLineNumbers/>
        <w:suppressAutoHyphens/>
        <w:kinsoku w:val="0"/>
        <w:overflowPunct w:val="0"/>
        <w:autoSpaceDE w:val="0"/>
        <w:autoSpaceDN w:val="0"/>
        <w:jc w:val="center"/>
        <w:rPr>
          <w:kern w:val="22"/>
          <w:lang w:val="es-ES"/>
        </w:rPr>
      </w:pPr>
      <w:r w:rsidRPr="00423997">
        <w:rPr>
          <w:kern w:val="22"/>
          <w:lang w:val="es-ES"/>
        </w:rPr>
        <w:t>__________</w:t>
      </w:r>
    </w:p>
    <w:sectPr w:rsidR="00D96D70" w:rsidRPr="00423997" w:rsidSect="001A18B5">
      <w:headerReference w:type="even" r:id="rId10"/>
      <w:headerReference w:type="default" r:id="rId11"/>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C11" w:rsidRDefault="00950C11">
      <w:r>
        <w:separator/>
      </w:r>
    </w:p>
  </w:endnote>
  <w:endnote w:type="continuationSeparator" w:id="0">
    <w:p w:rsidR="00950C11" w:rsidRDefault="00950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C11" w:rsidRDefault="00950C11">
      <w:r>
        <w:separator/>
      </w:r>
    </w:p>
  </w:footnote>
  <w:footnote w:type="continuationSeparator" w:id="0">
    <w:p w:rsidR="00950C11" w:rsidRDefault="00950C11">
      <w:r>
        <w:continuationSeparator/>
      </w:r>
    </w:p>
  </w:footnote>
  <w:footnote w:id="1">
    <w:p w:rsidR="00D96D70" w:rsidRPr="0037029F" w:rsidRDefault="00D96D70">
      <w:pPr>
        <w:pStyle w:val="FootnoteText"/>
        <w:kinsoku w:val="0"/>
        <w:overflowPunct w:val="0"/>
        <w:autoSpaceDE w:val="0"/>
        <w:autoSpaceDN w:val="0"/>
        <w:ind w:firstLine="0"/>
        <w:jc w:val="left"/>
        <w:rPr>
          <w:szCs w:val="18"/>
        </w:rPr>
      </w:pPr>
      <w:r w:rsidRPr="0037029F">
        <w:rPr>
          <w:rStyle w:val="FootnoteReference"/>
          <w:sz w:val="18"/>
          <w:szCs w:val="18"/>
          <w:lang w:val="es-ES"/>
        </w:rPr>
        <w:footnoteRef/>
      </w:r>
      <w:r w:rsidRPr="0037029F">
        <w:rPr>
          <w:szCs w:val="18"/>
          <w:lang w:val="es-ES"/>
        </w:rPr>
        <w:t xml:space="preserve"> Decisión XII/29, párrafo 9, y decisión BS-VII/5, párrafo 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70" w:rsidRDefault="00D96D70">
    <w:pPr>
      <w:pStyle w:val="Header"/>
      <w:tabs>
        <w:tab w:val="clear" w:pos="4320"/>
        <w:tab w:val="clear" w:pos="8640"/>
      </w:tabs>
      <w:kinsoku w:val="0"/>
      <w:overflowPunct w:val="0"/>
      <w:autoSpaceDE w:val="0"/>
      <w:autoSpaceDN w:val="0"/>
      <w:jc w:val="left"/>
      <w:rPr>
        <w:kern w:val="22"/>
        <w:lang w:val="es-ES"/>
      </w:rPr>
    </w:pPr>
    <w:r>
      <w:rPr>
        <w:kern w:val="22"/>
        <w:lang w:val="es-ES"/>
      </w:rPr>
      <w:t>CBD/SBI/</w:t>
    </w:r>
    <w:r w:rsidR="00E47E57">
      <w:rPr>
        <w:kern w:val="22"/>
        <w:lang w:val="es-ES"/>
      </w:rPr>
      <w:t>REC/</w:t>
    </w:r>
    <w:r>
      <w:rPr>
        <w:kern w:val="22"/>
        <w:lang w:val="es-ES"/>
      </w:rPr>
      <w:t>2/14</w:t>
    </w:r>
  </w:p>
  <w:p w:rsidR="00D96D70" w:rsidRDefault="00D96D70">
    <w:pPr>
      <w:pStyle w:val="Header"/>
      <w:tabs>
        <w:tab w:val="clear" w:pos="4320"/>
        <w:tab w:val="clear" w:pos="8640"/>
      </w:tabs>
      <w:kinsoku w:val="0"/>
      <w:overflowPunct w:val="0"/>
      <w:autoSpaceDE w:val="0"/>
      <w:autoSpaceDN w:val="0"/>
      <w:jc w:val="left"/>
      <w:rPr>
        <w:kern w:val="22"/>
        <w:lang w:val="es-ES"/>
      </w:rPr>
    </w:pPr>
    <w:r>
      <w:rPr>
        <w:kern w:val="22"/>
        <w:lang w:val="es-ES"/>
      </w:rPr>
      <w:t xml:space="preserve">Página </w:t>
    </w:r>
    <w:r w:rsidR="00FA04BB">
      <w:rPr>
        <w:kern w:val="22"/>
        <w:lang w:val="es-ES"/>
      </w:rPr>
      <w:fldChar w:fldCharType="begin"/>
    </w:r>
    <w:r>
      <w:rPr>
        <w:kern w:val="22"/>
        <w:lang w:val="es-ES"/>
      </w:rPr>
      <w:instrText xml:space="preserve"> PAGE   \* MERGEFORMAT </w:instrText>
    </w:r>
    <w:r w:rsidR="00FA04BB">
      <w:rPr>
        <w:kern w:val="22"/>
        <w:lang w:val="es-ES"/>
      </w:rPr>
      <w:fldChar w:fldCharType="separate"/>
    </w:r>
    <w:r w:rsidR="00137D73" w:rsidRPr="00137D73">
      <w:rPr>
        <w:noProof/>
        <w:kern w:val="22"/>
      </w:rPr>
      <w:t>2</w:t>
    </w:r>
    <w:r w:rsidR="00FA04BB">
      <w:rPr>
        <w:kern w:val="22"/>
        <w:lang w:val="es-ES"/>
      </w:rPr>
      <w:fldChar w:fldCharType="end"/>
    </w:r>
  </w:p>
  <w:p w:rsidR="00D96D70" w:rsidRDefault="00D96D70">
    <w:pPr>
      <w:pStyle w:val="Header"/>
      <w:tabs>
        <w:tab w:val="clear" w:pos="4320"/>
        <w:tab w:val="clear" w:pos="8640"/>
      </w:tabs>
      <w:kinsoku w:val="0"/>
      <w:overflowPunct w:val="0"/>
      <w:autoSpaceDE w:val="0"/>
      <w:autoSpaceDN w:val="0"/>
      <w:jc w:val="left"/>
      <w:rPr>
        <w:kern w:val="22"/>
        <w:lang w:val="es-E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D70" w:rsidRDefault="00D96D70">
    <w:pPr>
      <w:pStyle w:val="Header"/>
      <w:jc w:val="right"/>
      <w:rPr>
        <w:lang w:val="es-ES"/>
      </w:rPr>
    </w:pPr>
    <w:r>
      <w:rPr>
        <w:lang w:val="es-ES"/>
      </w:rPr>
      <w:t>CBD/SBI/2/L.14</w:t>
    </w:r>
  </w:p>
  <w:p w:rsidR="00D96D70" w:rsidRDefault="00D96D70">
    <w:pPr>
      <w:pStyle w:val="Header"/>
      <w:jc w:val="right"/>
      <w:rPr>
        <w:lang w:val="fr-FR"/>
      </w:rPr>
    </w:pPr>
    <w:r>
      <w:rPr>
        <w:lang w:val="es-ES"/>
      </w:rPr>
      <w:t xml:space="preserve">Página </w:t>
    </w:r>
    <w:r w:rsidR="00FA04BB">
      <w:rPr>
        <w:lang w:val="es-ES"/>
      </w:rPr>
      <w:fldChar w:fldCharType="begin"/>
    </w:r>
    <w:r>
      <w:rPr>
        <w:lang w:val="es-ES"/>
      </w:rPr>
      <w:instrText xml:space="preserve"> PAGE   \* MERGEFORMAT </w:instrText>
    </w:r>
    <w:r w:rsidR="00FA04BB">
      <w:rPr>
        <w:lang w:val="es-ES"/>
      </w:rPr>
      <w:fldChar w:fldCharType="separate"/>
    </w:r>
    <w:r w:rsidR="00D07D11" w:rsidRPr="00D07D11">
      <w:rPr>
        <w:noProof/>
      </w:rPr>
      <w:t>3</w:t>
    </w:r>
    <w:r w:rsidR="00FA04BB">
      <w:rPr>
        <w:lang w:val="es-ES"/>
      </w:rPr>
      <w:fldChar w:fldCharType="end"/>
    </w:r>
  </w:p>
  <w:p w:rsidR="00D96D70" w:rsidRDefault="00D96D70">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hyphenationZone w:val="425"/>
  <w:evenAndOddHeaders/>
  <w:characterSpacingControl w:val="doNotCompress"/>
  <w:footnotePr>
    <w:footnote w:id="-1"/>
    <w:footnote w:id="0"/>
  </w:footnotePr>
  <w:endnotePr>
    <w:endnote w:id="-1"/>
    <w:endnote w:id="0"/>
  </w:endnotePr>
  <w:compat/>
  <w:rsids>
    <w:rsidRoot w:val="00C9161D"/>
    <w:rsid w:val="00046CD9"/>
    <w:rsid w:val="00067DF8"/>
    <w:rsid w:val="00071F33"/>
    <w:rsid w:val="00096495"/>
    <w:rsid w:val="000B0FE4"/>
    <w:rsid w:val="000E673A"/>
    <w:rsid w:val="000F10D7"/>
    <w:rsid w:val="000F74F5"/>
    <w:rsid w:val="00105372"/>
    <w:rsid w:val="001116A4"/>
    <w:rsid w:val="0011426F"/>
    <w:rsid w:val="001274DD"/>
    <w:rsid w:val="00131E7A"/>
    <w:rsid w:val="00137D73"/>
    <w:rsid w:val="0014445B"/>
    <w:rsid w:val="0016747B"/>
    <w:rsid w:val="0017189E"/>
    <w:rsid w:val="00172AF6"/>
    <w:rsid w:val="00176CEE"/>
    <w:rsid w:val="00182E4F"/>
    <w:rsid w:val="00184BAE"/>
    <w:rsid w:val="001A18B5"/>
    <w:rsid w:val="001D620C"/>
    <w:rsid w:val="002211E8"/>
    <w:rsid w:val="00240AE0"/>
    <w:rsid w:val="00254DC5"/>
    <w:rsid w:val="002628AB"/>
    <w:rsid w:val="002F33E9"/>
    <w:rsid w:val="00365472"/>
    <w:rsid w:val="0037029F"/>
    <w:rsid w:val="00372F74"/>
    <w:rsid w:val="00376896"/>
    <w:rsid w:val="00382210"/>
    <w:rsid w:val="003E4594"/>
    <w:rsid w:val="003F7224"/>
    <w:rsid w:val="004016E7"/>
    <w:rsid w:val="00405146"/>
    <w:rsid w:val="004112FE"/>
    <w:rsid w:val="00423997"/>
    <w:rsid w:val="00427D21"/>
    <w:rsid w:val="00436371"/>
    <w:rsid w:val="004644C2"/>
    <w:rsid w:val="00467A14"/>
    <w:rsid w:val="00467F9C"/>
    <w:rsid w:val="004B38F9"/>
    <w:rsid w:val="004C4AB0"/>
    <w:rsid w:val="004D7FA4"/>
    <w:rsid w:val="00517690"/>
    <w:rsid w:val="00534681"/>
    <w:rsid w:val="00546959"/>
    <w:rsid w:val="005B738A"/>
    <w:rsid w:val="005D77E6"/>
    <w:rsid w:val="006122BA"/>
    <w:rsid w:val="00650658"/>
    <w:rsid w:val="00675FFF"/>
    <w:rsid w:val="006B2290"/>
    <w:rsid w:val="006F2E95"/>
    <w:rsid w:val="006F3E9C"/>
    <w:rsid w:val="00711727"/>
    <w:rsid w:val="00717D88"/>
    <w:rsid w:val="00731FCA"/>
    <w:rsid w:val="00735D15"/>
    <w:rsid w:val="00751178"/>
    <w:rsid w:val="00783D8C"/>
    <w:rsid w:val="007942D3"/>
    <w:rsid w:val="007B5FBE"/>
    <w:rsid w:val="007B6C09"/>
    <w:rsid w:val="007C3686"/>
    <w:rsid w:val="007D3047"/>
    <w:rsid w:val="007E09DA"/>
    <w:rsid w:val="007F3D2F"/>
    <w:rsid w:val="008178B6"/>
    <w:rsid w:val="00865B74"/>
    <w:rsid w:val="008A1A98"/>
    <w:rsid w:val="008E2D1A"/>
    <w:rsid w:val="008F4EE6"/>
    <w:rsid w:val="00905D87"/>
    <w:rsid w:val="00930BA1"/>
    <w:rsid w:val="0093169E"/>
    <w:rsid w:val="009505C9"/>
    <w:rsid w:val="00950C11"/>
    <w:rsid w:val="009944D0"/>
    <w:rsid w:val="0099486D"/>
    <w:rsid w:val="009C200D"/>
    <w:rsid w:val="009C2FB6"/>
    <w:rsid w:val="009C5AFA"/>
    <w:rsid w:val="009D1D5A"/>
    <w:rsid w:val="00A01D05"/>
    <w:rsid w:val="00A037E6"/>
    <w:rsid w:val="00A57314"/>
    <w:rsid w:val="00A902DB"/>
    <w:rsid w:val="00A962C7"/>
    <w:rsid w:val="00AA5DCB"/>
    <w:rsid w:val="00AF1FF5"/>
    <w:rsid w:val="00AF6BB2"/>
    <w:rsid w:val="00B05CE3"/>
    <w:rsid w:val="00B3369F"/>
    <w:rsid w:val="00B35E6F"/>
    <w:rsid w:val="00B43C7A"/>
    <w:rsid w:val="00B53320"/>
    <w:rsid w:val="00B54448"/>
    <w:rsid w:val="00B62FE8"/>
    <w:rsid w:val="00C04358"/>
    <w:rsid w:val="00C64F45"/>
    <w:rsid w:val="00C9161D"/>
    <w:rsid w:val="00CA56A4"/>
    <w:rsid w:val="00CC3CB5"/>
    <w:rsid w:val="00CD5D41"/>
    <w:rsid w:val="00CD5E25"/>
    <w:rsid w:val="00CF1848"/>
    <w:rsid w:val="00CF5AE2"/>
    <w:rsid w:val="00D007D6"/>
    <w:rsid w:val="00D07D11"/>
    <w:rsid w:val="00D12044"/>
    <w:rsid w:val="00D1422B"/>
    <w:rsid w:val="00D44A6E"/>
    <w:rsid w:val="00D76A18"/>
    <w:rsid w:val="00D8560A"/>
    <w:rsid w:val="00D8646C"/>
    <w:rsid w:val="00D910F4"/>
    <w:rsid w:val="00D948F8"/>
    <w:rsid w:val="00D96526"/>
    <w:rsid w:val="00D96D70"/>
    <w:rsid w:val="00DA3AD2"/>
    <w:rsid w:val="00DD118C"/>
    <w:rsid w:val="00DD444F"/>
    <w:rsid w:val="00E00B85"/>
    <w:rsid w:val="00E272C3"/>
    <w:rsid w:val="00E40BD7"/>
    <w:rsid w:val="00E47E57"/>
    <w:rsid w:val="00E56C9B"/>
    <w:rsid w:val="00E66235"/>
    <w:rsid w:val="00E83C24"/>
    <w:rsid w:val="00E9318D"/>
    <w:rsid w:val="00EA02D5"/>
    <w:rsid w:val="00ED2742"/>
    <w:rsid w:val="00ED7C5D"/>
    <w:rsid w:val="00EE0DFD"/>
    <w:rsid w:val="00F01613"/>
    <w:rsid w:val="00F30541"/>
    <w:rsid w:val="00F47B33"/>
    <w:rsid w:val="00F82842"/>
    <w:rsid w:val="00F86865"/>
    <w:rsid w:val="00F94774"/>
    <w:rsid w:val="00FA04BB"/>
    <w:rsid w:val="00FC53DB"/>
    <w:rsid w:val="00FE48D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link w:val="CharChar12"/>
    <w:qFormat/>
    <w:rsid w:val="001A18B5"/>
    <w:pPr>
      <w:jc w:val="both"/>
    </w:pPr>
    <w:rPr>
      <w:rFonts w:cs="Times New Roman"/>
      <w:snapToGrid w:val="0"/>
      <w:sz w:val="22"/>
      <w:szCs w:val="24"/>
      <w:lang w:val="en-GB" w:eastAsia="es-ES"/>
    </w:rPr>
  </w:style>
  <w:style w:type="paragraph" w:styleId="Heading1">
    <w:name w:val="heading 1"/>
    <w:basedOn w:val="Normal"/>
    <w:next w:val="Heading2"/>
    <w:qFormat/>
    <w:rsid w:val="001A18B5"/>
    <w:pPr>
      <w:keepNext/>
      <w:tabs>
        <w:tab w:val="left" w:pos="720"/>
      </w:tabs>
      <w:spacing w:before="240" w:after="120"/>
      <w:jc w:val="center"/>
      <w:outlineLvl w:val="0"/>
    </w:pPr>
    <w:rPr>
      <w:b/>
      <w:caps/>
    </w:rPr>
  </w:style>
  <w:style w:type="paragraph" w:styleId="Heading2">
    <w:name w:val="heading 2"/>
    <w:basedOn w:val="Normal"/>
    <w:next w:val="Normal"/>
    <w:link w:val="PlaceholderText"/>
    <w:qFormat/>
    <w:rsid w:val="001A18B5"/>
    <w:pPr>
      <w:keepNext/>
      <w:tabs>
        <w:tab w:val="left" w:pos="720"/>
      </w:tabs>
      <w:spacing w:before="120" w:after="120"/>
      <w:jc w:val="center"/>
      <w:outlineLvl w:val="1"/>
    </w:pPr>
    <w:rPr>
      <w:b/>
      <w:bCs/>
      <w:iCs/>
    </w:rPr>
  </w:style>
  <w:style w:type="paragraph" w:styleId="Heading3">
    <w:name w:val="heading 3"/>
    <w:basedOn w:val="Normal"/>
    <w:next w:val="Normal"/>
    <w:qFormat/>
    <w:rsid w:val="001A18B5"/>
    <w:pPr>
      <w:keepNext/>
      <w:tabs>
        <w:tab w:val="left" w:pos="567"/>
      </w:tabs>
      <w:spacing w:before="120" w:after="120"/>
      <w:jc w:val="center"/>
      <w:outlineLvl w:val="2"/>
    </w:pPr>
    <w:rPr>
      <w:i/>
      <w:iCs/>
    </w:rPr>
  </w:style>
  <w:style w:type="paragraph" w:styleId="Heading4">
    <w:name w:val="heading 4"/>
    <w:basedOn w:val="Normal"/>
    <w:qFormat/>
    <w:rsid w:val="001A18B5"/>
    <w:pPr>
      <w:keepNext/>
      <w:spacing w:before="120" w:after="120"/>
      <w:outlineLvl w:val="3"/>
    </w:pPr>
    <w:rPr>
      <w:rFonts w:ascii="Times New Roman Bold" w:hAnsi="Times New Roman Bold" w:cs="Arial"/>
      <w:b/>
      <w:bCs/>
      <w:i/>
    </w:rPr>
  </w:style>
  <w:style w:type="paragraph" w:styleId="Heading5">
    <w:name w:val="heading 5"/>
    <w:basedOn w:val="Normal"/>
    <w:next w:val="Normal"/>
    <w:qFormat/>
    <w:rsid w:val="001A18B5"/>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1A18B5"/>
    <w:pPr>
      <w:keepNext/>
      <w:spacing w:after="240" w:line="240" w:lineRule="exact"/>
      <w:ind w:left="720"/>
      <w:outlineLvl w:val="5"/>
    </w:pPr>
    <w:rPr>
      <w:u w:val="single"/>
    </w:rPr>
  </w:style>
  <w:style w:type="paragraph" w:styleId="Heading7">
    <w:name w:val="heading 7"/>
    <w:basedOn w:val="Normal"/>
    <w:next w:val="Normal"/>
    <w:qFormat/>
    <w:rsid w:val="001A18B5"/>
    <w:pPr>
      <w:keepNext/>
      <w:jc w:val="right"/>
      <w:outlineLvl w:val="6"/>
    </w:pPr>
    <w:rPr>
      <w:b/>
      <w:sz w:val="28"/>
    </w:rPr>
  </w:style>
  <w:style w:type="paragraph" w:styleId="Heading8">
    <w:name w:val="heading 8"/>
    <w:basedOn w:val="Normal"/>
    <w:next w:val="Normal"/>
    <w:qFormat/>
    <w:rsid w:val="001A18B5"/>
    <w:pPr>
      <w:keepNext/>
      <w:jc w:val="right"/>
      <w:outlineLvl w:val="7"/>
    </w:pPr>
    <w:rPr>
      <w:b/>
      <w:sz w:val="32"/>
    </w:rPr>
  </w:style>
  <w:style w:type="paragraph" w:styleId="Heading9">
    <w:name w:val="heading 9"/>
    <w:basedOn w:val="Normal"/>
    <w:next w:val="Normal"/>
    <w:qFormat/>
    <w:rsid w:val="001A18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18B5"/>
    <w:rPr>
      <w:rFonts w:eastAsia="MS Mincho" w:cs="Arial"/>
      <w:snapToGrid w:val="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18B5"/>
    <w:rPr>
      <w:sz w:val="18"/>
      <w:szCs w:val="18"/>
    </w:rPr>
  </w:style>
  <w:style w:type="character" w:customStyle="1" w:styleId="CharChar10">
    <w:name w:val="Char Char10"/>
    <w:basedOn w:val="DefaultParagraphFont"/>
    <w:semiHidden/>
    <w:locked/>
    <w:rsid w:val="001A18B5"/>
    <w:rPr>
      <w:rFonts w:ascii="Times New Roman" w:hAnsi="Times New Roman" w:cs="Times New Roman"/>
      <w:sz w:val="18"/>
      <w:szCs w:val="18"/>
      <w:lang w:val="en-US"/>
    </w:rPr>
  </w:style>
  <w:style w:type="character" w:styleId="PlaceholderText">
    <w:name w:val="Placeholder Text"/>
    <w:aliases w:val="Heading 2 Char"/>
    <w:basedOn w:val="DefaultParagraphFont"/>
    <w:link w:val="Heading2"/>
    <w:semiHidden/>
    <w:rsid w:val="001A18B5"/>
    <w:rPr>
      <w:rFonts w:cs="Times New Roman"/>
      <w:color w:val="808080"/>
    </w:rPr>
  </w:style>
  <w:style w:type="paragraph" w:styleId="Header">
    <w:name w:val="header"/>
    <w:basedOn w:val="Normal"/>
    <w:rsid w:val="001A18B5"/>
    <w:pPr>
      <w:tabs>
        <w:tab w:val="center" w:pos="4320"/>
        <w:tab w:val="right" w:pos="8640"/>
      </w:tabs>
    </w:pPr>
  </w:style>
  <w:style w:type="character" w:customStyle="1" w:styleId="CharChar9">
    <w:name w:val="Char Char9"/>
    <w:basedOn w:val="DefaultParagraphFont"/>
    <w:locked/>
    <w:rsid w:val="001A18B5"/>
    <w:rPr>
      <w:rFonts w:ascii="Times New Roman" w:eastAsia="Times New Roman" w:hAnsi="Times New Roman" w:cs="Times New Roman"/>
      <w:sz w:val="22"/>
      <w:lang w:val="en-GB"/>
    </w:rPr>
  </w:style>
  <w:style w:type="paragraph" w:styleId="Footer">
    <w:name w:val="footer"/>
    <w:basedOn w:val="Normal"/>
    <w:rsid w:val="001A18B5"/>
    <w:pPr>
      <w:tabs>
        <w:tab w:val="center" w:pos="4320"/>
        <w:tab w:val="right" w:pos="8640"/>
      </w:tabs>
      <w:ind w:firstLine="720"/>
      <w:jc w:val="right"/>
    </w:pPr>
  </w:style>
  <w:style w:type="character" w:customStyle="1" w:styleId="CharChar8">
    <w:name w:val="Char Char8"/>
    <w:basedOn w:val="DefaultParagraphFont"/>
    <w:locked/>
    <w:rsid w:val="001A18B5"/>
    <w:rPr>
      <w:rFonts w:ascii="Times New Roman" w:eastAsia="Times New Roman" w:hAnsi="Times New Roman" w:cs="Times New Roman"/>
      <w:sz w:val="22"/>
      <w:lang w:val="en-GB"/>
    </w:rPr>
  </w:style>
  <w:style w:type="paragraph" w:customStyle="1" w:styleId="meetingname">
    <w:name w:val="meeting name"/>
    <w:basedOn w:val="Normal"/>
    <w:rsid w:val="001A18B5"/>
    <w:pPr>
      <w:ind w:left="142" w:right="4218" w:hanging="142"/>
    </w:pPr>
    <w:rPr>
      <w:caps/>
      <w:szCs w:val="22"/>
    </w:rPr>
  </w:style>
  <w:style w:type="paragraph" w:styleId="Title">
    <w:name w:val="Title"/>
    <w:basedOn w:val="Normal"/>
    <w:next w:val="Normal"/>
    <w:qFormat/>
    <w:rsid w:val="001A18B5"/>
    <w:pPr>
      <w:pBdr>
        <w:bottom w:val="single" w:sz="8" w:space="4" w:color="4F81BD"/>
      </w:pBdr>
      <w:spacing w:after="300"/>
      <w:contextualSpacing/>
    </w:pPr>
    <w:rPr>
      <w:color w:val="17365D"/>
      <w:spacing w:val="5"/>
      <w:kern w:val="28"/>
      <w:sz w:val="52"/>
      <w:szCs w:val="52"/>
    </w:rPr>
  </w:style>
  <w:style w:type="character" w:customStyle="1" w:styleId="CharChar7">
    <w:name w:val="Char Char7"/>
    <w:basedOn w:val="DefaultParagraphFont"/>
    <w:locked/>
    <w:rsid w:val="001A18B5"/>
    <w:rPr>
      <w:rFonts w:ascii="Times New Roman" w:eastAsia="Times New Roman" w:hAnsi="Times New Roman" w:cs="Times New Roman"/>
      <w:color w:val="17365D"/>
      <w:spacing w:val="5"/>
      <w:kern w:val="28"/>
      <w:sz w:val="52"/>
      <w:szCs w:val="52"/>
      <w:lang w:val="en-US"/>
    </w:rPr>
  </w:style>
  <w:style w:type="paragraph" w:styleId="Subtitle">
    <w:name w:val="Subtitle"/>
    <w:basedOn w:val="Normal"/>
    <w:next w:val="Normal"/>
    <w:qFormat/>
    <w:rsid w:val="001A18B5"/>
    <w:pPr>
      <w:numPr>
        <w:ilvl w:val="1"/>
      </w:numPr>
    </w:pPr>
    <w:rPr>
      <w:i/>
      <w:iCs/>
      <w:color w:val="4F81BD"/>
      <w:spacing w:val="15"/>
      <w:sz w:val="24"/>
    </w:rPr>
  </w:style>
  <w:style w:type="character" w:customStyle="1" w:styleId="CharChar6">
    <w:name w:val="Char Char6"/>
    <w:basedOn w:val="DefaultParagraphFont"/>
    <w:locked/>
    <w:rsid w:val="001A18B5"/>
    <w:rPr>
      <w:rFonts w:ascii="Times New Roman" w:eastAsia="Times New Roman" w:hAnsi="Times New Roman" w:cs="Times New Roman"/>
      <w:i/>
      <w:iCs/>
      <w:color w:val="4F81BD"/>
      <w:spacing w:val="15"/>
      <w:lang w:val="en-US"/>
    </w:rPr>
  </w:style>
  <w:style w:type="character" w:customStyle="1" w:styleId="CharChar19">
    <w:name w:val="Char Char19"/>
    <w:basedOn w:val="DefaultParagraphFont"/>
    <w:locked/>
    <w:rsid w:val="001A18B5"/>
    <w:rPr>
      <w:rFonts w:ascii="Times New Roman" w:eastAsia="Times New Roman" w:hAnsi="Times New Roman" w:cs="Times New Roman"/>
      <w:b/>
      <w:caps/>
      <w:sz w:val="22"/>
      <w:lang w:val="en-GB"/>
    </w:rPr>
  </w:style>
  <w:style w:type="paragraph" w:styleId="BodyText">
    <w:name w:val="Body Text"/>
    <w:basedOn w:val="Normal"/>
    <w:rsid w:val="001A18B5"/>
    <w:pPr>
      <w:spacing w:before="120" w:after="120"/>
      <w:ind w:firstLine="720"/>
    </w:pPr>
    <w:rPr>
      <w:iCs/>
    </w:rPr>
  </w:style>
  <w:style w:type="character" w:customStyle="1" w:styleId="CharChar5">
    <w:name w:val="Char Char5"/>
    <w:basedOn w:val="DefaultParagraphFont"/>
    <w:locked/>
    <w:rsid w:val="001A18B5"/>
    <w:rPr>
      <w:rFonts w:ascii="Times New Roman" w:eastAsia="Times New Roman" w:hAnsi="Times New Roman" w:cs="Times New Roman"/>
      <w:iCs/>
      <w:sz w:val="22"/>
      <w:lang w:val="en-GB"/>
    </w:rPr>
  </w:style>
  <w:style w:type="paragraph" w:styleId="BodyTextIndent">
    <w:name w:val="Body Text Indent"/>
    <w:basedOn w:val="Normal"/>
    <w:rsid w:val="001A18B5"/>
    <w:pPr>
      <w:spacing w:before="120" w:after="120"/>
      <w:ind w:left="1440" w:hanging="720"/>
      <w:jc w:val="left"/>
    </w:pPr>
  </w:style>
  <w:style w:type="character" w:customStyle="1" w:styleId="CharChar4">
    <w:name w:val="Char Char4"/>
    <w:basedOn w:val="DefaultParagraphFont"/>
    <w:locked/>
    <w:rsid w:val="001A18B5"/>
    <w:rPr>
      <w:rFonts w:ascii="Times New Roman" w:eastAsia="Times New Roman" w:hAnsi="Times New Roman" w:cs="Times New Roman"/>
      <w:sz w:val="22"/>
      <w:lang w:val="en-GB"/>
    </w:rPr>
  </w:style>
  <w:style w:type="character" w:styleId="CommentReference">
    <w:name w:val="annotation reference"/>
    <w:basedOn w:val="DefaultParagraphFont"/>
    <w:semiHidden/>
    <w:rsid w:val="001A18B5"/>
    <w:rPr>
      <w:sz w:val="16"/>
    </w:rPr>
  </w:style>
  <w:style w:type="paragraph" w:styleId="CommentText">
    <w:name w:val="annotation text"/>
    <w:basedOn w:val="Normal"/>
    <w:semiHidden/>
    <w:rsid w:val="001A18B5"/>
    <w:pPr>
      <w:spacing w:after="120" w:line="240" w:lineRule="exact"/>
    </w:pPr>
  </w:style>
  <w:style w:type="character" w:customStyle="1" w:styleId="CharChar3">
    <w:name w:val="Char Char3"/>
    <w:basedOn w:val="DefaultParagraphFont"/>
    <w:semiHidden/>
    <w:locked/>
    <w:rsid w:val="001A18B5"/>
    <w:rPr>
      <w:rFonts w:ascii="Times New Roman" w:eastAsia="Times New Roman" w:hAnsi="Times New Roman" w:cs="Times New Roman"/>
      <w:sz w:val="22"/>
      <w:lang w:val="en-GB"/>
    </w:rPr>
  </w:style>
  <w:style w:type="paragraph" w:customStyle="1" w:styleId="Cornernotation">
    <w:name w:val="Corner notation"/>
    <w:basedOn w:val="Normal"/>
    <w:rsid w:val="001A18B5"/>
    <w:pPr>
      <w:ind w:left="170" w:right="3119" w:hanging="170"/>
      <w:jc w:val="left"/>
    </w:pPr>
  </w:style>
  <w:style w:type="character" w:styleId="EndnoteReference">
    <w:name w:val="endnote reference"/>
    <w:basedOn w:val="DefaultParagraphFont"/>
    <w:semiHidden/>
    <w:rsid w:val="001A18B5"/>
    <w:rPr>
      <w:vertAlign w:val="superscript"/>
    </w:rPr>
  </w:style>
  <w:style w:type="paragraph" w:styleId="EndnoteText">
    <w:name w:val="endnote text"/>
    <w:basedOn w:val="Normal"/>
    <w:semiHidden/>
    <w:rsid w:val="001A18B5"/>
    <w:pPr>
      <w:widowControl w:val="0"/>
      <w:tabs>
        <w:tab w:val="left" w:pos="-720"/>
      </w:tabs>
      <w:suppressAutoHyphens/>
    </w:pPr>
    <w:rPr>
      <w:rFonts w:ascii="Courier New" w:hAnsi="Courier New"/>
    </w:rPr>
  </w:style>
  <w:style w:type="character" w:customStyle="1" w:styleId="CharChar2">
    <w:name w:val="Char Char2"/>
    <w:basedOn w:val="DefaultParagraphFont"/>
    <w:semiHidden/>
    <w:locked/>
    <w:rsid w:val="001A18B5"/>
    <w:rPr>
      <w:rFonts w:ascii="Courier New" w:eastAsia="Times New Roman" w:hAnsi="Courier New" w:cs="Times New Roman"/>
      <w:sz w:val="22"/>
      <w:lang w:val="en-GB"/>
    </w:rPr>
  </w:style>
  <w:style w:type="character" w:styleId="FollowedHyperlink">
    <w:name w:val="FollowedHyperlink"/>
    <w:basedOn w:val="DefaultParagraphFont"/>
    <w:rsid w:val="001A18B5"/>
    <w:rPr>
      <w:color w:val="800080"/>
      <w:u w:val="single"/>
    </w:rPr>
  </w:style>
  <w:style w:type="character" w:styleId="FootnoteReference">
    <w:name w:val="footnote reference"/>
    <w:basedOn w:val="DefaultParagraphFont"/>
    <w:semiHidden/>
    <w:rsid w:val="001A18B5"/>
    <w:rPr>
      <w:sz w:val="22"/>
      <w:u w:val="none"/>
      <w:vertAlign w:val="superscript"/>
    </w:rPr>
  </w:style>
  <w:style w:type="paragraph" w:styleId="FootnoteText">
    <w:name w:val="footnote text"/>
    <w:basedOn w:val="Normal"/>
    <w:semiHidden/>
    <w:rsid w:val="001A18B5"/>
    <w:pPr>
      <w:keepLines/>
      <w:spacing w:after="60"/>
      <w:ind w:firstLine="720"/>
    </w:pPr>
    <w:rPr>
      <w:sz w:val="18"/>
    </w:rPr>
  </w:style>
  <w:style w:type="character" w:customStyle="1" w:styleId="CharChar1">
    <w:name w:val="Char Char1"/>
    <w:basedOn w:val="DefaultParagraphFont"/>
    <w:semiHidden/>
    <w:locked/>
    <w:rsid w:val="001A18B5"/>
    <w:rPr>
      <w:rFonts w:ascii="Times New Roman" w:eastAsia="Times New Roman" w:hAnsi="Times New Roman" w:cs="Times New Roman"/>
      <w:sz w:val="18"/>
      <w:lang w:val="en-GB"/>
    </w:rPr>
  </w:style>
  <w:style w:type="paragraph" w:customStyle="1" w:styleId="HEADING">
    <w:name w:val="HEADING"/>
    <w:basedOn w:val="Normal"/>
    <w:rsid w:val="001A18B5"/>
    <w:pPr>
      <w:keepNext/>
      <w:spacing w:before="240" w:after="120"/>
      <w:jc w:val="center"/>
    </w:pPr>
    <w:rPr>
      <w:b/>
      <w:bCs/>
      <w:caps/>
    </w:rPr>
  </w:style>
  <w:style w:type="character" w:customStyle="1" w:styleId="CharChar18">
    <w:name w:val="Char Char18"/>
    <w:basedOn w:val="DefaultParagraphFont"/>
    <w:locked/>
    <w:rsid w:val="001A18B5"/>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1A18B5"/>
  </w:style>
  <w:style w:type="paragraph" w:customStyle="1" w:styleId="Heading1longmultiline">
    <w:name w:val="Heading 1 (long multiline)"/>
    <w:basedOn w:val="Heading1"/>
    <w:rsid w:val="001A18B5"/>
    <w:pPr>
      <w:ind w:left="1843" w:hanging="1134"/>
      <w:jc w:val="left"/>
    </w:pPr>
  </w:style>
  <w:style w:type="paragraph" w:customStyle="1" w:styleId="Heading1multiline">
    <w:name w:val="Heading 1 (multiline)"/>
    <w:basedOn w:val="Heading1"/>
    <w:rsid w:val="001A18B5"/>
    <w:pPr>
      <w:ind w:left="1843" w:right="996" w:hanging="567"/>
      <w:jc w:val="left"/>
    </w:pPr>
  </w:style>
  <w:style w:type="paragraph" w:customStyle="1" w:styleId="Heading2multiline">
    <w:name w:val="Heading 2 (multiline)"/>
    <w:basedOn w:val="Heading1"/>
    <w:next w:val="Normal"/>
    <w:rsid w:val="001A18B5"/>
    <w:pPr>
      <w:spacing w:before="120"/>
      <w:ind w:left="1843" w:right="998" w:hanging="567"/>
      <w:jc w:val="left"/>
    </w:pPr>
    <w:rPr>
      <w:i/>
      <w:iCs/>
      <w:caps w:val="0"/>
    </w:rPr>
  </w:style>
  <w:style w:type="paragraph" w:customStyle="1" w:styleId="Heading2longmultiline">
    <w:name w:val="Heading 2 (long multiline)"/>
    <w:basedOn w:val="Heading2multiline"/>
    <w:rsid w:val="001A18B5"/>
    <w:pPr>
      <w:ind w:left="2127" w:hanging="1276"/>
    </w:pPr>
  </w:style>
  <w:style w:type="character" w:customStyle="1" w:styleId="CharChar17">
    <w:name w:val="Char Char17"/>
    <w:basedOn w:val="DefaultParagraphFont"/>
    <w:locked/>
    <w:rsid w:val="001A18B5"/>
    <w:rPr>
      <w:rFonts w:ascii="Times New Roman" w:eastAsia="Times New Roman" w:hAnsi="Times New Roman" w:cs="Times New Roman"/>
      <w:i/>
      <w:iCs/>
      <w:sz w:val="22"/>
      <w:lang w:val="en-GB"/>
    </w:rPr>
  </w:style>
  <w:style w:type="paragraph" w:customStyle="1" w:styleId="heading2notforTOC">
    <w:name w:val="heading 2 not for TOC"/>
    <w:basedOn w:val="Heading3"/>
    <w:rsid w:val="001A18B5"/>
  </w:style>
  <w:style w:type="paragraph" w:customStyle="1" w:styleId="Heading3multiline">
    <w:name w:val="Heading 3 (multiline)"/>
    <w:basedOn w:val="Heading3"/>
    <w:next w:val="Normal"/>
    <w:rsid w:val="001A18B5"/>
    <w:pPr>
      <w:ind w:left="1418" w:hanging="425"/>
      <w:jc w:val="left"/>
    </w:pPr>
  </w:style>
  <w:style w:type="character" w:customStyle="1" w:styleId="CharChar16">
    <w:name w:val="Char Char16"/>
    <w:basedOn w:val="DefaultParagraphFont"/>
    <w:locked/>
    <w:rsid w:val="001A18B5"/>
    <w:rPr>
      <w:rFonts w:ascii="Times New Roman Bold" w:eastAsia="Times New Roman" w:hAnsi="Times New Roman Bold" w:cs="Arial"/>
      <w:b/>
      <w:bCs/>
      <w:i/>
      <w:sz w:val="22"/>
      <w:lang w:val="en-GB"/>
    </w:rPr>
  </w:style>
  <w:style w:type="paragraph" w:customStyle="1" w:styleId="Heading4indent">
    <w:name w:val="Heading 4 indent"/>
    <w:basedOn w:val="Heading4"/>
    <w:rsid w:val="001A18B5"/>
    <w:pPr>
      <w:ind w:left="720"/>
      <w:outlineLvl w:val="9"/>
    </w:pPr>
    <w:rPr>
      <w:rFonts w:ascii="Times New Roman" w:hAnsi="Times New Roman"/>
    </w:rPr>
  </w:style>
  <w:style w:type="character" w:customStyle="1" w:styleId="CharChar15">
    <w:name w:val="Char Char15"/>
    <w:basedOn w:val="DefaultParagraphFont"/>
    <w:locked/>
    <w:rsid w:val="001A18B5"/>
    <w:rPr>
      <w:rFonts w:ascii="Times New Roman" w:eastAsia="Times New Roman" w:hAnsi="Times New Roman" w:cs="Times New Roman"/>
      <w:bCs/>
      <w:i/>
      <w:sz w:val="26"/>
      <w:szCs w:val="26"/>
      <w:lang w:val="en-CA"/>
    </w:rPr>
  </w:style>
  <w:style w:type="character" w:customStyle="1" w:styleId="CharChar14">
    <w:name w:val="Char Char14"/>
    <w:basedOn w:val="DefaultParagraphFont"/>
    <w:locked/>
    <w:rsid w:val="001A18B5"/>
    <w:rPr>
      <w:rFonts w:ascii="Times New Roman" w:eastAsia="Times New Roman" w:hAnsi="Times New Roman" w:cs="Times New Roman"/>
      <w:sz w:val="22"/>
      <w:u w:val="single"/>
      <w:lang w:val="en-GB"/>
    </w:rPr>
  </w:style>
  <w:style w:type="character" w:customStyle="1" w:styleId="CharChar13">
    <w:name w:val="Char Char13"/>
    <w:basedOn w:val="DefaultParagraphFont"/>
    <w:locked/>
    <w:rsid w:val="001A18B5"/>
    <w:rPr>
      <w:rFonts w:ascii="Times New Roman" w:eastAsia="Times New Roman" w:hAnsi="Times New Roman" w:cs="Times New Roman"/>
      <w:b/>
      <w:sz w:val="28"/>
      <w:lang w:val="en-GB"/>
    </w:rPr>
  </w:style>
  <w:style w:type="character" w:customStyle="1" w:styleId="CharChar12">
    <w:name w:val="Char Char12"/>
    <w:basedOn w:val="DefaultParagraphFont"/>
    <w:locked/>
    <w:rsid w:val="001A18B5"/>
    <w:rPr>
      <w:rFonts w:ascii="Times New Roman" w:eastAsia="Times New Roman" w:hAnsi="Times New Roman" w:cs="Times New Roman"/>
      <w:b/>
      <w:sz w:val="32"/>
      <w:lang w:val="en-GB"/>
    </w:rPr>
  </w:style>
  <w:style w:type="character" w:customStyle="1" w:styleId="CharChar11">
    <w:name w:val="Char Char11"/>
    <w:basedOn w:val="DefaultParagraphFont"/>
    <w:locked/>
    <w:rsid w:val="001A18B5"/>
    <w:rPr>
      <w:rFonts w:ascii="Times New Roman" w:eastAsia="Times New Roman" w:hAnsi="Times New Roman" w:cs="Times New Roman"/>
      <w:i/>
      <w:iCs/>
      <w:sz w:val="22"/>
      <w:lang w:val="en-GB"/>
    </w:rPr>
  </w:style>
  <w:style w:type="character" w:styleId="PageNumber">
    <w:name w:val="page number"/>
    <w:basedOn w:val="DefaultParagraphFont"/>
    <w:rsid w:val="001A18B5"/>
    <w:rPr>
      <w:rFonts w:ascii="Times New Roman" w:hAnsi="Times New Roman"/>
      <w:sz w:val="22"/>
    </w:rPr>
  </w:style>
  <w:style w:type="paragraph" w:customStyle="1" w:styleId="Para1">
    <w:name w:val="Para1"/>
    <w:basedOn w:val="Normal"/>
    <w:rsid w:val="001A18B5"/>
    <w:pPr>
      <w:numPr>
        <w:numId w:val="4"/>
      </w:numPr>
      <w:tabs>
        <w:tab w:val="clear" w:pos="360"/>
      </w:tabs>
      <w:spacing w:before="120" w:after="120"/>
    </w:pPr>
    <w:rPr>
      <w:snapToGrid/>
      <w:szCs w:val="18"/>
    </w:rPr>
  </w:style>
  <w:style w:type="paragraph" w:customStyle="1" w:styleId="Para2">
    <w:name w:val="Para2"/>
    <w:basedOn w:val="Para1"/>
    <w:rsid w:val="001A18B5"/>
    <w:pPr>
      <w:numPr>
        <w:numId w:val="0"/>
      </w:numPr>
      <w:autoSpaceDE w:val="0"/>
      <w:autoSpaceDN w:val="0"/>
    </w:pPr>
  </w:style>
  <w:style w:type="paragraph" w:customStyle="1" w:styleId="Para3">
    <w:name w:val="Para3"/>
    <w:basedOn w:val="Normal"/>
    <w:rsid w:val="001A18B5"/>
    <w:pPr>
      <w:numPr>
        <w:ilvl w:val="3"/>
        <w:numId w:val="5"/>
      </w:numPr>
      <w:tabs>
        <w:tab w:val="left" w:pos="1980"/>
      </w:tabs>
      <w:spacing w:before="80" w:after="80"/>
    </w:pPr>
    <w:rPr>
      <w:szCs w:val="20"/>
    </w:rPr>
  </w:style>
  <w:style w:type="paragraph" w:customStyle="1" w:styleId="para4">
    <w:name w:val="para4"/>
    <w:basedOn w:val="Normal"/>
    <w:rsid w:val="001A18B5"/>
    <w:pPr>
      <w:overflowPunct w:val="0"/>
      <w:autoSpaceDE w:val="0"/>
      <w:autoSpaceDN w:val="0"/>
      <w:adjustRightInd w:val="0"/>
      <w:spacing w:after="120" w:line="240" w:lineRule="atLeast"/>
      <w:textAlignment w:val="baseline"/>
    </w:pPr>
    <w:rPr>
      <w:color w:val="000000"/>
      <w:sz w:val="20"/>
      <w:szCs w:val="20"/>
    </w:rPr>
  </w:style>
  <w:style w:type="paragraph" w:customStyle="1" w:styleId="Para-decision">
    <w:name w:val="Para-decision"/>
    <w:basedOn w:val="Normal"/>
    <w:rsid w:val="001A18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rsid w:val="001A18B5"/>
    <w:pPr>
      <w:spacing w:before="120" w:after="120"/>
      <w:ind w:left="720" w:right="720"/>
    </w:pPr>
    <w:rPr>
      <w:bCs/>
    </w:rPr>
  </w:style>
  <w:style w:type="paragraph" w:customStyle="1" w:styleId="recommendationheader">
    <w:name w:val="recommendation header"/>
    <w:basedOn w:val="Heading2"/>
    <w:rsid w:val="001A18B5"/>
  </w:style>
  <w:style w:type="paragraph" w:customStyle="1" w:styleId="recommendationheaderlong">
    <w:name w:val="recommendation header long"/>
    <w:basedOn w:val="Heading2longmultiline"/>
    <w:rsid w:val="001A18B5"/>
  </w:style>
  <w:style w:type="paragraph" w:customStyle="1" w:styleId="reference">
    <w:name w:val="reference"/>
    <w:basedOn w:val="Heading9"/>
    <w:rsid w:val="001A18B5"/>
    <w:rPr>
      <w:i w:val="0"/>
      <w:sz w:val="18"/>
    </w:rPr>
  </w:style>
  <w:style w:type="character" w:customStyle="1" w:styleId="StyleFootnoteReferenceNounderline">
    <w:name w:val="Style Footnote Reference + No underline"/>
    <w:rsid w:val="001A18B5"/>
    <w:rPr>
      <w:sz w:val="18"/>
      <w:u w:val="none"/>
      <w:vertAlign w:val="baseline"/>
    </w:rPr>
  </w:style>
  <w:style w:type="paragraph" w:customStyle="1" w:styleId="tabletitle">
    <w:name w:val="table title"/>
    <w:basedOn w:val="Heading2"/>
    <w:rsid w:val="001A18B5"/>
    <w:pPr>
      <w:jc w:val="left"/>
      <w:outlineLvl w:val="9"/>
    </w:pPr>
    <w:rPr>
      <w:i/>
    </w:rPr>
  </w:style>
  <w:style w:type="paragraph" w:styleId="TOAHeading">
    <w:name w:val="toa heading"/>
    <w:basedOn w:val="Normal"/>
    <w:next w:val="Normal"/>
    <w:semiHidden/>
    <w:rsid w:val="001A18B5"/>
    <w:pPr>
      <w:spacing w:before="120"/>
    </w:pPr>
    <w:rPr>
      <w:rFonts w:cs="Arial"/>
      <w:b/>
      <w:bCs/>
      <w:sz w:val="24"/>
    </w:rPr>
  </w:style>
  <w:style w:type="paragraph" w:styleId="TOC1">
    <w:name w:val="toc 1"/>
    <w:basedOn w:val="Normal"/>
    <w:next w:val="Normal"/>
    <w:autoRedefine/>
    <w:semiHidden/>
    <w:rsid w:val="001A18B5"/>
    <w:pPr>
      <w:ind w:left="720" w:hanging="720"/>
    </w:pPr>
    <w:rPr>
      <w:caps/>
    </w:rPr>
  </w:style>
  <w:style w:type="paragraph" w:styleId="TOC2">
    <w:name w:val="toc 2"/>
    <w:basedOn w:val="Normal"/>
    <w:next w:val="Normal"/>
    <w:autoRedefine/>
    <w:semiHidden/>
    <w:rsid w:val="001A18B5"/>
    <w:pPr>
      <w:tabs>
        <w:tab w:val="right" w:leader="dot" w:pos="9356"/>
      </w:tabs>
      <w:ind w:left="1440" w:hanging="720"/>
    </w:pPr>
    <w:rPr>
      <w:noProof/>
      <w:szCs w:val="22"/>
      <w:lang w:val="es-ES"/>
    </w:rPr>
  </w:style>
  <w:style w:type="paragraph" w:styleId="TOC3">
    <w:name w:val="toc 3"/>
    <w:basedOn w:val="Normal"/>
    <w:next w:val="Normal"/>
    <w:autoRedefine/>
    <w:semiHidden/>
    <w:rsid w:val="001A18B5"/>
    <w:pPr>
      <w:ind w:left="2160" w:hanging="720"/>
    </w:pPr>
  </w:style>
  <w:style w:type="paragraph" w:styleId="TOC4">
    <w:name w:val="toc 4"/>
    <w:basedOn w:val="Normal"/>
    <w:next w:val="Normal"/>
    <w:autoRedefine/>
    <w:semiHidden/>
    <w:rsid w:val="001A18B5"/>
    <w:pPr>
      <w:spacing w:before="120" w:after="120"/>
      <w:ind w:left="660"/>
      <w:jc w:val="left"/>
    </w:pPr>
  </w:style>
  <w:style w:type="paragraph" w:styleId="TOC5">
    <w:name w:val="toc 5"/>
    <w:basedOn w:val="Normal"/>
    <w:next w:val="Normal"/>
    <w:autoRedefine/>
    <w:semiHidden/>
    <w:rsid w:val="001A18B5"/>
    <w:pPr>
      <w:spacing w:before="120" w:after="120"/>
      <w:ind w:left="880"/>
      <w:jc w:val="left"/>
    </w:pPr>
  </w:style>
  <w:style w:type="paragraph" w:styleId="TOC6">
    <w:name w:val="toc 6"/>
    <w:basedOn w:val="Normal"/>
    <w:next w:val="Normal"/>
    <w:autoRedefine/>
    <w:semiHidden/>
    <w:rsid w:val="001A18B5"/>
    <w:pPr>
      <w:spacing w:before="120" w:after="120"/>
      <w:ind w:left="1100"/>
      <w:jc w:val="left"/>
    </w:pPr>
  </w:style>
  <w:style w:type="paragraph" w:styleId="TOC7">
    <w:name w:val="toc 7"/>
    <w:basedOn w:val="Normal"/>
    <w:next w:val="Normal"/>
    <w:autoRedefine/>
    <w:semiHidden/>
    <w:rsid w:val="001A18B5"/>
    <w:pPr>
      <w:spacing w:before="120" w:after="120"/>
      <w:ind w:left="1320"/>
      <w:jc w:val="left"/>
    </w:pPr>
  </w:style>
  <w:style w:type="paragraph" w:styleId="TOC8">
    <w:name w:val="toc 8"/>
    <w:basedOn w:val="Normal"/>
    <w:next w:val="Normal"/>
    <w:autoRedefine/>
    <w:semiHidden/>
    <w:rsid w:val="001A18B5"/>
    <w:pPr>
      <w:spacing w:before="120" w:after="120"/>
      <w:ind w:left="1540"/>
      <w:jc w:val="left"/>
    </w:pPr>
  </w:style>
  <w:style w:type="paragraph" w:styleId="TOC9">
    <w:name w:val="toc 9"/>
    <w:basedOn w:val="Normal"/>
    <w:next w:val="Normal"/>
    <w:autoRedefine/>
    <w:semiHidden/>
    <w:rsid w:val="001A18B5"/>
    <w:pPr>
      <w:spacing w:before="120" w:after="120"/>
      <w:ind w:left="1760"/>
      <w:jc w:val="left"/>
    </w:pPr>
  </w:style>
  <w:style w:type="character" w:styleId="Hyperlink">
    <w:name w:val="Hyperlink"/>
    <w:basedOn w:val="DefaultParagraphFont"/>
    <w:rsid w:val="001A18B5"/>
    <w:rPr>
      <w:color w:val="0000FF"/>
      <w:sz w:val="18"/>
      <w:u w:val="single"/>
    </w:rPr>
  </w:style>
  <w:style w:type="character" w:customStyle="1" w:styleId="Para1Char">
    <w:name w:val="Para1 Char"/>
    <w:locked/>
    <w:rsid w:val="001A18B5"/>
    <w:rPr>
      <w:rFonts w:ascii="Times New Roman" w:eastAsia="Times New Roman" w:hAnsi="Times New Roman"/>
      <w:snapToGrid w:val="0"/>
      <w:sz w:val="18"/>
      <w:lang w:val="en-GB"/>
    </w:rPr>
  </w:style>
  <w:style w:type="paragraph" w:customStyle="1" w:styleId="CBD-Doc-Type">
    <w:name w:val="CBD-Doc-Type"/>
    <w:basedOn w:val="Normal"/>
    <w:rsid w:val="001A18B5"/>
    <w:pPr>
      <w:keepLines/>
      <w:spacing w:before="240" w:after="120"/>
    </w:pPr>
    <w:rPr>
      <w:b/>
      <w:i/>
      <w:sz w:val="24"/>
    </w:rPr>
  </w:style>
  <w:style w:type="paragraph" w:customStyle="1" w:styleId="CBD-Doc">
    <w:name w:val="CBD-Doc"/>
    <w:basedOn w:val="Normal"/>
    <w:rsid w:val="001A18B5"/>
    <w:pPr>
      <w:keepLines/>
      <w:numPr>
        <w:numId w:val="9"/>
      </w:numPr>
      <w:spacing w:after="120"/>
    </w:pPr>
  </w:style>
  <w:style w:type="paragraph" w:styleId="ListParagraph">
    <w:name w:val="List Paragraph"/>
    <w:basedOn w:val="Normal"/>
    <w:qFormat/>
    <w:rsid w:val="001A18B5"/>
    <w:pPr>
      <w:ind w:left="720"/>
      <w:contextualSpacing/>
    </w:pPr>
  </w:style>
  <w:style w:type="paragraph" w:styleId="Caption">
    <w:name w:val="caption"/>
    <w:basedOn w:val="Normal"/>
    <w:next w:val="Normal"/>
    <w:qFormat/>
    <w:rsid w:val="001A18B5"/>
    <w:pPr>
      <w:keepNext/>
      <w:keepLines/>
      <w:spacing w:after="200"/>
    </w:pPr>
    <w:rPr>
      <w:b/>
      <w:iCs/>
      <w:szCs w:val="18"/>
    </w:rPr>
  </w:style>
  <w:style w:type="paragraph" w:styleId="CommentSubject">
    <w:name w:val="annotation subject"/>
    <w:basedOn w:val="CommentText"/>
    <w:next w:val="CommentText"/>
    <w:semiHidden/>
    <w:rsid w:val="001A18B5"/>
    <w:pPr>
      <w:spacing w:after="0" w:line="240" w:lineRule="auto"/>
    </w:pPr>
    <w:rPr>
      <w:b/>
      <w:bCs/>
      <w:sz w:val="20"/>
      <w:szCs w:val="20"/>
    </w:rPr>
  </w:style>
  <w:style w:type="character" w:customStyle="1" w:styleId="CharChar">
    <w:name w:val="Char Char"/>
    <w:basedOn w:val="CharChar3"/>
    <w:semiHidden/>
    <w:locked/>
    <w:rsid w:val="001A18B5"/>
    <w:rPr>
      <w:b/>
      <w:bCs/>
      <w:sz w:val="20"/>
      <w:szCs w:val="20"/>
    </w:rPr>
  </w:style>
  <w:style w:type="character" w:customStyle="1" w:styleId="tw4winMark">
    <w:name w:val="tw4winMark"/>
    <w:rsid w:val="001A18B5"/>
    <w:rPr>
      <w:rFonts w:ascii="Courier New" w:hAnsi="Courier New"/>
      <w:vanish/>
      <w:color w:val="800080"/>
      <w:sz w:val="24"/>
      <w:vertAlign w:val="subscript"/>
    </w:rPr>
  </w:style>
  <w:style w:type="character" w:customStyle="1" w:styleId="tw4winError">
    <w:name w:val="tw4winError"/>
    <w:rsid w:val="001A18B5"/>
    <w:rPr>
      <w:rFonts w:ascii="Courier New" w:hAnsi="Courier New"/>
      <w:color w:val="00FF00"/>
      <w:sz w:val="40"/>
    </w:rPr>
  </w:style>
  <w:style w:type="character" w:customStyle="1" w:styleId="tw4winTerm">
    <w:name w:val="tw4winTerm"/>
    <w:rsid w:val="001A18B5"/>
    <w:rPr>
      <w:color w:val="0000FF"/>
    </w:rPr>
  </w:style>
  <w:style w:type="character" w:customStyle="1" w:styleId="tw4winPopup">
    <w:name w:val="tw4winPopup"/>
    <w:rsid w:val="001A18B5"/>
    <w:rPr>
      <w:rFonts w:ascii="Courier New" w:hAnsi="Courier New"/>
      <w:noProof/>
      <w:color w:val="008000"/>
    </w:rPr>
  </w:style>
  <w:style w:type="character" w:customStyle="1" w:styleId="tw4winJump">
    <w:name w:val="tw4winJump"/>
    <w:rsid w:val="001A18B5"/>
    <w:rPr>
      <w:rFonts w:ascii="Courier New" w:hAnsi="Courier New"/>
      <w:noProof/>
      <w:color w:val="008080"/>
    </w:rPr>
  </w:style>
  <w:style w:type="character" w:customStyle="1" w:styleId="tw4winExternal">
    <w:name w:val="tw4winExternal"/>
    <w:rsid w:val="001A18B5"/>
    <w:rPr>
      <w:rFonts w:ascii="Courier New" w:hAnsi="Courier New"/>
      <w:noProof/>
      <w:color w:val="808080"/>
    </w:rPr>
  </w:style>
  <w:style w:type="character" w:customStyle="1" w:styleId="tw4winInternal">
    <w:name w:val="tw4winInternal"/>
    <w:rsid w:val="001A18B5"/>
    <w:rPr>
      <w:rFonts w:ascii="Courier New" w:hAnsi="Courier New"/>
      <w:noProof/>
      <w:color w:val="FF0000"/>
    </w:rPr>
  </w:style>
  <w:style w:type="character" w:customStyle="1" w:styleId="DONOTTRANSLATE">
    <w:name w:val="DO_NOT_TRANSLATE"/>
    <w:rsid w:val="001A18B5"/>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968</Words>
  <Characters>5222</Characters>
  <Application>Microsoft Office Word</Application>
  <DocSecurity>0</DocSecurity>
  <Lines>80</Lines>
  <Paragraphs>29</Paragraphs>
  <ScaleCrop>false</ScaleCrop>
  <HeadingPairs>
    <vt:vector size="2" baseType="variant">
      <vt:variant>
        <vt:lpstr>Title</vt:lpstr>
      </vt:variant>
      <vt:variant>
        <vt:i4>1</vt:i4>
      </vt:variant>
    </vt:vector>
  </HeadingPairs>
  <TitlesOfParts>
    <vt:vector size="1" baseType="lpstr">
      <vt:lpstr>Enhancing integration under the Convention and its Protocols with respect to provisions related to biosafety and provisions related to access and benefit-sharing</vt:lpstr>
    </vt:vector>
  </TitlesOfParts>
  <Company>SCBD</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integration under the Convention and its Protocols with respect to provisions related to biosafety and provisions related to access and benefit-sharing</dc:title>
  <dc:subject>CBD/SBI/2/L.14</dc:subject>
  <dc:creator>SBI 2</dc:creator>
  <cp:lastModifiedBy>Laura Perez</cp:lastModifiedBy>
  <cp:revision>6</cp:revision>
  <cp:lastPrinted>2018-07-12T14:25:00Z</cp:lastPrinted>
  <dcterms:created xsi:type="dcterms:W3CDTF">2018-08-18T17:28:00Z</dcterms:created>
  <dcterms:modified xsi:type="dcterms:W3CDTF">2018-08-24T16:02:00Z</dcterms:modified>
</cp:coreProperties>
</file>