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C3A92" w:rsidRPr="008B65B7" w14:paraId="6EF1A708" w14:textId="77777777" w:rsidTr="001C70F1">
        <w:trPr>
          <w:trHeight w:val="851"/>
        </w:trPr>
        <w:tc>
          <w:tcPr>
            <w:tcW w:w="976" w:type="dxa"/>
            <w:tcBorders>
              <w:bottom w:val="single" w:sz="12" w:space="0" w:color="auto"/>
            </w:tcBorders>
          </w:tcPr>
          <w:p w14:paraId="6442AF6B" w14:textId="77777777" w:rsidR="00AC3A92" w:rsidRPr="008B65B7" w:rsidRDefault="00AC3A92" w:rsidP="001C70F1">
            <w:pPr>
              <w:rPr>
                <w:lang w:val="fr-FR"/>
              </w:rPr>
            </w:pPr>
            <w:bookmarkStart w:id="0" w:name="_GoBack"/>
            <w:bookmarkEnd w:id="0"/>
            <w:r w:rsidRPr="008B65B7">
              <w:rPr>
                <w:noProof/>
                <w:lang w:val="fr-FR" w:eastAsia="fr-FR"/>
              </w:rPr>
              <w:drawing>
                <wp:inline distT="0" distB="0" distL="0" distR="0" wp14:anchorId="47A1DCFC" wp14:editId="27A78BC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D50951A" w14:textId="77777777" w:rsidR="00AC3A92" w:rsidRPr="008B65B7" w:rsidRDefault="00AC3A92" w:rsidP="001C70F1">
            <w:pPr>
              <w:rPr>
                <w:lang w:val="fr-FR"/>
              </w:rPr>
            </w:pPr>
            <w:r w:rsidRPr="008B65B7">
              <w:rPr>
                <w:noProof/>
                <w:lang w:val="fr-FR" w:eastAsia="fr-FR"/>
              </w:rPr>
              <w:drawing>
                <wp:inline distT="0" distB="0" distL="0" distR="0" wp14:anchorId="61AA687F" wp14:editId="6177BF1B">
                  <wp:extent cx="592455" cy="366014"/>
                  <wp:effectExtent l="0" t="0" r="0" b="0"/>
                  <wp:docPr id="7" name="Imag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Shap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407" cy="375251"/>
                          </a:xfrm>
                          <a:prstGeom prst="rect">
                            <a:avLst/>
                          </a:prstGeom>
                          <a:noFill/>
                          <a:ln>
                            <a:noFill/>
                          </a:ln>
                        </pic:spPr>
                      </pic:pic>
                    </a:graphicData>
                  </a:graphic>
                </wp:inline>
              </w:drawing>
            </w:r>
          </w:p>
        </w:tc>
        <w:tc>
          <w:tcPr>
            <w:tcW w:w="4090" w:type="dxa"/>
            <w:tcBorders>
              <w:bottom w:val="single" w:sz="12" w:space="0" w:color="auto"/>
            </w:tcBorders>
          </w:tcPr>
          <w:p w14:paraId="4775029A" w14:textId="77777777" w:rsidR="00AC3A92" w:rsidRPr="008B65B7" w:rsidRDefault="00AC3A92" w:rsidP="001C70F1">
            <w:pPr>
              <w:jc w:val="right"/>
              <w:rPr>
                <w:rFonts w:ascii="Arial" w:hAnsi="Arial" w:cs="Arial"/>
                <w:b/>
                <w:sz w:val="32"/>
                <w:szCs w:val="32"/>
                <w:lang w:val="fr-FR"/>
              </w:rPr>
            </w:pPr>
            <w:r w:rsidRPr="008B65B7">
              <w:rPr>
                <w:rFonts w:ascii="Arial" w:hAnsi="Arial" w:cs="Arial"/>
                <w:b/>
                <w:sz w:val="32"/>
                <w:szCs w:val="32"/>
                <w:lang w:val="fr-FR"/>
              </w:rPr>
              <w:t>CBD</w:t>
            </w:r>
          </w:p>
        </w:tc>
      </w:tr>
      <w:tr w:rsidR="00521FE0" w:rsidRPr="007D79CB" w14:paraId="3AB89E83" w14:textId="77777777" w:rsidTr="001C70F1">
        <w:tc>
          <w:tcPr>
            <w:tcW w:w="6117" w:type="dxa"/>
            <w:gridSpan w:val="2"/>
            <w:tcBorders>
              <w:top w:val="single" w:sz="12" w:space="0" w:color="auto"/>
              <w:left w:val="nil"/>
              <w:bottom w:val="single" w:sz="36" w:space="0" w:color="auto"/>
              <w:right w:val="nil"/>
            </w:tcBorders>
            <w:vAlign w:val="center"/>
            <w:hideMark/>
          </w:tcPr>
          <w:p w14:paraId="3CC077F9" w14:textId="67DC2C42" w:rsidR="00521FE0" w:rsidRDefault="00521FE0" w:rsidP="001C70F1">
            <w:r w:rsidRPr="008B65B7">
              <w:rPr>
                <w:noProof/>
                <w:szCs w:val="22"/>
                <w:lang w:val="fr-FR" w:eastAsia="fr-FR"/>
              </w:rPr>
              <w:drawing>
                <wp:inline distT="0" distB="0" distL="0" distR="0" wp14:anchorId="049AD757" wp14:editId="4343E5A5">
                  <wp:extent cx="2358390" cy="939800"/>
                  <wp:effectExtent l="0" t="0" r="0" b="0"/>
                  <wp:docPr id="4"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3EC76BE4" w14:textId="77777777" w:rsidR="00521FE0" w:rsidRPr="00301569" w:rsidRDefault="00521FE0" w:rsidP="001C70F1">
            <w:pPr>
              <w:ind w:left="1215"/>
              <w:rPr>
                <w:szCs w:val="22"/>
                <w:lang w:val="es-ES"/>
              </w:rPr>
            </w:pPr>
            <w:proofErr w:type="spellStart"/>
            <w:r w:rsidRPr="00301569">
              <w:rPr>
                <w:szCs w:val="22"/>
                <w:lang w:val="es-ES"/>
              </w:rPr>
              <w:t>Distr</w:t>
            </w:r>
            <w:proofErr w:type="spellEnd"/>
            <w:r w:rsidRPr="00301569">
              <w:rPr>
                <w:szCs w:val="22"/>
                <w:lang w:val="es-ES"/>
              </w:rPr>
              <w:t>.</w:t>
            </w:r>
          </w:p>
          <w:p w14:paraId="0382DAE8" w14:textId="52B09454" w:rsidR="00521FE0" w:rsidRPr="00301569" w:rsidRDefault="007D79CB" w:rsidP="001C70F1">
            <w:pPr>
              <w:ind w:left="1215"/>
              <w:rPr>
                <w:szCs w:val="22"/>
                <w:lang w:val="es-ES"/>
              </w:rPr>
            </w:pPr>
            <w:r w:rsidRPr="00301569">
              <w:rPr>
                <w:caps/>
                <w:szCs w:val="22"/>
                <w:lang w:val="es-ES"/>
              </w:rPr>
              <w:t>general</w:t>
            </w:r>
            <w:r w:rsidR="00521FE0" w:rsidRPr="00301569">
              <w:rPr>
                <w:caps/>
                <w:szCs w:val="22"/>
                <w:lang w:val="es-ES"/>
              </w:rPr>
              <w:t>E</w:t>
            </w:r>
          </w:p>
          <w:p w14:paraId="4E1497EC" w14:textId="77777777" w:rsidR="00521FE0" w:rsidRPr="00301569" w:rsidRDefault="00521FE0" w:rsidP="001C70F1">
            <w:pPr>
              <w:ind w:left="1215"/>
              <w:rPr>
                <w:szCs w:val="22"/>
                <w:lang w:val="es-ES"/>
              </w:rPr>
            </w:pPr>
          </w:p>
          <w:p w14:paraId="071527EF" w14:textId="179E6340" w:rsidR="00521FE0" w:rsidRPr="00301569" w:rsidRDefault="00240570" w:rsidP="001C70F1">
            <w:pPr>
              <w:ind w:left="1215"/>
              <w:rPr>
                <w:szCs w:val="22"/>
                <w:lang w:val="es-ES"/>
              </w:rPr>
            </w:pPr>
            <w:sdt>
              <w:sdtPr>
                <w:rPr>
                  <w:lang w:val="es-ES"/>
                </w:rPr>
                <w:alias w:val="Subject"/>
                <w:id w:val="2137136483"/>
                <w:placeholder>
                  <w:docPart w:val="45CEA3FF220C4BE6B20EDFB731F8BD84"/>
                </w:placeholder>
                <w:dataBinding w:prefixMappings="xmlns:ns0='http://purl.org/dc/elements/1.1/' xmlns:ns1='http://schemas.openxmlformats.org/package/2006/metadata/core-properties' " w:xpath="/ns1:coreProperties[1]/ns0:subject[1]" w:storeItemID="{6C3C8BC8-F283-45AE-878A-BAB7291924A1}"/>
                <w:text/>
              </w:sdtPr>
              <w:sdtEndPr/>
              <w:sdtContent>
                <w:r w:rsidR="007D79CB" w:rsidRPr="00301569">
                  <w:rPr>
                    <w:lang w:val="es-ES"/>
                  </w:rPr>
                  <w:t>CBD/SBI/REC/3/4</w:t>
                </w:r>
              </w:sdtContent>
            </w:sdt>
          </w:p>
          <w:p w14:paraId="51A99E37" w14:textId="768F0087" w:rsidR="00521FE0" w:rsidRPr="00521FE0" w:rsidRDefault="007D79CB" w:rsidP="001C70F1">
            <w:pPr>
              <w:ind w:left="1215"/>
              <w:rPr>
                <w:szCs w:val="22"/>
                <w:lang w:val="fr-FR"/>
              </w:rPr>
            </w:pPr>
            <w:r>
              <w:rPr>
                <w:szCs w:val="22"/>
                <w:lang w:val="fr-FR"/>
              </w:rPr>
              <w:t>28</w:t>
            </w:r>
            <w:r w:rsidR="00521FE0" w:rsidRPr="00521FE0">
              <w:rPr>
                <w:szCs w:val="22"/>
                <w:lang w:val="fr-FR"/>
              </w:rPr>
              <w:t xml:space="preserve"> mars 2022</w:t>
            </w:r>
          </w:p>
          <w:p w14:paraId="73278C21" w14:textId="77777777" w:rsidR="00521FE0" w:rsidRPr="00521FE0" w:rsidRDefault="00521FE0" w:rsidP="001C70F1">
            <w:pPr>
              <w:ind w:left="1215"/>
              <w:rPr>
                <w:szCs w:val="22"/>
                <w:lang w:val="fr-FR"/>
              </w:rPr>
            </w:pPr>
          </w:p>
          <w:p w14:paraId="350DEDEB" w14:textId="77777777" w:rsidR="00521FE0" w:rsidRPr="008B65B7" w:rsidRDefault="00521FE0" w:rsidP="00521FE0">
            <w:pPr>
              <w:ind w:left="1215"/>
              <w:rPr>
                <w:szCs w:val="22"/>
                <w:lang w:val="fr-FR"/>
              </w:rPr>
            </w:pPr>
            <w:r w:rsidRPr="008B65B7">
              <w:rPr>
                <w:szCs w:val="22"/>
                <w:lang w:val="fr-FR"/>
              </w:rPr>
              <w:t>FRANÇAIS</w:t>
            </w:r>
          </w:p>
          <w:p w14:paraId="726D21D1" w14:textId="77777777" w:rsidR="00521FE0" w:rsidRPr="008B65B7" w:rsidRDefault="00521FE0" w:rsidP="00521FE0">
            <w:pPr>
              <w:ind w:left="1215"/>
              <w:rPr>
                <w:szCs w:val="22"/>
                <w:lang w:val="fr-FR"/>
              </w:rPr>
            </w:pPr>
            <w:r w:rsidRPr="008B65B7">
              <w:rPr>
                <w:szCs w:val="22"/>
                <w:lang w:val="fr-FR"/>
              </w:rPr>
              <w:t>ORIGINA</w:t>
            </w:r>
            <w:r>
              <w:rPr>
                <w:szCs w:val="22"/>
                <w:lang w:val="fr-FR"/>
              </w:rPr>
              <w:t>L </w:t>
            </w:r>
            <w:r w:rsidRPr="008B65B7">
              <w:rPr>
                <w:szCs w:val="22"/>
                <w:lang w:val="fr-FR"/>
              </w:rPr>
              <w:t>: ANGLAIS</w:t>
            </w:r>
          </w:p>
          <w:p w14:paraId="7247774C" w14:textId="77777777" w:rsidR="00521FE0" w:rsidRPr="00521FE0" w:rsidRDefault="00521FE0" w:rsidP="001C70F1">
            <w:pPr>
              <w:rPr>
                <w:lang w:val="fr-FR"/>
              </w:rPr>
            </w:pPr>
          </w:p>
        </w:tc>
      </w:tr>
    </w:tbl>
    <w:p w14:paraId="7A4DBB04" w14:textId="4544C8DA" w:rsidR="00134846" w:rsidRPr="00294DEA" w:rsidRDefault="00F3654B" w:rsidP="000E37C8">
      <w:pPr>
        <w:pStyle w:val="meetingname"/>
        <w:ind w:right="5918"/>
        <w:jc w:val="left"/>
        <w:rPr>
          <w:rFonts w:asciiTheme="majorBidi" w:hAnsiTheme="majorBidi" w:cstheme="majorBidi"/>
          <w:kern w:val="22"/>
          <w:lang w:val="fr-CA"/>
        </w:rPr>
      </w:pPr>
      <w:r w:rsidRPr="00294DEA">
        <w:rPr>
          <w:rFonts w:asciiTheme="majorBidi" w:hAnsiTheme="majorBidi" w:cstheme="majorBidi"/>
          <w:kern w:val="22"/>
          <w:lang w:val="fr-CA"/>
        </w:rPr>
        <w:t>ORGANE SUBSIDIAIRE CHARGÉ DE L’APPLICATION</w:t>
      </w:r>
    </w:p>
    <w:p w14:paraId="130C7F5E" w14:textId="5E506734" w:rsidR="00134846" w:rsidRPr="00294DEA" w:rsidRDefault="00F3654B" w:rsidP="00134846">
      <w:pPr>
        <w:ind w:left="284" w:hanging="284"/>
        <w:jc w:val="left"/>
        <w:rPr>
          <w:rFonts w:asciiTheme="majorBidi" w:hAnsiTheme="majorBidi" w:cstheme="majorBidi"/>
          <w:snapToGrid w:val="0"/>
          <w:kern w:val="22"/>
          <w:szCs w:val="22"/>
          <w:lang w:val="fr-CA" w:eastAsia="nb-NO"/>
        </w:rPr>
      </w:pPr>
      <w:r w:rsidRPr="00294DEA">
        <w:rPr>
          <w:rFonts w:asciiTheme="majorBidi" w:hAnsiTheme="majorBidi" w:cstheme="majorBidi"/>
          <w:snapToGrid w:val="0"/>
          <w:kern w:val="22"/>
          <w:szCs w:val="22"/>
          <w:lang w:val="fr-CA" w:eastAsia="nb-NO"/>
        </w:rPr>
        <w:t>Troisième réunion</w:t>
      </w:r>
    </w:p>
    <w:p w14:paraId="3170EBC3" w14:textId="7751513E" w:rsidR="007D79CB" w:rsidRDefault="007D79CB" w:rsidP="00134846">
      <w:pPr>
        <w:ind w:left="284" w:hanging="284"/>
        <w:jc w:val="left"/>
        <w:rPr>
          <w:rFonts w:asciiTheme="majorBidi" w:hAnsiTheme="majorBidi" w:cstheme="majorBidi"/>
          <w:snapToGrid w:val="0"/>
          <w:kern w:val="22"/>
          <w:szCs w:val="22"/>
          <w:lang w:val="fr-CA" w:eastAsia="nb-NO"/>
        </w:rPr>
      </w:pPr>
      <w:r>
        <w:rPr>
          <w:rFonts w:asciiTheme="majorBidi" w:hAnsiTheme="majorBidi" w:cstheme="majorBidi"/>
          <w:snapToGrid w:val="0"/>
          <w:kern w:val="22"/>
          <w:szCs w:val="22"/>
          <w:lang w:val="fr-CA" w:eastAsia="nb-NO"/>
        </w:rPr>
        <w:t xml:space="preserve">En ligne, </w:t>
      </w:r>
      <w:r w:rsidR="00301569">
        <w:rPr>
          <w:rFonts w:asciiTheme="majorBidi" w:hAnsiTheme="majorBidi" w:cstheme="majorBidi"/>
          <w:snapToGrid w:val="0"/>
          <w:kern w:val="22"/>
          <w:szCs w:val="22"/>
          <w:lang w:val="fr-CA" w:eastAsia="nb-NO"/>
        </w:rPr>
        <w:t>16</w:t>
      </w:r>
      <w:r>
        <w:rPr>
          <w:rFonts w:asciiTheme="majorBidi" w:hAnsiTheme="majorBidi" w:cstheme="majorBidi"/>
          <w:snapToGrid w:val="0"/>
          <w:kern w:val="22"/>
          <w:szCs w:val="22"/>
          <w:lang w:val="fr-CA" w:eastAsia="nb-NO"/>
        </w:rPr>
        <w:t xml:space="preserve"> mai-</w:t>
      </w:r>
      <w:r w:rsidR="00301569">
        <w:rPr>
          <w:rFonts w:asciiTheme="majorBidi" w:hAnsiTheme="majorBidi" w:cstheme="majorBidi"/>
          <w:snapToGrid w:val="0"/>
          <w:kern w:val="22"/>
          <w:szCs w:val="22"/>
          <w:lang w:val="fr-CA" w:eastAsia="nb-NO"/>
        </w:rPr>
        <w:t>13</w:t>
      </w:r>
      <w:r>
        <w:rPr>
          <w:rFonts w:asciiTheme="majorBidi" w:hAnsiTheme="majorBidi" w:cstheme="majorBidi"/>
          <w:snapToGrid w:val="0"/>
          <w:kern w:val="22"/>
          <w:szCs w:val="22"/>
          <w:lang w:val="fr-CA" w:eastAsia="nb-NO"/>
        </w:rPr>
        <w:t xml:space="preserve"> juin 2021 et</w:t>
      </w:r>
    </w:p>
    <w:p w14:paraId="617EF6D0" w14:textId="54116756" w:rsidR="00134846" w:rsidRPr="00294DEA" w:rsidRDefault="000E37C8" w:rsidP="00134846">
      <w:pPr>
        <w:ind w:left="284" w:hanging="284"/>
        <w:jc w:val="left"/>
        <w:rPr>
          <w:rFonts w:asciiTheme="majorBidi" w:hAnsiTheme="majorBidi" w:cstheme="majorBidi"/>
          <w:snapToGrid w:val="0"/>
          <w:kern w:val="22"/>
          <w:szCs w:val="22"/>
          <w:lang w:val="fr-CA" w:eastAsia="nb-NO"/>
        </w:rPr>
      </w:pPr>
      <w:r>
        <w:rPr>
          <w:rFonts w:asciiTheme="majorBidi" w:hAnsiTheme="majorBidi" w:cstheme="majorBidi"/>
          <w:snapToGrid w:val="0"/>
          <w:kern w:val="22"/>
          <w:szCs w:val="22"/>
          <w:lang w:val="fr-CA" w:eastAsia="nb-NO"/>
        </w:rPr>
        <w:t>Genève, Suisse, 14-29 mars 2022</w:t>
      </w:r>
    </w:p>
    <w:p w14:paraId="4FEF5581" w14:textId="584B7C37" w:rsidR="00521FE0" w:rsidRPr="00F0380E" w:rsidRDefault="00F3654B" w:rsidP="00F0380E">
      <w:pPr>
        <w:spacing w:after="240"/>
        <w:rPr>
          <w:rFonts w:asciiTheme="majorBidi" w:hAnsiTheme="majorBidi" w:cstheme="majorBidi"/>
          <w:snapToGrid w:val="0"/>
          <w:kern w:val="22"/>
          <w:szCs w:val="22"/>
          <w:lang w:val="fr-CA"/>
        </w:rPr>
      </w:pPr>
      <w:r w:rsidRPr="00294DEA">
        <w:rPr>
          <w:rFonts w:asciiTheme="majorBidi" w:hAnsiTheme="majorBidi" w:cstheme="majorBidi"/>
          <w:snapToGrid w:val="0"/>
          <w:kern w:val="22"/>
          <w:szCs w:val="22"/>
          <w:lang w:val="fr-CA"/>
        </w:rPr>
        <w:t>Point</w:t>
      </w:r>
      <w:r w:rsidR="000E37C8">
        <w:rPr>
          <w:rFonts w:asciiTheme="majorBidi" w:hAnsiTheme="majorBidi" w:cstheme="majorBidi"/>
          <w:snapToGrid w:val="0"/>
          <w:kern w:val="22"/>
          <w:szCs w:val="22"/>
          <w:lang w:val="fr-CA"/>
        </w:rPr>
        <w:t xml:space="preserve"> 5 de l’ordre du jour</w:t>
      </w:r>
    </w:p>
    <w:p w14:paraId="57F6B7A1" w14:textId="6FD7A519" w:rsidR="00C9161D" w:rsidRPr="00294DEA" w:rsidRDefault="00240570" w:rsidP="00CE74B9">
      <w:pPr>
        <w:spacing w:before="240" w:after="120"/>
        <w:jc w:val="center"/>
        <w:rPr>
          <w:rFonts w:asciiTheme="majorBidi" w:hAnsiTheme="majorBidi" w:cstheme="majorBidi"/>
          <w:b/>
          <w:caps/>
          <w:lang w:val="fr-CA"/>
        </w:rPr>
      </w:pPr>
      <w:sdt>
        <w:sdtPr>
          <w:rPr>
            <w:b/>
            <w:cap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90DDC" w:rsidRPr="00B90DDC">
            <w:rPr>
              <w:b/>
              <w:caps/>
              <w:lang w:val="fr-FR"/>
            </w:rPr>
            <w:t>RECOMMANDATION ADOPTEE PAR L’ORGANE SUBSIDIAIRE CHARGE DE L’APPLICATION</w:t>
          </w:r>
        </w:sdtContent>
      </w:sdt>
    </w:p>
    <w:p w14:paraId="2EEF764E" w14:textId="4BF87EC6" w:rsidR="00F6586C" w:rsidRPr="00294DEA" w:rsidRDefault="007D79CB" w:rsidP="001C70F1">
      <w:pPr>
        <w:pStyle w:val="Style1"/>
        <w:spacing w:after="240"/>
        <w:ind w:left="567" w:hanging="425"/>
        <w:jc w:val="left"/>
        <w:rPr>
          <w:rFonts w:asciiTheme="majorBidi" w:hAnsiTheme="majorBidi" w:cstheme="majorBidi"/>
          <w:bCs w:val="0"/>
          <w:i w:val="0"/>
          <w:iCs w:val="0"/>
          <w:lang w:val="fr-CA"/>
        </w:rPr>
      </w:pPr>
      <w:r>
        <w:rPr>
          <w:rFonts w:asciiTheme="majorBidi" w:hAnsiTheme="majorBidi" w:cstheme="majorBidi"/>
          <w:bCs w:val="0"/>
          <w:i w:val="0"/>
          <w:iCs w:val="0"/>
          <w:lang w:val="fr-CA"/>
        </w:rPr>
        <w:t>3.4   Plan de mise en œuvre et plan d’action pour le renforcement des capacités du Protocole de Cartagena sur la prévention des risques biotechnologiques</w:t>
      </w:r>
    </w:p>
    <w:p w14:paraId="6B7EA98D" w14:textId="51230452" w:rsidR="00F6586C" w:rsidRDefault="00B338BC" w:rsidP="001C70F1">
      <w:pPr>
        <w:pStyle w:val="Para1"/>
        <w:numPr>
          <w:ilvl w:val="0"/>
          <w:numId w:val="0"/>
        </w:numPr>
        <w:spacing w:after="240"/>
        <w:ind w:firstLine="720"/>
        <w:rPr>
          <w:rFonts w:asciiTheme="majorBidi" w:hAnsiTheme="majorBidi" w:cstheme="majorBidi"/>
          <w:lang w:val="fr-CA"/>
        </w:rPr>
      </w:pPr>
      <w:r w:rsidRPr="00294DEA">
        <w:rPr>
          <w:rFonts w:asciiTheme="majorBidi" w:hAnsiTheme="majorBidi" w:cstheme="majorBidi"/>
          <w:i/>
          <w:iCs/>
          <w:lang w:val="fr-CA"/>
        </w:rPr>
        <w:t>L’Org</w:t>
      </w:r>
      <w:r w:rsidR="006946C5">
        <w:rPr>
          <w:rFonts w:asciiTheme="majorBidi" w:hAnsiTheme="majorBidi" w:cstheme="majorBidi"/>
          <w:i/>
          <w:iCs/>
          <w:lang w:val="fr-CA"/>
        </w:rPr>
        <w:t>ane subsidiaire chargé de l’appl</w:t>
      </w:r>
      <w:r w:rsidRPr="00294DEA">
        <w:rPr>
          <w:rFonts w:asciiTheme="majorBidi" w:hAnsiTheme="majorBidi" w:cstheme="majorBidi"/>
          <w:i/>
          <w:iCs/>
          <w:lang w:val="fr-CA"/>
        </w:rPr>
        <w:t>ication</w:t>
      </w:r>
    </w:p>
    <w:p w14:paraId="36AD3E72" w14:textId="2A0F7217" w:rsidR="000E37C8" w:rsidRPr="000E37C8" w:rsidRDefault="000E37C8" w:rsidP="000E37C8">
      <w:pPr>
        <w:pStyle w:val="Para1"/>
        <w:numPr>
          <w:ilvl w:val="0"/>
          <w:numId w:val="28"/>
        </w:numPr>
        <w:ind w:left="1701"/>
        <w:jc w:val="left"/>
        <w:rPr>
          <w:rFonts w:asciiTheme="majorBidi" w:hAnsiTheme="majorBidi" w:cstheme="majorBidi"/>
          <w:b/>
          <w:i/>
          <w:iCs/>
          <w:lang w:val="fr-CA"/>
        </w:rPr>
      </w:pPr>
      <w:r w:rsidRPr="000E37C8">
        <w:rPr>
          <w:rFonts w:asciiTheme="majorBidi" w:hAnsiTheme="majorBidi" w:cstheme="majorBidi"/>
          <w:b/>
          <w:lang w:val="fr-CA"/>
        </w:rPr>
        <w:t>Plan de mise en œuvre du Protocole de Cartagena sur la prévention des risques biotechnologiques</w:t>
      </w:r>
    </w:p>
    <w:p w14:paraId="3DB22270" w14:textId="71854254" w:rsidR="008C32B5" w:rsidRPr="00B338BC" w:rsidRDefault="00A077F6" w:rsidP="00CE74B9">
      <w:pPr>
        <w:pStyle w:val="ListParagraph"/>
        <w:numPr>
          <w:ilvl w:val="0"/>
          <w:numId w:val="21"/>
        </w:numPr>
        <w:spacing w:before="120" w:after="120"/>
        <w:ind w:left="0" w:firstLine="720"/>
        <w:contextualSpacing w:val="0"/>
        <w:rPr>
          <w:rFonts w:asciiTheme="majorBidi" w:hAnsiTheme="majorBidi" w:cstheme="majorBidi"/>
          <w:lang w:val="fr-CA"/>
        </w:rPr>
      </w:pPr>
      <w:r>
        <w:rPr>
          <w:rFonts w:asciiTheme="majorBidi" w:hAnsiTheme="majorBidi" w:cstheme="majorBidi"/>
          <w:i/>
          <w:iCs/>
          <w:szCs w:val="22"/>
          <w:lang w:val="fr-CA"/>
        </w:rPr>
        <w:t xml:space="preserve">Recommande </w:t>
      </w:r>
      <w:r>
        <w:rPr>
          <w:rFonts w:asciiTheme="majorBidi" w:hAnsiTheme="majorBidi" w:cstheme="majorBidi"/>
          <w:iCs/>
          <w:szCs w:val="22"/>
          <w:lang w:val="fr-CA"/>
        </w:rPr>
        <w:t xml:space="preserve">que </w:t>
      </w:r>
      <w:r>
        <w:rPr>
          <w:kern w:val="22"/>
          <w:szCs w:val="22"/>
          <w:lang w:val="fr-FR"/>
        </w:rPr>
        <w:t>la Conférence des Parties siégeant en tant que réunion des Parties au Protocole</w:t>
      </w:r>
      <w:r w:rsidR="00F0380E">
        <w:rPr>
          <w:kern w:val="22"/>
          <w:szCs w:val="22"/>
          <w:lang w:val="fr-FR"/>
        </w:rPr>
        <w:t xml:space="preserve"> adopte, à sa dixième réunion, </w:t>
      </w:r>
      <w:r>
        <w:rPr>
          <w:kern w:val="22"/>
          <w:szCs w:val="22"/>
          <w:lang w:val="fr-FR"/>
        </w:rPr>
        <w:t xml:space="preserve">une </w:t>
      </w:r>
      <w:r w:rsidR="008D3E98">
        <w:rPr>
          <w:kern w:val="22"/>
          <w:szCs w:val="22"/>
          <w:lang w:val="fr-FR"/>
        </w:rPr>
        <w:t xml:space="preserve">décision libellée comme </w:t>
      </w:r>
      <w:r>
        <w:rPr>
          <w:kern w:val="22"/>
          <w:szCs w:val="22"/>
          <w:lang w:val="fr-FR"/>
        </w:rPr>
        <w:t xml:space="preserve">suit </w:t>
      </w:r>
      <w:r w:rsidR="008C32B5" w:rsidRPr="00B338BC">
        <w:rPr>
          <w:rFonts w:asciiTheme="majorBidi" w:hAnsiTheme="majorBidi" w:cstheme="majorBidi"/>
          <w:lang w:val="fr-CA"/>
        </w:rPr>
        <w:t>:</w:t>
      </w:r>
    </w:p>
    <w:p w14:paraId="75E008F6" w14:textId="204E736C" w:rsidR="008C32B5" w:rsidRPr="00F0380E" w:rsidRDefault="00A077F6" w:rsidP="00CE74B9">
      <w:pPr>
        <w:spacing w:before="120" w:after="120"/>
        <w:ind w:left="720" w:firstLine="720"/>
        <w:rPr>
          <w:rFonts w:asciiTheme="majorBidi" w:hAnsiTheme="majorBidi" w:cstheme="majorBidi"/>
          <w:lang w:val="fr-FR"/>
        </w:rPr>
      </w:pPr>
      <w:r>
        <w:rPr>
          <w:i/>
          <w:iCs/>
          <w:kern w:val="22"/>
          <w:szCs w:val="22"/>
          <w:lang w:val="fr-FR"/>
        </w:rPr>
        <w:t>La Conférence des Parties siégeant en tant que réunion des Parties au Protocole</w:t>
      </w:r>
      <w:r w:rsidR="006C33DC">
        <w:rPr>
          <w:i/>
          <w:iCs/>
          <w:kern w:val="22"/>
          <w:szCs w:val="22"/>
          <w:lang w:val="fr-FR"/>
        </w:rPr>
        <w:t xml:space="preserve"> de Cartagena sur la prévention </w:t>
      </w:r>
      <w:r>
        <w:rPr>
          <w:i/>
          <w:iCs/>
          <w:kern w:val="22"/>
          <w:szCs w:val="22"/>
          <w:lang w:val="fr-FR"/>
        </w:rPr>
        <w:t>des risques biotechnologiques</w:t>
      </w:r>
    </w:p>
    <w:p w14:paraId="2EC4C340" w14:textId="202876FB" w:rsidR="008C32B5" w:rsidRPr="006F1AF2" w:rsidRDefault="00A077F6" w:rsidP="00CE74B9">
      <w:pPr>
        <w:spacing w:before="120" w:after="120"/>
        <w:ind w:left="720" w:firstLine="720"/>
        <w:rPr>
          <w:rFonts w:asciiTheme="majorBidi" w:hAnsiTheme="majorBidi" w:cstheme="majorBidi"/>
          <w:lang w:val="fr-CA"/>
        </w:rPr>
      </w:pPr>
      <w:r>
        <w:rPr>
          <w:rFonts w:asciiTheme="majorBidi" w:hAnsiTheme="majorBidi" w:cstheme="majorBidi"/>
          <w:i/>
          <w:iCs/>
          <w:lang w:val="fr-CA"/>
        </w:rPr>
        <w:t xml:space="preserve">Reconnaissant </w:t>
      </w:r>
      <w:r>
        <w:rPr>
          <w:rFonts w:asciiTheme="majorBidi" w:hAnsiTheme="majorBidi" w:cstheme="majorBidi"/>
          <w:iCs/>
          <w:lang w:val="fr-CA"/>
        </w:rPr>
        <w:t xml:space="preserve">l’utilité </w:t>
      </w:r>
      <w:r w:rsidR="006F1AF2">
        <w:rPr>
          <w:rFonts w:asciiTheme="majorBidi" w:hAnsiTheme="majorBidi" w:cstheme="majorBidi"/>
          <w:iCs/>
          <w:lang w:val="fr-CA"/>
        </w:rPr>
        <w:t>du Plan stratégique pour le Protocole de Cartagena sur la prévention des risques biotechnologiques pour la période 2011-2020</w:t>
      </w:r>
      <w:r w:rsidR="00D53E9B" w:rsidRPr="00B338BC">
        <w:rPr>
          <w:rStyle w:val="FootnoteReference"/>
          <w:rFonts w:asciiTheme="majorBidi" w:hAnsiTheme="majorBidi" w:cstheme="majorBidi"/>
          <w:lang w:val="fr-CA"/>
        </w:rPr>
        <w:footnoteReference w:id="2"/>
      </w:r>
      <w:r w:rsidR="006F1AF2">
        <w:rPr>
          <w:rFonts w:asciiTheme="majorBidi" w:hAnsiTheme="majorBidi" w:cstheme="majorBidi"/>
          <w:iCs/>
          <w:lang w:val="fr-CA"/>
        </w:rPr>
        <w:t xml:space="preserve"> pour appuye</w:t>
      </w:r>
      <w:r w:rsidR="000E37C8">
        <w:rPr>
          <w:rFonts w:asciiTheme="majorBidi" w:hAnsiTheme="majorBidi" w:cstheme="majorBidi"/>
          <w:iCs/>
          <w:lang w:val="fr-CA"/>
        </w:rPr>
        <w:t xml:space="preserve">r la mise en œuvre nationale, </w:t>
      </w:r>
    </w:p>
    <w:p w14:paraId="119BFDFE" w14:textId="296CA132" w:rsidR="006F1AF2" w:rsidRPr="00F10E52" w:rsidRDefault="006F1AF2" w:rsidP="000E37C8">
      <w:pPr>
        <w:pStyle w:val="ListParagraph"/>
        <w:autoSpaceDE w:val="0"/>
        <w:autoSpaceDN w:val="0"/>
        <w:adjustRightInd w:val="0"/>
        <w:spacing w:after="120"/>
        <w:ind w:firstLine="720"/>
        <w:contextualSpacing w:val="0"/>
        <w:rPr>
          <w:kern w:val="22"/>
          <w:lang w:val="fr-FR"/>
        </w:rPr>
      </w:pPr>
      <w:r>
        <w:rPr>
          <w:i/>
          <w:iCs/>
          <w:kern w:val="22"/>
          <w:lang w:val="fr-FR"/>
        </w:rPr>
        <w:t>Rappelant</w:t>
      </w:r>
      <w:r>
        <w:rPr>
          <w:kern w:val="22"/>
          <w:lang w:val="fr-FR"/>
        </w:rPr>
        <w:t xml:space="preserve"> la décision CP-9/7, dans laquelle elle a décidé d’élaborer un plan de mise en œuvre du Protocole de Cartagena basé sur le cadre mondial de la biodiversité </w:t>
      </w:r>
      <w:r w:rsidR="006C33DC">
        <w:rPr>
          <w:kern w:val="22"/>
          <w:lang w:val="fr-FR"/>
        </w:rPr>
        <w:t>pour l’après-2020 et complémenta</w:t>
      </w:r>
      <w:r>
        <w:rPr>
          <w:kern w:val="22"/>
          <w:lang w:val="fr-FR"/>
        </w:rPr>
        <w:t>ire de celui-ci,</w:t>
      </w:r>
    </w:p>
    <w:p w14:paraId="286BC3E7" w14:textId="1CB1B405" w:rsidR="006F1AF2" w:rsidRPr="00F10E52" w:rsidRDefault="006F1AF2" w:rsidP="00380BE2">
      <w:pPr>
        <w:pStyle w:val="ListParagraph"/>
        <w:tabs>
          <w:tab w:val="left" w:pos="709"/>
        </w:tabs>
        <w:autoSpaceDE w:val="0"/>
        <w:autoSpaceDN w:val="0"/>
        <w:adjustRightInd w:val="0"/>
        <w:spacing w:after="120"/>
        <w:ind w:firstLine="720"/>
        <w:contextualSpacing w:val="0"/>
        <w:rPr>
          <w:kern w:val="22"/>
          <w:lang w:val="fr-FR"/>
        </w:rPr>
      </w:pPr>
      <w:r>
        <w:rPr>
          <w:i/>
          <w:iCs/>
          <w:kern w:val="22"/>
          <w:lang w:val="fr-FR"/>
        </w:rPr>
        <w:t>Rappelant également</w:t>
      </w:r>
      <w:r>
        <w:rPr>
          <w:kern w:val="22"/>
          <w:lang w:val="fr-FR"/>
        </w:rPr>
        <w:t xml:space="preserve"> la décision CP-9/3, dans laquelle elle a reconnu la nécessité d’élaborer un plan d’action spécifique pour le renforcement des capacités en vue de l’application du Protocole de Cartagena et de son Protocole additionnel, compatible avec le plan de mise en œuvre et complémentaire du cadre stratégique à long terme pour le renforcement des capacités</w:t>
      </w:r>
      <w:r w:rsidR="00DE300E">
        <w:rPr>
          <w:kern w:val="22"/>
          <w:lang w:val="fr-FR"/>
        </w:rPr>
        <w:t>, afin d’appuyer la mise en œuvre</w:t>
      </w:r>
      <w:r>
        <w:rPr>
          <w:kern w:val="22"/>
          <w:lang w:val="fr-FR"/>
        </w:rPr>
        <w:t xml:space="preserve"> du cadre mondial de la biodiversité pour l’après-2020,</w:t>
      </w:r>
    </w:p>
    <w:p w14:paraId="4177FB12" w14:textId="32E5F63A" w:rsidR="008C32B5" w:rsidRPr="00B338BC" w:rsidRDefault="006F1AF2" w:rsidP="006F1AF2">
      <w:pPr>
        <w:spacing w:before="120" w:after="120"/>
        <w:ind w:left="720" w:firstLine="720"/>
        <w:rPr>
          <w:rFonts w:asciiTheme="majorBidi" w:hAnsiTheme="majorBidi" w:cstheme="majorBidi"/>
          <w:lang w:val="fr-CA"/>
        </w:rPr>
      </w:pPr>
      <w:r>
        <w:rPr>
          <w:i/>
          <w:iCs/>
          <w:kern w:val="22"/>
          <w:lang w:val="fr-FR"/>
        </w:rPr>
        <w:t>Accueillant favorablement</w:t>
      </w:r>
      <w:r>
        <w:rPr>
          <w:kern w:val="22"/>
          <w:lang w:val="fr-FR"/>
        </w:rPr>
        <w:t xml:space="preserve"> la contribution du Groupe de liaison sur le Protocole de Cartagena à l’élab</w:t>
      </w:r>
      <w:r w:rsidR="00380BE2">
        <w:rPr>
          <w:kern w:val="22"/>
          <w:lang w:val="fr-FR"/>
        </w:rPr>
        <w:t>oration du plan de mise en œuvre</w:t>
      </w:r>
      <w:r>
        <w:rPr>
          <w:kern w:val="22"/>
          <w:lang w:val="fr-FR"/>
        </w:rPr>
        <w:t>, et l’examen par l’Organe subsidiaire chargé de l’application</w:t>
      </w:r>
      <w:r w:rsidR="00232A4F">
        <w:rPr>
          <w:rFonts w:asciiTheme="majorBidi" w:hAnsiTheme="majorBidi" w:cstheme="majorBidi"/>
          <w:lang w:val="fr-CA"/>
        </w:rPr>
        <w:t xml:space="preserve"> à sa troisième réunion,</w:t>
      </w:r>
    </w:p>
    <w:p w14:paraId="49006183" w14:textId="430A26EC" w:rsidR="008C32B5" w:rsidRPr="00B338BC" w:rsidRDefault="00232A4F" w:rsidP="00CE74B9">
      <w:pPr>
        <w:spacing w:before="120" w:after="120"/>
        <w:ind w:left="720" w:firstLine="720"/>
        <w:rPr>
          <w:rFonts w:asciiTheme="majorBidi" w:hAnsiTheme="majorBidi" w:cstheme="majorBidi"/>
          <w:lang w:val="fr-CA"/>
        </w:rPr>
      </w:pPr>
      <w:r>
        <w:rPr>
          <w:rFonts w:asciiTheme="majorBidi" w:hAnsiTheme="majorBidi" w:cstheme="majorBidi"/>
          <w:i/>
          <w:lang w:val="fr-CA"/>
        </w:rPr>
        <w:t xml:space="preserve">Reconnaissant </w:t>
      </w:r>
      <w:r w:rsidR="00380BE2">
        <w:rPr>
          <w:rFonts w:asciiTheme="majorBidi" w:hAnsiTheme="majorBidi" w:cstheme="majorBidi"/>
          <w:lang w:val="fr-CA"/>
        </w:rPr>
        <w:t>l’</w:t>
      </w:r>
      <w:r w:rsidR="00B60787">
        <w:rPr>
          <w:rFonts w:asciiTheme="majorBidi" w:hAnsiTheme="majorBidi" w:cstheme="majorBidi"/>
          <w:lang w:val="fr-CA"/>
        </w:rPr>
        <w:t>intérêt présenté</w:t>
      </w:r>
      <w:r w:rsidR="00380BE2">
        <w:rPr>
          <w:rFonts w:asciiTheme="majorBidi" w:hAnsiTheme="majorBidi" w:cstheme="majorBidi"/>
          <w:lang w:val="fr-CA"/>
        </w:rPr>
        <w:t xml:space="preserve"> le Protocole, son plan de mise en œuvre et le</w:t>
      </w:r>
      <w:r>
        <w:rPr>
          <w:rFonts w:asciiTheme="majorBidi" w:hAnsiTheme="majorBidi" w:cstheme="majorBidi"/>
          <w:lang w:val="fr-CA"/>
        </w:rPr>
        <w:t xml:space="preserve"> plan d’action </w:t>
      </w:r>
      <w:r w:rsidR="00231F1F">
        <w:rPr>
          <w:rFonts w:asciiTheme="majorBidi" w:hAnsiTheme="majorBidi" w:cstheme="majorBidi"/>
          <w:lang w:val="fr-CA"/>
        </w:rPr>
        <w:t xml:space="preserve"> pour</w:t>
      </w:r>
      <w:r w:rsidR="00380BE2">
        <w:rPr>
          <w:rFonts w:asciiTheme="majorBidi" w:hAnsiTheme="majorBidi" w:cstheme="majorBidi"/>
          <w:lang w:val="fr-CA"/>
        </w:rPr>
        <w:t xml:space="preserve"> le renforcement des capacités</w:t>
      </w:r>
      <w:r w:rsidR="00DE300E">
        <w:rPr>
          <w:rFonts w:asciiTheme="majorBidi" w:hAnsiTheme="majorBidi" w:cstheme="majorBidi"/>
          <w:lang w:val="fr-CA"/>
        </w:rPr>
        <w:t>,</w:t>
      </w:r>
      <w:r w:rsidR="00380BE2">
        <w:rPr>
          <w:rFonts w:asciiTheme="majorBidi" w:hAnsiTheme="majorBidi" w:cstheme="majorBidi"/>
          <w:lang w:val="fr-CA"/>
        </w:rPr>
        <w:t xml:space="preserve"> </w:t>
      </w:r>
      <w:r w:rsidR="00231F1F">
        <w:rPr>
          <w:rFonts w:asciiTheme="majorBidi" w:hAnsiTheme="majorBidi" w:cstheme="majorBidi"/>
          <w:lang w:val="fr-CA"/>
        </w:rPr>
        <w:t>en tant que p</w:t>
      </w:r>
      <w:r w:rsidR="00380BE2">
        <w:rPr>
          <w:rFonts w:asciiTheme="majorBidi" w:hAnsiTheme="majorBidi" w:cstheme="majorBidi"/>
          <w:lang w:val="fr-CA"/>
        </w:rPr>
        <w:t>lans indépendants mais interconnectés</w:t>
      </w:r>
      <w:r w:rsidR="00DE300E">
        <w:rPr>
          <w:rFonts w:asciiTheme="majorBidi" w:hAnsiTheme="majorBidi" w:cstheme="majorBidi"/>
          <w:lang w:val="fr-CA"/>
        </w:rPr>
        <w:t>,</w:t>
      </w:r>
      <w:r w:rsidR="00380BE2">
        <w:rPr>
          <w:rFonts w:asciiTheme="majorBidi" w:hAnsiTheme="majorBidi" w:cstheme="majorBidi"/>
          <w:lang w:val="fr-CA"/>
        </w:rPr>
        <w:t xml:space="preserve"> </w:t>
      </w:r>
      <w:r w:rsidR="00DE300E">
        <w:rPr>
          <w:rFonts w:asciiTheme="majorBidi" w:hAnsiTheme="majorBidi" w:cstheme="majorBidi"/>
          <w:lang w:val="fr-CA"/>
        </w:rPr>
        <w:t>pour atteindre l</w:t>
      </w:r>
      <w:r w:rsidR="00231F1F">
        <w:rPr>
          <w:rFonts w:asciiTheme="majorBidi" w:hAnsiTheme="majorBidi" w:cstheme="majorBidi"/>
          <w:lang w:val="fr-CA"/>
        </w:rPr>
        <w:t>es objectifs de la Convention sur la diversité biologique</w:t>
      </w:r>
      <w:r w:rsidR="008C32B5" w:rsidRPr="00B338BC">
        <w:rPr>
          <w:rFonts w:asciiTheme="majorBidi" w:hAnsiTheme="majorBidi" w:cstheme="majorBidi"/>
          <w:lang w:val="fr-CA"/>
        </w:rPr>
        <w:t>,</w:t>
      </w:r>
    </w:p>
    <w:p w14:paraId="405A2287" w14:textId="14A8ED67" w:rsidR="008C32B5" w:rsidRPr="00B338BC" w:rsidRDefault="00231F1F" w:rsidP="00CE74B9">
      <w:pPr>
        <w:spacing w:before="120" w:after="120"/>
        <w:ind w:left="720" w:firstLine="720"/>
        <w:rPr>
          <w:rFonts w:asciiTheme="majorBidi" w:hAnsiTheme="majorBidi" w:cstheme="majorBidi"/>
          <w:i/>
          <w:spacing w:val="-2"/>
          <w:lang w:val="fr-CA"/>
        </w:rPr>
      </w:pPr>
      <w:r>
        <w:rPr>
          <w:rFonts w:asciiTheme="majorBidi" w:hAnsiTheme="majorBidi" w:cstheme="majorBidi"/>
          <w:i/>
          <w:spacing w:val="-2"/>
          <w:lang w:val="fr-CA"/>
        </w:rPr>
        <w:lastRenderedPageBreak/>
        <w:t xml:space="preserve">Reconnaissant </w:t>
      </w:r>
      <w:r>
        <w:rPr>
          <w:rFonts w:asciiTheme="majorBidi" w:hAnsiTheme="majorBidi" w:cstheme="majorBidi"/>
          <w:spacing w:val="-2"/>
          <w:lang w:val="fr-CA"/>
        </w:rPr>
        <w:t>la néce</w:t>
      </w:r>
      <w:r w:rsidR="0099309E">
        <w:rPr>
          <w:rFonts w:asciiTheme="majorBidi" w:hAnsiTheme="majorBidi" w:cstheme="majorBidi"/>
          <w:spacing w:val="-2"/>
          <w:lang w:val="fr-CA"/>
        </w:rPr>
        <w:t>ssité d’établir régulièrement des</w:t>
      </w:r>
      <w:r>
        <w:rPr>
          <w:rFonts w:asciiTheme="majorBidi" w:hAnsiTheme="majorBidi" w:cstheme="majorBidi"/>
          <w:spacing w:val="-2"/>
          <w:lang w:val="fr-CA"/>
        </w:rPr>
        <w:t xml:space="preserve"> priorité</w:t>
      </w:r>
      <w:r w:rsidR="0099309E">
        <w:rPr>
          <w:rFonts w:asciiTheme="majorBidi" w:hAnsiTheme="majorBidi" w:cstheme="majorBidi"/>
          <w:spacing w:val="-2"/>
          <w:lang w:val="fr-CA"/>
        </w:rPr>
        <w:t xml:space="preserve">s pour planifier et programmer les travaux à </w:t>
      </w:r>
      <w:r>
        <w:rPr>
          <w:rFonts w:asciiTheme="majorBidi" w:hAnsiTheme="majorBidi" w:cstheme="majorBidi"/>
          <w:spacing w:val="-2"/>
          <w:lang w:val="fr-CA"/>
        </w:rPr>
        <w:t>entre</w:t>
      </w:r>
      <w:r w:rsidR="0099309E">
        <w:rPr>
          <w:rFonts w:asciiTheme="majorBidi" w:hAnsiTheme="majorBidi" w:cstheme="majorBidi"/>
          <w:spacing w:val="-2"/>
          <w:lang w:val="fr-CA"/>
        </w:rPr>
        <w:t xml:space="preserve">prendre </w:t>
      </w:r>
      <w:r>
        <w:rPr>
          <w:rFonts w:asciiTheme="majorBidi" w:hAnsiTheme="majorBidi" w:cstheme="majorBidi"/>
          <w:spacing w:val="-2"/>
          <w:lang w:val="fr-CA"/>
        </w:rPr>
        <w:t>pendant la période</w:t>
      </w:r>
      <w:r w:rsidR="00D044F5">
        <w:rPr>
          <w:rFonts w:asciiTheme="majorBidi" w:hAnsiTheme="majorBidi" w:cstheme="majorBidi"/>
          <w:spacing w:val="-2"/>
          <w:lang w:val="fr-CA"/>
        </w:rPr>
        <w:t xml:space="preserve"> du plan de mise en œuvre</w:t>
      </w:r>
      <w:r w:rsidR="008C32B5" w:rsidRPr="00B338BC">
        <w:rPr>
          <w:rFonts w:asciiTheme="majorBidi" w:hAnsiTheme="majorBidi" w:cstheme="majorBidi"/>
          <w:spacing w:val="-2"/>
          <w:lang w:val="fr-CA"/>
        </w:rPr>
        <w:t>,</w:t>
      </w:r>
    </w:p>
    <w:p w14:paraId="5CEB7E9E" w14:textId="4407A60F" w:rsidR="008C32B5" w:rsidRPr="00B338BC" w:rsidRDefault="001C70F1" w:rsidP="00CE74B9">
      <w:pPr>
        <w:spacing w:before="120" w:after="120"/>
        <w:ind w:left="720" w:firstLine="720"/>
        <w:rPr>
          <w:rFonts w:asciiTheme="majorBidi" w:hAnsiTheme="majorBidi" w:cstheme="majorBidi"/>
          <w:lang w:val="fr-CA"/>
        </w:rPr>
      </w:pPr>
      <w:r w:rsidRPr="001C70F1">
        <w:rPr>
          <w:rFonts w:asciiTheme="majorBidi" w:hAnsiTheme="majorBidi" w:cstheme="majorBidi"/>
          <w:lang w:val="fr-FR"/>
        </w:rPr>
        <w:t>[</w:t>
      </w:r>
      <w:r w:rsidR="00701BEA">
        <w:rPr>
          <w:rFonts w:asciiTheme="majorBidi" w:hAnsiTheme="majorBidi" w:cstheme="majorBidi"/>
          <w:lang w:val="fr-CA"/>
        </w:rPr>
        <w:t>1.</w:t>
      </w:r>
      <w:r w:rsidR="00701BEA">
        <w:rPr>
          <w:rFonts w:asciiTheme="majorBidi" w:hAnsiTheme="majorBidi" w:cstheme="majorBidi"/>
          <w:lang w:val="fr-CA"/>
        </w:rPr>
        <w:tab/>
      </w:r>
      <w:r w:rsidR="00D044F5">
        <w:rPr>
          <w:rFonts w:asciiTheme="majorBidi" w:hAnsiTheme="majorBidi" w:cstheme="majorBidi"/>
          <w:i/>
          <w:iCs/>
          <w:lang w:val="fr-CA"/>
        </w:rPr>
        <w:t xml:space="preserve">Adopte </w:t>
      </w:r>
      <w:r w:rsidR="00701BEA">
        <w:rPr>
          <w:rFonts w:asciiTheme="majorBidi" w:hAnsiTheme="majorBidi" w:cstheme="majorBidi"/>
          <w:iCs/>
          <w:lang w:val="fr-CA"/>
        </w:rPr>
        <w:t>le plan de mise en œuvre</w:t>
      </w:r>
      <w:r w:rsidR="004F298D">
        <w:rPr>
          <w:rFonts w:asciiTheme="majorBidi" w:hAnsiTheme="majorBidi" w:cstheme="majorBidi"/>
          <w:iCs/>
          <w:lang w:val="fr-CA"/>
        </w:rPr>
        <w:t>,</w:t>
      </w:r>
      <w:r w:rsidR="00701BEA">
        <w:rPr>
          <w:rFonts w:asciiTheme="majorBidi" w:hAnsiTheme="majorBidi" w:cstheme="majorBidi"/>
          <w:iCs/>
          <w:lang w:val="fr-CA"/>
        </w:rPr>
        <w:t xml:space="preserve"> tel qu’il figure dans</w:t>
      </w:r>
      <w:r w:rsidR="00D044F5">
        <w:rPr>
          <w:rFonts w:asciiTheme="majorBidi" w:hAnsiTheme="majorBidi" w:cstheme="majorBidi"/>
          <w:iCs/>
          <w:lang w:val="fr-CA"/>
        </w:rPr>
        <w:t xml:space="preserve"> l’annexe I à la présente décision</w:t>
      </w:r>
      <w:r w:rsidR="000543BC">
        <w:rPr>
          <w:rFonts w:asciiTheme="majorBidi" w:hAnsiTheme="majorBidi" w:cstheme="majorBidi"/>
          <w:iCs/>
          <w:lang w:val="fr-CA"/>
        </w:rPr>
        <w:t>;</w:t>
      </w:r>
      <w:r>
        <w:rPr>
          <w:rFonts w:asciiTheme="majorBidi" w:hAnsiTheme="majorBidi" w:cstheme="majorBidi"/>
          <w:iCs/>
          <w:lang w:val="fr-CA"/>
        </w:rPr>
        <w:t>]</w:t>
      </w:r>
    </w:p>
    <w:p w14:paraId="35EC535C" w14:textId="7755C0A5" w:rsidR="008C32B5" w:rsidRPr="00B338BC" w:rsidRDefault="001C70F1" w:rsidP="00CE74B9">
      <w:pPr>
        <w:spacing w:before="120" w:after="120"/>
        <w:ind w:left="720" w:firstLine="720"/>
        <w:rPr>
          <w:rFonts w:asciiTheme="majorBidi" w:hAnsiTheme="majorBidi" w:cstheme="majorBidi"/>
          <w:lang w:val="fr-CA"/>
        </w:rPr>
      </w:pPr>
      <w:r>
        <w:rPr>
          <w:rFonts w:asciiTheme="majorBidi" w:hAnsiTheme="majorBidi" w:cstheme="majorBidi"/>
          <w:lang w:val="fr-CA"/>
        </w:rPr>
        <w:t>[</w:t>
      </w:r>
      <w:r w:rsidR="00701BEA">
        <w:rPr>
          <w:rFonts w:asciiTheme="majorBidi" w:hAnsiTheme="majorBidi" w:cstheme="majorBidi"/>
          <w:lang w:val="fr-CA"/>
        </w:rPr>
        <w:t>2</w:t>
      </w:r>
      <w:r w:rsidR="008C32B5" w:rsidRPr="00B338BC">
        <w:rPr>
          <w:rFonts w:asciiTheme="majorBidi" w:hAnsiTheme="majorBidi" w:cstheme="majorBidi"/>
          <w:lang w:val="fr-CA"/>
        </w:rPr>
        <w:t>.</w:t>
      </w:r>
      <w:r w:rsidR="00CA6251" w:rsidRPr="00B338BC">
        <w:rPr>
          <w:rFonts w:asciiTheme="majorBidi" w:hAnsiTheme="majorBidi" w:cstheme="majorBidi"/>
          <w:lang w:val="fr-CA"/>
        </w:rPr>
        <w:tab/>
      </w:r>
      <w:r w:rsidR="00227E39">
        <w:rPr>
          <w:rFonts w:asciiTheme="majorBidi" w:hAnsiTheme="majorBidi" w:cstheme="majorBidi"/>
          <w:i/>
          <w:lang w:val="fr-CA"/>
        </w:rPr>
        <w:t>Accueille</w:t>
      </w:r>
      <w:r w:rsidR="00701BEA">
        <w:rPr>
          <w:rFonts w:asciiTheme="majorBidi" w:hAnsiTheme="majorBidi" w:cstheme="majorBidi"/>
          <w:i/>
          <w:lang w:val="fr-CA"/>
        </w:rPr>
        <w:t xml:space="preserve"> avec satisfaction</w:t>
      </w:r>
      <w:r w:rsidR="00D044F5">
        <w:rPr>
          <w:rFonts w:asciiTheme="majorBidi" w:hAnsiTheme="majorBidi" w:cstheme="majorBidi"/>
          <w:lang w:val="fr-CA"/>
        </w:rPr>
        <w:t xml:space="preserve"> </w:t>
      </w:r>
      <w:r w:rsidR="00227E39">
        <w:rPr>
          <w:rFonts w:asciiTheme="majorBidi" w:hAnsiTheme="majorBidi" w:cstheme="majorBidi"/>
          <w:lang w:val="fr-CA"/>
        </w:rPr>
        <w:t xml:space="preserve">le </w:t>
      </w:r>
      <w:r w:rsidR="00D044F5">
        <w:rPr>
          <w:rFonts w:asciiTheme="majorBidi" w:hAnsiTheme="majorBidi" w:cstheme="majorBidi"/>
          <w:lang w:val="fr-CA"/>
        </w:rPr>
        <w:t>cadre mondial de la biodive</w:t>
      </w:r>
      <w:r w:rsidR="00701BEA">
        <w:rPr>
          <w:rFonts w:asciiTheme="majorBidi" w:hAnsiTheme="majorBidi" w:cstheme="majorBidi"/>
          <w:lang w:val="fr-CA"/>
        </w:rPr>
        <w:t>rsité pour l'après-2020 adopté dans</w:t>
      </w:r>
      <w:r w:rsidR="00D044F5">
        <w:rPr>
          <w:rFonts w:asciiTheme="majorBidi" w:hAnsiTheme="majorBidi" w:cstheme="majorBidi"/>
          <w:lang w:val="fr-CA"/>
        </w:rPr>
        <w:t xml:space="preserve"> la décision 15</w:t>
      </w:r>
      <w:r w:rsidR="00701BEA">
        <w:rPr>
          <w:rFonts w:asciiTheme="majorBidi" w:hAnsiTheme="majorBidi" w:cstheme="majorBidi"/>
          <w:lang w:val="fr-CA"/>
        </w:rPr>
        <w:t>/--;</w:t>
      </w:r>
      <w:r>
        <w:rPr>
          <w:rFonts w:asciiTheme="majorBidi" w:hAnsiTheme="majorBidi" w:cstheme="majorBidi"/>
          <w:lang w:val="fr-CA"/>
        </w:rPr>
        <w:t>]</w:t>
      </w:r>
    </w:p>
    <w:p w14:paraId="4646C098" w14:textId="5AFEBC9A" w:rsidR="008C32B5" w:rsidRPr="00B338BC" w:rsidRDefault="00701BEA" w:rsidP="00CE74B9">
      <w:pPr>
        <w:spacing w:before="120" w:after="120"/>
        <w:ind w:left="720" w:firstLine="720"/>
        <w:rPr>
          <w:rFonts w:asciiTheme="majorBidi" w:hAnsiTheme="majorBidi" w:cstheme="majorBidi"/>
          <w:lang w:val="fr-CA"/>
        </w:rPr>
      </w:pPr>
      <w:r>
        <w:rPr>
          <w:rFonts w:asciiTheme="majorBidi" w:hAnsiTheme="majorBidi" w:cstheme="majorBidi"/>
          <w:lang w:val="fr-CA"/>
        </w:rPr>
        <w:t>3</w:t>
      </w:r>
      <w:r w:rsidR="008C32B5" w:rsidRPr="00B338BC">
        <w:rPr>
          <w:rFonts w:asciiTheme="majorBidi" w:hAnsiTheme="majorBidi" w:cstheme="majorBidi"/>
          <w:lang w:val="fr-CA"/>
        </w:rPr>
        <w:t>.</w:t>
      </w:r>
      <w:r w:rsidR="00CA6251" w:rsidRPr="00B338BC">
        <w:rPr>
          <w:rFonts w:asciiTheme="majorBidi" w:hAnsiTheme="majorBidi" w:cstheme="majorBidi"/>
          <w:lang w:val="fr-CA"/>
        </w:rPr>
        <w:tab/>
      </w:r>
      <w:r w:rsidR="0001155E">
        <w:rPr>
          <w:rFonts w:asciiTheme="majorBidi" w:hAnsiTheme="majorBidi" w:cstheme="majorBidi"/>
          <w:i/>
          <w:lang w:val="fr-CA"/>
        </w:rPr>
        <w:t xml:space="preserve">Reconnaît </w:t>
      </w:r>
      <w:r w:rsidR="0001155E" w:rsidRPr="0001155E">
        <w:rPr>
          <w:rFonts w:asciiTheme="majorBidi" w:hAnsiTheme="majorBidi" w:cstheme="majorBidi"/>
          <w:lang w:val="fr-CA"/>
        </w:rPr>
        <w:t xml:space="preserve">le caractère complémentaire du plan de mise en </w:t>
      </w:r>
      <w:r w:rsidR="00DE300E">
        <w:rPr>
          <w:rFonts w:asciiTheme="majorBidi" w:hAnsiTheme="majorBidi" w:cstheme="majorBidi"/>
          <w:lang w:val="fr-CA"/>
        </w:rPr>
        <w:t>œuvre pour le</w:t>
      </w:r>
      <w:r w:rsidR="0001155E">
        <w:rPr>
          <w:rFonts w:asciiTheme="majorBidi" w:hAnsiTheme="majorBidi" w:cstheme="majorBidi"/>
          <w:lang w:val="fr-CA"/>
        </w:rPr>
        <w:t xml:space="preserve"> cadre mondial de la biodiversité pour l'après-2020</w:t>
      </w:r>
      <w:r w:rsidR="00DE300E">
        <w:rPr>
          <w:rFonts w:asciiTheme="majorBidi" w:hAnsiTheme="majorBidi" w:cstheme="majorBidi"/>
          <w:lang w:val="fr-CA"/>
        </w:rPr>
        <w:t>,</w:t>
      </w:r>
      <w:r w:rsidR="0001155E">
        <w:rPr>
          <w:rFonts w:asciiTheme="majorBidi" w:hAnsiTheme="majorBidi" w:cstheme="majorBidi"/>
          <w:lang w:val="fr-CA"/>
        </w:rPr>
        <w:t xml:space="preserve"> et que le plan de mise en œuvre peut contribuer à la réalisation de l’objectif de prévention des </w:t>
      </w:r>
      <w:r>
        <w:rPr>
          <w:rFonts w:asciiTheme="majorBidi" w:hAnsiTheme="majorBidi" w:cstheme="majorBidi"/>
          <w:lang w:val="fr-CA"/>
        </w:rPr>
        <w:t>risques biotechnologiques énoncé</w:t>
      </w:r>
      <w:r w:rsidR="0001155E">
        <w:rPr>
          <w:rFonts w:asciiTheme="majorBidi" w:hAnsiTheme="majorBidi" w:cstheme="majorBidi"/>
          <w:lang w:val="fr-CA"/>
        </w:rPr>
        <w:t xml:space="preserve"> dans le cadre mondial</w:t>
      </w:r>
      <w:r>
        <w:rPr>
          <w:rFonts w:asciiTheme="majorBidi" w:hAnsiTheme="majorBidi" w:cstheme="majorBidi"/>
          <w:lang w:val="fr-CA"/>
        </w:rPr>
        <w:t xml:space="preserve"> </w:t>
      </w:r>
      <w:r w:rsidR="0001155E">
        <w:rPr>
          <w:rFonts w:asciiTheme="majorBidi" w:hAnsiTheme="majorBidi" w:cstheme="majorBidi"/>
          <w:lang w:val="fr-CA"/>
        </w:rPr>
        <w:t>de la biodiversité pour l'après-2020, surtout pour les Parties à la Convention qui sont également Parties au Protocole de Cartagena</w:t>
      </w:r>
      <w:r w:rsidR="005C586A" w:rsidRPr="00B338BC">
        <w:rPr>
          <w:rFonts w:asciiTheme="majorBidi" w:hAnsiTheme="majorBidi" w:cstheme="majorBidi"/>
          <w:lang w:val="fr-CA"/>
        </w:rPr>
        <w:t>;</w:t>
      </w:r>
    </w:p>
    <w:p w14:paraId="6C3E7695" w14:textId="0E6A9708" w:rsidR="008C32B5" w:rsidRPr="00B338BC" w:rsidRDefault="00701BEA" w:rsidP="00CE74B9">
      <w:pPr>
        <w:spacing w:before="120" w:after="120"/>
        <w:ind w:left="720" w:firstLine="720"/>
        <w:rPr>
          <w:rFonts w:asciiTheme="majorBidi" w:hAnsiTheme="majorBidi" w:cstheme="majorBidi"/>
          <w:lang w:val="fr-CA"/>
        </w:rPr>
      </w:pPr>
      <w:r>
        <w:rPr>
          <w:rFonts w:asciiTheme="majorBidi" w:hAnsiTheme="majorBidi" w:cstheme="majorBidi"/>
          <w:lang w:val="fr-CA"/>
        </w:rPr>
        <w:t>4</w:t>
      </w:r>
      <w:r w:rsidR="008C32B5" w:rsidRPr="00B338BC">
        <w:rPr>
          <w:rFonts w:asciiTheme="majorBidi" w:hAnsiTheme="majorBidi" w:cstheme="majorBidi"/>
          <w:lang w:val="fr-CA"/>
        </w:rPr>
        <w:t>.</w:t>
      </w:r>
      <w:r w:rsidR="008C32B5" w:rsidRPr="00B338BC">
        <w:rPr>
          <w:rFonts w:asciiTheme="majorBidi" w:hAnsiTheme="majorBidi" w:cstheme="majorBidi"/>
          <w:lang w:val="fr-CA"/>
        </w:rPr>
        <w:tab/>
      </w:r>
      <w:r w:rsidR="008570E7">
        <w:rPr>
          <w:i/>
          <w:iCs/>
          <w:kern w:val="22"/>
          <w:lang w:val="fr-FR"/>
        </w:rPr>
        <w:t xml:space="preserve">Exhorte </w:t>
      </w:r>
      <w:r w:rsidR="008570E7">
        <w:rPr>
          <w:kern w:val="22"/>
          <w:lang w:val="fr-FR"/>
        </w:rPr>
        <w:t xml:space="preserve">les Parties et </w:t>
      </w:r>
      <w:r w:rsidR="008570E7" w:rsidRPr="001C70F1">
        <w:rPr>
          <w:iCs/>
          <w:kern w:val="22"/>
          <w:lang w:val="fr-FR"/>
        </w:rPr>
        <w:t>invite</w:t>
      </w:r>
      <w:r w:rsidR="008570E7">
        <w:rPr>
          <w:i/>
          <w:iCs/>
          <w:kern w:val="22"/>
          <w:lang w:val="fr-FR"/>
        </w:rPr>
        <w:t xml:space="preserve"> </w:t>
      </w:r>
      <w:r w:rsidR="008570E7">
        <w:rPr>
          <w:kern w:val="22"/>
          <w:lang w:val="fr-FR"/>
        </w:rPr>
        <w:t>les autres gouvernements à</w:t>
      </w:r>
      <w:r w:rsidR="00B60787">
        <w:rPr>
          <w:kern w:val="22"/>
          <w:lang w:val="fr-FR"/>
        </w:rPr>
        <w:t xml:space="preserve"> examiner et à harmoniser, selon qu’il convient</w:t>
      </w:r>
      <w:r w:rsidR="008570E7">
        <w:rPr>
          <w:kern w:val="22"/>
          <w:lang w:val="fr-FR"/>
        </w:rPr>
        <w:t xml:space="preserve">, leurs plans d’action et programmes nationaux relatifs à la mise en œuvre du Protocole, y compris leurs stratégies et plans d’action nationaux pour la biodiversité, avec le plan de mise </w:t>
      </w:r>
      <w:r>
        <w:rPr>
          <w:kern w:val="22"/>
          <w:lang w:val="fr-FR"/>
        </w:rPr>
        <w:t>en œuvre</w:t>
      </w:r>
      <w:r w:rsidR="008C32B5" w:rsidRPr="00B338BC">
        <w:rPr>
          <w:rFonts w:asciiTheme="majorBidi" w:hAnsiTheme="majorBidi" w:cstheme="majorBidi"/>
          <w:lang w:val="fr-CA"/>
        </w:rPr>
        <w:t>;</w:t>
      </w:r>
    </w:p>
    <w:p w14:paraId="33581CC1" w14:textId="08E2BB50" w:rsidR="008C32B5" w:rsidRPr="00B338BC" w:rsidRDefault="00701BEA" w:rsidP="00CE74B9">
      <w:pPr>
        <w:spacing w:before="120" w:after="120"/>
        <w:ind w:left="720" w:firstLine="720"/>
        <w:rPr>
          <w:rFonts w:asciiTheme="majorBidi" w:hAnsiTheme="majorBidi" w:cstheme="majorBidi"/>
          <w:lang w:val="fr-CA"/>
        </w:rPr>
      </w:pPr>
      <w:r>
        <w:rPr>
          <w:rFonts w:asciiTheme="majorBidi" w:hAnsiTheme="majorBidi" w:cstheme="majorBidi"/>
          <w:lang w:val="fr-CA"/>
        </w:rPr>
        <w:t>5</w:t>
      </w:r>
      <w:r w:rsidR="008C32B5" w:rsidRPr="00B338BC">
        <w:rPr>
          <w:rFonts w:asciiTheme="majorBidi" w:hAnsiTheme="majorBidi" w:cstheme="majorBidi"/>
          <w:lang w:val="fr-CA"/>
        </w:rPr>
        <w:t>.</w:t>
      </w:r>
      <w:r w:rsidR="008C32B5" w:rsidRPr="00B338BC">
        <w:rPr>
          <w:rFonts w:asciiTheme="majorBidi" w:hAnsiTheme="majorBidi" w:cstheme="majorBidi"/>
          <w:lang w:val="fr-CA"/>
        </w:rPr>
        <w:tab/>
      </w:r>
      <w:r w:rsidR="008570E7">
        <w:rPr>
          <w:i/>
          <w:iCs/>
          <w:kern w:val="22"/>
          <w:lang w:val="fr-FR"/>
        </w:rPr>
        <w:t xml:space="preserve">Exhorte également </w:t>
      </w:r>
      <w:r w:rsidR="008570E7">
        <w:rPr>
          <w:kern w:val="22"/>
          <w:lang w:val="fr-FR"/>
        </w:rPr>
        <w:t xml:space="preserve">les Parties et </w:t>
      </w:r>
      <w:r w:rsidR="008570E7" w:rsidRPr="001C70F1">
        <w:rPr>
          <w:iCs/>
          <w:kern w:val="22"/>
          <w:lang w:val="fr-FR"/>
        </w:rPr>
        <w:t xml:space="preserve">invite </w:t>
      </w:r>
      <w:r w:rsidR="008570E7">
        <w:rPr>
          <w:kern w:val="22"/>
          <w:lang w:val="fr-FR"/>
        </w:rPr>
        <w:t>les autres gouvernements et les donateurs à allouer les ressources adéquates nécessaires pour a</w:t>
      </w:r>
      <w:r w:rsidR="00D879B6">
        <w:rPr>
          <w:kern w:val="22"/>
          <w:lang w:val="fr-FR"/>
        </w:rPr>
        <w:t>ccélér</w:t>
      </w:r>
      <w:r w:rsidR="008570E7">
        <w:rPr>
          <w:kern w:val="22"/>
          <w:lang w:val="fr-FR"/>
        </w:rPr>
        <w:t xml:space="preserve">er l’application du plan de mise </w:t>
      </w:r>
      <w:r>
        <w:rPr>
          <w:kern w:val="22"/>
          <w:lang w:val="fr-FR"/>
        </w:rPr>
        <w:t>en œuvre</w:t>
      </w:r>
      <w:r w:rsidR="001F04F6">
        <w:rPr>
          <w:kern w:val="22"/>
          <w:lang w:val="fr-FR"/>
        </w:rPr>
        <w:t xml:space="preserve"> </w:t>
      </w:r>
      <w:r w:rsidR="00D879B6">
        <w:rPr>
          <w:kern w:val="22"/>
          <w:lang w:val="fr-FR"/>
        </w:rPr>
        <w:t>[</w:t>
      </w:r>
      <w:r w:rsidR="001F04F6">
        <w:rPr>
          <w:kern w:val="22"/>
          <w:lang w:val="fr-FR"/>
        </w:rPr>
        <w:t xml:space="preserve">, </w:t>
      </w:r>
      <w:r w:rsidR="00D879B6">
        <w:rPr>
          <w:kern w:val="22"/>
          <w:lang w:val="fr-FR"/>
        </w:rPr>
        <w:t xml:space="preserve">et </w:t>
      </w:r>
      <w:r w:rsidR="00483224">
        <w:rPr>
          <w:kern w:val="22"/>
          <w:lang w:val="fr-FR"/>
        </w:rPr>
        <w:t>à</w:t>
      </w:r>
      <w:r w:rsidR="00D879B6">
        <w:rPr>
          <w:kern w:val="22"/>
          <w:lang w:val="fr-FR"/>
        </w:rPr>
        <w:t xml:space="preserve"> fournir de</w:t>
      </w:r>
      <w:r w:rsidR="00DE300E">
        <w:rPr>
          <w:kern w:val="22"/>
          <w:lang w:val="fr-FR"/>
        </w:rPr>
        <w:t>s</w:t>
      </w:r>
      <w:r w:rsidR="00D879B6">
        <w:rPr>
          <w:kern w:val="22"/>
          <w:lang w:val="fr-FR"/>
        </w:rPr>
        <w:t xml:space="preserve"> nouvelles ressources financières afin de</w:t>
      </w:r>
      <w:r w:rsidR="003D4ABD">
        <w:rPr>
          <w:kern w:val="22"/>
          <w:lang w:val="fr-FR"/>
        </w:rPr>
        <w:t xml:space="preserve"> </w:t>
      </w:r>
      <w:r w:rsidR="00D879B6">
        <w:rPr>
          <w:kern w:val="22"/>
          <w:lang w:val="fr-FR"/>
        </w:rPr>
        <w:t xml:space="preserve">permettre aux pays en développement de mettre </w:t>
      </w:r>
      <w:r w:rsidR="001F04F6">
        <w:rPr>
          <w:kern w:val="22"/>
          <w:lang w:val="fr-FR"/>
        </w:rPr>
        <w:t>en œuvre les plans</w:t>
      </w:r>
      <w:r w:rsidR="00DE300E">
        <w:rPr>
          <w:kern w:val="22"/>
          <w:lang w:val="fr-FR"/>
        </w:rPr>
        <w:t>,</w:t>
      </w:r>
      <w:r w:rsidR="001F04F6">
        <w:rPr>
          <w:kern w:val="22"/>
          <w:lang w:val="fr-FR"/>
        </w:rPr>
        <w:t xml:space="preserve"> </w:t>
      </w:r>
      <w:r w:rsidR="003D4ABD">
        <w:rPr>
          <w:kern w:val="22"/>
          <w:lang w:val="fr-FR"/>
        </w:rPr>
        <w:t xml:space="preserve">conformément </w:t>
      </w:r>
      <w:r w:rsidR="00D879B6">
        <w:rPr>
          <w:kern w:val="22"/>
          <w:lang w:val="fr-FR"/>
        </w:rPr>
        <w:t>à l’article 20 de la Convention et l’article 28 du Protocole]</w:t>
      </w:r>
      <w:r w:rsidR="00DE300E">
        <w:rPr>
          <w:kern w:val="22"/>
          <w:lang w:val="fr-FR"/>
        </w:rPr>
        <w:t>,</w:t>
      </w:r>
      <w:r w:rsidR="008570E7">
        <w:rPr>
          <w:kern w:val="22"/>
          <w:lang w:val="fr-FR"/>
        </w:rPr>
        <w:t xml:space="preserve"> et </w:t>
      </w:r>
      <w:r w:rsidR="008570E7" w:rsidRPr="001C70F1">
        <w:rPr>
          <w:iCs/>
          <w:kern w:val="22"/>
          <w:lang w:val="fr-FR"/>
        </w:rPr>
        <w:t>reconnaît</w:t>
      </w:r>
      <w:r w:rsidR="008570E7" w:rsidRPr="001C70F1">
        <w:rPr>
          <w:kern w:val="22"/>
          <w:lang w:val="fr-FR"/>
        </w:rPr>
        <w:t xml:space="preserve"> </w:t>
      </w:r>
      <w:r w:rsidR="001F04F6">
        <w:rPr>
          <w:kern w:val="22"/>
          <w:lang w:val="fr-FR"/>
        </w:rPr>
        <w:t>en particulier le rôle</w:t>
      </w:r>
      <w:r w:rsidR="003D4ABD">
        <w:rPr>
          <w:kern w:val="22"/>
          <w:lang w:val="fr-FR"/>
        </w:rPr>
        <w:t xml:space="preserve"> </w:t>
      </w:r>
      <w:r w:rsidR="001F04F6" w:rsidRPr="001F04F6">
        <w:rPr>
          <w:kern w:val="22"/>
          <w:lang w:val="fr-FR"/>
        </w:rPr>
        <w:t>[</w:t>
      </w:r>
      <w:r w:rsidR="008570E7">
        <w:rPr>
          <w:kern w:val="22"/>
          <w:lang w:val="fr-FR"/>
        </w:rPr>
        <w:t>du</w:t>
      </w:r>
      <w:r w:rsidR="001F04F6">
        <w:rPr>
          <w:kern w:val="22"/>
          <w:lang w:val="fr-FR"/>
        </w:rPr>
        <w:t>]</w:t>
      </w:r>
      <w:r w:rsidR="008570E7">
        <w:rPr>
          <w:kern w:val="22"/>
          <w:lang w:val="fr-FR"/>
        </w:rPr>
        <w:t xml:space="preserve"> </w:t>
      </w:r>
      <w:r w:rsidR="00D879B6">
        <w:rPr>
          <w:kern w:val="22"/>
          <w:lang w:val="fr-FR"/>
        </w:rPr>
        <w:t xml:space="preserve">[que joue le] </w:t>
      </w:r>
      <w:r w:rsidR="008570E7">
        <w:rPr>
          <w:kern w:val="22"/>
          <w:lang w:val="fr-FR"/>
        </w:rPr>
        <w:t xml:space="preserve">Fonds pour l’environnement mondial </w:t>
      </w:r>
      <w:r w:rsidR="00D47E58">
        <w:rPr>
          <w:kern w:val="22"/>
          <w:lang w:val="fr-FR"/>
        </w:rPr>
        <w:t xml:space="preserve">[pour appuyer le </w:t>
      </w:r>
      <w:r w:rsidR="00D879B6">
        <w:rPr>
          <w:kern w:val="22"/>
          <w:lang w:val="fr-FR"/>
        </w:rPr>
        <w:t>renforc</w:t>
      </w:r>
      <w:r w:rsidR="00D47E58">
        <w:rPr>
          <w:kern w:val="22"/>
          <w:lang w:val="fr-FR"/>
        </w:rPr>
        <w:t>ement des capacités afin de</w:t>
      </w:r>
      <w:r w:rsidR="00D879B6">
        <w:rPr>
          <w:kern w:val="22"/>
          <w:lang w:val="fr-FR"/>
        </w:rPr>
        <w:t xml:space="preserve"> mettre en </w:t>
      </w:r>
      <w:r w:rsidR="003D4ABD">
        <w:rPr>
          <w:kern w:val="22"/>
          <w:lang w:val="fr-FR"/>
        </w:rPr>
        <w:t>œuvre le][</w:t>
      </w:r>
      <w:r w:rsidR="00483224">
        <w:rPr>
          <w:kern w:val="22"/>
          <w:lang w:val="fr-FR"/>
        </w:rPr>
        <w:t xml:space="preserve">pour </w:t>
      </w:r>
      <w:r w:rsidR="001F04F6">
        <w:rPr>
          <w:kern w:val="22"/>
          <w:lang w:val="fr-FR"/>
        </w:rPr>
        <w:t>assurer le fonctionnement du</w:t>
      </w:r>
      <w:r w:rsidR="00D879B6">
        <w:rPr>
          <w:kern w:val="22"/>
          <w:lang w:val="fr-FR"/>
        </w:rPr>
        <w:t xml:space="preserve"> </w:t>
      </w:r>
      <w:r w:rsidR="008570E7">
        <w:rPr>
          <w:kern w:val="22"/>
          <w:lang w:val="fr-FR"/>
        </w:rPr>
        <w:t>mécanisme de financement du</w:t>
      </w:r>
      <w:r w:rsidR="003D4ABD">
        <w:rPr>
          <w:kern w:val="22"/>
          <w:lang w:val="fr-FR"/>
        </w:rPr>
        <w:t>]</w:t>
      </w:r>
      <w:r w:rsidR="008570E7">
        <w:rPr>
          <w:kern w:val="22"/>
          <w:lang w:val="fr-FR"/>
        </w:rPr>
        <w:t xml:space="preserve"> Protocole</w:t>
      </w:r>
      <w:r w:rsidR="000543BC">
        <w:rPr>
          <w:kern w:val="22"/>
          <w:lang w:val="fr-FR"/>
        </w:rPr>
        <w:t>;</w:t>
      </w:r>
    </w:p>
    <w:p w14:paraId="361087A4" w14:textId="07AF4E4D" w:rsidR="00483206" w:rsidRPr="00B338BC" w:rsidRDefault="001F04F6" w:rsidP="00CE74B9">
      <w:pPr>
        <w:spacing w:before="120" w:after="120"/>
        <w:ind w:left="720" w:firstLine="720"/>
        <w:rPr>
          <w:rFonts w:asciiTheme="majorBidi" w:hAnsiTheme="majorBidi" w:cstheme="majorBidi"/>
          <w:szCs w:val="22"/>
          <w:lang w:val="fr-CA"/>
        </w:rPr>
      </w:pPr>
      <w:r>
        <w:rPr>
          <w:rFonts w:asciiTheme="majorBidi" w:hAnsiTheme="majorBidi" w:cstheme="majorBidi"/>
          <w:lang w:val="fr-CA"/>
        </w:rPr>
        <w:t>[6</w:t>
      </w:r>
      <w:r w:rsidR="008C32B5" w:rsidRPr="00B338BC">
        <w:rPr>
          <w:rFonts w:asciiTheme="majorBidi" w:hAnsiTheme="majorBidi" w:cstheme="majorBidi"/>
          <w:lang w:val="fr-CA"/>
        </w:rPr>
        <w:t>.</w:t>
      </w:r>
      <w:r w:rsidR="004A0ADE" w:rsidRPr="00B338BC">
        <w:rPr>
          <w:rFonts w:asciiTheme="majorBidi" w:hAnsiTheme="majorBidi" w:cstheme="majorBidi"/>
          <w:lang w:val="fr-CA"/>
        </w:rPr>
        <w:tab/>
      </w:r>
      <w:r w:rsidR="003D4ABD">
        <w:rPr>
          <w:rFonts w:asciiTheme="majorBidi" w:hAnsiTheme="majorBidi" w:cstheme="majorBidi"/>
          <w:i/>
          <w:lang w:val="fr-CA"/>
        </w:rPr>
        <w:t xml:space="preserve">Exhorte en outre </w:t>
      </w:r>
      <w:r w:rsidR="003D4ABD">
        <w:rPr>
          <w:rFonts w:asciiTheme="majorBidi" w:hAnsiTheme="majorBidi" w:cstheme="majorBidi"/>
          <w:lang w:val="fr-CA"/>
        </w:rPr>
        <w:t>les Parti</w:t>
      </w:r>
      <w:r w:rsidR="00D47E58">
        <w:rPr>
          <w:rFonts w:asciiTheme="majorBidi" w:hAnsiTheme="majorBidi" w:cstheme="majorBidi"/>
          <w:lang w:val="fr-CA"/>
        </w:rPr>
        <w:t>es à mobiliser des ressources provenant</w:t>
      </w:r>
      <w:r w:rsidR="003D4ABD">
        <w:rPr>
          <w:rFonts w:asciiTheme="majorBidi" w:hAnsiTheme="majorBidi" w:cstheme="majorBidi"/>
          <w:lang w:val="fr-CA"/>
        </w:rPr>
        <w:t xml:space="preserve"> </w:t>
      </w:r>
      <w:r w:rsidR="00D47E58">
        <w:rPr>
          <w:rFonts w:asciiTheme="majorBidi" w:hAnsiTheme="majorBidi" w:cstheme="majorBidi"/>
          <w:lang w:val="fr-CA"/>
        </w:rPr>
        <w:t xml:space="preserve">de toutes </w:t>
      </w:r>
      <w:r w:rsidR="003D4ABD">
        <w:rPr>
          <w:rFonts w:asciiTheme="majorBidi" w:hAnsiTheme="majorBidi" w:cstheme="majorBidi"/>
          <w:lang w:val="fr-CA"/>
        </w:rPr>
        <w:t>sources, notamment par le biais de la coopération internationale et du secteur privé, conformément à l’</w:t>
      </w:r>
      <w:r w:rsidR="004D359D">
        <w:rPr>
          <w:rFonts w:asciiTheme="majorBidi" w:hAnsiTheme="majorBidi" w:cstheme="majorBidi"/>
          <w:lang w:val="fr-CA"/>
        </w:rPr>
        <w:t>article </w:t>
      </w:r>
      <w:r w:rsidR="003D4ABD">
        <w:rPr>
          <w:rFonts w:asciiTheme="majorBidi" w:hAnsiTheme="majorBidi" w:cstheme="majorBidi"/>
          <w:lang w:val="fr-CA"/>
        </w:rPr>
        <w:t xml:space="preserve">20 </w:t>
      </w:r>
      <w:r w:rsidR="003E4FD3">
        <w:rPr>
          <w:rFonts w:asciiTheme="majorBidi" w:hAnsiTheme="majorBidi" w:cstheme="majorBidi"/>
          <w:lang w:val="fr-CA"/>
        </w:rPr>
        <w:t>de</w:t>
      </w:r>
      <w:r w:rsidR="003D4ABD">
        <w:rPr>
          <w:rFonts w:asciiTheme="majorBidi" w:hAnsiTheme="majorBidi" w:cstheme="majorBidi"/>
          <w:lang w:val="fr-CA"/>
        </w:rPr>
        <w:t xml:space="preserve"> la Convention et </w:t>
      </w:r>
      <w:r w:rsidR="00D47E58">
        <w:rPr>
          <w:rFonts w:asciiTheme="majorBidi" w:hAnsiTheme="majorBidi" w:cstheme="majorBidi"/>
          <w:lang w:val="fr-CA"/>
        </w:rPr>
        <w:t xml:space="preserve">à </w:t>
      </w:r>
      <w:r w:rsidR="003D4ABD">
        <w:rPr>
          <w:rFonts w:asciiTheme="majorBidi" w:hAnsiTheme="majorBidi" w:cstheme="majorBidi"/>
          <w:lang w:val="fr-CA"/>
        </w:rPr>
        <w:t>l’article 28 du Protocole</w:t>
      </w:r>
      <w:r w:rsidR="008C32B5" w:rsidRPr="00B338BC">
        <w:rPr>
          <w:rFonts w:asciiTheme="majorBidi" w:hAnsiTheme="majorBidi" w:cstheme="majorBidi"/>
          <w:szCs w:val="22"/>
          <w:lang w:val="fr-CA"/>
        </w:rPr>
        <w:t>;]</w:t>
      </w:r>
    </w:p>
    <w:p w14:paraId="6EB3CEC0" w14:textId="4CA4A4CD" w:rsidR="008C32B5" w:rsidRPr="0001374C" w:rsidRDefault="0001374C" w:rsidP="00CE74B9">
      <w:pPr>
        <w:spacing w:before="120" w:after="120"/>
        <w:ind w:left="720" w:firstLine="720"/>
        <w:rPr>
          <w:rFonts w:asciiTheme="majorBidi" w:hAnsiTheme="majorBidi" w:cstheme="majorBidi"/>
          <w:szCs w:val="22"/>
          <w:lang w:val="fr-CA"/>
        </w:rPr>
      </w:pPr>
      <w:r>
        <w:rPr>
          <w:rFonts w:asciiTheme="majorBidi" w:hAnsiTheme="majorBidi" w:cstheme="majorBidi"/>
          <w:szCs w:val="22"/>
          <w:lang w:val="fr-CA"/>
        </w:rPr>
        <w:t>7</w:t>
      </w:r>
      <w:r w:rsidR="008C32B5" w:rsidRPr="00B338BC">
        <w:rPr>
          <w:rFonts w:asciiTheme="majorBidi" w:hAnsiTheme="majorBidi" w:cstheme="majorBidi"/>
          <w:szCs w:val="22"/>
          <w:lang w:val="fr-CA"/>
        </w:rPr>
        <w:t>.</w:t>
      </w:r>
      <w:r w:rsidR="004A0ADE" w:rsidRPr="00B338BC">
        <w:rPr>
          <w:rFonts w:asciiTheme="majorBidi" w:hAnsiTheme="majorBidi" w:cstheme="majorBidi"/>
          <w:szCs w:val="22"/>
          <w:lang w:val="fr-CA"/>
        </w:rPr>
        <w:tab/>
      </w:r>
      <w:r w:rsidR="004D359D">
        <w:rPr>
          <w:i/>
          <w:iCs/>
          <w:kern w:val="22"/>
          <w:lang w:val="fr-FR"/>
        </w:rPr>
        <w:t xml:space="preserve">Décide </w:t>
      </w:r>
      <w:r w:rsidR="004D359D">
        <w:rPr>
          <w:kern w:val="22"/>
          <w:lang w:val="fr-FR"/>
        </w:rPr>
        <w:t>que les données de référence pour le plan de mise en œuvre comprendront des informations recueillie</w:t>
      </w:r>
      <w:r>
        <w:rPr>
          <w:kern w:val="22"/>
          <w:lang w:val="fr-FR"/>
        </w:rPr>
        <w:t>s au cours du quatrième cycle d’établissement des</w:t>
      </w:r>
      <w:r w:rsidR="004D359D">
        <w:rPr>
          <w:kern w:val="22"/>
          <w:lang w:val="fr-FR"/>
        </w:rPr>
        <w:t xml:space="preserve"> rapport</w:t>
      </w:r>
      <w:r>
        <w:rPr>
          <w:kern w:val="22"/>
          <w:lang w:val="fr-FR"/>
        </w:rPr>
        <w:t>s</w:t>
      </w:r>
      <w:r w:rsidR="008C32B5" w:rsidRPr="00B338BC">
        <w:rPr>
          <w:rStyle w:val="FootnoteReference"/>
          <w:rFonts w:asciiTheme="majorBidi" w:hAnsiTheme="majorBidi" w:cstheme="majorBidi"/>
          <w:szCs w:val="22"/>
          <w:lang w:val="fr-CA"/>
        </w:rPr>
        <w:footnoteReference w:id="3"/>
      </w:r>
      <w:r>
        <w:rPr>
          <w:kern w:val="22"/>
          <w:lang w:val="fr-CA"/>
        </w:rPr>
        <w:t>;</w:t>
      </w:r>
    </w:p>
    <w:p w14:paraId="030F9F07" w14:textId="74E75DB0" w:rsidR="008C32B5" w:rsidRPr="00B338BC" w:rsidRDefault="0001374C" w:rsidP="00CE74B9">
      <w:pPr>
        <w:spacing w:before="120" w:after="120"/>
        <w:ind w:left="720" w:firstLine="720"/>
        <w:rPr>
          <w:rFonts w:asciiTheme="majorBidi" w:hAnsiTheme="majorBidi" w:cstheme="majorBidi"/>
          <w:szCs w:val="22"/>
          <w:lang w:val="fr-CA"/>
        </w:rPr>
      </w:pPr>
      <w:r>
        <w:rPr>
          <w:rFonts w:asciiTheme="majorBidi" w:hAnsiTheme="majorBidi" w:cstheme="majorBidi"/>
          <w:szCs w:val="22"/>
          <w:lang w:val="fr-CA"/>
        </w:rPr>
        <w:t>8</w:t>
      </w:r>
      <w:r w:rsidR="008C32B5" w:rsidRPr="00B338BC">
        <w:rPr>
          <w:rFonts w:asciiTheme="majorBidi" w:hAnsiTheme="majorBidi" w:cstheme="majorBidi"/>
          <w:szCs w:val="22"/>
          <w:lang w:val="fr-CA"/>
        </w:rPr>
        <w:t>.</w:t>
      </w:r>
      <w:r w:rsidR="00102632" w:rsidRPr="00B338BC">
        <w:rPr>
          <w:rFonts w:asciiTheme="majorBidi" w:hAnsiTheme="majorBidi" w:cstheme="majorBidi"/>
          <w:i/>
          <w:szCs w:val="22"/>
          <w:lang w:val="fr-CA"/>
        </w:rPr>
        <w:tab/>
      </w:r>
      <w:r w:rsidR="00B25D7F">
        <w:rPr>
          <w:rFonts w:asciiTheme="majorBidi" w:hAnsiTheme="majorBidi" w:cstheme="majorBidi"/>
          <w:i/>
          <w:szCs w:val="22"/>
          <w:lang w:val="fr-CA"/>
        </w:rPr>
        <w:t>Décide</w:t>
      </w:r>
      <w:r>
        <w:rPr>
          <w:rFonts w:asciiTheme="majorBidi" w:hAnsiTheme="majorBidi" w:cstheme="majorBidi"/>
          <w:i/>
          <w:szCs w:val="22"/>
          <w:lang w:val="fr-CA"/>
        </w:rPr>
        <w:t xml:space="preserve"> également</w:t>
      </w:r>
      <w:r w:rsidR="00B25D7F">
        <w:rPr>
          <w:rFonts w:asciiTheme="majorBidi" w:hAnsiTheme="majorBidi" w:cstheme="majorBidi"/>
          <w:i/>
          <w:szCs w:val="22"/>
          <w:lang w:val="fr-CA"/>
        </w:rPr>
        <w:t xml:space="preserve"> </w:t>
      </w:r>
      <w:r>
        <w:rPr>
          <w:rFonts w:asciiTheme="majorBidi" w:hAnsiTheme="majorBidi" w:cstheme="majorBidi"/>
          <w:szCs w:val="22"/>
          <w:lang w:val="fr-CA"/>
        </w:rPr>
        <w:t>d’entreprendre une évaluation à</w:t>
      </w:r>
      <w:r w:rsidR="00B25D7F">
        <w:rPr>
          <w:rFonts w:asciiTheme="majorBidi" w:hAnsiTheme="majorBidi" w:cstheme="majorBidi"/>
          <w:szCs w:val="22"/>
          <w:lang w:val="fr-CA"/>
        </w:rPr>
        <w:t xml:space="preserve"> mi-</w:t>
      </w:r>
      <w:r w:rsidR="00E57B3E">
        <w:rPr>
          <w:rFonts w:asciiTheme="majorBidi" w:hAnsiTheme="majorBidi" w:cstheme="majorBidi"/>
          <w:szCs w:val="22"/>
          <w:lang w:val="fr-CA"/>
        </w:rPr>
        <w:t>parcours</w:t>
      </w:r>
      <w:r w:rsidR="00B25D7F">
        <w:rPr>
          <w:rFonts w:asciiTheme="majorBidi" w:hAnsiTheme="majorBidi" w:cstheme="majorBidi"/>
          <w:szCs w:val="22"/>
          <w:lang w:val="fr-CA"/>
        </w:rPr>
        <w:t xml:space="preserve"> du plan de mise en œuv</w:t>
      </w:r>
      <w:r>
        <w:rPr>
          <w:rFonts w:asciiTheme="majorBidi" w:hAnsiTheme="majorBidi" w:cstheme="majorBidi"/>
          <w:szCs w:val="22"/>
          <w:lang w:val="fr-CA"/>
        </w:rPr>
        <w:t xml:space="preserve">re </w:t>
      </w:r>
      <w:r w:rsidR="00B25D7F">
        <w:rPr>
          <w:rFonts w:asciiTheme="majorBidi" w:hAnsiTheme="majorBidi" w:cstheme="majorBidi"/>
          <w:szCs w:val="22"/>
          <w:lang w:val="fr-CA"/>
        </w:rPr>
        <w:t>de concert avec le cinquième exercice d’évaluation et examen du Protocole</w:t>
      </w:r>
      <w:r w:rsidR="008C32B5" w:rsidRPr="00B338BC">
        <w:rPr>
          <w:rFonts w:asciiTheme="majorBidi" w:hAnsiTheme="majorBidi" w:cstheme="majorBidi"/>
          <w:szCs w:val="22"/>
          <w:lang w:val="fr-CA"/>
        </w:rPr>
        <w:t>;</w:t>
      </w:r>
    </w:p>
    <w:p w14:paraId="09548C04" w14:textId="2AEAE45E" w:rsidR="008C32B5" w:rsidRPr="00B338BC" w:rsidRDefault="0001374C" w:rsidP="00CE74B9">
      <w:pPr>
        <w:spacing w:before="120" w:after="120"/>
        <w:ind w:left="720" w:firstLine="720"/>
        <w:rPr>
          <w:rFonts w:asciiTheme="majorBidi" w:hAnsiTheme="majorBidi" w:cstheme="majorBidi"/>
          <w:lang w:val="fr-CA"/>
        </w:rPr>
      </w:pPr>
      <w:r>
        <w:rPr>
          <w:rFonts w:asciiTheme="majorBidi" w:hAnsiTheme="majorBidi" w:cstheme="majorBidi"/>
          <w:lang w:val="fr-CA"/>
        </w:rPr>
        <w:t>9</w:t>
      </w:r>
      <w:r w:rsidR="008C32B5" w:rsidRPr="00B338BC">
        <w:rPr>
          <w:rFonts w:asciiTheme="majorBidi" w:hAnsiTheme="majorBidi" w:cstheme="majorBidi"/>
          <w:lang w:val="fr-CA"/>
        </w:rPr>
        <w:t>.</w:t>
      </w:r>
      <w:r w:rsidR="008C32B5" w:rsidRPr="00B338BC">
        <w:rPr>
          <w:rFonts w:asciiTheme="majorBidi" w:hAnsiTheme="majorBidi" w:cstheme="majorBidi"/>
          <w:lang w:val="fr-CA"/>
        </w:rPr>
        <w:tab/>
      </w:r>
      <w:r w:rsidR="00B25D7F">
        <w:rPr>
          <w:i/>
          <w:iCs/>
          <w:kern w:val="22"/>
          <w:lang w:val="fr-FR"/>
        </w:rPr>
        <w:t xml:space="preserve">Prie </w:t>
      </w:r>
      <w:r w:rsidR="00B25D7F">
        <w:rPr>
          <w:kern w:val="22"/>
          <w:lang w:val="fr-FR"/>
        </w:rPr>
        <w:t>la Secrétaire exécutive : a) d’incl</w:t>
      </w:r>
      <w:r w:rsidR="00D47E58">
        <w:rPr>
          <w:kern w:val="22"/>
          <w:lang w:val="fr-FR"/>
        </w:rPr>
        <w:t>ure dans le modèle de rapport pour les</w:t>
      </w:r>
      <w:r w:rsidR="00B25D7F">
        <w:rPr>
          <w:kern w:val="22"/>
          <w:lang w:val="fr-FR"/>
        </w:rPr>
        <w:t xml:space="preserve"> cinquième</w:t>
      </w:r>
      <w:r w:rsidR="00D47E58">
        <w:rPr>
          <w:kern w:val="22"/>
          <w:lang w:val="fr-FR"/>
        </w:rPr>
        <w:t>s</w:t>
      </w:r>
      <w:r w:rsidR="00B25D7F">
        <w:rPr>
          <w:kern w:val="22"/>
          <w:lang w:val="fr-FR"/>
        </w:rPr>
        <w:t xml:space="preserve"> rapport</w:t>
      </w:r>
      <w:r w:rsidR="00D47E58">
        <w:rPr>
          <w:kern w:val="22"/>
          <w:lang w:val="fr-FR"/>
        </w:rPr>
        <w:t>s nationaux</w:t>
      </w:r>
      <w:r w:rsidR="00B25D7F">
        <w:rPr>
          <w:kern w:val="22"/>
          <w:lang w:val="fr-FR"/>
        </w:rPr>
        <w:t xml:space="preserve"> sur la mise en œuvre du Protocole de Cartagena sur la prévention des risques biotechnologiques des questions permettant d’obtenir des informations sur les indicateurs du plan de mise en</w:t>
      </w:r>
      <w:r>
        <w:rPr>
          <w:kern w:val="22"/>
          <w:lang w:val="fr-FR"/>
        </w:rPr>
        <w:t xml:space="preserve"> œuvre;</w:t>
      </w:r>
      <w:r w:rsidR="00B25D7F">
        <w:rPr>
          <w:kern w:val="22"/>
          <w:lang w:val="fr-FR"/>
        </w:rPr>
        <w:t xml:space="preserve"> b) d’analyser </w:t>
      </w:r>
      <w:r w:rsidR="00FC2A9E">
        <w:rPr>
          <w:kern w:val="22"/>
          <w:lang w:val="fr-FR"/>
        </w:rPr>
        <w:t>et de résumer ces informa</w:t>
      </w:r>
      <w:r w:rsidR="00D47E58">
        <w:rPr>
          <w:kern w:val="22"/>
          <w:lang w:val="fr-FR"/>
        </w:rPr>
        <w:t xml:space="preserve">tions en vue de </w:t>
      </w:r>
      <w:r>
        <w:rPr>
          <w:kern w:val="22"/>
          <w:lang w:val="fr-FR"/>
        </w:rPr>
        <w:t>faciliter l’évaluation à</w:t>
      </w:r>
      <w:r w:rsidR="00FC2A9E">
        <w:rPr>
          <w:kern w:val="22"/>
          <w:lang w:val="fr-FR"/>
        </w:rPr>
        <w:t xml:space="preserve"> mi-</w:t>
      </w:r>
      <w:r w:rsidR="00E57B3E">
        <w:rPr>
          <w:kern w:val="22"/>
          <w:lang w:val="fr-FR"/>
        </w:rPr>
        <w:t>parcours</w:t>
      </w:r>
      <w:r w:rsidR="00FC2A9E">
        <w:rPr>
          <w:kern w:val="22"/>
          <w:lang w:val="fr-FR"/>
        </w:rPr>
        <w:t xml:space="preserve"> de concert avec le cinquième exercice d’évaluation et examen du Protocole de Cartagena, et de mettre ces informations à la disposition du Groupe de liaison et, selon qu’il convient, du </w:t>
      </w:r>
      <w:r>
        <w:rPr>
          <w:kern w:val="22"/>
          <w:lang w:val="fr-FR"/>
        </w:rPr>
        <w:t>Comité chargé du respect des obligations</w:t>
      </w:r>
      <w:r w:rsidR="000543BC">
        <w:rPr>
          <w:kern w:val="22"/>
          <w:lang w:val="fr-FR"/>
        </w:rPr>
        <w:t>;</w:t>
      </w:r>
    </w:p>
    <w:p w14:paraId="18A6D6AD" w14:textId="602B66BE" w:rsidR="008C32B5" w:rsidRPr="00B338BC" w:rsidRDefault="0001374C" w:rsidP="00CE74B9">
      <w:pPr>
        <w:spacing w:before="120" w:after="120"/>
        <w:ind w:left="720" w:firstLine="720"/>
        <w:rPr>
          <w:rFonts w:asciiTheme="majorBidi" w:hAnsiTheme="majorBidi" w:cstheme="majorBidi"/>
          <w:lang w:val="fr-CA"/>
        </w:rPr>
      </w:pPr>
      <w:r>
        <w:rPr>
          <w:rFonts w:asciiTheme="majorBidi" w:hAnsiTheme="majorBidi" w:cstheme="majorBidi"/>
          <w:lang w:val="fr-CA"/>
        </w:rPr>
        <w:t>10</w:t>
      </w:r>
      <w:r w:rsidR="00F4029D" w:rsidRPr="00B338BC">
        <w:rPr>
          <w:rFonts w:asciiTheme="majorBidi" w:hAnsiTheme="majorBidi" w:cstheme="majorBidi"/>
          <w:lang w:val="fr-CA"/>
        </w:rPr>
        <w:t>.</w:t>
      </w:r>
      <w:r w:rsidR="00483206" w:rsidRPr="00B338BC">
        <w:rPr>
          <w:rFonts w:asciiTheme="majorBidi" w:hAnsiTheme="majorBidi" w:cstheme="majorBidi"/>
          <w:lang w:val="fr-CA"/>
        </w:rPr>
        <w:tab/>
      </w:r>
      <w:r w:rsidR="00FC2A9E">
        <w:rPr>
          <w:rFonts w:asciiTheme="majorBidi" w:hAnsiTheme="majorBidi" w:cstheme="majorBidi"/>
          <w:i/>
          <w:lang w:val="fr-CA"/>
        </w:rPr>
        <w:t xml:space="preserve">Prie </w:t>
      </w:r>
      <w:r w:rsidR="00FC2A9E">
        <w:rPr>
          <w:rFonts w:asciiTheme="majorBidi" w:hAnsiTheme="majorBidi" w:cstheme="majorBidi"/>
          <w:lang w:val="fr-CA"/>
        </w:rPr>
        <w:t xml:space="preserve">le Groupe de liaison sur le Protocole de Cartagena sur la prévention des risques biotechnologiques et le </w:t>
      </w:r>
      <w:r>
        <w:rPr>
          <w:rFonts w:asciiTheme="majorBidi" w:hAnsiTheme="majorBidi" w:cstheme="majorBidi"/>
          <w:lang w:val="fr-CA"/>
        </w:rPr>
        <w:t>Comité chargé du respect des obligations</w:t>
      </w:r>
      <w:r w:rsidR="00FC2A9E">
        <w:rPr>
          <w:rFonts w:asciiTheme="majorBidi" w:hAnsiTheme="majorBidi" w:cstheme="majorBidi"/>
          <w:lang w:val="fr-CA"/>
        </w:rPr>
        <w:t xml:space="preserve">, selon qu’il convient, </w:t>
      </w:r>
      <w:r>
        <w:rPr>
          <w:rFonts w:asciiTheme="majorBidi" w:hAnsiTheme="majorBidi" w:cstheme="majorBidi"/>
          <w:lang w:val="fr-CA"/>
        </w:rPr>
        <w:t>de travaille</w:t>
      </w:r>
      <w:r w:rsidR="00D47E58">
        <w:rPr>
          <w:rFonts w:asciiTheme="majorBidi" w:hAnsiTheme="majorBidi" w:cstheme="majorBidi"/>
          <w:lang w:val="fr-CA"/>
        </w:rPr>
        <w:t>r de façon</w:t>
      </w:r>
      <w:r w:rsidR="009F1816">
        <w:rPr>
          <w:rFonts w:asciiTheme="majorBidi" w:hAnsiTheme="majorBidi" w:cstheme="majorBidi"/>
          <w:lang w:val="fr-CA"/>
        </w:rPr>
        <w:t xml:space="preserve"> compl</w:t>
      </w:r>
      <w:r>
        <w:rPr>
          <w:rFonts w:asciiTheme="majorBidi" w:hAnsiTheme="majorBidi" w:cstheme="majorBidi"/>
          <w:lang w:val="fr-CA"/>
        </w:rPr>
        <w:t xml:space="preserve">émentaire et en évitant les doubles emplois, </w:t>
      </w:r>
      <w:r w:rsidR="009F1816">
        <w:rPr>
          <w:rFonts w:asciiTheme="majorBidi" w:hAnsiTheme="majorBidi" w:cstheme="majorBidi"/>
          <w:lang w:val="fr-CA"/>
        </w:rPr>
        <w:t>afin de contribuer à l’évaluation à mi-</w:t>
      </w:r>
      <w:r w:rsidR="00E57B3E">
        <w:rPr>
          <w:rFonts w:asciiTheme="majorBidi" w:hAnsiTheme="majorBidi" w:cstheme="majorBidi"/>
          <w:lang w:val="fr-CA"/>
        </w:rPr>
        <w:t xml:space="preserve">parcours </w:t>
      </w:r>
      <w:r>
        <w:rPr>
          <w:rFonts w:asciiTheme="majorBidi" w:hAnsiTheme="majorBidi" w:cstheme="majorBidi"/>
          <w:lang w:val="fr-CA"/>
        </w:rPr>
        <w:t>du p</w:t>
      </w:r>
      <w:r w:rsidR="009F1816">
        <w:rPr>
          <w:rFonts w:asciiTheme="majorBidi" w:hAnsiTheme="majorBidi" w:cstheme="majorBidi"/>
          <w:lang w:val="fr-CA"/>
        </w:rPr>
        <w:t>lan de mise e</w:t>
      </w:r>
      <w:r>
        <w:rPr>
          <w:rFonts w:asciiTheme="majorBidi" w:hAnsiTheme="majorBidi" w:cstheme="majorBidi"/>
          <w:lang w:val="fr-CA"/>
        </w:rPr>
        <w:t>n œuvre,</w:t>
      </w:r>
      <w:r w:rsidR="00D47E58">
        <w:rPr>
          <w:rFonts w:asciiTheme="majorBidi" w:hAnsiTheme="majorBidi" w:cstheme="majorBidi"/>
          <w:lang w:val="fr-CA"/>
        </w:rPr>
        <w:t xml:space="preserve"> et de re</w:t>
      </w:r>
      <w:r w:rsidR="009F1816">
        <w:rPr>
          <w:rFonts w:asciiTheme="majorBidi" w:hAnsiTheme="majorBidi" w:cstheme="majorBidi"/>
          <w:lang w:val="fr-CA"/>
        </w:rPr>
        <w:t xml:space="preserve">mettre </w:t>
      </w:r>
      <w:r w:rsidR="00C022E2">
        <w:rPr>
          <w:rFonts w:asciiTheme="majorBidi" w:hAnsiTheme="majorBidi" w:cstheme="majorBidi"/>
          <w:lang w:val="fr-CA"/>
        </w:rPr>
        <w:t>l</w:t>
      </w:r>
      <w:r w:rsidR="00D47E58">
        <w:rPr>
          <w:rFonts w:asciiTheme="majorBidi" w:hAnsiTheme="majorBidi" w:cstheme="majorBidi"/>
          <w:lang w:val="fr-CA"/>
        </w:rPr>
        <w:t>eurs conclusions pour examen par</w:t>
      </w:r>
      <w:r w:rsidR="00C022E2">
        <w:rPr>
          <w:rFonts w:asciiTheme="majorBidi" w:hAnsiTheme="majorBidi" w:cstheme="majorBidi"/>
          <w:lang w:val="fr-CA"/>
        </w:rPr>
        <w:t xml:space="preserve"> l’</w:t>
      </w:r>
      <w:r w:rsidR="009F1816">
        <w:rPr>
          <w:rFonts w:asciiTheme="majorBidi" w:hAnsiTheme="majorBidi" w:cstheme="majorBidi"/>
          <w:lang w:val="fr-CA"/>
        </w:rPr>
        <w:t>Organe subsidiaire chargé de l’application</w:t>
      </w:r>
      <w:r w:rsidR="008C32B5" w:rsidRPr="00B338BC">
        <w:rPr>
          <w:rFonts w:asciiTheme="majorBidi" w:hAnsiTheme="majorBidi" w:cstheme="majorBidi"/>
          <w:lang w:val="fr-CA"/>
        </w:rPr>
        <w:t>;</w:t>
      </w:r>
    </w:p>
    <w:p w14:paraId="167B3A07" w14:textId="6E3EE7AC" w:rsidR="003D599E" w:rsidRDefault="0001374C" w:rsidP="006C33DC">
      <w:pPr>
        <w:spacing w:before="120" w:after="240"/>
        <w:ind w:left="720" w:firstLine="720"/>
        <w:rPr>
          <w:rFonts w:asciiTheme="majorBidi" w:hAnsiTheme="majorBidi" w:cstheme="majorBidi"/>
          <w:lang w:val="fr-CA"/>
        </w:rPr>
      </w:pPr>
      <w:r>
        <w:rPr>
          <w:rFonts w:asciiTheme="majorBidi" w:hAnsiTheme="majorBidi" w:cstheme="majorBidi"/>
          <w:lang w:val="fr-CA"/>
        </w:rPr>
        <w:t>11</w:t>
      </w:r>
      <w:r w:rsidR="008C32B5" w:rsidRPr="00B338BC">
        <w:rPr>
          <w:rFonts w:asciiTheme="majorBidi" w:hAnsiTheme="majorBidi" w:cstheme="majorBidi"/>
          <w:lang w:val="fr-CA"/>
        </w:rPr>
        <w:t>.</w:t>
      </w:r>
      <w:r w:rsidR="00157196" w:rsidRPr="00B338BC">
        <w:rPr>
          <w:rFonts w:asciiTheme="majorBidi" w:hAnsiTheme="majorBidi" w:cstheme="majorBidi"/>
          <w:lang w:val="fr-CA"/>
        </w:rPr>
        <w:tab/>
      </w:r>
      <w:r w:rsidR="009F1816">
        <w:rPr>
          <w:rFonts w:asciiTheme="majorBidi" w:hAnsiTheme="majorBidi" w:cstheme="majorBidi"/>
          <w:i/>
          <w:lang w:val="fr-CA"/>
        </w:rPr>
        <w:t xml:space="preserve">Prie </w:t>
      </w:r>
      <w:r w:rsidR="009F1816">
        <w:rPr>
          <w:rFonts w:asciiTheme="majorBidi" w:hAnsiTheme="majorBidi" w:cstheme="majorBidi"/>
          <w:lang w:val="fr-CA"/>
        </w:rPr>
        <w:t>l’Organe subsidiaire chargé de l’application, à sa [5]</w:t>
      </w:r>
      <w:r w:rsidR="009F1816" w:rsidRPr="009F1816">
        <w:rPr>
          <w:rFonts w:asciiTheme="majorBidi" w:hAnsiTheme="majorBidi" w:cstheme="majorBidi"/>
          <w:vertAlign w:val="superscript"/>
          <w:lang w:val="fr-CA"/>
        </w:rPr>
        <w:t>e</w:t>
      </w:r>
      <w:r w:rsidR="009F1816">
        <w:rPr>
          <w:rFonts w:asciiTheme="majorBidi" w:hAnsiTheme="majorBidi" w:cstheme="majorBidi"/>
          <w:lang w:val="fr-CA"/>
        </w:rPr>
        <w:t xml:space="preserve"> réunion, d’examiner </w:t>
      </w:r>
      <w:r w:rsidR="008723AC">
        <w:rPr>
          <w:rFonts w:asciiTheme="majorBidi" w:hAnsiTheme="majorBidi" w:cstheme="majorBidi"/>
          <w:lang w:val="fr-CA"/>
        </w:rPr>
        <w:t xml:space="preserve">les informations et les conclusions </w:t>
      </w:r>
      <w:r w:rsidR="00C022E2">
        <w:rPr>
          <w:rFonts w:asciiTheme="majorBidi" w:hAnsiTheme="majorBidi" w:cstheme="majorBidi"/>
          <w:lang w:val="fr-CA"/>
        </w:rPr>
        <w:t xml:space="preserve">reçues </w:t>
      </w:r>
      <w:r w:rsidR="008723AC">
        <w:rPr>
          <w:rFonts w:asciiTheme="majorBidi" w:hAnsiTheme="majorBidi" w:cstheme="majorBidi"/>
          <w:lang w:val="fr-CA"/>
        </w:rPr>
        <w:t xml:space="preserve">du Groupe de liaison et du </w:t>
      </w:r>
      <w:r>
        <w:rPr>
          <w:rFonts w:asciiTheme="majorBidi" w:hAnsiTheme="majorBidi" w:cstheme="majorBidi"/>
          <w:lang w:val="fr-CA"/>
        </w:rPr>
        <w:t>Comité chargé du respect des obligations</w:t>
      </w:r>
      <w:r w:rsidR="008723AC">
        <w:rPr>
          <w:rFonts w:asciiTheme="majorBidi" w:hAnsiTheme="majorBidi" w:cstheme="majorBidi"/>
          <w:lang w:val="fr-CA"/>
        </w:rPr>
        <w:t xml:space="preserve"> et de communiquer ses conclusions et ses recommandations à la Conférence des Parties </w:t>
      </w:r>
      <w:r w:rsidR="008723AC">
        <w:rPr>
          <w:rFonts w:asciiTheme="majorBidi" w:hAnsiTheme="majorBidi" w:cstheme="majorBidi"/>
          <w:lang w:val="fr-CA"/>
        </w:rPr>
        <w:lastRenderedPageBreak/>
        <w:t>siégeant en tant que réunion des Parties a</w:t>
      </w:r>
      <w:r>
        <w:rPr>
          <w:rFonts w:asciiTheme="majorBidi" w:hAnsiTheme="majorBidi" w:cstheme="majorBidi"/>
          <w:lang w:val="fr-CA"/>
        </w:rPr>
        <w:t>u Protocole de Cartagena à sa [--</w:t>
      </w:r>
      <w:r w:rsidR="008723AC">
        <w:rPr>
          <w:rFonts w:asciiTheme="majorBidi" w:hAnsiTheme="majorBidi" w:cstheme="majorBidi"/>
          <w:lang w:val="fr-CA"/>
        </w:rPr>
        <w:t>]</w:t>
      </w:r>
      <w:r w:rsidR="008723AC" w:rsidRPr="008723AC">
        <w:rPr>
          <w:rFonts w:asciiTheme="majorBidi" w:hAnsiTheme="majorBidi" w:cstheme="majorBidi"/>
          <w:vertAlign w:val="superscript"/>
          <w:lang w:val="fr-CA"/>
        </w:rPr>
        <w:t>e</w:t>
      </w:r>
      <w:r w:rsidR="008723AC">
        <w:rPr>
          <w:rFonts w:asciiTheme="majorBidi" w:hAnsiTheme="majorBidi" w:cstheme="majorBidi"/>
          <w:lang w:val="fr-CA"/>
        </w:rPr>
        <w:t xml:space="preserve"> réunio</w:t>
      </w:r>
      <w:r>
        <w:rPr>
          <w:rFonts w:asciiTheme="majorBidi" w:hAnsiTheme="majorBidi" w:cstheme="majorBidi"/>
          <w:lang w:val="fr-CA"/>
        </w:rPr>
        <w:t>n, afin de faciliter l’examen à</w:t>
      </w:r>
      <w:r w:rsidR="008723AC">
        <w:rPr>
          <w:rFonts w:asciiTheme="majorBidi" w:hAnsiTheme="majorBidi" w:cstheme="majorBidi"/>
          <w:lang w:val="fr-CA"/>
        </w:rPr>
        <w:t xml:space="preserve"> mi-</w:t>
      </w:r>
      <w:r w:rsidR="00E57B3E">
        <w:rPr>
          <w:rFonts w:asciiTheme="majorBidi" w:hAnsiTheme="majorBidi" w:cstheme="majorBidi"/>
          <w:lang w:val="fr-CA"/>
        </w:rPr>
        <w:t>parcours</w:t>
      </w:r>
      <w:r>
        <w:rPr>
          <w:rFonts w:asciiTheme="majorBidi" w:hAnsiTheme="majorBidi" w:cstheme="majorBidi"/>
          <w:lang w:val="fr-CA"/>
        </w:rPr>
        <w:t xml:space="preserve"> du plan de mise en œuvre</w:t>
      </w:r>
      <w:r w:rsidR="008C32B5" w:rsidRPr="00B338BC">
        <w:rPr>
          <w:rFonts w:asciiTheme="majorBidi" w:hAnsiTheme="majorBidi" w:cstheme="majorBidi"/>
          <w:lang w:val="fr-CA"/>
        </w:rPr>
        <w:t>.</w:t>
      </w:r>
    </w:p>
    <w:p w14:paraId="48A5038D" w14:textId="3E1DF4C3" w:rsidR="003D599E" w:rsidRPr="008D3E98" w:rsidRDefault="008D3E98" w:rsidP="008D3E98">
      <w:pPr>
        <w:pStyle w:val="ListParagraph"/>
        <w:numPr>
          <w:ilvl w:val="0"/>
          <w:numId w:val="28"/>
        </w:numPr>
        <w:spacing w:before="120" w:after="120"/>
        <w:jc w:val="left"/>
        <w:rPr>
          <w:rFonts w:asciiTheme="majorBidi" w:hAnsiTheme="majorBidi" w:cstheme="majorBidi"/>
          <w:b/>
          <w:bCs/>
          <w:lang w:val="fr-CA"/>
        </w:rPr>
      </w:pPr>
      <w:r w:rsidRPr="008D3E98">
        <w:rPr>
          <w:rFonts w:asciiTheme="majorBidi" w:hAnsiTheme="majorBidi" w:cstheme="majorBidi"/>
          <w:b/>
          <w:bCs/>
          <w:lang w:val="fr-CA"/>
        </w:rPr>
        <w:t>P</w:t>
      </w:r>
      <w:r w:rsidR="003D599E" w:rsidRPr="008D3E98">
        <w:rPr>
          <w:rFonts w:asciiTheme="majorBidi" w:hAnsiTheme="majorBidi" w:cstheme="majorBidi"/>
          <w:b/>
          <w:bCs/>
          <w:lang w:val="fr-CA"/>
        </w:rPr>
        <w:t>lan</w:t>
      </w:r>
      <w:r w:rsidRPr="008D3E98">
        <w:rPr>
          <w:rFonts w:asciiTheme="majorBidi" w:hAnsiTheme="majorBidi" w:cstheme="majorBidi"/>
          <w:b/>
          <w:bCs/>
          <w:lang w:val="fr-CA"/>
        </w:rPr>
        <w:t xml:space="preserve"> d’action pour le renforcement des capacités du</w:t>
      </w:r>
      <w:r>
        <w:rPr>
          <w:rFonts w:asciiTheme="majorBidi" w:hAnsiTheme="majorBidi" w:cstheme="majorBidi"/>
          <w:b/>
          <w:bCs/>
          <w:lang w:val="fr-CA"/>
        </w:rPr>
        <w:t xml:space="preserve"> Protocole de Cartagena sur la prévention des risques biotechnologiques et du Protocole additionnel de</w:t>
      </w:r>
      <w:r w:rsidR="003D599E" w:rsidRPr="008D3E98">
        <w:rPr>
          <w:rFonts w:asciiTheme="majorBidi" w:hAnsiTheme="majorBidi" w:cstheme="majorBidi"/>
          <w:b/>
          <w:bCs/>
          <w:lang w:val="fr-CA"/>
        </w:rPr>
        <w:t xml:space="preserve"> Nag</w:t>
      </w:r>
      <w:r>
        <w:rPr>
          <w:rFonts w:asciiTheme="majorBidi" w:hAnsiTheme="majorBidi" w:cstheme="majorBidi"/>
          <w:b/>
          <w:bCs/>
          <w:lang w:val="fr-CA"/>
        </w:rPr>
        <w:t>oya Kuala-Lumpur sur la responsabilité et la réparation</w:t>
      </w:r>
    </w:p>
    <w:p w14:paraId="7D8620D2" w14:textId="77777777" w:rsidR="003D599E" w:rsidRPr="008D3E98" w:rsidRDefault="003D599E" w:rsidP="003D599E">
      <w:pPr>
        <w:pStyle w:val="ListParagraph"/>
        <w:spacing w:before="120" w:after="120"/>
        <w:rPr>
          <w:rFonts w:asciiTheme="majorBidi" w:hAnsiTheme="majorBidi" w:cstheme="majorBidi"/>
          <w:b/>
          <w:bCs/>
          <w:lang w:val="fr-CA"/>
        </w:rPr>
      </w:pPr>
    </w:p>
    <w:p w14:paraId="734B4C03" w14:textId="116C52DB" w:rsidR="008D3E98" w:rsidRPr="00B338BC" w:rsidRDefault="008D3E98" w:rsidP="006C33DC">
      <w:pPr>
        <w:pStyle w:val="ListParagraph"/>
        <w:numPr>
          <w:ilvl w:val="0"/>
          <w:numId w:val="21"/>
        </w:numPr>
        <w:spacing w:before="120" w:after="120"/>
        <w:ind w:left="0" w:firstLine="851"/>
        <w:contextualSpacing w:val="0"/>
        <w:rPr>
          <w:rFonts w:asciiTheme="majorBidi" w:hAnsiTheme="majorBidi" w:cstheme="majorBidi"/>
          <w:lang w:val="fr-CA"/>
        </w:rPr>
      </w:pPr>
      <w:r>
        <w:rPr>
          <w:rFonts w:asciiTheme="majorBidi" w:hAnsiTheme="majorBidi" w:cstheme="majorBidi"/>
          <w:i/>
          <w:iCs/>
          <w:szCs w:val="22"/>
          <w:lang w:val="fr-CA"/>
        </w:rPr>
        <w:t xml:space="preserve">Recommande </w:t>
      </w:r>
      <w:r>
        <w:rPr>
          <w:rFonts w:asciiTheme="majorBidi" w:hAnsiTheme="majorBidi" w:cstheme="majorBidi"/>
          <w:iCs/>
          <w:szCs w:val="22"/>
          <w:lang w:val="fr-CA"/>
        </w:rPr>
        <w:t xml:space="preserve">que </w:t>
      </w:r>
      <w:r>
        <w:rPr>
          <w:kern w:val="22"/>
          <w:szCs w:val="22"/>
          <w:lang w:val="fr-FR"/>
        </w:rPr>
        <w:t>la Conférence des Parties siégeant en tant que réunion des Parties au Protocole</w:t>
      </w:r>
      <w:r w:rsidR="00D47E58">
        <w:rPr>
          <w:kern w:val="22"/>
          <w:szCs w:val="22"/>
          <w:lang w:val="fr-FR"/>
        </w:rPr>
        <w:t xml:space="preserve"> adopte, à sa dixième réunion, </w:t>
      </w:r>
      <w:r>
        <w:rPr>
          <w:kern w:val="22"/>
          <w:szCs w:val="22"/>
          <w:lang w:val="fr-FR"/>
        </w:rPr>
        <w:t xml:space="preserve">une décision libellée comme suit </w:t>
      </w:r>
      <w:r w:rsidRPr="00B338BC">
        <w:rPr>
          <w:rFonts w:asciiTheme="majorBidi" w:hAnsiTheme="majorBidi" w:cstheme="majorBidi"/>
          <w:lang w:val="fr-CA"/>
        </w:rPr>
        <w:t>:</w:t>
      </w:r>
    </w:p>
    <w:p w14:paraId="66B3A7A1" w14:textId="7B4A0A6B" w:rsidR="00B60787" w:rsidRPr="001C70F1" w:rsidRDefault="008D3E98" w:rsidP="00000FF4">
      <w:pPr>
        <w:spacing w:before="120" w:after="120"/>
        <w:ind w:left="720" w:firstLine="720"/>
        <w:rPr>
          <w:rFonts w:asciiTheme="majorBidi" w:hAnsiTheme="majorBidi" w:cstheme="majorBidi"/>
          <w:i/>
          <w:iCs/>
          <w:lang w:val="fr-FR"/>
        </w:rPr>
      </w:pPr>
      <w:r>
        <w:rPr>
          <w:i/>
          <w:iCs/>
          <w:kern w:val="22"/>
          <w:szCs w:val="22"/>
          <w:lang w:val="fr-FR"/>
        </w:rPr>
        <w:t>La Conférence des Parties siégeant en tant que réunion des Parties au Protocole de Cartagena sur la prévention des risques biotechnologiques</w:t>
      </w:r>
    </w:p>
    <w:p w14:paraId="4A49F71B" w14:textId="4C57B185" w:rsidR="00000FF4" w:rsidRPr="006F1AF2" w:rsidRDefault="00000FF4" w:rsidP="00000FF4">
      <w:pPr>
        <w:spacing w:before="120" w:after="120"/>
        <w:ind w:left="720" w:firstLine="720"/>
        <w:rPr>
          <w:rFonts w:asciiTheme="majorBidi" w:hAnsiTheme="majorBidi" w:cstheme="majorBidi"/>
          <w:lang w:val="fr-CA"/>
        </w:rPr>
      </w:pPr>
      <w:r>
        <w:rPr>
          <w:rFonts w:asciiTheme="majorBidi" w:hAnsiTheme="majorBidi" w:cstheme="majorBidi"/>
          <w:i/>
          <w:iCs/>
          <w:lang w:val="fr-CA"/>
        </w:rPr>
        <w:t xml:space="preserve">Reconnaissant </w:t>
      </w:r>
      <w:r>
        <w:rPr>
          <w:rFonts w:asciiTheme="majorBidi" w:hAnsiTheme="majorBidi" w:cstheme="majorBidi"/>
          <w:iCs/>
          <w:lang w:val="fr-CA"/>
        </w:rPr>
        <w:t xml:space="preserve">l’utilité du </w:t>
      </w:r>
      <w:r w:rsidR="00B60787">
        <w:rPr>
          <w:rFonts w:asciiTheme="majorBidi" w:hAnsiTheme="majorBidi" w:cstheme="majorBidi"/>
          <w:iCs/>
          <w:lang w:val="fr-CA"/>
        </w:rPr>
        <w:t>c</w:t>
      </w:r>
      <w:r>
        <w:rPr>
          <w:rFonts w:asciiTheme="majorBidi" w:hAnsiTheme="majorBidi" w:cstheme="majorBidi"/>
          <w:iCs/>
          <w:lang w:val="fr-CA"/>
        </w:rPr>
        <w:t xml:space="preserve">adre et plan d’action pour le renforcement des </w:t>
      </w:r>
      <w:r w:rsidR="00C73048">
        <w:rPr>
          <w:rFonts w:asciiTheme="majorBidi" w:hAnsiTheme="majorBidi" w:cstheme="majorBidi"/>
          <w:iCs/>
          <w:lang w:val="fr-CA"/>
        </w:rPr>
        <w:t xml:space="preserve">capacités pour l’application effective </w:t>
      </w:r>
      <w:r>
        <w:rPr>
          <w:rFonts w:asciiTheme="majorBidi" w:hAnsiTheme="majorBidi" w:cstheme="majorBidi"/>
          <w:iCs/>
          <w:lang w:val="fr-CA"/>
        </w:rPr>
        <w:t>du Protocole de Cartagena</w:t>
      </w:r>
      <w:r w:rsidRPr="00417D87">
        <w:rPr>
          <w:rStyle w:val="FootnoteReference"/>
          <w:rFonts w:asciiTheme="majorBidi" w:hAnsiTheme="majorBidi" w:cstheme="majorBidi"/>
        </w:rPr>
        <w:footnoteReference w:id="4"/>
      </w:r>
      <w:r w:rsidR="00B60787">
        <w:rPr>
          <w:rFonts w:asciiTheme="majorBidi" w:hAnsiTheme="majorBidi" w:cstheme="majorBidi"/>
          <w:iCs/>
          <w:lang w:val="fr-CA"/>
        </w:rPr>
        <w:t>,</w:t>
      </w:r>
    </w:p>
    <w:p w14:paraId="2A4A76C3" w14:textId="6A24D7E1" w:rsidR="00000FF4" w:rsidRDefault="00B60787" w:rsidP="00B60787">
      <w:pPr>
        <w:pStyle w:val="ListParagraph"/>
        <w:tabs>
          <w:tab w:val="left" w:pos="709"/>
        </w:tabs>
        <w:autoSpaceDE w:val="0"/>
        <w:autoSpaceDN w:val="0"/>
        <w:adjustRightInd w:val="0"/>
        <w:spacing w:after="120"/>
        <w:ind w:firstLine="720"/>
        <w:contextualSpacing w:val="0"/>
        <w:rPr>
          <w:kern w:val="22"/>
          <w:lang w:val="fr-FR"/>
        </w:rPr>
      </w:pPr>
      <w:r>
        <w:rPr>
          <w:i/>
          <w:iCs/>
          <w:kern w:val="22"/>
          <w:lang w:val="fr-FR"/>
        </w:rPr>
        <w:t>Rappelant</w:t>
      </w:r>
      <w:r w:rsidR="00000FF4">
        <w:rPr>
          <w:kern w:val="22"/>
          <w:lang w:val="fr-FR"/>
        </w:rPr>
        <w:t xml:space="preserve"> la décision CP-9/3, dans laquelle elle a reconnu la nécessité d’élaborer un plan d’action spécifique pour le renforcement des capacités en vue de l’application du Protocole de Cartagena et de son Protocole additionnel, compatible avec le plan de mise en œuvre </w:t>
      </w:r>
      <w:r>
        <w:rPr>
          <w:kern w:val="22"/>
          <w:lang w:val="fr-FR"/>
        </w:rPr>
        <w:t xml:space="preserve">du Protocole de Cartagena </w:t>
      </w:r>
      <w:r w:rsidR="00000FF4">
        <w:rPr>
          <w:kern w:val="22"/>
          <w:lang w:val="fr-FR"/>
        </w:rPr>
        <w:t>et complémentaire du cadre stratégique à long terme pour le renforcement des capacité</w:t>
      </w:r>
      <w:r>
        <w:rPr>
          <w:kern w:val="22"/>
          <w:lang w:val="fr-FR"/>
        </w:rPr>
        <w:t>s pour appuyer la mise en œuvre</w:t>
      </w:r>
      <w:r w:rsidR="00000FF4">
        <w:rPr>
          <w:kern w:val="22"/>
          <w:lang w:val="fr-FR"/>
        </w:rPr>
        <w:t xml:space="preserve"> du cadre mondial de la biodiversité pour l’après-2020,</w:t>
      </w:r>
    </w:p>
    <w:p w14:paraId="02906FCD" w14:textId="2C9EB276" w:rsidR="00B60787" w:rsidRPr="00B60787" w:rsidRDefault="00B60787" w:rsidP="00B60787">
      <w:pPr>
        <w:pStyle w:val="ListParagraph"/>
        <w:autoSpaceDE w:val="0"/>
        <w:autoSpaceDN w:val="0"/>
        <w:adjustRightInd w:val="0"/>
        <w:spacing w:after="120"/>
        <w:ind w:firstLine="720"/>
        <w:contextualSpacing w:val="0"/>
        <w:rPr>
          <w:kern w:val="22"/>
          <w:lang w:val="fr-FR"/>
        </w:rPr>
      </w:pPr>
      <w:r>
        <w:rPr>
          <w:i/>
          <w:iCs/>
          <w:kern w:val="22"/>
          <w:lang w:val="fr-FR"/>
        </w:rPr>
        <w:t>Rappelant également</w:t>
      </w:r>
      <w:r>
        <w:rPr>
          <w:kern w:val="22"/>
          <w:lang w:val="fr-FR"/>
        </w:rPr>
        <w:t xml:space="preserve"> la décision CP-9/7, dans laquelle elle a décidé d’élaborer un plan de mise en œuvre du Protocole de Cartagena basé sur le cadre mondial de la biodiversité pour l’après-2020 et complémentaire de celui-ci,</w:t>
      </w:r>
    </w:p>
    <w:p w14:paraId="05BAEF42" w14:textId="0F720562" w:rsidR="00000FF4" w:rsidRPr="00B338BC" w:rsidRDefault="00C73048" w:rsidP="00000FF4">
      <w:pPr>
        <w:spacing w:before="120" w:after="120"/>
        <w:ind w:left="720" w:firstLine="720"/>
        <w:rPr>
          <w:rFonts w:asciiTheme="majorBidi" w:hAnsiTheme="majorBidi" w:cstheme="majorBidi"/>
          <w:lang w:val="fr-CA"/>
        </w:rPr>
      </w:pPr>
      <w:r>
        <w:rPr>
          <w:i/>
          <w:iCs/>
          <w:kern w:val="22"/>
          <w:lang w:val="fr-FR"/>
        </w:rPr>
        <w:t>Accueillant avec satisfaction</w:t>
      </w:r>
      <w:r w:rsidR="00000FF4">
        <w:rPr>
          <w:kern w:val="22"/>
          <w:lang w:val="fr-FR"/>
        </w:rPr>
        <w:t xml:space="preserve"> la contribution du Groupe de liaison sur le Protocol</w:t>
      </w:r>
      <w:r w:rsidR="00B60787">
        <w:rPr>
          <w:kern w:val="22"/>
          <w:lang w:val="fr-FR"/>
        </w:rPr>
        <w:t xml:space="preserve">e de Cartagena à l’élaboration </w:t>
      </w:r>
      <w:r w:rsidR="00000FF4">
        <w:rPr>
          <w:kern w:val="22"/>
          <w:lang w:val="fr-FR"/>
        </w:rPr>
        <w:t>du plan d’action pour le renforcement des capacités, et l’examen par l’Organe subsidiaire chargé de l’application</w:t>
      </w:r>
      <w:r w:rsidR="00000FF4">
        <w:rPr>
          <w:rFonts w:asciiTheme="majorBidi" w:hAnsiTheme="majorBidi" w:cstheme="majorBidi"/>
          <w:lang w:val="fr-CA"/>
        </w:rPr>
        <w:t xml:space="preserve"> à sa troisième réunion,</w:t>
      </w:r>
    </w:p>
    <w:p w14:paraId="6F797756" w14:textId="4BF225A1" w:rsidR="00000FF4" w:rsidRPr="00B338BC" w:rsidRDefault="00000FF4" w:rsidP="00000FF4">
      <w:pPr>
        <w:spacing w:before="120" w:after="120"/>
        <w:ind w:left="720" w:firstLine="720"/>
        <w:rPr>
          <w:rFonts w:asciiTheme="majorBidi" w:hAnsiTheme="majorBidi" w:cstheme="majorBidi"/>
          <w:lang w:val="fr-CA"/>
        </w:rPr>
      </w:pPr>
      <w:r>
        <w:rPr>
          <w:rFonts w:asciiTheme="majorBidi" w:hAnsiTheme="majorBidi" w:cstheme="majorBidi"/>
          <w:i/>
          <w:lang w:val="fr-CA"/>
        </w:rPr>
        <w:t xml:space="preserve">Reconnaissant </w:t>
      </w:r>
      <w:r w:rsidR="00B60787">
        <w:rPr>
          <w:rFonts w:asciiTheme="majorBidi" w:hAnsiTheme="majorBidi" w:cstheme="majorBidi"/>
          <w:lang w:val="fr-CA"/>
        </w:rPr>
        <w:t>l’intérêt présenté par le Protocole, son plan de mise en œuvre et le</w:t>
      </w:r>
      <w:r>
        <w:rPr>
          <w:rFonts w:asciiTheme="majorBidi" w:hAnsiTheme="majorBidi" w:cstheme="majorBidi"/>
          <w:lang w:val="fr-CA"/>
        </w:rPr>
        <w:t xml:space="preserve"> plan d’action  pour</w:t>
      </w:r>
      <w:r w:rsidR="00B60787">
        <w:rPr>
          <w:rFonts w:asciiTheme="majorBidi" w:hAnsiTheme="majorBidi" w:cstheme="majorBidi"/>
          <w:lang w:val="fr-CA"/>
        </w:rPr>
        <w:t xml:space="preserve"> le renforcement des capacités</w:t>
      </w:r>
      <w:r w:rsidR="00C73048">
        <w:rPr>
          <w:rFonts w:asciiTheme="majorBidi" w:hAnsiTheme="majorBidi" w:cstheme="majorBidi"/>
          <w:lang w:val="fr-CA"/>
        </w:rPr>
        <w:t>,</w:t>
      </w:r>
      <w:r w:rsidR="00B60787">
        <w:rPr>
          <w:rFonts w:asciiTheme="majorBidi" w:hAnsiTheme="majorBidi" w:cstheme="majorBidi"/>
          <w:lang w:val="fr-CA"/>
        </w:rPr>
        <w:t xml:space="preserve"> </w:t>
      </w:r>
      <w:r>
        <w:rPr>
          <w:rFonts w:asciiTheme="majorBidi" w:hAnsiTheme="majorBidi" w:cstheme="majorBidi"/>
          <w:lang w:val="fr-CA"/>
        </w:rPr>
        <w:t>en tant que p</w:t>
      </w:r>
      <w:r w:rsidR="00B60787">
        <w:rPr>
          <w:rFonts w:asciiTheme="majorBidi" w:hAnsiTheme="majorBidi" w:cstheme="majorBidi"/>
          <w:lang w:val="fr-CA"/>
        </w:rPr>
        <w:t>lans indépendants mais interconnectés</w:t>
      </w:r>
      <w:r w:rsidR="00C73048">
        <w:rPr>
          <w:rFonts w:asciiTheme="majorBidi" w:hAnsiTheme="majorBidi" w:cstheme="majorBidi"/>
          <w:lang w:val="fr-CA"/>
        </w:rPr>
        <w:t>, pour atteindre l</w:t>
      </w:r>
      <w:r>
        <w:rPr>
          <w:rFonts w:asciiTheme="majorBidi" w:hAnsiTheme="majorBidi" w:cstheme="majorBidi"/>
          <w:lang w:val="fr-CA"/>
        </w:rPr>
        <w:t>es objectifs de la Convention sur la diversité biologique</w:t>
      </w:r>
      <w:r w:rsidRPr="00B338BC">
        <w:rPr>
          <w:rFonts w:asciiTheme="majorBidi" w:hAnsiTheme="majorBidi" w:cstheme="majorBidi"/>
          <w:lang w:val="fr-CA"/>
        </w:rPr>
        <w:t>,</w:t>
      </w:r>
    </w:p>
    <w:p w14:paraId="21E41F92" w14:textId="728E2FF5" w:rsidR="00000FF4" w:rsidRPr="00B338BC" w:rsidRDefault="00000FF4" w:rsidP="00000FF4">
      <w:pPr>
        <w:spacing w:before="120" w:after="120"/>
        <w:ind w:left="720" w:firstLine="720"/>
        <w:rPr>
          <w:rFonts w:asciiTheme="majorBidi" w:hAnsiTheme="majorBidi" w:cstheme="majorBidi"/>
          <w:i/>
          <w:spacing w:val="-2"/>
          <w:lang w:val="fr-CA"/>
        </w:rPr>
      </w:pPr>
      <w:r>
        <w:rPr>
          <w:rFonts w:asciiTheme="majorBidi" w:hAnsiTheme="majorBidi" w:cstheme="majorBidi"/>
          <w:i/>
          <w:spacing w:val="-2"/>
          <w:lang w:val="fr-CA"/>
        </w:rPr>
        <w:t xml:space="preserve">Reconnaissant </w:t>
      </w:r>
      <w:r>
        <w:rPr>
          <w:rFonts w:asciiTheme="majorBidi" w:hAnsiTheme="majorBidi" w:cstheme="majorBidi"/>
          <w:spacing w:val="-2"/>
          <w:lang w:val="fr-CA"/>
        </w:rPr>
        <w:t>la néce</w:t>
      </w:r>
      <w:r w:rsidR="00B60787">
        <w:rPr>
          <w:rFonts w:asciiTheme="majorBidi" w:hAnsiTheme="majorBidi" w:cstheme="majorBidi"/>
          <w:spacing w:val="-2"/>
          <w:lang w:val="fr-CA"/>
        </w:rPr>
        <w:t>ssité d’établir régulièrement des</w:t>
      </w:r>
      <w:r>
        <w:rPr>
          <w:rFonts w:asciiTheme="majorBidi" w:hAnsiTheme="majorBidi" w:cstheme="majorBidi"/>
          <w:spacing w:val="-2"/>
          <w:lang w:val="fr-CA"/>
        </w:rPr>
        <w:t xml:space="preserve"> priorité</w:t>
      </w:r>
      <w:r w:rsidR="00B60787">
        <w:rPr>
          <w:rFonts w:asciiTheme="majorBidi" w:hAnsiTheme="majorBidi" w:cstheme="majorBidi"/>
          <w:spacing w:val="-2"/>
          <w:lang w:val="fr-CA"/>
        </w:rPr>
        <w:t xml:space="preserve">s pour planifier et </w:t>
      </w:r>
      <w:r>
        <w:rPr>
          <w:rFonts w:asciiTheme="majorBidi" w:hAnsiTheme="majorBidi" w:cstheme="majorBidi"/>
          <w:spacing w:val="-2"/>
          <w:lang w:val="fr-CA"/>
        </w:rPr>
        <w:t>programme</w:t>
      </w:r>
      <w:r w:rsidR="00B60787">
        <w:rPr>
          <w:rFonts w:asciiTheme="majorBidi" w:hAnsiTheme="majorBidi" w:cstheme="majorBidi"/>
          <w:spacing w:val="-2"/>
          <w:lang w:val="fr-CA"/>
        </w:rPr>
        <w:t xml:space="preserve">r les travaux à entreprendre </w:t>
      </w:r>
      <w:r>
        <w:rPr>
          <w:rFonts w:asciiTheme="majorBidi" w:hAnsiTheme="majorBidi" w:cstheme="majorBidi"/>
          <w:spacing w:val="-2"/>
          <w:lang w:val="fr-CA"/>
        </w:rPr>
        <w:t>pendant la période</w:t>
      </w:r>
      <w:r w:rsidR="00B60787">
        <w:rPr>
          <w:rFonts w:asciiTheme="majorBidi" w:hAnsiTheme="majorBidi" w:cstheme="majorBidi"/>
          <w:spacing w:val="-2"/>
          <w:lang w:val="fr-CA"/>
        </w:rPr>
        <w:t xml:space="preserve"> </w:t>
      </w:r>
      <w:r>
        <w:rPr>
          <w:rFonts w:asciiTheme="majorBidi" w:hAnsiTheme="majorBidi" w:cstheme="majorBidi"/>
          <w:spacing w:val="-2"/>
          <w:lang w:val="fr-CA"/>
        </w:rPr>
        <w:t>du plan d’action pour le renforcement des capacités</w:t>
      </w:r>
      <w:r w:rsidRPr="00B338BC">
        <w:rPr>
          <w:rFonts w:asciiTheme="majorBidi" w:hAnsiTheme="majorBidi" w:cstheme="majorBidi"/>
          <w:spacing w:val="-2"/>
          <w:lang w:val="fr-CA"/>
        </w:rPr>
        <w:t>,</w:t>
      </w:r>
    </w:p>
    <w:p w14:paraId="439E927C" w14:textId="239A810F" w:rsidR="00000FF4" w:rsidRPr="00B338BC" w:rsidRDefault="001C70F1" w:rsidP="00000FF4">
      <w:pPr>
        <w:spacing w:before="120" w:after="120"/>
        <w:ind w:left="720" w:firstLine="720"/>
        <w:rPr>
          <w:rFonts w:asciiTheme="majorBidi" w:hAnsiTheme="majorBidi" w:cstheme="majorBidi"/>
          <w:lang w:val="fr-CA"/>
        </w:rPr>
      </w:pPr>
      <w:r>
        <w:rPr>
          <w:rFonts w:asciiTheme="majorBidi" w:hAnsiTheme="majorBidi" w:cstheme="majorBidi"/>
          <w:lang w:val="fr-CA"/>
        </w:rPr>
        <w:t>[</w:t>
      </w:r>
      <w:r w:rsidR="00B60787">
        <w:rPr>
          <w:rFonts w:asciiTheme="majorBidi" w:hAnsiTheme="majorBidi" w:cstheme="majorBidi"/>
          <w:lang w:val="fr-CA"/>
        </w:rPr>
        <w:t>1.</w:t>
      </w:r>
      <w:r w:rsidR="00B60787">
        <w:rPr>
          <w:rFonts w:asciiTheme="majorBidi" w:hAnsiTheme="majorBidi" w:cstheme="majorBidi"/>
          <w:lang w:val="fr-CA"/>
        </w:rPr>
        <w:tab/>
      </w:r>
      <w:r w:rsidR="00000FF4">
        <w:rPr>
          <w:rFonts w:asciiTheme="majorBidi" w:hAnsiTheme="majorBidi" w:cstheme="majorBidi"/>
          <w:i/>
          <w:iCs/>
          <w:lang w:val="fr-CA"/>
        </w:rPr>
        <w:t xml:space="preserve">Adopte </w:t>
      </w:r>
      <w:r w:rsidR="00000FF4">
        <w:rPr>
          <w:rFonts w:asciiTheme="majorBidi" w:hAnsiTheme="majorBidi" w:cstheme="majorBidi"/>
          <w:lang w:val="fr-CA"/>
        </w:rPr>
        <w:t>le plan d’action pour le renforcement</w:t>
      </w:r>
      <w:r w:rsidR="00B60787">
        <w:rPr>
          <w:rFonts w:asciiTheme="majorBidi" w:hAnsiTheme="majorBidi" w:cstheme="majorBidi"/>
          <w:lang w:val="fr-CA"/>
        </w:rPr>
        <w:t xml:space="preserve"> des capacités</w:t>
      </w:r>
      <w:r w:rsidR="00C73048">
        <w:rPr>
          <w:rFonts w:asciiTheme="majorBidi" w:hAnsiTheme="majorBidi" w:cstheme="majorBidi"/>
          <w:lang w:val="fr-CA"/>
        </w:rPr>
        <w:t>,</w:t>
      </w:r>
      <w:r w:rsidR="00B60787">
        <w:rPr>
          <w:rFonts w:asciiTheme="majorBidi" w:hAnsiTheme="majorBidi" w:cstheme="majorBidi"/>
          <w:lang w:val="fr-CA"/>
        </w:rPr>
        <w:t xml:space="preserve"> tel qu’il figure dans</w:t>
      </w:r>
      <w:r w:rsidR="00000FF4">
        <w:rPr>
          <w:rFonts w:asciiTheme="majorBidi" w:hAnsiTheme="majorBidi" w:cstheme="majorBidi"/>
          <w:lang w:val="fr-CA"/>
        </w:rPr>
        <w:t xml:space="preserve"> l’annexe II à la présente décision</w:t>
      </w:r>
      <w:r w:rsidR="00B60787">
        <w:rPr>
          <w:rFonts w:asciiTheme="majorBidi" w:hAnsiTheme="majorBidi" w:cstheme="majorBidi"/>
          <w:lang w:val="fr-CA"/>
        </w:rPr>
        <w:t>;</w:t>
      </w:r>
      <w:r>
        <w:rPr>
          <w:rFonts w:asciiTheme="majorBidi" w:hAnsiTheme="majorBidi" w:cstheme="majorBidi"/>
          <w:lang w:val="fr-CA"/>
        </w:rPr>
        <w:t>]</w:t>
      </w:r>
    </w:p>
    <w:p w14:paraId="35666AA7" w14:textId="3684951F" w:rsidR="00000FF4" w:rsidRPr="00B338BC" w:rsidRDefault="001C70F1" w:rsidP="00000FF4">
      <w:pPr>
        <w:spacing w:before="120" w:after="120"/>
        <w:ind w:left="720" w:firstLine="720"/>
        <w:rPr>
          <w:rFonts w:asciiTheme="majorBidi" w:hAnsiTheme="majorBidi" w:cstheme="majorBidi"/>
          <w:lang w:val="fr-CA"/>
        </w:rPr>
      </w:pPr>
      <w:r>
        <w:rPr>
          <w:rFonts w:asciiTheme="majorBidi" w:hAnsiTheme="majorBidi" w:cstheme="majorBidi"/>
          <w:lang w:val="fr-CA"/>
        </w:rPr>
        <w:t>[</w:t>
      </w:r>
      <w:r w:rsidR="00B60787">
        <w:rPr>
          <w:rFonts w:asciiTheme="majorBidi" w:hAnsiTheme="majorBidi" w:cstheme="majorBidi"/>
          <w:lang w:val="fr-CA"/>
        </w:rPr>
        <w:t>2</w:t>
      </w:r>
      <w:r w:rsidR="00000FF4" w:rsidRPr="00B338BC">
        <w:rPr>
          <w:rFonts w:asciiTheme="majorBidi" w:hAnsiTheme="majorBidi" w:cstheme="majorBidi"/>
          <w:lang w:val="fr-CA"/>
        </w:rPr>
        <w:t>.</w:t>
      </w:r>
      <w:r w:rsidR="00000FF4" w:rsidRPr="00B338BC">
        <w:rPr>
          <w:rFonts w:asciiTheme="majorBidi" w:hAnsiTheme="majorBidi" w:cstheme="majorBidi"/>
          <w:lang w:val="fr-CA"/>
        </w:rPr>
        <w:tab/>
      </w:r>
      <w:r w:rsidR="00000FF4">
        <w:rPr>
          <w:rFonts w:asciiTheme="majorBidi" w:hAnsiTheme="majorBidi" w:cstheme="majorBidi"/>
          <w:i/>
          <w:lang w:val="fr-CA"/>
        </w:rPr>
        <w:t>Accueille</w:t>
      </w:r>
      <w:r w:rsidR="00B60787">
        <w:rPr>
          <w:rFonts w:asciiTheme="majorBidi" w:hAnsiTheme="majorBidi" w:cstheme="majorBidi"/>
          <w:i/>
          <w:lang w:val="fr-CA"/>
        </w:rPr>
        <w:t xml:space="preserve"> avec satisfaction</w:t>
      </w:r>
      <w:r w:rsidR="00000FF4">
        <w:rPr>
          <w:rFonts w:asciiTheme="majorBidi" w:hAnsiTheme="majorBidi" w:cstheme="majorBidi"/>
          <w:lang w:val="fr-CA"/>
        </w:rPr>
        <w:t xml:space="preserve"> le cadre stratégique à long terme pour le ren</w:t>
      </w:r>
      <w:r w:rsidR="00B60787">
        <w:rPr>
          <w:rFonts w:asciiTheme="majorBidi" w:hAnsiTheme="majorBidi" w:cstheme="majorBidi"/>
          <w:lang w:val="fr-CA"/>
        </w:rPr>
        <w:t>forcement des capacités adopté dans</w:t>
      </w:r>
      <w:r w:rsidR="00000FF4">
        <w:rPr>
          <w:rFonts w:asciiTheme="majorBidi" w:hAnsiTheme="majorBidi" w:cstheme="majorBidi"/>
          <w:lang w:val="fr-CA"/>
        </w:rPr>
        <w:t xml:space="preserve"> la décision</w:t>
      </w:r>
      <w:r w:rsidR="00000FF4" w:rsidRPr="00B338BC">
        <w:rPr>
          <w:rFonts w:asciiTheme="majorBidi" w:hAnsiTheme="majorBidi" w:cstheme="majorBidi"/>
          <w:lang w:val="fr-CA"/>
        </w:rPr>
        <w:t>15/--;</w:t>
      </w:r>
      <w:r>
        <w:rPr>
          <w:rFonts w:asciiTheme="majorBidi" w:hAnsiTheme="majorBidi" w:cstheme="majorBidi"/>
          <w:lang w:val="fr-CA"/>
        </w:rPr>
        <w:t>]</w:t>
      </w:r>
    </w:p>
    <w:p w14:paraId="32A376E1" w14:textId="5906E5E9" w:rsidR="00000FF4" w:rsidRPr="00B338BC" w:rsidRDefault="00B60787" w:rsidP="00000FF4">
      <w:pPr>
        <w:spacing w:before="120" w:after="120"/>
        <w:ind w:left="720" w:firstLine="720"/>
        <w:rPr>
          <w:rFonts w:asciiTheme="majorBidi" w:hAnsiTheme="majorBidi" w:cstheme="majorBidi"/>
          <w:i/>
          <w:lang w:val="fr-CA"/>
        </w:rPr>
      </w:pPr>
      <w:r>
        <w:rPr>
          <w:rFonts w:asciiTheme="majorBidi" w:hAnsiTheme="majorBidi" w:cstheme="majorBidi"/>
          <w:lang w:val="fr-CA"/>
        </w:rPr>
        <w:t>3</w:t>
      </w:r>
      <w:r w:rsidR="00000FF4" w:rsidRPr="00B338BC">
        <w:rPr>
          <w:rFonts w:asciiTheme="majorBidi" w:hAnsiTheme="majorBidi" w:cstheme="majorBidi"/>
          <w:lang w:val="fr-CA"/>
        </w:rPr>
        <w:t>.</w:t>
      </w:r>
      <w:r>
        <w:rPr>
          <w:rFonts w:asciiTheme="majorBidi" w:hAnsiTheme="majorBidi" w:cstheme="majorBidi"/>
          <w:lang w:val="fr-CA"/>
        </w:rPr>
        <w:tab/>
      </w:r>
      <w:r w:rsidR="00000FF4">
        <w:rPr>
          <w:rFonts w:asciiTheme="majorBidi" w:hAnsiTheme="majorBidi" w:cstheme="majorBidi"/>
          <w:i/>
          <w:iCs/>
          <w:lang w:val="fr-CA"/>
        </w:rPr>
        <w:t xml:space="preserve">Reconnaît </w:t>
      </w:r>
      <w:r w:rsidR="00000FF4">
        <w:rPr>
          <w:rFonts w:asciiTheme="majorBidi" w:hAnsiTheme="majorBidi" w:cstheme="majorBidi"/>
          <w:iCs/>
          <w:lang w:val="fr-CA"/>
        </w:rPr>
        <w:t>le caractère complémentaire du plan d’action pour le re</w:t>
      </w:r>
      <w:r>
        <w:rPr>
          <w:rFonts w:asciiTheme="majorBidi" w:hAnsiTheme="majorBidi" w:cstheme="majorBidi"/>
          <w:iCs/>
          <w:lang w:val="fr-CA"/>
        </w:rPr>
        <w:t>nforcement des capacités et du</w:t>
      </w:r>
      <w:r w:rsidR="00000FF4">
        <w:rPr>
          <w:rFonts w:asciiTheme="majorBidi" w:hAnsiTheme="majorBidi" w:cstheme="majorBidi"/>
          <w:iCs/>
          <w:lang w:val="fr-CA"/>
        </w:rPr>
        <w:t xml:space="preserve"> cadre stratégique à long terme pour le renforcement des capacités</w:t>
      </w:r>
      <w:r w:rsidR="00000FF4" w:rsidRPr="00B338BC">
        <w:rPr>
          <w:rFonts w:asciiTheme="majorBidi" w:hAnsiTheme="majorBidi" w:cstheme="majorBidi"/>
          <w:lang w:val="fr-CA"/>
        </w:rPr>
        <w:t>;</w:t>
      </w:r>
    </w:p>
    <w:p w14:paraId="44146982" w14:textId="29CBE6D6" w:rsidR="00000FF4" w:rsidRPr="00B338BC" w:rsidRDefault="00B60787" w:rsidP="00000FF4">
      <w:pPr>
        <w:spacing w:before="120" w:after="120"/>
        <w:ind w:left="720" w:firstLine="720"/>
        <w:rPr>
          <w:rFonts w:asciiTheme="majorBidi" w:hAnsiTheme="majorBidi" w:cstheme="majorBidi"/>
          <w:lang w:val="fr-CA"/>
        </w:rPr>
      </w:pPr>
      <w:r>
        <w:rPr>
          <w:rFonts w:asciiTheme="majorBidi" w:hAnsiTheme="majorBidi" w:cstheme="majorBidi"/>
          <w:lang w:val="fr-CA"/>
        </w:rPr>
        <w:t>4</w:t>
      </w:r>
      <w:r w:rsidR="00000FF4" w:rsidRPr="00B338BC">
        <w:rPr>
          <w:rFonts w:asciiTheme="majorBidi" w:hAnsiTheme="majorBidi" w:cstheme="majorBidi"/>
          <w:lang w:val="fr-CA"/>
        </w:rPr>
        <w:t>.</w:t>
      </w:r>
      <w:r w:rsidR="00000FF4" w:rsidRPr="00B338BC">
        <w:rPr>
          <w:rFonts w:asciiTheme="majorBidi" w:hAnsiTheme="majorBidi" w:cstheme="majorBidi"/>
          <w:lang w:val="fr-CA"/>
        </w:rPr>
        <w:tab/>
      </w:r>
      <w:r w:rsidR="00000FF4">
        <w:rPr>
          <w:i/>
          <w:iCs/>
          <w:kern w:val="22"/>
          <w:lang w:val="fr-FR"/>
        </w:rPr>
        <w:t xml:space="preserve">Exhorte </w:t>
      </w:r>
      <w:r w:rsidR="00000FF4">
        <w:rPr>
          <w:kern w:val="22"/>
          <w:lang w:val="fr-FR"/>
        </w:rPr>
        <w:t xml:space="preserve">les Parties et </w:t>
      </w:r>
      <w:r w:rsidR="00000FF4" w:rsidRPr="001C70F1">
        <w:rPr>
          <w:iCs/>
          <w:kern w:val="22"/>
          <w:lang w:val="fr-FR"/>
        </w:rPr>
        <w:t>invite</w:t>
      </w:r>
      <w:r w:rsidR="00000FF4">
        <w:rPr>
          <w:i/>
          <w:iCs/>
          <w:kern w:val="22"/>
          <w:lang w:val="fr-FR"/>
        </w:rPr>
        <w:t xml:space="preserve"> </w:t>
      </w:r>
      <w:r w:rsidR="00000FF4">
        <w:rPr>
          <w:kern w:val="22"/>
          <w:lang w:val="fr-FR"/>
        </w:rPr>
        <w:t>l</w:t>
      </w:r>
      <w:r>
        <w:rPr>
          <w:kern w:val="22"/>
          <w:lang w:val="fr-FR"/>
        </w:rPr>
        <w:t>es autres gouvernements à examiner et à harmoniser, selon qu’il convient</w:t>
      </w:r>
      <w:r w:rsidR="00000FF4">
        <w:rPr>
          <w:kern w:val="22"/>
          <w:lang w:val="fr-FR"/>
        </w:rPr>
        <w:t>, leurs plans d’action et programmes nationaux relatifs à la mise en œuvre du Protocole, y compris leurs stratégies et plans d’action nationaux pour la biodiversité,</w:t>
      </w:r>
      <w:r>
        <w:rPr>
          <w:kern w:val="22"/>
          <w:lang w:val="fr-FR"/>
        </w:rPr>
        <w:t xml:space="preserve"> avec</w:t>
      </w:r>
      <w:r w:rsidR="00000FF4">
        <w:rPr>
          <w:kern w:val="22"/>
          <w:lang w:val="fr-FR"/>
        </w:rPr>
        <w:t xml:space="preserve"> le plan d’action pour le renforcement des capacités</w:t>
      </w:r>
      <w:r w:rsidR="00000FF4" w:rsidRPr="00B338BC">
        <w:rPr>
          <w:rFonts w:asciiTheme="majorBidi" w:hAnsiTheme="majorBidi" w:cstheme="majorBidi"/>
          <w:lang w:val="fr-CA"/>
        </w:rPr>
        <w:t>;</w:t>
      </w:r>
    </w:p>
    <w:p w14:paraId="5E207CE9" w14:textId="1BDEC7EF" w:rsidR="00000FF4" w:rsidRPr="00B338BC" w:rsidRDefault="00B60787" w:rsidP="00000FF4">
      <w:pPr>
        <w:spacing w:before="120" w:after="120"/>
        <w:ind w:left="720" w:firstLine="720"/>
        <w:rPr>
          <w:rFonts w:asciiTheme="majorBidi" w:hAnsiTheme="majorBidi" w:cstheme="majorBidi"/>
          <w:lang w:val="fr-CA"/>
        </w:rPr>
      </w:pPr>
      <w:r>
        <w:rPr>
          <w:rFonts w:asciiTheme="majorBidi" w:hAnsiTheme="majorBidi" w:cstheme="majorBidi"/>
          <w:lang w:val="fr-CA"/>
        </w:rPr>
        <w:t>5</w:t>
      </w:r>
      <w:r w:rsidR="00000FF4" w:rsidRPr="00B338BC">
        <w:rPr>
          <w:rFonts w:asciiTheme="majorBidi" w:hAnsiTheme="majorBidi" w:cstheme="majorBidi"/>
          <w:lang w:val="fr-CA"/>
        </w:rPr>
        <w:t>.</w:t>
      </w:r>
      <w:r w:rsidR="00000FF4" w:rsidRPr="00B338BC">
        <w:rPr>
          <w:rFonts w:asciiTheme="majorBidi" w:hAnsiTheme="majorBidi" w:cstheme="majorBidi"/>
          <w:lang w:val="fr-CA"/>
        </w:rPr>
        <w:tab/>
      </w:r>
      <w:r w:rsidR="00000FF4">
        <w:rPr>
          <w:i/>
          <w:iCs/>
          <w:kern w:val="22"/>
          <w:lang w:val="fr-FR"/>
        </w:rPr>
        <w:t xml:space="preserve">Exhorte également </w:t>
      </w:r>
      <w:r w:rsidR="00000FF4">
        <w:rPr>
          <w:kern w:val="22"/>
          <w:lang w:val="fr-FR"/>
        </w:rPr>
        <w:t xml:space="preserve">les Parties et </w:t>
      </w:r>
      <w:r w:rsidR="00000FF4" w:rsidRPr="001C70F1">
        <w:rPr>
          <w:iCs/>
          <w:kern w:val="22"/>
          <w:lang w:val="fr-FR"/>
        </w:rPr>
        <w:t>invite</w:t>
      </w:r>
      <w:r w:rsidR="00000FF4">
        <w:rPr>
          <w:i/>
          <w:iCs/>
          <w:kern w:val="22"/>
          <w:lang w:val="fr-FR"/>
        </w:rPr>
        <w:t xml:space="preserve"> </w:t>
      </w:r>
      <w:r w:rsidR="00000FF4">
        <w:rPr>
          <w:kern w:val="22"/>
          <w:lang w:val="fr-FR"/>
        </w:rPr>
        <w:t>les autres gouvernements et les donateurs à allouer les ressources adéquates nécessaires pour accélér</w:t>
      </w:r>
      <w:r w:rsidR="00C73048">
        <w:rPr>
          <w:kern w:val="22"/>
          <w:lang w:val="fr-FR"/>
        </w:rPr>
        <w:t>er la mise en œuvre</w:t>
      </w:r>
      <w:r>
        <w:rPr>
          <w:kern w:val="22"/>
          <w:lang w:val="fr-FR"/>
        </w:rPr>
        <w:t xml:space="preserve"> </w:t>
      </w:r>
      <w:r w:rsidR="00000FF4">
        <w:rPr>
          <w:kern w:val="22"/>
          <w:lang w:val="fr-FR"/>
        </w:rPr>
        <w:t>du plan d’action pour le renforcement des capacités</w:t>
      </w:r>
      <w:r>
        <w:rPr>
          <w:kern w:val="22"/>
          <w:lang w:val="fr-FR"/>
        </w:rPr>
        <w:t xml:space="preserve"> </w:t>
      </w:r>
      <w:r w:rsidR="00000FF4">
        <w:rPr>
          <w:kern w:val="22"/>
          <w:lang w:val="fr-FR"/>
        </w:rPr>
        <w:t>[</w:t>
      </w:r>
      <w:r>
        <w:rPr>
          <w:kern w:val="22"/>
          <w:lang w:val="fr-FR"/>
        </w:rPr>
        <w:t xml:space="preserve">, </w:t>
      </w:r>
      <w:r w:rsidR="00000FF4">
        <w:rPr>
          <w:kern w:val="22"/>
          <w:lang w:val="fr-FR"/>
        </w:rPr>
        <w:t>et à fournir de</w:t>
      </w:r>
      <w:r w:rsidR="00C73048">
        <w:rPr>
          <w:kern w:val="22"/>
          <w:lang w:val="fr-FR"/>
        </w:rPr>
        <w:t>s</w:t>
      </w:r>
      <w:r w:rsidR="00000FF4">
        <w:rPr>
          <w:kern w:val="22"/>
          <w:lang w:val="fr-FR"/>
        </w:rPr>
        <w:t xml:space="preserve"> nouvelles ressources financières afin de permettre aux pays en développement de mettre </w:t>
      </w:r>
      <w:r w:rsidR="001C70F1">
        <w:rPr>
          <w:kern w:val="22"/>
          <w:lang w:val="fr-FR"/>
        </w:rPr>
        <w:t>en œuvre les plans</w:t>
      </w:r>
      <w:r w:rsidR="00C73048">
        <w:rPr>
          <w:kern w:val="22"/>
          <w:lang w:val="fr-FR"/>
        </w:rPr>
        <w:t>,</w:t>
      </w:r>
      <w:r w:rsidR="00000FF4">
        <w:rPr>
          <w:kern w:val="22"/>
          <w:lang w:val="fr-FR"/>
        </w:rPr>
        <w:t xml:space="preserve"> conformément à l’article 20 de la Convention et l’article 28 du Protocole], et </w:t>
      </w:r>
      <w:r w:rsidR="00000FF4" w:rsidRPr="001C70F1">
        <w:rPr>
          <w:iCs/>
          <w:kern w:val="22"/>
          <w:lang w:val="fr-FR"/>
        </w:rPr>
        <w:t>reconnaît</w:t>
      </w:r>
      <w:r w:rsidR="00000FF4" w:rsidRPr="001C70F1">
        <w:rPr>
          <w:kern w:val="22"/>
          <w:lang w:val="fr-FR"/>
        </w:rPr>
        <w:t xml:space="preserve"> </w:t>
      </w:r>
      <w:r>
        <w:rPr>
          <w:kern w:val="22"/>
          <w:lang w:val="fr-FR"/>
        </w:rPr>
        <w:t>en particulier le rôle</w:t>
      </w:r>
      <w:r w:rsidR="00000FF4">
        <w:rPr>
          <w:kern w:val="22"/>
          <w:lang w:val="fr-FR"/>
        </w:rPr>
        <w:t xml:space="preserve"> </w:t>
      </w:r>
      <w:r w:rsidRPr="00B60787">
        <w:rPr>
          <w:kern w:val="22"/>
          <w:lang w:val="fr-FR"/>
        </w:rPr>
        <w:t>[</w:t>
      </w:r>
      <w:r w:rsidR="00000FF4">
        <w:rPr>
          <w:kern w:val="22"/>
          <w:lang w:val="fr-FR"/>
        </w:rPr>
        <w:t>du</w:t>
      </w:r>
      <w:r>
        <w:rPr>
          <w:kern w:val="22"/>
          <w:lang w:val="fr-FR"/>
        </w:rPr>
        <w:t>]</w:t>
      </w:r>
      <w:r w:rsidR="00000FF4">
        <w:rPr>
          <w:kern w:val="22"/>
          <w:lang w:val="fr-FR"/>
        </w:rPr>
        <w:t xml:space="preserve"> [que joue le] Fonds </w:t>
      </w:r>
      <w:r w:rsidR="00C73048">
        <w:rPr>
          <w:kern w:val="22"/>
          <w:lang w:val="fr-FR"/>
        </w:rPr>
        <w:t>pour l’environnement mondial [pour appuyer le renforcement des capacités afin de</w:t>
      </w:r>
      <w:r w:rsidR="00000FF4">
        <w:rPr>
          <w:kern w:val="22"/>
          <w:lang w:val="fr-FR"/>
        </w:rPr>
        <w:t xml:space="preserve"> mettre en œuvre le][pour </w:t>
      </w:r>
      <w:r w:rsidR="00352076">
        <w:rPr>
          <w:kern w:val="22"/>
          <w:lang w:val="fr-FR"/>
        </w:rPr>
        <w:t>assurer le fonctionnement du</w:t>
      </w:r>
      <w:r w:rsidR="00000FF4">
        <w:rPr>
          <w:kern w:val="22"/>
          <w:lang w:val="fr-FR"/>
        </w:rPr>
        <w:t xml:space="preserve"> mécanisme de financement du] Protocole;</w:t>
      </w:r>
    </w:p>
    <w:p w14:paraId="1F64EAF0" w14:textId="3C4A4058" w:rsidR="00000FF4" w:rsidRPr="00B338BC" w:rsidRDefault="00FD1311" w:rsidP="00000FF4">
      <w:pPr>
        <w:spacing w:before="120" w:after="120"/>
        <w:ind w:left="720" w:firstLine="720"/>
        <w:rPr>
          <w:rFonts w:asciiTheme="majorBidi" w:hAnsiTheme="majorBidi" w:cstheme="majorBidi"/>
          <w:szCs w:val="22"/>
          <w:lang w:val="fr-CA"/>
        </w:rPr>
      </w:pPr>
      <w:r>
        <w:rPr>
          <w:rFonts w:asciiTheme="majorBidi" w:hAnsiTheme="majorBidi" w:cstheme="majorBidi"/>
          <w:lang w:val="fr-CA"/>
        </w:rPr>
        <w:t>6</w:t>
      </w:r>
      <w:r w:rsidR="00000FF4" w:rsidRPr="00B338BC">
        <w:rPr>
          <w:rFonts w:asciiTheme="majorBidi" w:hAnsiTheme="majorBidi" w:cstheme="majorBidi"/>
          <w:lang w:val="fr-CA"/>
        </w:rPr>
        <w:t>.</w:t>
      </w:r>
      <w:r w:rsidR="00000FF4" w:rsidRPr="00B338BC">
        <w:rPr>
          <w:rFonts w:asciiTheme="majorBidi" w:hAnsiTheme="majorBidi" w:cstheme="majorBidi"/>
          <w:lang w:val="fr-CA"/>
        </w:rPr>
        <w:tab/>
        <w:t>[</w:t>
      </w:r>
      <w:r w:rsidR="00000FF4">
        <w:rPr>
          <w:rFonts w:asciiTheme="majorBidi" w:hAnsiTheme="majorBidi" w:cstheme="majorBidi"/>
          <w:i/>
          <w:lang w:val="fr-CA"/>
        </w:rPr>
        <w:t xml:space="preserve">Exhorte en outre </w:t>
      </w:r>
      <w:r w:rsidR="00000FF4">
        <w:rPr>
          <w:rFonts w:asciiTheme="majorBidi" w:hAnsiTheme="majorBidi" w:cstheme="majorBidi"/>
          <w:lang w:val="fr-CA"/>
        </w:rPr>
        <w:t xml:space="preserve">les Parties à mobiliser des ressources </w:t>
      </w:r>
      <w:r w:rsidR="00C73048">
        <w:rPr>
          <w:rFonts w:asciiTheme="majorBidi" w:hAnsiTheme="majorBidi" w:cstheme="majorBidi"/>
          <w:lang w:val="fr-CA"/>
        </w:rPr>
        <w:t>provenant de toutes</w:t>
      </w:r>
      <w:r w:rsidR="00000FF4">
        <w:rPr>
          <w:rFonts w:asciiTheme="majorBidi" w:hAnsiTheme="majorBidi" w:cstheme="majorBidi"/>
          <w:lang w:val="fr-CA"/>
        </w:rPr>
        <w:t xml:space="preserve"> sources, notamment par le biais de la coopération internationale et du secteur privé, conformément à l’article 20 de la Convention et </w:t>
      </w:r>
      <w:r w:rsidR="00C73048">
        <w:rPr>
          <w:rFonts w:asciiTheme="majorBidi" w:hAnsiTheme="majorBidi" w:cstheme="majorBidi"/>
          <w:lang w:val="fr-CA"/>
        </w:rPr>
        <w:t xml:space="preserve">à </w:t>
      </w:r>
      <w:r w:rsidR="00000FF4">
        <w:rPr>
          <w:rFonts w:asciiTheme="majorBidi" w:hAnsiTheme="majorBidi" w:cstheme="majorBidi"/>
          <w:lang w:val="fr-CA"/>
        </w:rPr>
        <w:t>l’article 28 du Protocole</w:t>
      </w:r>
      <w:r w:rsidR="00000FF4" w:rsidRPr="00B338BC">
        <w:rPr>
          <w:rFonts w:asciiTheme="majorBidi" w:hAnsiTheme="majorBidi" w:cstheme="majorBidi"/>
          <w:szCs w:val="22"/>
          <w:lang w:val="fr-CA"/>
        </w:rPr>
        <w:t>;]</w:t>
      </w:r>
    </w:p>
    <w:p w14:paraId="7D95A910" w14:textId="55FE587F" w:rsidR="00000FF4" w:rsidRPr="00FD1311" w:rsidRDefault="00FD1311" w:rsidP="00000FF4">
      <w:pPr>
        <w:spacing w:before="120" w:after="120"/>
        <w:ind w:left="720" w:firstLine="720"/>
        <w:rPr>
          <w:rFonts w:asciiTheme="majorBidi" w:hAnsiTheme="majorBidi" w:cstheme="majorBidi"/>
          <w:szCs w:val="22"/>
          <w:lang w:val="fr-CA"/>
        </w:rPr>
      </w:pPr>
      <w:r>
        <w:rPr>
          <w:rFonts w:asciiTheme="majorBidi" w:hAnsiTheme="majorBidi" w:cstheme="majorBidi"/>
          <w:szCs w:val="22"/>
          <w:lang w:val="fr-CA"/>
        </w:rPr>
        <w:t>7</w:t>
      </w:r>
      <w:r w:rsidR="00000FF4" w:rsidRPr="00B338BC">
        <w:rPr>
          <w:rFonts w:asciiTheme="majorBidi" w:hAnsiTheme="majorBidi" w:cstheme="majorBidi"/>
          <w:szCs w:val="22"/>
          <w:lang w:val="fr-CA"/>
        </w:rPr>
        <w:t>.</w:t>
      </w:r>
      <w:r w:rsidR="00000FF4" w:rsidRPr="00B338BC">
        <w:rPr>
          <w:rFonts w:asciiTheme="majorBidi" w:hAnsiTheme="majorBidi" w:cstheme="majorBidi"/>
          <w:szCs w:val="22"/>
          <w:lang w:val="fr-CA"/>
        </w:rPr>
        <w:tab/>
      </w:r>
      <w:r w:rsidR="00000FF4">
        <w:rPr>
          <w:i/>
          <w:iCs/>
          <w:kern w:val="22"/>
          <w:lang w:val="fr-FR"/>
        </w:rPr>
        <w:t xml:space="preserve">Décide </w:t>
      </w:r>
      <w:r w:rsidR="00000FF4">
        <w:rPr>
          <w:kern w:val="22"/>
          <w:lang w:val="fr-FR"/>
        </w:rPr>
        <w:t>que les données de référence pour le plan d’action pour</w:t>
      </w:r>
      <w:r w:rsidR="00C73048">
        <w:rPr>
          <w:kern w:val="22"/>
          <w:lang w:val="fr-FR"/>
        </w:rPr>
        <w:t xml:space="preserve"> le renforcement des capacités comprendront</w:t>
      </w:r>
      <w:r w:rsidR="00000FF4">
        <w:rPr>
          <w:kern w:val="22"/>
          <w:lang w:val="fr-FR"/>
        </w:rPr>
        <w:t xml:space="preserve"> des informations recueillie</w:t>
      </w:r>
      <w:r>
        <w:rPr>
          <w:kern w:val="22"/>
          <w:lang w:val="fr-FR"/>
        </w:rPr>
        <w:t>s au cours du quatrième cycle d’établissement des</w:t>
      </w:r>
      <w:r w:rsidR="00000FF4">
        <w:rPr>
          <w:kern w:val="22"/>
          <w:lang w:val="fr-FR"/>
        </w:rPr>
        <w:t xml:space="preserve"> rapport</w:t>
      </w:r>
      <w:r>
        <w:rPr>
          <w:kern w:val="22"/>
          <w:lang w:val="fr-FR"/>
        </w:rPr>
        <w:t>s</w:t>
      </w:r>
      <w:r w:rsidR="00000FF4" w:rsidRPr="00B338BC">
        <w:rPr>
          <w:rStyle w:val="FootnoteReference"/>
          <w:rFonts w:asciiTheme="majorBidi" w:hAnsiTheme="majorBidi" w:cstheme="majorBidi"/>
          <w:szCs w:val="22"/>
          <w:lang w:val="fr-CA"/>
        </w:rPr>
        <w:footnoteReference w:id="5"/>
      </w:r>
      <w:r>
        <w:rPr>
          <w:kern w:val="22"/>
          <w:lang w:val="fr-CA"/>
        </w:rPr>
        <w:t>;</w:t>
      </w:r>
    </w:p>
    <w:p w14:paraId="1DA6CA02" w14:textId="486963E3" w:rsidR="00FD1311" w:rsidRDefault="00FD1311" w:rsidP="00FD1311">
      <w:pPr>
        <w:spacing w:before="120" w:after="120"/>
        <w:ind w:left="720" w:firstLine="720"/>
        <w:rPr>
          <w:rFonts w:asciiTheme="majorBidi" w:hAnsiTheme="majorBidi" w:cstheme="majorBidi"/>
          <w:lang w:val="fr-FR"/>
        </w:rPr>
      </w:pPr>
      <w:r>
        <w:rPr>
          <w:rFonts w:asciiTheme="majorBidi" w:hAnsiTheme="majorBidi" w:cstheme="majorBidi"/>
          <w:szCs w:val="22"/>
          <w:lang w:val="fr-CA"/>
        </w:rPr>
        <w:t>8</w:t>
      </w:r>
      <w:r w:rsidR="00000FF4" w:rsidRPr="00B338BC">
        <w:rPr>
          <w:rFonts w:asciiTheme="majorBidi" w:hAnsiTheme="majorBidi" w:cstheme="majorBidi"/>
          <w:szCs w:val="22"/>
          <w:lang w:val="fr-CA"/>
        </w:rPr>
        <w:t>.</w:t>
      </w:r>
      <w:r w:rsidR="00000FF4" w:rsidRPr="00B338BC">
        <w:rPr>
          <w:rFonts w:asciiTheme="majorBidi" w:hAnsiTheme="majorBidi" w:cstheme="majorBidi"/>
          <w:i/>
          <w:szCs w:val="22"/>
          <w:lang w:val="fr-CA"/>
        </w:rPr>
        <w:tab/>
      </w:r>
      <w:r w:rsidR="00000FF4">
        <w:rPr>
          <w:rFonts w:asciiTheme="majorBidi" w:hAnsiTheme="majorBidi" w:cstheme="majorBidi"/>
          <w:i/>
          <w:szCs w:val="22"/>
          <w:lang w:val="fr-CA"/>
        </w:rPr>
        <w:t>Décide</w:t>
      </w:r>
      <w:r>
        <w:rPr>
          <w:rFonts w:asciiTheme="majorBidi" w:hAnsiTheme="majorBidi" w:cstheme="majorBidi"/>
          <w:i/>
          <w:szCs w:val="22"/>
          <w:lang w:val="fr-CA"/>
        </w:rPr>
        <w:t xml:space="preserve"> également</w:t>
      </w:r>
      <w:r w:rsidR="00000FF4">
        <w:rPr>
          <w:rFonts w:asciiTheme="majorBidi" w:hAnsiTheme="majorBidi" w:cstheme="majorBidi"/>
          <w:i/>
          <w:szCs w:val="22"/>
          <w:lang w:val="fr-CA"/>
        </w:rPr>
        <w:t xml:space="preserve"> </w:t>
      </w:r>
      <w:r>
        <w:rPr>
          <w:rFonts w:asciiTheme="majorBidi" w:hAnsiTheme="majorBidi" w:cstheme="majorBidi"/>
          <w:szCs w:val="22"/>
          <w:lang w:val="fr-CA"/>
        </w:rPr>
        <w:t>d’entreprendre une évaluation à</w:t>
      </w:r>
      <w:r w:rsidR="00000FF4">
        <w:rPr>
          <w:rFonts w:asciiTheme="majorBidi" w:hAnsiTheme="majorBidi" w:cstheme="majorBidi"/>
          <w:szCs w:val="22"/>
          <w:lang w:val="fr-CA"/>
        </w:rPr>
        <w:t xml:space="preserve"> mi-parcours</w:t>
      </w:r>
      <w:r>
        <w:rPr>
          <w:rFonts w:asciiTheme="majorBidi" w:hAnsiTheme="majorBidi" w:cstheme="majorBidi"/>
          <w:szCs w:val="22"/>
          <w:lang w:val="fr-CA"/>
        </w:rPr>
        <w:t xml:space="preserve"> </w:t>
      </w:r>
      <w:r w:rsidR="00000FF4">
        <w:rPr>
          <w:rFonts w:asciiTheme="majorBidi" w:hAnsiTheme="majorBidi" w:cstheme="majorBidi"/>
          <w:szCs w:val="22"/>
          <w:lang w:val="fr-CA"/>
        </w:rPr>
        <w:t>du plan d’action pou</w:t>
      </w:r>
      <w:r>
        <w:rPr>
          <w:rFonts w:asciiTheme="majorBidi" w:hAnsiTheme="majorBidi" w:cstheme="majorBidi"/>
          <w:szCs w:val="22"/>
          <w:lang w:val="fr-CA"/>
        </w:rPr>
        <w:t>r le renforcement des capacités en même temps que l’évaluation à mi-parcours du plan de mise en œuvre</w:t>
      </w:r>
      <w:r w:rsidR="006E7DF3">
        <w:rPr>
          <w:rStyle w:val="FootnoteReference"/>
          <w:rFonts w:asciiTheme="majorBidi" w:hAnsiTheme="majorBidi" w:cstheme="majorBidi"/>
          <w:szCs w:val="22"/>
        </w:rPr>
        <w:footnoteReference w:id="6"/>
      </w:r>
      <w:r w:rsidR="00000FF4" w:rsidRPr="00B338BC">
        <w:rPr>
          <w:rFonts w:asciiTheme="majorBidi" w:hAnsiTheme="majorBidi" w:cstheme="majorBidi"/>
          <w:szCs w:val="22"/>
          <w:lang w:val="fr-CA"/>
        </w:rPr>
        <w:t>;</w:t>
      </w:r>
      <w:r w:rsidRPr="00FD1311">
        <w:rPr>
          <w:rFonts w:asciiTheme="majorBidi" w:hAnsiTheme="majorBidi" w:cstheme="majorBidi"/>
          <w:lang w:val="fr-FR"/>
        </w:rPr>
        <w:t xml:space="preserve"> </w:t>
      </w:r>
    </w:p>
    <w:p w14:paraId="0784C8A2" w14:textId="60AEFBFD" w:rsidR="00FD1311" w:rsidRPr="00FD1311" w:rsidRDefault="00FD1311" w:rsidP="00FD1311">
      <w:pPr>
        <w:spacing w:before="120" w:after="120"/>
        <w:ind w:left="720" w:firstLine="720"/>
        <w:rPr>
          <w:rFonts w:asciiTheme="majorBidi" w:hAnsiTheme="majorBidi" w:cstheme="majorBidi"/>
          <w:lang w:val="fr-FR"/>
        </w:rPr>
      </w:pPr>
      <w:r w:rsidRPr="00FD1311">
        <w:rPr>
          <w:rFonts w:asciiTheme="majorBidi" w:hAnsiTheme="majorBidi" w:cstheme="majorBidi"/>
          <w:lang w:val="fr-FR"/>
        </w:rPr>
        <w:t>[9.</w:t>
      </w:r>
      <w:r w:rsidRPr="00FD1311">
        <w:rPr>
          <w:rFonts w:asciiTheme="majorBidi" w:hAnsiTheme="majorBidi" w:cstheme="majorBidi"/>
          <w:lang w:val="fr-FR"/>
        </w:rPr>
        <w:tab/>
        <w:t xml:space="preserve"> [</w:t>
      </w:r>
      <w:r w:rsidRPr="00FD1311">
        <w:rPr>
          <w:rFonts w:asciiTheme="majorBidi" w:hAnsiTheme="majorBidi" w:cstheme="majorBidi"/>
          <w:i/>
          <w:lang w:val="fr-FR"/>
        </w:rPr>
        <w:t>Encourage</w:t>
      </w:r>
      <w:r w:rsidRPr="00FD1311">
        <w:rPr>
          <w:rFonts w:asciiTheme="majorBidi" w:hAnsiTheme="majorBidi" w:cstheme="majorBidi"/>
          <w:lang w:val="fr-FR"/>
        </w:rPr>
        <w:t xml:space="preserve"> les autorités nationales pour la prévention des risques biotechnologiques et </w:t>
      </w:r>
      <w:r w:rsidRPr="004973CD">
        <w:rPr>
          <w:rFonts w:asciiTheme="majorBidi" w:hAnsiTheme="majorBidi" w:cstheme="majorBidi"/>
          <w:iCs/>
          <w:lang w:val="fr-FR"/>
        </w:rPr>
        <w:t>invite</w:t>
      </w:r>
      <w:r w:rsidRPr="00FD1311">
        <w:rPr>
          <w:rFonts w:asciiTheme="majorBidi" w:hAnsiTheme="majorBidi" w:cstheme="majorBidi"/>
          <w:lang w:val="fr-FR"/>
        </w:rPr>
        <w:t xml:space="preserve"> les autres gouvernements, les universitaires, les établissements de </w:t>
      </w:r>
      <w:r>
        <w:rPr>
          <w:rFonts w:asciiTheme="majorBidi" w:hAnsiTheme="majorBidi" w:cstheme="majorBidi"/>
          <w:lang w:val="fr-FR"/>
        </w:rPr>
        <w:t>recherche</w:t>
      </w:r>
      <w:r w:rsidRPr="00FD1311">
        <w:rPr>
          <w:rFonts w:asciiTheme="majorBidi" w:hAnsiTheme="majorBidi" w:cstheme="majorBidi"/>
          <w:lang w:val="fr-FR"/>
        </w:rPr>
        <w:t xml:space="preserve">, les </w:t>
      </w:r>
      <w:r>
        <w:rPr>
          <w:rFonts w:asciiTheme="majorBidi" w:hAnsiTheme="majorBidi" w:cstheme="majorBidi"/>
          <w:lang w:val="fr-FR"/>
        </w:rPr>
        <w:t>peu</w:t>
      </w:r>
      <w:r w:rsidRPr="00FD1311">
        <w:rPr>
          <w:rFonts w:asciiTheme="majorBidi" w:hAnsiTheme="majorBidi" w:cstheme="majorBidi"/>
          <w:lang w:val="fr-FR"/>
        </w:rPr>
        <w:t xml:space="preserve">ples autochtones et </w:t>
      </w:r>
      <w:r>
        <w:rPr>
          <w:rFonts w:asciiTheme="majorBidi" w:hAnsiTheme="majorBidi" w:cstheme="majorBidi"/>
          <w:lang w:val="fr-FR"/>
        </w:rPr>
        <w:t xml:space="preserve">les </w:t>
      </w:r>
      <w:r w:rsidR="00C73048">
        <w:rPr>
          <w:rFonts w:asciiTheme="majorBidi" w:hAnsiTheme="majorBidi" w:cstheme="majorBidi"/>
          <w:lang w:val="fr-FR"/>
        </w:rPr>
        <w:t>communautés locales</w:t>
      </w:r>
      <w:r w:rsidRPr="00FD1311">
        <w:rPr>
          <w:rFonts w:asciiTheme="majorBidi" w:hAnsiTheme="majorBidi" w:cstheme="majorBidi"/>
          <w:lang w:val="fr-FR"/>
        </w:rPr>
        <w:t xml:space="preserve"> et d’autres parties prenantes concernées à appuyer la mise en </w:t>
      </w:r>
      <w:r>
        <w:rPr>
          <w:rFonts w:asciiTheme="majorBidi" w:hAnsiTheme="majorBidi" w:cstheme="majorBidi"/>
          <w:lang w:val="fr-FR"/>
        </w:rPr>
        <w:t>œuvre</w:t>
      </w:r>
      <w:r w:rsidRPr="00FD1311">
        <w:rPr>
          <w:rFonts w:asciiTheme="majorBidi" w:hAnsiTheme="majorBidi" w:cstheme="majorBidi"/>
          <w:lang w:val="fr-FR"/>
        </w:rPr>
        <w:t xml:space="preserve"> du plan d’action pour le renforcement des capacités [</w:t>
      </w:r>
      <w:r>
        <w:rPr>
          <w:rFonts w:asciiTheme="majorBidi" w:hAnsiTheme="majorBidi" w:cstheme="majorBidi"/>
          <w:lang w:val="fr-FR"/>
        </w:rPr>
        <w:t>en évitant et en gérant les conflits d’intérêt, selon qu’il convient</w:t>
      </w:r>
      <w:r w:rsidRPr="00FD1311">
        <w:rPr>
          <w:rFonts w:asciiTheme="majorBidi" w:hAnsiTheme="majorBidi" w:cstheme="majorBidi"/>
          <w:lang w:val="fr-FR"/>
        </w:rPr>
        <w:t>]]/[</w:t>
      </w:r>
      <w:r>
        <w:rPr>
          <w:rFonts w:asciiTheme="majorBidi" w:hAnsiTheme="majorBidi" w:cstheme="majorBidi"/>
          <w:i/>
          <w:iCs/>
          <w:lang w:val="fr-FR"/>
        </w:rPr>
        <w:t>Encourage</w:t>
      </w:r>
      <w:r w:rsidRPr="00FD1311">
        <w:rPr>
          <w:rFonts w:asciiTheme="majorBidi" w:hAnsiTheme="majorBidi" w:cstheme="majorBidi"/>
          <w:lang w:val="fr-FR"/>
        </w:rPr>
        <w:t xml:space="preserve"> </w:t>
      </w:r>
      <w:r>
        <w:rPr>
          <w:rFonts w:asciiTheme="majorBidi" w:hAnsiTheme="majorBidi" w:cstheme="majorBidi"/>
          <w:lang w:val="fr-FR"/>
        </w:rPr>
        <w:t xml:space="preserve">les </w:t>
      </w:r>
      <w:r w:rsidRPr="00FD1311">
        <w:rPr>
          <w:rFonts w:asciiTheme="majorBidi" w:hAnsiTheme="majorBidi" w:cstheme="majorBidi"/>
          <w:lang w:val="fr-FR"/>
        </w:rPr>
        <w:t xml:space="preserve">Parties, </w:t>
      </w:r>
      <w:r w:rsidR="00C73048">
        <w:rPr>
          <w:rFonts w:asciiTheme="majorBidi" w:hAnsiTheme="majorBidi" w:cstheme="majorBidi"/>
          <w:lang w:val="fr-FR"/>
        </w:rPr>
        <w:t>par l’intermédiaire</w:t>
      </w:r>
      <w:r>
        <w:rPr>
          <w:rFonts w:asciiTheme="majorBidi" w:hAnsiTheme="majorBidi" w:cstheme="majorBidi"/>
          <w:lang w:val="fr-FR"/>
        </w:rPr>
        <w:t xml:space="preserve"> des autorités nationales compétentes</w:t>
      </w:r>
      <w:r w:rsidRPr="00FD1311">
        <w:rPr>
          <w:rFonts w:asciiTheme="majorBidi" w:hAnsiTheme="majorBidi" w:cstheme="majorBidi"/>
          <w:lang w:val="fr-FR"/>
        </w:rPr>
        <w:t>,</w:t>
      </w:r>
      <w:r w:rsidR="00C73048">
        <w:rPr>
          <w:rFonts w:asciiTheme="majorBidi" w:hAnsiTheme="majorBidi" w:cstheme="majorBidi"/>
          <w:lang w:val="fr-FR"/>
        </w:rPr>
        <w:t xml:space="preserve"> à identifier d</w:t>
      </w:r>
      <w:r>
        <w:rPr>
          <w:rFonts w:asciiTheme="majorBidi" w:hAnsiTheme="majorBidi" w:cstheme="majorBidi"/>
          <w:lang w:val="fr-FR"/>
        </w:rPr>
        <w:t>es</w:t>
      </w:r>
      <w:r w:rsidR="00C73048">
        <w:rPr>
          <w:rFonts w:asciiTheme="majorBidi" w:hAnsiTheme="majorBidi" w:cstheme="majorBidi"/>
          <w:lang w:val="fr-FR"/>
        </w:rPr>
        <w:t xml:space="preserve"> acteurs pertinents pour soutenir</w:t>
      </w:r>
      <w:r>
        <w:rPr>
          <w:rFonts w:asciiTheme="majorBidi" w:hAnsiTheme="majorBidi" w:cstheme="majorBidi"/>
          <w:lang w:val="fr-FR"/>
        </w:rPr>
        <w:t xml:space="preserve"> la mise en œuvre du plan d’action pour le renforcement des capacités</w:t>
      </w:r>
      <w:r w:rsidRPr="00FD1311">
        <w:rPr>
          <w:rFonts w:asciiTheme="majorBidi" w:hAnsiTheme="majorBidi" w:cstheme="majorBidi"/>
          <w:lang w:val="fr-FR"/>
        </w:rPr>
        <w:t xml:space="preserve"> [</w:t>
      </w:r>
      <w:r>
        <w:rPr>
          <w:rFonts w:asciiTheme="majorBidi" w:hAnsiTheme="majorBidi" w:cstheme="majorBidi"/>
          <w:lang w:val="fr-FR"/>
        </w:rPr>
        <w:t>en évitant et en gérant les conflits d’intérêt, selon qu’il convient</w:t>
      </w:r>
      <w:r w:rsidRPr="00FD1311">
        <w:rPr>
          <w:rFonts w:asciiTheme="majorBidi" w:hAnsiTheme="majorBidi" w:cstheme="majorBidi"/>
          <w:lang w:val="fr-FR"/>
        </w:rPr>
        <w:t>]].]</w:t>
      </w:r>
    </w:p>
    <w:p w14:paraId="58A5FD6D" w14:textId="20FB262E" w:rsidR="00000FF4" w:rsidRPr="00FD1311" w:rsidRDefault="00000FF4" w:rsidP="00FD1311">
      <w:pPr>
        <w:spacing w:before="120" w:after="120"/>
        <w:ind w:left="720" w:firstLine="720"/>
        <w:rPr>
          <w:rFonts w:asciiTheme="majorBidi" w:hAnsiTheme="majorBidi" w:cstheme="majorBidi"/>
          <w:lang w:val="fr-FR"/>
        </w:rPr>
      </w:pPr>
    </w:p>
    <w:p w14:paraId="2AB007BA" w14:textId="662CE6A4" w:rsidR="008D3E98" w:rsidRPr="00FD1311" w:rsidRDefault="008D3E98" w:rsidP="008D3E98">
      <w:pPr>
        <w:spacing w:before="120" w:after="120"/>
        <w:ind w:left="709" w:firstLine="720"/>
        <w:rPr>
          <w:rFonts w:asciiTheme="majorBidi" w:hAnsiTheme="majorBidi" w:cstheme="majorBidi"/>
          <w:lang w:val="fr-FR"/>
        </w:rPr>
      </w:pPr>
    </w:p>
    <w:p w14:paraId="6398FFB0" w14:textId="77777777" w:rsidR="008D3E98" w:rsidRPr="00FD1311" w:rsidRDefault="008D3E98">
      <w:pPr>
        <w:jc w:val="left"/>
        <w:rPr>
          <w:rFonts w:asciiTheme="majorBidi" w:hAnsiTheme="majorBidi" w:cstheme="majorBidi"/>
          <w:lang w:val="fr-FR"/>
        </w:rPr>
      </w:pPr>
      <w:r w:rsidRPr="00FD1311">
        <w:rPr>
          <w:rFonts w:asciiTheme="majorBidi" w:hAnsiTheme="majorBidi" w:cstheme="majorBidi"/>
          <w:lang w:val="fr-FR"/>
        </w:rPr>
        <w:br w:type="page"/>
      </w:r>
    </w:p>
    <w:p w14:paraId="37DDD875" w14:textId="139787FF" w:rsidR="008723AC" w:rsidRPr="00F10E52" w:rsidRDefault="008723AC" w:rsidP="008723AC">
      <w:pPr>
        <w:pStyle w:val="Heading1"/>
        <w:rPr>
          <w:b w:val="0"/>
          <w:bCs/>
          <w:i/>
          <w:iCs/>
          <w:kern w:val="22"/>
          <w:lang w:val="fr-FR"/>
        </w:rPr>
      </w:pPr>
      <w:r>
        <w:rPr>
          <w:b w:val="0"/>
          <w:bCs/>
          <w:i/>
          <w:iCs/>
          <w:kern w:val="22"/>
          <w:szCs w:val="22"/>
          <w:lang w:val="fr-FR"/>
        </w:rPr>
        <w:t>A</w:t>
      </w:r>
      <w:r>
        <w:rPr>
          <w:b w:val="0"/>
          <w:bCs/>
          <w:i/>
          <w:iCs/>
          <w:caps w:val="0"/>
          <w:kern w:val="22"/>
          <w:szCs w:val="22"/>
          <w:lang w:val="fr-FR"/>
        </w:rPr>
        <w:t>nnexe</w:t>
      </w:r>
      <w:r w:rsidR="00C022E2">
        <w:rPr>
          <w:b w:val="0"/>
          <w:bCs/>
          <w:i/>
          <w:iCs/>
          <w:caps w:val="0"/>
          <w:kern w:val="22"/>
          <w:szCs w:val="22"/>
          <w:lang w:val="fr-FR"/>
        </w:rPr>
        <w:t xml:space="preserve"> I</w:t>
      </w:r>
    </w:p>
    <w:p w14:paraId="431D0D3F" w14:textId="7F53296D" w:rsidR="008723AC" w:rsidRPr="003E7758" w:rsidRDefault="008723AC" w:rsidP="00C73048">
      <w:pPr>
        <w:pStyle w:val="Heading1"/>
        <w:tabs>
          <w:tab w:val="clear" w:pos="720"/>
        </w:tabs>
        <w:spacing w:after="0"/>
        <w:contextualSpacing/>
        <w:rPr>
          <w:bCs/>
          <w:kern w:val="22"/>
          <w:szCs w:val="22"/>
          <w:lang w:val="fr-FR"/>
        </w:rPr>
      </w:pPr>
      <w:r>
        <w:rPr>
          <w:bCs/>
          <w:kern w:val="22"/>
          <w:szCs w:val="22"/>
          <w:lang w:val="fr-FR"/>
        </w:rPr>
        <w:t>PLAN DE MISE EN ŒUVRE DU Protocole de Cartagena  (2021-2030)</w:t>
      </w:r>
    </w:p>
    <w:p w14:paraId="4C920D9E" w14:textId="453E3A66" w:rsidR="008723AC" w:rsidRPr="00F10E52" w:rsidRDefault="008723AC" w:rsidP="003E7758">
      <w:pPr>
        <w:pStyle w:val="Heading1"/>
        <w:suppressLineNumbers/>
        <w:suppressAutoHyphens/>
        <w:ind w:left="1134" w:hanging="567"/>
        <w:rPr>
          <w:kern w:val="22"/>
          <w:lang w:val="fr-FR"/>
        </w:rPr>
      </w:pPr>
      <w:r>
        <w:rPr>
          <w:bCs/>
          <w:kern w:val="22"/>
          <w:szCs w:val="22"/>
          <w:lang w:val="fr-FR"/>
        </w:rPr>
        <w:t>I.</w:t>
      </w:r>
      <w:r>
        <w:rPr>
          <w:bCs/>
          <w:kern w:val="22"/>
          <w:szCs w:val="22"/>
          <w:lang w:val="fr-FR"/>
        </w:rPr>
        <w:tab/>
      </w:r>
      <w:r>
        <w:rPr>
          <w:bCs/>
          <w:kern w:val="22"/>
          <w:szCs w:val="22"/>
          <w:lang w:val="fr-FR"/>
        </w:rPr>
        <w:tab/>
        <w:t>Objectif du plan de mise en œuvre</w:t>
      </w:r>
    </w:p>
    <w:p w14:paraId="1A21372C" w14:textId="3405FB24" w:rsidR="008723AC" w:rsidRPr="00F10E52" w:rsidRDefault="008723AC" w:rsidP="008723AC">
      <w:pPr>
        <w:numPr>
          <w:ilvl w:val="0"/>
          <w:numId w:val="23"/>
        </w:numPr>
        <w:spacing w:before="120" w:after="120"/>
        <w:ind w:left="0" w:firstLine="0"/>
        <w:rPr>
          <w:kern w:val="22"/>
          <w:lang w:val="fr-FR"/>
        </w:rPr>
      </w:pPr>
      <w:r>
        <w:rPr>
          <w:kern w:val="22"/>
          <w:szCs w:val="22"/>
          <w:lang w:val="fr-FR"/>
        </w:rPr>
        <w:t>Le Plan de mise en œuvre a été élaboré pour constituer le cadre des grands résultats et réalisations souhaitables pour aider les Parties à mettre en œuvre le Protocole et mesurer les progrès</w:t>
      </w:r>
      <w:r w:rsidR="00C73048">
        <w:rPr>
          <w:kern w:val="22"/>
          <w:szCs w:val="22"/>
          <w:lang w:val="fr-FR"/>
        </w:rPr>
        <w:t xml:space="preserve"> accomplis</w:t>
      </w:r>
      <w:r>
        <w:rPr>
          <w:kern w:val="22"/>
          <w:szCs w:val="22"/>
          <w:lang w:val="fr-FR"/>
        </w:rPr>
        <w:t xml:space="preserve"> à cet égard pour la période 2021-2030.</w:t>
      </w:r>
    </w:p>
    <w:p w14:paraId="074E657C" w14:textId="6B31FE8B" w:rsidR="008723AC" w:rsidRPr="00F10E52" w:rsidRDefault="008723AC" w:rsidP="008723AC">
      <w:pPr>
        <w:numPr>
          <w:ilvl w:val="0"/>
          <w:numId w:val="23"/>
        </w:numPr>
        <w:spacing w:before="120" w:after="120"/>
        <w:ind w:left="0" w:firstLine="0"/>
        <w:rPr>
          <w:kern w:val="22"/>
          <w:lang w:val="fr-FR"/>
        </w:rPr>
      </w:pPr>
      <w:r>
        <w:rPr>
          <w:kern w:val="22"/>
          <w:szCs w:val="22"/>
          <w:lang w:val="fr-FR"/>
        </w:rPr>
        <w:t>L</w:t>
      </w:r>
      <w:r w:rsidR="002E5CC7">
        <w:rPr>
          <w:kern w:val="22"/>
          <w:szCs w:val="22"/>
          <w:lang w:val="fr-FR"/>
        </w:rPr>
        <w:t>e plan de mise en œuvre a pour complément l</w:t>
      </w:r>
      <w:r>
        <w:rPr>
          <w:kern w:val="22"/>
          <w:szCs w:val="22"/>
          <w:lang w:val="fr-FR"/>
        </w:rPr>
        <w:t>e plan d’action pour le re</w:t>
      </w:r>
      <w:r w:rsidR="003E7758">
        <w:rPr>
          <w:kern w:val="22"/>
          <w:szCs w:val="22"/>
          <w:lang w:val="fr-FR"/>
        </w:rPr>
        <w:t>nforcement des capacités</w:t>
      </w:r>
      <w:r w:rsidR="00C73048">
        <w:rPr>
          <w:kern w:val="22"/>
          <w:szCs w:val="22"/>
          <w:lang w:val="fr-FR"/>
        </w:rPr>
        <w:t>,</w:t>
      </w:r>
      <w:r>
        <w:rPr>
          <w:kern w:val="22"/>
          <w:szCs w:val="22"/>
          <w:lang w:val="fr-FR"/>
        </w:rPr>
        <w:t xml:space="preserve"> </w:t>
      </w:r>
      <w:r w:rsidR="00CA3A21">
        <w:rPr>
          <w:kern w:val="22"/>
          <w:szCs w:val="22"/>
          <w:lang w:val="fr-FR"/>
        </w:rPr>
        <w:t>dans le but</w:t>
      </w:r>
      <w:r w:rsidR="002E5CC7">
        <w:rPr>
          <w:kern w:val="22"/>
          <w:szCs w:val="22"/>
          <w:lang w:val="fr-FR"/>
        </w:rPr>
        <w:t xml:space="preserve"> </w:t>
      </w:r>
      <w:r w:rsidR="00C73048">
        <w:rPr>
          <w:kern w:val="22"/>
          <w:szCs w:val="22"/>
          <w:lang w:val="fr-FR"/>
        </w:rPr>
        <w:t>de faciliter la création de capacités</w:t>
      </w:r>
      <w:r>
        <w:rPr>
          <w:kern w:val="22"/>
          <w:szCs w:val="22"/>
          <w:lang w:val="fr-FR"/>
        </w:rPr>
        <w:t xml:space="preserve"> et le renforcement des capacités des Parties à appliquer le Protocole</w:t>
      </w:r>
      <w:r w:rsidR="00C73048">
        <w:rPr>
          <w:kern w:val="22"/>
          <w:szCs w:val="22"/>
          <w:lang w:val="fr-FR"/>
        </w:rPr>
        <w:t>, en favorisa</w:t>
      </w:r>
      <w:r>
        <w:rPr>
          <w:kern w:val="22"/>
          <w:szCs w:val="22"/>
          <w:lang w:val="fr-FR"/>
        </w:rPr>
        <w:t>nt la participation des partenaires, y compris des donateurs</w:t>
      </w:r>
      <w:r w:rsidR="00CA3A21">
        <w:rPr>
          <w:kern w:val="22"/>
          <w:szCs w:val="22"/>
          <w:lang w:val="fr-FR"/>
        </w:rPr>
        <w:t>,</w:t>
      </w:r>
      <w:r>
        <w:rPr>
          <w:kern w:val="22"/>
          <w:szCs w:val="22"/>
          <w:lang w:val="fr-FR"/>
        </w:rPr>
        <w:t> </w:t>
      </w:r>
      <w:r w:rsidR="002E5CC7">
        <w:rPr>
          <w:kern w:val="22"/>
          <w:szCs w:val="22"/>
          <w:lang w:val="fr-FR"/>
        </w:rPr>
        <w:t xml:space="preserve">et en </w:t>
      </w:r>
      <w:r>
        <w:rPr>
          <w:kern w:val="22"/>
          <w:szCs w:val="22"/>
          <w:lang w:val="fr-FR"/>
        </w:rPr>
        <w:t xml:space="preserve">encourageant la coopération et la coordination régionales et internationales. Le plan d’action pour le renforcement des capacités couvre la même période que le plan de mise en œuvre, </w:t>
      </w:r>
      <w:r w:rsidR="00C73048">
        <w:rPr>
          <w:kern w:val="22"/>
          <w:szCs w:val="22"/>
          <w:lang w:val="fr-FR"/>
        </w:rPr>
        <w:t xml:space="preserve">à savoir, </w:t>
      </w:r>
      <w:r>
        <w:rPr>
          <w:kern w:val="22"/>
          <w:szCs w:val="22"/>
          <w:lang w:val="fr-FR"/>
        </w:rPr>
        <w:t>de 2021 à 2030.</w:t>
      </w:r>
    </w:p>
    <w:p w14:paraId="6597F8FF" w14:textId="4FC815EE" w:rsidR="008723AC" w:rsidRPr="00F10E52" w:rsidRDefault="008723AC" w:rsidP="008723AC">
      <w:pPr>
        <w:numPr>
          <w:ilvl w:val="0"/>
          <w:numId w:val="23"/>
        </w:numPr>
        <w:spacing w:before="120" w:after="120"/>
        <w:ind w:left="0" w:firstLine="0"/>
        <w:rPr>
          <w:b/>
          <w:kern w:val="22"/>
          <w:lang w:val="fr-FR"/>
        </w:rPr>
      </w:pPr>
      <w:r>
        <w:rPr>
          <w:kern w:val="22"/>
          <w:szCs w:val="22"/>
          <w:lang w:val="fr-FR"/>
        </w:rPr>
        <w:t>Le plan de mise en œuvre s’adresse principalement aux Parties. Néanmoins, il est reconnu que les non-Parties et les parties prenan</w:t>
      </w:r>
      <w:r w:rsidR="00C73048">
        <w:rPr>
          <w:kern w:val="22"/>
          <w:szCs w:val="22"/>
          <w:lang w:val="fr-FR"/>
        </w:rPr>
        <w:t xml:space="preserve">tes de différents secteurs, organisations, </w:t>
      </w:r>
      <w:r>
        <w:rPr>
          <w:kern w:val="22"/>
          <w:szCs w:val="22"/>
          <w:lang w:val="fr-FR"/>
        </w:rPr>
        <w:t>peuples autochtones et communautés locales</w:t>
      </w:r>
      <w:r w:rsidR="00C73048">
        <w:rPr>
          <w:kern w:val="22"/>
          <w:szCs w:val="22"/>
          <w:lang w:val="fr-FR"/>
        </w:rPr>
        <w:t>,</w:t>
      </w:r>
      <w:r>
        <w:rPr>
          <w:kern w:val="22"/>
          <w:szCs w:val="22"/>
          <w:lang w:val="fr-FR"/>
        </w:rPr>
        <w:t xml:space="preserve"> ainsi que les </w:t>
      </w:r>
      <w:r w:rsidR="00C73048">
        <w:rPr>
          <w:kern w:val="22"/>
          <w:szCs w:val="22"/>
          <w:lang w:val="fr-FR"/>
        </w:rPr>
        <w:t xml:space="preserve">organismes </w:t>
      </w:r>
      <w:r>
        <w:rPr>
          <w:kern w:val="22"/>
          <w:szCs w:val="22"/>
          <w:lang w:val="fr-FR"/>
        </w:rPr>
        <w:t>donateurs</w:t>
      </w:r>
      <w:r w:rsidR="00C73048">
        <w:rPr>
          <w:kern w:val="22"/>
          <w:szCs w:val="22"/>
          <w:lang w:val="fr-FR"/>
        </w:rPr>
        <w:t>,</w:t>
      </w:r>
      <w:r>
        <w:rPr>
          <w:kern w:val="22"/>
          <w:szCs w:val="22"/>
          <w:lang w:val="fr-FR"/>
        </w:rPr>
        <w:t xml:space="preserve"> peuvent souteni</w:t>
      </w:r>
      <w:r w:rsidR="00C73048">
        <w:rPr>
          <w:kern w:val="22"/>
          <w:szCs w:val="22"/>
          <w:lang w:val="fr-FR"/>
        </w:rPr>
        <w:t>r l’application</w:t>
      </w:r>
      <w:r w:rsidR="002E5CC7">
        <w:rPr>
          <w:kern w:val="22"/>
          <w:szCs w:val="22"/>
          <w:lang w:val="fr-FR"/>
        </w:rPr>
        <w:t xml:space="preserve"> du Protocole</w:t>
      </w:r>
      <w:r>
        <w:rPr>
          <w:kern w:val="22"/>
          <w:szCs w:val="22"/>
          <w:lang w:val="fr-FR"/>
        </w:rPr>
        <w:t>.</w:t>
      </w:r>
    </w:p>
    <w:p w14:paraId="12383C43" w14:textId="3E80C771" w:rsidR="008723AC" w:rsidRPr="00F10E52" w:rsidRDefault="008723AC" w:rsidP="008723AC">
      <w:pPr>
        <w:pStyle w:val="Heading1"/>
        <w:suppressLineNumbers/>
        <w:suppressAutoHyphens/>
        <w:ind w:left="1134" w:hanging="567"/>
        <w:jc w:val="left"/>
        <w:rPr>
          <w:kern w:val="22"/>
          <w:lang w:val="fr-FR"/>
        </w:rPr>
      </w:pPr>
      <w:r>
        <w:rPr>
          <w:bCs/>
          <w:kern w:val="22"/>
          <w:szCs w:val="22"/>
          <w:lang w:val="fr-FR"/>
        </w:rPr>
        <w:t>II.</w:t>
      </w:r>
      <w:r>
        <w:rPr>
          <w:bCs/>
          <w:kern w:val="22"/>
          <w:szCs w:val="22"/>
          <w:lang w:val="fr-FR"/>
        </w:rPr>
        <w:tab/>
        <w:t>Lien avec le cadre mondial de la</w:t>
      </w:r>
      <w:r w:rsidR="00C73048">
        <w:rPr>
          <w:bCs/>
          <w:kern w:val="22"/>
          <w:szCs w:val="22"/>
          <w:lang w:val="fr-FR"/>
        </w:rPr>
        <w:t xml:space="preserve"> biodiversité pour l’après-2020</w:t>
      </w:r>
      <w:r>
        <w:rPr>
          <w:bCs/>
          <w:kern w:val="22"/>
          <w:szCs w:val="22"/>
          <w:lang w:val="fr-FR"/>
        </w:rPr>
        <w:t xml:space="preserve"> et le Programme de développement durable à l’horizon 2030</w:t>
      </w:r>
    </w:p>
    <w:p w14:paraId="126C7FDA" w14:textId="3F2800F8" w:rsidR="008723AC" w:rsidRPr="00F10E52" w:rsidRDefault="008723AC" w:rsidP="008723AC">
      <w:pPr>
        <w:numPr>
          <w:ilvl w:val="0"/>
          <w:numId w:val="23"/>
        </w:numPr>
        <w:spacing w:before="120" w:after="120"/>
        <w:ind w:left="0" w:firstLine="0"/>
        <w:rPr>
          <w:kern w:val="22"/>
          <w:lang w:val="fr-FR"/>
        </w:rPr>
      </w:pPr>
      <w:r>
        <w:rPr>
          <w:kern w:val="22"/>
          <w:szCs w:val="22"/>
          <w:lang w:val="fr-FR"/>
        </w:rPr>
        <w:t>Le plan de mise en œuvre est basé sur le cadre mondial de la biodiversité pour l’ap</w:t>
      </w:r>
      <w:r w:rsidR="00C73048">
        <w:rPr>
          <w:kern w:val="22"/>
          <w:szCs w:val="22"/>
          <w:lang w:val="fr-FR"/>
        </w:rPr>
        <w:t>rès-2020 et est complémentaire de</w:t>
      </w:r>
      <w:r>
        <w:rPr>
          <w:kern w:val="22"/>
          <w:szCs w:val="22"/>
          <w:lang w:val="fr-FR"/>
        </w:rPr>
        <w:t xml:space="preserve"> celui-ci, car ses buts, objectifs et résultats contribuent à la réalisation de la vision 2050 du cadre</w:t>
      </w:r>
      <w:r w:rsidR="00C73048">
        <w:rPr>
          <w:kern w:val="22"/>
          <w:szCs w:val="22"/>
          <w:lang w:val="fr-FR"/>
        </w:rPr>
        <w:t>, à savoir, « d</w:t>
      </w:r>
      <w:r>
        <w:rPr>
          <w:kern w:val="22"/>
          <w:szCs w:val="22"/>
          <w:lang w:val="fr-FR"/>
        </w:rPr>
        <w:t>’ici à 2050, la diversité biologique est valorisée, conservée, restaurée et utilisée avec sagesse, en assurant le maintien des services fournis par les écosystèmes, en maintenant la planète en bonne santé et en procurant des avantages essentiels à tous les peuples »</w:t>
      </w:r>
      <w:r w:rsidR="00C73048">
        <w:rPr>
          <w:kern w:val="22"/>
          <w:szCs w:val="22"/>
          <w:lang w:val="fr-FR"/>
        </w:rPr>
        <w:t>,</w:t>
      </w:r>
      <w:r w:rsidR="005D6B58">
        <w:rPr>
          <w:kern w:val="22"/>
          <w:szCs w:val="22"/>
          <w:lang w:val="fr-FR"/>
        </w:rPr>
        <w:t xml:space="preserve"> et de sa mission « P</w:t>
      </w:r>
      <w:r>
        <w:rPr>
          <w:kern w:val="22"/>
          <w:szCs w:val="22"/>
          <w:lang w:val="fr-FR"/>
        </w:rPr>
        <w:t>rendre d’urgence des mesures dans l’ensemble de la société pour mettre la biodiversité sur la voie du rétablissement, au profit de la planète et des populations ». Le plan de mise en œuvre est dest</w:t>
      </w:r>
      <w:r w:rsidR="005D6B58">
        <w:rPr>
          <w:kern w:val="22"/>
          <w:szCs w:val="22"/>
          <w:lang w:val="fr-FR"/>
        </w:rPr>
        <w:t>iné à faciliter l’application</w:t>
      </w:r>
      <w:r>
        <w:rPr>
          <w:kern w:val="22"/>
          <w:szCs w:val="22"/>
          <w:lang w:val="fr-FR"/>
        </w:rPr>
        <w:t xml:space="preserve"> du Protocole de Cartagena et s’adresse aux Parties au Protocole de Cartagena. Le plan de mise en œu</w:t>
      </w:r>
      <w:r w:rsidR="005D6B58">
        <w:rPr>
          <w:kern w:val="22"/>
          <w:szCs w:val="22"/>
          <w:lang w:val="fr-FR"/>
        </w:rPr>
        <w:t xml:space="preserve">vre peut également aider et orienter les Parties pour </w:t>
      </w:r>
      <w:r>
        <w:rPr>
          <w:kern w:val="22"/>
          <w:szCs w:val="22"/>
          <w:lang w:val="fr-FR"/>
        </w:rPr>
        <w:t>atteindre des buts et des cibles en matière de prévention des risques biotechnologiques dans le cadre mondial de la biodiversité pour l’après-2020</w:t>
      </w:r>
      <w:r w:rsidR="002E5CC7">
        <w:rPr>
          <w:kern w:val="22"/>
          <w:szCs w:val="22"/>
          <w:lang w:val="fr-FR"/>
        </w:rPr>
        <w:t xml:space="preserve"> [plus particulièrement l’objectif de prévention des risques biotechnologiques du cadre mondial de la biodiversité]</w:t>
      </w:r>
      <w:r>
        <w:rPr>
          <w:kern w:val="22"/>
          <w:szCs w:val="22"/>
          <w:lang w:val="fr-FR"/>
        </w:rPr>
        <w:t>.</w:t>
      </w:r>
    </w:p>
    <w:p w14:paraId="1F740541" w14:textId="23BEC500" w:rsidR="008723AC" w:rsidRPr="00862A44" w:rsidRDefault="008723AC" w:rsidP="008723AC">
      <w:pPr>
        <w:numPr>
          <w:ilvl w:val="0"/>
          <w:numId w:val="23"/>
        </w:numPr>
        <w:spacing w:before="120" w:after="120"/>
        <w:ind w:left="0" w:firstLine="0"/>
        <w:rPr>
          <w:kern w:val="22"/>
          <w:lang w:val="fr-FR"/>
        </w:rPr>
      </w:pPr>
      <w:r>
        <w:rPr>
          <w:kern w:val="22"/>
          <w:szCs w:val="22"/>
          <w:lang w:val="fr-FR"/>
        </w:rPr>
        <w:t xml:space="preserve">Le plan de mise en œuvre </w:t>
      </w:r>
      <w:r w:rsidR="00862A44">
        <w:rPr>
          <w:kern w:val="22"/>
          <w:szCs w:val="22"/>
          <w:lang w:val="fr-FR"/>
        </w:rPr>
        <w:t>peut</w:t>
      </w:r>
      <w:r>
        <w:rPr>
          <w:kern w:val="22"/>
          <w:szCs w:val="22"/>
          <w:lang w:val="fr-FR"/>
        </w:rPr>
        <w:t xml:space="preserve"> également aider les Parties à atteindre les Objectifs de développement durable, notamment l’Objectif 2 (</w:t>
      </w:r>
      <w:r w:rsidRPr="00A37A0D">
        <w:rPr>
          <w:iCs/>
          <w:kern w:val="22"/>
          <w:szCs w:val="22"/>
          <w:lang w:val="fr-FR"/>
        </w:rPr>
        <w:t>Éliminer la faim, assurer la sécurité alimentaire, améliorer la nutrition et promouvoir l’agriculture durable</w:t>
      </w:r>
      <w:r w:rsidRPr="00A37A0D">
        <w:rPr>
          <w:kern w:val="22"/>
          <w:szCs w:val="22"/>
          <w:lang w:val="fr-FR"/>
        </w:rPr>
        <w:t>) et l’Objectif 3 (</w:t>
      </w:r>
      <w:r w:rsidRPr="00A37A0D">
        <w:rPr>
          <w:iCs/>
          <w:kern w:val="22"/>
          <w:szCs w:val="22"/>
          <w:lang w:val="fr-FR"/>
        </w:rPr>
        <w:t>Permettre à tous de vivre en bonne santé et promouvoir le bien-être de tous à tout âge</w:t>
      </w:r>
      <w:r w:rsidRPr="00A37A0D">
        <w:rPr>
          <w:kern w:val="22"/>
          <w:szCs w:val="22"/>
          <w:lang w:val="fr-FR"/>
        </w:rPr>
        <w:t>).</w:t>
      </w:r>
    </w:p>
    <w:p w14:paraId="40FA44F0" w14:textId="56456FA9" w:rsidR="008723AC" w:rsidRPr="00F10E52" w:rsidRDefault="008723AC" w:rsidP="00862A44">
      <w:pPr>
        <w:pStyle w:val="Heading1"/>
        <w:suppressLineNumbers/>
        <w:suppressAutoHyphens/>
        <w:ind w:left="1134" w:hanging="567"/>
        <w:rPr>
          <w:kern w:val="22"/>
          <w:lang w:val="fr-FR"/>
        </w:rPr>
      </w:pPr>
      <w:r>
        <w:rPr>
          <w:bCs/>
          <w:kern w:val="22"/>
          <w:szCs w:val="22"/>
          <w:lang w:val="fr-FR"/>
        </w:rPr>
        <w:t>III.</w:t>
      </w:r>
      <w:r>
        <w:rPr>
          <w:bCs/>
          <w:kern w:val="22"/>
          <w:szCs w:val="22"/>
          <w:lang w:val="fr-FR"/>
        </w:rPr>
        <w:tab/>
      </w:r>
      <w:r w:rsidR="00FB06E2">
        <w:rPr>
          <w:bCs/>
          <w:kern w:val="22"/>
          <w:szCs w:val="22"/>
          <w:lang w:val="fr-FR"/>
        </w:rPr>
        <w:t>STRUCTURE</w:t>
      </w:r>
      <w:r>
        <w:rPr>
          <w:bCs/>
          <w:kern w:val="22"/>
          <w:szCs w:val="22"/>
          <w:lang w:val="fr-FR"/>
        </w:rPr>
        <w:t xml:space="preserve"> du plan de mise en œuvre</w:t>
      </w:r>
    </w:p>
    <w:p w14:paraId="5C33791D" w14:textId="77AB506A" w:rsidR="008723AC" w:rsidRPr="00F10E52" w:rsidRDefault="00862A44" w:rsidP="008723AC">
      <w:pPr>
        <w:numPr>
          <w:ilvl w:val="0"/>
          <w:numId w:val="23"/>
        </w:numPr>
        <w:spacing w:before="120" w:after="120"/>
        <w:ind w:left="0" w:firstLine="0"/>
        <w:rPr>
          <w:kern w:val="22"/>
          <w:lang w:val="fr-FR"/>
        </w:rPr>
      </w:pPr>
      <w:r>
        <w:rPr>
          <w:kern w:val="22"/>
          <w:szCs w:val="22"/>
          <w:lang w:val="fr-FR"/>
        </w:rPr>
        <w:t>L’appendice propose un</w:t>
      </w:r>
      <w:r w:rsidR="008723AC">
        <w:rPr>
          <w:kern w:val="22"/>
          <w:szCs w:val="22"/>
          <w:lang w:val="fr-FR"/>
        </w:rPr>
        <w:t xml:space="preserve"> tableau récapitulatif des buts, objectifs, indicateurs et rés</w:t>
      </w:r>
      <w:r>
        <w:rPr>
          <w:kern w:val="22"/>
          <w:szCs w:val="22"/>
          <w:lang w:val="fr-FR"/>
        </w:rPr>
        <w:t>ultats du plan de mise en œuvre</w:t>
      </w:r>
      <w:r w:rsidR="008723AC">
        <w:rPr>
          <w:kern w:val="22"/>
          <w:szCs w:val="22"/>
          <w:lang w:val="fr-FR"/>
        </w:rPr>
        <w:t>.</w:t>
      </w:r>
    </w:p>
    <w:p w14:paraId="28FB65C2" w14:textId="71B80F7B" w:rsidR="008723AC" w:rsidRPr="00F10E52" w:rsidRDefault="008723AC" w:rsidP="008723AC">
      <w:pPr>
        <w:numPr>
          <w:ilvl w:val="0"/>
          <w:numId w:val="23"/>
        </w:numPr>
        <w:spacing w:before="120" w:after="120"/>
        <w:ind w:left="0" w:firstLine="0"/>
        <w:rPr>
          <w:kern w:val="22"/>
          <w:lang w:val="fr-FR"/>
        </w:rPr>
      </w:pPr>
      <w:r>
        <w:rPr>
          <w:kern w:val="22"/>
          <w:szCs w:val="22"/>
          <w:lang w:val="fr-FR"/>
        </w:rPr>
        <w:t xml:space="preserve">Le plan de mise en œuvre comprend des </w:t>
      </w:r>
      <w:r w:rsidRPr="00862A44">
        <w:rPr>
          <w:bCs/>
          <w:kern w:val="22"/>
          <w:szCs w:val="22"/>
          <w:lang w:val="fr-FR"/>
        </w:rPr>
        <w:t>buts</w:t>
      </w:r>
      <w:r>
        <w:rPr>
          <w:kern w:val="22"/>
          <w:szCs w:val="22"/>
          <w:lang w:val="fr-FR"/>
        </w:rPr>
        <w:t>, représentant les grandes réalisations souhaitables des Parties. Ces buts sont organisés selon des « domaines de mise en œuvre » et un « environnement favorable ». Les « domaines de mise en œuvre » sont constitués de buts concernant des élé</w:t>
      </w:r>
      <w:r w:rsidR="005D6B58">
        <w:rPr>
          <w:kern w:val="22"/>
          <w:szCs w:val="22"/>
          <w:lang w:val="fr-FR"/>
        </w:rPr>
        <w:t>ments clés pour l’application</w:t>
      </w:r>
      <w:r>
        <w:rPr>
          <w:kern w:val="22"/>
          <w:szCs w:val="22"/>
          <w:lang w:val="fr-FR"/>
        </w:rPr>
        <w:t xml:space="preserve"> du Protocole. L’« environnement favorable » comprend des buts transversaux liés à l’appui à la mise en œuvre, c.-à-d. le renforcement des capacités, la mobilisation des ressources, la coopération ainsi que la sensibilisation, l’éducation et la participation du public. Les buts de « l’environnement favorable » représentent des réalisations transversales qui bénéficient à divers buts liés à la mise en œuvre et peuvent être lus conjointement avec les buts liés aux « domaines de mise en œuvre ». À chaque but correspondent des objectifs, des résultats et des indicateurs.</w:t>
      </w:r>
    </w:p>
    <w:p w14:paraId="4F7B7C7F" w14:textId="77777777" w:rsidR="008723AC" w:rsidRPr="00C061D4" w:rsidRDefault="008723AC" w:rsidP="008723AC">
      <w:pPr>
        <w:numPr>
          <w:ilvl w:val="0"/>
          <w:numId w:val="23"/>
        </w:numPr>
        <w:spacing w:before="120" w:after="120"/>
        <w:ind w:left="0" w:firstLine="0"/>
        <w:rPr>
          <w:kern w:val="22"/>
        </w:rPr>
      </w:pPr>
      <w:r>
        <w:rPr>
          <w:kern w:val="22"/>
          <w:szCs w:val="22"/>
          <w:lang w:val="fr-FR"/>
        </w:rPr>
        <w:t xml:space="preserve">Les </w:t>
      </w:r>
      <w:r w:rsidRPr="00862A44">
        <w:rPr>
          <w:bCs/>
          <w:kern w:val="22"/>
          <w:szCs w:val="22"/>
          <w:lang w:val="fr-FR"/>
        </w:rPr>
        <w:t>objectifs</w:t>
      </w:r>
      <w:r>
        <w:rPr>
          <w:kern w:val="22"/>
          <w:szCs w:val="22"/>
          <w:lang w:val="fr-FR"/>
        </w:rPr>
        <w:t xml:space="preserve"> décrivent les principales réalisations nécessaires pour atteindre le but auquel ils se rapportent. Ils ne visent pas à fournir une liste exhaustive des réalisations pouvant être pertinentes pour atteindre le but. Ils suivent les dispositions du Protocole, y compris les obligations et autres dispositions, ainsi que les orientations fournies par les décisions de la Conférence des Parties siégeant en tant que réunion des Parties au Protocole. La plupart des buts comprennent plusieurs objectifs.</w:t>
      </w:r>
    </w:p>
    <w:p w14:paraId="4F63F6BE" w14:textId="1E243DF6" w:rsidR="008723AC" w:rsidRPr="00F10E52" w:rsidRDefault="008723AC" w:rsidP="008723AC">
      <w:pPr>
        <w:numPr>
          <w:ilvl w:val="0"/>
          <w:numId w:val="23"/>
        </w:numPr>
        <w:spacing w:before="120" w:after="120"/>
        <w:ind w:left="0" w:firstLine="0"/>
        <w:rPr>
          <w:kern w:val="22"/>
          <w:lang w:val="fr-FR"/>
        </w:rPr>
      </w:pPr>
      <w:r>
        <w:rPr>
          <w:kern w:val="22"/>
          <w:szCs w:val="22"/>
          <w:lang w:val="fr-FR"/>
        </w:rPr>
        <w:t xml:space="preserve">Les </w:t>
      </w:r>
      <w:r w:rsidRPr="00862A44">
        <w:rPr>
          <w:bCs/>
          <w:kern w:val="22"/>
          <w:szCs w:val="22"/>
          <w:lang w:val="fr-FR"/>
        </w:rPr>
        <w:t>indicateurs</w:t>
      </w:r>
      <w:r>
        <w:rPr>
          <w:kern w:val="22"/>
          <w:szCs w:val="22"/>
          <w:lang w:val="fr-FR"/>
        </w:rPr>
        <w:t xml:space="preserve"> sont conçus pou</w:t>
      </w:r>
      <w:r w:rsidR="005D6B58">
        <w:rPr>
          <w:kern w:val="22"/>
          <w:szCs w:val="22"/>
          <w:lang w:val="fr-FR"/>
        </w:rPr>
        <w:t>r mesurer les progrès accomplis dans la réalisation des</w:t>
      </w:r>
      <w:r>
        <w:rPr>
          <w:kern w:val="22"/>
          <w:szCs w:val="22"/>
          <w:lang w:val="fr-FR"/>
        </w:rPr>
        <w:t xml:space="preserve"> objectifs. Les indicateurs se veulent simples, mesurables et pertinents </w:t>
      </w:r>
      <w:r w:rsidR="005D6B58">
        <w:rPr>
          <w:kern w:val="22"/>
          <w:szCs w:val="22"/>
          <w:lang w:val="fr-FR"/>
        </w:rPr>
        <w:t>par rapport à l’objectif correspondant</w:t>
      </w:r>
      <w:r>
        <w:rPr>
          <w:kern w:val="22"/>
          <w:szCs w:val="22"/>
          <w:lang w:val="fr-FR"/>
        </w:rPr>
        <w:t>.</w:t>
      </w:r>
    </w:p>
    <w:p w14:paraId="48FDB25C" w14:textId="77777777" w:rsidR="008723AC" w:rsidRPr="00F10E52" w:rsidRDefault="008723AC" w:rsidP="008723AC">
      <w:pPr>
        <w:numPr>
          <w:ilvl w:val="0"/>
          <w:numId w:val="23"/>
        </w:numPr>
        <w:spacing w:before="120" w:after="120"/>
        <w:ind w:left="0" w:firstLine="0"/>
        <w:rPr>
          <w:kern w:val="22"/>
          <w:lang w:val="fr-FR"/>
        </w:rPr>
      </w:pPr>
      <w:r>
        <w:rPr>
          <w:kern w:val="22"/>
          <w:szCs w:val="22"/>
          <w:lang w:val="fr-FR"/>
        </w:rPr>
        <w:t xml:space="preserve">Les </w:t>
      </w:r>
      <w:r w:rsidRPr="00862A44">
        <w:rPr>
          <w:bCs/>
          <w:kern w:val="22"/>
          <w:szCs w:val="22"/>
          <w:lang w:val="fr-FR"/>
        </w:rPr>
        <w:t>résultats</w:t>
      </w:r>
      <w:r>
        <w:rPr>
          <w:kern w:val="22"/>
          <w:szCs w:val="22"/>
          <w:lang w:val="fr-FR"/>
        </w:rPr>
        <w:t xml:space="preserve"> décrivent quel sera l’effet de l’atteinte du but.</w:t>
      </w:r>
    </w:p>
    <w:p w14:paraId="5588D23F" w14:textId="77777777" w:rsidR="008723AC" w:rsidRPr="009C6AAF" w:rsidRDefault="008723AC" w:rsidP="008723AC">
      <w:pPr>
        <w:numPr>
          <w:ilvl w:val="0"/>
          <w:numId w:val="23"/>
        </w:numPr>
        <w:spacing w:before="120" w:after="120"/>
        <w:ind w:left="0" w:firstLine="0"/>
        <w:rPr>
          <w:kern w:val="22"/>
          <w:lang w:val="fr-FR"/>
        </w:rPr>
      </w:pPr>
      <w:r>
        <w:rPr>
          <w:kern w:val="22"/>
          <w:szCs w:val="22"/>
          <w:lang w:val="fr-FR" w:eastAsia="ja-JP"/>
        </w:rPr>
        <w:t>Le Protocole additionnel de Nagoya – Kuala Lumpur sur la responsabilité et la réparation a été adopté par la Conférence des Parties siégeant en tant que réunion des Parties au Protocole en 2010 (décision BS-V/11). Le Plan stratégique du Protocole, également adopté en 2010, comprenait des éléments sur la responsabilité et la réparation et sur le Protocole additionnel. Le Protocole additionnel est entré en vigueur le 5 mars 2018.</w:t>
      </w:r>
    </w:p>
    <w:p w14:paraId="7CF69D57" w14:textId="2B07AFB7" w:rsidR="008723AC" w:rsidRPr="00F10E52" w:rsidRDefault="005D6B58" w:rsidP="008723AC">
      <w:pPr>
        <w:numPr>
          <w:ilvl w:val="0"/>
          <w:numId w:val="23"/>
        </w:numPr>
        <w:spacing w:before="120" w:after="120"/>
        <w:ind w:left="0" w:firstLine="0"/>
        <w:rPr>
          <w:rFonts w:eastAsia="MS Mincho"/>
          <w:kern w:val="22"/>
          <w:lang w:val="fr-FR" w:eastAsia="ja-JP"/>
        </w:rPr>
      </w:pPr>
      <w:r>
        <w:rPr>
          <w:kern w:val="22"/>
          <w:szCs w:val="22"/>
          <w:lang w:val="fr-FR"/>
        </w:rPr>
        <w:t>Un élément concernant</w:t>
      </w:r>
      <w:r w:rsidR="008723AC">
        <w:rPr>
          <w:kern w:val="22"/>
          <w:szCs w:val="22"/>
          <w:lang w:val="fr-FR"/>
        </w:rPr>
        <w:t xml:space="preserve"> le Pro</w:t>
      </w:r>
      <w:r>
        <w:rPr>
          <w:kern w:val="22"/>
          <w:szCs w:val="22"/>
          <w:lang w:val="fr-FR"/>
        </w:rPr>
        <w:t>tocole additionnel a été inclus</w:t>
      </w:r>
      <w:r w:rsidR="008723AC">
        <w:rPr>
          <w:kern w:val="22"/>
          <w:szCs w:val="22"/>
          <w:lang w:val="fr-FR"/>
        </w:rPr>
        <w:t xml:space="preserve"> dans l’appendice ci-dessous.</w:t>
      </w:r>
      <w:r>
        <w:rPr>
          <w:kern w:val="22"/>
          <w:szCs w:val="22"/>
          <w:lang w:val="fr-FR"/>
        </w:rPr>
        <w:t xml:space="preserve"> L’inclusion de cet élément</w:t>
      </w:r>
      <w:r w:rsidR="008723AC">
        <w:rPr>
          <w:kern w:val="22"/>
          <w:szCs w:val="22"/>
          <w:lang w:val="fr-FR"/>
        </w:rPr>
        <w:t xml:space="preserve"> vise à soutenir </w:t>
      </w:r>
      <w:r>
        <w:rPr>
          <w:kern w:val="22"/>
          <w:szCs w:val="22"/>
          <w:lang w:val="fr-FR"/>
        </w:rPr>
        <w:t>l’application</w:t>
      </w:r>
      <w:r w:rsidR="008723AC">
        <w:rPr>
          <w:kern w:val="22"/>
          <w:szCs w:val="22"/>
          <w:lang w:val="fr-FR"/>
        </w:rPr>
        <w:t xml:space="preserve"> du Protocole de Cartagena et</w:t>
      </w:r>
      <w:r>
        <w:rPr>
          <w:kern w:val="22"/>
          <w:szCs w:val="22"/>
          <w:lang w:val="fr-FR"/>
        </w:rPr>
        <w:t xml:space="preserve"> à contribuer à l’application</w:t>
      </w:r>
      <w:r w:rsidR="008723AC">
        <w:rPr>
          <w:kern w:val="22"/>
          <w:szCs w:val="22"/>
          <w:lang w:val="fr-FR"/>
        </w:rPr>
        <w:t xml:space="preserve"> effective du Protocole additionnel, tout en reconnaissant qu’il s’agit d’instruments juridiques distincts et que les obligations découlant de ces instruments ne lient les Parties qu’à l’instrument considéré.</w:t>
      </w:r>
    </w:p>
    <w:p w14:paraId="1BFF065F" w14:textId="77777777" w:rsidR="008723AC" w:rsidRPr="00C061D4" w:rsidRDefault="008723AC" w:rsidP="008723AC">
      <w:pPr>
        <w:pStyle w:val="Heading1"/>
        <w:rPr>
          <w:kern w:val="22"/>
        </w:rPr>
      </w:pPr>
      <w:r>
        <w:rPr>
          <w:bCs/>
          <w:kern w:val="22"/>
          <w:szCs w:val="22"/>
          <w:lang w:val="fr-FR"/>
        </w:rPr>
        <w:t>IV.</w:t>
      </w:r>
      <w:r>
        <w:rPr>
          <w:bCs/>
          <w:kern w:val="22"/>
          <w:szCs w:val="22"/>
          <w:lang w:val="fr-FR"/>
        </w:rPr>
        <w:tab/>
        <w:t>Évaluation et examen</w:t>
      </w:r>
    </w:p>
    <w:p w14:paraId="21A4366B" w14:textId="60ECC277" w:rsidR="008723AC" w:rsidRPr="00F10E52" w:rsidRDefault="008723AC" w:rsidP="008723AC">
      <w:pPr>
        <w:numPr>
          <w:ilvl w:val="0"/>
          <w:numId w:val="23"/>
        </w:numPr>
        <w:spacing w:before="120" w:after="120"/>
        <w:ind w:left="0" w:firstLine="0"/>
        <w:rPr>
          <w:kern w:val="22"/>
          <w:lang w:val="fr-FR"/>
        </w:rPr>
      </w:pPr>
      <w:r>
        <w:rPr>
          <w:kern w:val="22"/>
          <w:szCs w:val="22"/>
          <w:lang w:val="fr-FR"/>
        </w:rPr>
        <w:t xml:space="preserve">La Conférence des Parties siégeant en tant que réunion des Parties au Protocole de </w:t>
      </w:r>
      <w:r w:rsidR="00FB06E2">
        <w:rPr>
          <w:kern w:val="22"/>
          <w:szCs w:val="22"/>
          <w:lang w:val="fr-FR"/>
        </w:rPr>
        <w:t xml:space="preserve">Cartagena </w:t>
      </w:r>
      <w:r w:rsidR="00E57B3E">
        <w:rPr>
          <w:kern w:val="22"/>
          <w:szCs w:val="22"/>
          <w:lang w:val="fr-FR"/>
        </w:rPr>
        <w:t>entreprendra</w:t>
      </w:r>
      <w:r>
        <w:rPr>
          <w:kern w:val="22"/>
          <w:szCs w:val="22"/>
          <w:lang w:val="fr-FR"/>
        </w:rPr>
        <w:t xml:space="preserve"> une évaluation à mi-parcours et</w:t>
      </w:r>
      <w:r w:rsidR="00E57B3E">
        <w:rPr>
          <w:kern w:val="22"/>
          <w:szCs w:val="22"/>
          <w:lang w:val="fr-FR"/>
        </w:rPr>
        <w:t xml:space="preserve"> pourra décider d’entreprendre</w:t>
      </w:r>
      <w:r>
        <w:rPr>
          <w:kern w:val="22"/>
          <w:szCs w:val="22"/>
          <w:lang w:val="fr-FR"/>
        </w:rPr>
        <w:t xml:space="preserve"> une évaluation </w:t>
      </w:r>
      <w:r w:rsidR="00E57B3E">
        <w:rPr>
          <w:kern w:val="22"/>
          <w:szCs w:val="22"/>
          <w:lang w:val="fr-FR"/>
        </w:rPr>
        <w:t>finale du plan de mise en œuvre</w:t>
      </w:r>
      <w:r>
        <w:rPr>
          <w:kern w:val="22"/>
          <w:szCs w:val="22"/>
          <w:lang w:val="fr-FR"/>
        </w:rPr>
        <w:t>. Ces évaluations pourront s’appuyer sur des informations fournies par les Partie</w:t>
      </w:r>
      <w:r w:rsidR="00E57B3E">
        <w:rPr>
          <w:kern w:val="22"/>
          <w:szCs w:val="22"/>
          <w:lang w:val="fr-FR"/>
        </w:rPr>
        <w:t>s dans leurs rapports nationaux</w:t>
      </w:r>
      <w:r>
        <w:rPr>
          <w:kern w:val="22"/>
          <w:szCs w:val="22"/>
          <w:lang w:val="fr-FR"/>
        </w:rPr>
        <w:t xml:space="preserve"> et </w:t>
      </w:r>
      <w:r w:rsidR="005D6B58">
        <w:rPr>
          <w:kern w:val="22"/>
          <w:szCs w:val="22"/>
          <w:lang w:val="fr-FR"/>
        </w:rPr>
        <w:t xml:space="preserve">sur </w:t>
      </w:r>
      <w:r>
        <w:rPr>
          <w:kern w:val="22"/>
          <w:szCs w:val="22"/>
          <w:lang w:val="fr-FR"/>
        </w:rPr>
        <w:t>des informations du Centre d’échange pour la prévention des risques biotechnologiques, entre autres. Ces informations pourront être utilisées pour évaluer dans quelle mesure les objectifs du plan de mise en œuvre sont atteints.</w:t>
      </w:r>
    </w:p>
    <w:p w14:paraId="33C85A6C" w14:textId="28868F9B" w:rsidR="008723AC" w:rsidRPr="00F10E52" w:rsidRDefault="008723AC" w:rsidP="008723AC">
      <w:pPr>
        <w:numPr>
          <w:ilvl w:val="0"/>
          <w:numId w:val="23"/>
        </w:numPr>
        <w:spacing w:before="120" w:after="120"/>
        <w:ind w:left="0" w:firstLine="0"/>
        <w:rPr>
          <w:kern w:val="22"/>
          <w:lang w:val="fr-FR"/>
        </w:rPr>
      </w:pPr>
      <w:r>
        <w:rPr>
          <w:kern w:val="22"/>
          <w:szCs w:val="22"/>
          <w:lang w:val="fr-FR"/>
        </w:rPr>
        <w:t xml:space="preserve">Les résultats du </w:t>
      </w:r>
      <w:r w:rsidRPr="00ED12ED">
        <w:rPr>
          <w:kern w:val="22"/>
          <w:szCs w:val="22"/>
          <w:lang w:val="fr-FR"/>
        </w:rPr>
        <w:t xml:space="preserve">quatrième exercice d’évaluation et </w:t>
      </w:r>
      <w:r>
        <w:rPr>
          <w:kern w:val="22"/>
          <w:szCs w:val="22"/>
          <w:lang w:val="fr-FR"/>
        </w:rPr>
        <w:t>d’</w:t>
      </w:r>
      <w:r w:rsidRPr="00ED12ED">
        <w:rPr>
          <w:kern w:val="22"/>
          <w:szCs w:val="22"/>
          <w:lang w:val="fr-FR"/>
        </w:rPr>
        <w:t xml:space="preserve">examen </w:t>
      </w:r>
      <w:r>
        <w:rPr>
          <w:kern w:val="22"/>
          <w:szCs w:val="22"/>
          <w:lang w:val="fr-FR"/>
        </w:rPr>
        <w:t>de l’efficacité du Protocole de Cartagena et l’évaluation finale du Plan stratégique du Protocole de Cartagena seront utilisés pour établir une base de référence permettant de mesurer les p</w:t>
      </w:r>
      <w:r w:rsidR="005D6B58">
        <w:rPr>
          <w:kern w:val="22"/>
          <w:szCs w:val="22"/>
          <w:lang w:val="fr-FR"/>
        </w:rPr>
        <w:t>rogrès accomplis dans la réalisation</w:t>
      </w:r>
      <w:r>
        <w:rPr>
          <w:kern w:val="22"/>
          <w:szCs w:val="22"/>
          <w:lang w:val="fr-FR"/>
        </w:rPr>
        <w:t xml:space="preserve"> des buts du plan de mise en œuvre.</w:t>
      </w:r>
    </w:p>
    <w:p w14:paraId="7C849BA4" w14:textId="550162E8" w:rsidR="008723AC" w:rsidRPr="00C061D4" w:rsidRDefault="008723AC" w:rsidP="000146BB">
      <w:pPr>
        <w:pStyle w:val="Heading1"/>
        <w:numPr>
          <w:ilvl w:val="0"/>
          <w:numId w:val="24"/>
        </w:numPr>
        <w:tabs>
          <w:tab w:val="clear" w:pos="720"/>
        </w:tabs>
        <w:ind w:left="0" w:firstLine="0"/>
        <w:rPr>
          <w:kern w:val="22"/>
        </w:rPr>
      </w:pPr>
      <w:r>
        <w:rPr>
          <w:bCs/>
          <w:kern w:val="22"/>
          <w:szCs w:val="22"/>
          <w:lang w:val="fr-FR"/>
        </w:rPr>
        <w:t>Priorités et programmation</w:t>
      </w:r>
    </w:p>
    <w:p w14:paraId="0653D78C" w14:textId="4E1FA774" w:rsidR="008723AC" w:rsidRPr="00E57B3E" w:rsidRDefault="008723AC" w:rsidP="00FB06E2">
      <w:pPr>
        <w:pStyle w:val="ListParagraph"/>
        <w:numPr>
          <w:ilvl w:val="0"/>
          <w:numId w:val="23"/>
        </w:numPr>
        <w:spacing w:before="120" w:after="120"/>
        <w:ind w:left="0" w:firstLine="0"/>
        <w:rPr>
          <w:kern w:val="22"/>
          <w:lang w:val="fr-FR"/>
        </w:rPr>
      </w:pPr>
      <w:r w:rsidRPr="00E57B3E">
        <w:rPr>
          <w:kern w:val="22"/>
          <w:szCs w:val="22"/>
          <w:lang w:val="fr-FR" w:eastAsia="ja-JP"/>
        </w:rPr>
        <w:t>La Conférence des Parties siégeant en tant que réunion des Parties au Protocole de Cartagena peut périodiquement fixer des priorités pour la planification et la programmation des travaux à entreprendre dans le</w:t>
      </w:r>
      <w:r w:rsidR="005D6B58">
        <w:rPr>
          <w:kern w:val="22"/>
          <w:szCs w:val="22"/>
          <w:lang w:val="fr-FR" w:eastAsia="ja-JP"/>
        </w:rPr>
        <w:t>s</w:t>
      </w:r>
      <w:r w:rsidRPr="00E57B3E">
        <w:rPr>
          <w:kern w:val="22"/>
          <w:szCs w:val="22"/>
          <w:lang w:val="fr-FR" w:eastAsia="ja-JP"/>
        </w:rPr>
        <w:t xml:space="preserve"> délai</w:t>
      </w:r>
      <w:r w:rsidR="005D6B58">
        <w:rPr>
          <w:kern w:val="22"/>
          <w:szCs w:val="22"/>
          <w:lang w:val="fr-FR" w:eastAsia="ja-JP"/>
        </w:rPr>
        <w:t>s</w:t>
      </w:r>
      <w:r w:rsidRPr="00E57B3E">
        <w:rPr>
          <w:kern w:val="22"/>
          <w:szCs w:val="22"/>
          <w:lang w:val="fr-FR" w:eastAsia="ja-JP"/>
        </w:rPr>
        <w:t xml:space="preserve"> prévu</w:t>
      </w:r>
      <w:r w:rsidR="005D6B58">
        <w:rPr>
          <w:kern w:val="22"/>
          <w:szCs w:val="22"/>
          <w:lang w:val="fr-FR" w:eastAsia="ja-JP"/>
        </w:rPr>
        <w:t>s</w:t>
      </w:r>
      <w:r w:rsidRPr="00E57B3E">
        <w:rPr>
          <w:kern w:val="22"/>
          <w:szCs w:val="22"/>
          <w:lang w:val="fr-FR" w:eastAsia="ja-JP"/>
        </w:rPr>
        <w:t xml:space="preserve"> par le plan de mise en œuvre. Cela pourrait inclure l’identification d’étapes conduisant à l’atteinte des buts du plan de mise en œuvre.</w:t>
      </w:r>
    </w:p>
    <w:p w14:paraId="5980B7CD" w14:textId="4FB4A50E" w:rsidR="008723AC" w:rsidRPr="00F10E52" w:rsidRDefault="008723AC" w:rsidP="00E57B3E">
      <w:pPr>
        <w:numPr>
          <w:ilvl w:val="0"/>
          <w:numId w:val="23"/>
        </w:numPr>
        <w:spacing w:before="120" w:after="120"/>
        <w:ind w:left="0" w:firstLine="0"/>
        <w:rPr>
          <w:kern w:val="22"/>
          <w:lang w:val="fr-FR"/>
        </w:rPr>
      </w:pPr>
      <w:r>
        <w:rPr>
          <w:kern w:val="22"/>
          <w:szCs w:val="22"/>
          <w:lang w:val="fr-FR"/>
        </w:rPr>
        <w:t xml:space="preserve">En décidant des priorités et de la programmation, la Conférence des Parties siégeant en tant que réunion des Parties au Protocole de Cartagena souhaitera peut-être prendre en considération les évolutions et les progrès dans le domaine de la prévention des risques biotechnologiques et de la biotechnologie. À cet égard, le plan de mise en œuvre </w:t>
      </w:r>
      <w:r w:rsidR="000146BB">
        <w:rPr>
          <w:kern w:val="22"/>
          <w:szCs w:val="22"/>
          <w:lang w:val="fr-FR"/>
        </w:rPr>
        <w:t>a</w:t>
      </w:r>
      <w:r>
        <w:rPr>
          <w:kern w:val="22"/>
          <w:szCs w:val="22"/>
          <w:lang w:val="fr-FR"/>
        </w:rPr>
        <w:t xml:space="preserve"> adopté une approche selon laquelle les organismes développés grâce aux </w:t>
      </w:r>
      <w:r w:rsidR="001C25A0">
        <w:rPr>
          <w:kern w:val="22"/>
          <w:szCs w:val="22"/>
          <w:lang w:val="fr-FR"/>
        </w:rPr>
        <w:t>nouvelles technologies constitua</w:t>
      </w:r>
      <w:r>
        <w:rPr>
          <w:kern w:val="22"/>
          <w:szCs w:val="22"/>
          <w:lang w:val="fr-FR"/>
        </w:rPr>
        <w:t>nt des « organismes vivants modifiés » tels que définis dans le Protocole sont traités dans le</w:t>
      </w:r>
      <w:r w:rsidR="000146BB">
        <w:rPr>
          <w:kern w:val="22"/>
          <w:szCs w:val="22"/>
          <w:lang w:val="fr-FR"/>
        </w:rPr>
        <w:t xml:space="preserve"> plan</w:t>
      </w:r>
      <w:r>
        <w:rPr>
          <w:kern w:val="22"/>
          <w:szCs w:val="22"/>
          <w:lang w:val="fr-FR"/>
        </w:rPr>
        <w:t>.</w:t>
      </w:r>
    </w:p>
    <w:p w14:paraId="3A18182D" w14:textId="2F58B9CF" w:rsidR="008723AC" w:rsidRPr="00C061D4" w:rsidRDefault="008723AC" w:rsidP="000146BB">
      <w:pPr>
        <w:pStyle w:val="Heading1"/>
        <w:numPr>
          <w:ilvl w:val="0"/>
          <w:numId w:val="25"/>
        </w:numPr>
        <w:tabs>
          <w:tab w:val="clear" w:pos="720"/>
        </w:tabs>
        <w:ind w:left="0" w:firstLine="0"/>
        <w:rPr>
          <w:kern w:val="22"/>
        </w:rPr>
      </w:pPr>
      <w:r>
        <w:rPr>
          <w:bCs/>
          <w:kern w:val="22"/>
          <w:szCs w:val="22"/>
          <w:lang w:val="fr-FR"/>
        </w:rPr>
        <w:t>Ressources</w:t>
      </w:r>
    </w:p>
    <w:p w14:paraId="496454FB" w14:textId="41C14996" w:rsidR="008723AC" w:rsidRPr="00C70C11" w:rsidRDefault="008723AC" w:rsidP="00C70C11">
      <w:pPr>
        <w:pStyle w:val="ListParagraph"/>
        <w:numPr>
          <w:ilvl w:val="0"/>
          <w:numId w:val="23"/>
        </w:numPr>
        <w:spacing w:before="120" w:after="120"/>
        <w:ind w:left="0" w:firstLine="0"/>
        <w:rPr>
          <w:kern w:val="22"/>
          <w:lang w:val="fr-FR"/>
        </w:rPr>
      </w:pPr>
      <w:r w:rsidRPr="00C70C11">
        <w:rPr>
          <w:kern w:val="22"/>
          <w:szCs w:val="22"/>
          <w:lang w:val="fr-FR"/>
        </w:rPr>
        <w:t>La réussite de la mise en œuvre du Protocole dépend dans une large mesure de l’accès à des ressources humaines, techniques et financières adéquates et à une coopération efficace</w:t>
      </w:r>
      <w:r w:rsidR="00B1667A">
        <w:rPr>
          <w:kern w:val="22"/>
          <w:szCs w:val="22"/>
          <w:lang w:val="fr-FR"/>
        </w:rPr>
        <w:t xml:space="preserve"> </w:t>
      </w:r>
      <w:r w:rsidR="000146BB" w:rsidRPr="00C70C11">
        <w:rPr>
          <w:kern w:val="22"/>
          <w:szCs w:val="22"/>
          <w:lang w:val="fr-FR"/>
        </w:rPr>
        <w:t>[, conformément aux articles 22 et 28 du Protocole]</w:t>
      </w:r>
      <w:r w:rsidRPr="00C70C11">
        <w:rPr>
          <w:kern w:val="22"/>
          <w:szCs w:val="22"/>
          <w:lang w:val="fr-FR"/>
        </w:rPr>
        <w:t>. Le plan de mise en œuvre vise à soutenir les Parties à cet égard, en partic</w:t>
      </w:r>
      <w:r w:rsidR="005D6B58">
        <w:rPr>
          <w:kern w:val="22"/>
          <w:szCs w:val="22"/>
          <w:lang w:val="fr-FR"/>
        </w:rPr>
        <w:t>ulier dans le cadre des buts relatif</w:t>
      </w:r>
      <w:r w:rsidRPr="00C70C11">
        <w:rPr>
          <w:kern w:val="22"/>
          <w:szCs w:val="22"/>
          <w:lang w:val="fr-FR"/>
        </w:rPr>
        <w:t>s à la création d’un environnement favorable.</w:t>
      </w:r>
    </w:p>
    <w:p w14:paraId="291D0AD6" w14:textId="333830C2" w:rsidR="008723AC" w:rsidRPr="00C061D4" w:rsidRDefault="008723AC" w:rsidP="00B1667A">
      <w:pPr>
        <w:pStyle w:val="Heading1"/>
        <w:numPr>
          <w:ilvl w:val="0"/>
          <w:numId w:val="25"/>
        </w:numPr>
        <w:tabs>
          <w:tab w:val="clear" w:pos="720"/>
        </w:tabs>
        <w:ind w:left="567"/>
        <w:rPr>
          <w:kern w:val="22"/>
        </w:rPr>
      </w:pPr>
      <w:r>
        <w:rPr>
          <w:bCs/>
          <w:kern w:val="22"/>
          <w:szCs w:val="22"/>
          <w:lang w:val="fr-FR"/>
        </w:rPr>
        <w:t>Rôle du Secrétariat</w:t>
      </w:r>
    </w:p>
    <w:p w14:paraId="5A356B90" w14:textId="7FF484B6" w:rsidR="008723AC" w:rsidRPr="00F10E52" w:rsidRDefault="008723AC" w:rsidP="00C70C11">
      <w:pPr>
        <w:numPr>
          <w:ilvl w:val="0"/>
          <w:numId w:val="23"/>
        </w:numPr>
        <w:spacing w:before="120" w:after="120"/>
        <w:ind w:left="0" w:firstLine="0"/>
        <w:rPr>
          <w:kern w:val="22"/>
          <w:lang w:val="fr-FR"/>
        </w:rPr>
      </w:pPr>
      <w:r>
        <w:rPr>
          <w:kern w:val="22"/>
          <w:szCs w:val="22"/>
          <w:lang w:val="fr-FR"/>
        </w:rPr>
        <w:t>Le plan de mise en œuvre s’adressant principalement aux Parties, le Secrétariat de la Convention sur la diversité biologique soutiendra les Parties dan</w:t>
      </w:r>
      <w:r w:rsidR="005D6B58">
        <w:rPr>
          <w:kern w:val="22"/>
          <w:szCs w:val="22"/>
          <w:lang w:val="fr-FR"/>
        </w:rPr>
        <w:t>s leurs efforts déployés pour appliquer</w:t>
      </w:r>
      <w:r>
        <w:rPr>
          <w:kern w:val="22"/>
          <w:szCs w:val="22"/>
          <w:lang w:val="fr-FR"/>
        </w:rPr>
        <w:t xml:space="preserve"> le Protocole, conformément aux orientations de la Conférence des Parties siégeant en tant que réunion des Parties au Protocole de Cartagena et conformément à l’</w:t>
      </w:r>
      <w:r w:rsidR="009365C2">
        <w:rPr>
          <w:kern w:val="22"/>
          <w:szCs w:val="22"/>
          <w:lang w:val="fr-FR"/>
        </w:rPr>
        <w:t>article</w:t>
      </w:r>
      <w:r>
        <w:rPr>
          <w:kern w:val="22"/>
          <w:szCs w:val="22"/>
          <w:lang w:val="fr-FR"/>
        </w:rPr>
        <w:t> 31 du Protocole de Cartagena et à l’</w:t>
      </w:r>
      <w:r w:rsidR="009365C2">
        <w:rPr>
          <w:kern w:val="22"/>
          <w:szCs w:val="22"/>
          <w:lang w:val="fr-FR"/>
        </w:rPr>
        <w:t>article</w:t>
      </w:r>
      <w:r>
        <w:rPr>
          <w:kern w:val="22"/>
          <w:szCs w:val="22"/>
          <w:lang w:val="fr-FR"/>
        </w:rPr>
        <w:t> 24 de la Convention sur la diversité biologique. Ce soutien comprend la gestion et le maintien du Centre d’échange pour la prévention des risques biotechnologiques ainsi que la réalisation d’activités, incluant des activités de renforcement des capacités, comme demandé par la Conférence des Parties siégeant en tant que réunion des Parties au Protocole.</w:t>
      </w:r>
    </w:p>
    <w:p w14:paraId="3A4C941B" w14:textId="77777777" w:rsidR="00A54792" w:rsidRDefault="00A54792">
      <w:pPr>
        <w:jc w:val="left"/>
        <w:rPr>
          <w:rFonts w:asciiTheme="majorBidi" w:hAnsiTheme="majorBidi" w:cstheme="majorBidi"/>
          <w:bCs/>
          <w:i/>
          <w:iCs/>
          <w:kern w:val="22"/>
          <w:szCs w:val="22"/>
          <w:lang w:val="fr-FR"/>
        </w:rPr>
        <w:sectPr w:rsidR="00A54792" w:rsidSect="006C33DC">
          <w:headerReference w:type="even" r:id="rId15"/>
          <w:headerReference w:type="default" r:id="rId16"/>
          <w:pgSz w:w="12240" w:h="15840"/>
          <w:pgMar w:top="567" w:right="1389" w:bottom="1134" w:left="1389" w:header="709" w:footer="709" w:gutter="0"/>
          <w:cols w:space="708"/>
          <w:titlePg/>
          <w:docGrid w:linePitch="360"/>
        </w:sectPr>
      </w:pPr>
    </w:p>
    <w:p w14:paraId="0885B8EA" w14:textId="38B87BA5" w:rsidR="008723AC" w:rsidRDefault="008723AC" w:rsidP="008723AC">
      <w:pPr>
        <w:jc w:val="center"/>
        <w:rPr>
          <w:bCs/>
          <w:i/>
          <w:iCs/>
          <w:kern w:val="22"/>
          <w:szCs w:val="22"/>
          <w:lang w:val="fr-FR"/>
        </w:rPr>
      </w:pPr>
      <w:r>
        <w:rPr>
          <w:bCs/>
          <w:i/>
          <w:iCs/>
          <w:kern w:val="22"/>
          <w:szCs w:val="22"/>
          <w:lang w:val="fr-FR"/>
        </w:rPr>
        <w:t>Appendice</w:t>
      </w:r>
      <w:r w:rsidR="00B1667A">
        <w:rPr>
          <w:bCs/>
          <w:i/>
          <w:iCs/>
          <w:kern w:val="22"/>
          <w:szCs w:val="22"/>
          <w:lang w:val="fr-FR"/>
        </w:rPr>
        <w:t xml:space="preserve"> à l’annexe I</w:t>
      </w:r>
    </w:p>
    <w:p w14:paraId="1D257D0B" w14:textId="77777777" w:rsidR="00290F08" w:rsidRDefault="00290F08" w:rsidP="008723AC">
      <w:pPr>
        <w:jc w:val="center"/>
        <w:rPr>
          <w:bCs/>
          <w:i/>
          <w:iCs/>
          <w:kern w:val="22"/>
          <w:szCs w:val="22"/>
          <w:lang w:val="fr-FR"/>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85"/>
        <w:gridCol w:w="3510"/>
        <w:gridCol w:w="2970"/>
      </w:tblGrid>
      <w:tr w:rsidR="00DF2E23" w:rsidRPr="00301569" w14:paraId="33570642" w14:textId="77777777" w:rsidTr="00001068">
        <w:trPr>
          <w:tblHeader/>
          <w:jc w:val="center"/>
        </w:trPr>
        <w:tc>
          <w:tcPr>
            <w:tcW w:w="11065" w:type="dxa"/>
            <w:gridSpan w:val="4"/>
            <w:tcBorders>
              <w:bottom w:val="single" w:sz="4" w:space="0" w:color="auto"/>
            </w:tcBorders>
            <w:shd w:val="clear" w:color="auto" w:fill="auto"/>
          </w:tcPr>
          <w:p w14:paraId="0D7DEF6E" w14:textId="475E6EC9" w:rsidR="00DF2E23" w:rsidRPr="004639D9" w:rsidRDefault="00DF2E23" w:rsidP="00DF2E23">
            <w:pPr>
              <w:suppressLineNumbers/>
              <w:suppressAutoHyphens/>
              <w:spacing w:before="60" w:after="60"/>
              <w:jc w:val="center"/>
              <w:rPr>
                <w:rFonts w:asciiTheme="majorBidi" w:eastAsia="MS Mincho" w:hAnsiTheme="majorBidi" w:cstheme="majorBidi"/>
                <w:b/>
                <w:bCs/>
                <w:kern w:val="22"/>
                <w:szCs w:val="22"/>
                <w:lang w:val="fr-CA"/>
              </w:rPr>
            </w:pPr>
            <w:r w:rsidRPr="004639D9">
              <w:rPr>
                <w:b/>
                <w:bCs/>
                <w:kern w:val="22"/>
                <w:szCs w:val="22"/>
                <w:lang w:val="fr-FR"/>
              </w:rPr>
              <w:t>Plan de mise en œuvre</w:t>
            </w:r>
          </w:p>
        </w:tc>
      </w:tr>
      <w:tr w:rsidR="00DF2E23" w:rsidRPr="004639D9" w14:paraId="4F32CAEC" w14:textId="77777777" w:rsidTr="00001068">
        <w:trPr>
          <w:tblHeader/>
          <w:jc w:val="center"/>
        </w:trPr>
        <w:tc>
          <w:tcPr>
            <w:tcW w:w="1800" w:type="dxa"/>
            <w:tcBorders>
              <w:bottom w:val="nil"/>
            </w:tcBorders>
            <w:shd w:val="clear" w:color="auto" w:fill="auto"/>
          </w:tcPr>
          <w:p w14:paraId="2C97EDC4" w14:textId="2EDCE99C" w:rsidR="00DF2E23" w:rsidRPr="004639D9" w:rsidRDefault="00DF2E23" w:rsidP="00DF2E23">
            <w:pPr>
              <w:suppressLineNumbers/>
              <w:suppressAutoHyphens/>
              <w:spacing w:before="60" w:after="60"/>
              <w:jc w:val="center"/>
              <w:rPr>
                <w:rFonts w:asciiTheme="majorBidi" w:eastAsia="MS Mincho" w:hAnsiTheme="majorBidi" w:cstheme="majorBidi"/>
                <w:bCs/>
                <w:kern w:val="22"/>
                <w:szCs w:val="22"/>
              </w:rPr>
            </w:pPr>
            <w:r w:rsidRPr="004639D9">
              <w:rPr>
                <w:b/>
                <w:bCs/>
                <w:kern w:val="22"/>
                <w:szCs w:val="20"/>
                <w:lang w:val="fr-FR"/>
              </w:rPr>
              <w:t>Buts</w:t>
            </w:r>
          </w:p>
        </w:tc>
        <w:tc>
          <w:tcPr>
            <w:tcW w:w="2785" w:type="dxa"/>
            <w:tcBorders>
              <w:bottom w:val="nil"/>
            </w:tcBorders>
            <w:shd w:val="clear" w:color="auto" w:fill="auto"/>
          </w:tcPr>
          <w:p w14:paraId="5B893F3C" w14:textId="7FF4D482" w:rsidR="00DF2E23" w:rsidRPr="004639D9" w:rsidRDefault="00DF2E23" w:rsidP="00DF2E23">
            <w:pPr>
              <w:suppressLineNumbers/>
              <w:suppressAutoHyphens/>
              <w:spacing w:before="60" w:after="60"/>
              <w:jc w:val="center"/>
              <w:rPr>
                <w:rFonts w:asciiTheme="majorBidi" w:eastAsia="MS Mincho" w:hAnsiTheme="majorBidi" w:cstheme="majorBidi"/>
                <w:b/>
                <w:iCs/>
                <w:kern w:val="22"/>
                <w:szCs w:val="22"/>
              </w:rPr>
            </w:pPr>
            <w:r w:rsidRPr="004639D9">
              <w:rPr>
                <w:b/>
                <w:bCs/>
                <w:kern w:val="22"/>
                <w:szCs w:val="20"/>
                <w:lang w:val="fr-FR"/>
              </w:rPr>
              <w:t>Buts</w:t>
            </w:r>
          </w:p>
        </w:tc>
        <w:tc>
          <w:tcPr>
            <w:tcW w:w="3510" w:type="dxa"/>
            <w:tcBorders>
              <w:bottom w:val="nil"/>
            </w:tcBorders>
            <w:shd w:val="clear" w:color="auto" w:fill="auto"/>
          </w:tcPr>
          <w:p w14:paraId="3B4BC221" w14:textId="4F812E7E" w:rsidR="00DF2E23" w:rsidRPr="004639D9" w:rsidRDefault="00DF2E23" w:rsidP="00DF2E23">
            <w:pPr>
              <w:suppressLineNumbers/>
              <w:suppressAutoHyphens/>
              <w:spacing w:before="60" w:after="60"/>
              <w:jc w:val="center"/>
              <w:rPr>
                <w:rFonts w:asciiTheme="majorBidi" w:eastAsia="MS Mincho" w:hAnsiTheme="majorBidi" w:cstheme="majorBidi"/>
                <w:b/>
                <w:iCs/>
                <w:kern w:val="22"/>
                <w:szCs w:val="22"/>
              </w:rPr>
            </w:pPr>
            <w:r w:rsidRPr="004639D9">
              <w:rPr>
                <w:b/>
                <w:bCs/>
                <w:kern w:val="22"/>
                <w:szCs w:val="20"/>
                <w:lang w:val="fr-FR"/>
              </w:rPr>
              <w:t>Buts</w:t>
            </w:r>
          </w:p>
        </w:tc>
        <w:tc>
          <w:tcPr>
            <w:tcW w:w="2970" w:type="dxa"/>
            <w:tcBorders>
              <w:bottom w:val="nil"/>
            </w:tcBorders>
            <w:shd w:val="clear" w:color="auto" w:fill="auto"/>
          </w:tcPr>
          <w:p w14:paraId="646343F4" w14:textId="6878CDE0" w:rsidR="00DF2E23" w:rsidRPr="004639D9" w:rsidRDefault="00DF2E23" w:rsidP="00DF2E23">
            <w:pPr>
              <w:suppressLineNumbers/>
              <w:suppressAutoHyphens/>
              <w:spacing w:before="60" w:after="60"/>
              <w:jc w:val="center"/>
              <w:rPr>
                <w:rFonts w:asciiTheme="majorBidi" w:eastAsia="MS Mincho" w:hAnsiTheme="majorBidi" w:cstheme="majorBidi"/>
                <w:b/>
                <w:bCs/>
                <w:kern w:val="22"/>
                <w:szCs w:val="22"/>
              </w:rPr>
            </w:pPr>
            <w:r w:rsidRPr="004639D9">
              <w:rPr>
                <w:b/>
                <w:bCs/>
                <w:kern w:val="22"/>
                <w:szCs w:val="20"/>
                <w:lang w:val="fr-FR"/>
              </w:rPr>
              <w:t>Buts</w:t>
            </w:r>
          </w:p>
        </w:tc>
      </w:tr>
      <w:tr w:rsidR="00DF2E23" w:rsidRPr="00301569" w14:paraId="545E5616" w14:textId="77777777" w:rsidTr="00001068">
        <w:trPr>
          <w:tblHeader/>
          <w:jc w:val="center"/>
        </w:trPr>
        <w:tc>
          <w:tcPr>
            <w:tcW w:w="1800" w:type="dxa"/>
            <w:tcBorders>
              <w:top w:val="nil"/>
              <w:bottom w:val="single" w:sz="2" w:space="0" w:color="auto"/>
            </w:tcBorders>
            <w:shd w:val="clear" w:color="auto" w:fill="auto"/>
          </w:tcPr>
          <w:p w14:paraId="6A9F8D0F" w14:textId="10CB085F" w:rsidR="00DF2E23" w:rsidRPr="004639D9" w:rsidRDefault="00DF2E23" w:rsidP="00DF2E23">
            <w:pPr>
              <w:suppressLineNumbers/>
              <w:suppressAutoHyphens/>
              <w:spacing w:before="60" w:after="60"/>
              <w:jc w:val="center"/>
              <w:rPr>
                <w:rFonts w:asciiTheme="majorBidi" w:eastAsia="MS Mincho" w:hAnsiTheme="majorBidi" w:cstheme="majorBidi"/>
                <w:kern w:val="22"/>
                <w:szCs w:val="22"/>
              </w:rPr>
            </w:pPr>
            <w:r w:rsidRPr="004639D9">
              <w:rPr>
                <w:i/>
                <w:iCs/>
                <w:kern w:val="22"/>
                <w:szCs w:val="18"/>
                <w:lang w:val="fr-FR"/>
              </w:rPr>
              <w:t>(Réalisations souhaitables)</w:t>
            </w:r>
          </w:p>
        </w:tc>
        <w:tc>
          <w:tcPr>
            <w:tcW w:w="2785" w:type="dxa"/>
            <w:tcBorders>
              <w:top w:val="nil"/>
              <w:bottom w:val="single" w:sz="2" w:space="0" w:color="auto"/>
            </w:tcBorders>
          </w:tcPr>
          <w:p w14:paraId="05F363AD" w14:textId="7597BAB0" w:rsidR="00DF2E23" w:rsidRPr="004639D9" w:rsidRDefault="00DF2E23" w:rsidP="00216CB9">
            <w:pPr>
              <w:suppressLineNumbers/>
              <w:suppressAutoHyphens/>
              <w:spacing w:before="60" w:after="60"/>
              <w:jc w:val="center"/>
              <w:rPr>
                <w:rFonts w:asciiTheme="majorBidi" w:eastAsia="MS Mincho" w:hAnsiTheme="majorBidi" w:cstheme="majorBidi"/>
                <w:iCs/>
                <w:kern w:val="22"/>
                <w:szCs w:val="22"/>
                <w:lang w:val="fr-CA"/>
              </w:rPr>
            </w:pPr>
            <w:r w:rsidRPr="004639D9">
              <w:rPr>
                <w:i/>
                <w:iCs/>
                <w:kern w:val="22"/>
                <w:szCs w:val="18"/>
                <w:lang w:val="fr-FR"/>
              </w:rPr>
              <w:t>(</w:t>
            </w:r>
            <w:r w:rsidR="00216CB9" w:rsidRPr="004639D9">
              <w:rPr>
                <w:i/>
                <w:iCs/>
                <w:kern w:val="22"/>
                <w:szCs w:val="18"/>
                <w:lang w:val="fr-FR"/>
              </w:rPr>
              <w:t>À réaliser pour atteindre l’objectif</w:t>
            </w:r>
            <w:r w:rsidRPr="004639D9">
              <w:rPr>
                <w:i/>
                <w:iCs/>
                <w:kern w:val="22"/>
                <w:szCs w:val="18"/>
                <w:lang w:val="fr-FR"/>
              </w:rPr>
              <w:t>)</w:t>
            </w:r>
          </w:p>
        </w:tc>
        <w:tc>
          <w:tcPr>
            <w:tcW w:w="3510" w:type="dxa"/>
            <w:tcBorders>
              <w:top w:val="nil"/>
              <w:bottom w:val="single" w:sz="2" w:space="0" w:color="auto"/>
            </w:tcBorders>
            <w:shd w:val="clear" w:color="auto" w:fill="auto"/>
          </w:tcPr>
          <w:p w14:paraId="6543948D" w14:textId="64617BA9" w:rsidR="00DF2E23" w:rsidRPr="004639D9" w:rsidRDefault="00DF2E23" w:rsidP="00216CB9">
            <w:pPr>
              <w:suppressLineNumbers/>
              <w:suppressAutoHyphens/>
              <w:spacing w:before="60" w:after="60"/>
              <w:jc w:val="center"/>
              <w:rPr>
                <w:rFonts w:asciiTheme="majorBidi" w:eastAsia="MS Mincho" w:hAnsiTheme="majorBidi" w:cstheme="majorBidi"/>
                <w:iCs/>
                <w:kern w:val="22"/>
                <w:szCs w:val="22"/>
                <w:lang w:val="fr-CA"/>
              </w:rPr>
            </w:pPr>
            <w:r w:rsidRPr="004639D9">
              <w:rPr>
                <w:i/>
                <w:iCs/>
                <w:kern w:val="22"/>
                <w:szCs w:val="18"/>
                <w:lang w:val="fr-FR"/>
              </w:rPr>
              <w:t>(</w:t>
            </w:r>
            <w:r w:rsidR="00216CB9" w:rsidRPr="004639D9">
              <w:rPr>
                <w:i/>
                <w:iCs/>
                <w:kern w:val="22"/>
                <w:szCs w:val="18"/>
                <w:lang w:val="fr-FR"/>
              </w:rPr>
              <w:t>Mesure des progrès en vue de la réalisation de l’objectif</w:t>
            </w:r>
            <w:r w:rsidRPr="004639D9">
              <w:rPr>
                <w:i/>
                <w:iCs/>
                <w:kern w:val="22"/>
                <w:szCs w:val="18"/>
                <w:lang w:val="fr-FR"/>
              </w:rPr>
              <w:t>)</w:t>
            </w:r>
          </w:p>
        </w:tc>
        <w:tc>
          <w:tcPr>
            <w:tcW w:w="2970" w:type="dxa"/>
            <w:tcBorders>
              <w:top w:val="nil"/>
              <w:bottom w:val="single" w:sz="2" w:space="0" w:color="auto"/>
            </w:tcBorders>
            <w:shd w:val="clear" w:color="auto" w:fill="auto"/>
          </w:tcPr>
          <w:p w14:paraId="6CA6C19B" w14:textId="1199BF0C" w:rsidR="00DF2E23" w:rsidRPr="004639D9" w:rsidRDefault="00DF2E23" w:rsidP="00216CB9">
            <w:pPr>
              <w:suppressLineNumbers/>
              <w:suppressAutoHyphens/>
              <w:spacing w:before="60" w:after="60"/>
              <w:jc w:val="center"/>
              <w:rPr>
                <w:rFonts w:asciiTheme="majorBidi" w:eastAsia="MS Mincho" w:hAnsiTheme="majorBidi" w:cstheme="majorBidi"/>
                <w:kern w:val="22"/>
                <w:szCs w:val="22"/>
                <w:lang w:val="fr-CA"/>
              </w:rPr>
            </w:pPr>
            <w:r w:rsidRPr="004639D9">
              <w:rPr>
                <w:i/>
                <w:iCs/>
                <w:kern w:val="22"/>
                <w:szCs w:val="18"/>
                <w:lang w:val="fr-FR"/>
              </w:rPr>
              <w:t>(</w:t>
            </w:r>
            <w:r w:rsidR="00216CB9" w:rsidRPr="004639D9">
              <w:rPr>
                <w:i/>
                <w:iCs/>
                <w:kern w:val="22"/>
                <w:szCs w:val="18"/>
                <w:lang w:val="fr-FR"/>
              </w:rPr>
              <w:t>Conséquences de la réalisation de l’objectif</w:t>
            </w:r>
            <w:r w:rsidRPr="004639D9">
              <w:rPr>
                <w:i/>
                <w:iCs/>
                <w:kern w:val="22"/>
                <w:szCs w:val="18"/>
                <w:lang w:val="fr-FR"/>
              </w:rPr>
              <w:t>)</w:t>
            </w:r>
          </w:p>
        </w:tc>
      </w:tr>
      <w:tr w:rsidR="00290F08" w:rsidRPr="00301569" w14:paraId="65061DCE" w14:textId="77777777" w:rsidTr="00001068">
        <w:trPr>
          <w:jc w:val="center"/>
        </w:trPr>
        <w:tc>
          <w:tcPr>
            <w:tcW w:w="11065" w:type="dxa"/>
            <w:gridSpan w:val="4"/>
            <w:tcBorders>
              <w:top w:val="single" w:sz="2" w:space="0" w:color="auto"/>
              <w:bottom w:val="single" w:sz="2" w:space="0" w:color="auto"/>
            </w:tcBorders>
            <w:shd w:val="clear" w:color="auto" w:fill="auto"/>
          </w:tcPr>
          <w:p w14:paraId="421970B8" w14:textId="73346A5E" w:rsidR="00290F08" w:rsidRPr="00B1667A" w:rsidRDefault="00B1667A" w:rsidP="00B1667A">
            <w:pPr>
              <w:pStyle w:val="ListParagraph"/>
              <w:numPr>
                <w:ilvl w:val="0"/>
                <w:numId w:val="29"/>
              </w:numPr>
              <w:suppressLineNumbers/>
              <w:suppressAutoHyphens/>
              <w:spacing w:before="60" w:after="60"/>
              <w:jc w:val="center"/>
              <w:rPr>
                <w:rFonts w:asciiTheme="majorBidi" w:eastAsia="MS Mincho" w:hAnsiTheme="majorBidi" w:cstheme="majorBidi"/>
                <w:b/>
                <w:bCs/>
                <w:kern w:val="22"/>
                <w:lang w:val="fr-FR"/>
              </w:rPr>
            </w:pPr>
            <w:r w:rsidRPr="00B1667A">
              <w:rPr>
                <w:rFonts w:asciiTheme="majorBidi" w:eastAsia="MS Mincho" w:hAnsiTheme="majorBidi" w:cstheme="majorBidi"/>
                <w:b/>
                <w:bCs/>
                <w:kern w:val="22"/>
                <w:lang w:val="fr-FR"/>
              </w:rPr>
              <w:t xml:space="preserve">Domaines de mise en </w:t>
            </w:r>
            <w:r w:rsidR="006C33DC" w:rsidRPr="00B1667A">
              <w:rPr>
                <w:rFonts w:asciiTheme="majorBidi" w:eastAsia="MS Mincho" w:hAnsiTheme="majorBidi" w:cstheme="majorBidi"/>
                <w:b/>
                <w:bCs/>
                <w:kern w:val="22"/>
                <w:lang w:val="fr-FR"/>
              </w:rPr>
              <w:t>œuvre</w:t>
            </w:r>
          </w:p>
        </w:tc>
      </w:tr>
      <w:tr w:rsidR="00DF2E23" w:rsidRPr="00301569" w14:paraId="3B2E8A8D" w14:textId="77777777" w:rsidTr="00001068">
        <w:trPr>
          <w:jc w:val="center"/>
        </w:trPr>
        <w:tc>
          <w:tcPr>
            <w:tcW w:w="1800" w:type="dxa"/>
            <w:tcBorders>
              <w:top w:val="single" w:sz="2" w:space="0" w:color="auto"/>
              <w:bottom w:val="single" w:sz="4" w:space="0" w:color="auto"/>
            </w:tcBorders>
            <w:shd w:val="clear" w:color="auto" w:fill="auto"/>
          </w:tcPr>
          <w:p w14:paraId="7DB9A5ED" w14:textId="62943898" w:rsidR="00DF2E23" w:rsidRPr="004639D9" w:rsidRDefault="00DF2E23" w:rsidP="00DF2E23">
            <w:pPr>
              <w:jc w:val="left"/>
              <w:rPr>
                <w:rFonts w:eastAsia="MS Mincho"/>
                <w:b/>
                <w:kern w:val="22"/>
                <w:szCs w:val="20"/>
                <w:lang w:val="fr-FR"/>
              </w:rPr>
            </w:pPr>
            <w:r w:rsidRPr="004639D9">
              <w:rPr>
                <w:b/>
                <w:bCs/>
                <w:kern w:val="22"/>
                <w:szCs w:val="20"/>
                <w:lang w:val="fr-FR"/>
              </w:rPr>
              <w:t>A.1. Les Parties ont mis en place des cadres nationaux fonctionnels de prévention des risques biotechnologi</w:t>
            </w:r>
            <w:r w:rsidR="005D6B58">
              <w:rPr>
                <w:b/>
                <w:bCs/>
                <w:kern w:val="22"/>
                <w:szCs w:val="20"/>
                <w:lang w:val="fr-FR"/>
              </w:rPr>
              <w:t>-</w:t>
            </w:r>
            <w:r w:rsidRPr="004639D9">
              <w:rPr>
                <w:b/>
                <w:bCs/>
                <w:kern w:val="22"/>
                <w:szCs w:val="20"/>
                <w:lang w:val="fr-FR"/>
              </w:rPr>
              <w:t>ques.</w:t>
            </w:r>
          </w:p>
          <w:p w14:paraId="36B2554F" w14:textId="62C369AB" w:rsidR="00DF2E23" w:rsidRPr="004639D9" w:rsidRDefault="00DF2E23" w:rsidP="00DF2E23">
            <w:pPr>
              <w:suppressLineNumbers/>
              <w:suppressAutoHyphens/>
              <w:spacing w:before="60" w:after="60"/>
              <w:jc w:val="left"/>
              <w:rPr>
                <w:rFonts w:asciiTheme="majorBidi" w:eastAsia="MS Mincho" w:hAnsiTheme="majorBidi" w:cstheme="majorBidi"/>
                <w:b/>
                <w:bCs/>
                <w:kern w:val="22"/>
                <w:lang w:val="fr-CA"/>
              </w:rPr>
            </w:pPr>
          </w:p>
        </w:tc>
        <w:tc>
          <w:tcPr>
            <w:tcW w:w="2785" w:type="dxa"/>
            <w:tcBorders>
              <w:top w:val="single" w:sz="2" w:space="0" w:color="auto"/>
              <w:bottom w:val="single" w:sz="4" w:space="0" w:color="auto"/>
            </w:tcBorders>
          </w:tcPr>
          <w:p w14:paraId="0E0C71EF" w14:textId="0F0E678D" w:rsidR="00DF2E23" w:rsidRPr="004639D9" w:rsidRDefault="00DF2E23" w:rsidP="00DF2E23">
            <w:pPr>
              <w:spacing w:before="60" w:after="60"/>
              <w:jc w:val="left"/>
              <w:rPr>
                <w:rFonts w:eastAsia="MS Mincho"/>
                <w:kern w:val="22"/>
                <w:szCs w:val="20"/>
                <w:lang w:val="fr-FR"/>
              </w:rPr>
            </w:pPr>
            <w:r w:rsidRPr="004639D9">
              <w:rPr>
                <w:kern w:val="22"/>
                <w:szCs w:val="20"/>
                <w:lang w:val="fr-FR"/>
              </w:rPr>
              <w:t>A.1.1. Les Parties ont adopté et mis en œuvre des mesures juridiques, administratives et d’autres mesures pour s’acquitter de leurs obligations au titre du Protocole</w:t>
            </w:r>
            <w:r w:rsidR="000543BC">
              <w:rPr>
                <w:kern w:val="22"/>
                <w:szCs w:val="20"/>
                <w:lang w:val="fr-FR"/>
              </w:rPr>
              <w:t>;</w:t>
            </w:r>
          </w:p>
          <w:p w14:paraId="0E7B8923" w14:textId="4CC73F38" w:rsidR="00DF2E23" w:rsidRPr="004639D9" w:rsidRDefault="00DF2E23" w:rsidP="00DF2E23">
            <w:pPr>
              <w:spacing w:before="60" w:after="60"/>
              <w:jc w:val="left"/>
              <w:rPr>
                <w:rFonts w:eastAsia="MS Mincho"/>
                <w:kern w:val="22"/>
                <w:szCs w:val="20"/>
                <w:lang w:val="fr-FR"/>
              </w:rPr>
            </w:pPr>
            <w:r w:rsidRPr="004639D9">
              <w:rPr>
                <w:kern w:val="22"/>
                <w:szCs w:val="20"/>
                <w:lang w:val="fr-FR"/>
              </w:rPr>
              <w:t xml:space="preserve">A.1.2. Les Parties ont désigné des autorités nationales compétentes et des </w:t>
            </w:r>
            <w:r w:rsidR="004639D9">
              <w:rPr>
                <w:kern w:val="22"/>
                <w:szCs w:val="20"/>
                <w:lang w:val="fr-FR"/>
              </w:rPr>
              <w:t>correspondants</w:t>
            </w:r>
            <w:r w:rsidRPr="004639D9">
              <w:rPr>
                <w:kern w:val="22"/>
                <w:szCs w:val="20"/>
                <w:lang w:val="fr-FR"/>
              </w:rPr>
              <w:t xml:space="preserve"> nationaux pour le Protocole ainsi qu’un point de contact pour les mesures d’urgence (</w:t>
            </w:r>
            <w:r w:rsidR="009365C2" w:rsidRPr="004639D9">
              <w:rPr>
                <w:kern w:val="22"/>
                <w:szCs w:val="20"/>
                <w:lang w:val="fr-FR"/>
              </w:rPr>
              <w:t>article</w:t>
            </w:r>
            <w:r w:rsidRPr="004639D9">
              <w:rPr>
                <w:kern w:val="22"/>
                <w:szCs w:val="20"/>
                <w:lang w:val="fr-FR"/>
              </w:rPr>
              <w:t> 17)</w:t>
            </w:r>
            <w:r w:rsidR="000543BC">
              <w:rPr>
                <w:kern w:val="22"/>
                <w:szCs w:val="20"/>
                <w:lang w:val="fr-FR"/>
              </w:rPr>
              <w:t>;</w:t>
            </w:r>
          </w:p>
          <w:p w14:paraId="48A8C12E" w14:textId="3448B6BE" w:rsidR="00DF2E23" w:rsidRPr="004639D9" w:rsidRDefault="00DF2E23" w:rsidP="00DF2E23">
            <w:pPr>
              <w:suppressLineNumbers/>
              <w:suppressAutoHyphens/>
              <w:spacing w:before="60" w:after="60"/>
              <w:jc w:val="left"/>
              <w:rPr>
                <w:rFonts w:asciiTheme="majorBidi" w:eastAsia="MS Mincho" w:hAnsiTheme="majorBidi" w:cstheme="majorBidi"/>
                <w:spacing w:val="-2"/>
                <w:kern w:val="22"/>
                <w:lang w:val="fr-CA"/>
              </w:rPr>
            </w:pPr>
            <w:r w:rsidRPr="004639D9">
              <w:rPr>
                <w:kern w:val="22"/>
                <w:szCs w:val="20"/>
                <w:lang w:val="fr-FR"/>
              </w:rPr>
              <w:t>A.1.3. Les autorités nationales compétentes disposent d’un personnel correctement formé pour mener à bien leurs tâches.</w:t>
            </w:r>
          </w:p>
        </w:tc>
        <w:tc>
          <w:tcPr>
            <w:tcW w:w="3510" w:type="dxa"/>
            <w:tcBorders>
              <w:top w:val="single" w:sz="2" w:space="0" w:color="auto"/>
              <w:bottom w:val="single" w:sz="4" w:space="0" w:color="auto"/>
            </w:tcBorders>
            <w:shd w:val="clear" w:color="auto" w:fill="auto"/>
          </w:tcPr>
          <w:p w14:paraId="1F141401" w14:textId="601F5DC5" w:rsidR="00DF2E23" w:rsidRPr="004639D9" w:rsidRDefault="00DF2E23" w:rsidP="00DF2E23">
            <w:pPr>
              <w:spacing w:before="60" w:after="60"/>
              <w:jc w:val="left"/>
              <w:rPr>
                <w:rFonts w:eastAsia="MS Mincho"/>
                <w:kern w:val="22"/>
                <w:szCs w:val="20"/>
                <w:lang w:val="fr-FR"/>
              </w:rPr>
            </w:pPr>
            <w:r w:rsidRPr="004639D9">
              <w:rPr>
                <w:kern w:val="22"/>
                <w:szCs w:val="20"/>
                <w:lang w:val="fr-FR"/>
              </w:rPr>
              <w:t xml:space="preserve">a) Pourcentage de Parties ayant mis en place </w:t>
            </w:r>
            <w:r w:rsidR="005D6B58">
              <w:rPr>
                <w:kern w:val="22"/>
                <w:szCs w:val="20"/>
                <w:lang w:val="fr-FR"/>
              </w:rPr>
              <w:t>des mesures pour appliquer</w:t>
            </w:r>
            <w:r w:rsidRPr="004639D9">
              <w:rPr>
                <w:kern w:val="22"/>
                <w:szCs w:val="20"/>
                <w:lang w:val="fr-FR"/>
              </w:rPr>
              <w:t xml:space="preserve"> les dispositions du Protocole</w:t>
            </w:r>
            <w:r w:rsidR="000543BC">
              <w:rPr>
                <w:kern w:val="22"/>
                <w:szCs w:val="20"/>
                <w:lang w:val="fr-FR"/>
              </w:rPr>
              <w:t>;</w:t>
            </w:r>
          </w:p>
          <w:p w14:paraId="60503657" w14:textId="4C82FBDA" w:rsidR="00DF2E23" w:rsidRPr="004639D9" w:rsidRDefault="00DF2E23" w:rsidP="00DF2E23">
            <w:pPr>
              <w:jc w:val="left"/>
              <w:rPr>
                <w:rFonts w:eastAsia="MS Mincho"/>
                <w:kern w:val="22"/>
                <w:szCs w:val="20"/>
                <w:lang w:val="fr-FR"/>
              </w:rPr>
            </w:pPr>
            <w:r w:rsidRPr="004639D9">
              <w:rPr>
                <w:kern w:val="22"/>
                <w:szCs w:val="20"/>
                <w:lang w:val="fr-FR"/>
              </w:rPr>
              <w:t>b) Pourcentage de Part</w:t>
            </w:r>
            <w:r w:rsidR="005D6B58">
              <w:rPr>
                <w:kern w:val="22"/>
                <w:szCs w:val="20"/>
                <w:lang w:val="fr-FR"/>
              </w:rPr>
              <w:t>ies ayant désigné un correspondant</w:t>
            </w:r>
            <w:r w:rsidRPr="004639D9">
              <w:rPr>
                <w:kern w:val="22"/>
                <w:szCs w:val="20"/>
                <w:lang w:val="fr-FR"/>
              </w:rPr>
              <w:t xml:space="preserve"> national, des autorités nationales compétentes pour le Protocole</w:t>
            </w:r>
            <w:r w:rsidR="005D6B58">
              <w:rPr>
                <w:kern w:val="22"/>
                <w:szCs w:val="20"/>
                <w:lang w:val="fr-FR"/>
              </w:rPr>
              <w:t>,</w:t>
            </w:r>
            <w:r w:rsidRPr="004639D9">
              <w:rPr>
                <w:kern w:val="22"/>
                <w:szCs w:val="20"/>
                <w:lang w:val="fr-FR"/>
              </w:rPr>
              <w:t xml:space="preserve"> ainsi qu’un point de contact pour les mesures d’urgence (</w:t>
            </w:r>
            <w:r w:rsidR="009365C2" w:rsidRPr="004639D9">
              <w:rPr>
                <w:kern w:val="22"/>
                <w:szCs w:val="20"/>
                <w:lang w:val="fr-FR"/>
              </w:rPr>
              <w:t>article</w:t>
            </w:r>
            <w:r w:rsidRPr="004639D9">
              <w:rPr>
                <w:kern w:val="22"/>
                <w:szCs w:val="20"/>
                <w:lang w:val="fr-FR"/>
              </w:rPr>
              <w:t> 17), et en ont informé le Secrétariat</w:t>
            </w:r>
            <w:r w:rsidR="000543BC">
              <w:rPr>
                <w:kern w:val="22"/>
                <w:szCs w:val="20"/>
                <w:lang w:val="fr-FR"/>
              </w:rPr>
              <w:t>;</w:t>
            </w:r>
          </w:p>
          <w:p w14:paraId="4E01FACF" w14:textId="4DFD672C"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c)</w:t>
            </w:r>
            <w:r w:rsidR="005D6B58">
              <w:rPr>
                <w:kern w:val="22"/>
                <w:szCs w:val="20"/>
                <w:lang w:val="fr-FR"/>
              </w:rPr>
              <w:t xml:space="preserve"> Pourcentage de Parties disposant d’un</w:t>
            </w:r>
            <w:r w:rsidRPr="004639D9">
              <w:rPr>
                <w:kern w:val="22"/>
                <w:szCs w:val="20"/>
                <w:lang w:val="fr-FR"/>
              </w:rPr>
              <w:t xml:space="preserve"> personnel </w:t>
            </w:r>
            <w:r w:rsidR="00216CB9" w:rsidRPr="004639D9">
              <w:rPr>
                <w:kern w:val="22"/>
                <w:szCs w:val="20"/>
                <w:lang w:val="fr-FR"/>
              </w:rPr>
              <w:t xml:space="preserve">qualifié </w:t>
            </w:r>
            <w:r w:rsidRPr="004639D9">
              <w:rPr>
                <w:kern w:val="22"/>
                <w:szCs w:val="20"/>
                <w:lang w:val="fr-FR"/>
              </w:rPr>
              <w:t>pour rendre opérationnels leurs cadres nationaux de prévention des risques biotechnologiques.</w:t>
            </w:r>
          </w:p>
        </w:tc>
        <w:tc>
          <w:tcPr>
            <w:tcW w:w="2970" w:type="dxa"/>
            <w:tcBorders>
              <w:top w:val="single" w:sz="2" w:space="0" w:color="auto"/>
              <w:bottom w:val="single" w:sz="4" w:space="0" w:color="auto"/>
            </w:tcBorders>
            <w:shd w:val="clear" w:color="auto" w:fill="auto"/>
          </w:tcPr>
          <w:p w14:paraId="3CFFC4D2" w14:textId="3C832BEE" w:rsidR="00DF2E23" w:rsidRPr="004639D9" w:rsidRDefault="00DF2E23" w:rsidP="004639D9">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 xml:space="preserve">Des cadres nationaux fonctionnels de prévention des risques biotechnologiques permettent aux autorités compétentes, aux </w:t>
            </w:r>
            <w:r w:rsidR="004639D9">
              <w:rPr>
                <w:kern w:val="22"/>
                <w:szCs w:val="20"/>
                <w:lang w:val="fr-FR"/>
              </w:rPr>
              <w:t>correspondants</w:t>
            </w:r>
            <w:r w:rsidRPr="004639D9">
              <w:rPr>
                <w:kern w:val="22"/>
                <w:szCs w:val="20"/>
                <w:lang w:val="fr-FR"/>
              </w:rPr>
              <w:t xml:space="preserve"> nationaux et aux points de contact de l’</w:t>
            </w:r>
            <w:r w:rsidR="009365C2" w:rsidRPr="004639D9">
              <w:rPr>
                <w:kern w:val="22"/>
                <w:szCs w:val="20"/>
                <w:lang w:val="fr-FR"/>
              </w:rPr>
              <w:t>article</w:t>
            </w:r>
            <w:r w:rsidRPr="004639D9">
              <w:rPr>
                <w:kern w:val="22"/>
                <w:szCs w:val="20"/>
                <w:lang w:val="fr-FR"/>
              </w:rPr>
              <w:t> 17 de toutes les Parties de s’acquitter effectivement et efficacement de leurs obligations au titre du Protocole.</w:t>
            </w:r>
          </w:p>
        </w:tc>
      </w:tr>
      <w:tr w:rsidR="00DF2E23" w:rsidRPr="00301569" w14:paraId="2C4C8AD7" w14:textId="77777777" w:rsidTr="00001068">
        <w:trPr>
          <w:jc w:val="center"/>
        </w:trPr>
        <w:tc>
          <w:tcPr>
            <w:tcW w:w="1800" w:type="dxa"/>
            <w:tcBorders>
              <w:top w:val="single" w:sz="4" w:space="0" w:color="auto"/>
            </w:tcBorders>
            <w:shd w:val="clear" w:color="auto" w:fill="auto"/>
          </w:tcPr>
          <w:p w14:paraId="03860A09" w14:textId="31BD3B1B"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A.2. Les Parties ont amélioré la disponibilité et l’échange d’informations pertinentes par l’intermédiaire du CEPRB.</w:t>
            </w:r>
          </w:p>
        </w:tc>
        <w:tc>
          <w:tcPr>
            <w:tcW w:w="2785" w:type="dxa"/>
            <w:tcBorders>
              <w:top w:val="single" w:sz="4" w:space="0" w:color="auto"/>
            </w:tcBorders>
          </w:tcPr>
          <w:p w14:paraId="395DB67F" w14:textId="381315FD" w:rsidR="00DF2E23" w:rsidRPr="004639D9" w:rsidRDefault="00DF2E23" w:rsidP="00DF2E23">
            <w:pPr>
              <w:spacing w:before="60" w:after="60"/>
              <w:jc w:val="left"/>
              <w:rPr>
                <w:rFonts w:eastAsia="MS Mincho"/>
                <w:kern w:val="22"/>
                <w:szCs w:val="20"/>
                <w:lang w:val="fr-FR"/>
              </w:rPr>
            </w:pPr>
            <w:r w:rsidRPr="004639D9">
              <w:rPr>
                <w:kern w:val="22"/>
                <w:szCs w:val="20"/>
                <w:lang w:val="fr-FR"/>
              </w:rPr>
              <w:t>A.2.1. Les Parties fournissent des informations obligatoires exactes et complètes au CEPRB</w:t>
            </w:r>
            <w:r w:rsidR="004A3804">
              <w:rPr>
                <w:kern w:val="22"/>
                <w:szCs w:val="20"/>
                <w:lang w:val="fr-FR"/>
              </w:rPr>
              <w:t>,</w:t>
            </w:r>
            <w:r w:rsidRPr="004639D9">
              <w:rPr>
                <w:kern w:val="22"/>
                <w:szCs w:val="20"/>
                <w:lang w:val="fr-FR"/>
              </w:rPr>
              <w:t xml:space="preserve"> conformément à leurs obligations au titre du Protocole</w:t>
            </w:r>
            <w:r w:rsidR="000543BC">
              <w:rPr>
                <w:kern w:val="22"/>
                <w:szCs w:val="20"/>
                <w:lang w:val="fr-FR"/>
              </w:rPr>
              <w:t>;</w:t>
            </w:r>
          </w:p>
          <w:p w14:paraId="32A91E36" w14:textId="61B7CC99" w:rsidR="00DF2E23" w:rsidRPr="004639D9" w:rsidRDefault="00DF2E23" w:rsidP="00682A19">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 xml:space="preserve">A.2.2. Les Parties publient </w:t>
            </w:r>
            <w:r w:rsidR="00216CB9" w:rsidRPr="004639D9">
              <w:rPr>
                <w:kern w:val="22"/>
                <w:szCs w:val="20"/>
                <w:lang w:val="fr-FR"/>
              </w:rPr>
              <w:t xml:space="preserve">tous types d’informations non obligatoires </w:t>
            </w:r>
            <w:r w:rsidR="00682A19" w:rsidRPr="004639D9">
              <w:rPr>
                <w:kern w:val="22"/>
                <w:szCs w:val="20"/>
                <w:lang w:val="fr-FR"/>
              </w:rPr>
              <w:t>relatives à</w:t>
            </w:r>
            <w:r w:rsidR="00216CB9" w:rsidRPr="004639D9">
              <w:rPr>
                <w:kern w:val="22"/>
                <w:szCs w:val="20"/>
                <w:lang w:val="fr-FR"/>
              </w:rPr>
              <w:t xml:space="preserve"> </w:t>
            </w:r>
            <w:r w:rsidRPr="004639D9">
              <w:rPr>
                <w:kern w:val="22"/>
                <w:szCs w:val="20"/>
                <w:lang w:val="fr-FR"/>
              </w:rPr>
              <w:t>la prévention des risques biotechnologiques par l’intermédiaire du CEPRB.</w:t>
            </w:r>
          </w:p>
        </w:tc>
        <w:tc>
          <w:tcPr>
            <w:tcW w:w="3510" w:type="dxa"/>
            <w:tcBorders>
              <w:top w:val="single" w:sz="4" w:space="0" w:color="auto"/>
            </w:tcBorders>
            <w:shd w:val="clear" w:color="auto" w:fill="auto"/>
          </w:tcPr>
          <w:p w14:paraId="2045D6BF" w14:textId="6148B7E1"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de Parties mettant les informations obligatoires à la disposition du CEPRB</w:t>
            </w:r>
            <w:r w:rsidR="000543BC">
              <w:rPr>
                <w:kern w:val="22"/>
                <w:szCs w:val="20"/>
                <w:lang w:val="fr-FR"/>
              </w:rPr>
              <w:t>;</w:t>
            </w:r>
          </w:p>
          <w:p w14:paraId="324C2F0F" w14:textId="02C2CD88" w:rsidR="00DF2E23" w:rsidRPr="004639D9" w:rsidRDefault="00DF2E23" w:rsidP="00DF2E23">
            <w:pPr>
              <w:jc w:val="left"/>
              <w:rPr>
                <w:rFonts w:eastAsia="MS Mincho"/>
                <w:kern w:val="22"/>
                <w:szCs w:val="20"/>
                <w:lang w:val="fr-FR"/>
              </w:rPr>
            </w:pPr>
            <w:r w:rsidRPr="004639D9">
              <w:rPr>
                <w:kern w:val="22"/>
                <w:szCs w:val="20"/>
                <w:lang w:val="fr-FR"/>
              </w:rPr>
              <w:t xml:space="preserve">b) Pourcentage de Parties publiant </w:t>
            </w:r>
            <w:r w:rsidR="00682A19" w:rsidRPr="004639D9">
              <w:rPr>
                <w:kern w:val="22"/>
                <w:szCs w:val="20"/>
                <w:lang w:val="fr-FR"/>
              </w:rPr>
              <w:t>des informations non obligatoires</w:t>
            </w:r>
            <w:r w:rsidRPr="004639D9">
              <w:rPr>
                <w:kern w:val="22"/>
                <w:szCs w:val="20"/>
                <w:lang w:val="fr-FR"/>
              </w:rPr>
              <w:t xml:space="preserve"> relatives à la prévention des risques biotechnologiques par l’intermédiaire du CEPRB</w:t>
            </w:r>
            <w:r w:rsidR="000543BC">
              <w:rPr>
                <w:kern w:val="22"/>
                <w:szCs w:val="20"/>
                <w:lang w:val="fr-FR"/>
              </w:rPr>
              <w:t>;</w:t>
            </w:r>
          </w:p>
          <w:p w14:paraId="63310596" w14:textId="00BCACD4" w:rsidR="00DF2E23" w:rsidRPr="004639D9" w:rsidRDefault="00DF2E23" w:rsidP="00DF2E23">
            <w:pPr>
              <w:suppressLineNumbers/>
              <w:suppressAutoHyphens/>
              <w:spacing w:before="60" w:after="60"/>
              <w:jc w:val="left"/>
              <w:rPr>
                <w:kern w:val="22"/>
                <w:szCs w:val="20"/>
                <w:lang w:val="fr-FR"/>
              </w:rPr>
            </w:pPr>
            <w:r w:rsidRPr="004639D9">
              <w:rPr>
                <w:kern w:val="22"/>
                <w:szCs w:val="20"/>
                <w:lang w:val="fr-FR"/>
              </w:rPr>
              <w:t>c) Nombre d’utilisateurs actifs et d</w:t>
            </w:r>
            <w:r w:rsidR="004A3804">
              <w:rPr>
                <w:kern w:val="22"/>
                <w:szCs w:val="20"/>
                <w:lang w:val="fr-FR"/>
              </w:rPr>
              <w:t>e visites du CEPRB;</w:t>
            </w:r>
          </w:p>
          <w:p w14:paraId="36423794" w14:textId="613EF77D" w:rsidR="00682A19" w:rsidRPr="004639D9" w:rsidRDefault="00682A19"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d) Pourcentage de décisions au CEPRB auquel sont associés des rapports d’évaluation des risques</w:t>
            </w:r>
            <w:r w:rsidR="004A3804">
              <w:rPr>
                <w:kern w:val="22"/>
                <w:szCs w:val="20"/>
                <w:lang w:val="fr-FR"/>
              </w:rPr>
              <w:t>.</w:t>
            </w:r>
          </w:p>
        </w:tc>
        <w:tc>
          <w:tcPr>
            <w:tcW w:w="2970" w:type="dxa"/>
            <w:tcBorders>
              <w:top w:val="single" w:sz="4" w:space="0" w:color="auto"/>
            </w:tcBorders>
            <w:shd w:val="clear" w:color="auto" w:fill="auto"/>
          </w:tcPr>
          <w:p w14:paraId="255AED41" w14:textId="45C620E5"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Le CEPRB facilite la disponibilité</w:t>
            </w:r>
            <w:r w:rsidR="004A3804">
              <w:rPr>
                <w:kern w:val="22"/>
                <w:szCs w:val="20"/>
                <w:lang w:val="fr-FR"/>
              </w:rPr>
              <w:t xml:space="preserve"> et l’échange d’informations relativ</w:t>
            </w:r>
            <w:r w:rsidRPr="004639D9">
              <w:rPr>
                <w:kern w:val="22"/>
                <w:szCs w:val="20"/>
                <w:lang w:val="fr-FR"/>
              </w:rPr>
              <w:t>es à la prévention des risques biotechnologiques et permet aux Parties de prendre des décisions éclairées.</w:t>
            </w:r>
          </w:p>
        </w:tc>
      </w:tr>
      <w:tr w:rsidR="00DF2E23" w:rsidRPr="00301569" w14:paraId="1041B60A" w14:textId="77777777" w:rsidTr="00001068">
        <w:trPr>
          <w:jc w:val="center"/>
        </w:trPr>
        <w:tc>
          <w:tcPr>
            <w:tcW w:w="1800" w:type="dxa"/>
            <w:tcBorders>
              <w:top w:val="single" w:sz="4" w:space="0" w:color="auto"/>
            </w:tcBorders>
            <w:shd w:val="clear" w:color="auto" w:fill="auto"/>
          </w:tcPr>
          <w:p w14:paraId="0F7724BD" w14:textId="321F79A2"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A.3. Des informations complètes sur la mise en œuvre du Protocole sont mises à disposition par les Parties en temps opportun.</w:t>
            </w:r>
          </w:p>
        </w:tc>
        <w:tc>
          <w:tcPr>
            <w:tcW w:w="2785" w:type="dxa"/>
            <w:tcBorders>
              <w:top w:val="single" w:sz="4" w:space="0" w:color="auto"/>
            </w:tcBorders>
          </w:tcPr>
          <w:p w14:paraId="68C916D6" w14:textId="7A68AAF3" w:rsidR="00DF2E23" w:rsidRPr="004639D9" w:rsidRDefault="00D106AA" w:rsidP="00DF2E23">
            <w:pPr>
              <w:suppressLineNumbers/>
              <w:suppressAutoHyphens/>
              <w:spacing w:before="60" w:after="60"/>
              <w:jc w:val="left"/>
              <w:rPr>
                <w:rFonts w:asciiTheme="majorBidi" w:eastAsia="MS Mincho" w:hAnsiTheme="majorBidi" w:cstheme="majorBidi"/>
                <w:kern w:val="22"/>
                <w:szCs w:val="22"/>
                <w:lang w:val="fr-CA"/>
              </w:rPr>
            </w:pPr>
            <w:r>
              <w:rPr>
                <w:kern w:val="22"/>
                <w:szCs w:val="20"/>
                <w:lang w:val="fr-FR"/>
              </w:rPr>
              <w:t>A.3.1. Les Parties re</w:t>
            </w:r>
            <w:r w:rsidR="00DF2E23" w:rsidRPr="004639D9">
              <w:rPr>
                <w:kern w:val="22"/>
                <w:szCs w:val="20"/>
                <w:lang w:val="fr-FR"/>
              </w:rPr>
              <w:t>mettent des rapports nationaux complets dans le</w:t>
            </w:r>
            <w:r w:rsidR="004A3804">
              <w:rPr>
                <w:kern w:val="22"/>
                <w:szCs w:val="20"/>
                <w:lang w:val="fr-FR"/>
              </w:rPr>
              <w:t>s</w:t>
            </w:r>
            <w:r w:rsidR="00DF2E23" w:rsidRPr="004639D9">
              <w:rPr>
                <w:kern w:val="22"/>
                <w:szCs w:val="20"/>
                <w:lang w:val="fr-FR"/>
              </w:rPr>
              <w:t xml:space="preserve"> délai</w:t>
            </w:r>
            <w:r w:rsidR="004A3804">
              <w:rPr>
                <w:kern w:val="22"/>
                <w:szCs w:val="20"/>
                <w:lang w:val="fr-FR"/>
              </w:rPr>
              <w:t>s</w:t>
            </w:r>
            <w:r w:rsidR="00DF2E23" w:rsidRPr="004639D9">
              <w:rPr>
                <w:kern w:val="22"/>
                <w:szCs w:val="20"/>
                <w:lang w:val="fr-FR"/>
              </w:rPr>
              <w:t xml:space="preserve"> imparti</w:t>
            </w:r>
            <w:r w:rsidR="004A3804">
              <w:rPr>
                <w:kern w:val="22"/>
                <w:szCs w:val="20"/>
                <w:lang w:val="fr-FR"/>
              </w:rPr>
              <w:t>s</w:t>
            </w:r>
            <w:r w:rsidR="00DF2E23" w:rsidRPr="004639D9">
              <w:rPr>
                <w:kern w:val="22"/>
                <w:szCs w:val="20"/>
                <w:lang w:val="fr-FR"/>
              </w:rPr>
              <w:t>.</w:t>
            </w:r>
          </w:p>
        </w:tc>
        <w:tc>
          <w:tcPr>
            <w:tcW w:w="3510" w:type="dxa"/>
            <w:tcBorders>
              <w:top w:val="single" w:sz="4" w:space="0" w:color="auto"/>
            </w:tcBorders>
            <w:shd w:val="clear" w:color="auto" w:fill="auto"/>
          </w:tcPr>
          <w:p w14:paraId="73E10A7D" w14:textId="60B0B362"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w:t>
            </w:r>
            <w:r w:rsidR="00D106AA">
              <w:rPr>
                <w:kern w:val="22"/>
                <w:szCs w:val="20"/>
                <w:lang w:val="fr-FR"/>
              </w:rPr>
              <w:t>age de Parties ayant re</w:t>
            </w:r>
            <w:r w:rsidRPr="004639D9">
              <w:rPr>
                <w:kern w:val="22"/>
                <w:szCs w:val="20"/>
                <w:lang w:val="fr-FR"/>
              </w:rPr>
              <w:t>mis un rapport national complet dans le</w:t>
            </w:r>
            <w:r w:rsidR="00D106AA">
              <w:rPr>
                <w:kern w:val="22"/>
                <w:szCs w:val="20"/>
                <w:lang w:val="fr-FR"/>
              </w:rPr>
              <w:t>s</w:t>
            </w:r>
            <w:r w:rsidRPr="004639D9">
              <w:rPr>
                <w:kern w:val="22"/>
                <w:szCs w:val="20"/>
                <w:lang w:val="fr-FR"/>
              </w:rPr>
              <w:t xml:space="preserve"> délai</w:t>
            </w:r>
            <w:r w:rsidR="00D106AA">
              <w:rPr>
                <w:kern w:val="22"/>
                <w:szCs w:val="20"/>
                <w:lang w:val="fr-FR"/>
              </w:rPr>
              <w:t>s</w:t>
            </w:r>
            <w:r w:rsidRPr="004639D9">
              <w:rPr>
                <w:kern w:val="22"/>
                <w:szCs w:val="20"/>
                <w:lang w:val="fr-FR"/>
              </w:rPr>
              <w:t xml:space="preserve"> imparti</w:t>
            </w:r>
            <w:r w:rsidR="00D106AA">
              <w:rPr>
                <w:kern w:val="22"/>
                <w:szCs w:val="20"/>
                <w:lang w:val="fr-FR"/>
              </w:rPr>
              <w:t>s</w:t>
            </w:r>
            <w:r w:rsidR="000543BC">
              <w:rPr>
                <w:kern w:val="22"/>
                <w:szCs w:val="20"/>
                <w:lang w:val="fr-FR"/>
              </w:rPr>
              <w:t>;</w:t>
            </w:r>
          </w:p>
          <w:p w14:paraId="4F08B62A" w14:textId="7AF3EEA7" w:rsidR="00DF2E23" w:rsidRPr="004639D9" w:rsidRDefault="00D106AA" w:rsidP="00DF2E23">
            <w:pPr>
              <w:suppressLineNumbers/>
              <w:suppressAutoHyphens/>
              <w:spacing w:before="60" w:after="60"/>
              <w:jc w:val="left"/>
              <w:rPr>
                <w:rFonts w:asciiTheme="majorBidi" w:eastAsia="MS Mincho" w:hAnsiTheme="majorBidi" w:cstheme="majorBidi"/>
                <w:kern w:val="22"/>
                <w:lang w:val="fr-CA"/>
              </w:rPr>
            </w:pPr>
            <w:r>
              <w:rPr>
                <w:kern w:val="22"/>
                <w:szCs w:val="20"/>
                <w:lang w:val="fr-FR"/>
              </w:rPr>
              <w:t>b) Pourcentage de Parties admissibles ayant obtenu un</w:t>
            </w:r>
            <w:r w:rsidR="00DF2E23" w:rsidRPr="004639D9">
              <w:rPr>
                <w:kern w:val="22"/>
                <w:szCs w:val="20"/>
                <w:lang w:val="fr-FR"/>
              </w:rPr>
              <w:t xml:space="preserve"> financement du FEM pour la préparation de leur rapport national en temps opportun.</w:t>
            </w:r>
          </w:p>
        </w:tc>
        <w:tc>
          <w:tcPr>
            <w:tcW w:w="2970" w:type="dxa"/>
            <w:tcBorders>
              <w:top w:val="single" w:sz="4" w:space="0" w:color="auto"/>
            </w:tcBorders>
            <w:shd w:val="clear" w:color="auto" w:fill="auto"/>
          </w:tcPr>
          <w:p w14:paraId="1C414D5D" w14:textId="6FECE775"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Des informations précises et en temps oppo</w:t>
            </w:r>
            <w:r w:rsidR="00D106AA">
              <w:rPr>
                <w:kern w:val="22"/>
                <w:szCs w:val="20"/>
                <w:lang w:val="fr-FR"/>
              </w:rPr>
              <w:t>rtun sur l’application</w:t>
            </w:r>
            <w:r w:rsidRPr="004639D9">
              <w:rPr>
                <w:kern w:val="22"/>
                <w:szCs w:val="20"/>
                <w:lang w:val="fr-FR"/>
              </w:rPr>
              <w:t xml:space="preserve"> du Protocole permettent à la Conférence des Parties siégeant en tant que réunion des Parties au Protocole de fixer des priorités et d’identifier les domaines dans lesquels un soutien est nécessaire.</w:t>
            </w:r>
          </w:p>
        </w:tc>
      </w:tr>
      <w:tr w:rsidR="00DF2E23" w:rsidRPr="00301569" w14:paraId="281B0974" w14:textId="77777777" w:rsidTr="00001068">
        <w:trPr>
          <w:jc w:val="center"/>
        </w:trPr>
        <w:tc>
          <w:tcPr>
            <w:tcW w:w="1800" w:type="dxa"/>
            <w:shd w:val="clear" w:color="auto" w:fill="auto"/>
          </w:tcPr>
          <w:p w14:paraId="43F15B86" w14:textId="0F3916F1" w:rsidR="00DF2E23" w:rsidRPr="004639D9" w:rsidRDefault="00DF2E23" w:rsidP="004639D9">
            <w:pPr>
              <w:suppressLineNumbers/>
              <w:suppressAutoHyphens/>
              <w:spacing w:before="60" w:after="60"/>
              <w:jc w:val="left"/>
              <w:rPr>
                <w:rFonts w:asciiTheme="majorBidi" w:eastAsia="MS Mincho" w:hAnsiTheme="majorBidi" w:cstheme="majorBidi"/>
                <w:b/>
                <w:bCs/>
                <w:kern w:val="22"/>
                <w:lang w:val="fr-CA"/>
              </w:rPr>
            </w:pPr>
            <w:r w:rsidRPr="004639D9">
              <w:rPr>
                <w:b/>
                <w:bCs/>
                <w:kern w:val="22"/>
                <w:szCs w:val="20"/>
                <w:lang w:val="fr-FR"/>
              </w:rPr>
              <w:t>A.4. Les Parties se conforment aux exigences du Protocole.</w:t>
            </w:r>
          </w:p>
        </w:tc>
        <w:tc>
          <w:tcPr>
            <w:tcW w:w="2785" w:type="dxa"/>
          </w:tcPr>
          <w:p w14:paraId="40AB1531" w14:textId="06CE189E" w:rsidR="00DF2E23" w:rsidRPr="004639D9" w:rsidRDefault="00D106AA" w:rsidP="00DF2E23">
            <w:pPr>
              <w:spacing w:before="60" w:after="60"/>
              <w:jc w:val="left"/>
              <w:rPr>
                <w:rFonts w:eastAsia="MS Mincho"/>
                <w:kern w:val="22"/>
                <w:szCs w:val="20"/>
                <w:lang w:val="fr-FR"/>
              </w:rPr>
            </w:pPr>
            <w:r>
              <w:rPr>
                <w:kern w:val="22"/>
                <w:szCs w:val="20"/>
                <w:lang w:val="fr-FR"/>
              </w:rPr>
              <w:t>A.4.1. Les Parties s’acquitt</w:t>
            </w:r>
            <w:r w:rsidR="00DF2E23" w:rsidRPr="004639D9">
              <w:rPr>
                <w:kern w:val="22"/>
                <w:szCs w:val="20"/>
                <w:lang w:val="fr-FR"/>
              </w:rPr>
              <w:t xml:space="preserve">ent </w:t>
            </w:r>
            <w:r>
              <w:rPr>
                <w:kern w:val="22"/>
                <w:szCs w:val="20"/>
                <w:lang w:val="fr-FR"/>
              </w:rPr>
              <w:t xml:space="preserve">de </w:t>
            </w:r>
            <w:r w:rsidR="00DF2E23" w:rsidRPr="004639D9">
              <w:rPr>
                <w:kern w:val="22"/>
                <w:szCs w:val="20"/>
                <w:lang w:val="fr-FR"/>
              </w:rPr>
              <w:t>leurs obligations au titre du Protocole</w:t>
            </w:r>
            <w:r w:rsidR="000543BC">
              <w:rPr>
                <w:kern w:val="22"/>
                <w:szCs w:val="20"/>
                <w:lang w:val="fr-FR"/>
              </w:rPr>
              <w:t>;</w:t>
            </w:r>
          </w:p>
          <w:p w14:paraId="474E66A9" w14:textId="427C3A16" w:rsidR="00DF2E23" w:rsidRPr="004639D9" w:rsidRDefault="00DF2E23" w:rsidP="00DF2E23">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A.4.2. Les Parties résolvent les problèmes de non-respect identifiés p</w:t>
            </w:r>
            <w:r w:rsidR="00D106AA">
              <w:rPr>
                <w:kern w:val="22"/>
                <w:szCs w:val="20"/>
                <w:lang w:val="fr-FR"/>
              </w:rPr>
              <w:t xml:space="preserve">ar le Comité chargé </w:t>
            </w:r>
            <w:r w:rsidRPr="004639D9">
              <w:rPr>
                <w:kern w:val="22"/>
                <w:szCs w:val="20"/>
                <w:lang w:val="fr-FR"/>
              </w:rPr>
              <w:t>du respect des obligations au titre du Protocole.</w:t>
            </w:r>
          </w:p>
        </w:tc>
        <w:tc>
          <w:tcPr>
            <w:tcW w:w="3510" w:type="dxa"/>
            <w:shd w:val="clear" w:color="auto" w:fill="auto"/>
          </w:tcPr>
          <w:p w14:paraId="526E49A8" w14:textId="2BAA8FB6" w:rsidR="00DF2E23" w:rsidRPr="004639D9" w:rsidRDefault="00DF2E23" w:rsidP="00DF2E23">
            <w:pPr>
              <w:spacing w:before="60" w:after="60"/>
              <w:jc w:val="left"/>
              <w:rPr>
                <w:rFonts w:eastAsia="MS Mincho"/>
                <w:bCs/>
                <w:kern w:val="22"/>
                <w:szCs w:val="20"/>
                <w:lang w:val="fr-FR"/>
              </w:rPr>
            </w:pPr>
            <w:r w:rsidRPr="004639D9">
              <w:rPr>
                <w:bCs/>
                <w:kern w:val="22"/>
                <w:szCs w:val="20"/>
                <w:lang w:val="fr-FR"/>
              </w:rPr>
              <w:t>a) P</w:t>
            </w:r>
            <w:r w:rsidR="00D106AA">
              <w:rPr>
                <w:bCs/>
                <w:kern w:val="22"/>
                <w:szCs w:val="20"/>
                <w:lang w:val="fr-FR"/>
              </w:rPr>
              <w:t>ourcentage de Parties ayant respecté</w:t>
            </w:r>
            <w:r w:rsidRPr="004639D9">
              <w:rPr>
                <w:bCs/>
                <w:kern w:val="22"/>
                <w:szCs w:val="20"/>
                <w:lang w:val="fr-FR"/>
              </w:rPr>
              <w:t xml:space="preserve"> leurs obligations au titre du Protocole</w:t>
            </w:r>
            <w:r w:rsidR="000543BC">
              <w:rPr>
                <w:bCs/>
                <w:kern w:val="22"/>
                <w:szCs w:val="20"/>
                <w:lang w:val="fr-FR"/>
              </w:rPr>
              <w:t>;</w:t>
            </w:r>
          </w:p>
          <w:p w14:paraId="1ACEBADA" w14:textId="50526FE7"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bCs/>
                <w:kern w:val="22"/>
                <w:szCs w:val="20"/>
                <w:lang w:val="fr-FR"/>
              </w:rPr>
              <w:t>(b) Pourcentage de Parties ayant résolu les problèmes de non-respect identifiés p</w:t>
            </w:r>
            <w:r w:rsidR="00D106AA">
              <w:rPr>
                <w:bCs/>
                <w:kern w:val="22"/>
                <w:szCs w:val="20"/>
                <w:lang w:val="fr-FR"/>
              </w:rPr>
              <w:t xml:space="preserve">ar le Comité chargé </w:t>
            </w:r>
            <w:r w:rsidRPr="004639D9">
              <w:rPr>
                <w:bCs/>
                <w:kern w:val="22"/>
                <w:szCs w:val="20"/>
                <w:lang w:val="fr-FR"/>
              </w:rPr>
              <w:t>du respect des obligations au titre du Protocole.</w:t>
            </w:r>
          </w:p>
        </w:tc>
        <w:tc>
          <w:tcPr>
            <w:tcW w:w="2970" w:type="dxa"/>
            <w:shd w:val="clear" w:color="auto" w:fill="auto"/>
          </w:tcPr>
          <w:p w14:paraId="07E2EFED" w14:textId="54E7ECCE" w:rsidR="00DF2E23" w:rsidRPr="004639D9" w:rsidRDefault="00DF2E23" w:rsidP="00DF2E23">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Un mécanisme de respect eff</w:t>
            </w:r>
            <w:r w:rsidR="00D106AA">
              <w:rPr>
                <w:kern w:val="22"/>
                <w:szCs w:val="20"/>
                <w:lang w:val="fr-FR"/>
              </w:rPr>
              <w:t xml:space="preserve">icace favorise l’application </w:t>
            </w:r>
            <w:r w:rsidRPr="004639D9">
              <w:rPr>
                <w:kern w:val="22"/>
                <w:szCs w:val="20"/>
                <w:lang w:val="fr-FR"/>
              </w:rPr>
              <w:t>du Protocole.</w:t>
            </w:r>
          </w:p>
        </w:tc>
      </w:tr>
      <w:tr w:rsidR="00DF2E23" w:rsidRPr="00301569" w14:paraId="554CAB44" w14:textId="77777777" w:rsidTr="00001068">
        <w:trPr>
          <w:jc w:val="center"/>
        </w:trPr>
        <w:tc>
          <w:tcPr>
            <w:tcW w:w="1800" w:type="dxa"/>
            <w:shd w:val="clear" w:color="auto" w:fill="auto"/>
          </w:tcPr>
          <w:p w14:paraId="30465D04" w14:textId="0326A0F0" w:rsidR="00DF2E23" w:rsidRPr="004639D9" w:rsidRDefault="00DF2E23" w:rsidP="00DF2E23">
            <w:pPr>
              <w:suppressLineNumbers/>
              <w:suppressAutoHyphens/>
              <w:spacing w:before="60" w:after="60"/>
              <w:jc w:val="left"/>
              <w:rPr>
                <w:rFonts w:asciiTheme="majorBidi" w:eastAsia="MS Mincho" w:hAnsiTheme="majorBidi" w:cstheme="majorBidi"/>
                <w:b/>
                <w:bCs/>
                <w:kern w:val="22"/>
                <w:lang w:val="fr-CA"/>
              </w:rPr>
            </w:pPr>
            <w:r w:rsidRPr="004639D9">
              <w:rPr>
                <w:b/>
                <w:bCs/>
                <w:kern w:val="22"/>
                <w:szCs w:val="20"/>
                <w:lang w:val="fr-FR"/>
              </w:rPr>
              <w:t>A.5. Les Parties procèdent à des évaluations scientifiquement fondées des risques relatifs aux OVM, et gèrent et contrôlent les risques identifiés pour prévenir les effets néfastes des OVM sur la conservation et l’utilisation durable de la diversité biologique</w:t>
            </w:r>
            <w:r w:rsidR="00682A19" w:rsidRPr="004639D9">
              <w:rPr>
                <w:b/>
                <w:bCs/>
                <w:kern w:val="22"/>
                <w:szCs w:val="20"/>
                <w:lang w:val="fr-FR"/>
              </w:rPr>
              <w:t>, en tenant compte des risques pour la santé humaine</w:t>
            </w:r>
            <w:r w:rsidRPr="004639D9">
              <w:rPr>
                <w:b/>
                <w:bCs/>
                <w:kern w:val="22"/>
                <w:szCs w:val="20"/>
                <w:lang w:val="fr-FR"/>
              </w:rPr>
              <w:t>.</w:t>
            </w:r>
          </w:p>
        </w:tc>
        <w:tc>
          <w:tcPr>
            <w:tcW w:w="2785" w:type="dxa"/>
          </w:tcPr>
          <w:p w14:paraId="110DE7F2" w14:textId="541508DD" w:rsidR="00DF2E23" w:rsidRPr="004639D9" w:rsidRDefault="00DF2E23" w:rsidP="00DF2E23">
            <w:pPr>
              <w:spacing w:before="60" w:after="60"/>
              <w:jc w:val="left"/>
              <w:rPr>
                <w:rFonts w:eastAsia="MS Mincho"/>
                <w:kern w:val="22"/>
                <w:szCs w:val="20"/>
                <w:lang w:val="fr-FR"/>
              </w:rPr>
            </w:pPr>
            <w:r w:rsidRPr="004639D9">
              <w:rPr>
                <w:kern w:val="22"/>
                <w:szCs w:val="20"/>
                <w:lang w:val="fr-FR"/>
              </w:rPr>
              <w:t>A.5.1. Les Parties appliquent des procédures scientifiquement fondées et appropriées pour l’évaluation des risques et la gestion des risques relatifs aux OVM, conformément à l’Annexe III du Protocole</w:t>
            </w:r>
            <w:r w:rsidR="000543BC">
              <w:rPr>
                <w:kern w:val="22"/>
                <w:szCs w:val="20"/>
                <w:lang w:val="fr-FR"/>
              </w:rPr>
              <w:t>;</w:t>
            </w:r>
          </w:p>
          <w:p w14:paraId="28A7956E" w14:textId="491E9100" w:rsidR="00DF2E23" w:rsidRPr="004639D9" w:rsidRDefault="00DF2E23" w:rsidP="004C02C8">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A.5.2. Les Parties élaborent (si nécessaire), ont accès et utilisent du matériel ressource approprié pour réaliser une évaluation et une gestion des risques scientifiquement fondées</w:t>
            </w:r>
            <w:r w:rsidR="004C02C8" w:rsidRPr="004639D9">
              <w:rPr>
                <w:kern w:val="22"/>
                <w:szCs w:val="20"/>
                <w:lang w:val="fr-FR"/>
              </w:rPr>
              <w:t xml:space="preserve"> [en tenant compte des connaissances traditionnelles]</w:t>
            </w:r>
            <w:r w:rsidR="00D106AA">
              <w:rPr>
                <w:kern w:val="22"/>
                <w:szCs w:val="20"/>
                <w:lang w:val="fr-FR"/>
              </w:rPr>
              <w:t>.</w:t>
            </w:r>
          </w:p>
        </w:tc>
        <w:tc>
          <w:tcPr>
            <w:tcW w:w="3510" w:type="dxa"/>
            <w:shd w:val="clear" w:color="auto" w:fill="auto"/>
          </w:tcPr>
          <w:p w14:paraId="508402B4" w14:textId="495C1E8A" w:rsidR="00DF2E23" w:rsidRPr="004639D9" w:rsidRDefault="00DF2E23" w:rsidP="00DF2E23">
            <w:pPr>
              <w:jc w:val="left"/>
              <w:rPr>
                <w:rFonts w:eastAsia="MS Mincho"/>
                <w:kern w:val="22"/>
                <w:szCs w:val="20"/>
                <w:lang w:val="fr-FR"/>
              </w:rPr>
            </w:pPr>
            <w:r w:rsidRPr="004639D9">
              <w:rPr>
                <w:kern w:val="22"/>
                <w:szCs w:val="20"/>
                <w:lang w:val="fr-FR"/>
              </w:rPr>
              <w:t>a) Po</w:t>
            </w:r>
            <w:r w:rsidR="00D106AA">
              <w:rPr>
                <w:kern w:val="22"/>
                <w:szCs w:val="20"/>
                <w:lang w:val="fr-FR"/>
              </w:rPr>
              <w:t>urcentage de Parties ayant effectué</w:t>
            </w:r>
            <w:r w:rsidRPr="004639D9">
              <w:rPr>
                <w:kern w:val="22"/>
                <w:szCs w:val="20"/>
                <w:lang w:val="fr-FR"/>
              </w:rPr>
              <w:t xml:space="preserve"> une évaluation des risques pour la prise de décisions sur les OVM, lorsque le Protocole l’exige </w:t>
            </w:r>
            <w:r w:rsidR="00B90E40" w:rsidRPr="004639D9">
              <w:rPr>
                <w:kern w:val="22"/>
                <w:szCs w:val="20"/>
                <w:lang w:val="fr-FR"/>
              </w:rPr>
              <w:t>[y compris ceux [OVM] élaborés grâce à la biologie de synthèse et par forçage génétique]</w:t>
            </w:r>
            <w:r w:rsidRPr="004639D9">
              <w:rPr>
                <w:kern w:val="22"/>
                <w:szCs w:val="20"/>
                <w:lang w:val="fr-FR"/>
              </w:rPr>
              <w:t>;</w:t>
            </w:r>
          </w:p>
          <w:p w14:paraId="7368A3A1" w14:textId="056A4E71" w:rsidR="00DF2E23" w:rsidRPr="004639D9" w:rsidRDefault="001F4E80" w:rsidP="00DF2E23">
            <w:pPr>
              <w:jc w:val="left"/>
              <w:rPr>
                <w:kern w:val="22"/>
                <w:szCs w:val="20"/>
                <w:lang w:val="fr-FR"/>
              </w:rPr>
            </w:pPr>
            <w:r w:rsidRPr="004639D9">
              <w:rPr>
                <w:kern w:val="22"/>
                <w:szCs w:val="20"/>
                <w:lang w:val="fr-FR"/>
              </w:rPr>
              <w:t>b</w:t>
            </w:r>
            <w:r w:rsidR="00DF2E23" w:rsidRPr="004639D9">
              <w:rPr>
                <w:kern w:val="22"/>
                <w:szCs w:val="20"/>
                <w:lang w:val="fr-FR"/>
              </w:rPr>
              <w:t>) Pourcentage de Parties ayant accès à du matériel ressource sur l’évaluation et la gestion des risques, et les utilisant</w:t>
            </w:r>
            <w:r w:rsidR="000543BC">
              <w:rPr>
                <w:kern w:val="22"/>
                <w:szCs w:val="20"/>
                <w:lang w:val="fr-FR"/>
              </w:rPr>
              <w:t>;</w:t>
            </w:r>
          </w:p>
          <w:p w14:paraId="558579D0" w14:textId="73CDCE13" w:rsidR="00DF2E23" w:rsidRPr="004639D9" w:rsidRDefault="001F4E80" w:rsidP="001F4E80">
            <w:pPr>
              <w:suppressLineNumbers/>
              <w:suppressAutoHyphens/>
              <w:spacing w:before="60" w:after="60"/>
              <w:jc w:val="left"/>
              <w:rPr>
                <w:kern w:val="22"/>
                <w:szCs w:val="20"/>
                <w:lang w:val="fr-FR"/>
              </w:rPr>
            </w:pPr>
            <w:r w:rsidRPr="004639D9">
              <w:rPr>
                <w:kern w:val="22"/>
                <w:szCs w:val="20"/>
                <w:lang w:val="fr-FR"/>
              </w:rPr>
              <w:t>c</w:t>
            </w:r>
            <w:r w:rsidR="00DF2E23" w:rsidRPr="004639D9">
              <w:rPr>
                <w:kern w:val="22"/>
                <w:szCs w:val="20"/>
                <w:lang w:val="fr-FR"/>
              </w:rPr>
              <w:t xml:space="preserve">) </w:t>
            </w:r>
            <w:r w:rsidR="00D106AA">
              <w:rPr>
                <w:kern w:val="22"/>
                <w:szCs w:val="20"/>
                <w:lang w:val="fr-FR"/>
              </w:rPr>
              <w:t>Pourcentage de Parties ayant effectué</w:t>
            </w:r>
            <w:r w:rsidR="00DF2E23" w:rsidRPr="004639D9">
              <w:rPr>
                <w:kern w:val="22"/>
                <w:szCs w:val="20"/>
                <w:lang w:val="fr-FR"/>
              </w:rPr>
              <w:t xml:space="preserve"> des évaluations des risques s’appuyant sur d’autres preuves scientifiques disponibles, mentionnées à l’</w:t>
            </w:r>
            <w:r w:rsidR="009365C2" w:rsidRPr="004639D9">
              <w:rPr>
                <w:kern w:val="22"/>
                <w:szCs w:val="20"/>
                <w:lang w:val="fr-FR"/>
              </w:rPr>
              <w:t>article</w:t>
            </w:r>
            <w:r w:rsidR="00DF2E23" w:rsidRPr="004639D9">
              <w:rPr>
                <w:kern w:val="22"/>
                <w:szCs w:val="20"/>
                <w:lang w:val="fr-FR"/>
              </w:rPr>
              <w:t> 15</w:t>
            </w:r>
            <w:r w:rsidRPr="004639D9">
              <w:rPr>
                <w:kern w:val="22"/>
                <w:szCs w:val="20"/>
                <w:lang w:val="fr-FR"/>
              </w:rPr>
              <w:t xml:space="preserve"> [et</w:t>
            </w:r>
            <w:r w:rsidR="00D106AA">
              <w:rPr>
                <w:kern w:val="22"/>
                <w:szCs w:val="20"/>
                <w:lang w:val="fr-FR"/>
              </w:rPr>
              <w:t xml:space="preserve"> sur</w:t>
            </w:r>
            <w:r w:rsidRPr="004639D9">
              <w:rPr>
                <w:kern w:val="22"/>
                <w:szCs w:val="20"/>
                <w:lang w:val="fr-FR"/>
              </w:rPr>
              <w:t xml:space="preserve"> les connaissances traditionnelles pertinen</w:t>
            </w:r>
            <w:r w:rsidR="00C52C25">
              <w:rPr>
                <w:kern w:val="22"/>
                <w:szCs w:val="20"/>
                <w:lang w:val="fr-FR"/>
              </w:rPr>
              <w:t>tes des peuples autochtones et d</w:t>
            </w:r>
            <w:r w:rsidR="00D106AA">
              <w:rPr>
                <w:kern w:val="22"/>
                <w:szCs w:val="20"/>
                <w:lang w:val="fr-FR"/>
              </w:rPr>
              <w:t>es communautés locales, pour</w:t>
            </w:r>
            <w:r w:rsidRPr="004639D9">
              <w:rPr>
                <w:kern w:val="22"/>
                <w:szCs w:val="20"/>
                <w:lang w:val="fr-FR"/>
              </w:rPr>
              <w:t xml:space="preserve"> autant que ce soit de manière scientifiquement fondée et transparente]</w:t>
            </w:r>
            <w:r w:rsidR="000543BC">
              <w:rPr>
                <w:kern w:val="22"/>
                <w:szCs w:val="20"/>
                <w:lang w:val="fr-FR"/>
              </w:rPr>
              <w:t>;</w:t>
            </w:r>
          </w:p>
          <w:p w14:paraId="6B00469E" w14:textId="5F2C169F" w:rsidR="001F4E80" w:rsidRPr="004639D9" w:rsidRDefault="001F4E80" w:rsidP="001F4E80">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 xml:space="preserve">d) </w:t>
            </w:r>
            <w:r w:rsidR="00FE3A58">
              <w:rPr>
                <w:kern w:val="22"/>
                <w:szCs w:val="20"/>
                <w:lang w:val="fr-FR"/>
              </w:rPr>
              <w:t>Pourcentage de Parties</w:t>
            </w:r>
            <w:r w:rsidRPr="004639D9">
              <w:rPr>
                <w:kern w:val="22"/>
                <w:szCs w:val="20"/>
                <w:lang w:val="fr-FR"/>
              </w:rPr>
              <w:t xml:space="preserve"> ayant </w:t>
            </w:r>
            <w:r w:rsidR="00D106AA">
              <w:rPr>
                <w:kern w:val="22"/>
                <w:szCs w:val="20"/>
                <w:lang w:val="fr-FR"/>
              </w:rPr>
              <w:t xml:space="preserve">mis en place des mesures </w:t>
            </w:r>
            <w:r w:rsidRPr="004639D9">
              <w:rPr>
                <w:kern w:val="22"/>
                <w:szCs w:val="20"/>
                <w:lang w:val="fr-FR"/>
              </w:rPr>
              <w:t>pour identifier les OVM ou des caractéristiques particuli</w:t>
            </w:r>
            <w:r w:rsidR="006F7512" w:rsidRPr="004639D9">
              <w:rPr>
                <w:kern w:val="22"/>
                <w:szCs w:val="20"/>
                <w:lang w:val="fr-FR"/>
              </w:rPr>
              <w:t>ères qui pourrai</w:t>
            </w:r>
            <w:r w:rsidRPr="004639D9">
              <w:rPr>
                <w:kern w:val="22"/>
                <w:szCs w:val="20"/>
                <w:lang w:val="fr-FR"/>
              </w:rPr>
              <w:t>e</w:t>
            </w:r>
            <w:r w:rsidR="00D106AA">
              <w:rPr>
                <w:kern w:val="22"/>
                <w:szCs w:val="20"/>
                <w:lang w:val="fr-FR"/>
              </w:rPr>
              <w:t>nt avoir des effets défavorable s</w:t>
            </w:r>
            <w:r w:rsidRPr="004639D9">
              <w:rPr>
                <w:kern w:val="22"/>
                <w:szCs w:val="20"/>
                <w:lang w:val="fr-FR"/>
              </w:rPr>
              <w:t>ur la conservation et l’utilisation durable</w:t>
            </w:r>
            <w:r w:rsidR="00D106AA">
              <w:rPr>
                <w:kern w:val="22"/>
                <w:szCs w:val="20"/>
                <w:lang w:val="fr-FR"/>
              </w:rPr>
              <w:t xml:space="preserve"> de la diversité biologique, et ont adopté</w:t>
            </w:r>
            <w:r w:rsidRPr="004639D9">
              <w:rPr>
                <w:kern w:val="22"/>
                <w:szCs w:val="20"/>
                <w:lang w:val="fr-FR"/>
              </w:rPr>
              <w:t xml:space="preserve"> des mesures pour atténuer les risques</w:t>
            </w:r>
            <w:r w:rsidR="00D106AA">
              <w:rPr>
                <w:kern w:val="22"/>
                <w:szCs w:val="20"/>
                <w:lang w:val="fr-FR"/>
              </w:rPr>
              <w:t>.</w:t>
            </w:r>
          </w:p>
        </w:tc>
        <w:tc>
          <w:tcPr>
            <w:tcW w:w="2970" w:type="dxa"/>
            <w:shd w:val="clear" w:color="auto" w:fill="auto"/>
          </w:tcPr>
          <w:p w14:paraId="04A1FBFC" w14:textId="5E31BA78" w:rsidR="00DF2E23" w:rsidRPr="004639D9" w:rsidRDefault="00DF2E23" w:rsidP="00DF2E23">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Les Parties identifient, évaluent, gèrent et contrôlent de manière appropriée les risques que représentent les OVM pour la biodiversité, en tenant également compte des risques pour la santé humaine.</w:t>
            </w:r>
          </w:p>
        </w:tc>
      </w:tr>
      <w:tr w:rsidR="00DF2E23" w:rsidRPr="00301569" w14:paraId="378EC5E7" w14:textId="77777777" w:rsidTr="00001068">
        <w:trPr>
          <w:jc w:val="center"/>
        </w:trPr>
        <w:tc>
          <w:tcPr>
            <w:tcW w:w="1800" w:type="dxa"/>
            <w:shd w:val="clear" w:color="auto" w:fill="auto"/>
          </w:tcPr>
          <w:p w14:paraId="79533CCC" w14:textId="216EB6AE" w:rsidR="00DF2E23" w:rsidRPr="004639D9" w:rsidRDefault="00DF2E23" w:rsidP="00CB2AD1">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A.6. Les Parties</w:t>
            </w:r>
            <w:r w:rsidR="006F7512" w:rsidRPr="004639D9">
              <w:rPr>
                <w:b/>
                <w:bCs/>
                <w:kern w:val="22"/>
                <w:szCs w:val="20"/>
                <w:lang w:val="fr-FR"/>
              </w:rPr>
              <w:t xml:space="preserve"> préviennent et </w:t>
            </w:r>
            <w:r w:rsidR="00CB2AD1">
              <w:rPr>
                <w:b/>
                <w:bCs/>
                <w:kern w:val="22"/>
                <w:szCs w:val="20"/>
                <w:lang w:val="fr-FR"/>
              </w:rPr>
              <w:t>réduisent les</w:t>
            </w:r>
            <w:r w:rsidRPr="004639D9">
              <w:rPr>
                <w:b/>
                <w:bCs/>
                <w:kern w:val="22"/>
                <w:szCs w:val="20"/>
                <w:lang w:val="fr-FR"/>
              </w:rPr>
              <w:t xml:space="preserve"> mo</w:t>
            </w:r>
            <w:r w:rsidR="00D106AA">
              <w:rPr>
                <w:b/>
                <w:bCs/>
                <w:kern w:val="22"/>
                <w:szCs w:val="20"/>
                <w:lang w:val="fr-FR"/>
              </w:rPr>
              <w:t>uvements transfrontières illicites</w:t>
            </w:r>
            <w:r w:rsidRPr="004639D9">
              <w:rPr>
                <w:b/>
                <w:bCs/>
                <w:kern w:val="22"/>
                <w:szCs w:val="20"/>
                <w:lang w:val="fr-FR"/>
              </w:rPr>
              <w:t xml:space="preserve"> et non intentionnels d’OVM.</w:t>
            </w:r>
          </w:p>
        </w:tc>
        <w:tc>
          <w:tcPr>
            <w:tcW w:w="2785" w:type="dxa"/>
          </w:tcPr>
          <w:p w14:paraId="095049EF" w14:textId="0258E9AE" w:rsidR="00DF2E23" w:rsidRPr="004639D9" w:rsidRDefault="00DF2E23" w:rsidP="00CB2AD1">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 xml:space="preserve">A.6.1. Les Parties ont adopté des mesures appropriées pour </w:t>
            </w:r>
            <w:r w:rsidR="006F7512" w:rsidRPr="004639D9">
              <w:rPr>
                <w:kern w:val="22"/>
                <w:szCs w:val="20"/>
                <w:lang w:val="fr-FR"/>
              </w:rPr>
              <w:t xml:space="preserve">prévenir et </w:t>
            </w:r>
            <w:r w:rsidR="00CB2AD1">
              <w:rPr>
                <w:kern w:val="22"/>
                <w:szCs w:val="20"/>
                <w:lang w:val="fr-FR"/>
              </w:rPr>
              <w:t xml:space="preserve">réduire les </w:t>
            </w:r>
            <w:r w:rsidRPr="004639D9">
              <w:rPr>
                <w:kern w:val="22"/>
                <w:szCs w:val="20"/>
                <w:lang w:val="fr-FR"/>
              </w:rPr>
              <w:t xml:space="preserve">mouvements </w:t>
            </w:r>
            <w:r w:rsidR="00D106AA">
              <w:rPr>
                <w:kern w:val="22"/>
                <w:szCs w:val="20"/>
                <w:lang w:val="fr-FR"/>
              </w:rPr>
              <w:t>transfrontières illicites</w:t>
            </w:r>
            <w:r w:rsidRPr="004639D9">
              <w:rPr>
                <w:kern w:val="22"/>
                <w:szCs w:val="20"/>
                <w:lang w:val="fr-FR"/>
              </w:rPr>
              <w:t xml:space="preserve"> et non intentionnels d’OVM.</w:t>
            </w:r>
          </w:p>
        </w:tc>
        <w:tc>
          <w:tcPr>
            <w:tcW w:w="3510" w:type="dxa"/>
            <w:shd w:val="clear" w:color="auto" w:fill="auto"/>
          </w:tcPr>
          <w:p w14:paraId="683117FC" w14:textId="0B38DED7" w:rsidR="00DF2E23" w:rsidRPr="004639D9" w:rsidRDefault="00DF2E23" w:rsidP="00CB2AD1">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 xml:space="preserve">a) Pourcentage de Parties ayant mis en place des mesures pour </w:t>
            </w:r>
            <w:r w:rsidR="006F7512" w:rsidRPr="004639D9">
              <w:rPr>
                <w:kern w:val="22"/>
                <w:szCs w:val="20"/>
                <w:lang w:val="fr-FR"/>
              </w:rPr>
              <w:t xml:space="preserve">prévenir et </w:t>
            </w:r>
            <w:r w:rsidR="00CB2AD1">
              <w:rPr>
                <w:kern w:val="22"/>
                <w:szCs w:val="20"/>
                <w:lang w:val="fr-FR"/>
              </w:rPr>
              <w:t>réduire les</w:t>
            </w:r>
            <w:r w:rsidRPr="004639D9">
              <w:rPr>
                <w:kern w:val="22"/>
                <w:szCs w:val="20"/>
                <w:lang w:val="fr-FR"/>
              </w:rPr>
              <w:t xml:space="preserve"> mouvements </w:t>
            </w:r>
            <w:r w:rsidR="00D106AA">
              <w:rPr>
                <w:kern w:val="22"/>
                <w:szCs w:val="20"/>
                <w:lang w:val="fr-FR"/>
              </w:rPr>
              <w:t>transfrontières illicites</w:t>
            </w:r>
            <w:r w:rsidRPr="004639D9">
              <w:rPr>
                <w:kern w:val="22"/>
                <w:szCs w:val="20"/>
                <w:lang w:val="fr-FR"/>
              </w:rPr>
              <w:t xml:space="preserve"> et non intentionnels d’OVM.</w:t>
            </w:r>
          </w:p>
        </w:tc>
        <w:tc>
          <w:tcPr>
            <w:tcW w:w="2970" w:type="dxa"/>
            <w:shd w:val="clear" w:color="auto" w:fill="auto"/>
          </w:tcPr>
          <w:p w14:paraId="3E72074C" w14:textId="1535D809"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 xml:space="preserve">Les mouvements </w:t>
            </w:r>
            <w:r w:rsidR="00D106AA">
              <w:rPr>
                <w:kern w:val="22"/>
                <w:szCs w:val="20"/>
                <w:lang w:val="fr-FR"/>
              </w:rPr>
              <w:t>transfrontières illicites</w:t>
            </w:r>
            <w:r w:rsidRPr="004639D9">
              <w:rPr>
                <w:kern w:val="22"/>
                <w:szCs w:val="20"/>
                <w:lang w:val="fr-FR"/>
              </w:rPr>
              <w:t xml:space="preserve"> et non intentionnels d’OVM sont empêchés ou réduits au minimum.</w:t>
            </w:r>
          </w:p>
        </w:tc>
      </w:tr>
      <w:tr w:rsidR="00DF2E23" w:rsidRPr="00301569" w14:paraId="5BEF14D1" w14:textId="77777777" w:rsidTr="00001068">
        <w:trPr>
          <w:jc w:val="center"/>
        </w:trPr>
        <w:tc>
          <w:tcPr>
            <w:tcW w:w="1800" w:type="dxa"/>
            <w:shd w:val="clear" w:color="auto" w:fill="auto"/>
          </w:tcPr>
          <w:p w14:paraId="7B4AF9D8" w14:textId="5A067C35"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 xml:space="preserve">A.7. Les Parties ont mis en place des mesures pour satisfaire aux exigences </w:t>
            </w:r>
            <w:r w:rsidR="00D106AA">
              <w:rPr>
                <w:b/>
                <w:bCs/>
                <w:kern w:val="22"/>
                <w:szCs w:val="20"/>
                <w:lang w:val="fr-FR"/>
              </w:rPr>
              <w:t xml:space="preserve">en matière </w:t>
            </w:r>
            <w:r w:rsidRPr="004639D9">
              <w:rPr>
                <w:b/>
                <w:bCs/>
                <w:kern w:val="22"/>
                <w:szCs w:val="20"/>
                <w:lang w:val="fr-FR"/>
              </w:rPr>
              <w:t xml:space="preserve">de manipulation, de transport, d’emballage et d’identification des OVM au titre </w:t>
            </w:r>
            <w:r w:rsidR="005B7375" w:rsidRPr="004639D9">
              <w:rPr>
                <w:b/>
                <w:bCs/>
                <w:kern w:val="22"/>
                <w:szCs w:val="20"/>
                <w:lang w:val="fr-FR"/>
              </w:rPr>
              <w:t xml:space="preserve">de l’article 18 </w:t>
            </w:r>
            <w:r w:rsidRPr="004639D9">
              <w:rPr>
                <w:b/>
                <w:bCs/>
                <w:kern w:val="22"/>
                <w:szCs w:val="20"/>
                <w:lang w:val="fr-FR"/>
              </w:rPr>
              <w:t>du Protocole.</w:t>
            </w:r>
          </w:p>
        </w:tc>
        <w:tc>
          <w:tcPr>
            <w:tcW w:w="2785" w:type="dxa"/>
          </w:tcPr>
          <w:p w14:paraId="36E97438" w14:textId="4D19740C" w:rsidR="00DF2E23" w:rsidRPr="004639D9" w:rsidRDefault="00DF2E23" w:rsidP="00DF2E23">
            <w:pPr>
              <w:spacing w:before="60" w:after="60"/>
              <w:jc w:val="left"/>
              <w:rPr>
                <w:rFonts w:eastAsia="MS Mincho"/>
                <w:kern w:val="22"/>
                <w:szCs w:val="20"/>
                <w:lang w:val="fr-FR"/>
              </w:rPr>
            </w:pPr>
            <w:r w:rsidRPr="004639D9">
              <w:rPr>
                <w:kern w:val="22"/>
                <w:szCs w:val="20"/>
                <w:lang w:val="fr-FR"/>
              </w:rPr>
              <w:t>A.7.1. Les Parties ont adopté les mesures nécessaires pour exiger que les OVM faisant l’objet de mouvements transfrontières soient manipulés, emballés et transportés dans des conditions de sécurité, en tenant compte des règles et normes internationales pertinentes</w:t>
            </w:r>
            <w:r w:rsidR="00E54CF3" w:rsidRPr="004639D9">
              <w:rPr>
                <w:kern w:val="22"/>
                <w:szCs w:val="20"/>
                <w:lang w:val="fr-FR"/>
              </w:rPr>
              <w:t>, selon qu’il convient</w:t>
            </w:r>
            <w:r w:rsidR="000543BC">
              <w:rPr>
                <w:kern w:val="22"/>
                <w:szCs w:val="20"/>
                <w:lang w:val="fr-FR"/>
              </w:rPr>
              <w:t>;</w:t>
            </w:r>
          </w:p>
          <w:p w14:paraId="23375707" w14:textId="22481C3D"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A.7.2. Les Parties ont mis en place des mesures pour satisfaire aux exigences en matière de documentation pour : les OVM destinés à être utilisés directement comme denrées alimentaires ou aliments pour animaux, ou à être transformés</w:t>
            </w:r>
            <w:r w:rsidR="000543BC">
              <w:rPr>
                <w:kern w:val="22"/>
                <w:szCs w:val="20"/>
                <w:lang w:val="fr-FR"/>
              </w:rPr>
              <w:t>;</w:t>
            </w:r>
            <w:r w:rsidRPr="004639D9">
              <w:rPr>
                <w:kern w:val="22"/>
                <w:szCs w:val="20"/>
                <w:lang w:val="fr-FR"/>
              </w:rPr>
              <w:t xml:space="preserve"> les OVM destinés à une utilisation </w:t>
            </w:r>
            <w:r w:rsidR="00D106AA">
              <w:rPr>
                <w:kern w:val="22"/>
                <w:szCs w:val="20"/>
                <w:lang w:val="fr-FR"/>
              </w:rPr>
              <w:t>en milieu confiné</w:t>
            </w:r>
            <w:r w:rsidR="000543BC">
              <w:rPr>
                <w:kern w:val="22"/>
                <w:szCs w:val="20"/>
                <w:lang w:val="fr-FR"/>
              </w:rPr>
              <w:t>;</w:t>
            </w:r>
            <w:r w:rsidRPr="004639D9">
              <w:rPr>
                <w:kern w:val="22"/>
                <w:szCs w:val="20"/>
                <w:lang w:val="fr-FR"/>
              </w:rPr>
              <w:t xml:space="preserve"> les OVM destinés à être introduits intentionnellement dans l’environnement et les autres OVM.</w:t>
            </w:r>
          </w:p>
        </w:tc>
        <w:tc>
          <w:tcPr>
            <w:tcW w:w="3510" w:type="dxa"/>
            <w:shd w:val="clear" w:color="auto" w:fill="auto"/>
          </w:tcPr>
          <w:p w14:paraId="7EDAD483" w14:textId="5881BFDC"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de Parties ayant pris les mesures nécessaires pour exiger que les OVM faisant l’objet de mouvements transfrontières soient manipulés, emballés et transportés dans des conditions de sécurité, en tenant compte des règles et normes internationales pertinentes</w:t>
            </w:r>
            <w:r w:rsidR="00E54CF3" w:rsidRPr="004639D9">
              <w:rPr>
                <w:kern w:val="22"/>
                <w:szCs w:val="20"/>
                <w:lang w:val="fr-FR"/>
              </w:rPr>
              <w:t>, selon qu’il convient</w:t>
            </w:r>
            <w:r w:rsidR="000543BC">
              <w:rPr>
                <w:kern w:val="22"/>
                <w:szCs w:val="20"/>
                <w:lang w:val="fr-FR"/>
              </w:rPr>
              <w:t>;</w:t>
            </w:r>
          </w:p>
          <w:p w14:paraId="2C17A75E" w14:textId="13E469EA" w:rsidR="00DF2E23" w:rsidRPr="004639D9" w:rsidRDefault="00DF2E23" w:rsidP="00DF2E23">
            <w:pPr>
              <w:jc w:val="left"/>
              <w:rPr>
                <w:rFonts w:eastAsia="MS Mincho"/>
                <w:kern w:val="22"/>
                <w:szCs w:val="20"/>
                <w:lang w:val="fr-FR"/>
              </w:rPr>
            </w:pPr>
            <w:r w:rsidRPr="004639D9">
              <w:rPr>
                <w:kern w:val="22"/>
                <w:szCs w:val="20"/>
                <w:lang w:val="fr-FR"/>
              </w:rPr>
              <w:t>b) Pourcentage de Parties ayant mis en place des exigences en matière de documentation pour les OVM destinés à être utilisés directement comme denrées alimentaires ou aliments pour animaux, ou à être transformés</w:t>
            </w:r>
            <w:r w:rsidR="000543BC">
              <w:rPr>
                <w:kern w:val="22"/>
                <w:szCs w:val="20"/>
                <w:lang w:val="fr-FR"/>
              </w:rPr>
              <w:t>;</w:t>
            </w:r>
          </w:p>
          <w:p w14:paraId="227C8BB4" w14:textId="72754FEB" w:rsidR="00DF2E23" w:rsidRPr="004639D9" w:rsidRDefault="00DF2E23" w:rsidP="00DF2E23">
            <w:pPr>
              <w:jc w:val="left"/>
              <w:rPr>
                <w:rFonts w:eastAsia="MS Mincho"/>
                <w:kern w:val="22"/>
                <w:szCs w:val="20"/>
                <w:lang w:val="fr-FR"/>
              </w:rPr>
            </w:pPr>
            <w:r w:rsidRPr="004639D9">
              <w:rPr>
                <w:kern w:val="22"/>
                <w:szCs w:val="20"/>
                <w:lang w:val="fr-FR"/>
              </w:rPr>
              <w:t xml:space="preserve">c) Pourcentage de Parties ayant mis en place des exigences en matière de documentation pour les OVM destinés à une </w:t>
            </w:r>
            <w:r w:rsidR="00D106AA">
              <w:rPr>
                <w:kern w:val="22"/>
                <w:szCs w:val="20"/>
                <w:lang w:val="fr-FR"/>
              </w:rPr>
              <w:t>utilisation en milieu confiné</w:t>
            </w:r>
            <w:r w:rsidR="000543BC">
              <w:rPr>
                <w:kern w:val="22"/>
                <w:szCs w:val="20"/>
                <w:lang w:val="fr-FR"/>
              </w:rPr>
              <w:t>;</w:t>
            </w:r>
          </w:p>
          <w:p w14:paraId="2B8DFBD3" w14:textId="1F0847F8"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d) Pourcentage de Parties ayant mis en place des exigences en matière de documentation pour les OVM destinés à une introduction intentionnelle dans l’environnement et les autres OVM.</w:t>
            </w:r>
          </w:p>
        </w:tc>
        <w:tc>
          <w:tcPr>
            <w:tcW w:w="2970" w:type="dxa"/>
            <w:shd w:val="clear" w:color="auto" w:fill="auto"/>
          </w:tcPr>
          <w:p w14:paraId="01029A88" w14:textId="52FD2982"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Grâce à une manipulation, un transport, un emballage et une identification appropriés des OVM, les Parties sont en mesure de gérer en toute sécurité les mouvements transfrontières intentionnels d’OVM.</w:t>
            </w:r>
          </w:p>
        </w:tc>
      </w:tr>
      <w:tr w:rsidR="00DF2E23" w:rsidRPr="00301569" w14:paraId="2439A5D2" w14:textId="77777777" w:rsidTr="00001068">
        <w:trPr>
          <w:jc w:val="center"/>
        </w:trPr>
        <w:tc>
          <w:tcPr>
            <w:tcW w:w="1800" w:type="dxa"/>
            <w:shd w:val="clear" w:color="auto" w:fill="auto"/>
          </w:tcPr>
          <w:p w14:paraId="7DFE85B7" w14:textId="5569012D"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A.8. Les Parties sont en mesure de détecter et d’identifier les OVM.</w:t>
            </w:r>
          </w:p>
        </w:tc>
        <w:tc>
          <w:tcPr>
            <w:tcW w:w="2785" w:type="dxa"/>
          </w:tcPr>
          <w:p w14:paraId="3001EC51" w14:textId="1643F80F" w:rsidR="00DF2E23" w:rsidRPr="004639D9" w:rsidRDefault="00DF2E23" w:rsidP="00DF2E23">
            <w:pPr>
              <w:spacing w:before="60" w:after="60"/>
              <w:jc w:val="left"/>
              <w:rPr>
                <w:rFonts w:eastAsia="MS Mincho"/>
                <w:kern w:val="22"/>
                <w:szCs w:val="20"/>
                <w:lang w:val="fr-FR"/>
              </w:rPr>
            </w:pPr>
            <w:r w:rsidRPr="004639D9">
              <w:rPr>
                <w:kern w:val="22"/>
                <w:szCs w:val="20"/>
                <w:lang w:val="fr-FR"/>
              </w:rPr>
              <w:t>A.8.1. Les Parties ont accès à l’infrastructure technique et à l’expertise nécessaires à la détection et l’identification des OVM</w:t>
            </w:r>
            <w:r w:rsidR="000543BC">
              <w:rPr>
                <w:kern w:val="22"/>
                <w:szCs w:val="20"/>
                <w:lang w:val="fr-FR"/>
              </w:rPr>
              <w:t>;</w:t>
            </w:r>
          </w:p>
          <w:p w14:paraId="54D39B71" w14:textId="5902E602" w:rsidR="00DF2E23" w:rsidRPr="004639D9" w:rsidRDefault="00DF2E23" w:rsidP="00DF2E23">
            <w:pPr>
              <w:spacing w:before="60" w:after="60"/>
              <w:jc w:val="left"/>
              <w:rPr>
                <w:rFonts w:eastAsia="MS Mincho"/>
                <w:kern w:val="22"/>
                <w:szCs w:val="20"/>
                <w:lang w:val="fr-FR"/>
              </w:rPr>
            </w:pPr>
            <w:r w:rsidRPr="004639D9">
              <w:rPr>
                <w:kern w:val="22"/>
                <w:szCs w:val="20"/>
                <w:lang w:val="fr-FR"/>
              </w:rPr>
              <w:t>A.8.2. Les Parties ont accès et utilisent du matériel ressource approprié pour la détection et l’identification des OVM</w:t>
            </w:r>
            <w:r w:rsidR="000543BC">
              <w:rPr>
                <w:kern w:val="22"/>
                <w:szCs w:val="20"/>
                <w:lang w:val="fr-FR"/>
              </w:rPr>
              <w:t>;</w:t>
            </w:r>
          </w:p>
          <w:p w14:paraId="106F9F1D" w14:textId="54FF2AD9"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A.8.3. Les Parties ont accès aux informations nécessaires et les utilisent pour détecter et identifier les OVM, y compris à des méthodes de détection et des matériels de référence certifiés.</w:t>
            </w:r>
          </w:p>
        </w:tc>
        <w:tc>
          <w:tcPr>
            <w:tcW w:w="3510" w:type="dxa"/>
            <w:shd w:val="clear" w:color="auto" w:fill="auto"/>
          </w:tcPr>
          <w:p w14:paraId="2974493B" w14:textId="036872F0"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d’OVM sur le CEPRB pour lesquels des méthodes de détection sont disponibles</w:t>
            </w:r>
            <w:r w:rsidR="000543BC">
              <w:rPr>
                <w:kern w:val="22"/>
                <w:szCs w:val="20"/>
                <w:lang w:val="fr-FR"/>
              </w:rPr>
              <w:t>;</w:t>
            </w:r>
          </w:p>
          <w:p w14:paraId="6D2A165A" w14:textId="0D04C661" w:rsidR="00DF2E23" w:rsidRPr="004639D9" w:rsidRDefault="00DF2E23" w:rsidP="00DF2E23">
            <w:pPr>
              <w:jc w:val="left"/>
              <w:rPr>
                <w:rFonts w:eastAsia="MS Mincho"/>
                <w:kern w:val="22"/>
                <w:szCs w:val="20"/>
                <w:lang w:val="fr-FR"/>
              </w:rPr>
            </w:pPr>
            <w:r w:rsidRPr="004639D9">
              <w:rPr>
                <w:kern w:val="22"/>
                <w:szCs w:val="20"/>
                <w:lang w:val="fr-FR"/>
              </w:rPr>
              <w:t>b) Pourcentage de Parties ayant accès et utilisant du matériel ressource et des méthodes de détection pour détecter et identifier les OVM</w:t>
            </w:r>
            <w:r w:rsidR="000543BC">
              <w:rPr>
                <w:kern w:val="22"/>
                <w:szCs w:val="20"/>
                <w:lang w:val="fr-FR"/>
              </w:rPr>
              <w:t>;</w:t>
            </w:r>
          </w:p>
          <w:p w14:paraId="02A86433" w14:textId="7A94611C" w:rsidR="00DF2E23" w:rsidRPr="004639D9" w:rsidRDefault="00DF2E23" w:rsidP="00DF2E23">
            <w:pPr>
              <w:jc w:val="left"/>
              <w:rPr>
                <w:rFonts w:eastAsia="MS Mincho"/>
                <w:kern w:val="22"/>
                <w:szCs w:val="20"/>
                <w:lang w:val="fr-FR"/>
              </w:rPr>
            </w:pPr>
            <w:r w:rsidRPr="004639D9">
              <w:rPr>
                <w:kern w:val="22"/>
                <w:szCs w:val="20"/>
                <w:lang w:val="fr-FR"/>
              </w:rPr>
              <w:t>c) Pourcentage de Parties ayant accès et utilisant des matériels de référence certifiés nécessaires pour détecter et identifier les OVM</w:t>
            </w:r>
            <w:r w:rsidR="000543BC">
              <w:rPr>
                <w:kern w:val="22"/>
                <w:szCs w:val="20"/>
                <w:lang w:val="fr-FR"/>
              </w:rPr>
              <w:t>;</w:t>
            </w:r>
          </w:p>
          <w:p w14:paraId="72A49695" w14:textId="1118A26A"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d) Pourcentage de Parties ayant accès à l’infrastructure technique nécessaire pour détecter et identifier les OVM.</w:t>
            </w:r>
          </w:p>
        </w:tc>
        <w:tc>
          <w:tcPr>
            <w:tcW w:w="2970" w:type="dxa"/>
            <w:shd w:val="clear" w:color="auto" w:fill="auto"/>
          </w:tcPr>
          <w:p w14:paraId="2F31CAB1" w14:textId="68375E33"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En détectant les OVM et en les identifiant, les Parties sont en mesure de faire face aux mouvements transfrontières non intentionnels et illégaux et de mettre en œuvre les exigences de manipulation, de transport, d’emballage et d’identification conformément au Protocole.</w:t>
            </w:r>
          </w:p>
        </w:tc>
      </w:tr>
      <w:tr w:rsidR="00DF2E23" w:rsidRPr="00301569" w14:paraId="37AAE437" w14:textId="77777777" w:rsidTr="00001068">
        <w:trPr>
          <w:jc w:val="center"/>
        </w:trPr>
        <w:tc>
          <w:tcPr>
            <w:tcW w:w="1800" w:type="dxa"/>
            <w:tcBorders>
              <w:bottom w:val="single" w:sz="4" w:space="0" w:color="auto"/>
            </w:tcBorders>
            <w:shd w:val="clear" w:color="auto" w:fill="auto"/>
          </w:tcPr>
          <w:p w14:paraId="529B21A2" w14:textId="5B86B4B5"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A.9. Les Parties qui choisissent de le faire tiennent compte des considérations socio-économiques lorsqu’elles prennent des décisions sur l’importation d’OVM et coopèrent en matière de recherche et d’échange d’informations</w:t>
            </w:r>
            <w:r w:rsidR="002B25B9">
              <w:rPr>
                <w:b/>
                <w:bCs/>
                <w:kern w:val="22"/>
                <w:szCs w:val="20"/>
                <w:lang w:val="fr-FR"/>
              </w:rPr>
              <w:t>,</w:t>
            </w:r>
            <w:r w:rsidRPr="004639D9">
              <w:rPr>
                <w:b/>
                <w:bCs/>
                <w:kern w:val="22"/>
                <w:szCs w:val="20"/>
                <w:lang w:val="fr-FR"/>
              </w:rPr>
              <w:t xml:space="preserve"> conformément à l’</w:t>
            </w:r>
            <w:r w:rsidR="009365C2" w:rsidRPr="004639D9">
              <w:rPr>
                <w:b/>
                <w:bCs/>
                <w:kern w:val="22"/>
                <w:szCs w:val="20"/>
                <w:lang w:val="fr-FR"/>
              </w:rPr>
              <w:t>article</w:t>
            </w:r>
            <w:r w:rsidRPr="004639D9">
              <w:rPr>
                <w:b/>
                <w:bCs/>
                <w:kern w:val="22"/>
                <w:szCs w:val="20"/>
                <w:lang w:val="fr-FR"/>
              </w:rPr>
              <w:t> 26 du Protocole.</w:t>
            </w:r>
          </w:p>
        </w:tc>
        <w:tc>
          <w:tcPr>
            <w:tcW w:w="2785" w:type="dxa"/>
            <w:tcBorders>
              <w:bottom w:val="single" w:sz="4" w:space="0" w:color="auto"/>
            </w:tcBorders>
          </w:tcPr>
          <w:p w14:paraId="09526FB8" w14:textId="281439EA" w:rsidR="00DF2E23" w:rsidRPr="004639D9" w:rsidRDefault="00DF2E23" w:rsidP="00DF2E23">
            <w:pPr>
              <w:spacing w:before="60" w:after="60"/>
              <w:jc w:val="left"/>
              <w:rPr>
                <w:rFonts w:eastAsia="MS Mincho"/>
                <w:kern w:val="22"/>
                <w:szCs w:val="20"/>
                <w:lang w:val="fr-FR"/>
              </w:rPr>
            </w:pPr>
            <w:r w:rsidRPr="004639D9">
              <w:rPr>
                <w:kern w:val="22"/>
                <w:szCs w:val="20"/>
                <w:lang w:val="fr-FR"/>
              </w:rPr>
              <w:t>A.9.1. Les Parties qui choisissent de le faire tiennent compte des considérations socio-économiques dans la prise de décisions conformément à l’</w:t>
            </w:r>
            <w:r w:rsidR="009365C2" w:rsidRPr="004639D9">
              <w:rPr>
                <w:kern w:val="22"/>
                <w:szCs w:val="20"/>
                <w:lang w:val="fr-FR"/>
              </w:rPr>
              <w:t>article</w:t>
            </w:r>
            <w:r w:rsidRPr="004639D9">
              <w:rPr>
                <w:kern w:val="22"/>
                <w:szCs w:val="20"/>
                <w:lang w:val="fr-FR"/>
              </w:rPr>
              <w:t> 26</w:t>
            </w:r>
            <w:r w:rsidR="000543BC">
              <w:rPr>
                <w:kern w:val="22"/>
                <w:szCs w:val="20"/>
                <w:lang w:val="fr-FR"/>
              </w:rPr>
              <w:t>;</w:t>
            </w:r>
          </w:p>
          <w:p w14:paraId="3A94A828" w14:textId="040807DD" w:rsidR="00DF2E23" w:rsidRPr="004639D9" w:rsidRDefault="00DF2E23" w:rsidP="00DF2E23">
            <w:pPr>
              <w:jc w:val="left"/>
              <w:rPr>
                <w:rFonts w:eastAsia="MS Mincho"/>
                <w:kern w:val="22"/>
                <w:szCs w:val="20"/>
                <w:lang w:val="fr-FR"/>
              </w:rPr>
            </w:pPr>
            <w:r w:rsidRPr="004639D9">
              <w:rPr>
                <w:kern w:val="22"/>
                <w:szCs w:val="20"/>
                <w:lang w:val="fr-FR"/>
              </w:rPr>
              <w:t>A.9.2. Les Parties qui choisissent de tenir compte des considérations socio-économiques conformément à l’</w:t>
            </w:r>
            <w:r w:rsidR="009365C2" w:rsidRPr="004639D9">
              <w:rPr>
                <w:kern w:val="22"/>
                <w:szCs w:val="20"/>
                <w:lang w:val="fr-FR"/>
              </w:rPr>
              <w:t>article</w:t>
            </w:r>
            <w:r w:rsidRPr="004639D9">
              <w:rPr>
                <w:kern w:val="22"/>
                <w:szCs w:val="20"/>
                <w:lang w:val="fr-FR"/>
              </w:rPr>
              <w:t> 26 ont accès à du matériel ressource et sont en mesure de l’utiliser</w:t>
            </w:r>
            <w:r w:rsidR="000543BC">
              <w:rPr>
                <w:kern w:val="22"/>
                <w:szCs w:val="20"/>
                <w:lang w:val="fr-FR"/>
              </w:rPr>
              <w:t>;</w:t>
            </w:r>
          </w:p>
          <w:p w14:paraId="5D9A489B" w14:textId="31AAB3F7" w:rsidR="00DF2E23" w:rsidRPr="004639D9" w:rsidRDefault="00DF2E23" w:rsidP="00EF151F">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 xml:space="preserve">A.9.3. Les Parties coopèrent à la recherche et à l’échange d’informations sur </w:t>
            </w:r>
            <w:r w:rsidR="00E54CF3" w:rsidRPr="004639D9">
              <w:rPr>
                <w:kern w:val="22"/>
                <w:szCs w:val="20"/>
                <w:lang w:val="fr-FR"/>
              </w:rPr>
              <w:t>[</w:t>
            </w:r>
            <w:r w:rsidRPr="004639D9">
              <w:rPr>
                <w:kern w:val="22"/>
                <w:szCs w:val="20"/>
                <w:lang w:val="fr-FR"/>
              </w:rPr>
              <w:t>tout</w:t>
            </w:r>
            <w:r w:rsidR="00E54CF3" w:rsidRPr="004639D9">
              <w:rPr>
                <w:kern w:val="22"/>
                <w:szCs w:val="20"/>
                <w:lang w:val="fr-FR"/>
              </w:rPr>
              <w:t>][l’]</w:t>
            </w:r>
            <w:r w:rsidRPr="004639D9">
              <w:rPr>
                <w:kern w:val="22"/>
                <w:szCs w:val="20"/>
                <w:lang w:val="fr-FR"/>
              </w:rPr>
              <w:t xml:space="preserve"> impact socio-économique des OVM, </w:t>
            </w:r>
            <w:r w:rsidR="006C33DC" w:rsidRPr="004639D9">
              <w:rPr>
                <w:kern w:val="22"/>
                <w:szCs w:val="20"/>
                <w:lang w:val="fr-FR"/>
              </w:rPr>
              <w:t>[la</w:t>
            </w:r>
            <w:r w:rsidR="00E54CF3" w:rsidRPr="004639D9">
              <w:rPr>
                <w:kern w:val="22"/>
                <w:szCs w:val="20"/>
                <w:lang w:val="fr-FR"/>
              </w:rPr>
              <w:t xml:space="preserve"> conservation et l’utilisation durable de la diversité biologique], </w:t>
            </w:r>
            <w:r w:rsidRPr="004639D9">
              <w:rPr>
                <w:kern w:val="22"/>
                <w:szCs w:val="20"/>
                <w:lang w:val="fr-FR"/>
              </w:rPr>
              <w:t xml:space="preserve">en particulier </w:t>
            </w:r>
            <w:r w:rsidR="00E54CF3" w:rsidRPr="004639D9">
              <w:rPr>
                <w:kern w:val="22"/>
                <w:szCs w:val="20"/>
                <w:lang w:val="fr-FR"/>
              </w:rPr>
              <w:t>[</w:t>
            </w:r>
            <w:r w:rsidR="00EF151F" w:rsidRPr="004639D9">
              <w:rPr>
                <w:kern w:val="22"/>
                <w:szCs w:val="20"/>
                <w:lang w:val="fr-FR"/>
              </w:rPr>
              <w:t>en ce qui concerne la valeur de la biodiversité] pour</w:t>
            </w:r>
            <w:r w:rsidRPr="004639D9">
              <w:rPr>
                <w:kern w:val="22"/>
                <w:szCs w:val="20"/>
                <w:lang w:val="fr-FR"/>
              </w:rPr>
              <w:t xml:space="preserve"> les peuples autochtones et les communautés locales.</w:t>
            </w:r>
          </w:p>
        </w:tc>
        <w:tc>
          <w:tcPr>
            <w:tcW w:w="3510" w:type="dxa"/>
            <w:tcBorders>
              <w:bottom w:val="single" w:sz="4" w:space="0" w:color="auto"/>
            </w:tcBorders>
            <w:shd w:val="clear" w:color="auto" w:fill="auto"/>
          </w:tcPr>
          <w:p w14:paraId="5678526C" w14:textId="17CC1C56"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de Parties tenant compte des considérations socio-économiques dans la prise de décisions conformément à l’</w:t>
            </w:r>
            <w:r w:rsidR="009365C2" w:rsidRPr="004639D9">
              <w:rPr>
                <w:kern w:val="22"/>
                <w:szCs w:val="20"/>
                <w:lang w:val="fr-FR"/>
              </w:rPr>
              <w:t>article</w:t>
            </w:r>
            <w:r w:rsidRPr="004639D9">
              <w:rPr>
                <w:kern w:val="22"/>
                <w:szCs w:val="20"/>
                <w:lang w:val="fr-FR"/>
              </w:rPr>
              <w:t> 26 du Protocole</w:t>
            </w:r>
            <w:r w:rsidR="000543BC">
              <w:rPr>
                <w:kern w:val="22"/>
                <w:szCs w:val="20"/>
                <w:lang w:val="fr-FR"/>
              </w:rPr>
              <w:t>;</w:t>
            </w:r>
          </w:p>
          <w:p w14:paraId="60FEEB93" w14:textId="34529959" w:rsidR="00DF2E23" w:rsidRPr="004639D9" w:rsidRDefault="00EF151F" w:rsidP="00DF2E23">
            <w:pPr>
              <w:jc w:val="left"/>
              <w:rPr>
                <w:rFonts w:eastAsia="MS Mincho"/>
                <w:kern w:val="22"/>
                <w:szCs w:val="20"/>
                <w:lang w:val="fr-FR"/>
              </w:rPr>
            </w:pPr>
            <w:r w:rsidRPr="004639D9">
              <w:rPr>
                <w:kern w:val="22"/>
                <w:szCs w:val="20"/>
                <w:lang w:val="fr-FR"/>
              </w:rPr>
              <w:t>[</w:t>
            </w:r>
            <w:r w:rsidR="00DF2E23" w:rsidRPr="004639D9">
              <w:rPr>
                <w:kern w:val="22"/>
                <w:szCs w:val="20"/>
                <w:lang w:val="fr-FR"/>
              </w:rPr>
              <w:t xml:space="preserve">b) </w:t>
            </w:r>
            <w:r w:rsidR="00FE3A58">
              <w:rPr>
                <w:kern w:val="22"/>
                <w:szCs w:val="20"/>
                <w:lang w:val="fr-FR"/>
              </w:rPr>
              <w:t>Pourcentage de Parties</w:t>
            </w:r>
            <w:r w:rsidR="00DF2E23" w:rsidRPr="004639D9">
              <w:rPr>
                <w:kern w:val="22"/>
                <w:szCs w:val="20"/>
                <w:lang w:val="fr-FR"/>
              </w:rPr>
              <w:t xml:space="preserve"> </w:t>
            </w:r>
            <w:r w:rsidRPr="004639D9">
              <w:rPr>
                <w:kern w:val="22"/>
                <w:szCs w:val="20"/>
                <w:lang w:val="fr-FR"/>
              </w:rPr>
              <w:t xml:space="preserve">qui utilisent </w:t>
            </w:r>
            <w:r w:rsidR="002B25B9">
              <w:rPr>
                <w:kern w:val="22"/>
                <w:szCs w:val="20"/>
                <w:lang w:val="fr-FR"/>
              </w:rPr>
              <w:t xml:space="preserve">[des </w:t>
            </w:r>
            <w:r w:rsidRPr="004639D9">
              <w:rPr>
                <w:kern w:val="22"/>
                <w:szCs w:val="20"/>
                <w:lang w:val="fr-FR"/>
              </w:rPr>
              <w:t>orientation</w:t>
            </w:r>
            <w:r w:rsidR="002B25B9">
              <w:rPr>
                <w:kern w:val="22"/>
                <w:szCs w:val="20"/>
                <w:lang w:val="fr-FR"/>
              </w:rPr>
              <w:t>s</w:t>
            </w:r>
            <w:r w:rsidRPr="004639D9">
              <w:rPr>
                <w:kern w:val="22"/>
                <w:szCs w:val="20"/>
                <w:lang w:val="fr-FR"/>
              </w:rPr>
              <w:t xml:space="preserve"> technique</w:t>
            </w:r>
            <w:r w:rsidR="002B25B9">
              <w:rPr>
                <w:kern w:val="22"/>
                <w:szCs w:val="20"/>
                <w:lang w:val="fr-FR"/>
              </w:rPr>
              <w:t>s</w:t>
            </w:r>
            <w:r w:rsidRPr="004639D9">
              <w:rPr>
                <w:kern w:val="22"/>
                <w:szCs w:val="20"/>
                <w:lang w:val="fr-FR"/>
              </w:rPr>
              <w:t xml:space="preserve"> et autres ressources]</w:t>
            </w:r>
            <w:r w:rsidR="002B25B9">
              <w:rPr>
                <w:kern w:val="22"/>
                <w:szCs w:val="20"/>
                <w:lang w:val="fr-FR"/>
              </w:rPr>
              <w:t xml:space="preserve"> [des </w:t>
            </w:r>
            <w:r w:rsidRPr="004639D9">
              <w:rPr>
                <w:kern w:val="22"/>
                <w:szCs w:val="20"/>
                <w:lang w:val="fr-FR"/>
              </w:rPr>
              <w:t>orientation</w:t>
            </w:r>
            <w:r w:rsidR="002B25B9">
              <w:rPr>
                <w:kern w:val="22"/>
                <w:szCs w:val="20"/>
                <w:lang w:val="fr-FR"/>
              </w:rPr>
              <w:t>s</w:t>
            </w:r>
            <w:r w:rsidRPr="004639D9">
              <w:rPr>
                <w:kern w:val="22"/>
                <w:szCs w:val="20"/>
                <w:lang w:val="fr-FR"/>
              </w:rPr>
              <w:t>]</w:t>
            </w:r>
            <w:r w:rsidR="00A31F68" w:rsidRPr="004639D9">
              <w:rPr>
                <w:kern w:val="22"/>
                <w:szCs w:val="20"/>
                <w:lang w:val="fr-FR"/>
              </w:rPr>
              <w:t xml:space="preserve"> </w:t>
            </w:r>
            <w:r w:rsidRPr="004639D9">
              <w:rPr>
                <w:kern w:val="22"/>
                <w:szCs w:val="20"/>
                <w:lang w:val="fr-FR"/>
              </w:rPr>
              <w:t>[</w:t>
            </w:r>
            <w:r w:rsidR="002B25B9">
              <w:rPr>
                <w:kern w:val="22"/>
                <w:szCs w:val="20"/>
                <w:lang w:val="fr-FR"/>
              </w:rPr>
              <w:t>d</w:t>
            </w:r>
            <w:r w:rsidR="00A31F68" w:rsidRPr="004639D9">
              <w:rPr>
                <w:kern w:val="22"/>
                <w:szCs w:val="20"/>
                <w:lang w:val="fr-FR"/>
              </w:rPr>
              <w:t>es ressources</w:t>
            </w:r>
            <w:r w:rsidRPr="004639D9">
              <w:rPr>
                <w:kern w:val="22"/>
                <w:szCs w:val="20"/>
                <w:lang w:val="fr-FR"/>
              </w:rPr>
              <w:t>]</w:t>
            </w:r>
            <w:r w:rsidR="00A31F68" w:rsidRPr="004639D9">
              <w:rPr>
                <w:kern w:val="22"/>
                <w:szCs w:val="20"/>
                <w:lang w:val="fr-FR"/>
              </w:rPr>
              <w:t xml:space="preserve"> pour prendre en considération les facteurs socioéconomiques</w:t>
            </w:r>
            <w:r w:rsidR="00DF2E23" w:rsidRPr="004639D9">
              <w:rPr>
                <w:kern w:val="22"/>
                <w:szCs w:val="20"/>
                <w:lang w:val="fr-FR"/>
              </w:rPr>
              <w:t>;</w:t>
            </w:r>
          </w:p>
          <w:p w14:paraId="14B74B52" w14:textId="2F0385A0" w:rsidR="00DF2E23" w:rsidRPr="004639D9" w:rsidRDefault="00DF2E23" w:rsidP="00905F8B">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 xml:space="preserve">c) </w:t>
            </w:r>
            <w:r w:rsidR="00FE3A58">
              <w:rPr>
                <w:kern w:val="22"/>
                <w:szCs w:val="20"/>
                <w:lang w:val="fr-FR"/>
              </w:rPr>
              <w:t>Pourcentage de Parties</w:t>
            </w:r>
            <w:r w:rsidRPr="004639D9">
              <w:rPr>
                <w:kern w:val="22"/>
                <w:szCs w:val="20"/>
                <w:lang w:val="fr-FR"/>
              </w:rPr>
              <w:t xml:space="preserve"> coopérant à la recherche et à l’échange d’informations sur </w:t>
            </w:r>
            <w:r w:rsidR="00A31F68" w:rsidRPr="004639D9">
              <w:rPr>
                <w:kern w:val="22"/>
                <w:szCs w:val="20"/>
                <w:lang w:val="fr-FR"/>
              </w:rPr>
              <w:t>[</w:t>
            </w:r>
            <w:r w:rsidRPr="004639D9">
              <w:rPr>
                <w:kern w:val="22"/>
                <w:szCs w:val="20"/>
                <w:lang w:val="fr-FR"/>
              </w:rPr>
              <w:t>tout</w:t>
            </w:r>
            <w:r w:rsidR="00A31F68" w:rsidRPr="004639D9">
              <w:rPr>
                <w:kern w:val="22"/>
                <w:szCs w:val="20"/>
                <w:lang w:val="fr-FR"/>
              </w:rPr>
              <w:t>] [l’]</w:t>
            </w:r>
            <w:r w:rsidRPr="004639D9">
              <w:rPr>
                <w:kern w:val="22"/>
                <w:szCs w:val="20"/>
                <w:lang w:val="fr-FR"/>
              </w:rPr>
              <w:t xml:space="preserve"> impact socio-économique des OVM, </w:t>
            </w:r>
            <w:r w:rsidR="00A31F68" w:rsidRPr="004639D9">
              <w:rPr>
                <w:kern w:val="22"/>
                <w:szCs w:val="20"/>
                <w:lang w:val="fr-FR"/>
              </w:rPr>
              <w:t xml:space="preserve">[pour la conservation et l’utilisation durable de la </w:t>
            </w:r>
            <w:r w:rsidR="00C52C25">
              <w:rPr>
                <w:kern w:val="22"/>
                <w:szCs w:val="20"/>
                <w:lang w:val="fr-FR"/>
              </w:rPr>
              <w:t>bi</w:t>
            </w:r>
            <w:r w:rsidR="00905F8B" w:rsidRPr="004639D9">
              <w:rPr>
                <w:kern w:val="22"/>
                <w:szCs w:val="20"/>
                <w:lang w:val="fr-FR"/>
              </w:rPr>
              <w:t>odiversité</w:t>
            </w:r>
            <w:r w:rsidR="00A31F68" w:rsidRPr="004639D9">
              <w:rPr>
                <w:kern w:val="22"/>
                <w:szCs w:val="20"/>
                <w:lang w:val="fr-FR"/>
              </w:rPr>
              <w:t xml:space="preserve">] </w:t>
            </w:r>
            <w:r w:rsidRPr="004639D9">
              <w:rPr>
                <w:kern w:val="22"/>
                <w:szCs w:val="20"/>
                <w:lang w:val="fr-FR"/>
              </w:rPr>
              <w:t xml:space="preserve">en particulier </w:t>
            </w:r>
            <w:r w:rsidR="00A31F68" w:rsidRPr="004639D9">
              <w:rPr>
                <w:kern w:val="22"/>
                <w:szCs w:val="20"/>
                <w:lang w:val="fr-FR"/>
              </w:rPr>
              <w:t>[en ce qui concerne la va</w:t>
            </w:r>
            <w:r w:rsidR="00905F8B" w:rsidRPr="004639D9">
              <w:rPr>
                <w:kern w:val="22"/>
                <w:szCs w:val="20"/>
                <w:lang w:val="fr-FR"/>
              </w:rPr>
              <w:t>leur de la biodiversité] pour</w:t>
            </w:r>
            <w:r w:rsidRPr="004639D9">
              <w:rPr>
                <w:kern w:val="22"/>
                <w:szCs w:val="20"/>
                <w:lang w:val="fr-FR"/>
              </w:rPr>
              <w:t xml:space="preserve"> les peuples autochtones et les communautés locales.</w:t>
            </w:r>
          </w:p>
        </w:tc>
        <w:tc>
          <w:tcPr>
            <w:tcW w:w="2970" w:type="dxa"/>
            <w:tcBorders>
              <w:bottom w:val="single" w:sz="4" w:space="0" w:color="auto"/>
            </w:tcBorders>
            <w:shd w:val="clear" w:color="auto" w:fill="auto"/>
          </w:tcPr>
          <w:p w14:paraId="56D154B1" w14:textId="3017DEB7" w:rsidR="00DF2E23" w:rsidRPr="004639D9" w:rsidRDefault="00905F8B" w:rsidP="00905F8B">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w:t>
            </w:r>
            <w:r w:rsidR="00DF2E23" w:rsidRPr="004639D9">
              <w:rPr>
                <w:kern w:val="22"/>
                <w:szCs w:val="20"/>
                <w:lang w:val="fr-FR"/>
              </w:rPr>
              <w:t>La prise en compte des considérations socio-économiques</w:t>
            </w:r>
            <w:r w:rsidR="002B25B9">
              <w:rPr>
                <w:kern w:val="22"/>
                <w:szCs w:val="20"/>
                <w:lang w:val="fr-FR"/>
              </w:rPr>
              <w:t>,</w:t>
            </w:r>
            <w:r w:rsidR="00DF2E23" w:rsidRPr="004639D9">
              <w:rPr>
                <w:kern w:val="22"/>
                <w:szCs w:val="20"/>
                <w:lang w:val="fr-FR"/>
              </w:rPr>
              <w:t xml:space="preserve"> conformément à l’</w:t>
            </w:r>
            <w:r w:rsidR="009365C2" w:rsidRPr="004639D9">
              <w:rPr>
                <w:kern w:val="22"/>
                <w:szCs w:val="20"/>
                <w:lang w:val="fr-FR"/>
              </w:rPr>
              <w:t>article</w:t>
            </w:r>
            <w:r w:rsidR="00DF2E23" w:rsidRPr="004639D9">
              <w:rPr>
                <w:kern w:val="22"/>
                <w:szCs w:val="20"/>
                <w:lang w:val="fr-FR"/>
              </w:rPr>
              <w:t> 26</w:t>
            </w:r>
            <w:r w:rsidR="002B25B9">
              <w:rPr>
                <w:kern w:val="22"/>
                <w:szCs w:val="20"/>
                <w:lang w:val="fr-FR"/>
              </w:rPr>
              <w:t>,</w:t>
            </w:r>
            <w:r w:rsidR="00DF2E23" w:rsidRPr="004639D9">
              <w:rPr>
                <w:kern w:val="22"/>
                <w:szCs w:val="20"/>
                <w:lang w:val="fr-FR"/>
              </w:rPr>
              <w:t xml:space="preserve"> permet aux Parties qui choisissent de le faire d’examiner une série de questions lors de la prise de décisions sur les importations d’OVM</w:t>
            </w:r>
            <w:r w:rsidRPr="004639D9">
              <w:rPr>
                <w:kern w:val="22"/>
                <w:szCs w:val="20"/>
                <w:lang w:val="fr-FR"/>
              </w:rPr>
              <w:t>] [Les Parties qui choisissent de le faire tiennent compte des facteurs socioéconomiques, conformément à l’</w:t>
            </w:r>
            <w:r w:rsidR="009365C2" w:rsidRPr="004639D9">
              <w:rPr>
                <w:kern w:val="22"/>
                <w:szCs w:val="20"/>
                <w:lang w:val="fr-FR"/>
              </w:rPr>
              <w:t>article</w:t>
            </w:r>
            <w:r w:rsidRPr="004639D9">
              <w:rPr>
                <w:kern w:val="22"/>
                <w:szCs w:val="20"/>
                <w:lang w:val="fr-FR"/>
              </w:rPr>
              <w:t xml:space="preserve"> 26, en ce qui concerne les décisions sur l’importation des OVM</w:t>
            </w:r>
            <w:r w:rsidR="002B25B9">
              <w:rPr>
                <w:kern w:val="22"/>
                <w:szCs w:val="20"/>
                <w:lang w:val="fr-FR"/>
              </w:rPr>
              <w:t>.</w:t>
            </w:r>
            <w:r w:rsidRPr="004639D9">
              <w:rPr>
                <w:kern w:val="22"/>
                <w:szCs w:val="20"/>
                <w:lang w:val="fr-FR"/>
              </w:rPr>
              <w:t>]</w:t>
            </w:r>
          </w:p>
        </w:tc>
      </w:tr>
      <w:tr w:rsidR="00DF2E23" w:rsidRPr="00301569" w14:paraId="646CE6BA" w14:textId="77777777" w:rsidTr="00001068">
        <w:trPr>
          <w:jc w:val="center"/>
        </w:trPr>
        <w:tc>
          <w:tcPr>
            <w:tcW w:w="1800" w:type="dxa"/>
            <w:tcBorders>
              <w:bottom w:val="single" w:sz="4" w:space="0" w:color="auto"/>
            </w:tcBorders>
            <w:shd w:val="clear" w:color="auto" w:fill="auto"/>
          </w:tcPr>
          <w:p w14:paraId="3201EA9F" w14:textId="6331A546"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A.10. Les Parties au Protocole de Cartagena deviennent Parties au Protocole additionnel de Nagoya – Kuala Lumpur sur la responsabilité et la réparation, et ont mis en place des mesures pour s’acquitter de leurs obligations au titre du Protocole additionnel.</w:t>
            </w:r>
          </w:p>
        </w:tc>
        <w:tc>
          <w:tcPr>
            <w:tcW w:w="2785" w:type="dxa"/>
            <w:tcBorders>
              <w:bottom w:val="single" w:sz="4" w:space="0" w:color="auto"/>
            </w:tcBorders>
          </w:tcPr>
          <w:p w14:paraId="10D0C801" w14:textId="02A04A4A" w:rsidR="00DF2E23" w:rsidRPr="004639D9" w:rsidRDefault="00DF2E23" w:rsidP="00DF2E23">
            <w:pPr>
              <w:spacing w:before="60" w:after="60"/>
              <w:jc w:val="left"/>
              <w:rPr>
                <w:rFonts w:eastAsia="MS Mincho"/>
                <w:kern w:val="22"/>
                <w:szCs w:val="20"/>
                <w:lang w:val="fr-FR"/>
              </w:rPr>
            </w:pPr>
            <w:r w:rsidRPr="004639D9">
              <w:rPr>
                <w:kern w:val="22"/>
                <w:szCs w:val="20"/>
                <w:lang w:val="fr-FR"/>
              </w:rPr>
              <w:t>A.10.1. Augmentation du nombre de Parties au Protocole additionnel</w:t>
            </w:r>
            <w:r w:rsidR="000543BC">
              <w:rPr>
                <w:kern w:val="22"/>
                <w:szCs w:val="20"/>
                <w:lang w:val="fr-FR"/>
              </w:rPr>
              <w:t>;</w:t>
            </w:r>
          </w:p>
          <w:p w14:paraId="3495879D" w14:textId="15DB46BF" w:rsidR="00DF2E23" w:rsidRPr="004639D9" w:rsidRDefault="00DF2E23" w:rsidP="00DF2E23">
            <w:pPr>
              <w:spacing w:before="60" w:after="60"/>
              <w:jc w:val="left"/>
              <w:rPr>
                <w:rFonts w:eastAsia="MS Mincho"/>
                <w:kern w:val="22"/>
                <w:szCs w:val="20"/>
                <w:lang w:val="fr-FR"/>
              </w:rPr>
            </w:pPr>
            <w:r w:rsidRPr="004639D9">
              <w:rPr>
                <w:kern w:val="22"/>
                <w:szCs w:val="20"/>
                <w:lang w:val="fr-FR"/>
              </w:rPr>
              <w:t>A.10.2. Les Parties au Protocole additionnel ont adopté et mis en œuvre des mesures appropriées pour donner effet aux dispositions du Protocole additionnel</w:t>
            </w:r>
            <w:r w:rsidR="000543BC">
              <w:rPr>
                <w:kern w:val="22"/>
                <w:szCs w:val="20"/>
                <w:lang w:val="fr-FR"/>
              </w:rPr>
              <w:t>;</w:t>
            </w:r>
          </w:p>
          <w:p w14:paraId="51C3E375" w14:textId="7BF05738"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A.10.3 Les Parties au Protocole additionnel f</w:t>
            </w:r>
            <w:r w:rsidR="002B25B9">
              <w:rPr>
                <w:kern w:val="22"/>
                <w:szCs w:val="20"/>
                <w:lang w:val="fr-FR"/>
              </w:rPr>
              <w:t>ont rapport sur l’application</w:t>
            </w:r>
            <w:r w:rsidRPr="004639D9">
              <w:rPr>
                <w:kern w:val="22"/>
                <w:szCs w:val="20"/>
                <w:lang w:val="fr-FR"/>
              </w:rPr>
              <w:t xml:space="preserve"> du Protocole additionnel.</w:t>
            </w:r>
          </w:p>
        </w:tc>
        <w:tc>
          <w:tcPr>
            <w:tcW w:w="3510" w:type="dxa"/>
            <w:tcBorders>
              <w:bottom w:val="single" w:sz="4" w:space="0" w:color="auto"/>
            </w:tcBorders>
            <w:shd w:val="clear" w:color="auto" w:fill="auto"/>
          </w:tcPr>
          <w:p w14:paraId="7F22D8D8" w14:textId="64930928"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de Parties au Protocole de Cartagena qui sont devenues Parties au Protocole additionnel</w:t>
            </w:r>
            <w:r w:rsidR="000543BC">
              <w:rPr>
                <w:kern w:val="22"/>
                <w:szCs w:val="20"/>
                <w:lang w:val="fr-FR"/>
              </w:rPr>
              <w:t>;</w:t>
            </w:r>
          </w:p>
          <w:p w14:paraId="76E5C5E2" w14:textId="69758CDA" w:rsidR="00DF2E23" w:rsidRPr="004639D9" w:rsidRDefault="00DF2E23" w:rsidP="00DF2E23">
            <w:pPr>
              <w:jc w:val="left"/>
              <w:rPr>
                <w:rFonts w:eastAsia="MS Mincho"/>
                <w:kern w:val="22"/>
                <w:szCs w:val="20"/>
                <w:lang w:val="fr-FR"/>
              </w:rPr>
            </w:pPr>
            <w:r w:rsidRPr="004639D9">
              <w:rPr>
                <w:kern w:val="22"/>
                <w:szCs w:val="20"/>
                <w:lang w:val="fr-FR"/>
              </w:rPr>
              <w:t xml:space="preserve">b) Pourcentage de Parties au Protocole additionnel ayant mis en place les mesures </w:t>
            </w:r>
            <w:r w:rsidR="002B25B9">
              <w:rPr>
                <w:kern w:val="22"/>
                <w:szCs w:val="20"/>
                <w:lang w:val="fr-FR"/>
              </w:rPr>
              <w:t>nécessaires pour appliquer</w:t>
            </w:r>
            <w:r w:rsidRPr="004639D9">
              <w:rPr>
                <w:kern w:val="22"/>
                <w:szCs w:val="20"/>
                <w:lang w:val="fr-FR"/>
              </w:rPr>
              <w:t xml:space="preserve"> les dispositions du Protocole additionnel</w:t>
            </w:r>
            <w:r w:rsidR="000543BC">
              <w:rPr>
                <w:kern w:val="22"/>
                <w:szCs w:val="20"/>
                <w:lang w:val="fr-FR"/>
              </w:rPr>
              <w:t>;</w:t>
            </w:r>
          </w:p>
          <w:p w14:paraId="486BAD48" w14:textId="7E838A10"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 xml:space="preserve">c) Pourcentage de Parties </w:t>
            </w:r>
            <w:r w:rsidR="002B25B9">
              <w:rPr>
                <w:kern w:val="22"/>
                <w:szCs w:val="20"/>
                <w:lang w:val="fr-FR"/>
              </w:rPr>
              <w:t>au Protocole additionnel ayant fait rapport sur l’application</w:t>
            </w:r>
            <w:r w:rsidRPr="004639D9">
              <w:rPr>
                <w:kern w:val="22"/>
                <w:szCs w:val="20"/>
                <w:lang w:val="fr-FR"/>
              </w:rPr>
              <w:t xml:space="preserve"> du Protocole additionnel.</w:t>
            </w:r>
          </w:p>
        </w:tc>
        <w:tc>
          <w:tcPr>
            <w:tcW w:w="2970" w:type="dxa"/>
            <w:tcBorders>
              <w:bottom w:val="single" w:sz="4" w:space="0" w:color="auto"/>
            </w:tcBorders>
            <w:shd w:val="clear" w:color="auto" w:fill="auto"/>
          </w:tcPr>
          <w:p w14:paraId="10033022" w14:textId="77777777" w:rsidR="00DF2E23" w:rsidRPr="004639D9" w:rsidRDefault="00DF2E23" w:rsidP="00DF2E23">
            <w:pPr>
              <w:spacing w:before="60" w:after="60"/>
              <w:jc w:val="left"/>
              <w:rPr>
                <w:rFonts w:eastAsia="MS Mincho"/>
                <w:kern w:val="22"/>
                <w:szCs w:val="20"/>
                <w:lang w:val="fr-FR"/>
              </w:rPr>
            </w:pPr>
            <w:r w:rsidRPr="004639D9">
              <w:rPr>
                <w:kern w:val="22"/>
                <w:szCs w:val="20"/>
                <w:lang w:val="fr-FR"/>
              </w:rPr>
              <w:t>L’augmentation du nombre de ratifications du Protocole additionnel de Nagoya – Kuala Lumpur sur la responsabilité et la réparation fait progresser l’élaboration de règles et procédures nationales sur la responsabilité et la réparation pour les dommages résultant d’OVM provenant d’un mouvement transfrontière.</w:t>
            </w:r>
          </w:p>
          <w:p w14:paraId="65E384DC" w14:textId="47512B9E"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p>
        </w:tc>
      </w:tr>
      <w:tr w:rsidR="00DF2E23" w:rsidRPr="004639D9" w14:paraId="61BFC9DF" w14:textId="77777777" w:rsidTr="00001068">
        <w:trPr>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auto"/>
          </w:tcPr>
          <w:p w14:paraId="40DC629C" w14:textId="43A7E94D" w:rsidR="00DF2E23" w:rsidRPr="004639D9" w:rsidRDefault="00DF2E23" w:rsidP="00DF2E23">
            <w:pPr>
              <w:keepNext/>
              <w:suppressLineNumbers/>
              <w:suppressAutoHyphens/>
              <w:spacing w:before="60" w:after="60"/>
              <w:ind w:left="714" w:hanging="357"/>
              <w:jc w:val="center"/>
              <w:rPr>
                <w:rFonts w:asciiTheme="majorBidi" w:eastAsia="MS Mincho" w:hAnsiTheme="majorBidi" w:cstheme="majorBidi"/>
                <w:kern w:val="22"/>
                <w:szCs w:val="22"/>
              </w:rPr>
            </w:pPr>
            <w:r w:rsidRPr="004639D9">
              <w:rPr>
                <w:b/>
                <w:bCs/>
                <w:kern w:val="22"/>
                <w:szCs w:val="20"/>
                <w:lang w:val="fr-FR"/>
              </w:rPr>
              <w:t>B. Environnement favorable</w:t>
            </w:r>
          </w:p>
        </w:tc>
      </w:tr>
      <w:tr w:rsidR="00DF2E23" w:rsidRPr="00301569" w14:paraId="51E1783B" w14:textId="77777777" w:rsidTr="00001068">
        <w:trPr>
          <w:jc w:val="center"/>
        </w:trPr>
        <w:tc>
          <w:tcPr>
            <w:tcW w:w="1800" w:type="dxa"/>
            <w:tcBorders>
              <w:top w:val="single" w:sz="4" w:space="0" w:color="auto"/>
            </w:tcBorders>
            <w:shd w:val="clear" w:color="auto" w:fill="auto"/>
          </w:tcPr>
          <w:p w14:paraId="15B049A1" w14:textId="7F249EC4"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B.1. Les Parties s’engagent dans des activités de renforcement des capacités.</w:t>
            </w:r>
          </w:p>
        </w:tc>
        <w:tc>
          <w:tcPr>
            <w:tcW w:w="2785" w:type="dxa"/>
            <w:tcBorders>
              <w:top w:val="single" w:sz="4" w:space="0" w:color="auto"/>
            </w:tcBorders>
          </w:tcPr>
          <w:p w14:paraId="7FCD91DF" w14:textId="4BCE359C" w:rsidR="00DF2E23" w:rsidRPr="004639D9" w:rsidRDefault="00DF2E23" w:rsidP="00DF2E23">
            <w:pPr>
              <w:spacing w:before="60" w:after="60"/>
              <w:jc w:val="left"/>
              <w:rPr>
                <w:rFonts w:eastAsia="MS Mincho"/>
                <w:kern w:val="22"/>
                <w:szCs w:val="20"/>
                <w:lang w:val="fr-FR"/>
              </w:rPr>
            </w:pPr>
            <w:r w:rsidRPr="004639D9">
              <w:rPr>
                <w:kern w:val="22"/>
                <w:szCs w:val="20"/>
                <w:lang w:val="fr-FR"/>
              </w:rPr>
              <w:t>B.1.1. Les Parties ont identifié et hiérarchisé leurs besoins en matière de renforcement des capacités</w:t>
            </w:r>
            <w:r w:rsidR="000543BC">
              <w:rPr>
                <w:kern w:val="22"/>
                <w:szCs w:val="20"/>
                <w:lang w:val="fr-FR"/>
              </w:rPr>
              <w:t>;</w:t>
            </w:r>
          </w:p>
          <w:p w14:paraId="0C6220D6" w14:textId="2502415C" w:rsidR="00DF2E23" w:rsidRPr="004639D9" w:rsidRDefault="00DF2E23" w:rsidP="00DF2E23">
            <w:pPr>
              <w:spacing w:before="60" w:after="60"/>
              <w:jc w:val="left"/>
              <w:rPr>
                <w:rFonts w:eastAsia="MS Mincho"/>
                <w:kern w:val="22"/>
                <w:szCs w:val="20"/>
                <w:lang w:val="fr-FR"/>
              </w:rPr>
            </w:pPr>
            <w:r w:rsidRPr="004639D9">
              <w:rPr>
                <w:kern w:val="22"/>
                <w:szCs w:val="20"/>
                <w:lang w:val="fr-FR"/>
              </w:rPr>
              <w:t>B.1.2. Les Parties entreprennent des activités de renforcement des capacités, comme indiqué dans le Plan d’action pour le renforcement des capacités</w:t>
            </w:r>
            <w:r w:rsidR="000543BC">
              <w:rPr>
                <w:kern w:val="22"/>
                <w:szCs w:val="20"/>
                <w:lang w:val="fr-FR"/>
              </w:rPr>
              <w:t>;</w:t>
            </w:r>
          </w:p>
          <w:p w14:paraId="2B9258EE" w14:textId="391480F6" w:rsidR="00DF2E23" w:rsidRPr="004639D9" w:rsidRDefault="002B25B9" w:rsidP="00DF2E23">
            <w:pPr>
              <w:spacing w:before="60" w:after="60"/>
              <w:jc w:val="left"/>
              <w:rPr>
                <w:rFonts w:eastAsia="MS Mincho"/>
                <w:kern w:val="22"/>
                <w:szCs w:val="20"/>
                <w:lang w:val="fr-FR"/>
              </w:rPr>
            </w:pPr>
            <w:r>
              <w:rPr>
                <w:kern w:val="22"/>
                <w:szCs w:val="20"/>
                <w:lang w:val="fr-FR"/>
              </w:rPr>
              <w:t>B.1.3. Les Parties utilisent du matériel</w:t>
            </w:r>
            <w:r w:rsidR="00DF2E23" w:rsidRPr="004639D9">
              <w:rPr>
                <w:kern w:val="22"/>
                <w:szCs w:val="20"/>
                <w:lang w:val="fr-FR"/>
              </w:rPr>
              <w:t xml:space="preserve"> de renforcement des capacités, y compris des ressources en ligne</w:t>
            </w:r>
            <w:r w:rsidR="000543BC">
              <w:rPr>
                <w:kern w:val="22"/>
                <w:szCs w:val="20"/>
                <w:lang w:val="fr-FR"/>
              </w:rPr>
              <w:t>;</w:t>
            </w:r>
          </w:p>
          <w:p w14:paraId="4754C991" w14:textId="0D95E06B"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B.1.4. Les Parties coopèrent pour renforce</w:t>
            </w:r>
            <w:r w:rsidR="002B25B9">
              <w:rPr>
                <w:kern w:val="22"/>
                <w:szCs w:val="20"/>
                <w:lang w:val="fr-FR"/>
              </w:rPr>
              <w:t>r les capacités de mise en œuvre</w:t>
            </w:r>
            <w:r w:rsidRPr="004639D9">
              <w:rPr>
                <w:kern w:val="22"/>
                <w:szCs w:val="20"/>
                <w:lang w:val="fr-FR"/>
              </w:rPr>
              <w:t xml:space="preserve"> du Protocole.</w:t>
            </w:r>
          </w:p>
        </w:tc>
        <w:tc>
          <w:tcPr>
            <w:tcW w:w="3510" w:type="dxa"/>
            <w:tcBorders>
              <w:top w:val="single" w:sz="4" w:space="0" w:color="auto"/>
            </w:tcBorders>
            <w:shd w:val="clear" w:color="auto" w:fill="auto"/>
          </w:tcPr>
          <w:p w14:paraId="7F619470" w14:textId="16E755A1" w:rsidR="00DF2E23" w:rsidRPr="004639D9" w:rsidRDefault="00DF2E23" w:rsidP="00DF2E23">
            <w:pPr>
              <w:spacing w:before="60" w:after="60"/>
              <w:jc w:val="left"/>
              <w:rPr>
                <w:kern w:val="22"/>
                <w:szCs w:val="20"/>
                <w:lang w:val="fr-FR"/>
              </w:rPr>
            </w:pPr>
            <w:r w:rsidRPr="004639D9">
              <w:rPr>
                <w:kern w:val="22"/>
                <w:szCs w:val="20"/>
                <w:lang w:val="fr-FR"/>
              </w:rPr>
              <w:t>a) Pourcentage de Parties ayant identifié et hiérarchisé leurs besoins en matière de renforcement des capacités</w:t>
            </w:r>
            <w:r w:rsidR="000543BC">
              <w:rPr>
                <w:kern w:val="22"/>
                <w:szCs w:val="20"/>
                <w:lang w:val="fr-FR"/>
              </w:rPr>
              <w:t>;</w:t>
            </w:r>
          </w:p>
          <w:p w14:paraId="5D8880E6" w14:textId="516FB93B" w:rsidR="00DF2E23" w:rsidRPr="004639D9" w:rsidRDefault="00DF2E23" w:rsidP="00DF2E23">
            <w:pPr>
              <w:spacing w:before="60" w:after="60"/>
              <w:jc w:val="left"/>
              <w:rPr>
                <w:kern w:val="22"/>
                <w:szCs w:val="20"/>
                <w:lang w:val="fr-FR"/>
              </w:rPr>
            </w:pPr>
            <w:r w:rsidRPr="004639D9">
              <w:rPr>
                <w:kern w:val="22"/>
                <w:szCs w:val="20"/>
                <w:lang w:val="fr-FR"/>
              </w:rPr>
              <w:t xml:space="preserve">b) Pourcentage de Parties </w:t>
            </w:r>
            <w:r w:rsidR="002B25B9">
              <w:rPr>
                <w:kern w:val="22"/>
                <w:szCs w:val="20"/>
                <w:lang w:val="fr-FR"/>
              </w:rPr>
              <w:t>ayant entrepris</w:t>
            </w:r>
            <w:r w:rsidRPr="004639D9">
              <w:rPr>
                <w:kern w:val="22"/>
                <w:szCs w:val="20"/>
                <w:lang w:val="fr-FR"/>
              </w:rPr>
              <w:t xml:space="preserve"> des activités de renforcement des capacités</w:t>
            </w:r>
            <w:r w:rsidR="000543BC">
              <w:rPr>
                <w:kern w:val="22"/>
                <w:szCs w:val="20"/>
                <w:lang w:val="fr-FR"/>
              </w:rPr>
              <w:t>;</w:t>
            </w:r>
          </w:p>
          <w:p w14:paraId="58C5ED44" w14:textId="5904BCC1" w:rsidR="00DF2E23" w:rsidRPr="004639D9" w:rsidRDefault="00DF2E23" w:rsidP="00DF2E23">
            <w:pPr>
              <w:spacing w:before="60" w:after="60"/>
              <w:jc w:val="left"/>
              <w:rPr>
                <w:kern w:val="22"/>
                <w:szCs w:val="20"/>
                <w:lang w:val="fr-FR"/>
              </w:rPr>
            </w:pPr>
            <w:r w:rsidRPr="004639D9">
              <w:rPr>
                <w:kern w:val="22"/>
                <w:szCs w:val="20"/>
                <w:lang w:val="fr-FR"/>
              </w:rPr>
              <w:t>c) Pourcentage de Parties ayant des besoins de renforcement</w:t>
            </w:r>
            <w:r w:rsidR="002B25B9">
              <w:rPr>
                <w:kern w:val="22"/>
                <w:szCs w:val="20"/>
                <w:lang w:val="fr-FR"/>
              </w:rPr>
              <w:t xml:space="preserve"> des capacités qui utilisent du matériel</w:t>
            </w:r>
            <w:r w:rsidRPr="004639D9">
              <w:rPr>
                <w:kern w:val="22"/>
                <w:szCs w:val="20"/>
                <w:lang w:val="fr-FR"/>
              </w:rPr>
              <w:t xml:space="preserve"> de renforcement des capacités, y compris des ressources en ligne</w:t>
            </w:r>
            <w:r w:rsidR="000543BC">
              <w:rPr>
                <w:kern w:val="22"/>
                <w:szCs w:val="20"/>
                <w:lang w:val="fr-FR"/>
              </w:rPr>
              <w:t>;</w:t>
            </w:r>
          </w:p>
          <w:p w14:paraId="19EC7523" w14:textId="3C2C3141"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d) Pourcentage de Parties qui coopèrent pour renforcer les capacités de mise en œuvre du Protocole.</w:t>
            </w:r>
          </w:p>
        </w:tc>
        <w:tc>
          <w:tcPr>
            <w:tcW w:w="2970" w:type="dxa"/>
            <w:tcBorders>
              <w:top w:val="single" w:sz="4" w:space="0" w:color="auto"/>
            </w:tcBorders>
            <w:shd w:val="clear" w:color="auto" w:fill="auto"/>
          </w:tcPr>
          <w:p w14:paraId="1F566EB2" w14:textId="505A3556"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Les Parties ont les capacités nécessaires à la mise en œuvre du Protocole.</w:t>
            </w:r>
          </w:p>
        </w:tc>
      </w:tr>
      <w:tr w:rsidR="00DF2E23" w:rsidRPr="00301569" w14:paraId="4AE57379" w14:textId="77777777" w:rsidTr="00001068">
        <w:trPr>
          <w:jc w:val="center"/>
        </w:trPr>
        <w:tc>
          <w:tcPr>
            <w:tcW w:w="1800" w:type="dxa"/>
            <w:shd w:val="clear" w:color="auto" w:fill="auto"/>
          </w:tcPr>
          <w:p w14:paraId="51CE59E8" w14:textId="7DEBE691" w:rsidR="00DF2E23" w:rsidRPr="004639D9" w:rsidRDefault="00DF2E23" w:rsidP="00DF2E23">
            <w:pPr>
              <w:suppressLineNumbers/>
              <w:suppressAutoHyphens/>
              <w:spacing w:before="60" w:after="60"/>
              <w:jc w:val="left"/>
              <w:rPr>
                <w:rFonts w:asciiTheme="majorBidi" w:eastAsia="MS Mincho" w:hAnsiTheme="majorBidi" w:cstheme="majorBidi"/>
                <w:b/>
                <w:bCs/>
                <w:kern w:val="22"/>
                <w:lang w:val="fr-CA"/>
              </w:rPr>
            </w:pPr>
            <w:r w:rsidRPr="004639D9">
              <w:rPr>
                <w:b/>
                <w:bCs/>
                <w:kern w:val="22"/>
                <w:szCs w:val="20"/>
                <w:lang w:val="fr-FR"/>
              </w:rPr>
              <w:t xml:space="preserve">B.2. Les Parties ont mobilisé des ressources adéquates </w:t>
            </w:r>
            <w:r w:rsidR="00C53BC3" w:rsidRPr="004639D9">
              <w:rPr>
                <w:b/>
                <w:bCs/>
                <w:kern w:val="22"/>
                <w:szCs w:val="20"/>
                <w:lang w:val="fr-FR"/>
              </w:rPr>
              <w:t xml:space="preserve">[de toutes les sources] </w:t>
            </w:r>
            <w:r w:rsidR="002B25B9">
              <w:rPr>
                <w:b/>
                <w:bCs/>
                <w:kern w:val="22"/>
                <w:szCs w:val="20"/>
                <w:lang w:val="fr-FR"/>
              </w:rPr>
              <w:t>pour soutenir l’application</w:t>
            </w:r>
            <w:r w:rsidRPr="004639D9">
              <w:rPr>
                <w:b/>
                <w:bCs/>
                <w:kern w:val="22"/>
                <w:szCs w:val="20"/>
                <w:lang w:val="fr-FR"/>
              </w:rPr>
              <w:t xml:space="preserve"> du Protocole</w:t>
            </w:r>
            <w:r w:rsidR="00C53BC3" w:rsidRPr="004639D9">
              <w:rPr>
                <w:b/>
                <w:bCs/>
                <w:kern w:val="22"/>
                <w:szCs w:val="20"/>
                <w:lang w:val="fr-FR"/>
              </w:rPr>
              <w:t xml:space="preserve"> [conformément à l’</w:t>
            </w:r>
            <w:r w:rsidR="009365C2" w:rsidRPr="004639D9">
              <w:rPr>
                <w:b/>
                <w:bCs/>
                <w:kern w:val="22"/>
                <w:szCs w:val="20"/>
                <w:lang w:val="fr-FR"/>
              </w:rPr>
              <w:t>article</w:t>
            </w:r>
            <w:r w:rsidR="00C53BC3" w:rsidRPr="004639D9">
              <w:rPr>
                <w:b/>
                <w:bCs/>
                <w:kern w:val="22"/>
                <w:szCs w:val="20"/>
                <w:lang w:val="fr-FR"/>
              </w:rPr>
              <w:t xml:space="preserve"> 28 du Protocole]</w:t>
            </w:r>
            <w:r w:rsidRPr="004639D9">
              <w:rPr>
                <w:b/>
                <w:bCs/>
                <w:kern w:val="22"/>
                <w:szCs w:val="20"/>
                <w:lang w:val="fr-FR"/>
              </w:rPr>
              <w:t>.</w:t>
            </w:r>
          </w:p>
        </w:tc>
        <w:tc>
          <w:tcPr>
            <w:tcW w:w="2785" w:type="dxa"/>
          </w:tcPr>
          <w:p w14:paraId="29ECDA6C" w14:textId="411B2F81" w:rsidR="00DF2E23" w:rsidRPr="004639D9" w:rsidRDefault="00DF2E23" w:rsidP="00DF2E23">
            <w:pPr>
              <w:spacing w:before="60" w:after="60"/>
              <w:jc w:val="left"/>
              <w:rPr>
                <w:rFonts w:eastAsia="MS Mincho"/>
                <w:kern w:val="22"/>
                <w:szCs w:val="20"/>
                <w:lang w:val="fr-FR"/>
              </w:rPr>
            </w:pPr>
            <w:r w:rsidRPr="004639D9">
              <w:rPr>
                <w:kern w:val="22"/>
                <w:szCs w:val="20"/>
                <w:lang w:val="fr-FR"/>
              </w:rPr>
              <w:t>B.2.1. Des ressources adéquates sont allouées à la prévention des risques biotechnologiques par l’intermédiaire des budgets nationaux</w:t>
            </w:r>
            <w:r w:rsidR="000543BC">
              <w:rPr>
                <w:kern w:val="22"/>
                <w:szCs w:val="20"/>
                <w:lang w:val="fr-FR"/>
              </w:rPr>
              <w:t>;</w:t>
            </w:r>
          </w:p>
          <w:p w14:paraId="2152E70F" w14:textId="7F8BF2FB" w:rsidR="00DF2E23" w:rsidRPr="004639D9" w:rsidRDefault="00DF2E23" w:rsidP="00C53BC3">
            <w:pPr>
              <w:jc w:val="left"/>
              <w:rPr>
                <w:rFonts w:eastAsia="MS Mincho"/>
                <w:kern w:val="22"/>
                <w:szCs w:val="20"/>
                <w:lang w:val="fr-FR"/>
              </w:rPr>
            </w:pPr>
            <w:r w:rsidRPr="004639D9">
              <w:rPr>
                <w:kern w:val="22"/>
                <w:szCs w:val="20"/>
                <w:lang w:val="fr-FR"/>
              </w:rPr>
              <w:t>B.2.2. Les Parties allouent aux activités de prévention des risques biotechnologiques une part des ressources allouées à la biodiversité au niveau national à travers le Système transparent d’allocation des ressources (STAR)</w:t>
            </w:r>
            <w:r w:rsidR="000543BC">
              <w:rPr>
                <w:kern w:val="22"/>
                <w:szCs w:val="20"/>
                <w:lang w:val="fr-FR"/>
              </w:rPr>
              <w:t>;</w:t>
            </w:r>
          </w:p>
        </w:tc>
        <w:tc>
          <w:tcPr>
            <w:tcW w:w="3510" w:type="dxa"/>
            <w:shd w:val="clear" w:color="auto" w:fill="auto"/>
          </w:tcPr>
          <w:p w14:paraId="193E799C" w14:textId="0158352C"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de Parties disposant dans les budgets nationaux de ressources suffisantes pour la prévention des risques biotechnologiques</w:t>
            </w:r>
            <w:r w:rsidR="000543BC">
              <w:rPr>
                <w:kern w:val="22"/>
                <w:szCs w:val="20"/>
                <w:lang w:val="fr-FR"/>
              </w:rPr>
              <w:t>;</w:t>
            </w:r>
          </w:p>
          <w:p w14:paraId="0CCC15BD" w14:textId="0B1312A0" w:rsidR="00DF2E23" w:rsidRPr="004639D9" w:rsidRDefault="002B25B9" w:rsidP="00DF2E23">
            <w:pPr>
              <w:jc w:val="left"/>
              <w:rPr>
                <w:rFonts w:eastAsia="MS Mincho"/>
                <w:kern w:val="22"/>
                <w:szCs w:val="20"/>
                <w:lang w:val="fr-FR"/>
              </w:rPr>
            </w:pPr>
            <w:r>
              <w:rPr>
                <w:kern w:val="22"/>
                <w:szCs w:val="20"/>
                <w:lang w:val="fr-FR"/>
              </w:rPr>
              <w:t>b) Pourcentage de Parties admiss</w:t>
            </w:r>
            <w:r w:rsidR="00DF2E23" w:rsidRPr="004639D9">
              <w:rPr>
                <w:kern w:val="22"/>
                <w:szCs w:val="20"/>
                <w:lang w:val="fr-FR"/>
              </w:rPr>
              <w:t>ibles qui utilisent les al</w:t>
            </w:r>
            <w:r>
              <w:rPr>
                <w:kern w:val="22"/>
                <w:szCs w:val="20"/>
                <w:lang w:val="fr-FR"/>
              </w:rPr>
              <w:t>locations nationales STAR pour d</w:t>
            </w:r>
            <w:r w:rsidR="00DF2E23" w:rsidRPr="004639D9">
              <w:rPr>
                <w:kern w:val="22"/>
                <w:szCs w:val="20"/>
                <w:lang w:val="fr-FR"/>
              </w:rPr>
              <w:t>es activités de prévention des risques biotechnologiques</w:t>
            </w:r>
            <w:r w:rsidR="000543BC">
              <w:rPr>
                <w:kern w:val="22"/>
                <w:szCs w:val="20"/>
                <w:lang w:val="fr-FR"/>
              </w:rPr>
              <w:t>;</w:t>
            </w:r>
          </w:p>
          <w:p w14:paraId="0C6AB2C1" w14:textId="1FF74322" w:rsidR="00DF2E23" w:rsidRPr="004639D9" w:rsidRDefault="00DF2E23" w:rsidP="00DF2E23">
            <w:pPr>
              <w:jc w:val="left"/>
              <w:rPr>
                <w:rFonts w:eastAsia="MS Mincho"/>
                <w:kern w:val="22"/>
                <w:szCs w:val="20"/>
                <w:lang w:val="fr-FR"/>
              </w:rPr>
            </w:pPr>
            <w:r w:rsidRPr="004639D9">
              <w:rPr>
                <w:kern w:val="22"/>
                <w:szCs w:val="20"/>
                <w:lang w:val="fr-FR"/>
              </w:rPr>
              <w:t>c) Pourc</w:t>
            </w:r>
            <w:r w:rsidR="002B25B9">
              <w:rPr>
                <w:kern w:val="22"/>
                <w:szCs w:val="20"/>
                <w:lang w:val="fr-FR"/>
              </w:rPr>
              <w:t>entage de Parties ayant obtenu</w:t>
            </w:r>
            <w:r w:rsidRPr="004639D9">
              <w:rPr>
                <w:kern w:val="22"/>
                <w:szCs w:val="20"/>
                <w:lang w:val="fr-FR"/>
              </w:rPr>
              <w:t xml:space="preserve"> des ressources supplémentaires</w:t>
            </w:r>
            <w:r w:rsidR="000543BC">
              <w:rPr>
                <w:kern w:val="22"/>
                <w:szCs w:val="20"/>
                <w:lang w:val="fr-FR"/>
              </w:rPr>
              <w:t>;</w:t>
            </w:r>
          </w:p>
          <w:p w14:paraId="5D2A0293" w14:textId="12A9B239" w:rsidR="00DF2E23" w:rsidRPr="004639D9" w:rsidRDefault="00DF2E23" w:rsidP="00DF2E23">
            <w:pPr>
              <w:suppressLineNumbers/>
              <w:suppressAutoHyphens/>
              <w:spacing w:before="60" w:after="60"/>
              <w:jc w:val="left"/>
              <w:rPr>
                <w:rFonts w:asciiTheme="majorBidi" w:eastAsia="MS Mincho" w:hAnsiTheme="majorBidi" w:cstheme="majorBidi"/>
                <w:kern w:val="22"/>
                <w:lang w:val="fr-CA"/>
              </w:rPr>
            </w:pPr>
          </w:p>
        </w:tc>
        <w:tc>
          <w:tcPr>
            <w:tcW w:w="2970" w:type="dxa"/>
            <w:shd w:val="clear" w:color="auto" w:fill="auto"/>
          </w:tcPr>
          <w:p w14:paraId="2FB19673" w14:textId="00581E36"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La pleine mise en œuvre du Protocole est rendue possible par des ressources adéquates.</w:t>
            </w:r>
          </w:p>
        </w:tc>
      </w:tr>
      <w:tr w:rsidR="00DF2E23" w:rsidRPr="00301569" w14:paraId="09D898AE" w14:textId="77777777" w:rsidTr="00001068">
        <w:trPr>
          <w:jc w:val="center"/>
        </w:trPr>
        <w:tc>
          <w:tcPr>
            <w:tcW w:w="1800" w:type="dxa"/>
            <w:shd w:val="clear" w:color="auto" w:fill="auto"/>
          </w:tcPr>
          <w:p w14:paraId="5F8BBD8D" w14:textId="63BA475F" w:rsidR="00DF2E23" w:rsidRPr="004639D9" w:rsidRDefault="00DF2E23" w:rsidP="00DF2E23">
            <w:pPr>
              <w:suppressLineNumbers/>
              <w:suppressAutoHyphens/>
              <w:spacing w:before="60" w:after="60"/>
              <w:jc w:val="left"/>
              <w:rPr>
                <w:rFonts w:asciiTheme="majorBidi" w:eastAsia="MS Mincho" w:hAnsiTheme="majorBidi" w:cstheme="majorBidi"/>
                <w:b/>
                <w:kern w:val="22"/>
                <w:szCs w:val="22"/>
                <w:lang w:val="fr-CA"/>
              </w:rPr>
            </w:pPr>
            <w:r w:rsidRPr="004639D9">
              <w:rPr>
                <w:b/>
                <w:bCs/>
                <w:kern w:val="22"/>
                <w:szCs w:val="20"/>
                <w:lang w:val="fr-FR"/>
              </w:rPr>
              <w:t>B.3. Les Parties promeuvent et facilitent la sensibilisation, l’éducation et la participation du public sur le transfert, la manipulation et l’utilisation sans danger des OVM</w:t>
            </w:r>
            <w:r w:rsidR="00800075" w:rsidRPr="004639D9">
              <w:rPr>
                <w:b/>
                <w:bCs/>
                <w:kern w:val="22"/>
                <w:szCs w:val="20"/>
                <w:lang w:val="fr-FR"/>
              </w:rPr>
              <w:t>, conformément à l’</w:t>
            </w:r>
            <w:r w:rsidR="009365C2" w:rsidRPr="004639D9">
              <w:rPr>
                <w:b/>
                <w:bCs/>
                <w:kern w:val="22"/>
                <w:szCs w:val="20"/>
                <w:lang w:val="fr-FR"/>
              </w:rPr>
              <w:t>article</w:t>
            </w:r>
            <w:r w:rsidR="00800075" w:rsidRPr="004639D9">
              <w:rPr>
                <w:b/>
                <w:bCs/>
                <w:kern w:val="22"/>
                <w:szCs w:val="20"/>
                <w:lang w:val="fr-FR"/>
              </w:rPr>
              <w:t xml:space="preserve"> 23 du Protocole</w:t>
            </w:r>
            <w:r w:rsidRPr="004639D9">
              <w:rPr>
                <w:b/>
                <w:bCs/>
                <w:kern w:val="22"/>
                <w:szCs w:val="20"/>
                <w:lang w:val="fr-FR"/>
              </w:rPr>
              <w:t>.</w:t>
            </w:r>
          </w:p>
        </w:tc>
        <w:tc>
          <w:tcPr>
            <w:tcW w:w="2785" w:type="dxa"/>
          </w:tcPr>
          <w:p w14:paraId="018DC6C8" w14:textId="1E46021F" w:rsidR="00DF2E23" w:rsidRPr="004639D9" w:rsidRDefault="00DF2E23" w:rsidP="00DF2E23">
            <w:pPr>
              <w:spacing w:before="60" w:after="60"/>
              <w:jc w:val="left"/>
              <w:rPr>
                <w:rFonts w:eastAsia="MS Mincho"/>
                <w:kern w:val="22"/>
                <w:szCs w:val="20"/>
                <w:lang w:val="fr-FR"/>
              </w:rPr>
            </w:pPr>
            <w:r w:rsidRPr="004639D9">
              <w:rPr>
                <w:kern w:val="22"/>
                <w:szCs w:val="20"/>
                <w:lang w:val="fr-FR"/>
              </w:rPr>
              <w:t>B.3.1. Les Parties ont développé des mécanismes pour promouvoir et faciliter la sensibilisation, l’éducation et la participation du public à la prévention des risques biotechnologiques</w:t>
            </w:r>
            <w:r w:rsidR="000543BC">
              <w:rPr>
                <w:kern w:val="22"/>
                <w:szCs w:val="20"/>
                <w:lang w:val="fr-FR"/>
              </w:rPr>
              <w:t>;</w:t>
            </w:r>
          </w:p>
          <w:p w14:paraId="370F8CA5" w14:textId="3D0B4D7D" w:rsidR="00DF2E23" w:rsidRPr="004639D9" w:rsidRDefault="00DF2E23" w:rsidP="00DF2E23">
            <w:pPr>
              <w:jc w:val="left"/>
              <w:rPr>
                <w:rFonts w:eastAsia="MS Mincho"/>
                <w:kern w:val="22"/>
                <w:szCs w:val="20"/>
                <w:lang w:val="fr-FR"/>
              </w:rPr>
            </w:pPr>
            <w:r w:rsidRPr="004639D9">
              <w:rPr>
                <w:kern w:val="22"/>
                <w:szCs w:val="20"/>
                <w:lang w:val="fr-FR"/>
              </w:rPr>
              <w:t>B.3.2. Les Parties ont accès à du matériel ressource pour promouvoir et facili</w:t>
            </w:r>
            <w:r w:rsidR="002B25B9">
              <w:rPr>
                <w:kern w:val="22"/>
                <w:szCs w:val="20"/>
                <w:lang w:val="fr-FR"/>
              </w:rPr>
              <w:t>ter la sensibilisation</w:t>
            </w:r>
            <w:r w:rsidRPr="004639D9">
              <w:rPr>
                <w:kern w:val="22"/>
                <w:szCs w:val="20"/>
                <w:lang w:val="fr-FR"/>
              </w:rPr>
              <w:t xml:space="preserve">, l’éducation et la participation </w:t>
            </w:r>
            <w:r w:rsidR="002B25B9">
              <w:rPr>
                <w:kern w:val="22"/>
                <w:szCs w:val="20"/>
                <w:lang w:val="fr-FR"/>
              </w:rPr>
              <w:t xml:space="preserve">du public </w:t>
            </w:r>
            <w:r w:rsidRPr="004639D9">
              <w:rPr>
                <w:kern w:val="22"/>
                <w:szCs w:val="20"/>
                <w:lang w:val="fr-FR"/>
              </w:rPr>
              <w:t>à la prévention des risques biotechnologiques</w:t>
            </w:r>
            <w:r w:rsidR="000543BC">
              <w:rPr>
                <w:kern w:val="22"/>
                <w:szCs w:val="20"/>
                <w:lang w:val="fr-FR"/>
              </w:rPr>
              <w:t>;</w:t>
            </w:r>
          </w:p>
          <w:p w14:paraId="6A93734D" w14:textId="2FD74B9C" w:rsidR="00DF2E23" w:rsidRPr="004639D9" w:rsidRDefault="00DF2E23" w:rsidP="00DF2E23">
            <w:pPr>
              <w:jc w:val="left"/>
              <w:rPr>
                <w:rFonts w:eastAsia="MS Mincho"/>
                <w:kern w:val="22"/>
                <w:szCs w:val="20"/>
                <w:lang w:val="fr-FR"/>
              </w:rPr>
            </w:pPr>
            <w:r w:rsidRPr="004639D9">
              <w:rPr>
                <w:kern w:val="22"/>
                <w:szCs w:val="20"/>
                <w:lang w:val="fr-FR"/>
              </w:rPr>
              <w:t>B.3.3. Les Parties consultent le public pour prendre des décisions sur les OVM, conformément à leur</w:t>
            </w:r>
            <w:r w:rsidR="00800075" w:rsidRPr="004639D9">
              <w:rPr>
                <w:kern w:val="22"/>
                <w:szCs w:val="20"/>
                <w:lang w:val="fr-FR"/>
              </w:rPr>
              <w:t>s lois et réglementations respectives</w:t>
            </w:r>
            <w:r w:rsidRPr="004639D9">
              <w:rPr>
                <w:kern w:val="22"/>
                <w:szCs w:val="20"/>
                <w:lang w:val="fr-FR"/>
              </w:rPr>
              <w:t>, et mettent les résultats des décisions à la disposition du public</w:t>
            </w:r>
            <w:r w:rsidR="000543BC">
              <w:rPr>
                <w:kern w:val="22"/>
                <w:szCs w:val="20"/>
                <w:lang w:val="fr-FR"/>
              </w:rPr>
              <w:t>;</w:t>
            </w:r>
          </w:p>
          <w:p w14:paraId="6C53876A" w14:textId="35BB42B7"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B.3.4. Les Parties informent le public sur les moyens d’accès au CEPRB.</w:t>
            </w:r>
          </w:p>
        </w:tc>
        <w:tc>
          <w:tcPr>
            <w:tcW w:w="3510" w:type="dxa"/>
            <w:shd w:val="clear" w:color="auto" w:fill="auto"/>
          </w:tcPr>
          <w:p w14:paraId="1F52AD4F" w14:textId="3448F6DE" w:rsidR="00DF2E23" w:rsidRPr="004639D9" w:rsidRDefault="00DF2E23" w:rsidP="00DF2E23">
            <w:pPr>
              <w:spacing w:before="60" w:after="60"/>
              <w:jc w:val="left"/>
              <w:rPr>
                <w:rFonts w:eastAsia="MS Mincho"/>
                <w:kern w:val="22"/>
                <w:szCs w:val="20"/>
                <w:lang w:val="fr-FR"/>
              </w:rPr>
            </w:pPr>
            <w:r w:rsidRPr="004639D9">
              <w:rPr>
                <w:kern w:val="22"/>
                <w:szCs w:val="20"/>
                <w:lang w:val="fr-FR"/>
              </w:rPr>
              <w:t>a) P</w:t>
            </w:r>
            <w:r w:rsidR="002B25B9">
              <w:rPr>
                <w:kern w:val="22"/>
                <w:szCs w:val="20"/>
                <w:lang w:val="fr-FR"/>
              </w:rPr>
              <w:t>ourcentage de Parties ayant obtenu du matériel ressource</w:t>
            </w:r>
            <w:r w:rsidRPr="004639D9">
              <w:rPr>
                <w:kern w:val="22"/>
                <w:szCs w:val="20"/>
                <w:lang w:val="fr-FR"/>
              </w:rPr>
              <w:t xml:space="preserve"> pour faciliter et promouvoir la sensibilisation, l’éducation et la participation du public à la prévention des risques biotechnologiques</w:t>
            </w:r>
            <w:r w:rsidR="000543BC">
              <w:rPr>
                <w:kern w:val="22"/>
                <w:szCs w:val="20"/>
                <w:lang w:val="fr-FR"/>
              </w:rPr>
              <w:t>;</w:t>
            </w:r>
          </w:p>
          <w:p w14:paraId="41CF8258" w14:textId="6C8C3CD3" w:rsidR="00DF2E23" w:rsidRPr="004639D9" w:rsidRDefault="00DF2E23" w:rsidP="00DF2E23">
            <w:pPr>
              <w:jc w:val="left"/>
              <w:rPr>
                <w:rFonts w:eastAsia="MS Mincho"/>
                <w:kern w:val="22"/>
                <w:szCs w:val="20"/>
                <w:lang w:val="fr-FR"/>
              </w:rPr>
            </w:pPr>
            <w:r w:rsidRPr="004639D9">
              <w:rPr>
                <w:kern w:val="22"/>
                <w:szCs w:val="20"/>
                <w:lang w:val="fr-FR"/>
              </w:rPr>
              <w:t xml:space="preserve">b) Pourcentage de Parties </w:t>
            </w:r>
            <w:r w:rsidR="002B25B9">
              <w:rPr>
                <w:kern w:val="22"/>
                <w:szCs w:val="20"/>
                <w:lang w:val="fr-FR"/>
              </w:rPr>
              <w:t>ayant intégré</w:t>
            </w:r>
            <w:r w:rsidRPr="004639D9">
              <w:rPr>
                <w:kern w:val="22"/>
                <w:szCs w:val="20"/>
                <w:lang w:val="fr-FR"/>
              </w:rPr>
              <w:t xml:space="preserve"> la prévention des risques biotechnologiques dans les programmes d’éducation et de formation pertinents</w:t>
            </w:r>
            <w:r w:rsidR="000543BC">
              <w:rPr>
                <w:kern w:val="22"/>
                <w:szCs w:val="20"/>
                <w:lang w:val="fr-FR"/>
              </w:rPr>
              <w:t>;</w:t>
            </w:r>
          </w:p>
          <w:p w14:paraId="50C85138" w14:textId="1F4EA31C" w:rsidR="00DF2E23" w:rsidRPr="004639D9" w:rsidRDefault="00DF2E23" w:rsidP="00DF2E23">
            <w:pPr>
              <w:jc w:val="left"/>
              <w:rPr>
                <w:rFonts w:eastAsia="MS Mincho"/>
                <w:kern w:val="22"/>
                <w:szCs w:val="20"/>
                <w:lang w:val="fr-FR"/>
              </w:rPr>
            </w:pPr>
            <w:r w:rsidRPr="004639D9">
              <w:rPr>
                <w:kern w:val="22"/>
                <w:szCs w:val="20"/>
                <w:lang w:val="fr-FR"/>
              </w:rPr>
              <w:t>c) Pourcentage de Parties ayant mis en place un mécanisme facilitant et encourageant la participation du public à la prise de décisions concernant les OVM </w:t>
            </w:r>
            <w:r w:rsidR="00800075" w:rsidRPr="004639D9">
              <w:rPr>
                <w:kern w:val="22"/>
                <w:szCs w:val="20"/>
                <w:lang w:val="fr-FR"/>
              </w:rPr>
              <w:t>[conformément à leurs lois et réglementations respectives]</w:t>
            </w:r>
            <w:r w:rsidRPr="004639D9">
              <w:rPr>
                <w:kern w:val="22"/>
                <w:szCs w:val="20"/>
                <w:lang w:val="fr-FR"/>
              </w:rPr>
              <w:t>;</w:t>
            </w:r>
          </w:p>
          <w:p w14:paraId="2FE0B6B9" w14:textId="7DB7C844" w:rsidR="00DF2E23" w:rsidRPr="004639D9" w:rsidRDefault="00DF2E23" w:rsidP="00DF2E23">
            <w:pPr>
              <w:jc w:val="left"/>
              <w:rPr>
                <w:rFonts w:eastAsia="MS Mincho"/>
                <w:kern w:val="22"/>
                <w:szCs w:val="20"/>
                <w:lang w:val="fr-FR"/>
              </w:rPr>
            </w:pPr>
            <w:r w:rsidRPr="004639D9">
              <w:rPr>
                <w:kern w:val="22"/>
                <w:szCs w:val="20"/>
                <w:lang w:val="fr-FR"/>
              </w:rPr>
              <w:t xml:space="preserve">d) Pourcentage de Parties </w:t>
            </w:r>
            <w:r w:rsidR="002B25B9">
              <w:rPr>
                <w:kern w:val="22"/>
                <w:szCs w:val="20"/>
                <w:lang w:val="fr-FR"/>
              </w:rPr>
              <w:t>ayant informé</w:t>
            </w:r>
            <w:r w:rsidRPr="004639D9">
              <w:rPr>
                <w:kern w:val="22"/>
                <w:szCs w:val="20"/>
                <w:lang w:val="fr-FR"/>
              </w:rPr>
              <w:t xml:space="preserve"> le public des moyens de participer à la prise de décisions </w:t>
            </w:r>
            <w:r w:rsidR="00800075" w:rsidRPr="004639D9">
              <w:rPr>
                <w:kern w:val="22"/>
                <w:szCs w:val="20"/>
                <w:lang w:val="fr-FR"/>
              </w:rPr>
              <w:t>[conformément à leurs lois et réglementations respectives]</w:t>
            </w:r>
            <w:r w:rsidRPr="004639D9">
              <w:rPr>
                <w:kern w:val="22"/>
                <w:szCs w:val="20"/>
                <w:lang w:val="fr-FR"/>
              </w:rPr>
              <w:t>;</w:t>
            </w:r>
          </w:p>
          <w:p w14:paraId="5ACEA7D4" w14:textId="34544545" w:rsidR="00DF2E23" w:rsidRPr="004639D9" w:rsidRDefault="00DF2E23" w:rsidP="00DF2E23">
            <w:pPr>
              <w:jc w:val="left"/>
              <w:rPr>
                <w:rFonts w:eastAsia="MS Mincho"/>
                <w:kern w:val="22"/>
                <w:szCs w:val="20"/>
                <w:lang w:val="fr-FR"/>
              </w:rPr>
            </w:pPr>
            <w:r w:rsidRPr="004639D9">
              <w:rPr>
                <w:kern w:val="22"/>
                <w:szCs w:val="20"/>
                <w:lang w:val="fr-FR"/>
              </w:rPr>
              <w:t>e) Pourcentage de Parties ayant consulté le public au cours du processus décisionnel </w:t>
            </w:r>
            <w:r w:rsidR="00800075" w:rsidRPr="004639D9">
              <w:rPr>
                <w:kern w:val="22"/>
                <w:szCs w:val="20"/>
                <w:lang w:val="fr-FR"/>
              </w:rPr>
              <w:t>[conformément à leurs lois et réglementations respectives]</w:t>
            </w:r>
            <w:r w:rsidRPr="004639D9">
              <w:rPr>
                <w:kern w:val="22"/>
                <w:szCs w:val="20"/>
                <w:lang w:val="fr-FR"/>
              </w:rPr>
              <w:t>;</w:t>
            </w:r>
          </w:p>
          <w:p w14:paraId="45095AF0" w14:textId="31EFB61E" w:rsidR="00DF2E23" w:rsidRPr="004639D9" w:rsidRDefault="00DF2E23" w:rsidP="00DF2E23">
            <w:pPr>
              <w:jc w:val="left"/>
              <w:rPr>
                <w:rFonts w:eastAsia="MS Mincho"/>
                <w:kern w:val="22"/>
                <w:szCs w:val="20"/>
                <w:lang w:val="fr-FR"/>
              </w:rPr>
            </w:pPr>
            <w:r w:rsidRPr="004639D9">
              <w:rPr>
                <w:kern w:val="22"/>
                <w:szCs w:val="20"/>
                <w:lang w:val="fr-FR"/>
              </w:rPr>
              <w:t xml:space="preserve">f) Pourcentage de Parties </w:t>
            </w:r>
            <w:r w:rsidR="002B25B9">
              <w:rPr>
                <w:kern w:val="22"/>
                <w:szCs w:val="20"/>
                <w:lang w:val="fr-FR"/>
              </w:rPr>
              <w:t>ayant rendu</w:t>
            </w:r>
            <w:r w:rsidRPr="004639D9">
              <w:rPr>
                <w:kern w:val="22"/>
                <w:szCs w:val="20"/>
                <w:lang w:val="fr-FR"/>
              </w:rPr>
              <w:t xml:space="preserve"> les résultats des décisions accessibles au public</w:t>
            </w:r>
            <w:r w:rsidR="000543BC">
              <w:rPr>
                <w:kern w:val="22"/>
                <w:szCs w:val="20"/>
                <w:lang w:val="fr-FR"/>
              </w:rPr>
              <w:t>;</w:t>
            </w:r>
          </w:p>
          <w:p w14:paraId="4738A2A0" w14:textId="12F28ABF"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g) Pourcentage de Parties ayant informé le public des moyens d’accès au CEPRB.</w:t>
            </w:r>
          </w:p>
        </w:tc>
        <w:tc>
          <w:tcPr>
            <w:tcW w:w="2970" w:type="dxa"/>
            <w:shd w:val="clear" w:color="auto" w:fill="auto"/>
          </w:tcPr>
          <w:p w14:paraId="62C3BA8D" w14:textId="3B976898" w:rsidR="00DF2E23" w:rsidRPr="004639D9" w:rsidRDefault="00DF2E23" w:rsidP="00DF2E23">
            <w:pPr>
              <w:suppressLineNumbers/>
              <w:suppressAutoHyphens/>
              <w:spacing w:before="60" w:after="60"/>
              <w:jc w:val="left"/>
              <w:rPr>
                <w:rFonts w:asciiTheme="majorBidi" w:eastAsia="MS Mincho" w:hAnsiTheme="majorBidi" w:cstheme="majorBidi"/>
                <w:kern w:val="22"/>
                <w:lang w:val="fr-CA"/>
              </w:rPr>
            </w:pPr>
            <w:r w:rsidRPr="004639D9">
              <w:rPr>
                <w:kern w:val="22"/>
                <w:szCs w:val="20"/>
                <w:lang w:val="fr-FR"/>
              </w:rPr>
              <w:t>Grâce à la sensibilisation, à l’éducation et à la participation du public, les Parties veillent à ce que le public soit correctement informé du transfert, de la manipulation et de l’utilisation en toute sécurité des OVM et participe à la prise de décisions sur le transfert, la manipulation et l’utilisation en toute sécurité des OVM.</w:t>
            </w:r>
          </w:p>
        </w:tc>
      </w:tr>
      <w:tr w:rsidR="00DF2E23" w:rsidRPr="00301569" w14:paraId="689311DE" w14:textId="77777777" w:rsidTr="00001068">
        <w:trPr>
          <w:jc w:val="center"/>
        </w:trPr>
        <w:tc>
          <w:tcPr>
            <w:tcW w:w="1800" w:type="dxa"/>
            <w:shd w:val="clear" w:color="auto" w:fill="auto"/>
          </w:tcPr>
          <w:p w14:paraId="5565FC70" w14:textId="542A74A3" w:rsidR="00DF2E23" w:rsidRPr="004639D9" w:rsidRDefault="00DF2E23" w:rsidP="00DF2E23">
            <w:pPr>
              <w:suppressLineNumbers/>
              <w:suppressAutoHyphens/>
              <w:spacing w:before="60" w:after="60"/>
              <w:jc w:val="left"/>
              <w:rPr>
                <w:rFonts w:asciiTheme="majorBidi" w:eastAsia="MS Mincho" w:hAnsiTheme="majorBidi" w:cstheme="majorBidi"/>
                <w:b/>
                <w:strike/>
                <w:kern w:val="22"/>
                <w:szCs w:val="22"/>
                <w:lang w:val="fr-CA"/>
              </w:rPr>
            </w:pPr>
            <w:r w:rsidRPr="004639D9">
              <w:rPr>
                <w:b/>
                <w:bCs/>
                <w:kern w:val="22"/>
                <w:szCs w:val="20"/>
                <w:lang w:val="fr-FR"/>
              </w:rPr>
              <w:t>B.4. Les Parties renforcent la coopération et la coordination sur les questions de prévention des risques biotechnologi</w:t>
            </w:r>
            <w:r w:rsidR="002B25B9">
              <w:rPr>
                <w:b/>
                <w:bCs/>
                <w:kern w:val="22"/>
                <w:szCs w:val="20"/>
                <w:lang w:val="fr-FR"/>
              </w:rPr>
              <w:t>-</w:t>
            </w:r>
            <w:r w:rsidRPr="004639D9">
              <w:rPr>
                <w:b/>
                <w:bCs/>
                <w:kern w:val="22"/>
                <w:szCs w:val="20"/>
                <w:lang w:val="fr-FR"/>
              </w:rPr>
              <w:t>ques aux niveaux national, régional et international.</w:t>
            </w:r>
          </w:p>
        </w:tc>
        <w:tc>
          <w:tcPr>
            <w:tcW w:w="2785" w:type="dxa"/>
          </w:tcPr>
          <w:p w14:paraId="621FBF6B" w14:textId="2C6EA65C" w:rsidR="00DF2E23" w:rsidRPr="004639D9" w:rsidRDefault="00DF2E23" w:rsidP="00DF2E23">
            <w:pPr>
              <w:spacing w:before="60" w:after="60"/>
              <w:jc w:val="left"/>
              <w:rPr>
                <w:rFonts w:eastAsia="MS Mincho"/>
                <w:kern w:val="22"/>
                <w:szCs w:val="20"/>
                <w:lang w:val="fr-FR"/>
              </w:rPr>
            </w:pPr>
            <w:r w:rsidRPr="004639D9">
              <w:rPr>
                <w:kern w:val="22"/>
                <w:szCs w:val="20"/>
                <w:lang w:val="fr-FR"/>
              </w:rPr>
              <w:t>B.4.1. Les Parties coopèren</w:t>
            </w:r>
            <w:r w:rsidR="002B25B9">
              <w:rPr>
                <w:kern w:val="22"/>
                <w:szCs w:val="20"/>
                <w:lang w:val="fr-FR"/>
              </w:rPr>
              <w:t>t pour soutenir l’application</w:t>
            </w:r>
            <w:r w:rsidRPr="004639D9">
              <w:rPr>
                <w:kern w:val="22"/>
                <w:szCs w:val="20"/>
                <w:lang w:val="fr-FR"/>
              </w:rPr>
              <w:t xml:space="preserve"> du Protocole, y compris par l’échange de connaissances scientifiques, techniques et institutionnelles</w:t>
            </w:r>
            <w:r w:rsidR="000543BC">
              <w:rPr>
                <w:kern w:val="22"/>
                <w:szCs w:val="20"/>
                <w:lang w:val="fr-FR"/>
              </w:rPr>
              <w:t>;</w:t>
            </w:r>
          </w:p>
          <w:p w14:paraId="76FF51D8" w14:textId="79B82656" w:rsidR="00DF2E23" w:rsidRPr="004639D9" w:rsidRDefault="00DF2E23" w:rsidP="00DF2E23">
            <w:pPr>
              <w:jc w:val="left"/>
              <w:rPr>
                <w:rFonts w:eastAsia="MS Mincho"/>
                <w:kern w:val="22"/>
                <w:szCs w:val="20"/>
                <w:lang w:val="fr-FR"/>
              </w:rPr>
            </w:pPr>
            <w:r w:rsidRPr="004639D9">
              <w:rPr>
                <w:kern w:val="22"/>
                <w:szCs w:val="20"/>
                <w:lang w:val="fr-FR"/>
              </w:rPr>
              <w:t>B.4.2. Les Parties ont mis en place</w:t>
            </w:r>
            <w:r w:rsidR="002B25B9">
              <w:rPr>
                <w:kern w:val="22"/>
                <w:szCs w:val="20"/>
                <w:lang w:val="fr-FR"/>
              </w:rPr>
              <w:t xml:space="preserve"> des mécanismes efficaces pour assurer la participation des peuples autochtones et d</w:t>
            </w:r>
            <w:r w:rsidRPr="004639D9">
              <w:rPr>
                <w:kern w:val="22"/>
                <w:szCs w:val="20"/>
                <w:lang w:val="fr-FR"/>
              </w:rPr>
              <w:t>es communautés locales</w:t>
            </w:r>
            <w:r w:rsidR="002B25B9">
              <w:rPr>
                <w:kern w:val="22"/>
                <w:szCs w:val="20"/>
                <w:lang w:val="fr-FR"/>
              </w:rPr>
              <w:t>, ainsi que d</w:t>
            </w:r>
            <w:r w:rsidRPr="004639D9">
              <w:rPr>
                <w:kern w:val="22"/>
                <w:szCs w:val="20"/>
                <w:lang w:val="fr-FR"/>
              </w:rPr>
              <w:t>es parties prenantes concernées de différ</w:t>
            </w:r>
            <w:r w:rsidR="002B25B9">
              <w:rPr>
                <w:kern w:val="22"/>
                <w:szCs w:val="20"/>
                <w:lang w:val="fr-FR"/>
              </w:rPr>
              <w:t>ents secteurs à l’application</w:t>
            </w:r>
            <w:r w:rsidRPr="004639D9">
              <w:rPr>
                <w:kern w:val="22"/>
                <w:szCs w:val="20"/>
                <w:lang w:val="fr-FR"/>
              </w:rPr>
              <w:t xml:space="preserve"> du Protocole</w:t>
            </w:r>
            <w:r w:rsidR="000543BC">
              <w:rPr>
                <w:kern w:val="22"/>
                <w:szCs w:val="20"/>
                <w:lang w:val="fr-FR"/>
              </w:rPr>
              <w:t>;</w:t>
            </w:r>
          </w:p>
          <w:p w14:paraId="78434EF4" w14:textId="3BF3D3D7"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B.4.3. Les Parties facilitent la coordination et la coopération sectorielles et intersectorielles au niveau national pour intégrer la prévention des risques biotechnologiques.</w:t>
            </w:r>
          </w:p>
        </w:tc>
        <w:tc>
          <w:tcPr>
            <w:tcW w:w="3510" w:type="dxa"/>
            <w:shd w:val="clear" w:color="auto" w:fill="auto"/>
          </w:tcPr>
          <w:p w14:paraId="2AEC8901" w14:textId="16F96EFE" w:rsidR="00DF2E23" w:rsidRPr="004639D9" w:rsidRDefault="00DF2E23" w:rsidP="00DF2E23">
            <w:pPr>
              <w:spacing w:before="60" w:after="60"/>
              <w:jc w:val="left"/>
              <w:rPr>
                <w:rFonts w:eastAsia="MS Mincho"/>
                <w:kern w:val="22"/>
                <w:szCs w:val="20"/>
                <w:lang w:val="fr-FR"/>
              </w:rPr>
            </w:pPr>
            <w:r w:rsidRPr="004639D9">
              <w:rPr>
                <w:kern w:val="22"/>
                <w:szCs w:val="20"/>
                <w:lang w:val="fr-FR"/>
              </w:rPr>
              <w:t>a) Pourcentage de Parties coopérant pour échanger des connaissances scientifiques, techniques et institutionnelles</w:t>
            </w:r>
            <w:r w:rsidR="000543BC">
              <w:rPr>
                <w:kern w:val="22"/>
                <w:szCs w:val="20"/>
                <w:lang w:val="fr-FR"/>
              </w:rPr>
              <w:t>;</w:t>
            </w:r>
          </w:p>
          <w:p w14:paraId="4F50BC0F" w14:textId="7B69A87D" w:rsidR="00DF2E23" w:rsidRPr="004639D9" w:rsidRDefault="00DF2E23" w:rsidP="00DF2E23">
            <w:pPr>
              <w:jc w:val="left"/>
              <w:rPr>
                <w:rFonts w:eastAsia="MS Mincho"/>
                <w:kern w:val="22"/>
                <w:szCs w:val="20"/>
                <w:lang w:val="fr-FR"/>
              </w:rPr>
            </w:pPr>
            <w:r w:rsidRPr="004639D9">
              <w:rPr>
                <w:kern w:val="22"/>
                <w:szCs w:val="20"/>
                <w:lang w:val="fr-FR"/>
              </w:rPr>
              <w:t>b) Pourcentage de Parties engagées dans des activités bilatérales, régionales ou mult</w:t>
            </w:r>
            <w:r w:rsidR="002B25B9">
              <w:rPr>
                <w:kern w:val="22"/>
                <w:szCs w:val="20"/>
                <w:lang w:val="fr-FR"/>
              </w:rPr>
              <w:t>ilatérales pour l’application</w:t>
            </w:r>
            <w:r w:rsidRPr="004639D9">
              <w:rPr>
                <w:kern w:val="22"/>
                <w:szCs w:val="20"/>
                <w:lang w:val="fr-FR"/>
              </w:rPr>
              <w:t xml:space="preserve"> du Protocole</w:t>
            </w:r>
            <w:r w:rsidR="000543BC">
              <w:rPr>
                <w:kern w:val="22"/>
                <w:szCs w:val="20"/>
                <w:lang w:val="fr-FR"/>
              </w:rPr>
              <w:t>;</w:t>
            </w:r>
          </w:p>
          <w:p w14:paraId="674B7D57" w14:textId="7B816F7B" w:rsidR="00DF2E23" w:rsidRPr="004639D9" w:rsidRDefault="00DF2E23" w:rsidP="00DF2E23">
            <w:pPr>
              <w:jc w:val="left"/>
              <w:rPr>
                <w:rFonts w:eastAsia="MS Mincho"/>
                <w:kern w:val="22"/>
                <w:szCs w:val="20"/>
                <w:lang w:val="fr-FR"/>
              </w:rPr>
            </w:pPr>
            <w:r w:rsidRPr="004639D9">
              <w:rPr>
                <w:kern w:val="22"/>
                <w:szCs w:val="20"/>
                <w:lang w:val="fr-FR"/>
              </w:rPr>
              <w:t>c) Pourcentage de Parties disposant de mécanismes pour associer les peuples autochtones et les communautés locales ainsi que les parties prenantes concernées de différents secteu</w:t>
            </w:r>
            <w:r w:rsidR="002B25B9">
              <w:rPr>
                <w:kern w:val="22"/>
                <w:szCs w:val="20"/>
                <w:lang w:val="fr-FR"/>
              </w:rPr>
              <w:t>rs à l’application</w:t>
            </w:r>
            <w:r w:rsidRPr="004639D9">
              <w:rPr>
                <w:kern w:val="22"/>
                <w:szCs w:val="20"/>
                <w:lang w:val="fr-FR"/>
              </w:rPr>
              <w:t xml:space="preserve"> du Protocole</w:t>
            </w:r>
            <w:r w:rsidR="000543BC">
              <w:rPr>
                <w:kern w:val="22"/>
                <w:szCs w:val="20"/>
                <w:lang w:val="fr-FR"/>
              </w:rPr>
              <w:t>;</w:t>
            </w:r>
          </w:p>
          <w:p w14:paraId="7F56880A" w14:textId="75229A02"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 xml:space="preserve">d) Pourcentage de Parties ayant intégré la prévention des </w:t>
            </w:r>
            <w:r w:rsidR="002B25B9">
              <w:rPr>
                <w:kern w:val="22"/>
                <w:szCs w:val="20"/>
                <w:lang w:val="fr-FR"/>
              </w:rPr>
              <w:t>risques biotechnologiques dans d</w:t>
            </w:r>
            <w:r w:rsidRPr="004639D9">
              <w:rPr>
                <w:kern w:val="22"/>
                <w:szCs w:val="20"/>
                <w:lang w:val="fr-FR"/>
              </w:rPr>
              <w:t>es stratégies, plans d’action, programmes, politiques ou législations sectoriels et intersectoriels nationaux.</w:t>
            </w:r>
          </w:p>
        </w:tc>
        <w:tc>
          <w:tcPr>
            <w:tcW w:w="2970" w:type="dxa"/>
            <w:shd w:val="clear" w:color="auto" w:fill="auto"/>
          </w:tcPr>
          <w:p w14:paraId="35ADD361" w14:textId="35575BAF" w:rsidR="00DF2E23" w:rsidRPr="004639D9" w:rsidRDefault="00DF2E23" w:rsidP="00DF2E23">
            <w:pPr>
              <w:suppressLineNumbers/>
              <w:suppressAutoHyphens/>
              <w:spacing w:before="60" w:after="60"/>
              <w:jc w:val="left"/>
              <w:rPr>
                <w:rFonts w:asciiTheme="majorBidi" w:eastAsia="MS Mincho" w:hAnsiTheme="majorBidi" w:cstheme="majorBidi"/>
                <w:kern w:val="22"/>
                <w:szCs w:val="22"/>
                <w:lang w:val="fr-CA"/>
              </w:rPr>
            </w:pPr>
            <w:r w:rsidRPr="004639D9">
              <w:rPr>
                <w:kern w:val="22"/>
                <w:szCs w:val="20"/>
                <w:lang w:val="fr-FR"/>
              </w:rPr>
              <w:t>Grâce à la coopération aux niveaux national, régional et international et à la participation des par</w:t>
            </w:r>
            <w:r w:rsidR="002B25B9">
              <w:rPr>
                <w:kern w:val="22"/>
                <w:szCs w:val="20"/>
                <w:lang w:val="fr-FR"/>
              </w:rPr>
              <w:t>ties prenantes, l’application</w:t>
            </w:r>
            <w:r w:rsidRPr="004639D9">
              <w:rPr>
                <w:kern w:val="22"/>
                <w:szCs w:val="20"/>
                <w:lang w:val="fr-FR"/>
              </w:rPr>
              <w:t xml:space="preserve"> du Protocole par les Parties est plus efficace.</w:t>
            </w:r>
          </w:p>
        </w:tc>
      </w:tr>
    </w:tbl>
    <w:p w14:paraId="636E8BB0" w14:textId="77777777" w:rsidR="00290F08" w:rsidRPr="00DF2E23" w:rsidRDefault="00290F08" w:rsidP="008723AC">
      <w:pPr>
        <w:jc w:val="center"/>
        <w:rPr>
          <w:bCs/>
          <w:iCs/>
          <w:kern w:val="22"/>
          <w:szCs w:val="22"/>
          <w:lang w:val="fr-CA"/>
        </w:rPr>
      </w:pPr>
    </w:p>
    <w:p w14:paraId="423AC399" w14:textId="77777777" w:rsidR="00290F08" w:rsidRPr="00DF2E23" w:rsidRDefault="00290F08" w:rsidP="008723AC">
      <w:pPr>
        <w:jc w:val="center"/>
        <w:rPr>
          <w:bCs/>
          <w:iCs/>
          <w:kern w:val="22"/>
          <w:lang w:val="fr-CA"/>
        </w:rPr>
      </w:pPr>
    </w:p>
    <w:p w14:paraId="6A6B210C" w14:textId="77777777" w:rsidR="008723AC" w:rsidRPr="00F10E52" w:rsidRDefault="008723AC" w:rsidP="008723AC">
      <w:pPr>
        <w:rPr>
          <w:kern w:val="22"/>
          <w:lang w:val="fr-FR"/>
        </w:rPr>
      </w:pPr>
    </w:p>
    <w:p w14:paraId="01A8CABE" w14:textId="77777777" w:rsidR="00A54792" w:rsidRPr="00DF2E23" w:rsidRDefault="00A54792" w:rsidP="00CE74B9">
      <w:pPr>
        <w:spacing w:before="120" w:after="120"/>
        <w:ind w:left="720"/>
        <w:jc w:val="center"/>
        <w:rPr>
          <w:rFonts w:asciiTheme="majorBidi" w:hAnsiTheme="majorBidi" w:cstheme="majorBidi"/>
          <w:i/>
          <w:iCs/>
          <w:lang w:val="fr-CA"/>
        </w:rPr>
        <w:sectPr w:rsidR="00A54792" w:rsidRPr="00DF2E23" w:rsidSect="00290F08">
          <w:pgSz w:w="12240" w:h="15840"/>
          <w:pgMar w:top="567" w:right="1389" w:bottom="1134" w:left="1389" w:header="709" w:footer="709" w:gutter="0"/>
          <w:cols w:space="708"/>
          <w:docGrid w:linePitch="360"/>
        </w:sectPr>
      </w:pPr>
    </w:p>
    <w:p w14:paraId="09455C50" w14:textId="3A85563B" w:rsidR="00F54E1B" w:rsidRPr="00F10E52" w:rsidRDefault="00F54E1B" w:rsidP="00F54E1B">
      <w:pPr>
        <w:pStyle w:val="Heading1"/>
        <w:rPr>
          <w:b w:val="0"/>
          <w:bCs/>
          <w:i/>
          <w:iCs/>
          <w:kern w:val="22"/>
          <w:lang w:val="fr-FR"/>
        </w:rPr>
      </w:pPr>
      <w:r>
        <w:rPr>
          <w:b w:val="0"/>
          <w:bCs/>
          <w:i/>
          <w:iCs/>
          <w:kern w:val="22"/>
          <w:szCs w:val="22"/>
          <w:lang w:val="fr-FR"/>
        </w:rPr>
        <w:t>A</w:t>
      </w:r>
      <w:r>
        <w:rPr>
          <w:b w:val="0"/>
          <w:bCs/>
          <w:i/>
          <w:iCs/>
          <w:caps w:val="0"/>
          <w:kern w:val="22"/>
          <w:szCs w:val="22"/>
          <w:lang w:val="fr-FR"/>
        </w:rPr>
        <w:t>nnexe II</w:t>
      </w:r>
    </w:p>
    <w:p w14:paraId="3CC035A2" w14:textId="06338F7A" w:rsidR="00F54E1B" w:rsidRPr="00F10E52" w:rsidRDefault="00F54E1B" w:rsidP="00B1667A">
      <w:pPr>
        <w:pStyle w:val="Heading1"/>
        <w:spacing w:after="0"/>
        <w:contextualSpacing/>
        <w:rPr>
          <w:kern w:val="22"/>
          <w:lang w:val="fr-FR"/>
        </w:rPr>
      </w:pPr>
      <w:r>
        <w:rPr>
          <w:bCs/>
          <w:kern w:val="22"/>
          <w:szCs w:val="22"/>
          <w:lang w:val="fr-FR"/>
        </w:rPr>
        <w:t xml:space="preserve"> plan d’action pour le renforcement des capacités </w:t>
      </w:r>
      <w:r w:rsidR="00B1667A">
        <w:rPr>
          <w:bCs/>
          <w:kern w:val="22"/>
          <w:szCs w:val="22"/>
          <w:lang w:val="fr-FR"/>
        </w:rPr>
        <w:t xml:space="preserve">du Protocole de cartagena sur la prevention des risques biotechnologiques </w:t>
      </w:r>
      <w:r>
        <w:rPr>
          <w:bCs/>
          <w:kern w:val="22"/>
          <w:szCs w:val="22"/>
          <w:lang w:val="fr-FR"/>
        </w:rPr>
        <w:t>(2021-2030)</w:t>
      </w:r>
    </w:p>
    <w:p w14:paraId="34D66789" w14:textId="3636B012" w:rsidR="00F54E1B" w:rsidRPr="00F10E52" w:rsidRDefault="00F54E1B" w:rsidP="00F54E1B">
      <w:pPr>
        <w:pStyle w:val="Heading1"/>
        <w:suppressLineNumbers/>
        <w:suppressAutoHyphens/>
        <w:ind w:left="1134" w:hanging="567"/>
        <w:jc w:val="left"/>
        <w:rPr>
          <w:kern w:val="22"/>
          <w:lang w:val="fr-FR"/>
        </w:rPr>
      </w:pPr>
      <w:r>
        <w:rPr>
          <w:bCs/>
          <w:kern w:val="22"/>
          <w:szCs w:val="22"/>
          <w:lang w:val="fr-FR"/>
        </w:rPr>
        <w:t>I.</w:t>
      </w:r>
      <w:r>
        <w:rPr>
          <w:bCs/>
          <w:kern w:val="22"/>
          <w:szCs w:val="22"/>
          <w:lang w:val="fr-FR"/>
        </w:rPr>
        <w:tab/>
      </w:r>
      <w:r>
        <w:rPr>
          <w:bCs/>
          <w:kern w:val="22"/>
          <w:szCs w:val="22"/>
          <w:lang w:val="fr-FR"/>
        </w:rPr>
        <w:tab/>
        <w:t>Objectif du plan d’action pour le renforcement des capacités</w:t>
      </w:r>
    </w:p>
    <w:p w14:paraId="09CA3152" w14:textId="068A1F24" w:rsidR="00F54E1B" w:rsidRPr="00F10E52" w:rsidRDefault="00F54E1B" w:rsidP="00F54E1B">
      <w:pPr>
        <w:numPr>
          <w:ilvl w:val="0"/>
          <w:numId w:val="26"/>
        </w:numPr>
        <w:spacing w:before="120" w:after="120"/>
        <w:ind w:left="0" w:firstLine="0"/>
        <w:rPr>
          <w:kern w:val="22"/>
          <w:lang w:val="fr-FR"/>
        </w:rPr>
      </w:pPr>
      <w:r>
        <w:rPr>
          <w:kern w:val="22"/>
          <w:szCs w:val="22"/>
          <w:lang w:val="fr-FR"/>
        </w:rPr>
        <w:t>Le plan d’action pour le renforcement des capacités a pour object</w:t>
      </w:r>
      <w:r w:rsidR="006B3951">
        <w:rPr>
          <w:kern w:val="22"/>
          <w:szCs w:val="22"/>
          <w:lang w:val="fr-FR"/>
        </w:rPr>
        <w:t>if de faciliter la création de capacités</w:t>
      </w:r>
      <w:r>
        <w:rPr>
          <w:kern w:val="22"/>
          <w:szCs w:val="22"/>
          <w:lang w:val="fr-FR"/>
        </w:rPr>
        <w:t xml:space="preserve"> et le renforcement des capacités des Par</w:t>
      </w:r>
      <w:r w:rsidR="006B3951">
        <w:rPr>
          <w:kern w:val="22"/>
          <w:szCs w:val="22"/>
          <w:lang w:val="fr-FR"/>
        </w:rPr>
        <w:t>ties à appliquer le Protocole</w:t>
      </w:r>
      <w:r>
        <w:rPr>
          <w:kern w:val="22"/>
          <w:szCs w:val="22"/>
          <w:lang w:val="fr-FR"/>
        </w:rPr>
        <w:t xml:space="preserve"> : a) </w:t>
      </w:r>
      <w:r w:rsidR="006B3951">
        <w:rPr>
          <w:kern w:val="22"/>
          <w:szCs w:val="22"/>
          <w:lang w:val="fr-FR"/>
        </w:rPr>
        <w:t xml:space="preserve">en </w:t>
      </w:r>
      <w:r>
        <w:rPr>
          <w:kern w:val="22"/>
          <w:szCs w:val="22"/>
          <w:lang w:val="fr-FR"/>
        </w:rPr>
        <w:t>identifiant les domaines clés de renforcement des capacit</w:t>
      </w:r>
      <w:r w:rsidR="006B3951">
        <w:rPr>
          <w:kern w:val="22"/>
          <w:szCs w:val="22"/>
          <w:lang w:val="fr-FR"/>
        </w:rPr>
        <w:t>és liés aux différents buts du p</w:t>
      </w:r>
      <w:r>
        <w:rPr>
          <w:kern w:val="22"/>
          <w:szCs w:val="22"/>
          <w:lang w:val="fr-FR"/>
        </w:rPr>
        <w:t>lan de mise en œuvre</w:t>
      </w:r>
      <w:r w:rsidR="000543BC">
        <w:rPr>
          <w:kern w:val="22"/>
          <w:szCs w:val="22"/>
          <w:lang w:val="fr-FR"/>
        </w:rPr>
        <w:t>;</w:t>
      </w:r>
      <w:r>
        <w:rPr>
          <w:kern w:val="22"/>
          <w:szCs w:val="22"/>
          <w:lang w:val="fr-FR"/>
        </w:rPr>
        <w:t xml:space="preserve"> b) </w:t>
      </w:r>
      <w:r w:rsidR="006B3951">
        <w:rPr>
          <w:kern w:val="22"/>
          <w:szCs w:val="22"/>
          <w:lang w:val="fr-FR"/>
        </w:rPr>
        <w:t>en facilita</w:t>
      </w:r>
      <w:r>
        <w:rPr>
          <w:kern w:val="22"/>
          <w:szCs w:val="22"/>
          <w:lang w:val="fr-FR"/>
        </w:rPr>
        <w:t>nt la participation des partenaires, y compris des donateurs</w:t>
      </w:r>
      <w:r w:rsidR="000543BC">
        <w:rPr>
          <w:kern w:val="22"/>
          <w:szCs w:val="22"/>
          <w:lang w:val="fr-FR"/>
        </w:rPr>
        <w:t>;</w:t>
      </w:r>
      <w:r>
        <w:rPr>
          <w:kern w:val="22"/>
          <w:szCs w:val="22"/>
          <w:lang w:val="fr-FR"/>
        </w:rPr>
        <w:t xml:space="preserve"> c) </w:t>
      </w:r>
      <w:r w:rsidR="006B3951">
        <w:rPr>
          <w:kern w:val="22"/>
          <w:szCs w:val="22"/>
          <w:lang w:val="fr-FR"/>
        </w:rPr>
        <w:t xml:space="preserve">en </w:t>
      </w:r>
      <w:r>
        <w:rPr>
          <w:kern w:val="22"/>
          <w:szCs w:val="22"/>
          <w:lang w:val="fr-FR"/>
        </w:rPr>
        <w:t>favorisant une approche coh</w:t>
      </w:r>
      <w:r w:rsidR="006B3951">
        <w:rPr>
          <w:kern w:val="22"/>
          <w:szCs w:val="22"/>
          <w:lang w:val="fr-FR"/>
        </w:rPr>
        <w:t>érente et coordonnée en matière de</w:t>
      </w:r>
      <w:r>
        <w:rPr>
          <w:kern w:val="22"/>
          <w:szCs w:val="22"/>
          <w:lang w:val="fr-FR"/>
        </w:rPr>
        <w:t xml:space="preserve"> renforcement des capacités pour la mise en œuvre du Protocole</w:t>
      </w:r>
      <w:r w:rsidR="000543BC">
        <w:rPr>
          <w:kern w:val="22"/>
          <w:szCs w:val="22"/>
          <w:lang w:val="fr-FR"/>
        </w:rPr>
        <w:t>;</w:t>
      </w:r>
      <w:r w:rsidR="006B3951">
        <w:rPr>
          <w:kern w:val="22"/>
          <w:szCs w:val="22"/>
          <w:lang w:val="fr-FR"/>
        </w:rPr>
        <w:t xml:space="preserve"> </w:t>
      </w:r>
      <w:r>
        <w:rPr>
          <w:kern w:val="22"/>
          <w:szCs w:val="22"/>
          <w:lang w:val="fr-FR"/>
        </w:rPr>
        <w:t xml:space="preserve">d) </w:t>
      </w:r>
      <w:r w:rsidR="006B3951">
        <w:rPr>
          <w:kern w:val="22"/>
          <w:szCs w:val="22"/>
          <w:lang w:val="fr-FR"/>
        </w:rPr>
        <w:t xml:space="preserve">en </w:t>
      </w:r>
      <w:r>
        <w:rPr>
          <w:kern w:val="22"/>
          <w:szCs w:val="22"/>
          <w:lang w:val="fr-FR"/>
        </w:rPr>
        <w:t xml:space="preserve">encourageant la coopération et la coordination régionales et internationales. Le plan d’action pour le renforcement des capacités couvre la même période que le plan de mise en œuvre, </w:t>
      </w:r>
      <w:r w:rsidR="006B3951">
        <w:rPr>
          <w:kern w:val="22"/>
          <w:szCs w:val="22"/>
          <w:lang w:val="fr-FR"/>
        </w:rPr>
        <w:t xml:space="preserve">à savoir, </w:t>
      </w:r>
      <w:r>
        <w:rPr>
          <w:kern w:val="22"/>
          <w:szCs w:val="22"/>
          <w:lang w:val="fr-FR"/>
        </w:rPr>
        <w:t>de 2021 à 2030.</w:t>
      </w:r>
    </w:p>
    <w:p w14:paraId="2CD2DBE0" w14:textId="78313006" w:rsidR="00F54E1B" w:rsidRPr="00F10E52" w:rsidRDefault="00F54E1B" w:rsidP="00F54E1B">
      <w:pPr>
        <w:numPr>
          <w:ilvl w:val="0"/>
          <w:numId w:val="26"/>
        </w:numPr>
        <w:spacing w:before="120" w:after="120"/>
        <w:ind w:left="0" w:firstLine="0"/>
        <w:rPr>
          <w:b/>
          <w:kern w:val="22"/>
          <w:lang w:val="fr-FR"/>
        </w:rPr>
      </w:pPr>
      <w:r>
        <w:rPr>
          <w:kern w:val="22"/>
          <w:szCs w:val="22"/>
          <w:lang w:val="fr-FR"/>
        </w:rPr>
        <w:t>Les Parties, les non-Parties et les parties prenan</w:t>
      </w:r>
      <w:r w:rsidR="006B3951">
        <w:rPr>
          <w:kern w:val="22"/>
          <w:szCs w:val="22"/>
          <w:lang w:val="fr-FR"/>
        </w:rPr>
        <w:t xml:space="preserve">tes de différents secteurs, organisations, </w:t>
      </w:r>
      <w:r>
        <w:rPr>
          <w:kern w:val="22"/>
          <w:szCs w:val="22"/>
          <w:lang w:val="fr-FR"/>
        </w:rPr>
        <w:t>peuples autochtones et communautés locales</w:t>
      </w:r>
      <w:r w:rsidR="006B3951">
        <w:rPr>
          <w:kern w:val="22"/>
          <w:szCs w:val="22"/>
          <w:lang w:val="fr-FR"/>
        </w:rPr>
        <w:t>,</w:t>
      </w:r>
      <w:r>
        <w:rPr>
          <w:kern w:val="22"/>
          <w:szCs w:val="22"/>
          <w:lang w:val="fr-FR"/>
        </w:rPr>
        <w:t xml:space="preserve"> ainsi que les </w:t>
      </w:r>
      <w:r w:rsidR="006B3951">
        <w:rPr>
          <w:kern w:val="22"/>
          <w:szCs w:val="22"/>
          <w:lang w:val="fr-FR"/>
        </w:rPr>
        <w:t xml:space="preserve">organismes </w:t>
      </w:r>
      <w:r>
        <w:rPr>
          <w:kern w:val="22"/>
          <w:szCs w:val="22"/>
          <w:lang w:val="fr-FR"/>
        </w:rPr>
        <w:t>donateurs</w:t>
      </w:r>
      <w:r w:rsidR="006B3951">
        <w:rPr>
          <w:kern w:val="22"/>
          <w:szCs w:val="22"/>
          <w:lang w:val="fr-FR"/>
        </w:rPr>
        <w:t>, peuvent appuyer la réalisation</w:t>
      </w:r>
      <w:r>
        <w:rPr>
          <w:kern w:val="22"/>
          <w:szCs w:val="22"/>
          <w:lang w:val="fr-FR"/>
        </w:rPr>
        <w:t xml:space="preserve"> des activités de renforcement des capacités, y c</w:t>
      </w:r>
      <w:r w:rsidR="006B3951">
        <w:rPr>
          <w:kern w:val="22"/>
          <w:szCs w:val="22"/>
          <w:lang w:val="fr-FR"/>
        </w:rPr>
        <w:t>ompris celles décrites dans le p</w:t>
      </w:r>
      <w:r>
        <w:rPr>
          <w:kern w:val="22"/>
          <w:szCs w:val="22"/>
          <w:lang w:val="fr-FR"/>
        </w:rPr>
        <w:t>lan d’action pour le renforcement des capacités.</w:t>
      </w:r>
    </w:p>
    <w:p w14:paraId="3049E5FC" w14:textId="32602FA1" w:rsidR="00F54E1B" w:rsidRPr="00F10E52" w:rsidRDefault="00F54E1B" w:rsidP="00F54E1B">
      <w:pPr>
        <w:pStyle w:val="Heading1"/>
        <w:suppressLineNumbers/>
        <w:suppressAutoHyphens/>
        <w:ind w:left="1134" w:hanging="567"/>
        <w:jc w:val="left"/>
        <w:rPr>
          <w:kern w:val="22"/>
          <w:lang w:val="fr-FR"/>
        </w:rPr>
      </w:pPr>
      <w:r>
        <w:rPr>
          <w:bCs/>
          <w:kern w:val="22"/>
          <w:szCs w:val="22"/>
          <w:lang w:val="fr-FR"/>
        </w:rPr>
        <w:t>II.</w:t>
      </w:r>
      <w:r>
        <w:rPr>
          <w:bCs/>
          <w:kern w:val="22"/>
          <w:szCs w:val="22"/>
          <w:lang w:val="fr-FR"/>
        </w:rPr>
        <w:tab/>
        <w:t>Lien avec le cadre mondial de la biodiversité pour l’après-2020, le cadre stratégique à long terme pour le renforcement des capacités de la Convention et de ses Protocoles</w:t>
      </w:r>
      <w:r w:rsidR="004F298D">
        <w:rPr>
          <w:bCs/>
          <w:kern w:val="22"/>
          <w:szCs w:val="22"/>
          <w:lang w:val="fr-FR"/>
        </w:rPr>
        <w:t>,</w:t>
      </w:r>
      <w:r>
        <w:rPr>
          <w:bCs/>
          <w:kern w:val="22"/>
          <w:szCs w:val="22"/>
          <w:lang w:val="fr-FR"/>
        </w:rPr>
        <w:t xml:space="preserve"> et le Programme de développement durable à l’horizon 2030</w:t>
      </w:r>
    </w:p>
    <w:p w14:paraId="5169EE94" w14:textId="3F38092B" w:rsidR="00F54E1B" w:rsidRPr="00F10E52" w:rsidRDefault="00F54E1B" w:rsidP="00F54E1B">
      <w:pPr>
        <w:numPr>
          <w:ilvl w:val="0"/>
          <w:numId w:val="26"/>
        </w:numPr>
        <w:spacing w:before="120" w:after="120"/>
        <w:ind w:left="0" w:firstLine="0"/>
        <w:rPr>
          <w:rFonts w:eastAsia="MS Mincho"/>
          <w:kern w:val="22"/>
          <w:lang w:val="fr-FR" w:eastAsia="ja-JP"/>
        </w:rPr>
      </w:pPr>
      <w:r>
        <w:rPr>
          <w:kern w:val="22"/>
          <w:szCs w:val="22"/>
          <w:lang w:val="fr-FR"/>
        </w:rPr>
        <w:t xml:space="preserve">Le plan d’action pour le renforcement des capacités a été élaboré </w:t>
      </w:r>
      <w:r w:rsidR="00634A68">
        <w:rPr>
          <w:kern w:val="22"/>
          <w:szCs w:val="22"/>
          <w:lang w:val="fr-FR"/>
        </w:rPr>
        <w:t>en cohérence avec le</w:t>
      </w:r>
      <w:r>
        <w:rPr>
          <w:kern w:val="22"/>
          <w:szCs w:val="22"/>
          <w:lang w:val="fr-FR"/>
        </w:rPr>
        <w:t xml:space="preserve"> plan de mise en œuvre</w:t>
      </w:r>
      <w:r w:rsidR="00EB0579">
        <w:rPr>
          <w:kern w:val="22"/>
          <w:szCs w:val="22"/>
          <w:lang w:val="fr-FR"/>
        </w:rPr>
        <w:t xml:space="preserve"> du Protocole de Cartagena, comme demandé à la décision CP-9/3</w:t>
      </w:r>
      <w:r>
        <w:rPr>
          <w:kern w:val="22"/>
          <w:szCs w:val="22"/>
          <w:lang w:val="fr-FR"/>
        </w:rPr>
        <w:t>, en donnant des exemples d’activités de renforcement des capacités pour chaque but du plan de mise en œuvre. Le pl</w:t>
      </w:r>
      <w:r w:rsidR="006B3951">
        <w:rPr>
          <w:kern w:val="22"/>
          <w:szCs w:val="22"/>
          <w:lang w:val="fr-FR"/>
        </w:rPr>
        <w:t>an d’action est complémentaire d</w:t>
      </w:r>
      <w:r>
        <w:rPr>
          <w:kern w:val="22"/>
          <w:szCs w:val="22"/>
          <w:lang w:val="fr-FR"/>
        </w:rPr>
        <w:t>u plan de mise en œuvre, car les activités de renforcement des capac</w:t>
      </w:r>
      <w:r w:rsidR="006B3951">
        <w:rPr>
          <w:kern w:val="22"/>
          <w:szCs w:val="22"/>
          <w:lang w:val="fr-FR"/>
        </w:rPr>
        <w:t>ités peuvent appuyer la réalisation</w:t>
      </w:r>
      <w:r>
        <w:rPr>
          <w:kern w:val="22"/>
          <w:szCs w:val="22"/>
          <w:lang w:val="fr-FR"/>
        </w:rPr>
        <w:t xml:space="preserve"> des buts et des résultats du plan de mise en œuvre. De plus, afin d’assurer la cohérence et d’éviter d’éventuelles redondances, le but B.1. du plan de mise en œuvre traite du renforcement des capacités en général et renvoie aux activités spécifiques de renforcement des capacités décrites dans le plan d’action pour le renforcement des capacités.</w:t>
      </w:r>
    </w:p>
    <w:p w14:paraId="67F27FED" w14:textId="0614F9FC" w:rsidR="00F54E1B" w:rsidRPr="00F10E52" w:rsidRDefault="00F54E1B" w:rsidP="00F54E1B">
      <w:pPr>
        <w:numPr>
          <w:ilvl w:val="0"/>
          <w:numId w:val="26"/>
        </w:numPr>
        <w:spacing w:before="120" w:after="120"/>
        <w:ind w:left="0" w:firstLine="0"/>
        <w:rPr>
          <w:kern w:val="22"/>
          <w:lang w:val="fr-FR"/>
        </w:rPr>
      </w:pPr>
      <w:r>
        <w:rPr>
          <w:kern w:val="22"/>
          <w:szCs w:val="22"/>
          <w:lang w:val="fr-FR"/>
        </w:rPr>
        <w:t>Le plan d’action pour le renforcement de</w:t>
      </w:r>
      <w:r w:rsidR="006B3951">
        <w:rPr>
          <w:kern w:val="22"/>
          <w:szCs w:val="22"/>
          <w:lang w:val="fr-FR"/>
        </w:rPr>
        <w:t>s capacités est complémentaire d</w:t>
      </w:r>
      <w:r>
        <w:rPr>
          <w:kern w:val="22"/>
          <w:szCs w:val="22"/>
          <w:lang w:val="fr-FR"/>
        </w:rPr>
        <w:t xml:space="preserve">u cadre stratégique à long terme pour le renforcement des capacités. </w:t>
      </w:r>
      <w:r w:rsidR="00BD505D">
        <w:rPr>
          <w:kern w:val="22"/>
          <w:szCs w:val="22"/>
          <w:lang w:val="fr-FR"/>
        </w:rPr>
        <w:t>L</w:t>
      </w:r>
      <w:r>
        <w:rPr>
          <w:kern w:val="22"/>
          <w:szCs w:val="22"/>
          <w:lang w:val="fr-FR"/>
        </w:rPr>
        <w:t xml:space="preserve">es principes généraux, les approches et les stratégies pour améliorer le renforcement des capacités, </w:t>
      </w:r>
      <w:r w:rsidR="00BD505D">
        <w:rPr>
          <w:kern w:val="22"/>
          <w:szCs w:val="22"/>
          <w:lang w:val="fr-FR"/>
        </w:rPr>
        <w:t>élaborés dans le cadre stratégique à long terme pour le renforcement des capacités, seront</w:t>
      </w:r>
      <w:r>
        <w:rPr>
          <w:kern w:val="22"/>
          <w:szCs w:val="22"/>
          <w:lang w:val="fr-FR"/>
        </w:rPr>
        <w:t xml:space="preserve"> pris en considération lors de la planification des activités de renforcement des capacités basées sur le plan d’action</w:t>
      </w:r>
      <w:r w:rsidR="00BD505D">
        <w:rPr>
          <w:kern w:val="22"/>
          <w:szCs w:val="22"/>
          <w:lang w:val="fr-FR"/>
        </w:rPr>
        <w:t xml:space="preserve"> sur le renforcement des capacités</w:t>
      </w:r>
      <w:r>
        <w:rPr>
          <w:kern w:val="22"/>
          <w:szCs w:val="22"/>
          <w:lang w:val="fr-FR"/>
        </w:rPr>
        <w:t xml:space="preserve">. </w:t>
      </w:r>
    </w:p>
    <w:p w14:paraId="12206D30" w14:textId="0E7295FA" w:rsidR="00F54E1B" w:rsidRPr="00BD505D" w:rsidRDefault="00F54E1B" w:rsidP="00F54E1B">
      <w:pPr>
        <w:numPr>
          <w:ilvl w:val="0"/>
          <w:numId w:val="26"/>
        </w:numPr>
        <w:spacing w:before="120" w:after="120"/>
        <w:ind w:left="0" w:firstLine="0"/>
        <w:rPr>
          <w:kern w:val="22"/>
          <w:lang w:val="fr-FR"/>
        </w:rPr>
      </w:pPr>
      <w:r>
        <w:rPr>
          <w:kern w:val="22"/>
          <w:szCs w:val="22"/>
          <w:lang w:val="fr-FR"/>
        </w:rPr>
        <w:t>Le plan d’action pour le renforcement des capacités peut également aider les Parties à atteindre les Objectifs de développement durable, notamment l’Objectif 2 (</w:t>
      </w:r>
      <w:r w:rsidRPr="00A37A0D">
        <w:rPr>
          <w:iCs/>
          <w:kern w:val="22"/>
          <w:szCs w:val="22"/>
          <w:lang w:val="fr-FR"/>
        </w:rPr>
        <w:t>Éliminer la faim, assurer la sécurité alimentaire, améliorer la nutrition et promouvoir l’agriculture durable</w:t>
      </w:r>
      <w:r w:rsidRPr="00A37A0D">
        <w:rPr>
          <w:kern w:val="22"/>
          <w:szCs w:val="22"/>
          <w:lang w:val="fr-FR"/>
        </w:rPr>
        <w:t>) et l’Objectif 3 (</w:t>
      </w:r>
      <w:r w:rsidRPr="00A37A0D">
        <w:rPr>
          <w:iCs/>
          <w:kern w:val="22"/>
          <w:szCs w:val="22"/>
          <w:lang w:val="fr-FR"/>
        </w:rPr>
        <w:t>Permettre à tous de vivre en bonne santé et promouvoir le bien-être de tous à tout âge</w:t>
      </w:r>
      <w:r w:rsidRPr="00A37A0D">
        <w:rPr>
          <w:kern w:val="22"/>
          <w:szCs w:val="22"/>
          <w:lang w:val="fr-FR"/>
        </w:rPr>
        <w:t>).</w:t>
      </w:r>
    </w:p>
    <w:p w14:paraId="01097DEB" w14:textId="2AF5B6E8" w:rsidR="00F54E1B" w:rsidRPr="00F10E52" w:rsidRDefault="00F54E1B" w:rsidP="00F54E1B">
      <w:pPr>
        <w:pStyle w:val="Heading1"/>
        <w:suppressLineNumbers/>
        <w:suppressAutoHyphens/>
        <w:ind w:left="1134" w:hanging="567"/>
        <w:jc w:val="left"/>
        <w:rPr>
          <w:kern w:val="22"/>
          <w:lang w:val="fr-FR"/>
        </w:rPr>
      </w:pPr>
      <w:r>
        <w:rPr>
          <w:bCs/>
          <w:kern w:val="22"/>
          <w:szCs w:val="22"/>
          <w:lang w:val="fr-FR"/>
        </w:rPr>
        <w:t>III.</w:t>
      </w:r>
      <w:r>
        <w:rPr>
          <w:bCs/>
          <w:kern w:val="22"/>
          <w:szCs w:val="22"/>
          <w:lang w:val="fr-FR"/>
        </w:rPr>
        <w:tab/>
      </w:r>
      <w:r w:rsidR="00634A68">
        <w:rPr>
          <w:bCs/>
          <w:kern w:val="22"/>
          <w:szCs w:val="22"/>
          <w:lang w:val="fr-FR"/>
        </w:rPr>
        <w:t>STRUCTURE</w:t>
      </w:r>
      <w:r>
        <w:rPr>
          <w:bCs/>
          <w:kern w:val="22"/>
          <w:szCs w:val="22"/>
          <w:lang w:val="fr-FR"/>
        </w:rPr>
        <w:t xml:space="preserve"> du plan d’action pour le renforcement des capacités </w:t>
      </w:r>
    </w:p>
    <w:p w14:paraId="64304BAE" w14:textId="76CE7D71" w:rsidR="00F54E1B" w:rsidRPr="00F10E52" w:rsidRDefault="00634A68" w:rsidP="00F54E1B">
      <w:pPr>
        <w:numPr>
          <w:ilvl w:val="0"/>
          <w:numId w:val="26"/>
        </w:numPr>
        <w:spacing w:before="120" w:after="120"/>
        <w:ind w:left="0" w:firstLine="0"/>
        <w:rPr>
          <w:kern w:val="22"/>
          <w:lang w:val="fr-FR"/>
        </w:rPr>
      </w:pPr>
      <w:r>
        <w:rPr>
          <w:kern w:val="22"/>
          <w:szCs w:val="22"/>
          <w:lang w:val="fr-FR"/>
        </w:rPr>
        <w:t>L’a</w:t>
      </w:r>
      <w:r w:rsidR="00BD505D">
        <w:rPr>
          <w:kern w:val="22"/>
          <w:szCs w:val="22"/>
          <w:lang w:val="fr-FR"/>
        </w:rPr>
        <w:t>ppendice propose</w:t>
      </w:r>
      <w:r w:rsidR="00F54E1B">
        <w:rPr>
          <w:kern w:val="22"/>
          <w:szCs w:val="22"/>
          <w:lang w:val="fr-FR"/>
        </w:rPr>
        <w:t xml:space="preserve"> un tableau récapitulatif des buts, </w:t>
      </w:r>
      <w:r w:rsidR="00247B2B">
        <w:rPr>
          <w:kern w:val="22"/>
          <w:szCs w:val="22"/>
          <w:lang w:val="fr-FR"/>
        </w:rPr>
        <w:t>domaines clés pour le</w:t>
      </w:r>
      <w:r w:rsidR="00E07AC0">
        <w:rPr>
          <w:kern w:val="22"/>
          <w:szCs w:val="22"/>
          <w:lang w:val="fr-FR"/>
        </w:rPr>
        <w:t xml:space="preserve"> renforcement des capacités, exemples d’activités de renforcement des capacités, </w:t>
      </w:r>
      <w:r w:rsidR="00F54E1B">
        <w:rPr>
          <w:kern w:val="22"/>
          <w:szCs w:val="22"/>
          <w:lang w:val="fr-FR"/>
        </w:rPr>
        <w:t>indicateurs</w:t>
      </w:r>
      <w:r w:rsidR="00E07AC0">
        <w:rPr>
          <w:kern w:val="22"/>
          <w:szCs w:val="22"/>
          <w:lang w:val="fr-FR"/>
        </w:rPr>
        <w:t>,</w:t>
      </w:r>
      <w:r w:rsidR="00F54E1B">
        <w:rPr>
          <w:kern w:val="22"/>
          <w:szCs w:val="22"/>
          <w:lang w:val="fr-FR"/>
        </w:rPr>
        <w:t xml:space="preserve"> résultats </w:t>
      </w:r>
      <w:r w:rsidR="00E07AC0">
        <w:rPr>
          <w:kern w:val="22"/>
          <w:szCs w:val="22"/>
          <w:lang w:val="fr-FR"/>
        </w:rPr>
        <w:t xml:space="preserve">et acteurs du </w:t>
      </w:r>
      <w:r w:rsidR="00F54E1B">
        <w:rPr>
          <w:kern w:val="22"/>
          <w:szCs w:val="22"/>
          <w:lang w:val="fr-FR"/>
        </w:rPr>
        <w:t xml:space="preserve">plan d’action pour le renforcement des capacités. </w:t>
      </w:r>
    </w:p>
    <w:p w14:paraId="27878386" w14:textId="4CDC0023" w:rsidR="00247B2B" w:rsidRPr="00247B2B" w:rsidRDefault="00247B2B" w:rsidP="00F54E1B">
      <w:pPr>
        <w:numPr>
          <w:ilvl w:val="0"/>
          <w:numId w:val="26"/>
        </w:numPr>
        <w:spacing w:before="120" w:after="120"/>
        <w:ind w:left="0" w:firstLine="0"/>
        <w:rPr>
          <w:kern w:val="22"/>
          <w:lang w:val="fr-FR"/>
        </w:rPr>
      </w:pPr>
      <w:r>
        <w:rPr>
          <w:kern w:val="22"/>
          <w:lang w:val="fr-FR"/>
        </w:rPr>
        <w:t xml:space="preserve">Le plan d’action pour le renforcement des capacités </w:t>
      </w:r>
      <w:r w:rsidR="006859EE">
        <w:rPr>
          <w:kern w:val="22"/>
          <w:lang w:val="fr-FR"/>
        </w:rPr>
        <w:t>est cohérent avec les objectifs</w:t>
      </w:r>
      <w:r>
        <w:rPr>
          <w:kern w:val="22"/>
          <w:lang w:val="fr-FR"/>
        </w:rPr>
        <w:t xml:space="preserve"> du p</w:t>
      </w:r>
      <w:r w:rsidR="006859EE">
        <w:rPr>
          <w:kern w:val="22"/>
          <w:lang w:val="fr-FR"/>
        </w:rPr>
        <w:t>l</w:t>
      </w:r>
      <w:r>
        <w:rPr>
          <w:kern w:val="22"/>
          <w:lang w:val="fr-FR"/>
        </w:rPr>
        <w:t xml:space="preserve">an de mise en œuvre pour le Protocole de Cartagena. Les </w:t>
      </w:r>
      <w:r w:rsidR="006859EE">
        <w:rPr>
          <w:kern w:val="22"/>
          <w:lang w:val="fr-FR"/>
        </w:rPr>
        <w:t>buts</w:t>
      </w:r>
      <w:r>
        <w:rPr>
          <w:kern w:val="22"/>
          <w:lang w:val="fr-FR"/>
        </w:rPr>
        <w:t xml:space="preserve"> représentent les </w:t>
      </w:r>
      <w:r w:rsidR="006859EE">
        <w:rPr>
          <w:kern w:val="22"/>
          <w:lang w:val="fr-FR"/>
        </w:rPr>
        <w:t>réalisations générales</w:t>
      </w:r>
      <w:r>
        <w:rPr>
          <w:kern w:val="22"/>
          <w:lang w:val="fr-FR"/>
        </w:rPr>
        <w:t xml:space="preserve"> souhaitables de la part des Parties. Chaque </w:t>
      </w:r>
      <w:r w:rsidR="006859EE">
        <w:rPr>
          <w:kern w:val="22"/>
          <w:lang w:val="fr-FR"/>
        </w:rPr>
        <w:t>but</w:t>
      </w:r>
      <w:r>
        <w:rPr>
          <w:kern w:val="22"/>
          <w:lang w:val="fr-FR"/>
        </w:rPr>
        <w:t xml:space="preserve"> comprend des domaines clés pour le renforcement des capacités, des exemples d’activités de renforcement des capacités, des i</w:t>
      </w:r>
      <w:r w:rsidR="006859EE">
        <w:rPr>
          <w:kern w:val="22"/>
          <w:lang w:val="fr-FR"/>
        </w:rPr>
        <w:t>n</w:t>
      </w:r>
      <w:r>
        <w:rPr>
          <w:kern w:val="22"/>
          <w:lang w:val="fr-FR"/>
        </w:rPr>
        <w:t>dicateurs, des résultats et les acteurs.</w:t>
      </w:r>
    </w:p>
    <w:p w14:paraId="66FECB2A" w14:textId="305CB259" w:rsidR="00F54E1B" w:rsidRPr="00F10E52" w:rsidRDefault="006859EE" w:rsidP="00F54E1B">
      <w:pPr>
        <w:numPr>
          <w:ilvl w:val="0"/>
          <w:numId w:val="26"/>
        </w:numPr>
        <w:spacing w:before="120" w:after="120"/>
        <w:ind w:left="0" w:firstLine="0"/>
        <w:rPr>
          <w:kern w:val="22"/>
          <w:lang w:val="fr-FR"/>
        </w:rPr>
      </w:pPr>
      <w:r>
        <w:rPr>
          <w:kern w:val="22"/>
          <w:szCs w:val="22"/>
          <w:lang w:val="fr-FR"/>
        </w:rPr>
        <w:t>Les</w:t>
      </w:r>
      <w:r w:rsidR="00F54E1B">
        <w:rPr>
          <w:kern w:val="22"/>
          <w:szCs w:val="22"/>
          <w:lang w:val="fr-FR"/>
        </w:rPr>
        <w:t xml:space="preserve"> </w:t>
      </w:r>
      <w:r w:rsidR="00F54E1B" w:rsidRPr="00A37A0D">
        <w:rPr>
          <w:bCs/>
          <w:i/>
          <w:kern w:val="22"/>
          <w:szCs w:val="22"/>
          <w:lang w:val="fr-FR"/>
        </w:rPr>
        <w:t>domaines clés pour le renforcement des capacités</w:t>
      </w:r>
      <w:r w:rsidR="00F54E1B">
        <w:rPr>
          <w:kern w:val="22"/>
          <w:szCs w:val="22"/>
          <w:lang w:val="fr-FR"/>
        </w:rPr>
        <w:t xml:space="preserve"> </w:t>
      </w:r>
      <w:r w:rsidR="00672BB6">
        <w:rPr>
          <w:kern w:val="22"/>
          <w:szCs w:val="22"/>
          <w:lang w:val="fr-FR"/>
        </w:rPr>
        <w:t xml:space="preserve">sont </w:t>
      </w:r>
      <w:r w:rsidR="00F54E1B">
        <w:rPr>
          <w:kern w:val="22"/>
          <w:szCs w:val="22"/>
          <w:lang w:val="fr-FR"/>
        </w:rPr>
        <w:t>liés à chaque but du plan de mise en œuvre. Ces domaines clés sont cohérents avec les objectifs du plan de mise en œuvre et comprennent les domaines pour lesquels des activités de renforcement des capacités sont proposées.</w:t>
      </w:r>
    </w:p>
    <w:p w14:paraId="57C4E7C4" w14:textId="025F5F1B" w:rsidR="00F54E1B" w:rsidRPr="00F10E52" w:rsidRDefault="00E07AC0" w:rsidP="00F54E1B">
      <w:pPr>
        <w:numPr>
          <w:ilvl w:val="0"/>
          <w:numId w:val="26"/>
        </w:numPr>
        <w:spacing w:before="120" w:after="120"/>
        <w:ind w:left="0" w:firstLine="0"/>
        <w:rPr>
          <w:rFonts w:eastAsia="MS Mincho"/>
          <w:kern w:val="22"/>
          <w:lang w:val="fr-FR" w:eastAsia="ja-JP"/>
        </w:rPr>
      </w:pPr>
      <w:r>
        <w:rPr>
          <w:kern w:val="22"/>
          <w:szCs w:val="22"/>
          <w:lang w:val="fr-FR"/>
        </w:rPr>
        <w:t>Le</w:t>
      </w:r>
      <w:r w:rsidR="0097306B">
        <w:rPr>
          <w:kern w:val="22"/>
          <w:szCs w:val="22"/>
          <w:lang w:val="fr-FR"/>
        </w:rPr>
        <w:t xml:space="preserve"> plan d’action propose une liste </w:t>
      </w:r>
      <w:r w:rsidR="0097306B" w:rsidRPr="0097306B">
        <w:rPr>
          <w:i/>
          <w:kern w:val="22"/>
          <w:szCs w:val="22"/>
          <w:lang w:val="fr-FR"/>
        </w:rPr>
        <w:t>d’exemples</w:t>
      </w:r>
      <w:r w:rsidR="0097306B">
        <w:rPr>
          <w:kern w:val="22"/>
          <w:szCs w:val="22"/>
          <w:lang w:val="fr-FR"/>
        </w:rPr>
        <w:t xml:space="preserve"> </w:t>
      </w:r>
      <w:r w:rsidR="00F54E1B" w:rsidRPr="00247B2B">
        <w:rPr>
          <w:bCs/>
          <w:i/>
          <w:kern w:val="22"/>
          <w:szCs w:val="22"/>
          <w:lang w:val="fr-FR"/>
        </w:rPr>
        <w:t>de renforcement des capacités</w:t>
      </w:r>
      <w:r w:rsidR="00F54E1B">
        <w:rPr>
          <w:kern w:val="22"/>
          <w:szCs w:val="22"/>
          <w:lang w:val="fr-FR"/>
        </w:rPr>
        <w:t>, qui a été élaborée en tenant compte des activités de renforcement des capacités toujours pertinentes incluses, entre autres, dans le Cadre et le Plan d’action pour le renforcement des capacités en vue de l’application effective du Protocole de Cartagena (2012-2020), ainsi que dans le programme de travail sur la sensibilisation, l’éducation et la participation du public</w:t>
      </w:r>
      <w:r w:rsidR="00F54E1B" w:rsidRPr="001A1F48">
        <w:rPr>
          <w:kern w:val="22"/>
          <w:szCs w:val="22"/>
          <w:lang w:val="fr-FR"/>
        </w:rPr>
        <w:t>.</w:t>
      </w:r>
      <w:r w:rsidR="00F54E1B">
        <w:rPr>
          <w:kern w:val="22"/>
          <w:szCs w:val="22"/>
          <w:lang w:val="fr-FR"/>
        </w:rPr>
        <w:t xml:space="preserve"> </w:t>
      </w:r>
      <w:r w:rsidR="0097306B">
        <w:rPr>
          <w:kern w:val="22"/>
          <w:szCs w:val="22"/>
          <w:lang w:val="fr-FR"/>
        </w:rPr>
        <w:t xml:space="preserve">Les activités de renforcement des capacités visent </w:t>
      </w:r>
      <w:r w:rsidR="006B3951">
        <w:rPr>
          <w:kern w:val="22"/>
          <w:szCs w:val="22"/>
          <w:lang w:val="fr-FR"/>
        </w:rPr>
        <w:t>à soutenir l’application effective</w:t>
      </w:r>
      <w:r w:rsidR="0097306B">
        <w:rPr>
          <w:kern w:val="22"/>
          <w:szCs w:val="22"/>
          <w:lang w:val="fr-FR"/>
        </w:rPr>
        <w:t xml:space="preserve"> du Protocole de Cartagena. Les activités peuvent contribuer à un ou plusieurs résultats. </w:t>
      </w:r>
    </w:p>
    <w:p w14:paraId="37FC3E6B" w14:textId="7C955D80" w:rsidR="00F54E1B" w:rsidRPr="00F10E52" w:rsidRDefault="00F54E1B" w:rsidP="00F54E1B">
      <w:pPr>
        <w:numPr>
          <w:ilvl w:val="0"/>
          <w:numId w:val="26"/>
        </w:numPr>
        <w:spacing w:before="120" w:after="120"/>
        <w:ind w:left="0" w:firstLine="0"/>
        <w:rPr>
          <w:rFonts w:eastAsia="MS Mincho"/>
          <w:kern w:val="22"/>
          <w:lang w:val="fr-FR" w:eastAsia="ja-JP"/>
        </w:rPr>
      </w:pPr>
      <w:r>
        <w:rPr>
          <w:kern w:val="22"/>
          <w:szCs w:val="22"/>
          <w:lang w:val="fr-FR"/>
        </w:rPr>
        <w:t>Les domaines clés et les activités de renforcement des capacités décrits dans le plan d’action pour le renforcement des capacités ne sont pas censés être normatifs ou exhaustifs. Les domaines clés sont présentés à titre indicatif comme des domaines dans lesquels des capacités peuvent être nécessaires et sur lesquels les interventions de renforcement des capacités peuvent se concentrer, en fonction des circonstances et des besoins nationaux. Les activités de renforcement des capacités sont des exemples</w:t>
      </w:r>
      <w:r w:rsidR="0045147A">
        <w:rPr>
          <w:kern w:val="22"/>
          <w:szCs w:val="22"/>
          <w:lang w:val="fr-FR"/>
        </w:rPr>
        <w:t xml:space="preserve">, et non une liste exhaustive, car chacun des pays doit adapter les activités à sa réalité et à ses besoins. </w:t>
      </w:r>
      <w:r>
        <w:rPr>
          <w:kern w:val="22"/>
          <w:szCs w:val="22"/>
          <w:lang w:val="fr-FR"/>
        </w:rPr>
        <w:t>Il est reconnu que les circonstances et les besoins nationaux et régionaux devraient finalement déterminer la conception et la réalisation des activités de renforcement des capacités, en tenant également compte des orientations stratégiques fournies dans le cadre stratégique à long terme pour le renforcement des capacités, le cas échéant.</w:t>
      </w:r>
    </w:p>
    <w:p w14:paraId="0930FBAD" w14:textId="157A25F4" w:rsidR="0045147A" w:rsidRDefault="0045147A" w:rsidP="00F54E1B">
      <w:pPr>
        <w:numPr>
          <w:ilvl w:val="0"/>
          <w:numId w:val="26"/>
        </w:numPr>
        <w:spacing w:before="120" w:after="120"/>
        <w:ind w:left="0" w:firstLine="0"/>
        <w:rPr>
          <w:rFonts w:eastAsia="MS Mincho"/>
          <w:kern w:val="22"/>
          <w:lang w:val="fr-FR" w:eastAsia="ja-JP"/>
        </w:rPr>
      </w:pPr>
      <w:r>
        <w:rPr>
          <w:rFonts w:eastAsia="MS Mincho"/>
          <w:kern w:val="22"/>
          <w:lang w:val="fr-FR" w:eastAsia="ja-JP"/>
        </w:rPr>
        <w:t>Le plan d’action fournit également une série d’indicateurs visant à mesurer le succès des activités et/ou des contributions des activités aux résultats. Ils se veulent simp</w:t>
      </w:r>
      <w:r w:rsidR="006B3951">
        <w:rPr>
          <w:rFonts w:eastAsia="MS Mincho"/>
          <w:kern w:val="22"/>
          <w:lang w:val="fr-FR" w:eastAsia="ja-JP"/>
        </w:rPr>
        <w:t>les, mesurables et pertinents pour le</w:t>
      </w:r>
      <w:r>
        <w:rPr>
          <w:rFonts w:eastAsia="MS Mincho"/>
          <w:kern w:val="22"/>
          <w:lang w:val="fr-FR" w:eastAsia="ja-JP"/>
        </w:rPr>
        <w:t xml:space="preserve"> résultat. Chaque indicateur fait référence à une activité et/ou </w:t>
      </w:r>
      <w:r w:rsidR="00326CC9">
        <w:rPr>
          <w:rFonts w:eastAsia="MS Mincho"/>
          <w:kern w:val="22"/>
          <w:lang w:val="fr-FR" w:eastAsia="ja-JP"/>
        </w:rPr>
        <w:t>un</w:t>
      </w:r>
      <w:r w:rsidR="00B1667A">
        <w:rPr>
          <w:rFonts w:eastAsia="MS Mincho"/>
          <w:kern w:val="22"/>
          <w:lang w:val="fr-FR" w:eastAsia="ja-JP"/>
        </w:rPr>
        <w:t xml:space="preserve"> résultat.</w:t>
      </w:r>
    </w:p>
    <w:p w14:paraId="0DAAB0AA" w14:textId="7A7D145A" w:rsidR="0045147A" w:rsidRPr="0045147A" w:rsidRDefault="0045147A" w:rsidP="00F54E1B">
      <w:pPr>
        <w:numPr>
          <w:ilvl w:val="0"/>
          <w:numId w:val="26"/>
        </w:numPr>
        <w:spacing w:before="120" w:after="120"/>
        <w:ind w:left="0" w:firstLine="0"/>
        <w:rPr>
          <w:rFonts w:eastAsia="MS Mincho"/>
          <w:kern w:val="22"/>
          <w:lang w:val="fr-FR" w:eastAsia="ja-JP"/>
        </w:rPr>
      </w:pPr>
      <w:r>
        <w:rPr>
          <w:rFonts w:eastAsia="MS Mincho"/>
          <w:kern w:val="22"/>
          <w:lang w:val="fr-FR" w:eastAsia="ja-JP"/>
        </w:rPr>
        <w:t xml:space="preserve">[Le plan d’action </w:t>
      </w:r>
      <w:r w:rsidR="004941C8">
        <w:rPr>
          <w:rFonts w:eastAsia="MS Mincho"/>
          <w:kern w:val="22"/>
          <w:lang w:val="fr-FR" w:eastAsia="ja-JP"/>
        </w:rPr>
        <w:t>identifie</w:t>
      </w:r>
      <w:r>
        <w:rPr>
          <w:rFonts w:eastAsia="MS Mincho"/>
          <w:kern w:val="22"/>
          <w:lang w:val="fr-FR" w:eastAsia="ja-JP"/>
        </w:rPr>
        <w:t xml:space="preserve"> </w:t>
      </w:r>
      <w:r w:rsidR="00B1667A">
        <w:rPr>
          <w:rFonts w:eastAsia="MS Mincho"/>
          <w:kern w:val="22"/>
          <w:lang w:val="fr-FR" w:eastAsia="ja-JP"/>
        </w:rPr>
        <w:t xml:space="preserve">aussi </w:t>
      </w:r>
      <w:r>
        <w:rPr>
          <w:rFonts w:eastAsia="MS Mincho"/>
          <w:kern w:val="22"/>
          <w:lang w:val="fr-FR" w:eastAsia="ja-JP"/>
        </w:rPr>
        <w:t xml:space="preserve">les acteurs, qui représentent une liste </w:t>
      </w:r>
      <w:r w:rsidR="004941C8">
        <w:rPr>
          <w:rFonts w:eastAsia="MS Mincho"/>
          <w:kern w:val="22"/>
          <w:lang w:val="fr-FR" w:eastAsia="ja-JP"/>
        </w:rPr>
        <w:t>indicative et non exhaust</w:t>
      </w:r>
      <w:r>
        <w:rPr>
          <w:rFonts w:eastAsia="MS Mincho"/>
          <w:kern w:val="22"/>
          <w:lang w:val="fr-FR" w:eastAsia="ja-JP"/>
        </w:rPr>
        <w:t>ive des acteurs participant aux activités (y compris le financement</w:t>
      </w:r>
      <w:r w:rsidR="004941C8">
        <w:rPr>
          <w:rFonts w:eastAsia="MS Mincho"/>
          <w:kern w:val="22"/>
          <w:lang w:val="fr-FR" w:eastAsia="ja-JP"/>
        </w:rPr>
        <w:t>)</w:t>
      </w:r>
      <w:r>
        <w:rPr>
          <w:rFonts w:eastAsia="MS Mincho"/>
          <w:kern w:val="22"/>
          <w:lang w:val="fr-FR" w:eastAsia="ja-JP"/>
        </w:rPr>
        <w:t xml:space="preserve"> ain</w:t>
      </w:r>
      <w:r w:rsidR="00B1667A">
        <w:rPr>
          <w:rFonts w:eastAsia="MS Mincho"/>
          <w:kern w:val="22"/>
          <w:lang w:val="fr-FR" w:eastAsia="ja-JP"/>
        </w:rPr>
        <w:t>si que les groupes/publics ciblé</w:t>
      </w:r>
      <w:r>
        <w:rPr>
          <w:rFonts w:eastAsia="MS Mincho"/>
          <w:kern w:val="22"/>
          <w:lang w:val="fr-FR" w:eastAsia="ja-JP"/>
        </w:rPr>
        <w:t>s</w:t>
      </w:r>
      <w:r w:rsidR="004941C8">
        <w:rPr>
          <w:rFonts w:eastAsia="MS Mincho"/>
          <w:kern w:val="22"/>
          <w:lang w:val="fr-FR" w:eastAsia="ja-JP"/>
        </w:rPr>
        <w:t xml:space="preserve"> en tant que destinataires des activités.]</w:t>
      </w:r>
    </w:p>
    <w:p w14:paraId="62F35E25" w14:textId="093E4121" w:rsidR="00F54E1B" w:rsidRPr="00F10E52" w:rsidRDefault="00F54E1B" w:rsidP="00F54E1B">
      <w:pPr>
        <w:numPr>
          <w:ilvl w:val="0"/>
          <w:numId w:val="26"/>
        </w:numPr>
        <w:spacing w:before="120" w:after="120"/>
        <w:ind w:left="0" w:firstLine="0"/>
        <w:rPr>
          <w:rFonts w:eastAsia="MS Mincho"/>
          <w:kern w:val="22"/>
          <w:lang w:val="fr-FR" w:eastAsia="ja-JP"/>
        </w:rPr>
      </w:pPr>
      <w:r>
        <w:rPr>
          <w:kern w:val="22"/>
          <w:szCs w:val="22"/>
          <w:lang w:val="fr-FR" w:eastAsia="ja-JP"/>
        </w:rPr>
        <w:t>Les informations sur les activités de renforcement des capacités entreprises ou les ressources ou matériels de renforcement des capacités élaborés dans le cadre du plan d’action pour le renforcement des c</w:t>
      </w:r>
      <w:r w:rsidR="006B3951">
        <w:rPr>
          <w:kern w:val="22"/>
          <w:szCs w:val="22"/>
          <w:lang w:val="fr-FR" w:eastAsia="ja-JP"/>
        </w:rPr>
        <w:t>apacités devraient être partagés par l’intermédiaire du</w:t>
      </w:r>
      <w:r>
        <w:rPr>
          <w:kern w:val="22"/>
          <w:szCs w:val="22"/>
          <w:lang w:val="fr-FR" w:eastAsia="ja-JP"/>
        </w:rPr>
        <w:t xml:space="preserve"> Centre d’échange pour la prévention des risques biotechnologiques.</w:t>
      </w:r>
    </w:p>
    <w:p w14:paraId="2D6F9207" w14:textId="4E128691" w:rsidR="00F54E1B" w:rsidRPr="00F10E52" w:rsidRDefault="002A55F4" w:rsidP="004941C8">
      <w:pPr>
        <w:spacing w:after="200" w:line="276" w:lineRule="auto"/>
        <w:jc w:val="center"/>
        <w:rPr>
          <w:rFonts w:eastAsia="MS Mincho"/>
          <w:i/>
          <w:iCs/>
          <w:kern w:val="22"/>
          <w:lang w:val="fr-FR" w:eastAsia="ja-JP"/>
        </w:rPr>
      </w:pPr>
      <w:r>
        <w:rPr>
          <w:i/>
          <w:iCs/>
          <w:kern w:val="22"/>
          <w:szCs w:val="22"/>
          <w:lang w:val="fr-FR" w:eastAsia="ja-JP"/>
        </w:rPr>
        <w:t xml:space="preserve">Intervenants en matière de </w:t>
      </w:r>
      <w:r w:rsidR="00F54E1B">
        <w:rPr>
          <w:i/>
          <w:iCs/>
          <w:kern w:val="22"/>
          <w:szCs w:val="22"/>
          <w:lang w:val="fr-FR" w:eastAsia="ja-JP"/>
        </w:rPr>
        <w:t>renforcemen</w:t>
      </w:r>
      <w:r w:rsidR="00B1667A">
        <w:rPr>
          <w:i/>
          <w:iCs/>
          <w:kern w:val="22"/>
          <w:szCs w:val="22"/>
          <w:lang w:val="fr-FR" w:eastAsia="ja-JP"/>
        </w:rPr>
        <w:t>t des capacités et publics ciblé</w:t>
      </w:r>
      <w:r w:rsidR="00F54E1B">
        <w:rPr>
          <w:i/>
          <w:iCs/>
          <w:kern w:val="22"/>
          <w:szCs w:val="22"/>
          <w:lang w:val="fr-FR" w:eastAsia="ja-JP"/>
        </w:rPr>
        <w:t>s</w:t>
      </w:r>
    </w:p>
    <w:p w14:paraId="2C41CF31" w14:textId="77777777" w:rsidR="00F54E1B" w:rsidRPr="00F10E52" w:rsidRDefault="00F54E1B" w:rsidP="00F54E1B">
      <w:pPr>
        <w:numPr>
          <w:ilvl w:val="0"/>
          <w:numId w:val="26"/>
        </w:numPr>
        <w:spacing w:before="120" w:after="120"/>
        <w:ind w:left="0" w:firstLine="0"/>
        <w:rPr>
          <w:rFonts w:eastAsia="MS Mincho"/>
          <w:kern w:val="22"/>
          <w:lang w:val="fr-FR" w:eastAsia="ja-JP"/>
        </w:rPr>
      </w:pPr>
      <w:r>
        <w:rPr>
          <w:kern w:val="22"/>
          <w:szCs w:val="22"/>
          <w:lang w:val="fr-FR"/>
        </w:rPr>
        <w:t>Les activités de renforcement des capacités peuvent être menées à différents niveaux, notamment aux niveaux national, régional et mondial.</w:t>
      </w:r>
    </w:p>
    <w:p w14:paraId="40B40B7D" w14:textId="77777777" w:rsidR="004941C8" w:rsidRPr="004941C8" w:rsidRDefault="00F54E1B" w:rsidP="00001068">
      <w:pPr>
        <w:numPr>
          <w:ilvl w:val="0"/>
          <w:numId w:val="26"/>
        </w:numPr>
        <w:spacing w:before="120" w:after="120"/>
        <w:ind w:left="0" w:firstLine="0"/>
        <w:rPr>
          <w:rFonts w:eastAsia="MS Mincho"/>
          <w:kern w:val="22"/>
          <w:lang w:val="fr-FR" w:eastAsia="ja-JP"/>
        </w:rPr>
      </w:pPr>
      <w:r w:rsidRPr="004941C8">
        <w:rPr>
          <w:kern w:val="22"/>
          <w:szCs w:val="22"/>
          <w:lang w:val="fr-FR" w:eastAsia="ja-JP"/>
        </w:rPr>
        <w:t xml:space="preserve">Divers acteurs peuvent être associés pour faciliter l’exécution des activités de renforcement des capacités, notamment les gouvernements, les organismes de recherche, les organisations non gouvernementales, le secteur privé et le Secrétariat. L’identification des acteurs à cet égard dépend largement des circonstances, des besoins et des priorités à l’échelle nationale. </w:t>
      </w:r>
    </w:p>
    <w:p w14:paraId="33576642" w14:textId="3ACAE186" w:rsidR="00F54E1B" w:rsidRPr="004941C8" w:rsidRDefault="00F54E1B" w:rsidP="00001068">
      <w:pPr>
        <w:numPr>
          <w:ilvl w:val="0"/>
          <w:numId w:val="26"/>
        </w:numPr>
        <w:spacing w:before="120" w:after="120"/>
        <w:ind w:left="0" w:firstLine="0"/>
        <w:rPr>
          <w:rFonts w:eastAsia="MS Mincho"/>
          <w:kern w:val="22"/>
          <w:lang w:val="fr-FR" w:eastAsia="ja-JP"/>
        </w:rPr>
      </w:pPr>
      <w:r w:rsidRPr="004941C8">
        <w:rPr>
          <w:kern w:val="22"/>
          <w:szCs w:val="22"/>
          <w:lang w:val="fr-FR" w:eastAsia="ja-JP"/>
        </w:rPr>
        <w:t xml:space="preserve">De même, un éventail de publics </w:t>
      </w:r>
      <w:r w:rsidR="00B1667A">
        <w:rPr>
          <w:kern w:val="22"/>
          <w:szCs w:val="22"/>
          <w:lang w:val="fr-FR" w:eastAsia="ja-JP"/>
        </w:rPr>
        <w:t>ciblé</w:t>
      </w:r>
      <w:r w:rsidRPr="004941C8">
        <w:rPr>
          <w:kern w:val="22"/>
          <w:szCs w:val="22"/>
          <w:lang w:val="fr-FR" w:eastAsia="ja-JP"/>
        </w:rPr>
        <w:t xml:space="preserve">s pourrait bénéficier d’activités spécifiques de renforcement des capacités, en fonction des circonstances, des besoins et des priorités à l’échelle nationale. Ces publics pourraient inclure, entre autres, des décideurs, des autorités administratives, des techniciens de laboratoire et des </w:t>
      </w:r>
      <w:r w:rsidR="006B3951">
        <w:rPr>
          <w:kern w:val="22"/>
          <w:szCs w:val="22"/>
          <w:lang w:val="fr-FR" w:eastAsia="ja-JP"/>
        </w:rPr>
        <w:t>agents de douanes</w:t>
      </w:r>
      <w:r w:rsidRPr="004941C8">
        <w:rPr>
          <w:kern w:val="22"/>
          <w:szCs w:val="22"/>
          <w:lang w:val="fr-FR" w:eastAsia="ja-JP"/>
        </w:rPr>
        <w:t>.</w:t>
      </w:r>
    </w:p>
    <w:p w14:paraId="3AFAB3D7" w14:textId="53ACB8B8" w:rsidR="00F54E1B" w:rsidRPr="00F10E52" w:rsidRDefault="00F54E1B" w:rsidP="00F54E1B">
      <w:pPr>
        <w:numPr>
          <w:ilvl w:val="0"/>
          <w:numId w:val="26"/>
        </w:numPr>
        <w:spacing w:before="120" w:after="120"/>
        <w:ind w:left="0" w:firstLine="0"/>
        <w:rPr>
          <w:rFonts w:eastAsia="MS Mincho"/>
          <w:kern w:val="22"/>
          <w:lang w:val="fr-FR" w:eastAsia="ja-JP"/>
        </w:rPr>
      </w:pPr>
      <w:r>
        <w:rPr>
          <w:kern w:val="22"/>
          <w:szCs w:val="22"/>
          <w:lang w:val="fr-FR" w:eastAsia="ja-JP"/>
        </w:rPr>
        <w:t>L</w:t>
      </w:r>
      <w:r w:rsidR="001973DE">
        <w:rPr>
          <w:kern w:val="22"/>
          <w:szCs w:val="22"/>
          <w:lang w:val="fr-FR" w:eastAsia="ja-JP"/>
        </w:rPr>
        <w:t xml:space="preserve">es acteurs et les publics </w:t>
      </w:r>
      <w:r w:rsidR="00B1667A">
        <w:rPr>
          <w:kern w:val="22"/>
          <w:szCs w:val="22"/>
          <w:lang w:val="fr-FR" w:eastAsia="ja-JP"/>
        </w:rPr>
        <w:t>ciblé</w:t>
      </w:r>
      <w:r w:rsidR="001973DE">
        <w:rPr>
          <w:kern w:val="22"/>
          <w:szCs w:val="22"/>
          <w:lang w:val="fr-FR" w:eastAsia="ja-JP"/>
        </w:rPr>
        <w:t>s doivent être identifiés lo</w:t>
      </w:r>
      <w:r>
        <w:rPr>
          <w:kern w:val="22"/>
          <w:szCs w:val="22"/>
          <w:lang w:val="fr-FR" w:eastAsia="ja-JP"/>
        </w:rPr>
        <w:t>rs</w:t>
      </w:r>
      <w:r w:rsidR="006B3951">
        <w:rPr>
          <w:kern w:val="22"/>
          <w:szCs w:val="22"/>
          <w:lang w:val="fr-FR" w:eastAsia="ja-JP"/>
        </w:rPr>
        <w:t xml:space="preserve"> de la conception des activité</w:t>
      </w:r>
      <w:r>
        <w:rPr>
          <w:kern w:val="22"/>
          <w:szCs w:val="22"/>
          <w:lang w:val="fr-FR" w:eastAsia="ja-JP"/>
        </w:rPr>
        <w:t>s de renforcement des capacités dans les différents domaines ou sur la base des exemples d’activités décrites dans le plan d’action pour le renforcement des capacités. Comme indiqué dans les buts de la partie « Environnement favorable » du plan de mise en œuvre et du plan d’action pour le renforcement des capacités, la coopération et la collaboration ainsi que la fourniture de ressources adéquates sont des conditions préalables pour entreprendre des activités de renforcement de</w:t>
      </w:r>
      <w:r w:rsidR="006B3951">
        <w:rPr>
          <w:kern w:val="22"/>
          <w:szCs w:val="22"/>
          <w:lang w:val="fr-FR" w:eastAsia="ja-JP"/>
        </w:rPr>
        <w:t>s capacités permettant d’appuyer l’application</w:t>
      </w:r>
      <w:r>
        <w:rPr>
          <w:kern w:val="22"/>
          <w:szCs w:val="22"/>
          <w:lang w:val="fr-FR" w:eastAsia="ja-JP"/>
        </w:rPr>
        <w:t xml:space="preserve"> du Protocole.</w:t>
      </w:r>
    </w:p>
    <w:p w14:paraId="1B2283F6" w14:textId="791BCAAE" w:rsidR="00F54E1B" w:rsidRPr="009C6AAF" w:rsidRDefault="00F54E1B" w:rsidP="00F54E1B">
      <w:pPr>
        <w:numPr>
          <w:ilvl w:val="0"/>
          <w:numId w:val="26"/>
        </w:numPr>
        <w:spacing w:before="120" w:after="120"/>
        <w:ind w:left="0" w:firstLine="0"/>
        <w:rPr>
          <w:kern w:val="22"/>
          <w:lang w:val="fr-FR"/>
        </w:rPr>
      </w:pPr>
      <w:r>
        <w:rPr>
          <w:kern w:val="22"/>
          <w:szCs w:val="22"/>
          <w:lang w:val="fr-FR" w:eastAsia="ja-JP"/>
        </w:rPr>
        <w:t>Le Protocole additionnel de Nagoya – Kuala Lumpur sur la responsabilité et la réparation a été adopté par la Conférence des Parties siégeant en tant que réunion des Parties au Protocole en 2010 (décision BS-V/11). Le Plan stratégique du Protocole, égal</w:t>
      </w:r>
      <w:r w:rsidR="006B3951">
        <w:rPr>
          <w:kern w:val="22"/>
          <w:szCs w:val="22"/>
          <w:lang w:val="fr-FR" w:eastAsia="ja-JP"/>
        </w:rPr>
        <w:t>ement adopté en 2010, comprend</w:t>
      </w:r>
      <w:r>
        <w:rPr>
          <w:kern w:val="22"/>
          <w:szCs w:val="22"/>
          <w:lang w:val="fr-FR" w:eastAsia="ja-JP"/>
        </w:rPr>
        <w:t xml:space="preserve"> des éléments sur la responsabilité et la réparation et sur le Protocole additionnel. Le Protocole additionnel est entré en vigueur le 5 mars 2018.</w:t>
      </w:r>
    </w:p>
    <w:p w14:paraId="162D3DCD" w14:textId="0A910F18" w:rsidR="00F54E1B" w:rsidRPr="00F10E52" w:rsidRDefault="00F54E1B" w:rsidP="00F54E1B">
      <w:pPr>
        <w:numPr>
          <w:ilvl w:val="0"/>
          <w:numId w:val="26"/>
        </w:numPr>
        <w:spacing w:before="120" w:after="120"/>
        <w:ind w:left="0" w:firstLine="0"/>
        <w:rPr>
          <w:rFonts w:eastAsia="MS Mincho"/>
          <w:kern w:val="22"/>
          <w:lang w:val="fr-FR" w:eastAsia="ja-JP"/>
        </w:rPr>
      </w:pPr>
      <w:r>
        <w:rPr>
          <w:kern w:val="22"/>
          <w:szCs w:val="22"/>
          <w:lang w:val="fr-FR"/>
        </w:rPr>
        <w:t xml:space="preserve">Une composante sur le Protocole additionnel a été incluse dans l’appendice ci-dessous. L’inclusion de cette composante </w:t>
      </w:r>
      <w:r w:rsidR="006B3951">
        <w:rPr>
          <w:kern w:val="22"/>
          <w:szCs w:val="22"/>
          <w:lang w:val="fr-FR"/>
        </w:rPr>
        <w:t>vise à soutenir l’application</w:t>
      </w:r>
      <w:r>
        <w:rPr>
          <w:kern w:val="22"/>
          <w:szCs w:val="22"/>
          <w:lang w:val="fr-FR"/>
        </w:rPr>
        <w:t xml:space="preserve"> du Protocole de Cartagena et à contribuer </w:t>
      </w:r>
      <w:r w:rsidR="004941C8">
        <w:rPr>
          <w:kern w:val="22"/>
          <w:szCs w:val="22"/>
          <w:lang w:val="fr-FR"/>
        </w:rPr>
        <w:t>au renforcement des capacités pour</w:t>
      </w:r>
      <w:r w:rsidR="006B3951">
        <w:rPr>
          <w:kern w:val="22"/>
          <w:szCs w:val="22"/>
          <w:lang w:val="fr-FR"/>
        </w:rPr>
        <w:t xml:space="preserve"> l’application</w:t>
      </w:r>
      <w:r>
        <w:rPr>
          <w:kern w:val="22"/>
          <w:szCs w:val="22"/>
          <w:lang w:val="fr-FR"/>
        </w:rPr>
        <w:t xml:space="preserve"> effective du Protocole additionnel, tout en reconnaissant qu’il s’agit d’instruments juridiques distincts et que les obligations découlant de ces instruments ne lient les Parties qu’à l’instrument considéré.</w:t>
      </w:r>
    </w:p>
    <w:p w14:paraId="60A8953F" w14:textId="77777777" w:rsidR="00F54E1B" w:rsidRPr="00C061D4" w:rsidRDefault="00F54E1B" w:rsidP="00F54E1B">
      <w:pPr>
        <w:pStyle w:val="Heading1"/>
        <w:rPr>
          <w:kern w:val="22"/>
        </w:rPr>
      </w:pPr>
      <w:r>
        <w:rPr>
          <w:bCs/>
          <w:kern w:val="22"/>
          <w:szCs w:val="22"/>
          <w:lang w:val="fr-FR"/>
        </w:rPr>
        <w:t>IV.</w:t>
      </w:r>
      <w:r>
        <w:rPr>
          <w:bCs/>
          <w:kern w:val="22"/>
          <w:szCs w:val="22"/>
          <w:lang w:val="fr-FR"/>
        </w:rPr>
        <w:tab/>
        <w:t>Évaluation et examen</w:t>
      </w:r>
    </w:p>
    <w:p w14:paraId="3E727F6F" w14:textId="07D7D289" w:rsidR="00F54E1B" w:rsidRPr="00F10E52" w:rsidRDefault="00F54E1B" w:rsidP="00F54E1B">
      <w:pPr>
        <w:numPr>
          <w:ilvl w:val="0"/>
          <w:numId w:val="26"/>
        </w:numPr>
        <w:spacing w:before="120" w:after="120"/>
        <w:ind w:left="0" w:firstLine="0"/>
        <w:rPr>
          <w:kern w:val="22"/>
          <w:lang w:val="fr-FR"/>
        </w:rPr>
      </w:pPr>
      <w:r>
        <w:rPr>
          <w:kern w:val="22"/>
          <w:szCs w:val="22"/>
          <w:lang w:val="fr-FR"/>
        </w:rPr>
        <w:t xml:space="preserve">La Conférence des Parties siégeant en tant que réunion des Parties au Protocole de Cartagena </w:t>
      </w:r>
      <w:r w:rsidR="004941C8">
        <w:rPr>
          <w:kern w:val="22"/>
          <w:szCs w:val="22"/>
          <w:lang w:val="fr-FR"/>
        </w:rPr>
        <w:t>entreprendra</w:t>
      </w:r>
      <w:r>
        <w:rPr>
          <w:kern w:val="22"/>
          <w:szCs w:val="22"/>
          <w:lang w:val="fr-FR"/>
        </w:rPr>
        <w:t xml:space="preserve"> une évaluation à mi-parcours et </w:t>
      </w:r>
      <w:r w:rsidR="006E73E6">
        <w:rPr>
          <w:kern w:val="22"/>
          <w:szCs w:val="22"/>
          <w:lang w:val="fr-FR"/>
        </w:rPr>
        <w:t>pourra</w:t>
      </w:r>
      <w:r w:rsidR="004941C8">
        <w:rPr>
          <w:kern w:val="22"/>
          <w:szCs w:val="22"/>
          <w:lang w:val="fr-FR"/>
        </w:rPr>
        <w:t xml:space="preserve"> décider d’entreprendre </w:t>
      </w:r>
      <w:r>
        <w:rPr>
          <w:kern w:val="22"/>
          <w:szCs w:val="22"/>
          <w:lang w:val="fr-FR"/>
        </w:rPr>
        <w:t>une évaluation finale du plan de mise en œuvre et du plan d’action pour le renforcement des capacités. Ces évaluations pourront s’appuyer sur des informations fournies par les Parties dans leurs rapports nationaux, des informations sur les activités de renforcement des capacités et des informations du Centre d’échange pour la prévention des risques biotechnologiques, entre autres. Ces informations pourront être utilisées pour évaluer dans quelle mesure les objectifs du plan de mise en œuvre sont atteints, y compris à travers les activités de renforcement des capacités.</w:t>
      </w:r>
    </w:p>
    <w:p w14:paraId="23503D29" w14:textId="78927E3F" w:rsidR="00F54E1B" w:rsidRPr="00AE6092" w:rsidRDefault="00F54E1B" w:rsidP="00F54E1B">
      <w:pPr>
        <w:numPr>
          <w:ilvl w:val="0"/>
          <w:numId w:val="26"/>
        </w:numPr>
        <w:spacing w:before="120" w:after="120"/>
        <w:ind w:left="0" w:firstLine="0"/>
        <w:rPr>
          <w:kern w:val="22"/>
          <w:lang w:val="fr-FR"/>
        </w:rPr>
      </w:pPr>
      <w:r>
        <w:rPr>
          <w:kern w:val="22"/>
          <w:szCs w:val="22"/>
          <w:lang w:val="fr-FR"/>
        </w:rPr>
        <w:t xml:space="preserve">Les résultats du </w:t>
      </w:r>
      <w:r w:rsidRPr="00ED12ED">
        <w:rPr>
          <w:kern w:val="22"/>
          <w:szCs w:val="22"/>
          <w:lang w:val="fr-FR"/>
        </w:rPr>
        <w:t xml:space="preserve">quatrième exercice d’évaluation et </w:t>
      </w:r>
      <w:r>
        <w:rPr>
          <w:kern w:val="22"/>
          <w:szCs w:val="22"/>
          <w:lang w:val="fr-FR"/>
        </w:rPr>
        <w:t>d’</w:t>
      </w:r>
      <w:r w:rsidRPr="00ED12ED">
        <w:rPr>
          <w:kern w:val="22"/>
          <w:szCs w:val="22"/>
          <w:lang w:val="fr-FR"/>
        </w:rPr>
        <w:t xml:space="preserve">examen </w:t>
      </w:r>
      <w:r>
        <w:rPr>
          <w:kern w:val="22"/>
          <w:szCs w:val="22"/>
          <w:lang w:val="fr-FR"/>
        </w:rPr>
        <w:t>de l’efficacité du Protocole de Cartagena et l’évaluation finale du Plan stratégique du Protocole de Cartagena seront utilisés pour établir une base de référence permettant de mesurer les p</w:t>
      </w:r>
      <w:r w:rsidR="006B3951">
        <w:rPr>
          <w:kern w:val="22"/>
          <w:szCs w:val="22"/>
          <w:lang w:val="fr-FR"/>
        </w:rPr>
        <w:t>rogrès accomplis dans la réalisation</w:t>
      </w:r>
      <w:r>
        <w:rPr>
          <w:kern w:val="22"/>
          <w:szCs w:val="22"/>
          <w:lang w:val="fr-FR"/>
        </w:rPr>
        <w:t xml:space="preserve"> des buts du plan de mise en œuvre</w:t>
      </w:r>
      <w:r w:rsidR="00AE6092">
        <w:rPr>
          <w:kern w:val="22"/>
          <w:szCs w:val="22"/>
          <w:lang w:val="fr-FR"/>
        </w:rPr>
        <w:t xml:space="preserve"> et du plan d’action pour le renforcement des capacités</w:t>
      </w:r>
      <w:r>
        <w:rPr>
          <w:kern w:val="22"/>
          <w:szCs w:val="22"/>
          <w:lang w:val="fr-FR"/>
        </w:rPr>
        <w:t>.</w:t>
      </w:r>
    </w:p>
    <w:p w14:paraId="58470B8F" w14:textId="77777777" w:rsidR="00F54E1B" w:rsidRPr="00C061D4" w:rsidRDefault="00F54E1B" w:rsidP="00B1667A">
      <w:pPr>
        <w:pStyle w:val="Heading1"/>
        <w:numPr>
          <w:ilvl w:val="0"/>
          <w:numId w:val="27"/>
        </w:numPr>
        <w:tabs>
          <w:tab w:val="clear" w:pos="720"/>
        </w:tabs>
        <w:ind w:left="426"/>
        <w:rPr>
          <w:kern w:val="22"/>
        </w:rPr>
      </w:pPr>
      <w:r>
        <w:rPr>
          <w:bCs/>
          <w:kern w:val="22"/>
          <w:szCs w:val="22"/>
          <w:lang w:val="fr-FR"/>
        </w:rPr>
        <w:t>Priorités et programmation</w:t>
      </w:r>
    </w:p>
    <w:p w14:paraId="38935999" w14:textId="28AB0452" w:rsidR="00F54E1B" w:rsidRPr="00F10E52" w:rsidRDefault="00F54E1B" w:rsidP="00F54E1B">
      <w:pPr>
        <w:numPr>
          <w:ilvl w:val="0"/>
          <w:numId w:val="26"/>
        </w:numPr>
        <w:spacing w:before="120" w:after="120"/>
        <w:ind w:left="0" w:firstLine="0"/>
        <w:rPr>
          <w:kern w:val="22"/>
          <w:lang w:val="fr-FR"/>
        </w:rPr>
      </w:pPr>
      <w:r>
        <w:rPr>
          <w:kern w:val="22"/>
          <w:szCs w:val="22"/>
          <w:lang w:val="fr-FR" w:eastAsia="ja-JP"/>
        </w:rPr>
        <w:t>La Conférence des Parties siégeant en tant que réunion des Parties au Protocole de Cartagena peut périodiquement fixer des priorités pour la planification et la programmation des travaux à entreprendre dans le</w:t>
      </w:r>
      <w:r w:rsidR="006B3951">
        <w:rPr>
          <w:kern w:val="22"/>
          <w:szCs w:val="22"/>
          <w:lang w:val="fr-FR" w:eastAsia="ja-JP"/>
        </w:rPr>
        <w:t>s</w:t>
      </w:r>
      <w:r>
        <w:rPr>
          <w:kern w:val="22"/>
          <w:szCs w:val="22"/>
          <w:lang w:val="fr-FR" w:eastAsia="ja-JP"/>
        </w:rPr>
        <w:t xml:space="preserve"> délai</w:t>
      </w:r>
      <w:r w:rsidR="006B3951">
        <w:rPr>
          <w:kern w:val="22"/>
          <w:szCs w:val="22"/>
          <w:lang w:val="fr-FR" w:eastAsia="ja-JP"/>
        </w:rPr>
        <w:t>s</w:t>
      </w:r>
      <w:r>
        <w:rPr>
          <w:kern w:val="22"/>
          <w:szCs w:val="22"/>
          <w:lang w:val="fr-FR" w:eastAsia="ja-JP"/>
        </w:rPr>
        <w:t xml:space="preserve"> prévu</w:t>
      </w:r>
      <w:r w:rsidR="006B3951">
        <w:rPr>
          <w:kern w:val="22"/>
          <w:szCs w:val="22"/>
          <w:lang w:val="fr-FR" w:eastAsia="ja-JP"/>
        </w:rPr>
        <w:t>s</w:t>
      </w:r>
      <w:r>
        <w:rPr>
          <w:kern w:val="22"/>
          <w:szCs w:val="22"/>
          <w:lang w:val="fr-FR" w:eastAsia="ja-JP"/>
        </w:rPr>
        <w:t xml:space="preserve"> par le plan </w:t>
      </w:r>
      <w:r w:rsidR="00AE6092">
        <w:rPr>
          <w:kern w:val="22"/>
          <w:szCs w:val="22"/>
          <w:lang w:val="fr-FR" w:eastAsia="ja-JP"/>
        </w:rPr>
        <w:t>d’action pour le renforcement des capacités</w:t>
      </w:r>
      <w:r>
        <w:rPr>
          <w:kern w:val="22"/>
          <w:szCs w:val="22"/>
          <w:lang w:val="fr-FR" w:eastAsia="ja-JP"/>
        </w:rPr>
        <w:t xml:space="preserve">. Cela pourrait </w:t>
      </w:r>
      <w:r w:rsidR="00AE6092">
        <w:rPr>
          <w:kern w:val="22"/>
          <w:szCs w:val="22"/>
          <w:lang w:val="fr-FR" w:eastAsia="ja-JP"/>
        </w:rPr>
        <w:t>mener à la nécessité d’apporter des modifications au plan d’action pour le renforcement des capacités</w:t>
      </w:r>
      <w:r>
        <w:rPr>
          <w:kern w:val="22"/>
          <w:szCs w:val="22"/>
          <w:lang w:val="fr-FR" w:eastAsia="ja-JP"/>
        </w:rPr>
        <w:t>.</w:t>
      </w:r>
    </w:p>
    <w:p w14:paraId="07E10499" w14:textId="368D26DF" w:rsidR="00F54E1B" w:rsidRPr="00F10E52" w:rsidRDefault="00F54E1B" w:rsidP="00F54E1B">
      <w:pPr>
        <w:numPr>
          <w:ilvl w:val="0"/>
          <w:numId w:val="26"/>
        </w:numPr>
        <w:spacing w:before="120" w:after="120"/>
        <w:ind w:left="0" w:firstLine="0"/>
        <w:rPr>
          <w:kern w:val="22"/>
          <w:lang w:val="fr-FR"/>
        </w:rPr>
      </w:pPr>
      <w:r>
        <w:rPr>
          <w:kern w:val="22"/>
          <w:szCs w:val="22"/>
          <w:lang w:val="fr-FR"/>
        </w:rPr>
        <w:t xml:space="preserve">En décidant des priorités et de la programmation, la Conférence des Parties siégeant en tant que réunion des Parties au Protocole de Cartagena souhaitera peut-être prendre en considération les évolutions et les progrès dans le domaine de la prévention des risques biotechnologiques et de la biotechnologie. À cet égard, le plan d’action pour le renforcement des capacités </w:t>
      </w:r>
      <w:r w:rsidR="00AE6092">
        <w:rPr>
          <w:kern w:val="22"/>
          <w:szCs w:val="22"/>
          <w:lang w:val="fr-FR"/>
        </w:rPr>
        <w:t>a</w:t>
      </w:r>
      <w:r>
        <w:rPr>
          <w:kern w:val="22"/>
          <w:szCs w:val="22"/>
          <w:lang w:val="fr-FR"/>
        </w:rPr>
        <w:t xml:space="preserve"> adopté une approche selon laquelle les organismes développés grâce aux </w:t>
      </w:r>
      <w:r w:rsidR="008D4860">
        <w:rPr>
          <w:kern w:val="22"/>
          <w:szCs w:val="22"/>
          <w:lang w:val="fr-FR"/>
        </w:rPr>
        <w:t>nouvelles technologies constitua</w:t>
      </w:r>
      <w:r>
        <w:rPr>
          <w:kern w:val="22"/>
          <w:szCs w:val="22"/>
          <w:lang w:val="fr-FR"/>
        </w:rPr>
        <w:t>nt des « organismes vivants modifiés »</w:t>
      </w:r>
      <w:r w:rsidR="008D4860">
        <w:rPr>
          <w:kern w:val="22"/>
          <w:szCs w:val="22"/>
          <w:lang w:val="fr-FR"/>
        </w:rPr>
        <w:t>,</w:t>
      </w:r>
      <w:r>
        <w:rPr>
          <w:kern w:val="22"/>
          <w:szCs w:val="22"/>
          <w:lang w:val="fr-FR"/>
        </w:rPr>
        <w:t xml:space="preserve"> tels que définis dans le Protocole</w:t>
      </w:r>
      <w:r w:rsidR="008D4860">
        <w:rPr>
          <w:kern w:val="22"/>
          <w:szCs w:val="22"/>
          <w:lang w:val="fr-FR"/>
        </w:rPr>
        <w:t>,</w:t>
      </w:r>
      <w:r>
        <w:rPr>
          <w:kern w:val="22"/>
          <w:szCs w:val="22"/>
          <w:lang w:val="fr-FR"/>
        </w:rPr>
        <w:t xml:space="preserve"> sont traités dans le </w:t>
      </w:r>
      <w:r w:rsidR="00AE6092">
        <w:rPr>
          <w:kern w:val="22"/>
          <w:szCs w:val="22"/>
          <w:lang w:val="fr-FR"/>
        </w:rPr>
        <w:t>plan</w:t>
      </w:r>
      <w:r>
        <w:rPr>
          <w:kern w:val="22"/>
          <w:szCs w:val="22"/>
          <w:lang w:val="fr-FR"/>
        </w:rPr>
        <w:t>.</w:t>
      </w:r>
    </w:p>
    <w:p w14:paraId="5E7A1608" w14:textId="77777777" w:rsidR="00F54E1B" w:rsidRPr="00C061D4" w:rsidRDefault="00F54E1B" w:rsidP="00125559">
      <w:pPr>
        <w:pStyle w:val="Heading1"/>
        <w:numPr>
          <w:ilvl w:val="0"/>
          <w:numId w:val="27"/>
        </w:numPr>
        <w:tabs>
          <w:tab w:val="clear" w:pos="720"/>
        </w:tabs>
        <w:ind w:left="0" w:firstLine="0"/>
        <w:rPr>
          <w:kern w:val="22"/>
        </w:rPr>
      </w:pPr>
      <w:r>
        <w:rPr>
          <w:bCs/>
          <w:kern w:val="22"/>
          <w:szCs w:val="22"/>
          <w:lang w:val="fr-FR"/>
        </w:rPr>
        <w:t>Ressources</w:t>
      </w:r>
    </w:p>
    <w:p w14:paraId="0CAC1071" w14:textId="60523696" w:rsidR="00F54E1B" w:rsidRPr="00F10E52" w:rsidRDefault="008D4860" w:rsidP="00F54E1B">
      <w:pPr>
        <w:numPr>
          <w:ilvl w:val="0"/>
          <w:numId w:val="26"/>
        </w:numPr>
        <w:spacing w:before="120" w:after="120"/>
        <w:ind w:left="0" w:firstLine="0"/>
        <w:rPr>
          <w:kern w:val="22"/>
          <w:lang w:val="fr-FR"/>
        </w:rPr>
      </w:pPr>
      <w:r>
        <w:rPr>
          <w:kern w:val="22"/>
          <w:szCs w:val="22"/>
          <w:lang w:val="fr-FR"/>
        </w:rPr>
        <w:t>L’application effective</w:t>
      </w:r>
      <w:r w:rsidR="00F54E1B">
        <w:rPr>
          <w:kern w:val="22"/>
          <w:szCs w:val="22"/>
          <w:lang w:val="fr-FR"/>
        </w:rPr>
        <w:t xml:space="preserve"> du Protocole dépend dans une large mesure de l’accès à des ressources humaines, techniques et financières adéquates et à une coopération efficace</w:t>
      </w:r>
      <w:r w:rsidR="00C74D12">
        <w:rPr>
          <w:kern w:val="22"/>
          <w:szCs w:val="22"/>
          <w:lang w:val="fr-FR"/>
        </w:rPr>
        <w:t xml:space="preserve"> [conformément aux </w:t>
      </w:r>
      <w:r w:rsidR="009365C2">
        <w:rPr>
          <w:kern w:val="22"/>
          <w:szCs w:val="22"/>
          <w:lang w:val="fr-FR"/>
        </w:rPr>
        <w:t>article</w:t>
      </w:r>
      <w:r w:rsidR="00C74D12">
        <w:rPr>
          <w:kern w:val="22"/>
          <w:szCs w:val="22"/>
          <w:lang w:val="fr-FR"/>
        </w:rPr>
        <w:t>s 22 e 28 du Protocole]</w:t>
      </w:r>
      <w:r w:rsidR="00F54E1B">
        <w:rPr>
          <w:kern w:val="22"/>
          <w:szCs w:val="22"/>
          <w:lang w:val="fr-FR"/>
        </w:rPr>
        <w:t>. Le plan d’action pour le renforcement des capacités vise à soutenir les Parties à cet égard, en partic</w:t>
      </w:r>
      <w:r>
        <w:rPr>
          <w:kern w:val="22"/>
          <w:szCs w:val="22"/>
          <w:lang w:val="fr-FR"/>
        </w:rPr>
        <w:t>ulier dans le cadre des buts relatif</w:t>
      </w:r>
      <w:r w:rsidR="00F54E1B">
        <w:rPr>
          <w:kern w:val="22"/>
          <w:szCs w:val="22"/>
          <w:lang w:val="fr-FR"/>
        </w:rPr>
        <w:t>s à la création d’un environnement favorable.</w:t>
      </w:r>
    </w:p>
    <w:p w14:paraId="3FFF893B" w14:textId="77777777" w:rsidR="00F54E1B" w:rsidRPr="00C061D4" w:rsidRDefault="00F54E1B" w:rsidP="00125559">
      <w:pPr>
        <w:pStyle w:val="Heading1"/>
        <w:numPr>
          <w:ilvl w:val="0"/>
          <w:numId w:val="27"/>
        </w:numPr>
        <w:tabs>
          <w:tab w:val="clear" w:pos="720"/>
        </w:tabs>
        <w:ind w:left="0" w:firstLine="0"/>
        <w:rPr>
          <w:kern w:val="22"/>
        </w:rPr>
      </w:pPr>
      <w:r>
        <w:rPr>
          <w:bCs/>
          <w:kern w:val="22"/>
          <w:szCs w:val="22"/>
          <w:lang w:val="fr-FR"/>
        </w:rPr>
        <w:t>Rôle du Secrétariat</w:t>
      </w:r>
    </w:p>
    <w:p w14:paraId="49406F87" w14:textId="4D04FBFF" w:rsidR="00F54E1B" w:rsidRPr="00F10E52" w:rsidRDefault="00F54E1B" w:rsidP="00F54E1B">
      <w:pPr>
        <w:numPr>
          <w:ilvl w:val="0"/>
          <w:numId w:val="26"/>
        </w:numPr>
        <w:spacing w:before="120" w:after="120"/>
        <w:ind w:left="0" w:firstLine="0"/>
        <w:rPr>
          <w:kern w:val="22"/>
          <w:lang w:val="fr-FR"/>
        </w:rPr>
      </w:pPr>
      <w:r>
        <w:rPr>
          <w:kern w:val="22"/>
          <w:szCs w:val="22"/>
          <w:lang w:val="fr-FR"/>
        </w:rPr>
        <w:t xml:space="preserve">Le plan d’action pour le renforcement des capacités s’adressant principalement aux Parties, le Secrétariat de la Convention sur la diversité biologique soutiendra les Parties </w:t>
      </w:r>
      <w:r w:rsidR="00C74D12">
        <w:rPr>
          <w:kern w:val="22"/>
          <w:szCs w:val="22"/>
          <w:lang w:val="fr-FR"/>
        </w:rPr>
        <w:t>et autres parties prenantes dans leurs efforts</w:t>
      </w:r>
      <w:r w:rsidR="008D4860">
        <w:rPr>
          <w:kern w:val="22"/>
          <w:szCs w:val="22"/>
          <w:lang w:val="fr-FR"/>
        </w:rPr>
        <w:t xml:space="preserve"> prodigués</w:t>
      </w:r>
      <w:r>
        <w:rPr>
          <w:kern w:val="22"/>
          <w:szCs w:val="22"/>
          <w:lang w:val="fr-FR"/>
        </w:rPr>
        <w:t>, conformément aux orientations de la Conférence des Parties siégeant en tant que réunion des Parties au Protocole de Cartagena et conformément à l’</w:t>
      </w:r>
      <w:r w:rsidR="009365C2">
        <w:rPr>
          <w:kern w:val="22"/>
          <w:szCs w:val="22"/>
          <w:lang w:val="fr-FR"/>
        </w:rPr>
        <w:t>article</w:t>
      </w:r>
      <w:r>
        <w:rPr>
          <w:kern w:val="22"/>
          <w:szCs w:val="22"/>
          <w:lang w:val="fr-FR"/>
        </w:rPr>
        <w:t> 31 du Protocole de Cartagena et à l’</w:t>
      </w:r>
      <w:r w:rsidR="009365C2">
        <w:rPr>
          <w:kern w:val="22"/>
          <w:szCs w:val="22"/>
          <w:lang w:val="fr-FR"/>
        </w:rPr>
        <w:t>article</w:t>
      </w:r>
      <w:r>
        <w:rPr>
          <w:kern w:val="22"/>
          <w:szCs w:val="22"/>
          <w:lang w:val="fr-FR"/>
        </w:rPr>
        <w:t> 24 de la Convention sur la diversité biologique. Ce soutien comprend la gestion et le maintien du Centre d’échange pour la prévention des risques biotechnologiques ainsi que la réalisation d’activités, incluant des activités de renforcement des capacités, comme demandé par la Conférence des Parties siégeant en tant que réunion des Parties au Protocole.</w:t>
      </w:r>
    </w:p>
    <w:p w14:paraId="480378BE" w14:textId="77777777" w:rsidR="00F54E1B" w:rsidRPr="00F10E52" w:rsidRDefault="00F54E1B" w:rsidP="00F54E1B">
      <w:pPr>
        <w:rPr>
          <w:kern w:val="22"/>
          <w:lang w:val="fr-FR"/>
        </w:rPr>
      </w:pPr>
    </w:p>
    <w:p w14:paraId="4D614D9A" w14:textId="28EADB8C" w:rsidR="00A86607" w:rsidRPr="00F54E1B" w:rsidRDefault="00A86607" w:rsidP="006439F7">
      <w:pPr>
        <w:pStyle w:val="BodyText"/>
        <w:rPr>
          <w:lang w:val="fr-FR"/>
        </w:rPr>
        <w:sectPr w:rsidR="00A86607" w:rsidRPr="00F54E1B" w:rsidSect="00A54792">
          <w:pgSz w:w="12240" w:h="15840"/>
          <w:pgMar w:top="567" w:right="1389" w:bottom="1134" w:left="1389" w:header="709" w:footer="709" w:gutter="0"/>
          <w:cols w:space="708"/>
          <w:docGrid w:linePitch="360"/>
        </w:sectPr>
      </w:pPr>
    </w:p>
    <w:p w14:paraId="4040D13B" w14:textId="686D8A58" w:rsidR="006439F7" w:rsidRPr="00F54E1B" w:rsidRDefault="006439F7" w:rsidP="00CE74B9">
      <w:pPr>
        <w:pStyle w:val="BodyText"/>
        <w:rPr>
          <w:lang w:val="fr-CA"/>
        </w:rPr>
      </w:pPr>
    </w:p>
    <w:p w14:paraId="32E90504" w14:textId="52D5D047" w:rsidR="00154A61" w:rsidRPr="00D22DC6" w:rsidRDefault="00C74D12" w:rsidP="00CE74B9">
      <w:pPr>
        <w:keepNext/>
        <w:spacing w:before="240" w:after="120"/>
        <w:ind w:left="720"/>
        <w:jc w:val="center"/>
        <w15:collapsed/>
        <w:rPr>
          <w:rFonts w:asciiTheme="majorBidi" w:hAnsiTheme="majorBidi" w:cstheme="majorBidi"/>
          <w:i/>
          <w:iCs/>
        </w:rPr>
      </w:pPr>
      <w:r>
        <w:rPr>
          <w:rFonts w:asciiTheme="majorBidi" w:hAnsiTheme="majorBidi" w:cstheme="majorBidi"/>
          <w:i/>
          <w:iCs/>
        </w:rPr>
        <w:t>Appendice</w:t>
      </w:r>
      <w:r w:rsidR="00B1667A">
        <w:rPr>
          <w:rFonts w:asciiTheme="majorBidi" w:hAnsiTheme="majorBidi" w:cstheme="majorBidi"/>
          <w:i/>
          <w:iCs/>
        </w:rPr>
        <w:t xml:space="preserve"> à l’annexe II</w:t>
      </w: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90"/>
        <w:gridCol w:w="2520"/>
        <w:gridCol w:w="2790"/>
        <w:gridCol w:w="1890"/>
        <w:gridCol w:w="1710"/>
      </w:tblGrid>
      <w:tr w:rsidR="00154A61" w:rsidRPr="00301569" w14:paraId="2B621B08" w14:textId="77777777" w:rsidTr="00065370">
        <w:trPr>
          <w:tblHeader/>
          <w:jc w:val="center"/>
        </w:trPr>
        <w:tc>
          <w:tcPr>
            <w:tcW w:w="12505" w:type="dxa"/>
            <w:gridSpan w:val="6"/>
            <w:tcBorders>
              <w:bottom w:val="nil"/>
            </w:tcBorders>
            <w:vAlign w:val="center"/>
          </w:tcPr>
          <w:p w14:paraId="307248DD" w14:textId="2D88F45A" w:rsidR="00154A61" w:rsidRPr="00C462BE" w:rsidRDefault="00154A61" w:rsidP="00CE74B9">
            <w:pPr>
              <w:suppressLineNumbers/>
              <w:suppressAutoHyphens/>
              <w:spacing w:before="60" w:after="60"/>
              <w:jc w:val="center"/>
              <w:outlineLvl w:val="0"/>
              <w:rPr>
                <w:rFonts w:eastAsia="MS Mincho"/>
                <w:b/>
                <w:iCs/>
                <w:kern w:val="22"/>
                <w:szCs w:val="22"/>
                <w:lang w:val="fr-CA"/>
              </w:rPr>
            </w:pPr>
            <w:r w:rsidRPr="00C462BE">
              <w:rPr>
                <w:rFonts w:eastAsia="MS Mincho"/>
                <w:b/>
                <w:iCs/>
                <w:kern w:val="22"/>
                <w:szCs w:val="22"/>
                <w:lang w:val="fr-CA"/>
              </w:rPr>
              <w:t>Plan</w:t>
            </w:r>
            <w:r w:rsidR="00100A9C" w:rsidRPr="00C462BE">
              <w:rPr>
                <w:rFonts w:eastAsia="MS Mincho"/>
                <w:b/>
                <w:iCs/>
                <w:kern w:val="22"/>
                <w:szCs w:val="22"/>
                <w:lang w:val="fr-CA"/>
              </w:rPr>
              <w:t xml:space="preserve"> </w:t>
            </w:r>
            <w:r w:rsidR="00B1667A">
              <w:rPr>
                <w:rFonts w:eastAsia="MS Mincho"/>
                <w:b/>
                <w:iCs/>
                <w:kern w:val="22"/>
                <w:szCs w:val="22"/>
                <w:lang w:val="fr-CA"/>
              </w:rPr>
              <w:t xml:space="preserve">d’action </w:t>
            </w:r>
            <w:r w:rsidR="00100A9C" w:rsidRPr="00C462BE">
              <w:rPr>
                <w:rFonts w:eastAsia="MS Mincho"/>
                <w:b/>
                <w:iCs/>
                <w:kern w:val="22"/>
                <w:szCs w:val="22"/>
                <w:lang w:val="fr-CA"/>
              </w:rPr>
              <w:t>pour le renforcement des capacités</w:t>
            </w:r>
          </w:p>
        </w:tc>
      </w:tr>
      <w:tr w:rsidR="00154A61" w:rsidRPr="00C462BE" w14:paraId="20CCE078" w14:textId="77777777" w:rsidTr="00CE74B9">
        <w:trPr>
          <w:tblHeader/>
          <w:jc w:val="center"/>
        </w:trPr>
        <w:tc>
          <w:tcPr>
            <w:tcW w:w="1705" w:type="dxa"/>
            <w:tcBorders>
              <w:bottom w:val="nil"/>
            </w:tcBorders>
            <w:vAlign w:val="center"/>
          </w:tcPr>
          <w:p w14:paraId="6DB3C617" w14:textId="232664F3" w:rsidR="00154A61" w:rsidRPr="00C462BE" w:rsidRDefault="00100A9C">
            <w:pPr>
              <w:suppressLineNumbers/>
              <w:suppressAutoHyphens/>
              <w:spacing w:before="60" w:after="60"/>
              <w:jc w:val="center"/>
              <w:rPr>
                <w:rFonts w:eastAsia="MS Mincho"/>
                <w:b/>
                <w:iCs/>
                <w:kern w:val="22"/>
                <w:szCs w:val="22"/>
                <w:lang w:val="fr-CA"/>
              </w:rPr>
            </w:pPr>
            <w:r w:rsidRPr="00C462BE">
              <w:rPr>
                <w:rFonts w:eastAsia="MS Mincho"/>
                <w:b/>
                <w:bCs/>
                <w:kern w:val="22"/>
                <w:szCs w:val="22"/>
                <w:lang w:val="fr-CA"/>
              </w:rPr>
              <w:t>Buts</w:t>
            </w:r>
          </w:p>
        </w:tc>
        <w:tc>
          <w:tcPr>
            <w:tcW w:w="1890" w:type="dxa"/>
            <w:tcBorders>
              <w:bottom w:val="nil"/>
            </w:tcBorders>
            <w:shd w:val="clear" w:color="auto" w:fill="auto"/>
            <w:vAlign w:val="center"/>
          </w:tcPr>
          <w:p w14:paraId="24C34570" w14:textId="60649700" w:rsidR="00154A61" w:rsidRPr="00C462BE" w:rsidRDefault="00100A9C">
            <w:pPr>
              <w:suppressLineNumbers/>
              <w:suppressAutoHyphens/>
              <w:spacing w:before="60" w:after="60"/>
              <w:jc w:val="center"/>
              <w:rPr>
                <w:rFonts w:eastAsia="MS Mincho"/>
                <w:b/>
                <w:iCs/>
                <w:kern w:val="22"/>
                <w:szCs w:val="22"/>
                <w:lang w:val="fr-CA"/>
              </w:rPr>
            </w:pPr>
            <w:r w:rsidRPr="00C462BE">
              <w:rPr>
                <w:rFonts w:eastAsia="MS Mincho"/>
                <w:b/>
                <w:iCs/>
                <w:kern w:val="22"/>
                <w:szCs w:val="22"/>
                <w:lang w:val="fr-CA"/>
              </w:rPr>
              <w:t>Domaines clés pour le renforcement des capacités</w:t>
            </w:r>
          </w:p>
        </w:tc>
        <w:tc>
          <w:tcPr>
            <w:tcW w:w="2520" w:type="dxa"/>
            <w:tcBorders>
              <w:bottom w:val="nil"/>
            </w:tcBorders>
            <w:shd w:val="clear" w:color="auto" w:fill="auto"/>
            <w:vAlign w:val="center"/>
          </w:tcPr>
          <w:p w14:paraId="724B8E82" w14:textId="1384FB5C" w:rsidR="00154A61" w:rsidRPr="00C462BE" w:rsidRDefault="00100A9C">
            <w:pPr>
              <w:suppressLineNumbers/>
              <w:suppressAutoHyphens/>
              <w:spacing w:before="60" w:after="60"/>
              <w:jc w:val="center"/>
              <w:rPr>
                <w:rFonts w:eastAsia="MS Mincho"/>
                <w:b/>
                <w:iCs/>
                <w:kern w:val="22"/>
                <w:szCs w:val="22"/>
                <w:lang w:val="fr-CA"/>
              </w:rPr>
            </w:pPr>
            <w:r w:rsidRPr="00C462BE">
              <w:rPr>
                <w:rFonts w:eastAsia="MS Mincho"/>
                <w:b/>
                <w:iCs/>
                <w:kern w:val="22"/>
                <w:szCs w:val="22"/>
                <w:lang w:val="fr-CA"/>
              </w:rPr>
              <w:t>Activités de renforcement des capacités</w:t>
            </w:r>
          </w:p>
        </w:tc>
        <w:tc>
          <w:tcPr>
            <w:tcW w:w="2790" w:type="dxa"/>
            <w:tcBorders>
              <w:bottom w:val="nil"/>
            </w:tcBorders>
            <w:vAlign w:val="center"/>
          </w:tcPr>
          <w:p w14:paraId="3FA7D6E2" w14:textId="09A3C6EF" w:rsidR="00154A61" w:rsidRPr="00C462BE" w:rsidRDefault="00100A9C">
            <w:pPr>
              <w:suppressLineNumbers/>
              <w:suppressAutoHyphens/>
              <w:spacing w:before="60" w:after="60"/>
              <w:jc w:val="center"/>
              <w:rPr>
                <w:rFonts w:eastAsia="MS Mincho"/>
                <w:b/>
                <w:bCs/>
                <w:kern w:val="22"/>
                <w:szCs w:val="22"/>
                <w:lang w:val="fr-CA"/>
              </w:rPr>
            </w:pPr>
            <w:r w:rsidRPr="00C462BE">
              <w:rPr>
                <w:rFonts w:eastAsia="MS Mincho"/>
                <w:b/>
                <w:bCs/>
                <w:szCs w:val="22"/>
                <w:lang w:val="fr-CA"/>
              </w:rPr>
              <w:t>Indicateurs</w:t>
            </w:r>
          </w:p>
        </w:tc>
        <w:tc>
          <w:tcPr>
            <w:tcW w:w="1890" w:type="dxa"/>
            <w:tcBorders>
              <w:bottom w:val="nil"/>
            </w:tcBorders>
            <w:vAlign w:val="center"/>
          </w:tcPr>
          <w:p w14:paraId="775D98A0" w14:textId="7C5AAC92" w:rsidR="00154A61" w:rsidRPr="00C462BE" w:rsidRDefault="00100A9C">
            <w:pPr>
              <w:suppressLineNumbers/>
              <w:suppressAutoHyphens/>
              <w:spacing w:before="60" w:after="60"/>
              <w:jc w:val="center"/>
              <w:rPr>
                <w:rFonts w:eastAsia="MS Mincho"/>
                <w:b/>
                <w:iCs/>
                <w:kern w:val="22"/>
                <w:szCs w:val="22"/>
                <w:lang w:val="fr-CA"/>
              </w:rPr>
            </w:pPr>
            <w:r w:rsidRPr="00C462BE">
              <w:rPr>
                <w:rFonts w:eastAsia="MS Mincho"/>
                <w:b/>
                <w:iCs/>
                <w:kern w:val="22"/>
                <w:szCs w:val="22"/>
                <w:lang w:val="fr-CA"/>
              </w:rPr>
              <w:t>Résultats</w:t>
            </w:r>
          </w:p>
        </w:tc>
        <w:tc>
          <w:tcPr>
            <w:tcW w:w="1710" w:type="dxa"/>
            <w:tcBorders>
              <w:bottom w:val="nil"/>
            </w:tcBorders>
            <w:vAlign w:val="center"/>
          </w:tcPr>
          <w:p w14:paraId="2E2D7421" w14:textId="0C29C723" w:rsidR="00154A61" w:rsidRPr="00C462BE" w:rsidRDefault="00100A9C">
            <w:pPr>
              <w:suppressLineNumbers/>
              <w:suppressAutoHyphens/>
              <w:spacing w:before="60" w:after="60"/>
              <w:jc w:val="center"/>
              <w:rPr>
                <w:rFonts w:eastAsia="MS Mincho"/>
                <w:b/>
                <w:bCs/>
                <w:kern w:val="22"/>
                <w:szCs w:val="22"/>
                <w:lang w:val="fr-CA"/>
              </w:rPr>
            </w:pPr>
            <w:r w:rsidRPr="00C462BE">
              <w:rPr>
                <w:rFonts w:eastAsia="MS Mincho"/>
                <w:b/>
                <w:bCs/>
                <w:szCs w:val="22"/>
                <w:lang w:val="fr-CA"/>
              </w:rPr>
              <w:t>[Acteurs</w:t>
            </w:r>
            <w:r w:rsidR="00A063BE" w:rsidRPr="00C462BE">
              <w:rPr>
                <w:rFonts w:eastAsia="MS Mincho"/>
                <w:b/>
                <w:bCs/>
                <w:szCs w:val="22"/>
                <w:lang w:val="fr-CA"/>
              </w:rPr>
              <w:t>]</w:t>
            </w:r>
          </w:p>
        </w:tc>
      </w:tr>
      <w:tr w:rsidR="00154A61" w:rsidRPr="00301569" w14:paraId="0B34CC90" w14:textId="77777777" w:rsidTr="00065370">
        <w:trPr>
          <w:trHeight w:val="807"/>
          <w:jc w:val="center"/>
        </w:trPr>
        <w:tc>
          <w:tcPr>
            <w:tcW w:w="1705" w:type="dxa"/>
            <w:tcBorders>
              <w:top w:val="nil"/>
              <w:bottom w:val="single" w:sz="2" w:space="0" w:color="auto"/>
            </w:tcBorders>
          </w:tcPr>
          <w:p w14:paraId="6ECC2432" w14:textId="2202C1C8" w:rsidR="00154A61" w:rsidRPr="00C462BE" w:rsidRDefault="00154A61" w:rsidP="00100A9C">
            <w:pPr>
              <w:suppressLineNumbers/>
              <w:suppressAutoHyphens/>
              <w:spacing w:before="60" w:after="60"/>
              <w:jc w:val="left"/>
              <w:rPr>
                <w:rFonts w:eastAsia="MS Mincho"/>
                <w:i/>
                <w:iCs/>
                <w:kern w:val="22"/>
                <w:szCs w:val="22"/>
                <w:lang w:val="fr-CA"/>
              </w:rPr>
            </w:pPr>
            <w:r w:rsidRPr="00C462BE">
              <w:rPr>
                <w:rFonts w:eastAsia="MS Mincho"/>
                <w:i/>
                <w:iCs/>
                <w:kern w:val="22"/>
                <w:szCs w:val="22"/>
                <w:lang w:val="fr-CA"/>
              </w:rPr>
              <w:t>(</w:t>
            </w:r>
            <w:r w:rsidR="00100A9C" w:rsidRPr="00C462BE">
              <w:rPr>
                <w:rFonts w:eastAsia="MS Mincho"/>
                <w:i/>
                <w:iCs/>
                <w:kern w:val="22"/>
                <w:szCs w:val="22"/>
                <w:lang w:val="fr-CA"/>
              </w:rPr>
              <w:t>Réalisations souhaitables</w:t>
            </w:r>
            <w:r w:rsidRPr="00C462BE">
              <w:rPr>
                <w:rFonts w:eastAsia="MS Mincho"/>
                <w:i/>
                <w:iCs/>
                <w:kern w:val="22"/>
                <w:szCs w:val="22"/>
                <w:lang w:val="fr-CA"/>
              </w:rPr>
              <w:t>)</w:t>
            </w:r>
          </w:p>
        </w:tc>
        <w:tc>
          <w:tcPr>
            <w:tcW w:w="1890" w:type="dxa"/>
            <w:tcBorders>
              <w:top w:val="nil"/>
              <w:bottom w:val="single" w:sz="2" w:space="0" w:color="auto"/>
            </w:tcBorders>
            <w:shd w:val="clear" w:color="auto" w:fill="auto"/>
          </w:tcPr>
          <w:p w14:paraId="289592BE" w14:textId="6F641196" w:rsidR="00154A61" w:rsidRPr="00C462BE" w:rsidRDefault="00154A61" w:rsidP="00001C6B">
            <w:pPr>
              <w:suppressLineNumbers/>
              <w:suppressAutoHyphens/>
              <w:spacing w:before="60" w:after="60"/>
              <w:jc w:val="left"/>
              <w:rPr>
                <w:rFonts w:eastAsia="MS Mincho"/>
                <w:iCs/>
                <w:kern w:val="22"/>
                <w:szCs w:val="22"/>
                <w:lang w:val="fr-CA"/>
              </w:rPr>
            </w:pPr>
            <w:r w:rsidRPr="00C462BE">
              <w:rPr>
                <w:rFonts w:eastAsia="MS Mincho"/>
                <w:i/>
                <w:iCs/>
                <w:kern w:val="22"/>
                <w:szCs w:val="22"/>
                <w:lang w:val="fr-CA"/>
              </w:rPr>
              <w:t>(</w:t>
            </w:r>
            <w:r w:rsidR="00100A9C" w:rsidRPr="00C462BE">
              <w:rPr>
                <w:rFonts w:eastAsia="MS Mincho"/>
                <w:i/>
                <w:iCs/>
                <w:kern w:val="22"/>
                <w:szCs w:val="22"/>
                <w:lang w:val="fr-CA"/>
              </w:rPr>
              <w:t>Principaux domain</w:t>
            </w:r>
            <w:r w:rsidR="00001C6B" w:rsidRPr="00C462BE">
              <w:rPr>
                <w:rFonts w:eastAsia="MS Mincho"/>
                <w:i/>
                <w:iCs/>
                <w:kern w:val="22"/>
                <w:szCs w:val="22"/>
                <w:lang w:val="fr-CA"/>
              </w:rPr>
              <w:t>e</w:t>
            </w:r>
            <w:r w:rsidR="00100A9C" w:rsidRPr="00C462BE">
              <w:rPr>
                <w:rFonts w:eastAsia="MS Mincho"/>
                <w:i/>
                <w:iCs/>
                <w:kern w:val="22"/>
                <w:szCs w:val="22"/>
                <w:lang w:val="fr-CA"/>
              </w:rPr>
              <w:t xml:space="preserve">s </w:t>
            </w:r>
            <w:r w:rsidR="00001C6B" w:rsidRPr="00C462BE">
              <w:rPr>
                <w:rFonts w:eastAsia="MS Mincho"/>
                <w:i/>
                <w:iCs/>
                <w:kern w:val="22"/>
                <w:szCs w:val="22"/>
                <w:lang w:val="fr-CA"/>
              </w:rPr>
              <w:t>pouvant nécessiter des capacités</w:t>
            </w:r>
            <w:r w:rsidRPr="00C462BE">
              <w:rPr>
                <w:rFonts w:eastAsia="MS Mincho"/>
                <w:i/>
                <w:iCs/>
                <w:kern w:val="22"/>
                <w:szCs w:val="22"/>
                <w:lang w:val="fr-CA"/>
              </w:rPr>
              <w:t>)</w:t>
            </w:r>
          </w:p>
        </w:tc>
        <w:tc>
          <w:tcPr>
            <w:tcW w:w="2520" w:type="dxa"/>
            <w:tcBorders>
              <w:top w:val="nil"/>
              <w:bottom w:val="single" w:sz="2" w:space="0" w:color="auto"/>
            </w:tcBorders>
            <w:shd w:val="clear" w:color="auto" w:fill="auto"/>
          </w:tcPr>
          <w:p w14:paraId="0D2B512D" w14:textId="74492E45" w:rsidR="00154A61" w:rsidRPr="00C462BE" w:rsidRDefault="00154A61" w:rsidP="00100A9C">
            <w:pPr>
              <w:suppressLineNumbers/>
              <w:suppressAutoHyphens/>
              <w:spacing w:before="60" w:after="60"/>
              <w:jc w:val="left"/>
              <w:rPr>
                <w:rFonts w:eastAsia="MS Mincho"/>
                <w:kern w:val="22"/>
                <w:szCs w:val="22"/>
                <w:lang w:val="fr-CA"/>
              </w:rPr>
            </w:pPr>
            <w:r w:rsidRPr="00C462BE">
              <w:rPr>
                <w:rFonts w:eastAsia="MS Mincho"/>
                <w:i/>
                <w:iCs/>
                <w:kern w:val="22"/>
                <w:szCs w:val="22"/>
                <w:lang w:val="fr-CA"/>
              </w:rPr>
              <w:t>(</w:t>
            </w:r>
            <w:r w:rsidR="00100A9C" w:rsidRPr="00C462BE">
              <w:rPr>
                <w:rFonts w:eastAsia="MS Mincho"/>
                <w:i/>
                <w:iCs/>
                <w:kern w:val="22"/>
                <w:szCs w:val="22"/>
                <w:lang w:val="fr-CA"/>
              </w:rPr>
              <w:t>Exemples d’activités de renforcement des capacités suggérées dans les domaines clés pour le renforcement des capacités)</w:t>
            </w:r>
          </w:p>
        </w:tc>
        <w:tc>
          <w:tcPr>
            <w:tcW w:w="2790" w:type="dxa"/>
            <w:tcBorders>
              <w:top w:val="nil"/>
              <w:bottom w:val="single" w:sz="2" w:space="0" w:color="auto"/>
            </w:tcBorders>
          </w:tcPr>
          <w:p w14:paraId="51D5F022" w14:textId="08FF26A8" w:rsidR="00154A61" w:rsidRPr="00C462BE" w:rsidRDefault="00154A61" w:rsidP="00100A9C">
            <w:pPr>
              <w:suppressLineNumbers/>
              <w:suppressAutoHyphens/>
              <w:spacing w:before="60" w:after="60"/>
              <w:jc w:val="left"/>
              <w:rPr>
                <w:rFonts w:eastAsia="MS Mincho"/>
                <w:kern w:val="22"/>
                <w:szCs w:val="22"/>
                <w:lang w:val="fr-CA"/>
              </w:rPr>
            </w:pPr>
            <w:r w:rsidRPr="00C462BE">
              <w:rPr>
                <w:rFonts w:eastAsia="MS Mincho"/>
                <w:i/>
                <w:iCs/>
                <w:szCs w:val="22"/>
                <w:lang w:val="fr-CA"/>
              </w:rPr>
              <w:t>(</w:t>
            </w:r>
            <w:r w:rsidR="00100A9C" w:rsidRPr="00C462BE">
              <w:rPr>
                <w:rFonts w:eastAsia="MS Mincho"/>
                <w:i/>
                <w:iCs/>
                <w:szCs w:val="22"/>
                <w:lang w:val="fr-CA"/>
              </w:rPr>
              <w:t>Mesure si l’activité a eu lieu</w:t>
            </w:r>
            <w:r w:rsidRPr="00C462BE">
              <w:rPr>
                <w:rFonts w:eastAsia="MS Mincho"/>
                <w:i/>
                <w:iCs/>
                <w:szCs w:val="22"/>
                <w:lang w:val="fr-CA"/>
              </w:rPr>
              <w:t>)</w:t>
            </w:r>
          </w:p>
        </w:tc>
        <w:tc>
          <w:tcPr>
            <w:tcW w:w="1890" w:type="dxa"/>
            <w:tcBorders>
              <w:top w:val="nil"/>
              <w:bottom w:val="single" w:sz="2" w:space="0" w:color="auto"/>
            </w:tcBorders>
          </w:tcPr>
          <w:p w14:paraId="176A1874" w14:textId="575C94DD" w:rsidR="00154A61" w:rsidRPr="00C462BE" w:rsidRDefault="00154A61" w:rsidP="00100A9C">
            <w:pPr>
              <w:suppressLineNumbers/>
              <w:suppressAutoHyphens/>
              <w:spacing w:before="60" w:after="60"/>
              <w:jc w:val="left"/>
              <w:rPr>
                <w:rFonts w:eastAsia="MS Mincho"/>
                <w:i/>
                <w:iCs/>
                <w:kern w:val="22"/>
                <w:szCs w:val="22"/>
                <w:lang w:val="fr-CA"/>
              </w:rPr>
            </w:pPr>
            <w:r w:rsidRPr="00C462BE">
              <w:rPr>
                <w:rFonts w:eastAsia="MS Mincho"/>
                <w:bCs/>
                <w:i/>
                <w:kern w:val="22"/>
                <w:szCs w:val="22"/>
                <w:lang w:val="fr-CA"/>
              </w:rPr>
              <w:t>(</w:t>
            </w:r>
            <w:r w:rsidR="00100A9C" w:rsidRPr="00C462BE">
              <w:rPr>
                <w:rFonts w:eastAsia="MS Mincho"/>
                <w:bCs/>
                <w:i/>
                <w:kern w:val="22"/>
                <w:szCs w:val="22"/>
                <w:lang w:val="fr-CA"/>
              </w:rPr>
              <w:t xml:space="preserve">Les </w:t>
            </w:r>
            <w:r w:rsidR="00001068" w:rsidRPr="00C462BE">
              <w:rPr>
                <w:rFonts w:eastAsia="MS Mincho"/>
                <w:bCs/>
                <w:i/>
                <w:kern w:val="22"/>
                <w:szCs w:val="22"/>
                <w:lang w:val="fr-CA"/>
              </w:rPr>
              <w:t>consé</w:t>
            </w:r>
            <w:r w:rsidR="00100A9C" w:rsidRPr="00C462BE">
              <w:rPr>
                <w:rFonts w:eastAsia="MS Mincho"/>
                <w:bCs/>
                <w:i/>
                <w:kern w:val="22"/>
                <w:szCs w:val="22"/>
                <w:lang w:val="fr-CA"/>
              </w:rPr>
              <w:t>quences d’activités réalisées avec succès</w:t>
            </w:r>
            <w:r w:rsidRPr="00C462BE">
              <w:rPr>
                <w:rFonts w:eastAsia="MS Mincho"/>
                <w:bCs/>
                <w:i/>
                <w:kern w:val="22"/>
                <w:szCs w:val="22"/>
                <w:lang w:val="fr-CA"/>
              </w:rPr>
              <w:t>)</w:t>
            </w:r>
          </w:p>
        </w:tc>
        <w:tc>
          <w:tcPr>
            <w:tcW w:w="1710" w:type="dxa"/>
            <w:tcBorders>
              <w:top w:val="nil"/>
              <w:bottom w:val="single" w:sz="2" w:space="0" w:color="auto"/>
            </w:tcBorders>
          </w:tcPr>
          <w:p w14:paraId="5C38D449" w14:textId="74B38E1E" w:rsidR="00154A61" w:rsidRPr="00C462BE" w:rsidRDefault="00A063BE" w:rsidP="00001068">
            <w:pPr>
              <w:suppressLineNumbers/>
              <w:suppressAutoHyphens/>
              <w:spacing w:before="60" w:after="60"/>
              <w:jc w:val="left"/>
              <w:rPr>
                <w:rFonts w:eastAsia="MS Mincho"/>
                <w:i/>
                <w:iCs/>
                <w:kern w:val="22"/>
                <w:szCs w:val="22"/>
                <w:lang w:val="fr-CA"/>
              </w:rPr>
            </w:pPr>
            <w:r w:rsidRPr="00C462BE">
              <w:rPr>
                <w:rFonts w:eastAsia="MS Mincho"/>
                <w:szCs w:val="22"/>
                <w:lang w:val="fr-CA"/>
              </w:rPr>
              <w:t>[</w:t>
            </w:r>
            <w:r w:rsidR="00154A61" w:rsidRPr="00C462BE">
              <w:rPr>
                <w:rFonts w:eastAsia="MS Mincho"/>
                <w:i/>
                <w:iCs/>
                <w:szCs w:val="22"/>
                <w:lang w:val="fr-CA"/>
              </w:rPr>
              <w:t>(</w:t>
            </w:r>
            <w:r w:rsidR="00001068" w:rsidRPr="00C462BE">
              <w:rPr>
                <w:rFonts w:eastAsia="MS Mincho"/>
                <w:i/>
                <w:iCs/>
                <w:szCs w:val="22"/>
                <w:lang w:val="fr-CA"/>
              </w:rPr>
              <w:t xml:space="preserve">Acteurs participant aux activités/ groupes </w:t>
            </w:r>
            <w:r w:rsidR="00B1667A">
              <w:rPr>
                <w:rFonts w:eastAsia="MS Mincho"/>
                <w:i/>
                <w:iCs/>
                <w:szCs w:val="22"/>
                <w:lang w:val="fr-CA"/>
              </w:rPr>
              <w:t>ciblé</w:t>
            </w:r>
            <w:r w:rsidR="00001068" w:rsidRPr="00C462BE">
              <w:rPr>
                <w:rFonts w:eastAsia="MS Mincho"/>
                <w:i/>
                <w:iCs/>
                <w:szCs w:val="22"/>
                <w:lang w:val="fr-CA"/>
              </w:rPr>
              <w:t>s</w:t>
            </w:r>
            <w:r w:rsidR="00154A61" w:rsidRPr="00C462BE">
              <w:rPr>
                <w:rFonts w:eastAsia="MS Mincho"/>
                <w:i/>
                <w:iCs/>
                <w:szCs w:val="22"/>
                <w:lang w:val="fr-CA"/>
              </w:rPr>
              <w:t>)</w:t>
            </w:r>
            <w:r w:rsidR="00154A61" w:rsidRPr="00C462BE">
              <w:rPr>
                <w:rFonts w:eastAsia="MS Mincho"/>
                <w:szCs w:val="22"/>
                <w:lang w:val="fr-CA"/>
              </w:rPr>
              <w:t>]</w:t>
            </w:r>
          </w:p>
        </w:tc>
      </w:tr>
      <w:tr w:rsidR="00154A61" w:rsidRPr="00301569" w14:paraId="0AAE91BC" w14:textId="77777777" w:rsidTr="00065370">
        <w:trPr>
          <w:jc w:val="center"/>
        </w:trPr>
        <w:tc>
          <w:tcPr>
            <w:tcW w:w="12505" w:type="dxa"/>
            <w:gridSpan w:val="6"/>
            <w:tcBorders>
              <w:top w:val="single" w:sz="2" w:space="0" w:color="auto"/>
              <w:bottom w:val="single" w:sz="2" w:space="0" w:color="auto"/>
            </w:tcBorders>
          </w:tcPr>
          <w:p w14:paraId="03987434" w14:textId="3ADDC345" w:rsidR="00154A61" w:rsidRPr="00C462BE" w:rsidRDefault="00C462BE" w:rsidP="00C462BE">
            <w:pPr>
              <w:pStyle w:val="ListParagraph"/>
              <w:numPr>
                <w:ilvl w:val="0"/>
                <w:numId w:val="20"/>
              </w:numPr>
              <w:suppressLineNumbers/>
              <w:suppressAutoHyphens/>
              <w:spacing w:before="60" w:after="60"/>
              <w:jc w:val="center"/>
              <w:rPr>
                <w:rFonts w:eastAsia="MS Mincho"/>
                <w:b/>
                <w:bCs/>
                <w:kern w:val="22"/>
                <w:szCs w:val="22"/>
                <w:lang w:val="fr-CA"/>
              </w:rPr>
            </w:pPr>
            <w:r>
              <w:rPr>
                <w:rFonts w:eastAsia="MS Mincho"/>
                <w:b/>
                <w:bCs/>
                <w:kern w:val="22"/>
                <w:szCs w:val="22"/>
                <w:lang w:val="fr-CA"/>
              </w:rPr>
              <w:t xml:space="preserve">Domaines de mise en œuvre </w:t>
            </w:r>
          </w:p>
        </w:tc>
      </w:tr>
      <w:tr w:rsidR="00CD3639" w:rsidRPr="00301569" w14:paraId="0568286F" w14:textId="77777777" w:rsidTr="00065370">
        <w:trPr>
          <w:jc w:val="center"/>
        </w:trPr>
        <w:tc>
          <w:tcPr>
            <w:tcW w:w="1705" w:type="dxa"/>
            <w:tcBorders>
              <w:top w:val="single" w:sz="2" w:space="0" w:color="auto"/>
              <w:bottom w:val="single" w:sz="4" w:space="0" w:color="auto"/>
            </w:tcBorders>
          </w:tcPr>
          <w:p w14:paraId="37DED53E" w14:textId="534447DE" w:rsidR="00CD3639" w:rsidRPr="00C462BE" w:rsidRDefault="00CD3639" w:rsidP="00CD3639">
            <w:pPr>
              <w:jc w:val="left"/>
              <w:rPr>
                <w:rFonts w:eastAsia="MS Mincho"/>
                <w:b/>
                <w:kern w:val="22"/>
                <w:szCs w:val="22"/>
                <w:lang w:val="fr-CA"/>
              </w:rPr>
            </w:pPr>
            <w:r w:rsidRPr="00C462BE">
              <w:rPr>
                <w:b/>
                <w:bCs/>
                <w:kern w:val="22"/>
                <w:szCs w:val="22"/>
                <w:lang w:val="fr-CA"/>
              </w:rPr>
              <w:t>A.1. Les Parties ont mis en place des cadres nationaux fonctionnels de prévention des risques biotechnologi</w:t>
            </w:r>
            <w:r w:rsidR="008D4860">
              <w:rPr>
                <w:b/>
                <w:bCs/>
                <w:kern w:val="22"/>
                <w:szCs w:val="22"/>
                <w:lang w:val="fr-CA"/>
              </w:rPr>
              <w:t>-</w:t>
            </w:r>
            <w:r w:rsidRPr="00C462BE">
              <w:rPr>
                <w:b/>
                <w:bCs/>
                <w:kern w:val="22"/>
                <w:szCs w:val="22"/>
                <w:lang w:val="fr-CA"/>
              </w:rPr>
              <w:t>ques.</w:t>
            </w:r>
          </w:p>
          <w:p w14:paraId="66199E87" w14:textId="4D4A5655" w:rsidR="00CD3639" w:rsidRPr="00C462BE" w:rsidRDefault="00CD3639" w:rsidP="00CD3639">
            <w:pPr>
              <w:suppressLineNumbers/>
              <w:suppressAutoHyphens/>
              <w:spacing w:before="60" w:after="60"/>
              <w:jc w:val="left"/>
              <w:rPr>
                <w:rFonts w:eastAsia="MS Mincho"/>
                <w:kern w:val="22"/>
                <w:szCs w:val="22"/>
                <w:lang w:val="fr-CA"/>
              </w:rPr>
            </w:pPr>
          </w:p>
        </w:tc>
        <w:tc>
          <w:tcPr>
            <w:tcW w:w="1890" w:type="dxa"/>
            <w:tcBorders>
              <w:top w:val="single" w:sz="2" w:space="0" w:color="auto"/>
              <w:bottom w:val="single" w:sz="4" w:space="0" w:color="auto"/>
            </w:tcBorders>
            <w:shd w:val="clear" w:color="auto" w:fill="auto"/>
          </w:tcPr>
          <w:p w14:paraId="701BBABB" w14:textId="4C18005D" w:rsidR="00CD3639" w:rsidRPr="00C462BE" w:rsidRDefault="00CD3639" w:rsidP="00CD3639">
            <w:pPr>
              <w:spacing w:before="60" w:after="60"/>
              <w:jc w:val="left"/>
              <w:rPr>
                <w:rFonts w:eastAsia="MS Mincho"/>
                <w:kern w:val="22"/>
                <w:szCs w:val="22"/>
                <w:lang w:val="fr-CA"/>
              </w:rPr>
            </w:pPr>
            <w:r w:rsidRPr="00C462BE">
              <w:rPr>
                <w:kern w:val="22"/>
                <w:szCs w:val="22"/>
                <w:lang w:val="fr-CA"/>
              </w:rPr>
              <w:t>1) Élaboration et mise en œuvre de mesures juridiques, administratives et d’autr</w:t>
            </w:r>
            <w:r w:rsidR="008D4860">
              <w:rPr>
                <w:kern w:val="22"/>
                <w:szCs w:val="22"/>
                <w:lang w:val="fr-CA"/>
              </w:rPr>
              <w:t>es mesures pour l’application</w:t>
            </w:r>
            <w:r w:rsidRPr="00C462BE">
              <w:rPr>
                <w:kern w:val="22"/>
                <w:szCs w:val="22"/>
                <w:lang w:val="fr-CA"/>
              </w:rPr>
              <w:t xml:space="preserve"> du Protocole</w:t>
            </w:r>
            <w:r w:rsidR="000543BC">
              <w:rPr>
                <w:kern w:val="22"/>
                <w:szCs w:val="22"/>
                <w:lang w:val="fr-CA"/>
              </w:rPr>
              <w:t>;</w:t>
            </w:r>
          </w:p>
          <w:p w14:paraId="59BC4A6C" w14:textId="72D77A76"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2) Renforcement des capacités des autorités nationales compétentes.</w:t>
            </w:r>
          </w:p>
        </w:tc>
        <w:tc>
          <w:tcPr>
            <w:tcW w:w="2520" w:type="dxa"/>
            <w:tcBorders>
              <w:top w:val="single" w:sz="2" w:space="0" w:color="auto"/>
              <w:bottom w:val="single" w:sz="4" w:space="0" w:color="auto"/>
            </w:tcBorders>
            <w:shd w:val="clear" w:color="auto" w:fill="auto"/>
          </w:tcPr>
          <w:p w14:paraId="04D7536F" w14:textId="23D8BF7D" w:rsidR="00CD3639" w:rsidRPr="00C462BE" w:rsidRDefault="00CD3639" w:rsidP="00CD3639">
            <w:pPr>
              <w:spacing w:before="60" w:after="60"/>
              <w:jc w:val="left"/>
              <w:rPr>
                <w:rFonts w:eastAsia="MS Mincho"/>
                <w:kern w:val="22"/>
                <w:szCs w:val="22"/>
                <w:lang w:val="fr-CA"/>
              </w:rPr>
            </w:pPr>
            <w:r w:rsidRPr="00C462BE">
              <w:rPr>
                <w:kern w:val="22"/>
                <w:szCs w:val="22"/>
                <w:lang w:val="fr-CA"/>
              </w:rPr>
              <w:t>i) Dispenser une formation sur l’élaboration et la mise en œuvre de mesures juridiques, administratives et d’autr</w:t>
            </w:r>
            <w:r w:rsidR="008D4860">
              <w:rPr>
                <w:kern w:val="22"/>
                <w:szCs w:val="22"/>
                <w:lang w:val="fr-CA"/>
              </w:rPr>
              <w:t>es mesures pour l’application</w:t>
            </w:r>
            <w:r w:rsidRPr="00C462BE">
              <w:rPr>
                <w:kern w:val="22"/>
                <w:szCs w:val="22"/>
                <w:lang w:val="fr-CA"/>
              </w:rPr>
              <w:t xml:space="preserve"> du Protocole</w:t>
            </w:r>
            <w:r w:rsidR="000543BC">
              <w:rPr>
                <w:kern w:val="22"/>
                <w:szCs w:val="22"/>
                <w:lang w:val="fr-CA"/>
              </w:rPr>
              <w:t>;</w:t>
            </w:r>
          </w:p>
          <w:p w14:paraId="71810889" w14:textId="739061D2"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 xml:space="preserve">ii) Former le personnel des autorités nationales compétentes à l’administration de leur système </w:t>
            </w:r>
            <w:r w:rsidR="006E73E6">
              <w:rPr>
                <w:kern w:val="22"/>
                <w:szCs w:val="22"/>
                <w:lang w:val="fr-CA"/>
              </w:rPr>
              <w:t xml:space="preserve">national </w:t>
            </w:r>
            <w:r w:rsidRPr="00C462BE">
              <w:rPr>
                <w:kern w:val="22"/>
                <w:szCs w:val="22"/>
                <w:lang w:val="fr-CA"/>
              </w:rPr>
              <w:t>de réglementation de la prévention des risques biotechnologiques.</w:t>
            </w:r>
          </w:p>
        </w:tc>
        <w:tc>
          <w:tcPr>
            <w:tcW w:w="2790" w:type="dxa"/>
            <w:tcBorders>
              <w:top w:val="single" w:sz="2" w:space="0" w:color="auto"/>
              <w:bottom w:val="single" w:sz="4" w:space="0" w:color="auto"/>
            </w:tcBorders>
          </w:tcPr>
          <w:p w14:paraId="7E3174EA" w14:textId="76B56436" w:rsidR="00CD3639" w:rsidRPr="00C462BE" w:rsidRDefault="00CD3639" w:rsidP="00CD3639">
            <w:pPr>
              <w:suppressLineNumbers/>
              <w:suppressAutoHyphens/>
              <w:spacing w:before="60" w:after="60"/>
              <w:jc w:val="left"/>
              <w:rPr>
                <w:rFonts w:eastAsia="MS Mincho"/>
                <w:kern w:val="22"/>
                <w:szCs w:val="22"/>
                <w:lang w:val="fr-CA"/>
              </w:rPr>
            </w:pPr>
            <w:r w:rsidRPr="00C462BE">
              <w:rPr>
                <w:rFonts w:eastAsia="MS Mincho"/>
                <w:szCs w:val="22"/>
                <w:lang w:val="fr-CA"/>
              </w:rPr>
              <w:t xml:space="preserve">a) </w:t>
            </w:r>
            <w:r w:rsidR="00FE3A58">
              <w:rPr>
                <w:rFonts w:eastAsia="MS Mincho"/>
                <w:szCs w:val="22"/>
                <w:lang w:val="fr-CA"/>
              </w:rPr>
              <w:t>Pourcentage de Parties</w:t>
            </w:r>
            <w:r w:rsidR="005C0272" w:rsidRPr="00C462BE">
              <w:rPr>
                <w:rFonts w:eastAsia="MS Mincho"/>
                <w:szCs w:val="22"/>
                <w:lang w:val="fr-CA"/>
              </w:rPr>
              <w:t xml:space="preserve"> ayant des besoins de formation </w:t>
            </w:r>
            <w:r w:rsidR="00C462BE">
              <w:rPr>
                <w:rFonts w:eastAsia="MS Mincho"/>
                <w:szCs w:val="22"/>
                <w:lang w:val="fr-CA"/>
              </w:rPr>
              <w:t>en</w:t>
            </w:r>
            <w:r w:rsidR="005C0272" w:rsidRPr="00C462BE">
              <w:rPr>
                <w:rFonts w:eastAsia="MS Mincho"/>
                <w:szCs w:val="22"/>
                <w:lang w:val="fr-CA"/>
              </w:rPr>
              <w:t xml:space="preserve"> </w:t>
            </w:r>
            <w:r w:rsidR="008D4860">
              <w:rPr>
                <w:rFonts w:eastAsia="MS Mincho"/>
                <w:szCs w:val="22"/>
                <w:lang w:val="fr-CA"/>
              </w:rPr>
              <w:t>matière d’</w:t>
            </w:r>
            <w:r w:rsidR="005C0272" w:rsidRPr="00C462BE">
              <w:rPr>
                <w:rFonts w:eastAsia="MS Mincho"/>
                <w:szCs w:val="22"/>
                <w:lang w:val="fr-CA"/>
              </w:rPr>
              <w:t xml:space="preserve">élaboration et </w:t>
            </w:r>
            <w:r w:rsidR="008D4860">
              <w:rPr>
                <w:rFonts w:eastAsia="MS Mincho"/>
                <w:szCs w:val="22"/>
                <w:lang w:val="fr-CA"/>
              </w:rPr>
              <w:t>d’application</w:t>
            </w:r>
            <w:r w:rsidR="00C462BE">
              <w:rPr>
                <w:rFonts w:eastAsia="MS Mincho"/>
                <w:szCs w:val="22"/>
                <w:lang w:val="fr-CA"/>
              </w:rPr>
              <w:t xml:space="preserve"> </w:t>
            </w:r>
            <w:r w:rsidR="005C0272" w:rsidRPr="00C462BE">
              <w:rPr>
                <w:rFonts w:eastAsia="MS Mincho"/>
                <w:szCs w:val="22"/>
                <w:lang w:val="fr-CA"/>
              </w:rPr>
              <w:t>de mesures légales, administratives et autres po</w:t>
            </w:r>
            <w:r w:rsidR="008D4860">
              <w:rPr>
                <w:rFonts w:eastAsia="MS Mincho"/>
                <w:szCs w:val="22"/>
                <w:lang w:val="fr-CA"/>
              </w:rPr>
              <w:t>ur appliquer</w:t>
            </w:r>
            <w:r w:rsidR="00C462BE">
              <w:rPr>
                <w:rFonts w:eastAsia="MS Mincho"/>
                <w:szCs w:val="22"/>
                <w:lang w:val="fr-CA"/>
              </w:rPr>
              <w:t xml:space="preserve"> </w:t>
            </w:r>
            <w:r w:rsidR="005C0272" w:rsidRPr="00C462BE">
              <w:rPr>
                <w:rFonts w:eastAsia="MS Mincho"/>
                <w:szCs w:val="22"/>
                <w:lang w:val="fr-CA"/>
              </w:rPr>
              <w:t xml:space="preserve">le Protocole, ayant réalisé avec succès des </w:t>
            </w:r>
            <w:r w:rsidR="001C1A0E">
              <w:rPr>
                <w:rFonts w:eastAsia="MS Mincho"/>
                <w:szCs w:val="22"/>
                <w:lang w:val="fr-CA"/>
              </w:rPr>
              <w:t>activités de formation</w:t>
            </w:r>
            <w:r w:rsidRPr="00C462BE">
              <w:rPr>
                <w:rFonts w:eastAsia="MS Mincho"/>
                <w:szCs w:val="22"/>
                <w:lang w:val="fr-CA"/>
              </w:rPr>
              <w:t>;</w:t>
            </w:r>
          </w:p>
          <w:p w14:paraId="4A5F2CAB" w14:textId="00A9E6C5" w:rsidR="00CD3639" w:rsidRPr="00C462BE" w:rsidRDefault="00CD3639" w:rsidP="00C462BE">
            <w:pPr>
              <w:suppressLineNumbers/>
              <w:suppressAutoHyphens/>
              <w:spacing w:before="60" w:after="60"/>
              <w:jc w:val="left"/>
              <w:rPr>
                <w:rFonts w:eastAsia="MS Mincho"/>
                <w:kern w:val="22"/>
                <w:szCs w:val="22"/>
                <w:lang w:val="fr-CA"/>
              </w:rPr>
            </w:pPr>
            <w:r w:rsidRPr="00C462BE">
              <w:rPr>
                <w:rFonts w:eastAsia="MS Mincho"/>
                <w:szCs w:val="22"/>
                <w:lang w:val="fr-CA"/>
              </w:rPr>
              <w:t xml:space="preserve">b) </w:t>
            </w:r>
            <w:r w:rsidR="00FE3A58">
              <w:rPr>
                <w:rFonts w:eastAsia="MS Mincho"/>
                <w:szCs w:val="22"/>
                <w:lang w:val="fr-CA"/>
              </w:rPr>
              <w:t>Pourcentage de Parties</w:t>
            </w:r>
            <w:r w:rsidR="00C462BE" w:rsidRPr="00C462BE">
              <w:rPr>
                <w:rFonts w:eastAsia="MS Mincho"/>
                <w:szCs w:val="22"/>
                <w:lang w:val="fr-CA"/>
              </w:rPr>
              <w:t xml:space="preserve"> ayant suffisamment de personnel formé pour administrer le syst</w:t>
            </w:r>
            <w:r w:rsidR="00C462BE">
              <w:rPr>
                <w:rFonts w:eastAsia="MS Mincho"/>
                <w:szCs w:val="22"/>
                <w:lang w:val="fr-CA"/>
              </w:rPr>
              <w:t>ème national de prévention des risques biotechnologiques</w:t>
            </w:r>
            <w:r w:rsidRPr="00C462BE">
              <w:rPr>
                <w:rFonts w:eastAsia="MS Mincho"/>
                <w:szCs w:val="22"/>
                <w:lang w:val="fr-CA"/>
              </w:rPr>
              <w:t>.</w:t>
            </w:r>
          </w:p>
        </w:tc>
        <w:tc>
          <w:tcPr>
            <w:tcW w:w="1890" w:type="dxa"/>
            <w:tcBorders>
              <w:top w:val="single" w:sz="2" w:space="0" w:color="auto"/>
              <w:bottom w:val="single" w:sz="4" w:space="0" w:color="auto"/>
            </w:tcBorders>
          </w:tcPr>
          <w:p w14:paraId="4041791B" w14:textId="4DAA729B" w:rsidR="00CD3639" w:rsidRPr="00C462BE" w:rsidRDefault="00CD3639" w:rsidP="004639D9">
            <w:pPr>
              <w:suppressLineNumbers/>
              <w:suppressAutoHyphens/>
              <w:spacing w:before="60" w:after="60"/>
              <w:jc w:val="left"/>
              <w:rPr>
                <w:rFonts w:eastAsia="MS Mincho"/>
                <w:kern w:val="22"/>
                <w:szCs w:val="22"/>
                <w:lang w:val="fr-CA"/>
              </w:rPr>
            </w:pPr>
            <w:r w:rsidRPr="00C462BE">
              <w:rPr>
                <w:kern w:val="22"/>
                <w:szCs w:val="22"/>
                <w:lang w:val="fr-CA"/>
              </w:rPr>
              <w:t>Des cadres nationaux fonctionnels de prévention des risques biotechnolo</w:t>
            </w:r>
            <w:r w:rsidR="008D4860">
              <w:rPr>
                <w:kern w:val="22"/>
                <w:szCs w:val="22"/>
                <w:lang w:val="fr-CA"/>
              </w:rPr>
              <w:t xml:space="preserve">giques permettent aux autorités nationales </w:t>
            </w:r>
            <w:r w:rsidRPr="00C462BE">
              <w:rPr>
                <w:kern w:val="22"/>
                <w:szCs w:val="22"/>
                <w:lang w:val="fr-CA"/>
              </w:rPr>
              <w:t xml:space="preserve">compétentes, aux </w:t>
            </w:r>
            <w:r w:rsidR="004639D9">
              <w:rPr>
                <w:kern w:val="22"/>
                <w:szCs w:val="22"/>
                <w:lang w:val="fr-CA"/>
              </w:rPr>
              <w:t>correspondants</w:t>
            </w:r>
            <w:r w:rsidRPr="00C462BE">
              <w:rPr>
                <w:kern w:val="22"/>
                <w:szCs w:val="22"/>
                <w:lang w:val="fr-CA"/>
              </w:rPr>
              <w:t xml:space="preserve"> nationaux et aux points de contact de l’</w:t>
            </w:r>
            <w:r w:rsidR="009365C2">
              <w:rPr>
                <w:kern w:val="22"/>
                <w:szCs w:val="22"/>
                <w:lang w:val="fr-CA"/>
              </w:rPr>
              <w:t>article</w:t>
            </w:r>
            <w:r w:rsidRPr="00C462BE">
              <w:rPr>
                <w:kern w:val="22"/>
                <w:szCs w:val="22"/>
                <w:lang w:val="fr-CA"/>
              </w:rPr>
              <w:t> 17 de toutes les Parties de s’acquitter effectivement et efficacement de leurs obligations au titre du Protocole.</w:t>
            </w:r>
          </w:p>
        </w:tc>
        <w:tc>
          <w:tcPr>
            <w:tcW w:w="1710" w:type="dxa"/>
            <w:tcBorders>
              <w:top w:val="single" w:sz="2" w:space="0" w:color="auto"/>
              <w:bottom w:val="single" w:sz="4" w:space="0" w:color="auto"/>
            </w:tcBorders>
          </w:tcPr>
          <w:p w14:paraId="2ACFEA9C" w14:textId="47451774" w:rsidR="00CD3639" w:rsidRPr="00C462BE" w:rsidRDefault="00CD3639" w:rsidP="00C462BE">
            <w:pPr>
              <w:suppressLineNumbers/>
              <w:suppressAutoHyphens/>
              <w:spacing w:before="60" w:after="60"/>
              <w:jc w:val="left"/>
              <w:rPr>
                <w:rFonts w:eastAsia="MS Mincho"/>
                <w:kern w:val="22"/>
                <w:szCs w:val="22"/>
                <w:lang w:val="fr-CA"/>
              </w:rPr>
            </w:pPr>
            <w:r w:rsidRPr="00C462BE">
              <w:rPr>
                <w:rFonts w:eastAsia="MS Mincho"/>
                <w:szCs w:val="22"/>
                <w:lang w:val="fr-CA"/>
              </w:rPr>
              <w:t>[</w:t>
            </w:r>
            <w:r w:rsidR="00C462BE">
              <w:rPr>
                <w:rFonts w:eastAsia="MS Mincho"/>
                <w:szCs w:val="22"/>
                <w:lang w:val="fr-CA"/>
              </w:rPr>
              <w:t>Autorités nationales / pe</w:t>
            </w:r>
            <w:r w:rsidR="001534C6">
              <w:rPr>
                <w:rFonts w:eastAsia="MS Mincho"/>
                <w:szCs w:val="22"/>
                <w:lang w:val="fr-CA"/>
              </w:rPr>
              <w:t>r</w:t>
            </w:r>
            <w:r w:rsidR="00C462BE">
              <w:rPr>
                <w:rFonts w:eastAsia="MS Mincho"/>
                <w:szCs w:val="22"/>
                <w:lang w:val="fr-CA"/>
              </w:rPr>
              <w:t>sonnel des autorités nationales</w:t>
            </w:r>
            <w:r w:rsidRPr="00C462BE">
              <w:rPr>
                <w:rFonts w:eastAsia="MS Mincho"/>
                <w:szCs w:val="22"/>
                <w:lang w:val="fr-CA"/>
              </w:rPr>
              <w:t>]</w:t>
            </w:r>
          </w:p>
        </w:tc>
      </w:tr>
      <w:tr w:rsidR="00CD3639" w:rsidRPr="00C462BE" w14:paraId="03FA153B" w14:textId="77777777" w:rsidTr="00065370">
        <w:trPr>
          <w:jc w:val="center"/>
        </w:trPr>
        <w:tc>
          <w:tcPr>
            <w:tcW w:w="1705" w:type="dxa"/>
            <w:tcBorders>
              <w:top w:val="single" w:sz="4" w:space="0" w:color="auto"/>
            </w:tcBorders>
          </w:tcPr>
          <w:p w14:paraId="07E3E1ED" w14:textId="080A4E95"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A.2. Les Parties ont amélioré la disponibilité et l’échange d’informations pertinentes par l’intermédiaire du CEPRB.</w:t>
            </w:r>
          </w:p>
        </w:tc>
        <w:tc>
          <w:tcPr>
            <w:tcW w:w="1890" w:type="dxa"/>
            <w:tcBorders>
              <w:top w:val="single" w:sz="4" w:space="0" w:color="auto"/>
            </w:tcBorders>
            <w:shd w:val="clear" w:color="auto" w:fill="auto"/>
          </w:tcPr>
          <w:p w14:paraId="48A0EA99" w14:textId="7ED3E218" w:rsidR="00CD3639" w:rsidRPr="00C462BE" w:rsidRDefault="00CD3639" w:rsidP="00CD3639">
            <w:pPr>
              <w:spacing w:before="60" w:after="60"/>
              <w:jc w:val="left"/>
              <w:rPr>
                <w:rFonts w:eastAsia="MS Mincho"/>
                <w:kern w:val="22"/>
                <w:szCs w:val="22"/>
                <w:lang w:val="fr-CA"/>
              </w:rPr>
            </w:pPr>
            <w:r w:rsidRPr="00C462BE">
              <w:rPr>
                <w:kern w:val="22"/>
                <w:szCs w:val="22"/>
                <w:lang w:val="fr-CA"/>
              </w:rPr>
              <w:t>1) Publication d’informations sur le CEPRB</w:t>
            </w:r>
            <w:r w:rsidR="000543BC">
              <w:rPr>
                <w:kern w:val="22"/>
                <w:szCs w:val="22"/>
                <w:lang w:val="fr-CA"/>
              </w:rPr>
              <w:t>;</w:t>
            </w:r>
          </w:p>
          <w:p w14:paraId="7091CBD1" w14:textId="6054C5BF" w:rsidR="00CD3639" w:rsidRPr="00C462BE" w:rsidRDefault="00CD3639" w:rsidP="00CD3639">
            <w:pPr>
              <w:suppressLineNumbers/>
              <w:suppressAutoHyphens/>
              <w:spacing w:before="60" w:after="60"/>
              <w:jc w:val="left"/>
              <w:rPr>
                <w:rFonts w:eastAsia="MS Mincho"/>
                <w:strike/>
                <w:kern w:val="22"/>
                <w:szCs w:val="22"/>
                <w:lang w:val="fr-CA"/>
              </w:rPr>
            </w:pPr>
            <w:r w:rsidRPr="00C462BE">
              <w:rPr>
                <w:kern w:val="22"/>
                <w:szCs w:val="22"/>
                <w:lang w:val="fr-CA"/>
              </w:rPr>
              <w:t>2) Accès et utilisation des informations sur le CEPRB.</w:t>
            </w:r>
          </w:p>
        </w:tc>
        <w:tc>
          <w:tcPr>
            <w:tcW w:w="2520" w:type="dxa"/>
            <w:tcBorders>
              <w:top w:val="single" w:sz="4" w:space="0" w:color="auto"/>
            </w:tcBorders>
            <w:shd w:val="clear" w:color="auto" w:fill="auto"/>
          </w:tcPr>
          <w:p w14:paraId="4479A9D8" w14:textId="075F9516" w:rsidR="00CD3639" w:rsidRPr="00C462BE" w:rsidRDefault="00CD3639" w:rsidP="00CD3639">
            <w:pPr>
              <w:spacing w:before="60" w:after="60"/>
              <w:jc w:val="left"/>
              <w:rPr>
                <w:rFonts w:eastAsia="MS Mincho"/>
                <w:kern w:val="22"/>
                <w:szCs w:val="22"/>
                <w:lang w:val="fr-CA"/>
              </w:rPr>
            </w:pPr>
            <w:r w:rsidRPr="00C462BE">
              <w:rPr>
                <w:kern w:val="22"/>
                <w:szCs w:val="22"/>
                <w:lang w:val="fr-CA"/>
              </w:rPr>
              <w:t>i) Élaborer, mettre à jour et maintenir des outils de soutien interactifs, suite à la migration du CEPRB vers la nouvelle plateforme</w:t>
            </w:r>
            <w:r w:rsidR="000543BC">
              <w:rPr>
                <w:kern w:val="22"/>
                <w:szCs w:val="22"/>
                <w:lang w:val="fr-CA"/>
              </w:rPr>
              <w:t>;</w:t>
            </w:r>
          </w:p>
          <w:p w14:paraId="0448236F" w14:textId="76257EB5" w:rsidR="00CD3639" w:rsidRPr="00C462BE" w:rsidRDefault="008D4860" w:rsidP="00CD3639">
            <w:pPr>
              <w:suppressLineNumbers/>
              <w:suppressAutoHyphens/>
              <w:spacing w:before="60" w:after="60"/>
              <w:jc w:val="left"/>
              <w:rPr>
                <w:rFonts w:eastAsia="MS Mincho"/>
                <w:kern w:val="22"/>
                <w:szCs w:val="22"/>
                <w:lang w:val="fr-CA"/>
              </w:rPr>
            </w:pPr>
            <w:r>
              <w:rPr>
                <w:kern w:val="22"/>
                <w:szCs w:val="22"/>
                <w:lang w:val="fr-CA"/>
              </w:rPr>
              <w:t>ii) Assurer</w:t>
            </w:r>
            <w:r w:rsidR="00CD3639" w:rsidRPr="00C462BE">
              <w:rPr>
                <w:kern w:val="22"/>
                <w:szCs w:val="22"/>
                <w:lang w:val="fr-CA"/>
              </w:rPr>
              <w:t xml:space="preserve"> une formation sur l’utilisation du CEPRB.</w:t>
            </w:r>
          </w:p>
        </w:tc>
        <w:tc>
          <w:tcPr>
            <w:tcW w:w="2790" w:type="dxa"/>
            <w:tcBorders>
              <w:top w:val="single" w:sz="4" w:space="0" w:color="auto"/>
            </w:tcBorders>
          </w:tcPr>
          <w:p w14:paraId="5E841783" w14:textId="2D4C67E6" w:rsidR="00CD3639" w:rsidRPr="001534C6" w:rsidRDefault="00CD3639" w:rsidP="00CD3639">
            <w:pPr>
              <w:suppressLineNumbers/>
              <w:suppressAutoHyphens/>
              <w:spacing w:before="60" w:after="60"/>
              <w:jc w:val="left"/>
              <w:rPr>
                <w:rFonts w:eastAsia="MS Mincho"/>
                <w:kern w:val="22"/>
                <w:szCs w:val="22"/>
                <w:lang w:val="fr-CA"/>
              </w:rPr>
            </w:pPr>
            <w:r w:rsidRPr="001534C6">
              <w:rPr>
                <w:rFonts w:eastAsia="MS Mincho"/>
                <w:szCs w:val="22"/>
                <w:lang w:val="fr-CA"/>
              </w:rPr>
              <w:t xml:space="preserve">a) </w:t>
            </w:r>
            <w:r w:rsidR="001534C6" w:rsidRPr="001534C6">
              <w:rPr>
                <w:rFonts w:eastAsia="MS Mincho"/>
                <w:szCs w:val="22"/>
                <w:lang w:val="fr-CA"/>
              </w:rPr>
              <w:t xml:space="preserve">Pourcentage des outils de soutien interactifs mis à jour en </w:t>
            </w:r>
            <w:r w:rsidR="001534C6">
              <w:rPr>
                <w:rFonts w:eastAsia="MS Mincho"/>
                <w:szCs w:val="22"/>
                <w:lang w:val="fr-CA"/>
              </w:rPr>
              <w:t>fo</w:t>
            </w:r>
            <w:r w:rsidR="001534C6" w:rsidRPr="001534C6">
              <w:rPr>
                <w:rFonts w:eastAsia="MS Mincho"/>
                <w:szCs w:val="22"/>
                <w:lang w:val="fr-CA"/>
              </w:rPr>
              <w:t xml:space="preserve">nction des caractéristiques de la </w:t>
            </w:r>
            <w:r w:rsidR="001534C6">
              <w:rPr>
                <w:rFonts w:eastAsia="MS Mincho"/>
                <w:szCs w:val="22"/>
                <w:lang w:val="fr-CA"/>
              </w:rPr>
              <w:t>nouvelle plateforme du CEPRB</w:t>
            </w:r>
            <w:r w:rsidRPr="001534C6">
              <w:rPr>
                <w:rFonts w:eastAsia="MS Mincho"/>
                <w:szCs w:val="22"/>
                <w:lang w:val="fr-CA"/>
              </w:rPr>
              <w:t>;</w:t>
            </w:r>
          </w:p>
          <w:p w14:paraId="0C86F3A8" w14:textId="37276640" w:rsidR="00CD3639" w:rsidRPr="001534C6" w:rsidRDefault="00CD3639" w:rsidP="00CD3639">
            <w:pPr>
              <w:suppressLineNumbers/>
              <w:suppressAutoHyphens/>
              <w:spacing w:before="60" w:after="60"/>
              <w:jc w:val="left"/>
              <w:rPr>
                <w:rFonts w:eastAsia="MS Mincho"/>
                <w:szCs w:val="22"/>
                <w:lang w:val="fr-CA"/>
              </w:rPr>
            </w:pPr>
            <w:r w:rsidRPr="001534C6">
              <w:rPr>
                <w:rFonts w:eastAsia="MS Mincho"/>
                <w:szCs w:val="22"/>
                <w:lang w:val="fr-CA"/>
              </w:rPr>
              <w:t xml:space="preserve">b) </w:t>
            </w:r>
            <w:r w:rsidR="001534C6" w:rsidRPr="001534C6">
              <w:rPr>
                <w:rFonts w:eastAsia="MS Mincho"/>
                <w:szCs w:val="22"/>
                <w:lang w:val="fr-CA"/>
              </w:rPr>
              <w:t>Nombre d’utilisateurs qui utilisent le mat</w:t>
            </w:r>
            <w:r w:rsidR="001534C6">
              <w:rPr>
                <w:rFonts w:eastAsia="MS Mincho"/>
                <w:szCs w:val="22"/>
                <w:lang w:val="fr-CA"/>
              </w:rPr>
              <w:t>é</w:t>
            </w:r>
            <w:r w:rsidR="001534C6" w:rsidRPr="001534C6">
              <w:rPr>
                <w:rFonts w:eastAsia="MS Mincho"/>
                <w:szCs w:val="22"/>
                <w:lang w:val="fr-CA"/>
              </w:rPr>
              <w:t>riel de formation sur l’utilisation du CEPRB</w:t>
            </w:r>
            <w:r w:rsidRPr="001534C6">
              <w:rPr>
                <w:rFonts w:eastAsia="MS Mincho"/>
                <w:szCs w:val="22"/>
                <w:lang w:val="fr-CA"/>
              </w:rPr>
              <w:t>;</w:t>
            </w:r>
          </w:p>
          <w:p w14:paraId="303E1932" w14:textId="4BC6E5E7" w:rsidR="00CD3639" w:rsidRPr="001534C6" w:rsidRDefault="00CD3639" w:rsidP="001534C6">
            <w:pPr>
              <w:suppressLineNumbers/>
              <w:suppressAutoHyphens/>
              <w:spacing w:before="60" w:after="60"/>
              <w:jc w:val="left"/>
              <w:rPr>
                <w:rFonts w:eastAsia="MS Mincho"/>
                <w:kern w:val="22"/>
                <w:szCs w:val="22"/>
                <w:lang w:val="fr-CA"/>
              </w:rPr>
            </w:pPr>
            <w:r w:rsidRPr="001534C6">
              <w:rPr>
                <w:rFonts w:eastAsia="MS Mincho"/>
                <w:szCs w:val="22"/>
                <w:lang w:val="fr-CA"/>
              </w:rPr>
              <w:t xml:space="preserve">c) </w:t>
            </w:r>
            <w:r w:rsidR="00FE3A58">
              <w:rPr>
                <w:rFonts w:eastAsia="MS Mincho"/>
                <w:szCs w:val="22"/>
                <w:lang w:val="fr-CA"/>
              </w:rPr>
              <w:t>Pourcentage de Parties</w:t>
            </w:r>
            <w:r w:rsidR="001534C6" w:rsidRPr="001534C6">
              <w:rPr>
                <w:rFonts w:eastAsia="MS Mincho"/>
                <w:szCs w:val="22"/>
                <w:lang w:val="fr-CA"/>
              </w:rPr>
              <w:t xml:space="preserve"> ayant des informations pertinentes et </w:t>
            </w:r>
            <w:r w:rsidR="001534C6">
              <w:rPr>
                <w:rFonts w:eastAsia="MS Mincho"/>
                <w:szCs w:val="22"/>
                <w:lang w:val="fr-CA"/>
              </w:rPr>
              <w:t>à jour sur le CEPRB</w:t>
            </w:r>
            <w:r w:rsidRPr="001534C6">
              <w:rPr>
                <w:rFonts w:eastAsia="MS Mincho"/>
                <w:szCs w:val="22"/>
                <w:lang w:val="fr-CA"/>
              </w:rPr>
              <w:t>.</w:t>
            </w:r>
          </w:p>
        </w:tc>
        <w:tc>
          <w:tcPr>
            <w:tcW w:w="1890" w:type="dxa"/>
            <w:tcBorders>
              <w:top w:val="single" w:sz="4" w:space="0" w:color="auto"/>
            </w:tcBorders>
          </w:tcPr>
          <w:p w14:paraId="57418AD4" w14:textId="6108776C"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 xml:space="preserve">Le CEPRB facilite la disponibilité </w:t>
            </w:r>
            <w:r w:rsidR="008D4860">
              <w:rPr>
                <w:kern w:val="22"/>
                <w:szCs w:val="22"/>
                <w:lang w:val="fr-CA"/>
              </w:rPr>
              <w:t>et l’échange d’informations relative</w:t>
            </w:r>
            <w:r w:rsidRPr="00C462BE">
              <w:rPr>
                <w:kern w:val="22"/>
                <w:szCs w:val="22"/>
                <w:lang w:val="fr-CA"/>
              </w:rPr>
              <w:t>s à la prévention des risques biotechnologiques et permet aux Parties de prendre des décisions éclairées.</w:t>
            </w:r>
          </w:p>
        </w:tc>
        <w:tc>
          <w:tcPr>
            <w:tcW w:w="1710" w:type="dxa"/>
            <w:tcBorders>
              <w:top w:val="single" w:sz="4" w:space="0" w:color="auto"/>
            </w:tcBorders>
          </w:tcPr>
          <w:p w14:paraId="7DBD4CB4" w14:textId="1CDA4D24" w:rsidR="001534C6" w:rsidRDefault="00CD3639" w:rsidP="001534C6">
            <w:pPr>
              <w:suppressLineNumbers/>
              <w:suppressAutoHyphens/>
              <w:spacing w:before="60" w:after="60"/>
              <w:jc w:val="left"/>
              <w:rPr>
                <w:rFonts w:eastAsia="MS Mincho"/>
                <w:szCs w:val="22"/>
                <w:lang w:val="fr-CA"/>
              </w:rPr>
            </w:pPr>
            <w:r w:rsidRPr="00C462BE">
              <w:rPr>
                <w:rFonts w:eastAsia="MS Mincho"/>
                <w:szCs w:val="22"/>
                <w:lang w:val="fr-CA"/>
              </w:rPr>
              <w:t>[</w:t>
            </w:r>
            <w:r w:rsidR="001534C6">
              <w:rPr>
                <w:rFonts w:eastAsia="MS Mincho"/>
                <w:szCs w:val="22"/>
                <w:lang w:val="fr-CA"/>
              </w:rPr>
              <w:t>Autorités nationales / personnel des autorités nationales et autres parties prenantes intéressées</w:t>
            </w:r>
            <w:r w:rsidR="008D4860">
              <w:rPr>
                <w:rFonts w:eastAsia="MS Mincho"/>
                <w:szCs w:val="22"/>
                <w:lang w:val="fr-CA"/>
              </w:rPr>
              <w:t>,</w:t>
            </w:r>
          </w:p>
          <w:p w14:paraId="74372E59" w14:textId="15506612" w:rsidR="00CD3639" w:rsidRPr="00C462BE" w:rsidRDefault="001534C6" w:rsidP="001534C6">
            <w:pPr>
              <w:suppressLineNumbers/>
              <w:suppressAutoHyphens/>
              <w:spacing w:before="60" w:after="60"/>
              <w:jc w:val="left"/>
              <w:rPr>
                <w:rFonts w:eastAsia="MS Mincho"/>
                <w:kern w:val="22"/>
                <w:szCs w:val="22"/>
                <w:lang w:val="fr-CA"/>
              </w:rPr>
            </w:pPr>
            <w:r>
              <w:rPr>
                <w:rFonts w:eastAsia="MS Mincho"/>
                <w:szCs w:val="22"/>
                <w:lang w:val="fr-CA"/>
              </w:rPr>
              <w:t>Secrétariat de la CDB</w:t>
            </w:r>
            <w:r w:rsidR="00CD3639" w:rsidRPr="00C462BE">
              <w:rPr>
                <w:rFonts w:eastAsia="MS Mincho"/>
                <w:szCs w:val="22"/>
                <w:lang w:val="fr-CA"/>
              </w:rPr>
              <w:t>]</w:t>
            </w:r>
          </w:p>
        </w:tc>
      </w:tr>
      <w:tr w:rsidR="00CD3639" w:rsidRPr="00C462BE" w14:paraId="39880B53" w14:textId="77777777" w:rsidTr="00065370">
        <w:trPr>
          <w:jc w:val="center"/>
        </w:trPr>
        <w:tc>
          <w:tcPr>
            <w:tcW w:w="1705" w:type="dxa"/>
          </w:tcPr>
          <w:p w14:paraId="2C0D2684" w14:textId="0A376235"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A.3. Des information</w:t>
            </w:r>
            <w:r w:rsidR="008D4860">
              <w:rPr>
                <w:b/>
                <w:bCs/>
                <w:kern w:val="22"/>
                <w:szCs w:val="22"/>
                <w:lang w:val="fr-CA"/>
              </w:rPr>
              <w:t>s complètes sur l’application</w:t>
            </w:r>
            <w:r w:rsidRPr="00C462BE">
              <w:rPr>
                <w:b/>
                <w:bCs/>
                <w:kern w:val="22"/>
                <w:szCs w:val="22"/>
                <w:lang w:val="fr-CA"/>
              </w:rPr>
              <w:t xml:space="preserve"> du Protocole sont mises à disposition par les Parties en temps opportun.</w:t>
            </w:r>
          </w:p>
        </w:tc>
        <w:tc>
          <w:tcPr>
            <w:tcW w:w="1890" w:type="dxa"/>
            <w:shd w:val="clear" w:color="auto" w:fill="auto"/>
          </w:tcPr>
          <w:p w14:paraId="59352A07" w14:textId="58CF2AFE" w:rsidR="00CD3639" w:rsidRPr="00C462BE" w:rsidRDefault="00CD3639" w:rsidP="00CD3639">
            <w:pPr>
              <w:spacing w:before="60" w:after="60"/>
              <w:jc w:val="left"/>
              <w:rPr>
                <w:rFonts w:eastAsia="MS Mincho"/>
                <w:kern w:val="22"/>
                <w:szCs w:val="22"/>
                <w:lang w:val="fr-CA"/>
              </w:rPr>
            </w:pPr>
            <w:r w:rsidRPr="00C462BE">
              <w:rPr>
                <w:kern w:val="22"/>
                <w:szCs w:val="22"/>
                <w:lang w:val="fr-CA"/>
              </w:rPr>
              <w:t>1) Établissement et renforcement des systèmes nationaux de coordination pour recueillir des informations sur la prévention des risques biotechnologiques</w:t>
            </w:r>
            <w:r w:rsidR="000543BC">
              <w:rPr>
                <w:kern w:val="22"/>
                <w:szCs w:val="22"/>
                <w:lang w:val="fr-CA"/>
              </w:rPr>
              <w:t>;</w:t>
            </w:r>
          </w:p>
          <w:p w14:paraId="71A043AF" w14:textId="679A30C6"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2) Préparation d’un rapport national.</w:t>
            </w:r>
          </w:p>
        </w:tc>
        <w:tc>
          <w:tcPr>
            <w:tcW w:w="2520" w:type="dxa"/>
            <w:shd w:val="clear" w:color="auto" w:fill="auto"/>
          </w:tcPr>
          <w:p w14:paraId="4682BD23" w14:textId="10F8838D" w:rsidR="00CD3639" w:rsidRPr="00C462BE" w:rsidRDefault="00CD3639" w:rsidP="00CD3639">
            <w:pPr>
              <w:spacing w:before="60" w:after="60"/>
              <w:jc w:val="left"/>
              <w:rPr>
                <w:rFonts w:eastAsia="MS Mincho"/>
                <w:kern w:val="22"/>
                <w:szCs w:val="22"/>
                <w:lang w:val="fr-CA"/>
              </w:rPr>
            </w:pPr>
            <w:r w:rsidRPr="00C462BE">
              <w:rPr>
                <w:kern w:val="22"/>
                <w:szCs w:val="22"/>
                <w:lang w:val="fr-CA"/>
              </w:rPr>
              <w:t>i) Dispenser une formation sur la collecte d’informations et la gestion des données adressées aux autorités nationales compétentes pour l’établissement des rapports nationaux</w:t>
            </w:r>
            <w:r w:rsidR="000543BC">
              <w:rPr>
                <w:kern w:val="22"/>
                <w:szCs w:val="22"/>
                <w:lang w:val="fr-CA"/>
              </w:rPr>
              <w:t>;</w:t>
            </w:r>
            <w:r w:rsidRPr="00C462BE">
              <w:rPr>
                <w:kern w:val="22"/>
                <w:szCs w:val="22"/>
                <w:lang w:val="fr-CA"/>
              </w:rPr>
              <w:t xml:space="preserve"> </w:t>
            </w:r>
          </w:p>
          <w:p w14:paraId="2D235AAF" w14:textId="0B93BE0E" w:rsidR="00CD3639" w:rsidRDefault="00CD3639" w:rsidP="00CD3639">
            <w:pPr>
              <w:suppressLineNumbers/>
              <w:suppressAutoHyphens/>
              <w:spacing w:before="60" w:after="60"/>
              <w:jc w:val="left"/>
              <w:rPr>
                <w:kern w:val="22"/>
                <w:szCs w:val="22"/>
                <w:lang w:val="fr-CA"/>
              </w:rPr>
            </w:pPr>
            <w:r w:rsidRPr="00C462BE">
              <w:rPr>
                <w:kern w:val="22"/>
                <w:szCs w:val="22"/>
                <w:lang w:val="fr-CA"/>
              </w:rPr>
              <w:t>ii) Concevoir des outils pour aider</w:t>
            </w:r>
            <w:r w:rsidR="008D4860">
              <w:rPr>
                <w:kern w:val="22"/>
                <w:szCs w:val="22"/>
                <w:lang w:val="fr-CA"/>
              </w:rPr>
              <w:t xml:space="preserve"> les Parties à préparer et à re</w:t>
            </w:r>
            <w:r w:rsidRPr="00C462BE">
              <w:rPr>
                <w:kern w:val="22"/>
                <w:szCs w:val="22"/>
                <w:lang w:val="fr-CA"/>
              </w:rPr>
              <w:t>mettre leurs rapports nationaux.</w:t>
            </w:r>
          </w:p>
          <w:p w14:paraId="7667E672" w14:textId="2C1D4A44" w:rsidR="00AA7FB6" w:rsidRPr="00C462BE" w:rsidRDefault="00AA7FB6" w:rsidP="00AA7FB6">
            <w:pPr>
              <w:suppressLineNumbers/>
              <w:suppressAutoHyphens/>
              <w:spacing w:before="60" w:after="60"/>
              <w:jc w:val="left"/>
              <w:rPr>
                <w:rFonts w:eastAsia="MS Mincho"/>
                <w:kern w:val="22"/>
                <w:szCs w:val="22"/>
                <w:lang w:val="fr-CA"/>
              </w:rPr>
            </w:pPr>
            <w:r>
              <w:rPr>
                <w:kern w:val="22"/>
                <w:szCs w:val="22"/>
                <w:lang w:val="fr-CA"/>
              </w:rPr>
              <w:t xml:space="preserve">iii) Soutenir la coopération entre les Parties afin d’aider les Parties ayant des ressources inadéquates à préparer et à remettre leurs rapports nationaux [conformément aux </w:t>
            </w:r>
            <w:r w:rsidR="009365C2">
              <w:rPr>
                <w:kern w:val="22"/>
                <w:szCs w:val="22"/>
                <w:lang w:val="fr-CA"/>
              </w:rPr>
              <w:t>article</w:t>
            </w:r>
            <w:r>
              <w:rPr>
                <w:kern w:val="22"/>
                <w:szCs w:val="22"/>
                <w:lang w:val="fr-CA"/>
              </w:rPr>
              <w:t>s 22 et 28 du Protocole].</w:t>
            </w:r>
          </w:p>
        </w:tc>
        <w:tc>
          <w:tcPr>
            <w:tcW w:w="2790" w:type="dxa"/>
          </w:tcPr>
          <w:p w14:paraId="0B0096E2" w14:textId="38261DDC" w:rsidR="00CD3639" w:rsidRPr="00AA7FB6" w:rsidRDefault="00CD3639" w:rsidP="00CD3639">
            <w:pPr>
              <w:suppressLineNumbers/>
              <w:suppressAutoHyphens/>
              <w:spacing w:before="60" w:after="60"/>
              <w:jc w:val="left"/>
              <w:rPr>
                <w:rFonts w:eastAsia="MS Mincho"/>
                <w:kern w:val="22"/>
                <w:szCs w:val="22"/>
                <w:lang w:val="fr-CA"/>
              </w:rPr>
            </w:pPr>
            <w:r w:rsidRPr="00AA7FB6">
              <w:rPr>
                <w:rFonts w:eastAsia="MS Mincho"/>
                <w:szCs w:val="22"/>
                <w:lang w:val="fr-CA"/>
              </w:rPr>
              <w:t xml:space="preserve">a) </w:t>
            </w:r>
            <w:r w:rsidR="00FE3A58">
              <w:rPr>
                <w:rFonts w:eastAsia="MS Mincho"/>
                <w:szCs w:val="22"/>
                <w:lang w:val="fr-CA"/>
              </w:rPr>
              <w:t>Pourcentage de Parties</w:t>
            </w:r>
            <w:r w:rsidR="00AA7FB6" w:rsidRPr="00AA7FB6">
              <w:rPr>
                <w:rFonts w:eastAsia="MS Mincho"/>
                <w:szCs w:val="22"/>
                <w:lang w:val="fr-CA"/>
              </w:rPr>
              <w:t xml:space="preserve"> qui font connaîtr</w:t>
            </w:r>
            <w:r w:rsidR="008B749D">
              <w:rPr>
                <w:rFonts w:eastAsia="MS Mincho"/>
                <w:szCs w:val="22"/>
                <w:lang w:val="fr-CA"/>
              </w:rPr>
              <w:t>e leurs besoins de formation en matière d</w:t>
            </w:r>
            <w:r w:rsidR="00AA7FB6" w:rsidRPr="00AA7FB6">
              <w:rPr>
                <w:rFonts w:eastAsia="MS Mincho"/>
                <w:szCs w:val="22"/>
                <w:lang w:val="fr-CA"/>
              </w:rPr>
              <w:t>’</w:t>
            </w:r>
            <w:r w:rsidR="00AA7FB6">
              <w:rPr>
                <w:rFonts w:eastAsia="MS Mincho"/>
                <w:szCs w:val="22"/>
                <w:lang w:val="fr-CA"/>
              </w:rPr>
              <w:t>éta</w:t>
            </w:r>
            <w:r w:rsidR="00AA7FB6" w:rsidRPr="00AA7FB6">
              <w:rPr>
                <w:rFonts w:eastAsia="MS Mincho"/>
                <w:szCs w:val="22"/>
                <w:lang w:val="fr-CA"/>
              </w:rPr>
              <w:t>blissement de rapp</w:t>
            </w:r>
            <w:r w:rsidR="00AA7FB6">
              <w:rPr>
                <w:rFonts w:eastAsia="MS Mincho"/>
                <w:szCs w:val="22"/>
                <w:lang w:val="fr-CA"/>
              </w:rPr>
              <w:t xml:space="preserve">orts nationaux </w:t>
            </w:r>
            <w:r w:rsidR="00363ADF">
              <w:rPr>
                <w:rFonts w:eastAsia="MS Mincho"/>
                <w:szCs w:val="22"/>
                <w:lang w:val="fr-CA"/>
              </w:rPr>
              <w:t xml:space="preserve">aux autorités nationales concernées </w:t>
            </w:r>
            <w:r w:rsidR="008B749D">
              <w:rPr>
                <w:rFonts w:eastAsia="MS Mincho"/>
                <w:szCs w:val="22"/>
                <w:lang w:val="fr-CA"/>
              </w:rPr>
              <w:t>et mettent au point une formation</w:t>
            </w:r>
            <w:r w:rsidRPr="00AA7FB6">
              <w:rPr>
                <w:rFonts w:eastAsia="MS Mincho"/>
                <w:szCs w:val="22"/>
                <w:lang w:val="fr-CA"/>
              </w:rPr>
              <w:t>;</w:t>
            </w:r>
          </w:p>
          <w:p w14:paraId="30A90C22" w14:textId="2AE980B1" w:rsidR="00CD3639" w:rsidRPr="00363ADF" w:rsidRDefault="00CD3639" w:rsidP="00CD3639">
            <w:pPr>
              <w:suppressLineNumbers/>
              <w:suppressAutoHyphens/>
              <w:spacing w:before="60" w:after="60"/>
              <w:jc w:val="left"/>
              <w:rPr>
                <w:rFonts w:eastAsia="MS Mincho"/>
                <w:kern w:val="22"/>
                <w:szCs w:val="22"/>
                <w:lang w:val="fr-CA"/>
              </w:rPr>
            </w:pPr>
            <w:r w:rsidRPr="00363ADF">
              <w:rPr>
                <w:rFonts w:eastAsia="MS Mincho"/>
                <w:kern w:val="22"/>
                <w:szCs w:val="22"/>
                <w:lang w:val="fr-CA"/>
              </w:rPr>
              <w:t xml:space="preserve">b) </w:t>
            </w:r>
            <w:r w:rsidR="00FE3A58">
              <w:rPr>
                <w:rFonts w:eastAsia="MS Mincho"/>
                <w:kern w:val="22"/>
                <w:szCs w:val="22"/>
                <w:lang w:val="fr-CA"/>
              </w:rPr>
              <w:t>Pourcentage de Parties</w:t>
            </w:r>
            <w:r w:rsidR="00363ADF" w:rsidRPr="00363ADF">
              <w:rPr>
                <w:rFonts w:eastAsia="MS Mincho"/>
                <w:kern w:val="22"/>
                <w:szCs w:val="22"/>
                <w:lang w:val="fr-CA"/>
              </w:rPr>
              <w:t xml:space="preserve"> ayant besoin d’assistance, qui utilisent les outils d’assistance, </w:t>
            </w:r>
            <w:r w:rsidR="00363ADF">
              <w:rPr>
                <w:rFonts w:eastAsia="MS Mincho"/>
                <w:kern w:val="22"/>
                <w:szCs w:val="22"/>
                <w:lang w:val="fr-CA"/>
              </w:rPr>
              <w:t>préparent</w:t>
            </w:r>
            <w:r w:rsidR="00363ADF" w:rsidRPr="00363ADF">
              <w:rPr>
                <w:rFonts w:eastAsia="MS Mincho"/>
                <w:kern w:val="22"/>
                <w:szCs w:val="22"/>
                <w:lang w:val="fr-CA"/>
              </w:rPr>
              <w:t xml:space="preserve"> et </w:t>
            </w:r>
            <w:r w:rsidR="00363ADF">
              <w:rPr>
                <w:rFonts w:eastAsia="MS Mincho"/>
                <w:kern w:val="22"/>
                <w:szCs w:val="22"/>
                <w:lang w:val="fr-CA"/>
              </w:rPr>
              <w:t>remettent</w:t>
            </w:r>
            <w:r w:rsidR="00363ADF" w:rsidRPr="00363ADF">
              <w:rPr>
                <w:rFonts w:eastAsia="MS Mincho"/>
                <w:kern w:val="22"/>
                <w:szCs w:val="22"/>
                <w:lang w:val="fr-CA"/>
              </w:rPr>
              <w:t xml:space="preserve"> leu</w:t>
            </w:r>
            <w:r w:rsidR="008D4860">
              <w:rPr>
                <w:rFonts w:eastAsia="MS Mincho"/>
                <w:kern w:val="22"/>
                <w:szCs w:val="22"/>
                <w:lang w:val="fr-CA"/>
              </w:rPr>
              <w:t xml:space="preserve">rs rapports dans les </w:t>
            </w:r>
            <w:r w:rsidR="00363ADF" w:rsidRPr="00363ADF">
              <w:rPr>
                <w:rFonts w:eastAsia="MS Mincho"/>
                <w:kern w:val="22"/>
                <w:szCs w:val="22"/>
                <w:lang w:val="fr-CA"/>
              </w:rPr>
              <w:t>délais</w:t>
            </w:r>
            <w:r w:rsidR="008D4860">
              <w:rPr>
                <w:rFonts w:eastAsia="MS Mincho"/>
                <w:kern w:val="22"/>
                <w:szCs w:val="22"/>
                <w:lang w:val="fr-CA"/>
              </w:rPr>
              <w:t xml:space="preserve"> impartis</w:t>
            </w:r>
            <w:r w:rsidRPr="00363ADF">
              <w:rPr>
                <w:rFonts w:eastAsia="MS Mincho"/>
                <w:kern w:val="22"/>
                <w:szCs w:val="22"/>
                <w:lang w:val="fr-CA"/>
              </w:rPr>
              <w:t>;</w:t>
            </w:r>
          </w:p>
          <w:p w14:paraId="60433863" w14:textId="5AFAC47D" w:rsidR="00CD3639" w:rsidRPr="00363ADF" w:rsidRDefault="00CD3639" w:rsidP="00363ADF">
            <w:pPr>
              <w:suppressLineNumbers/>
              <w:suppressAutoHyphens/>
              <w:spacing w:before="60" w:after="60"/>
              <w:jc w:val="left"/>
              <w:rPr>
                <w:rFonts w:eastAsia="MS Mincho"/>
                <w:kern w:val="22"/>
                <w:szCs w:val="22"/>
                <w:lang w:val="fr-CA"/>
              </w:rPr>
            </w:pPr>
            <w:r w:rsidRPr="00363ADF">
              <w:rPr>
                <w:rFonts w:eastAsia="MS Mincho"/>
                <w:szCs w:val="22"/>
                <w:lang w:val="fr-CA"/>
              </w:rPr>
              <w:t xml:space="preserve">c) </w:t>
            </w:r>
            <w:r w:rsidR="00FE3A58">
              <w:rPr>
                <w:rFonts w:eastAsia="MS Mincho"/>
                <w:szCs w:val="22"/>
                <w:lang w:val="fr-CA"/>
              </w:rPr>
              <w:t>Pourcentage de Parties</w:t>
            </w:r>
            <w:r w:rsidR="008B749D">
              <w:rPr>
                <w:rFonts w:eastAsia="MS Mincho"/>
                <w:szCs w:val="22"/>
                <w:lang w:val="fr-CA"/>
              </w:rPr>
              <w:t xml:space="preserve"> nécessitant un soutien, qui bénéficient d’</w:t>
            </w:r>
            <w:r w:rsidR="00363ADF" w:rsidRPr="00363ADF">
              <w:rPr>
                <w:rFonts w:eastAsia="MS Mincho"/>
                <w:szCs w:val="22"/>
                <w:lang w:val="fr-CA"/>
              </w:rPr>
              <w:t xml:space="preserve">activités de </w:t>
            </w:r>
            <w:r w:rsidR="00363ADF">
              <w:rPr>
                <w:rFonts w:eastAsia="MS Mincho"/>
                <w:szCs w:val="22"/>
                <w:lang w:val="fr-CA"/>
              </w:rPr>
              <w:t>coopé</w:t>
            </w:r>
            <w:r w:rsidR="00363ADF" w:rsidRPr="00363ADF">
              <w:rPr>
                <w:rFonts w:eastAsia="MS Mincho"/>
                <w:szCs w:val="22"/>
                <w:lang w:val="fr-CA"/>
              </w:rPr>
              <w:t xml:space="preserve">ration pour les aider </w:t>
            </w:r>
            <w:r w:rsidR="00363ADF">
              <w:rPr>
                <w:rFonts w:eastAsia="MS Mincho"/>
                <w:szCs w:val="22"/>
                <w:lang w:val="fr-CA"/>
              </w:rPr>
              <w:t>à préparer et</w:t>
            </w:r>
            <w:r w:rsidR="008D4860">
              <w:rPr>
                <w:rFonts w:eastAsia="MS Mincho"/>
                <w:szCs w:val="22"/>
                <w:lang w:val="fr-CA"/>
              </w:rPr>
              <w:t xml:space="preserve"> à</w:t>
            </w:r>
            <w:r w:rsidR="00363ADF">
              <w:rPr>
                <w:rFonts w:eastAsia="MS Mincho"/>
                <w:szCs w:val="22"/>
                <w:lang w:val="fr-CA"/>
              </w:rPr>
              <w:t xml:space="preserve"> remettre leurs rapports nationaux</w:t>
            </w:r>
            <w:r w:rsidRPr="00363ADF">
              <w:rPr>
                <w:rFonts w:eastAsia="MS Mincho"/>
                <w:szCs w:val="22"/>
                <w:lang w:val="fr-CA"/>
              </w:rPr>
              <w:t>.</w:t>
            </w:r>
          </w:p>
        </w:tc>
        <w:tc>
          <w:tcPr>
            <w:tcW w:w="1890" w:type="dxa"/>
          </w:tcPr>
          <w:p w14:paraId="0DD7051C" w14:textId="52FCBE70"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Des informations précises et en tem</w:t>
            </w:r>
            <w:r w:rsidR="008D4860">
              <w:rPr>
                <w:kern w:val="22"/>
                <w:szCs w:val="22"/>
                <w:lang w:val="fr-CA"/>
              </w:rPr>
              <w:t>ps opportun sur l’application</w:t>
            </w:r>
            <w:r w:rsidRPr="00C462BE">
              <w:rPr>
                <w:kern w:val="22"/>
                <w:szCs w:val="22"/>
                <w:lang w:val="fr-CA"/>
              </w:rPr>
              <w:t xml:space="preserve"> du Protocole permettent à la Conférence des Parties siégeant en tant que réunion des Parties au Pro</w:t>
            </w:r>
            <w:r w:rsidR="008D4860">
              <w:rPr>
                <w:kern w:val="22"/>
                <w:szCs w:val="22"/>
                <w:lang w:val="fr-CA"/>
              </w:rPr>
              <w:t>tocole d’établi</w:t>
            </w:r>
            <w:r w:rsidRPr="00C462BE">
              <w:rPr>
                <w:kern w:val="22"/>
                <w:szCs w:val="22"/>
                <w:lang w:val="fr-CA"/>
              </w:rPr>
              <w:t>r des priorités et d’identifier les domaines dans lesquels un soutien est nécessaire.</w:t>
            </w:r>
          </w:p>
        </w:tc>
        <w:tc>
          <w:tcPr>
            <w:tcW w:w="1710" w:type="dxa"/>
          </w:tcPr>
          <w:p w14:paraId="707231BD" w14:textId="4522AF58" w:rsidR="00363ADF" w:rsidRDefault="00CD3639" w:rsidP="00363ADF">
            <w:pPr>
              <w:suppressLineNumbers/>
              <w:suppressAutoHyphens/>
              <w:spacing w:before="60" w:after="60"/>
              <w:jc w:val="left"/>
              <w:rPr>
                <w:rFonts w:eastAsia="MS Mincho"/>
                <w:szCs w:val="22"/>
                <w:lang w:val="fr-CA"/>
              </w:rPr>
            </w:pPr>
            <w:r w:rsidRPr="00C462BE">
              <w:rPr>
                <w:rFonts w:eastAsia="MS Mincho"/>
                <w:szCs w:val="22"/>
                <w:lang w:val="fr-CA"/>
              </w:rPr>
              <w:t>[</w:t>
            </w:r>
            <w:r w:rsidR="00363ADF">
              <w:rPr>
                <w:rFonts w:eastAsia="MS Mincho"/>
                <w:szCs w:val="22"/>
                <w:lang w:val="fr-CA"/>
              </w:rPr>
              <w:t>Autorités nationales / personnel des autorités nationales et autres parties prenantes intéressées</w:t>
            </w:r>
            <w:r w:rsidR="008D4860">
              <w:rPr>
                <w:rFonts w:eastAsia="MS Mincho"/>
                <w:szCs w:val="22"/>
                <w:lang w:val="fr-CA"/>
              </w:rPr>
              <w:t>,</w:t>
            </w:r>
          </w:p>
          <w:p w14:paraId="4B37DF8D" w14:textId="67EB05C9" w:rsidR="00CD3639" w:rsidRPr="00C462BE" w:rsidRDefault="00363ADF" w:rsidP="00363ADF">
            <w:pPr>
              <w:suppressLineNumbers/>
              <w:suppressAutoHyphens/>
              <w:spacing w:before="60" w:after="60"/>
              <w:jc w:val="left"/>
              <w:rPr>
                <w:rFonts w:eastAsia="MS Mincho"/>
                <w:kern w:val="22"/>
                <w:szCs w:val="22"/>
                <w:lang w:val="fr-CA"/>
              </w:rPr>
            </w:pPr>
            <w:r>
              <w:rPr>
                <w:rFonts w:eastAsia="MS Mincho"/>
                <w:szCs w:val="22"/>
                <w:lang w:val="fr-CA"/>
              </w:rPr>
              <w:t>Secrétariat de la CDB</w:t>
            </w:r>
            <w:r w:rsidR="00CD3639" w:rsidRPr="00C462BE">
              <w:rPr>
                <w:rFonts w:eastAsia="MS Mincho"/>
                <w:szCs w:val="22"/>
                <w:lang w:val="fr-CA"/>
              </w:rPr>
              <w:t>]</w:t>
            </w:r>
          </w:p>
        </w:tc>
      </w:tr>
      <w:tr w:rsidR="00CD3639" w:rsidRPr="00301569" w14:paraId="76B9EEB3" w14:textId="77777777" w:rsidTr="00065370">
        <w:trPr>
          <w:jc w:val="center"/>
        </w:trPr>
        <w:tc>
          <w:tcPr>
            <w:tcW w:w="1705" w:type="dxa"/>
          </w:tcPr>
          <w:p w14:paraId="33274698" w14:textId="3E49E00A" w:rsidR="00CD3639" w:rsidRPr="00C462BE" w:rsidRDefault="00CD3639" w:rsidP="00363ADF">
            <w:pPr>
              <w:suppressLineNumbers/>
              <w:suppressAutoHyphens/>
              <w:spacing w:before="60" w:after="60"/>
              <w:jc w:val="left"/>
              <w:rPr>
                <w:rFonts w:eastAsia="MS Mincho"/>
                <w:kern w:val="22"/>
                <w:szCs w:val="22"/>
                <w:lang w:val="fr-CA"/>
              </w:rPr>
            </w:pPr>
            <w:r w:rsidRPr="00C462BE">
              <w:rPr>
                <w:b/>
                <w:bCs/>
                <w:kern w:val="22"/>
                <w:szCs w:val="22"/>
                <w:lang w:val="fr-CA"/>
              </w:rPr>
              <w:t>A.4. Les Parties se conforment aux exigences du Protocole.</w:t>
            </w:r>
          </w:p>
        </w:tc>
        <w:tc>
          <w:tcPr>
            <w:tcW w:w="1890" w:type="dxa"/>
            <w:shd w:val="clear" w:color="auto" w:fill="auto"/>
          </w:tcPr>
          <w:p w14:paraId="04CC0E16" w14:textId="4645348F" w:rsidR="00CD3639" w:rsidRPr="00C462BE" w:rsidRDefault="00CD3639" w:rsidP="00CD3639">
            <w:pPr>
              <w:suppressLineNumbers/>
              <w:suppressAutoHyphens/>
              <w:spacing w:before="60" w:after="60"/>
              <w:jc w:val="left"/>
              <w:rPr>
                <w:rFonts w:eastAsia="MS Mincho"/>
                <w:kern w:val="22"/>
                <w:szCs w:val="22"/>
                <w:lang w:val="fr-CA"/>
              </w:rPr>
            </w:pPr>
            <w:r w:rsidRPr="00C462BE">
              <w:rPr>
                <w:bCs/>
                <w:kern w:val="22"/>
                <w:szCs w:val="22"/>
                <w:lang w:val="fr-CA"/>
              </w:rPr>
              <w:t xml:space="preserve">1) Résolution des problèmes de non-respect identifiés par le Comité </w:t>
            </w:r>
            <w:r w:rsidR="00D106AA">
              <w:rPr>
                <w:bCs/>
                <w:kern w:val="22"/>
                <w:szCs w:val="22"/>
                <w:lang w:val="fr-CA"/>
              </w:rPr>
              <w:t>chargé du respect des obligations</w:t>
            </w:r>
            <w:r w:rsidRPr="00C462BE">
              <w:rPr>
                <w:bCs/>
                <w:kern w:val="22"/>
                <w:szCs w:val="22"/>
                <w:lang w:val="fr-CA"/>
              </w:rPr>
              <w:t xml:space="preserve"> au titre du Protocole.</w:t>
            </w:r>
          </w:p>
        </w:tc>
        <w:tc>
          <w:tcPr>
            <w:tcW w:w="2520" w:type="dxa"/>
            <w:shd w:val="clear" w:color="auto" w:fill="auto"/>
          </w:tcPr>
          <w:p w14:paraId="234525CE" w14:textId="6F0CABC2" w:rsidR="00CD3639" w:rsidRPr="00C462BE" w:rsidRDefault="00746028" w:rsidP="00CD3639">
            <w:pPr>
              <w:suppressLineNumbers/>
              <w:suppressAutoHyphens/>
              <w:spacing w:before="60" w:after="60"/>
              <w:jc w:val="left"/>
              <w:rPr>
                <w:rFonts w:eastAsia="MS Mincho"/>
                <w:kern w:val="22"/>
                <w:szCs w:val="22"/>
                <w:lang w:val="fr-CA"/>
              </w:rPr>
            </w:pPr>
            <w:r>
              <w:rPr>
                <w:bCs/>
                <w:kern w:val="22"/>
                <w:szCs w:val="22"/>
                <w:lang w:val="fr-CA"/>
              </w:rPr>
              <w:t>[</w:t>
            </w:r>
            <w:r w:rsidR="00CD3639" w:rsidRPr="00C462BE">
              <w:rPr>
                <w:bCs/>
                <w:kern w:val="22"/>
                <w:szCs w:val="22"/>
                <w:lang w:val="fr-CA"/>
              </w:rPr>
              <w:t>i) Fournir un appui pour que les Parties concernées mènent à bien les activités prévues dans les plans d’action pour le respect des dispositions, afin de résoudre les problèmes de non-respect identifiés.</w:t>
            </w:r>
            <w:r>
              <w:rPr>
                <w:bCs/>
                <w:kern w:val="22"/>
                <w:szCs w:val="22"/>
                <w:lang w:val="fr-CA"/>
              </w:rPr>
              <w:t>]</w:t>
            </w:r>
          </w:p>
        </w:tc>
        <w:tc>
          <w:tcPr>
            <w:tcW w:w="2790" w:type="dxa"/>
          </w:tcPr>
          <w:p w14:paraId="2EC81213" w14:textId="043096E9" w:rsidR="00CD3639" w:rsidRPr="00746028" w:rsidRDefault="00CD3639" w:rsidP="00746028">
            <w:pPr>
              <w:suppressLineNumbers/>
              <w:suppressAutoHyphens/>
              <w:spacing w:before="60" w:after="60"/>
              <w:jc w:val="left"/>
              <w:rPr>
                <w:rFonts w:eastAsia="MS Mincho"/>
                <w:kern w:val="22"/>
                <w:szCs w:val="22"/>
                <w:lang w:val="fr-CA"/>
              </w:rPr>
            </w:pPr>
            <w:r w:rsidRPr="00746028">
              <w:rPr>
                <w:rFonts w:eastAsia="MS Mincho"/>
                <w:szCs w:val="22"/>
                <w:lang w:val="fr-CA"/>
              </w:rPr>
              <w:t xml:space="preserve">a) </w:t>
            </w:r>
            <w:r w:rsidR="00746028" w:rsidRPr="00746028">
              <w:rPr>
                <w:rFonts w:eastAsia="MS Mincho"/>
                <w:szCs w:val="22"/>
                <w:lang w:val="fr-CA"/>
              </w:rPr>
              <w:t>Pourcentage des pays</w:t>
            </w:r>
            <w:r w:rsidR="008D4860">
              <w:rPr>
                <w:rFonts w:eastAsia="MS Mincho"/>
                <w:szCs w:val="22"/>
                <w:lang w:val="fr-CA"/>
              </w:rPr>
              <w:t xml:space="preserve"> en situation de</w:t>
            </w:r>
            <w:r w:rsidR="00746028" w:rsidRPr="00746028">
              <w:rPr>
                <w:rFonts w:eastAsia="MS Mincho"/>
                <w:szCs w:val="22"/>
                <w:lang w:val="fr-CA"/>
              </w:rPr>
              <w:t xml:space="preserve"> </w:t>
            </w:r>
            <w:r w:rsidR="008D4860">
              <w:rPr>
                <w:szCs w:val="22"/>
                <w:lang w:val="fr-CA"/>
              </w:rPr>
              <w:t>non-conformité,</w:t>
            </w:r>
            <w:r w:rsidR="00746028" w:rsidRPr="00746028">
              <w:rPr>
                <w:szCs w:val="22"/>
                <w:lang w:val="fr-CA"/>
              </w:rPr>
              <w:t xml:space="preserve"> dont l’exécution réussie du </w:t>
            </w:r>
            <w:r w:rsidR="008D4860">
              <w:rPr>
                <w:szCs w:val="22"/>
                <w:lang w:val="fr-CA"/>
              </w:rPr>
              <w:t>plan d’action pour le respect des dispositions</w:t>
            </w:r>
            <w:r w:rsidR="00746028" w:rsidRPr="00746028">
              <w:rPr>
                <w:szCs w:val="22"/>
                <w:lang w:val="fr-CA"/>
              </w:rPr>
              <w:t xml:space="preserve"> a mené </w:t>
            </w:r>
            <w:r w:rsidR="00746028">
              <w:rPr>
                <w:szCs w:val="22"/>
                <w:lang w:val="fr-CA"/>
              </w:rPr>
              <w:t>à</w:t>
            </w:r>
            <w:r w:rsidR="00746028" w:rsidRPr="00746028">
              <w:rPr>
                <w:szCs w:val="22"/>
                <w:lang w:val="fr-CA"/>
              </w:rPr>
              <w:t xml:space="preserve"> leur conform</w:t>
            </w:r>
            <w:r w:rsidR="00746028">
              <w:rPr>
                <w:szCs w:val="22"/>
                <w:lang w:val="fr-CA"/>
              </w:rPr>
              <w:t>it</w:t>
            </w:r>
            <w:r w:rsidR="00746028" w:rsidRPr="00746028">
              <w:rPr>
                <w:szCs w:val="22"/>
                <w:lang w:val="fr-CA"/>
              </w:rPr>
              <w:t>é complète</w:t>
            </w:r>
            <w:r w:rsidRPr="00746028">
              <w:rPr>
                <w:rFonts w:eastAsia="MS Mincho"/>
                <w:szCs w:val="22"/>
                <w:lang w:val="fr-CA"/>
              </w:rPr>
              <w:t>.</w:t>
            </w:r>
          </w:p>
        </w:tc>
        <w:tc>
          <w:tcPr>
            <w:tcW w:w="1890" w:type="dxa"/>
          </w:tcPr>
          <w:p w14:paraId="4C6A2C42" w14:textId="2BA342DE"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Un mécanisme de respect ef</w:t>
            </w:r>
            <w:r w:rsidR="008D4860">
              <w:rPr>
                <w:kern w:val="22"/>
                <w:szCs w:val="22"/>
                <w:lang w:val="fr-CA"/>
              </w:rPr>
              <w:t>ficace facilite l’application</w:t>
            </w:r>
            <w:r w:rsidRPr="00C462BE">
              <w:rPr>
                <w:kern w:val="22"/>
                <w:szCs w:val="22"/>
                <w:lang w:val="fr-CA"/>
              </w:rPr>
              <w:t xml:space="preserve"> du Protocole.</w:t>
            </w:r>
          </w:p>
        </w:tc>
        <w:tc>
          <w:tcPr>
            <w:tcW w:w="1710" w:type="dxa"/>
          </w:tcPr>
          <w:p w14:paraId="4BF24B37" w14:textId="31491352" w:rsidR="00746028" w:rsidRDefault="00CD3639" w:rsidP="00746028">
            <w:pPr>
              <w:suppressLineNumbers/>
              <w:suppressAutoHyphens/>
              <w:spacing w:before="60" w:after="60"/>
              <w:jc w:val="left"/>
              <w:rPr>
                <w:rFonts w:eastAsia="MS Mincho"/>
                <w:szCs w:val="22"/>
                <w:lang w:val="fr-CA"/>
              </w:rPr>
            </w:pPr>
            <w:r w:rsidRPr="00C462BE">
              <w:rPr>
                <w:rFonts w:eastAsia="MS Mincho"/>
                <w:szCs w:val="22"/>
                <w:lang w:val="fr-CA"/>
              </w:rPr>
              <w:t>[</w:t>
            </w:r>
            <w:r w:rsidR="00746028">
              <w:rPr>
                <w:rFonts w:eastAsia="MS Mincho"/>
                <w:szCs w:val="22"/>
                <w:lang w:val="fr-CA"/>
              </w:rPr>
              <w:t>Autorités nationales / personnel des autorités nationales et autres parties prenantes intéressées</w:t>
            </w:r>
            <w:r w:rsidR="008D4860">
              <w:rPr>
                <w:rFonts w:eastAsia="MS Mincho"/>
                <w:szCs w:val="22"/>
                <w:lang w:val="fr-CA"/>
              </w:rPr>
              <w:t>,</w:t>
            </w:r>
          </w:p>
          <w:p w14:paraId="0755841D" w14:textId="087E4602" w:rsidR="00CD3639" w:rsidRPr="00C462BE" w:rsidRDefault="0001374C" w:rsidP="00746028">
            <w:pPr>
              <w:suppressLineNumbers/>
              <w:suppressAutoHyphens/>
              <w:spacing w:before="60" w:after="60"/>
              <w:jc w:val="left"/>
              <w:rPr>
                <w:rFonts w:eastAsia="MS Mincho"/>
                <w:kern w:val="22"/>
                <w:szCs w:val="22"/>
                <w:lang w:val="fr-CA"/>
              </w:rPr>
            </w:pPr>
            <w:r>
              <w:rPr>
                <w:rFonts w:eastAsia="MS Mincho"/>
                <w:szCs w:val="22"/>
                <w:lang w:val="fr-CA"/>
              </w:rPr>
              <w:t>Comité chargé du respect des obligations</w:t>
            </w:r>
            <w:r w:rsidR="00CD3639" w:rsidRPr="00C462BE">
              <w:rPr>
                <w:rFonts w:eastAsia="MS Mincho"/>
                <w:szCs w:val="22"/>
                <w:lang w:val="fr-CA"/>
              </w:rPr>
              <w:t>]</w:t>
            </w:r>
          </w:p>
        </w:tc>
      </w:tr>
      <w:tr w:rsidR="00CD3639" w:rsidRPr="00301569" w14:paraId="1531884F" w14:textId="77777777" w:rsidTr="00065370">
        <w:trPr>
          <w:trHeight w:val="1322"/>
          <w:jc w:val="center"/>
        </w:trPr>
        <w:tc>
          <w:tcPr>
            <w:tcW w:w="1705" w:type="dxa"/>
          </w:tcPr>
          <w:p w14:paraId="560742A3" w14:textId="37E949E3"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A.5. Les Parties procèdent à des évaluations scientifique</w:t>
            </w:r>
            <w:r w:rsidR="008B749D">
              <w:rPr>
                <w:b/>
                <w:bCs/>
                <w:kern w:val="22"/>
                <w:szCs w:val="22"/>
                <w:lang w:val="fr-CA"/>
              </w:rPr>
              <w:t>-</w:t>
            </w:r>
            <w:r w:rsidRPr="00C462BE">
              <w:rPr>
                <w:b/>
                <w:bCs/>
                <w:kern w:val="22"/>
                <w:szCs w:val="22"/>
                <w:lang w:val="fr-CA"/>
              </w:rPr>
              <w:t>ment fondées des risques relatifs aux OVM, et gèrent et contrôlent les risques identifiés pour prévenir les effets néfastes des OVM sur la conservation et l’utilisation durable de la diversité biologique</w:t>
            </w:r>
            <w:r w:rsidR="00422417">
              <w:rPr>
                <w:b/>
                <w:bCs/>
                <w:kern w:val="22"/>
                <w:szCs w:val="22"/>
                <w:lang w:val="fr-CA"/>
              </w:rPr>
              <w:t>, en tenant compte des risques pour la santé humaine</w:t>
            </w:r>
            <w:r w:rsidRPr="00C462BE">
              <w:rPr>
                <w:b/>
                <w:bCs/>
                <w:kern w:val="22"/>
                <w:szCs w:val="22"/>
                <w:lang w:val="fr-CA"/>
              </w:rPr>
              <w:t>.</w:t>
            </w:r>
          </w:p>
        </w:tc>
        <w:tc>
          <w:tcPr>
            <w:tcW w:w="1890" w:type="dxa"/>
            <w:shd w:val="clear" w:color="auto" w:fill="auto"/>
          </w:tcPr>
          <w:p w14:paraId="1DE5AC3A" w14:textId="05E4B683" w:rsidR="00CD3639" w:rsidRPr="00C462BE" w:rsidRDefault="00CD3639" w:rsidP="00CD3639">
            <w:pPr>
              <w:spacing w:before="60" w:after="60"/>
              <w:jc w:val="left"/>
              <w:rPr>
                <w:rFonts w:eastAsia="MS Mincho"/>
                <w:kern w:val="22"/>
                <w:szCs w:val="22"/>
                <w:lang w:val="fr-CA"/>
              </w:rPr>
            </w:pPr>
            <w:r w:rsidRPr="00C462BE">
              <w:rPr>
                <w:kern w:val="22"/>
                <w:szCs w:val="22"/>
                <w:lang w:val="fr-CA"/>
              </w:rPr>
              <w:t>1) Conduite et examen des évaluations des risques scientifiquement fondées</w:t>
            </w:r>
            <w:r w:rsidR="000543BC">
              <w:rPr>
                <w:kern w:val="22"/>
                <w:szCs w:val="22"/>
                <w:lang w:val="fr-CA"/>
              </w:rPr>
              <w:t>;</w:t>
            </w:r>
          </w:p>
          <w:p w14:paraId="0F0CEE09" w14:textId="5B76EE01" w:rsidR="00CD3639" w:rsidRPr="00C462BE" w:rsidRDefault="00CD3639" w:rsidP="00CD3639">
            <w:pPr>
              <w:jc w:val="left"/>
              <w:rPr>
                <w:rFonts w:eastAsia="MS Mincho"/>
                <w:kern w:val="22"/>
                <w:szCs w:val="22"/>
                <w:lang w:val="fr-CA"/>
              </w:rPr>
            </w:pPr>
            <w:r w:rsidRPr="00C462BE">
              <w:rPr>
                <w:kern w:val="22"/>
                <w:szCs w:val="22"/>
                <w:lang w:val="fr-CA"/>
              </w:rPr>
              <w:t>2) Réglemen</w:t>
            </w:r>
            <w:r w:rsidR="008D4860">
              <w:rPr>
                <w:kern w:val="22"/>
                <w:szCs w:val="22"/>
                <w:lang w:val="fr-CA"/>
              </w:rPr>
              <w:t>-</w:t>
            </w:r>
            <w:r w:rsidRPr="00C462BE">
              <w:rPr>
                <w:kern w:val="22"/>
                <w:szCs w:val="22"/>
                <w:lang w:val="fr-CA"/>
              </w:rPr>
              <w:t>tation, gestion et contrôle des risques identifiés</w:t>
            </w:r>
            <w:r w:rsidR="000543BC">
              <w:rPr>
                <w:kern w:val="22"/>
                <w:szCs w:val="22"/>
                <w:lang w:val="fr-CA"/>
              </w:rPr>
              <w:t>;</w:t>
            </w:r>
          </w:p>
          <w:p w14:paraId="7E149540" w14:textId="52FEC62D" w:rsidR="00CD3639" w:rsidRPr="00C462BE" w:rsidRDefault="00CD3639" w:rsidP="00CD3639">
            <w:pPr>
              <w:jc w:val="left"/>
              <w:rPr>
                <w:rFonts w:eastAsia="MS Mincho"/>
                <w:kern w:val="22"/>
                <w:szCs w:val="22"/>
                <w:lang w:val="fr-CA"/>
              </w:rPr>
            </w:pPr>
            <w:r w:rsidRPr="00C462BE">
              <w:rPr>
                <w:kern w:val="22"/>
                <w:szCs w:val="22"/>
                <w:lang w:val="fr-CA"/>
              </w:rPr>
              <w:t>3) Accès à l’infrastructure et à l’expertise technique pour l’évaluation et la gestion des risques</w:t>
            </w:r>
            <w:r w:rsidR="000543BC">
              <w:rPr>
                <w:kern w:val="22"/>
                <w:szCs w:val="22"/>
                <w:lang w:val="fr-CA"/>
              </w:rPr>
              <w:t>;</w:t>
            </w:r>
          </w:p>
          <w:p w14:paraId="42CC9DB2" w14:textId="56EB263F" w:rsidR="00CD3639" w:rsidRDefault="00CD3639" w:rsidP="00CD3639">
            <w:pPr>
              <w:suppressLineNumbers/>
              <w:suppressAutoHyphens/>
              <w:spacing w:before="60" w:after="60"/>
              <w:jc w:val="left"/>
              <w:rPr>
                <w:kern w:val="22"/>
                <w:szCs w:val="22"/>
                <w:lang w:val="fr-CA"/>
              </w:rPr>
            </w:pPr>
            <w:r w:rsidRPr="00C462BE">
              <w:rPr>
                <w:kern w:val="22"/>
                <w:szCs w:val="22"/>
                <w:lang w:val="fr-CA"/>
              </w:rPr>
              <w:t>4) Accès aux données scientifiques pertinentes pour l’évalu</w:t>
            </w:r>
            <w:r w:rsidR="00422417">
              <w:rPr>
                <w:kern w:val="22"/>
                <w:szCs w:val="22"/>
                <w:lang w:val="fr-CA"/>
              </w:rPr>
              <w:t>ation et la gestion des risques</w:t>
            </w:r>
            <w:r w:rsidR="000543BC">
              <w:rPr>
                <w:kern w:val="22"/>
                <w:szCs w:val="22"/>
                <w:lang w:val="fr-CA"/>
              </w:rPr>
              <w:t>;</w:t>
            </w:r>
          </w:p>
          <w:p w14:paraId="0D8CF4BB" w14:textId="53E97849" w:rsidR="00422417" w:rsidRPr="00C462BE" w:rsidRDefault="00422417" w:rsidP="00CD3639">
            <w:pPr>
              <w:suppressLineNumbers/>
              <w:suppressAutoHyphens/>
              <w:spacing w:before="60" w:after="60"/>
              <w:jc w:val="left"/>
              <w:rPr>
                <w:kern w:val="22"/>
                <w:szCs w:val="22"/>
                <w:highlight w:val="yellow"/>
                <w:lang w:val="fr-CA"/>
              </w:rPr>
            </w:pPr>
            <w:r>
              <w:rPr>
                <w:kern w:val="22"/>
                <w:szCs w:val="22"/>
                <w:lang w:val="fr-CA"/>
              </w:rPr>
              <w:t>5) Les Parties ont du personnel qualifié pour entreprendre une évaluation des risques et la gestion des risques au cas par cas</w:t>
            </w:r>
            <w:r w:rsidR="008D4860">
              <w:rPr>
                <w:kern w:val="22"/>
                <w:szCs w:val="22"/>
                <w:lang w:val="fr-CA"/>
              </w:rPr>
              <w:t>.</w:t>
            </w:r>
          </w:p>
        </w:tc>
        <w:tc>
          <w:tcPr>
            <w:tcW w:w="2520" w:type="dxa"/>
            <w:shd w:val="clear" w:color="auto" w:fill="auto"/>
          </w:tcPr>
          <w:p w14:paraId="167589D3" w14:textId="74B8AB91" w:rsidR="00CD3639" w:rsidRPr="00C462BE" w:rsidRDefault="00CD3639" w:rsidP="00CD3639">
            <w:pPr>
              <w:spacing w:before="60" w:after="60"/>
              <w:jc w:val="left"/>
              <w:rPr>
                <w:rFonts w:eastAsia="MS Mincho"/>
                <w:kern w:val="22"/>
                <w:szCs w:val="22"/>
                <w:lang w:val="fr-CA"/>
              </w:rPr>
            </w:pPr>
            <w:r w:rsidRPr="00C462BE">
              <w:rPr>
                <w:kern w:val="22"/>
                <w:szCs w:val="22"/>
                <w:lang w:val="fr-CA"/>
              </w:rPr>
              <w:t>i) Concevoir ou mettre à jour, si nécessaire, et diffuser du matériel de formation sur l’évaluation et la gestion des risques</w:t>
            </w:r>
            <w:r w:rsidR="000543BC">
              <w:rPr>
                <w:kern w:val="22"/>
                <w:szCs w:val="22"/>
                <w:lang w:val="fr-CA"/>
              </w:rPr>
              <w:t>;</w:t>
            </w:r>
          </w:p>
          <w:p w14:paraId="36351076" w14:textId="2E3263A9" w:rsidR="00CD3639" w:rsidRPr="00C462BE" w:rsidRDefault="00CD3639" w:rsidP="00CD3639">
            <w:pPr>
              <w:jc w:val="left"/>
              <w:rPr>
                <w:rFonts w:eastAsia="MS Mincho"/>
                <w:kern w:val="22"/>
                <w:szCs w:val="22"/>
                <w:lang w:val="fr-CA"/>
              </w:rPr>
            </w:pPr>
            <w:r w:rsidRPr="00C462BE">
              <w:rPr>
                <w:kern w:val="22"/>
                <w:szCs w:val="22"/>
                <w:lang w:val="fr-CA"/>
              </w:rPr>
              <w:t>ii) Dispenser une formation sur la conduite et l’examen des évaluations des risques, incluant l’utilisation de documents de référence ainsi que la collecte et l’analyse d’informations scientifiques</w:t>
            </w:r>
            <w:r w:rsidR="000543BC">
              <w:rPr>
                <w:kern w:val="22"/>
                <w:szCs w:val="22"/>
                <w:lang w:val="fr-CA"/>
              </w:rPr>
              <w:t>;</w:t>
            </w:r>
          </w:p>
          <w:p w14:paraId="2CC54A2C" w14:textId="753B06A4" w:rsidR="00CD3639" w:rsidRPr="00C462BE" w:rsidRDefault="00CD3639" w:rsidP="00CD3639">
            <w:pPr>
              <w:jc w:val="left"/>
              <w:rPr>
                <w:rFonts w:eastAsia="MS Mincho"/>
                <w:kern w:val="22"/>
                <w:szCs w:val="22"/>
                <w:lang w:val="fr-CA"/>
              </w:rPr>
            </w:pPr>
            <w:r w:rsidRPr="00C462BE">
              <w:rPr>
                <w:kern w:val="22"/>
                <w:szCs w:val="22"/>
                <w:lang w:val="fr-CA"/>
              </w:rPr>
              <w:t>iii) Faciliter l’accès à une infrastructure et à une expertise adéquates pour l’évaluation et la gestion des risques</w:t>
            </w:r>
            <w:r w:rsidR="000543BC">
              <w:rPr>
                <w:kern w:val="22"/>
                <w:szCs w:val="22"/>
                <w:lang w:val="fr-CA"/>
              </w:rPr>
              <w:t>;</w:t>
            </w:r>
          </w:p>
          <w:p w14:paraId="1D279081" w14:textId="259999B2" w:rsidR="00422417" w:rsidRDefault="00CD3639" w:rsidP="00CD3639">
            <w:pPr>
              <w:suppressLineNumbers/>
              <w:suppressAutoHyphens/>
              <w:spacing w:before="60" w:after="60"/>
              <w:jc w:val="left"/>
              <w:rPr>
                <w:kern w:val="22"/>
                <w:szCs w:val="22"/>
                <w:lang w:val="fr-CA"/>
              </w:rPr>
            </w:pPr>
            <w:r w:rsidRPr="00C462BE">
              <w:rPr>
                <w:kern w:val="22"/>
                <w:szCs w:val="22"/>
                <w:lang w:val="fr-CA"/>
              </w:rPr>
              <w:t>iv) Dispenser une formation sur la conduite de recherches scientifiques, l’examen et l’acquisition de données sur la biodiversité pour des zones écologiques spécifiques pertinentes pour l’évalua</w:t>
            </w:r>
            <w:r w:rsidR="00422417">
              <w:rPr>
                <w:kern w:val="22"/>
                <w:szCs w:val="22"/>
                <w:lang w:val="fr-CA"/>
              </w:rPr>
              <w:t>tion et la gestion des risques</w:t>
            </w:r>
            <w:r w:rsidR="000543BC">
              <w:rPr>
                <w:kern w:val="22"/>
                <w:szCs w:val="22"/>
                <w:lang w:val="fr-CA"/>
              </w:rPr>
              <w:t>;</w:t>
            </w:r>
          </w:p>
          <w:p w14:paraId="39BA1E7E" w14:textId="1926D0EC" w:rsidR="00422417" w:rsidRPr="00422417" w:rsidRDefault="00422417" w:rsidP="00CD3639">
            <w:pPr>
              <w:suppressLineNumbers/>
              <w:suppressAutoHyphens/>
              <w:spacing w:before="60" w:after="60"/>
              <w:jc w:val="left"/>
              <w:rPr>
                <w:kern w:val="22"/>
                <w:szCs w:val="22"/>
                <w:lang w:val="fr-CA"/>
              </w:rPr>
            </w:pPr>
            <w:r>
              <w:rPr>
                <w:kern w:val="22"/>
                <w:szCs w:val="22"/>
                <w:lang w:val="fr-CA"/>
              </w:rPr>
              <w:t>v) Créer des liens avec le milie</w:t>
            </w:r>
            <w:r w:rsidR="008D4860">
              <w:rPr>
                <w:kern w:val="22"/>
                <w:szCs w:val="22"/>
                <w:lang w:val="fr-CA"/>
              </w:rPr>
              <w:t>u universitaire et/ou des institution</w:t>
            </w:r>
            <w:r>
              <w:rPr>
                <w:kern w:val="22"/>
                <w:szCs w:val="22"/>
                <w:lang w:val="fr-CA"/>
              </w:rPr>
              <w:t>s de recherche particulières afin d’élaborer des programmes éducatifs sur l’évaluation des risques et la gestion des risques.</w:t>
            </w:r>
          </w:p>
        </w:tc>
        <w:tc>
          <w:tcPr>
            <w:tcW w:w="2790" w:type="dxa"/>
          </w:tcPr>
          <w:p w14:paraId="343099D2" w14:textId="1B12CD7A" w:rsidR="00CD3639" w:rsidRPr="00C462BE" w:rsidRDefault="008B749D" w:rsidP="00CD3639">
            <w:pPr>
              <w:suppressLineNumbers/>
              <w:suppressAutoHyphens/>
              <w:spacing w:before="60" w:after="60"/>
              <w:jc w:val="left"/>
              <w:rPr>
                <w:rFonts w:eastAsia="MS Mincho"/>
                <w:kern w:val="22"/>
                <w:szCs w:val="22"/>
                <w:lang w:val="fr-CA"/>
              </w:rPr>
            </w:pPr>
            <w:r>
              <w:rPr>
                <w:rFonts w:eastAsia="MS Mincho"/>
                <w:szCs w:val="22"/>
                <w:lang w:val="fr-CA"/>
              </w:rPr>
              <w:t>a) Pourcentage de</w:t>
            </w:r>
            <w:r w:rsidR="00942914">
              <w:rPr>
                <w:rFonts w:eastAsia="MS Mincho"/>
                <w:szCs w:val="22"/>
                <w:lang w:val="fr-CA"/>
              </w:rPr>
              <w:t xml:space="preserve"> Parties ayant </w:t>
            </w:r>
            <w:r>
              <w:rPr>
                <w:rFonts w:eastAsia="MS Mincho"/>
                <w:szCs w:val="22"/>
                <w:lang w:val="fr-CA"/>
              </w:rPr>
              <w:t xml:space="preserve">élaboré ou </w:t>
            </w:r>
            <w:r w:rsidR="00942914">
              <w:rPr>
                <w:rFonts w:eastAsia="MS Mincho"/>
                <w:szCs w:val="22"/>
                <w:lang w:val="fr-CA"/>
              </w:rPr>
              <w:t>actualisé leur matériel de formation</w:t>
            </w:r>
            <w:r>
              <w:rPr>
                <w:rFonts w:eastAsia="MS Mincho"/>
                <w:szCs w:val="22"/>
                <w:lang w:val="fr-CA"/>
              </w:rPr>
              <w:t>, selon que de besoin,</w:t>
            </w:r>
            <w:r w:rsidR="00942914">
              <w:rPr>
                <w:rFonts w:eastAsia="MS Mincho"/>
                <w:szCs w:val="22"/>
                <w:lang w:val="fr-CA"/>
              </w:rPr>
              <w:t xml:space="preserve"> sur l’évaluation des risques</w:t>
            </w:r>
            <w:r>
              <w:rPr>
                <w:rFonts w:eastAsia="MS Mincho"/>
                <w:szCs w:val="22"/>
                <w:lang w:val="fr-CA"/>
              </w:rPr>
              <w:t xml:space="preserve"> scientifiquement fondée</w:t>
            </w:r>
            <w:r w:rsidR="00942914">
              <w:rPr>
                <w:rFonts w:eastAsia="MS Mincho"/>
                <w:szCs w:val="22"/>
                <w:lang w:val="fr-CA"/>
              </w:rPr>
              <w:t xml:space="preserve"> et la gestion des </w:t>
            </w:r>
            <w:r>
              <w:rPr>
                <w:rFonts w:eastAsia="MS Mincho"/>
                <w:szCs w:val="22"/>
                <w:lang w:val="fr-CA"/>
              </w:rPr>
              <w:t>risques [concernant les OVM résultant des nouvelles techniques génétiques]</w:t>
            </w:r>
            <w:r w:rsidR="000543BC">
              <w:rPr>
                <w:rFonts w:eastAsia="MS Mincho"/>
                <w:szCs w:val="22"/>
                <w:lang w:val="fr-CA"/>
              </w:rPr>
              <w:t>;</w:t>
            </w:r>
          </w:p>
          <w:p w14:paraId="4789E328" w14:textId="5139E4C8" w:rsidR="00CD3639" w:rsidRPr="00942914" w:rsidRDefault="00CD3639" w:rsidP="00CD3639">
            <w:pPr>
              <w:suppressLineNumbers/>
              <w:suppressAutoHyphens/>
              <w:spacing w:before="60" w:after="60"/>
              <w:jc w:val="left"/>
              <w:rPr>
                <w:i/>
                <w:iCs/>
                <w:szCs w:val="22"/>
                <w:highlight w:val="yellow"/>
                <w:lang w:val="fr-CA"/>
              </w:rPr>
            </w:pPr>
            <w:r w:rsidRPr="00942914">
              <w:rPr>
                <w:rFonts w:eastAsia="MS Mincho"/>
                <w:szCs w:val="22"/>
                <w:lang w:val="fr-CA"/>
              </w:rPr>
              <w:t xml:space="preserve">b) </w:t>
            </w:r>
            <w:r w:rsidR="00FE3A58">
              <w:rPr>
                <w:rFonts w:eastAsia="MS Mincho"/>
                <w:szCs w:val="22"/>
                <w:lang w:val="fr-CA"/>
              </w:rPr>
              <w:t>Pourcentage de Parties</w:t>
            </w:r>
            <w:r w:rsidR="00942914" w:rsidRPr="00942914">
              <w:rPr>
                <w:rFonts w:eastAsia="MS Mincho"/>
                <w:szCs w:val="22"/>
                <w:lang w:val="fr-CA"/>
              </w:rPr>
              <w:t xml:space="preserve"> ayant </w:t>
            </w:r>
            <w:r w:rsidR="0057323B">
              <w:rPr>
                <w:rFonts w:eastAsia="MS Mincho"/>
                <w:szCs w:val="22"/>
                <w:lang w:val="fr-CA"/>
              </w:rPr>
              <w:t>dispensé</w:t>
            </w:r>
            <w:r w:rsidR="00FE3A58">
              <w:rPr>
                <w:rFonts w:eastAsia="MS Mincho"/>
                <w:szCs w:val="22"/>
                <w:lang w:val="fr-CA"/>
              </w:rPr>
              <w:t xml:space="preserve"> une formation sur la </w:t>
            </w:r>
            <w:r w:rsidR="00942914">
              <w:rPr>
                <w:rFonts w:eastAsia="MS Mincho"/>
                <w:szCs w:val="22"/>
                <w:lang w:val="fr-CA"/>
              </w:rPr>
              <w:t>tenue e</w:t>
            </w:r>
            <w:r w:rsidR="00942914" w:rsidRPr="00942914">
              <w:rPr>
                <w:rFonts w:eastAsia="MS Mincho"/>
                <w:szCs w:val="22"/>
                <w:lang w:val="fr-CA"/>
              </w:rPr>
              <w:t xml:space="preserve">t </w:t>
            </w:r>
            <w:r w:rsidR="00FE3A58">
              <w:rPr>
                <w:rFonts w:eastAsia="MS Mincho"/>
                <w:szCs w:val="22"/>
                <w:lang w:val="fr-CA"/>
              </w:rPr>
              <w:t>l’</w:t>
            </w:r>
            <w:r w:rsidR="00942914" w:rsidRPr="00942914">
              <w:rPr>
                <w:rFonts w:eastAsia="MS Mincho"/>
                <w:szCs w:val="22"/>
                <w:lang w:val="fr-CA"/>
              </w:rPr>
              <w:t>examen des évaluations des risques</w:t>
            </w:r>
            <w:r w:rsidRPr="00942914">
              <w:rPr>
                <w:rFonts w:eastAsia="MS Mincho"/>
                <w:szCs w:val="22"/>
                <w:lang w:val="fr-CA"/>
              </w:rPr>
              <w:t xml:space="preserve">; </w:t>
            </w:r>
          </w:p>
          <w:p w14:paraId="21C078BF" w14:textId="57D03C91" w:rsidR="00942914" w:rsidRDefault="00FE3A58" w:rsidP="00CD3639">
            <w:pPr>
              <w:suppressLineNumbers/>
              <w:suppressAutoHyphens/>
              <w:spacing w:before="60" w:after="60"/>
              <w:jc w:val="left"/>
              <w:rPr>
                <w:rFonts w:eastAsia="MS Mincho"/>
                <w:szCs w:val="22"/>
                <w:lang w:val="fr-CA"/>
              </w:rPr>
            </w:pPr>
            <w:r>
              <w:rPr>
                <w:rFonts w:eastAsia="MS Mincho"/>
                <w:szCs w:val="22"/>
                <w:lang w:val="fr-CA"/>
              </w:rPr>
              <w:t>c</w:t>
            </w:r>
            <w:r w:rsidR="00CD3639" w:rsidRPr="00942914">
              <w:rPr>
                <w:rFonts w:eastAsia="MS Mincho"/>
                <w:szCs w:val="22"/>
                <w:lang w:val="fr-CA"/>
              </w:rPr>
              <w:t xml:space="preserve">) </w:t>
            </w:r>
            <w:r>
              <w:rPr>
                <w:rFonts w:eastAsia="MS Mincho"/>
                <w:szCs w:val="22"/>
                <w:lang w:val="fr-CA"/>
              </w:rPr>
              <w:t xml:space="preserve">Nombre d’experts par Partie qui sont en mesure d’entreprendre ou d’examiner une </w:t>
            </w:r>
            <w:r w:rsidR="001E69F5">
              <w:rPr>
                <w:rFonts w:eastAsia="MS Mincho"/>
                <w:szCs w:val="22"/>
                <w:lang w:val="fr-CA"/>
              </w:rPr>
              <w:t>é</w:t>
            </w:r>
            <w:r w:rsidR="00942914" w:rsidRPr="00942914">
              <w:rPr>
                <w:rFonts w:eastAsia="MS Mincho"/>
                <w:szCs w:val="22"/>
                <w:lang w:val="fr-CA"/>
              </w:rPr>
              <w:t>valuation des risques et gestion des risques au cas par cas</w:t>
            </w:r>
            <w:r w:rsidR="000543BC">
              <w:rPr>
                <w:rFonts w:eastAsia="MS Mincho"/>
                <w:szCs w:val="22"/>
                <w:lang w:val="fr-CA"/>
              </w:rPr>
              <w:t>;</w:t>
            </w:r>
            <w:r w:rsidR="00CD3639" w:rsidRPr="00942914">
              <w:rPr>
                <w:rFonts w:eastAsia="MS Mincho"/>
                <w:szCs w:val="22"/>
                <w:lang w:val="fr-CA"/>
              </w:rPr>
              <w:t xml:space="preserve"> </w:t>
            </w:r>
          </w:p>
          <w:p w14:paraId="12C97695" w14:textId="76F355B7" w:rsidR="00CD3639" w:rsidRPr="001E69F5" w:rsidRDefault="00FE3A58" w:rsidP="00CD3639">
            <w:pPr>
              <w:suppressLineNumbers/>
              <w:suppressAutoHyphens/>
              <w:spacing w:before="60" w:after="60"/>
              <w:jc w:val="left"/>
              <w:rPr>
                <w:rFonts w:eastAsia="MS Mincho"/>
                <w:kern w:val="22"/>
                <w:szCs w:val="22"/>
                <w:lang w:val="fr-CA"/>
              </w:rPr>
            </w:pPr>
            <w:r>
              <w:rPr>
                <w:rFonts w:eastAsia="MS Mincho"/>
                <w:kern w:val="22"/>
                <w:szCs w:val="22"/>
                <w:lang w:val="fr-CA"/>
              </w:rPr>
              <w:t>d</w:t>
            </w:r>
            <w:r w:rsidR="00CD3639" w:rsidRPr="001E69F5">
              <w:rPr>
                <w:rFonts w:eastAsia="MS Mincho"/>
                <w:kern w:val="22"/>
                <w:szCs w:val="22"/>
                <w:lang w:val="fr-CA"/>
              </w:rPr>
              <w:t xml:space="preserve">) </w:t>
            </w:r>
            <w:r>
              <w:rPr>
                <w:rFonts w:eastAsia="MS Mincho"/>
                <w:kern w:val="22"/>
                <w:szCs w:val="22"/>
                <w:lang w:val="fr-CA"/>
              </w:rPr>
              <w:t>Pourcentage de Parties</w:t>
            </w:r>
            <w:r w:rsidR="001E69F5" w:rsidRPr="001E69F5">
              <w:rPr>
                <w:rFonts w:eastAsia="MS Mincho"/>
                <w:kern w:val="22"/>
                <w:szCs w:val="22"/>
                <w:lang w:val="fr-CA"/>
              </w:rPr>
              <w:t xml:space="preserve"> ayant accès à une infrastructure et une expertise adéquates pour évaluer et gérer les risques</w:t>
            </w:r>
            <w:r w:rsidR="00CD3639" w:rsidRPr="001E69F5">
              <w:rPr>
                <w:rFonts w:eastAsia="MS Mincho"/>
                <w:kern w:val="22"/>
                <w:szCs w:val="22"/>
                <w:lang w:val="fr-CA"/>
              </w:rPr>
              <w:t>;</w:t>
            </w:r>
          </w:p>
          <w:p w14:paraId="55D6EC7F" w14:textId="2EB9ADAC" w:rsidR="00CD3639" w:rsidRPr="001E69F5" w:rsidRDefault="00FE3A58" w:rsidP="00CD3639">
            <w:pPr>
              <w:pStyle w:val="Default"/>
              <w:rPr>
                <w:rFonts w:ascii="Times New Roman" w:eastAsia="MS Mincho" w:hAnsi="Times New Roman" w:cs="Times New Roman"/>
                <w:color w:val="auto"/>
                <w:kern w:val="22"/>
                <w:sz w:val="22"/>
                <w:szCs w:val="22"/>
                <w:lang w:val="fr-CA" w:eastAsia="en-US"/>
              </w:rPr>
            </w:pPr>
            <w:r>
              <w:rPr>
                <w:rFonts w:ascii="Times New Roman" w:eastAsia="MS Mincho" w:hAnsi="Times New Roman" w:cs="Times New Roman"/>
                <w:color w:val="auto"/>
                <w:kern w:val="22"/>
                <w:sz w:val="22"/>
                <w:szCs w:val="22"/>
                <w:lang w:val="fr-CA" w:eastAsia="en-US"/>
              </w:rPr>
              <w:t>e</w:t>
            </w:r>
            <w:r w:rsidR="00CD3639" w:rsidRPr="001E69F5">
              <w:rPr>
                <w:rFonts w:ascii="Times New Roman" w:eastAsia="MS Mincho" w:hAnsi="Times New Roman" w:cs="Times New Roman"/>
                <w:color w:val="auto"/>
                <w:kern w:val="22"/>
                <w:sz w:val="22"/>
                <w:szCs w:val="22"/>
                <w:lang w:val="fr-CA" w:eastAsia="en-US"/>
              </w:rPr>
              <w:t>)</w:t>
            </w:r>
            <w:r w:rsidR="00CD3639" w:rsidRPr="001E69F5">
              <w:rPr>
                <w:rFonts w:ascii="Times New Roman" w:eastAsia="MS Mincho" w:hAnsi="Times New Roman" w:cs="Times New Roman"/>
                <w:kern w:val="22"/>
                <w:sz w:val="22"/>
                <w:szCs w:val="22"/>
                <w:lang w:val="fr-CA"/>
              </w:rPr>
              <w:t xml:space="preserve"> </w:t>
            </w:r>
            <w:r>
              <w:rPr>
                <w:rFonts w:ascii="Times New Roman" w:eastAsia="MS Mincho" w:hAnsi="Times New Roman" w:cs="Times New Roman"/>
                <w:color w:val="auto"/>
                <w:kern w:val="22"/>
                <w:sz w:val="22"/>
                <w:szCs w:val="22"/>
                <w:lang w:val="fr-CA" w:eastAsia="en-US"/>
              </w:rPr>
              <w:t>Pourcentage de Parties dispensant</w:t>
            </w:r>
            <w:r w:rsidR="001E69F5" w:rsidRPr="001E69F5">
              <w:rPr>
                <w:rFonts w:ascii="Times New Roman" w:eastAsia="MS Mincho" w:hAnsi="Times New Roman" w:cs="Times New Roman"/>
                <w:color w:val="auto"/>
                <w:kern w:val="22"/>
                <w:sz w:val="22"/>
                <w:szCs w:val="22"/>
                <w:lang w:val="fr-CA" w:eastAsia="en-US"/>
              </w:rPr>
              <w:t xml:space="preserve"> une formation </w:t>
            </w:r>
            <w:r w:rsidR="001E69F5">
              <w:rPr>
                <w:rFonts w:ascii="Times New Roman" w:eastAsia="MS Mincho" w:hAnsi="Times New Roman" w:cs="Times New Roman"/>
                <w:color w:val="auto"/>
                <w:kern w:val="22"/>
                <w:sz w:val="22"/>
                <w:szCs w:val="22"/>
                <w:lang w:val="fr-CA" w:eastAsia="en-US"/>
              </w:rPr>
              <w:t>en réalisati</w:t>
            </w:r>
            <w:r w:rsidR="001E69F5" w:rsidRPr="001E69F5">
              <w:rPr>
                <w:rFonts w:ascii="Times New Roman" w:eastAsia="MS Mincho" w:hAnsi="Times New Roman" w:cs="Times New Roman"/>
                <w:color w:val="auto"/>
                <w:kern w:val="22"/>
                <w:sz w:val="22"/>
                <w:szCs w:val="22"/>
                <w:lang w:val="fr-CA" w:eastAsia="en-US"/>
              </w:rPr>
              <w:t xml:space="preserve">on de recherches scientifiques, </w:t>
            </w:r>
            <w:r w:rsidR="001E69F5">
              <w:rPr>
                <w:rFonts w:ascii="Times New Roman" w:eastAsia="MS Mincho" w:hAnsi="Times New Roman" w:cs="Times New Roman"/>
                <w:color w:val="auto"/>
                <w:kern w:val="22"/>
                <w:sz w:val="22"/>
                <w:szCs w:val="22"/>
                <w:lang w:val="fr-CA" w:eastAsia="en-US"/>
              </w:rPr>
              <w:t>examen et acquisition de données pertinentes à l’évaluation des risques et la gestion des risques</w:t>
            </w:r>
            <w:r w:rsidR="00CD3639" w:rsidRPr="001E69F5">
              <w:rPr>
                <w:rFonts w:ascii="Times New Roman" w:eastAsia="MS Mincho" w:hAnsi="Times New Roman" w:cs="Times New Roman"/>
                <w:color w:val="auto"/>
                <w:kern w:val="22"/>
                <w:sz w:val="22"/>
                <w:szCs w:val="22"/>
                <w:lang w:val="fr-CA" w:eastAsia="en-US"/>
              </w:rPr>
              <w:t xml:space="preserve">; </w:t>
            </w:r>
          </w:p>
          <w:p w14:paraId="313BB115" w14:textId="795DE8E3" w:rsidR="00CD3639" w:rsidRPr="00D42098" w:rsidRDefault="00FE3A58" w:rsidP="00CD3639">
            <w:pPr>
              <w:pStyle w:val="Default"/>
              <w:rPr>
                <w:rFonts w:ascii="Times New Roman" w:eastAsia="MS Mincho" w:hAnsi="Times New Roman" w:cs="Times New Roman"/>
                <w:color w:val="auto"/>
                <w:kern w:val="22"/>
                <w:sz w:val="22"/>
                <w:szCs w:val="22"/>
                <w:lang w:val="fr-CA" w:eastAsia="en-US"/>
              </w:rPr>
            </w:pPr>
            <w:r>
              <w:rPr>
                <w:rFonts w:ascii="Times New Roman" w:eastAsia="MS Mincho" w:hAnsi="Times New Roman" w:cs="Times New Roman"/>
                <w:color w:val="auto"/>
                <w:sz w:val="22"/>
                <w:szCs w:val="22"/>
                <w:lang w:val="fr-CA" w:eastAsia="en-US"/>
              </w:rPr>
              <w:t>f</w:t>
            </w:r>
            <w:r w:rsidR="00CD3639" w:rsidRPr="00D42098">
              <w:rPr>
                <w:rFonts w:ascii="Times New Roman" w:eastAsia="MS Mincho" w:hAnsi="Times New Roman" w:cs="Times New Roman"/>
                <w:color w:val="auto"/>
                <w:sz w:val="22"/>
                <w:szCs w:val="22"/>
                <w:lang w:val="fr-CA" w:eastAsia="en-US"/>
              </w:rPr>
              <w:t xml:space="preserve">) </w:t>
            </w:r>
            <w:r>
              <w:rPr>
                <w:rFonts w:ascii="Times New Roman" w:eastAsia="MS Mincho" w:hAnsi="Times New Roman" w:cs="Times New Roman"/>
                <w:color w:val="auto"/>
                <w:sz w:val="22"/>
                <w:szCs w:val="22"/>
                <w:lang w:val="fr-CA" w:eastAsia="en-US"/>
              </w:rPr>
              <w:t>Pourcentage de Parties</w:t>
            </w:r>
            <w:r w:rsidR="001E69F5" w:rsidRPr="00D42098">
              <w:rPr>
                <w:rFonts w:ascii="Times New Roman" w:eastAsia="MS Mincho" w:hAnsi="Times New Roman" w:cs="Times New Roman"/>
                <w:color w:val="auto"/>
                <w:sz w:val="22"/>
                <w:szCs w:val="22"/>
                <w:lang w:val="fr-CA" w:eastAsia="en-US"/>
              </w:rPr>
              <w:t xml:space="preserve"> en</w:t>
            </w:r>
            <w:r w:rsidR="00D42098" w:rsidRPr="00D42098">
              <w:rPr>
                <w:rFonts w:ascii="Times New Roman" w:eastAsia="MS Mincho" w:hAnsi="Times New Roman" w:cs="Times New Roman"/>
                <w:color w:val="auto"/>
                <w:sz w:val="22"/>
                <w:szCs w:val="22"/>
                <w:lang w:val="fr-CA" w:eastAsia="en-US"/>
              </w:rPr>
              <w:t>tretenant des relations établies avec le milie</w:t>
            </w:r>
            <w:r w:rsidR="00A075A7">
              <w:rPr>
                <w:rFonts w:ascii="Times New Roman" w:eastAsia="MS Mincho" w:hAnsi="Times New Roman" w:cs="Times New Roman"/>
                <w:color w:val="auto"/>
                <w:sz w:val="22"/>
                <w:szCs w:val="22"/>
                <w:lang w:val="fr-CA" w:eastAsia="en-US"/>
              </w:rPr>
              <w:t>u universitaire et/ou des institution</w:t>
            </w:r>
            <w:r w:rsidR="00D42098" w:rsidRPr="00D42098">
              <w:rPr>
                <w:rFonts w:ascii="Times New Roman" w:eastAsia="MS Mincho" w:hAnsi="Times New Roman" w:cs="Times New Roman"/>
                <w:color w:val="auto"/>
                <w:sz w:val="22"/>
                <w:szCs w:val="22"/>
                <w:lang w:val="fr-CA" w:eastAsia="en-US"/>
              </w:rPr>
              <w:t xml:space="preserve">s de </w:t>
            </w:r>
            <w:r w:rsidR="00D42098">
              <w:rPr>
                <w:rFonts w:ascii="Times New Roman" w:eastAsia="MS Mincho" w:hAnsi="Times New Roman" w:cs="Times New Roman"/>
                <w:color w:val="auto"/>
                <w:sz w:val="22"/>
                <w:szCs w:val="22"/>
                <w:lang w:val="fr-CA" w:eastAsia="en-US"/>
              </w:rPr>
              <w:t>recherche</w:t>
            </w:r>
            <w:r w:rsidR="00D42098" w:rsidRPr="00D42098">
              <w:rPr>
                <w:rFonts w:ascii="Times New Roman" w:eastAsia="MS Mincho" w:hAnsi="Times New Roman" w:cs="Times New Roman"/>
                <w:color w:val="auto"/>
                <w:sz w:val="22"/>
                <w:szCs w:val="22"/>
                <w:lang w:val="fr-CA" w:eastAsia="en-US"/>
              </w:rPr>
              <w:t xml:space="preserve"> particuli</w:t>
            </w:r>
            <w:r w:rsidR="00D42098">
              <w:rPr>
                <w:rFonts w:ascii="Times New Roman" w:eastAsia="MS Mincho" w:hAnsi="Times New Roman" w:cs="Times New Roman"/>
                <w:color w:val="auto"/>
                <w:sz w:val="22"/>
                <w:szCs w:val="22"/>
                <w:lang w:val="fr-CA" w:eastAsia="en-US"/>
              </w:rPr>
              <w:t>ères pour l’élaboration de programmes éducatifs particuliers sur l’évaluation des risques et la gestion des risques</w:t>
            </w:r>
            <w:r>
              <w:rPr>
                <w:rFonts w:ascii="Times New Roman" w:eastAsia="MS Mincho" w:hAnsi="Times New Roman" w:cs="Times New Roman"/>
                <w:color w:val="auto"/>
                <w:sz w:val="22"/>
                <w:szCs w:val="22"/>
                <w:lang w:val="fr-CA" w:eastAsia="en-US"/>
              </w:rPr>
              <w:t>.</w:t>
            </w:r>
          </w:p>
          <w:p w14:paraId="5A055083" w14:textId="77777777" w:rsidR="00CD3639" w:rsidRPr="00D42098" w:rsidRDefault="00CD3639" w:rsidP="00CD3639">
            <w:pPr>
              <w:suppressLineNumbers/>
              <w:suppressAutoHyphens/>
              <w:spacing w:before="60" w:after="60"/>
              <w:jc w:val="left"/>
              <w:rPr>
                <w:rFonts w:eastAsia="MS Mincho"/>
                <w:kern w:val="22"/>
                <w:szCs w:val="22"/>
                <w:lang w:val="fr-CA"/>
              </w:rPr>
            </w:pPr>
          </w:p>
        </w:tc>
        <w:tc>
          <w:tcPr>
            <w:tcW w:w="1890" w:type="dxa"/>
          </w:tcPr>
          <w:p w14:paraId="150664E5" w14:textId="4D7E8204"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Les Parties identifient, évaluent, gèrent et contrôlent de manière appropriée les risques que représentent les OVM pour la biodiversité, en tenant également compte des risques pour la santé humaine.</w:t>
            </w:r>
          </w:p>
        </w:tc>
        <w:tc>
          <w:tcPr>
            <w:tcW w:w="1710" w:type="dxa"/>
          </w:tcPr>
          <w:p w14:paraId="2714A7E6" w14:textId="77777777" w:rsidR="00D42098" w:rsidRDefault="00CD3639" w:rsidP="00CD3639">
            <w:pPr>
              <w:suppressLineNumbers/>
              <w:suppressAutoHyphens/>
              <w:spacing w:before="60" w:after="60"/>
              <w:jc w:val="left"/>
              <w:rPr>
                <w:rFonts w:eastAsia="MS Mincho"/>
                <w:szCs w:val="22"/>
                <w:lang w:val="fr-CA"/>
              </w:rPr>
            </w:pPr>
            <w:r w:rsidRPr="00C462BE">
              <w:rPr>
                <w:rFonts w:eastAsia="MS Mincho"/>
                <w:szCs w:val="22"/>
                <w:lang w:val="fr-CA"/>
              </w:rPr>
              <w:t>[</w:t>
            </w:r>
            <w:r w:rsidR="00D42098">
              <w:rPr>
                <w:rFonts w:eastAsia="MS Mincho"/>
                <w:szCs w:val="22"/>
                <w:lang w:val="fr-CA"/>
              </w:rPr>
              <w:t xml:space="preserve">Autorités nationales / personnel des autorités nationales </w:t>
            </w:r>
          </w:p>
          <w:p w14:paraId="4F8DFD0C" w14:textId="2C3DB4CC" w:rsidR="00CD3639" w:rsidRPr="00C462BE" w:rsidRDefault="00D42098" w:rsidP="00CD3639">
            <w:pPr>
              <w:suppressLineNumbers/>
              <w:suppressAutoHyphens/>
              <w:spacing w:before="60" w:after="60"/>
              <w:jc w:val="left"/>
              <w:rPr>
                <w:rFonts w:eastAsia="MS Mincho"/>
                <w:kern w:val="22"/>
                <w:szCs w:val="22"/>
                <w:lang w:val="fr-CA"/>
              </w:rPr>
            </w:pPr>
            <w:r>
              <w:rPr>
                <w:rFonts w:eastAsia="MS Mincho"/>
                <w:szCs w:val="22"/>
                <w:lang w:val="fr-CA"/>
              </w:rPr>
              <w:t>M</w:t>
            </w:r>
            <w:r w:rsidR="00A075A7">
              <w:rPr>
                <w:rFonts w:eastAsia="MS Mincho"/>
                <w:szCs w:val="22"/>
                <w:lang w:val="fr-CA"/>
              </w:rPr>
              <w:t>ilieu universitaire et/ou institution</w:t>
            </w:r>
            <w:r>
              <w:rPr>
                <w:rFonts w:eastAsia="MS Mincho"/>
                <w:szCs w:val="22"/>
                <w:lang w:val="fr-CA"/>
              </w:rPr>
              <w:t>s de recherche particulières</w:t>
            </w:r>
            <w:r w:rsidR="00CD3639" w:rsidRPr="00C462BE">
              <w:rPr>
                <w:rFonts w:eastAsia="MS Mincho"/>
                <w:szCs w:val="22"/>
                <w:lang w:val="fr-CA"/>
              </w:rPr>
              <w:t>]</w:t>
            </w:r>
          </w:p>
        </w:tc>
      </w:tr>
      <w:tr w:rsidR="00CD3639" w:rsidRPr="00F0380E" w14:paraId="62556F04" w14:textId="77777777" w:rsidTr="0052325C">
        <w:trPr>
          <w:jc w:val="center"/>
        </w:trPr>
        <w:tc>
          <w:tcPr>
            <w:tcW w:w="1705" w:type="dxa"/>
            <w:tcBorders>
              <w:top w:val="single" w:sz="4" w:space="0" w:color="auto"/>
              <w:left w:val="single" w:sz="4" w:space="0" w:color="auto"/>
              <w:bottom w:val="single" w:sz="4" w:space="0" w:color="auto"/>
              <w:right w:val="single" w:sz="4" w:space="0" w:color="auto"/>
            </w:tcBorders>
          </w:tcPr>
          <w:p w14:paraId="2846F519" w14:textId="7EA541B9" w:rsidR="00CD3639" w:rsidRPr="00C462BE" w:rsidRDefault="00CD3639" w:rsidP="0057323B">
            <w:pPr>
              <w:suppressLineNumbers/>
              <w:suppressAutoHyphens/>
              <w:spacing w:before="60" w:after="60"/>
              <w:jc w:val="left"/>
              <w:rPr>
                <w:kern w:val="22"/>
                <w:szCs w:val="22"/>
                <w:lang w:val="fr-CA"/>
              </w:rPr>
            </w:pPr>
            <w:r w:rsidRPr="00C462BE">
              <w:rPr>
                <w:b/>
                <w:bCs/>
                <w:kern w:val="22"/>
                <w:szCs w:val="22"/>
                <w:lang w:val="fr-CA"/>
              </w:rPr>
              <w:t xml:space="preserve">A.6. Les Parties </w:t>
            </w:r>
            <w:r w:rsidR="00360D77">
              <w:rPr>
                <w:b/>
                <w:bCs/>
                <w:kern w:val="22"/>
                <w:szCs w:val="22"/>
                <w:lang w:val="fr-CA"/>
              </w:rPr>
              <w:t xml:space="preserve">préviennent et </w:t>
            </w:r>
            <w:r w:rsidR="0057323B">
              <w:rPr>
                <w:b/>
                <w:bCs/>
                <w:kern w:val="22"/>
                <w:szCs w:val="22"/>
                <w:lang w:val="fr-CA"/>
              </w:rPr>
              <w:t>réduisent les</w:t>
            </w:r>
            <w:r w:rsidRPr="00C462BE">
              <w:rPr>
                <w:b/>
                <w:bCs/>
                <w:kern w:val="22"/>
                <w:szCs w:val="22"/>
                <w:lang w:val="fr-CA"/>
              </w:rPr>
              <w:t xml:space="preserve"> mouvements </w:t>
            </w:r>
            <w:r w:rsidR="00D106AA">
              <w:rPr>
                <w:b/>
                <w:bCs/>
                <w:kern w:val="22"/>
                <w:szCs w:val="22"/>
                <w:lang w:val="fr-CA"/>
              </w:rPr>
              <w:t>transfrontières illicites</w:t>
            </w:r>
            <w:r w:rsidRPr="00C462BE">
              <w:rPr>
                <w:b/>
                <w:bCs/>
                <w:kern w:val="22"/>
                <w:szCs w:val="22"/>
                <w:lang w:val="fr-CA"/>
              </w:rPr>
              <w:t xml:space="preserve"> et non intentionnels d’OVM.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8CA435C" w14:textId="0DC767BA" w:rsidR="00CD3639" w:rsidRPr="00C462BE" w:rsidRDefault="00CD3639" w:rsidP="00CD3639">
            <w:pPr>
              <w:spacing w:before="60" w:after="60"/>
              <w:jc w:val="left"/>
              <w:rPr>
                <w:rFonts w:eastAsia="MS Mincho"/>
                <w:kern w:val="22"/>
                <w:szCs w:val="22"/>
                <w:lang w:val="fr-CA"/>
              </w:rPr>
            </w:pPr>
            <w:r w:rsidRPr="00C462BE">
              <w:rPr>
                <w:kern w:val="22"/>
                <w:szCs w:val="22"/>
                <w:lang w:val="fr-CA"/>
              </w:rPr>
              <w:t>1) Mise en place de systèmes nationaux fonctionnels de</w:t>
            </w:r>
            <w:r w:rsidR="00360D77">
              <w:rPr>
                <w:kern w:val="22"/>
                <w:szCs w:val="22"/>
                <w:lang w:val="fr-CA"/>
              </w:rPr>
              <w:t xml:space="preserve"> détection, de</w:t>
            </w:r>
            <w:r w:rsidRPr="00C462BE">
              <w:rPr>
                <w:kern w:val="22"/>
                <w:szCs w:val="22"/>
                <w:lang w:val="fr-CA"/>
              </w:rPr>
              <w:t xml:space="preserve"> notification et de réponses appropriées aux mouvements transfrontières non intentionnels, conformément à l’</w:t>
            </w:r>
            <w:r w:rsidR="009365C2">
              <w:rPr>
                <w:kern w:val="22"/>
                <w:szCs w:val="22"/>
                <w:lang w:val="fr-CA"/>
              </w:rPr>
              <w:t>article</w:t>
            </w:r>
            <w:r w:rsidRPr="00C462BE">
              <w:rPr>
                <w:kern w:val="22"/>
                <w:szCs w:val="22"/>
                <w:lang w:val="fr-CA"/>
              </w:rPr>
              <w:t> 17 du Protocole</w:t>
            </w:r>
            <w:r w:rsidR="000543BC">
              <w:rPr>
                <w:kern w:val="22"/>
                <w:szCs w:val="22"/>
                <w:lang w:val="fr-CA"/>
              </w:rPr>
              <w:t>;</w:t>
            </w:r>
          </w:p>
          <w:p w14:paraId="4286FB89" w14:textId="70FBAFD7" w:rsidR="00CD3639" w:rsidRPr="00C462BE" w:rsidRDefault="00CD3639" w:rsidP="00CD3639">
            <w:pPr>
              <w:jc w:val="left"/>
              <w:rPr>
                <w:rFonts w:eastAsia="MS Mincho"/>
                <w:kern w:val="22"/>
                <w:szCs w:val="22"/>
                <w:lang w:val="fr-CA"/>
              </w:rPr>
            </w:pPr>
            <w:r w:rsidRPr="00C462BE">
              <w:rPr>
                <w:kern w:val="22"/>
                <w:szCs w:val="22"/>
                <w:lang w:val="fr-CA"/>
              </w:rPr>
              <w:t xml:space="preserve">2) Mise en place de </w:t>
            </w:r>
            <w:r w:rsidR="00360D77">
              <w:rPr>
                <w:kern w:val="22"/>
                <w:szCs w:val="22"/>
                <w:lang w:val="fr-CA"/>
              </w:rPr>
              <w:t>mesures nationales fonctionnelles pour préveni</w:t>
            </w:r>
            <w:r w:rsidR="007D54FE">
              <w:rPr>
                <w:kern w:val="22"/>
                <w:szCs w:val="22"/>
                <w:lang w:val="fr-CA"/>
              </w:rPr>
              <w:t>r</w:t>
            </w:r>
            <w:r w:rsidR="00360D77">
              <w:rPr>
                <w:kern w:val="22"/>
                <w:szCs w:val="22"/>
                <w:lang w:val="fr-CA"/>
              </w:rPr>
              <w:t xml:space="preserve"> et </w:t>
            </w:r>
            <w:r w:rsidR="0057323B">
              <w:rPr>
                <w:kern w:val="22"/>
                <w:szCs w:val="22"/>
                <w:lang w:val="fr-CA"/>
              </w:rPr>
              <w:t>réduire les</w:t>
            </w:r>
            <w:r w:rsidR="00360D77">
              <w:rPr>
                <w:kern w:val="22"/>
                <w:szCs w:val="22"/>
                <w:lang w:val="fr-CA"/>
              </w:rPr>
              <w:t xml:space="preserve"> mouvements </w:t>
            </w:r>
            <w:r w:rsidR="00D106AA">
              <w:rPr>
                <w:kern w:val="22"/>
                <w:szCs w:val="22"/>
                <w:lang w:val="fr-CA"/>
              </w:rPr>
              <w:t>transfrontières illicites</w:t>
            </w:r>
            <w:r w:rsidR="00360D77">
              <w:rPr>
                <w:kern w:val="22"/>
                <w:szCs w:val="22"/>
                <w:lang w:val="fr-CA"/>
              </w:rPr>
              <w:t xml:space="preserve"> conformément [</w:t>
            </w:r>
            <w:r w:rsidR="00107337">
              <w:rPr>
                <w:kern w:val="22"/>
                <w:szCs w:val="22"/>
                <w:lang w:val="fr-CA"/>
              </w:rPr>
              <w:t>à la législation nationale</w:t>
            </w:r>
            <w:r w:rsidR="00360D77">
              <w:rPr>
                <w:kern w:val="22"/>
                <w:szCs w:val="22"/>
                <w:lang w:val="fr-CA"/>
              </w:rPr>
              <w:t>][à l’</w:t>
            </w:r>
            <w:r w:rsidR="009365C2">
              <w:rPr>
                <w:kern w:val="22"/>
                <w:szCs w:val="22"/>
                <w:lang w:val="fr-CA"/>
              </w:rPr>
              <w:t>article</w:t>
            </w:r>
            <w:r w:rsidR="00360D77">
              <w:rPr>
                <w:kern w:val="22"/>
                <w:szCs w:val="22"/>
                <w:lang w:val="fr-CA"/>
              </w:rPr>
              <w:t xml:space="preserve"> 25 du Protocole].</w:t>
            </w:r>
          </w:p>
          <w:p w14:paraId="79CB0CD6" w14:textId="65F720E1" w:rsidR="00CD3639" w:rsidRPr="00C462BE" w:rsidRDefault="00CD3639" w:rsidP="00CD3639">
            <w:pPr>
              <w:suppressLineNumbers/>
              <w:suppressAutoHyphens/>
              <w:spacing w:before="60" w:after="60"/>
              <w:jc w:val="left"/>
              <w:rPr>
                <w:rFonts w:eastAsia="MS Mincho"/>
                <w:strike/>
                <w:kern w:val="22"/>
                <w:szCs w:val="22"/>
                <w:lang w:val="fr-CA"/>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F39533" w14:textId="5F24F072" w:rsidR="00CD3639" w:rsidRPr="00C462BE" w:rsidRDefault="00CD3639" w:rsidP="00CD3639">
            <w:pPr>
              <w:spacing w:before="60" w:after="60"/>
              <w:jc w:val="left"/>
              <w:rPr>
                <w:rFonts w:eastAsia="MS Mincho"/>
                <w:kern w:val="22"/>
                <w:szCs w:val="22"/>
                <w:lang w:val="fr-CA"/>
              </w:rPr>
            </w:pPr>
            <w:r w:rsidRPr="00C462BE">
              <w:rPr>
                <w:kern w:val="22"/>
                <w:szCs w:val="22"/>
                <w:lang w:val="fr-CA"/>
              </w:rPr>
              <w:t>i) Dispenser une formation sur la documentation, l’échantillonnage, la détection et l’identification des OVM aux parties prenantes concernées</w:t>
            </w:r>
            <w:r w:rsidR="000543BC">
              <w:rPr>
                <w:kern w:val="22"/>
                <w:szCs w:val="22"/>
                <w:lang w:val="fr-CA"/>
              </w:rPr>
              <w:t>;</w:t>
            </w:r>
          </w:p>
          <w:p w14:paraId="3037DA09" w14:textId="294DBCD9" w:rsidR="007D54FE" w:rsidRDefault="00CD3639" w:rsidP="00A075A7">
            <w:pPr>
              <w:spacing w:after="120"/>
              <w:jc w:val="left"/>
              <w:rPr>
                <w:kern w:val="22"/>
                <w:szCs w:val="22"/>
                <w:lang w:val="fr-CA"/>
              </w:rPr>
            </w:pPr>
            <w:r w:rsidRPr="00C462BE">
              <w:rPr>
                <w:kern w:val="22"/>
                <w:szCs w:val="22"/>
                <w:lang w:val="fr-CA"/>
              </w:rPr>
              <w:t xml:space="preserve">ii) </w:t>
            </w:r>
            <w:r w:rsidR="00A075A7">
              <w:rPr>
                <w:kern w:val="22"/>
                <w:szCs w:val="22"/>
                <w:lang w:val="fr-CA"/>
              </w:rPr>
              <w:t>Dispenser</w:t>
            </w:r>
            <w:r w:rsidR="007D54FE">
              <w:rPr>
                <w:kern w:val="22"/>
                <w:szCs w:val="22"/>
                <w:lang w:val="fr-CA"/>
              </w:rPr>
              <w:t xml:space="preserve"> une formation sur les mesures nationales pour prévenir et </w:t>
            </w:r>
            <w:r w:rsidR="002E63E2">
              <w:rPr>
                <w:kern w:val="22"/>
                <w:szCs w:val="22"/>
                <w:lang w:val="fr-CA"/>
              </w:rPr>
              <w:t xml:space="preserve">réduire les </w:t>
            </w:r>
            <w:r w:rsidR="007D54FE">
              <w:rPr>
                <w:kern w:val="22"/>
                <w:szCs w:val="22"/>
                <w:lang w:val="fr-CA"/>
              </w:rPr>
              <w:t xml:space="preserve">mouvements </w:t>
            </w:r>
            <w:r w:rsidR="00D106AA">
              <w:rPr>
                <w:kern w:val="22"/>
                <w:szCs w:val="22"/>
                <w:lang w:val="fr-CA"/>
              </w:rPr>
              <w:t>transfrontières illicites</w:t>
            </w:r>
            <w:r w:rsidR="007D54FE">
              <w:rPr>
                <w:kern w:val="22"/>
                <w:szCs w:val="22"/>
                <w:lang w:val="fr-CA"/>
              </w:rPr>
              <w:t>, conformément à l’</w:t>
            </w:r>
            <w:r w:rsidR="009365C2">
              <w:rPr>
                <w:kern w:val="22"/>
                <w:szCs w:val="22"/>
                <w:lang w:val="fr-CA"/>
              </w:rPr>
              <w:t>article</w:t>
            </w:r>
            <w:r w:rsidR="00A075A7">
              <w:rPr>
                <w:kern w:val="22"/>
                <w:szCs w:val="22"/>
                <w:lang w:val="fr-CA"/>
              </w:rPr>
              <w:t xml:space="preserve"> 25 du Protocole;</w:t>
            </w:r>
          </w:p>
          <w:p w14:paraId="26528F66" w14:textId="29196182" w:rsidR="00A075A7" w:rsidRDefault="00A075A7" w:rsidP="00CD3639">
            <w:pPr>
              <w:jc w:val="left"/>
              <w:rPr>
                <w:kern w:val="22"/>
                <w:szCs w:val="22"/>
                <w:lang w:val="fr-CA"/>
              </w:rPr>
            </w:pPr>
            <w:r>
              <w:rPr>
                <w:kern w:val="22"/>
                <w:szCs w:val="22"/>
                <w:lang w:val="fr-CA"/>
              </w:rPr>
              <w:t>iii) Dispenser une formation sur les mouvements transfrontières illicites d’OVM.</w:t>
            </w:r>
          </w:p>
          <w:p w14:paraId="46C04A0E" w14:textId="77777777" w:rsidR="007D54FE" w:rsidRDefault="007D54FE" w:rsidP="00CD3639">
            <w:pPr>
              <w:jc w:val="left"/>
              <w:rPr>
                <w:kern w:val="22"/>
                <w:szCs w:val="22"/>
                <w:lang w:val="fr-CA"/>
              </w:rPr>
            </w:pPr>
          </w:p>
          <w:p w14:paraId="3436E911" w14:textId="27234346" w:rsidR="00CD3639" w:rsidRPr="00C462BE" w:rsidRDefault="00CD3639" w:rsidP="00CD3639">
            <w:pPr>
              <w:suppressLineNumbers/>
              <w:suppressAutoHyphens/>
              <w:spacing w:before="60" w:after="60"/>
              <w:jc w:val="left"/>
              <w:rPr>
                <w:rFonts w:eastAsia="MS Mincho"/>
                <w:kern w:val="22"/>
                <w:szCs w:val="22"/>
                <w:lang w:val="fr-CA"/>
              </w:rPr>
            </w:pPr>
          </w:p>
        </w:tc>
        <w:tc>
          <w:tcPr>
            <w:tcW w:w="2790" w:type="dxa"/>
            <w:tcBorders>
              <w:top w:val="single" w:sz="4" w:space="0" w:color="auto"/>
              <w:left w:val="single" w:sz="4" w:space="0" w:color="auto"/>
              <w:bottom w:val="single" w:sz="4" w:space="0" w:color="auto"/>
              <w:right w:val="single" w:sz="4" w:space="0" w:color="auto"/>
            </w:tcBorders>
          </w:tcPr>
          <w:p w14:paraId="399809F7" w14:textId="3D7A42CC" w:rsidR="00CD3639" w:rsidRDefault="00CD3639" w:rsidP="00CD3639">
            <w:pPr>
              <w:suppressLineNumbers/>
              <w:suppressAutoHyphens/>
              <w:spacing w:before="60" w:after="60"/>
              <w:jc w:val="left"/>
              <w:rPr>
                <w:rFonts w:eastAsia="MS Mincho"/>
                <w:szCs w:val="22"/>
                <w:lang w:val="fr-CA"/>
              </w:rPr>
            </w:pPr>
            <w:r w:rsidRPr="007D54FE">
              <w:rPr>
                <w:rFonts w:eastAsia="MS Mincho"/>
                <w:szCs w:val="22"/>
                <w:lang w:val="fr-CA"/>
              </w:rPr>
              <w:t>a)</w:t>
            </w:r>
            <w:r w:rsidR="00FE3A58">
              <w:rPr>
                <w:rFonts w:eastAsia="MS Mincho"/>
                <w:szCs w:val="22"/>
                <w:lang w:val="fr-CA"/>
              </w:rPr>
              <w:t xml:space="preserve"> Pourcentage de Parties dispensant une formation sur la documentation, l’échantillonnage, la détection et l’identification des OVM auprès des parties prenantes concernées</w:t>
            </w:r>
            <w:r w:rsidRPr="007D54FE">
              <w:rPr>
                <w:rFonts w:eastAsia="MS Mincho"/>
                <w:szCs w:val="22"/>
                <w:lang w:val="fr-CA"/>
              </w:rPr>
              <w:t>;</w:t>
            </w:r>
          </w:p>
          <w:p w14:paraId="74BF3022" w14:textId="3CD94993" w:rsidR="00C43D93" w:rsidRPr="007D54FE" w:rsidRDefault="00C43D93" w:rsidP="00CD3639">
            <w:pPr>
              <w:suppressLineNumbers/>
              <w:suppressAutoHyphens/>
              <w:spacing w:before="60" w:after="60"/>
              <w:jc w:val="left"/>
              <w:rPr>
                <w:rFonts w:eastAsia="MS Mincho"/>
                <w:kern w:val="22"/>
                <w:szCs w:val="22"/>
                <w:lang w:val="fr-CA"/>
              </w:rPr>
            </w:pPr>
            <w:r>
              <w:rPr>
                <w:rFonts w:eastAsia="MS Mincho"/>
                <w:kern w:val="22"/>
                <w:szCs w:val="22"/>
                <w:lang w:val="fr-CA"/>
              </w:rPr>
              <w:t>b) Nombre de cas signalés de mouvements transfrontièr</w:t>
            </w:r>
            <w:r w:rsidR="00A075A7">
              <w:rPr>
                <w:rFonts w:eastAsia="MS Mincho"/>
                <w:kern w:val="22"/>
                <w:szCs w:val="22"/>
                <w:lang w:val="fr-CA"/>
              </w:rPr>
              <w:t>es non intentionnels ou illicites</w:t>
            </w:r>
            <w:r>
              <w:rPr>
                <w:rFonts w:eastAsia="MS Mincho"/>
                <w:kern w:val="22"/>
                <w:szCs w:val="22"/>
                <w:lang w:val="fr-CA"/>
              </w:rPr>
              <w:t xml:space="preserve"> d’OVM;</w:t>
            </w:r>
          </w:p>
          <w:p w14:paraId="1E556C52" w14:textId="38285FC0" w:rsidR="00CD3639" w:rsidRDefault="00C43D93" w:rsidP="002E63E2">
            <w:pPr>
              <w:suppressLineNumbers/>
              <w:suppressAutoHyphens/>
              <w:spacing w:before="60" w:after="60"/>
              <w:jc w:val="left"/>
              <w:rPr>
                <w:rFonts w:eastAsia="MS Mincho"/>
                <w:szCs w:val="22"/>
                <w:lang w:val="fr-CA"/>
              </w:rPr>
            </w:pPr>
            <w:r>
              <w:rPr>
                <w:rFonts w:eastAsia="MS Mincho"/>
                <w:szCs w:val="22"/>
                <w:lang w:val="fr-CA"/>
              </w:rPr>
              <w:t>c</w:t>
            </w:r>
            <w:r w:rsidR="00CD3639" w:rsidRPr="007D54FE">
              <w:rPr>
                <w:rFonts w:eastAsia="MS Mincho"/>
                <w:szCs w:val="22"/>
                <w:lang w:val="fr-CA"/>
              </w:rPr>
              <w:t xml:space="preserve">) </w:t>
            </w:r>
            <w:r w:rsidR="00FE3A58">
              <w:rPr>
                <w:rFonts w:eastAsia="MS Mincho"/>
                <w:szCs w:val="22"/>
                <w:lang w:val="fr-CA"/>
              </w:rPr>
              <w:t>Pourcentage de Parties</w:t>
            </w:r>
            <w:r w:rsidR="007D54FE" w:rsidRPr="007D54FE">
              <w:rPr>
                <w:rFonts w:eastAsia="MS Mincho"/>
                <w:szCs w:val="22"/>
                <w:lang w:val="fr-CA"/>
              </w:rPr>
              <w:t xml:space="preserve"> </w:t>
            </w:r>
            <w:r w:rsidR="002E63E2">
              <w:rPr>
                <w:rFonts w:eastAsia="MS Mincho"/>
                <w:szCs w:val="22"/>
                <w:lang w:val="fr-CA"/>
              </w:rPr>
              <w:t>dispensant</w:t>
            </w:r>
            <w:r>
              <w:rPr>
                <w:rFonts w:eastAsia="MS Mincho"/>
                <w:szCs w:val="22"/>
                <w:lang w:val="fr-CA"/>
              </w:rPr>
              <w:t xml:space="preserve"> une formation</w:t>
            </w:r>
            <w:r w:rsidR="007D54FE" w:rsidRPr="007D54FE">
              <w:rPr>
                <w:rFonts w:eastAsia="MS Mincho"/>
                <w:szCs w:val="22"/>
                <w:lang w:val="fr-CA"/>
              </w:rPr>
              <w:t xml:space="preserve"> en mesures </w:t>
            </w:r>
            <w:r w:rsidR="007D54FE">
              <w:rPr>
                <w:rFonts w:eastAsia="MS Mincho"/>
                <w:szCs w:val="22"/>
                <w:lang w:val="fr-CA"/>
              </w:rPr>
              <w:t>nationales fonctionnelles pour prévenir et gérer les mouvements transfrontièr</w:t>
            </w:r>
            <w:r w:rsidR="00A075A7">
              <w:rPr>
                <w:rFonts w:eastAsia="MS Mincho"/>
                <w:szCs w:val="22"/>
                <w:lang w:val="fr-CA"/>
              </w:rPr>
              <w:t>es non intentionnels ou illicites</w:t>
            </w:r>
            <w:r w:rsidR="007D54FE">
              <w:rPr>
                <w:rFonts w:eastAsia="MS Mincho"/>
                <w:szCs w:val="22"/>
                <w:lang w:val="fr-CA"/>
              </w:rPr>
              <w:t xml:space="preserve"> d’OVM</w:t>
            </w:r>
            <w:r>
              <w:rPr>
                <w:rFonts w:eastAsia="MS Mincho"/>
                <w:szCs w:val="22"/>
                <w:lang w:val="fr-CA"/>
              </w:rPr>
              <w:t>;</w:t>
            </w:r>
          </w:p>
          <w:p w14:paraId="18C32BF0" w14:textId="681E5697" w:rsidR="00C43D93" w:rsidRPr="007D54FE" w:rsidRDefault="00C43D93" w:rsidP="002E63E2">
            <w:pPr>
              <w:suppressLineNumbers/>
              <w:suppressAutoHyphens/>
              <w:spacing w:before="60" w:after="60"/>
              <w:jc w:val="left"/>
              <w:rPr>
                <w:rFonts w:eastAsia="MS Mincho"/>
                <w:kern w:val="22"/>
                <w:szCs w:val="22"/>
                <w:lang w:val="fr-CA"/>
              </w:rPr>
            </w:pPr>
            <w:r>
              <w:rPr>
                <w:rFonts w:eastAsia="MS Mincho"/>
                <w:szCs w:val="22"/>
                <w:lang w:val="fr-CA"/>
              </w:rPr>
              <w:t xml:space="preserve">d) Pourcentage de Parties dispensant une formation sur la surveillance des mouvements </w:t>
            </w:r>
            <w:r w:rsidR="00D106AA">
              <w:rPr>
                <w:rFonts w:eastAsia="MS Mincho"/>
                <w:szCs w:val="22"/>
                <w:lang w:val="fr-CA"/>
              </w:rPr>
              <w:t>transfrontières illicites</w:t>
            </w:r>
            <w:r>
              <w:rPr>
                <w:rFonts w:eastAsia="MS Mincho"/>
                <w:szCs w:val="22"/>
                <w:lang w:val="fr-CA"/>
              </w:rPr>
              <w:t xml:space="preserve"> d’OVM.</w:t>
            </w:r>
          </w:p>
        </w:tc>
        <w:tc>
          <w:tcPr>
            <w:tcW w:w="1890" w:type="dxa"/>
            <w:tcBorders>
              <w:top w:val="single" w:sz="4" w:space="0" w:color="auto"/>
              <w:left w:val="single" w:sz="4" w:space="0" w:color="auto"/>
              <w:bottom w:val="single" w:sz="4" w:space="0" w:color="auto"/>
              <w:right w:val="single" w:sz="4" w:space="0" w:color="auto"/>
            </w:tcBorders>
          </w:tcPr>
          <w:p w14:paraId="12795C8C" w14:textId="0F44B5FE"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 xml:space="preserve">Les mouvements </w:t>
            </w:r>
            <w:r w:rsidR="00D106AA">
              <w:rPr>
                <w:kern w:val="22"/>
                <w:szCs w:val="22"/>
                <w:lang w:val="fr-CA"/>
              </w:rPr>
              <w:t>transfrontières illicites</w:t>
            </w:r>
            <w:r w:rsidRPr="00C462BE">
              <w:rPr>
                <w:kern w:val="22"/>
                <w:szCs w:val="22"/>
                <w:lang w:val="fr-CA"/>
              </w:rPr>
              <w:t xml:space="preserve"> et non intentionnels d’OVM sont empêchés ou réduits au minimum.</w:t>
            </w:r>
          </w:p>
        </w:tc>
        <w:tc>
          <w:tcPr>
            <w:tcW w:w="1710" w:type="dxa"/>
            <w:tcBorders>
              <w:top w:val="single" w:sz="4" w:space="0" w:color="auto"/>
              <w:left w:val="single" w:sz="4" w:space="0" w:color="auto"/>
              <w:bottom w:val="single" w:sz="4" w:space="0" w:color="auto"/>
              <w:right w:val="single" w:sz="4" w:space="0" w:color="auto"/>
            </w:tcBorders>
          </w:tcPr>
          <w:p w14:paraId="54E02FD7" w14:textId="2C67DAE2" w:rsidR="00CD3639" w:rsidRPr="00C462BE" w:rsidRDefault="00CD3639" w:rsidP="002E63E2">
            <w:pPr>
              <w:suppressLineNumbers/>
              <w:suppressAutoHyphens/>
              <w:spacing w:before="60" w:after="60"/>
              <w:jc w:val="left"/>
              <w:rPr>
                <w:rFonts w:eastAsia="MS Mincho"/>
                <w:kern w:val="22"/>
                <w:szCs w:val="22"/>
                <w:lang w:val="fr-CA"/>
              </w:rPr>
            </w:pPr>
            <w:r w:rsidRPr="00C462BE">
              <w:rPr>
                <w:rFonts w:eastAsia="MS Mincho"/>
                <w:szCs w:val="22"/>
                <w:lang w:val="fr-CA"/>
              </w:rPr>
              <w:t>[</w:t>
            </w:r>
            <w:r w:rsidR="0006687A">
              <w:rPr>
                <w:rFonts w:eastAsia="MS Mincho"/>
                <w:szCs w:val="22"/>
                <w:lang w:val="fr-CA"/>
              </w:rPr>
              <w:t>Autorités nationales / personnel des autorités nationales</w:t>
            </w:r>
          </w:p>
          <w:p w14:paraId="379821CC" w14:textId="4C0CFCDE" w:rsidR="00CD3639" w:rsidRPr="00C462BE" w:rsidRDefault="00A075A7" w:rsidP="00CD3639">
            <w:pPr>
              <w:suppressLineNumbers/>
              <w:suppressAutoHyphens/>
              <w:spacing w:before="60" w:after="60"/>
              <w:jc w:val="left"/>
              <w:rPr>
                <w:rFonts w:eastAsia="MS Mincho"/>
                <w:kern w:val="22"/>
                <w:szCs w:val="22"/>
                <w:lang w:val="fr-CA"/>
              </w:rPr>
            </w:pPr>
            <w:r>
              <w:rPr>
                <w:rFonts w:eastAsia="MS Mincho"/>
                <w:szCs w:val="22"/>
                <w:lang w:val="fr-CA"/>
              </w:rPr>
              <w:t>Autorités douanières et frontalière</w:t>
            </w:r>
            <w:r w:rsidR="0006687A">
              <w:rPr>
                <w:rFonts w:eastAsia="MS Mincho"/>
                <w:szCs w:val="22"/>
                <w:lang w:val="fr-CA"/>
              </w:rPr>
              <w:t>s</w:t>
            </w:r>
            <w:r w:rsidR="00CD3639" w:rsidRPr="00C462BE">
              <w:rPr>
                <w:rFonts w:eastAsia="MS Mincho"/>
                <w:szCs w:val="22"/>
                <w:lang w:val="fr-CA"/>
              </w:rPr>
              <w:t>]</w:t>
            </w:r>
          </w:p>
        </w:tc>
      </w:tr>
      <w:tr w:rsidR="00CD3639" w:rsidRPr="00301569" w14:paraId="36D7541C" w14:textId="77777777" w:rsidTr="0052325C">
        <w:trPr>
          <w:jc w:val="center"/>
        </w:trPr>
        <w:tc>
          <w:tcPr>
            <w:tcW w:w="1705" w:type="dxa"/>
            <w:tcBorders>
              <w:top w:val="single" w:sz="4" w:space="0" w:color="auto"/>
              <w:left w:val="single" w:sz="4" w:space="0" w:color="auto"/>
              <w:bottom w:val="single" w:sz="4" w:space="0" w:color="auto"/>
              <w:right w:val="single" w:sz="4" w:space="0" w:color="auto"/>
            </w:tcBorders>
          </w:tcPr>
          <w:p w14:paraId="0290D97A" w14:textId="4854093B" w:rsidR="00CD3639" w:rsidRPr="00C462BE" w:rsidRDefault="00CD3639" w:rsidP="00CD3639">
            <w:pPr>
              <w:suppressLineNumbers/>
              <w:suppressAutoHyphens/>
              <w:spacing w:before="60" w:after="60"/>
              <w:jc w:val="left"/>
              <w:rPr>
                <w:rFonts w:eastAsia="MS Mincho"/>
                <w:kern w:val="22"/>
                <w:szCs w:val="22"/>
                <w:highlight w:val="yellow"/>
                <w:lang w:val="fr-CA"/>
              </w:rPr>
            </w:pPr>
            <w:r w:rsidRPr="00C462BE">
              <w:rPr>
                <w:b/>
                <w:bCs/>
                <w:kern w:val="22"/>
                <w:szCs w:val="22"/>
                <w:lang w:val="fr-CA"/>
              </w:rPr>
              <w:t xml:space="preserve">A.7. Les Parties ont mis en place des mesures pour satisfaire aux exigences de manipulation, de transport, d’emballage et d’identification des OVM au titre </w:t>
            </w:r>
            <w:r w:rsidR="0006687A">
              <w:rPr>
                <w:b/>
                <w:bCs/>
                <w:kern w:val="22"/>
                <w:szCs w:val="22"/>
                <w:lang w:val="fr-CA"/>
              </w:rPr>
              <w:t>de l’</w:t>
            </w:r>
            <w:r w:rsidR="009365C2">
              <w:rPr>
                <w:b/>
                <w:bCs/>
                <w:kern w:val="22"/>
                <w:szCs w:val="22"/>
                <w:lang w:val="fr-CA"/>
              </w:rPr>
              <w:t>article</w:t>
            </w:r>
            <w:r w:rsidR="0006687A">
              <w:rPr>
                <w:b/>
                <w:bCs/>
                <w:kern w:val="22"/>
                <w:szCs w:val="22"/>
                <w:lang w:val="fr-CA"/>
              </w:rPr>
              <w:t xml:space="preserve"> 18 </w:t>
            </w:r>
            <w:r w:rsidRPr="00C462BE">
              <w:rPr>
                <w:b/>
                <w:bCs/>
                <w:kern w:val="22"/>
                <w:szCs w:val="22"/>
                <w:lang w:val="fr-CA"/>
              </w:rPr>
              <w:t>du Protocole.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9F3DBD0" w14:textId="35A4A0DB" w:rsidR="00CD3639" w:rsidRPr="00C462BE" w:rsidRDefault="00CD3639" w:rsidP="00CD3639">
            <w:pPr>
              <w:suppressLineNumbers/>
              <w:suppressAutoHyphens/>
              <w:spacing w:before="60" w:after="60"/>
              <w:jc w:val="left"/>
              <w:rPr>
                <w:rFonts w:eastAsia="MS Mincho"/>
                <w:kern w:val="22"/>
                <w:szCs w:val="22"/>
                <w:lang w:val="fr-CA"/>
              </w:rPr>
            </w:pPr>
            <w:r w:rsidRPr="00C462BE">
              <w:rPr>
                <w:rFonts w:eastAsia="MS Mincho"/>
                <w:szCs w:val="22"/>
                <w:lang w:val="fr-CA"/>
              </w:rPr>
              <w:t>1</w:t>
            </w:r>
            <w:r w:rsidRPr="0006687A">
              <w:rPr>
                <w:rFonts w:eastAsia="MS Mincho"/>
                <w:kern w:val="22"/>
                <w:szCs w:val="22"/>
                <w:lang w:val="fr-CA"/>
              </w:rPr>
              <w:t xml:space="preserve">) </w:t>
            </w:r>
            <w:r w:rsidR="0006687A" w:rsidRPr="0006687A">
              <w:rPr>
                <w:kern w:val="22"/>
                <w:szCs w:val="22"/>
                <w:lang w:val="fr-FR"/>
              </w:rPr>
              <w:t>Mise en place de systèmes nationaux fonctionnels pour la manipulation, le transport, l’emballage et l’identification, y compris en ce qui concerne la documentation</w:t>
            </w:r>
            <w:r w:rsidRPr="0006687A">
              <w:rPr>
                <w:rFonts w:eastAsia="MS Mincho"/>
                <w:kern w:val="22"/>
                <w:szCs w:val="22"/>
                <w:lang w:val="fr-CA"/>
              </w:rPr>
              <w:t>.</w:t>
            </w:r>
          </w:p>
          <w:p w14:paraId="6B4480C5" w14:textId="77777777" w:rsidR="00CD3639" w:rsidRPr="00C462BE" w:rsidRDefault="00CD3639" w:rsidP="00CD3639">
            <w:pPr>
              <w:suppressLineNumbers/>
              <w:suppressAutoHyphens/>
              <w:spacing w:before="60" w:after="60"/>
              <w:jc w:val="left"/>
              <w:rPr>
                <w:rFonts w:eastAsia="MS Mincho"/>
                <w:kern w:val="22"/>
                <w:szCs w:val="22"/>
                <w:lang w:val="fr-CA"/>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E0CFDF8" w14:textId="00AB8429" w:rsidR="00CD3639" w:rsidRPr="00AD3F5A" w:rsidRDefault="00CD3639" w:rsidP="00A075A7">
            <w:pPr>
              <w:suppressLineNumbers/>
              <w:suppressAutoHyphens/>
              <w:spacing w:before="60" w:after="60"/>
              <w:jc w:val="left"/>
              <w:rPr>
                <w:rFonts w:eastAsia="MS Mincho"/>
                <w:kern w:val="22"/>
                <w:szCs w:val="22"/>
                <w:lang w:val="fr-CA"/>
              </w:rPr>
            </w:pPr>
            <w:r w:rsidRPr="00AD3F5A">
              <w:rPr>
                <w:rFonts w:eastAsia="MS Mincho"/>
                <w:kern w:val="22"/>
                <w:szCs w:val="22"/>
                <w:lang w:val="fr-CA"/>
              </w:rPr>
              <w:t xml:space="preserve">i) </w:t>
            </w:r>
            <w:r w:rsidR="002E63E2">
              <w:rPr>
                <w:rFonts w:eastAsia="MS Mincho"/>
                <w:kern w:val="22"/>
                <w:szCs w:val="22"/>
                <w:lang w:val="fr-CA"/>
              </w:rPr>
              <w:t>Dispenser</w:t>
            </w:r>
            <w:r w:rsidR="00AD3F5A" w:rsidRPr="00AD3F5A">
              <w:rPr>
                <w:rFonts w:eastAsia="MS Mincho"/>
                <w:kern w:val="22"/>
                <w:szCs w:val="22"/>
                <w:lang w:val="fr-CA"/>
              </w:rPr>
              <w:t xml:space="preserve"> une formation aux autorités nationales compétentes concernées en</w:t>
            </w:r>
            <w:r w:rsidR="00A075A7">
              <w:rPr>
                <w:rFonts w:eastAsia="MS Mincho"/>
                <w:kern w:val="22"/>
                <w:szCs w:val="22"/>
                <w:lang w:val="fr-CA"/>
              </w:rPr>
              <w:t xml:space="preserve"> matière de</w:t>
            </w:r>
            <w:r w:rsidR="00AD3F5A" w:rsidRPr="00AD3F5A">
              <w:rPr>
                <w:rFonts w:eastAsia="MS Mincho"/>
                <w:kern w:val="22"/>
                <w:szCs w:val="22"/>
                <w:lang w:val="fr-CA"/>
              </w:rPr>
              <w:t xml:space="preserve"> véri</w:t>
            </w:r>
            <w:r w:rsidR="00A075A7">
              <w:rPr>
                <w:rFonts w:eastAsia="MS Mincho"/>
                <w:kern w:val="22"/>
                <w:szCs w:val="22"/>
                <w:lang w:val="fr-CA"/>
              </w:rPr>
              <w:t>fication de la documentation concernant la</w:t>
            </w:r>
            <w:r w:rsidR="00AD3F5A">
              <w:rPr>
                <w:rFonts w:eastAsia="MS Mincho"/>
                <w:kern w:val="22"/>
                <w:szCs w:val="22"/>
                <w:lang w:val="fr-CA"/>
              </w:rPr>
              <w:t xml:space="preserve"> manipu</w:t>
            </w:r>
            <w:r w:rsidR="00AD3F5A" w:rsidRPr="00AD3F5A">
              <w:rPr>
                <w:rFonts w:eastAsia="MS Mincho"/>
                <w:kern w:val="22"/>
                <w:szCs w:val="22"/>
                <w:lang w:val="fr-CA"/>
              </w:rPr>
              <w:t xml:space="preserve">lation, </w:t>
            </w:r>
            <w:r w:rsidR="00A075A7">
              <w:rPr>
                <w:rFonts w:eastAsia="MS Mincho"/>
                <w:kern w:val="22"/>
                <w:szCs w:val="22"/>
                <w:lang w:val="fr-CA"/>
              </w:rPr>
              <w:t xml:space="preserve">le </w:t>
            </w:r>
            <w:r w:rsidR="00AD3F5A" w:rsidRPr="00AD3F5A">
              <w:rPr>
                <w:rFonts w:eastAsia="MS Mincho"/>
                <w:kern w:val="22"/>
                <w:szCs w:val="22"/>
                <w:lang w:val="fr-CA"/>
              </w:rPr>
              <w:t xml:space="preserve">transport, </w:t>
            </w:r>
            <w:r w:rsidR="00A075A7">
              <w:rPr>
                <w:rFonts w:eastAsia="MS Mincho"/>
                <w:kern w:val="22"/>
                <w:szCs w:val="22"/>
                <w:lang w:val="fr-CA"/>
              </w:rPr>
              <w:t>l’</w:t>
            </w:r>
            <w:r w:rsidR="00AD3F5A" w:rsidRPr="00AD3F5A">
              <w:rPr>
                <w:rFonts w:eastAsia="MS Mincho"/>
                <w:kern w:val="22"/>
                <w:szCs w:val="22"/>
                <w:lang w:val="fr-CA"/>
              </w:rPr>
              <w:t xml:space="preserve">emballage et </w:t>
            </w:r>
            <w:r w:rsidR="00A075A7">
              <w:rPr>
                <w:rFonts w:eastAsia="MS Mincho"/>
                <w:kern w:val="22"/>
                <w:szCs w:val="22"/>
                <w:lang w:val="fr-CA"/>
              </w:rPr>
              <w:t>l’</w:t>
            </w:r>
            <w:r w:rsidR="00AD3F5A" w:rsidRPr="00AD3F5A">
              <w:rPr>
                <w:rFonts w:eastAsia="MS Mincho"/>
                <w:kern w:val="22"/>
                <w:szCs w:val="22"/>
                <w:lang w:val="fr-CA"/>
              </w:rPr>
              <w:t>identification des OVM</w:t>
            </w:r>
            <w:r w:rsidRPr="00AD3F5A">
              <w:rPr>
                <w:rFonts w:eastAsia="MS Mincho"/>
                <w:kern w:val="22"/>
                <w:szCs w:val="22"/>
                <w:lang w:val="fr-CA"/>
              </w:rPr>
              <w:t>.</w:t>
            </w:r>
          </w:p>
          <w:p w14:paraId="1377D9C1" w14:textId="77777777" w:rsidR="00CD3639" w:rsidRPr="00AD3F5A" w:rsidRDefault="00CD3639" w:rsidP="00CD3639">
            <w:pPr>
              <w:suppressLineNumbers/>
              <w:suppressAutoHyphens/>
              <w:spacing w:before="60" w:after="60"/>
              <w:jc w:val="left"/>
              <w:rPr>
                <w:rFonts w:eastAsia="MS Mincho"/>
                <w:kern w:val="22"/>
                <w:szCs w:val="22"/>
                <w:lang w:val="fr-CA"/>
              </w:rPr>
            </w:pPr>
          </w:p>
        </w:tc>
        <w:tc>
          <w:tcPr>
            <w:tcW w:w="2790" w:type="dxa"/>
            <w:tcBorders>
              <w:top w:val="single" w:sz="4" w:space="0" w:color="auto"/>
              <w:left w:val="single" w:sz="4" w:space="0" w:color="auto"/>
              <w:bottom w:val="single" w:sz="4" w:space="0" w:color="auto"/>
              <w:right w:val="single" w:sz="4" w:space="0" w:color="auto"/>
            </w:tcBorders>
          </w:tcPr>
          <w:p w14:paraId="77E97F9A" w14:textId="4EF9D104" w:rsidR="00CD3639" w:rsidRPr="00AD3F5A" w:rsidRDefault="00CD3639" w:rsidP="00CD3639">
            <w:pPr>
              <w:suppressLineNumbers/>
              <w:suppressAutoHyphens/>
              <w:spacing w:before="60" w:after="60"/>
              <w:jc w:val="left"/>
              <w:rPr>
                <w:rFonts w:eastAsia="MS Mincho"/>
                <w:kern w:val="22"/>
                <w:szCs w:val="22"/>
                <w:lang w:val="fr-CA"/>
              </w:rPr>
            </w:pPr>
            <w:r w:rsidRPr="00AD3F5A">
              <w:rPr>
                <w:rFonts w:eastAsia="MS Mincho"/>
                <w:szCs w:val="22"/>
                <w:lang w:val="fr-CA"/>
              </w:rPr>
              <w:t xml:space="preserve">a) </w:t>
            </w:r>
            <w:r w:rsidR="00FE3A58">
              <w:rPr>
                <w:rFonts w:eastAsia="MS Mincho"/>
                <w:szCs w:val="22"/>
                <w:lang w:val="fr-CA"/>
              </w:rPr>
              <w:t>Pourcentage de Parties</w:t>
            </w:r>
            <w:r w:rsidR="00AD3F5A" w:rsidRPr="00AD3F5A">
              <w:rPr>
                <w:rFonts w:eastAsia="MS Mincho"/>
                <w:szCs w:val="22"/>
                <w:lang w:val="fr-CA"/>
              </w:rPr>
              <w:t xml:space="preserve"> a</w:t>
            </w:r>
            <w:r w:rsidR="00AD3F5A">
              <w:rPr>
                <w:rFonts w:eastAsia="MS Mincho"/>
                <w:szCs w:val="22"/>
                <w:lang w:val="fr-CA"/>
              </w:rPr>
              <w:t xml:space="preserve">yant le personnel habilité en </w:t>
            </w:r>
            <w:r w:rsidR="00A075A7">
              <w:rPr>
                <w:rFonts w:eastAsia="MS Mincho"/>
                <w:szCs w:val="22"/>
                <w:lang w:val="fr-CA"/>
              </w:rPr>
              <w:t xml:space="preserve">matière de </w:t>
            </w:r>
            <w:r w:rsidR="00AD3F5A">
              <w:rPr>
                <w:rFonts w:eastAsia="MS Mincho"/>
                <w:szCs w:val="22"/>
                <w:lang w:val="fr-CA"/>
              </w:rPr>
              <w:t>v</w:t>
            </w:r>
            <w:r w:rsidR="00AD3F5A" w:rsidRPr="00AD3F5A">
              <w:rPr>
                <w:rFonts w:eastAsia="MS Mincho"/>
                <w:szCs w:val="22"/>
                <w:lang w:val="fr-CA"/>
              </w:rPr>
              <w:t>érification de la documentation accompagnant les envoi</w:t>
            </w:r>
            <w:r w:rsidR="00AD3F5A">
              <w:rPr>
                <w:rFonts w:eastAsia="MS Mincho"/>
                <w:szCs w:val="22"/>
                <w:lang w:val="fr-CA"/>
              </w:rPr>
              <w:t>s</w:t>
            </w:r>
            <w:r w:rsidR="00AD3F5A" w:rsidRPr="00AD3F5A">
              <w:rPr>
                <w:rFonts w:eastAsia="MS Mincho"/>
                <w:szCs w:val="22"/>
                <w:lang w:val="fr-CA"/>
              </w:rPr>
              <w:t xml:space="preserve"> d</w:t>
            </w:r>
            <w:r w:rsidR="00AD3F5A">
              <w:rPr>
                <w:rFonts w:eastAsia="MS Mincho"/>
                <w:szCs w:val="22"/>
                <w:lang w:val="fr-CA"/>
              </w:rPr>
              <w:t>’</w:t>
            </w:r>
            <w:r w:rsidR="00AD3F5A" w:rsidRPr="00AD3F5A">
              <w:rPr>
                <w:rFonts w:eastAsia="MS Mincho"/>
                <w:szCs w:val="22"/>
                <w:lang w:val="fr-CA"/>
              </w:rPr>
              <w:t>OVM</w:t>
            </w:r>
            <w:r w:rsidRPr="00AD3F5A">
              <w:rPr>
                <w:rFonts w:eastAsia="MS Mincho"/>
                <w:szCs w:val="22"/>
                <w:lang w:val="fr-CA"/>
              </w:rPr>
              <w:t>;</w:t>
            </w:r>
          </w:p>
          <w:p w14:paraId="53D12384" w14:textId="03C033D3" w:rsidR="00CD3639" w:rsidRPr="00AD3F5A" w:rsidRDefault="00CD3639" w:rsidP="00377A75">
            <w:pPr>
              <w:suppressLineNumbers/>
              <w:suppressAutoHyphens/>
              <w:spacing w:before="60" w:after="60"/>
              <w:jc w:val="left"/>
              <w:rPr>
                <w:rFonts w:eastAsia="MS Mincho"/>
                <w:kern w:val="22"/>
                <w:szCs w:val="22"/>
                <w:highlight w:val="yellow"/>
                <w:lang w:val="fr-CA"/>
              </w:rPr>
            </w:pPr>
            <w:r w:rsidRPr="00AD3F5A">
              <w:rPr>
                <w:rFonts w:eastAsia="MS Mincho"/>
                <w:szCs w:val="22"/>
                <w:lang w:val="fr-CA"/>
              </w:rPr>
              <w:t xml:space="preserve">b) </w:t>
            </w:r>
            <w:r w:rsidR="00FE3A58">
              <w:rPr>
                <w:rFonts w:eastAsia="MS Mincho"/>
                <w:szCs w:val="22"/>
                <w:lang w:val="fr-CA"/>
              </w:rPr>
              <w:t>Pourcentage de Parties</w:t>
            </w:r>
            <w:r w:rsidR="00AD3F5A" w:rsidRPr="00AD3F5A">
              <w:rPr>
                <w:rFonts w:eastAsia="MS Mincho"/>
                <w:szCs w:val="22"/>
                <w:lang w:val="fr-CA"/>
              </w:rPr>
              <w:t xml:space="preserve"> ayant </w:t>
            </w:r>
            <w:r w:rsidR="00107337">
              <w:rPr>
                <w:rFonts w:eastAsia="MS Mincho"/>
                <w:szCs w:val="22"/>
                <w:lang w:val="fr-CA"/>
              </w:rPr>
              <w:t>[été formées][eu accès à une formation]</w:t>
            </w:r>
            <w:r w:rsidR="00AD3F5A" w:rsidRPr="00AD3F5A">
              <w:rPr>
                <w:rFonts w:eastAsia="MS Mincho"/>
                <w:szCs w:val="22"/>
                <w:lang w:val="fr-CA"/>
              </w:rPr>
              <w:t xml:space="preserve"> en</w:t>
            </w:r>
            <w:r w:rsidR="00107337">
              <w:rPr>
                <w:rFonts w:eastAsia="MS Mincho"/>
                <w:szCs w:val="22"/>
                <w:lang w:val="fr-CA"/>
              </w:rPr>
              <w:t xml:space="preserve"> matière de</w:t>
            </w:r>
            <w:r w:rsidR="00AD3F5A" w:rsidRPr="00AD3F5A">
              <w:rPr>
                <w:rFonts w:eastAsia="MS Mincho"/>
                <w:szCs w:val="22"/>
                <w:lang w:val="fr-CA"/>
              </w:rPr>
              <w:t xml:space="preserve"> documentation relative </w:t>
            </w:r>
            <w:r w:rsidR="00AD3F5A">
              <w:rPr>
                <w:rFonts w:eastAsia="MS Mincho"/>
                <w:szCs w:val="22"/>
                <w:lang w:val="fr-CA"/>
              </w:rPr>
              <w:t>à la manipulation, au transport</w:t>
            </w:r>
            <w:r w:rsidR="00377A75">
              <w:rPr>
                <w:rFonts w:eastAsia="MS Mincho"/>
                <w:szCs w:val="22"/>
                <w:lang w:val="fr-CA"/>
              </w:rPr>
              <w:t xml:space="preserve">, </w:t>
            </w:r>
            <w:r w:rsidR="00AD3F5A">
              <w:rPr>
                <w:rFonts w:eastAsia="MS Mincho"/>
                <w:szCs w:val="22"/>
                <w:lang w:val="fr-CA"/>
              </w:rPr>
              <w:t xml:space="preserve">à l’emballage et </w:t>
            </w:r>
            <w:r w:rsidR="00377A75">
              <w:rPr>
                <w:rFonts w:eastAsia="MS Mincho"/>
                <w:szCs w:val="22"/>
                <w:lang w:val="fr-CA"/>
              </w:rPr>
              <w:t>à l’identification des OVM</w:t>
            </w:r>
            <w:r w:rsidR="00107337">
              <w:rPr>
                <w:rFonts w:eastAsia="MS Mincho"/>
                <w:szCs w:val="22"/>
                <w:lang w:val="fr-CA"/>
              </w:rPr>
              <w:t>.</w:t>
            </w:r>
          </w:p>
        </w:tc>
        <w:tc>
          <w:tcPr>
            <w:tcW w:w="1890" w:type="dxa"/>
            <w:tcBorders>
              <w:top w:val="single" w:sz="4" w:space="0" w:color="auto"/>
              <w:left w:val="single" w:sz="4" w:space="0" w:color="auto"/>
              <w:bottom w:val="single" w:sz="4" w:space="0" w:color="auto"/>
              <w:right w:val="single" w:sz="4" w:space="0" w:color="auto"/>
            </w:tcBorders>
          </w:tcPr>
          <w:p w14:paraId="194C6070" w14:textId="6FECEF98"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Grâce à une manipulation, un transport, un emballage et une identification appropriés des OVM, les Parties sont en mesure de gérer en toute sécurité les mouvements transfrontières intentionnels d’OVM.</w:t>
            </w:r>
          </w:p>
        </w:tc>
        <w:tc>
          <w:tcPr>
            <w:tcW w:w="1710" w:type="dxa"/>
            <w:tcBorders>
              <w:top w:val="single" w:sz="4" w:space="0" w:color="auto"/>
              <w:left w:val="single" w:sz="4" w:space="0" w:color="auto"/>
              <w:bottom w:val="single" w:sz="4" w:space="0" w:color="auto"/>
              <w:right w:val="single" w:sz="4" w:space="0" w:color="auto"/>
            </w:tcBorders>
          </w:tcPr>
          <w:p w14:paraId="221C683B" w14:textId="5A215CEB" w:rsidR="00CD3639" w:rsidRPr="00C462BE" w:rsidRDefault="00CD3639" w:rsidP="00A74AE5">
            <w:pPr>
              <w:suppressLineNumbers/>
              <w:suppressAutoHyphens/>
              <w:spacing w:before="60" w:after="60"/>
              <w:jc w:val="left"/>
              <w:rPr>
                <w:rFonts w:eastAsia="MS Mincho"/>
                <w:kern w:val="22"/>
                <w:szCs w:val="22"/>
                <w:lang w:val="fr-CA"/>
              </w:rPr>
            </w:pPr>
            <w:r w:rsidRPr="00C462BE">
              <w:rPr>
                <w:rFonts w:eastAsia="MS Mincho"/>
                <w:szCs w:val="22"/>
                <w:lang w:val="fr-CA"/>
              </w:rPr>
              <w:t>[</w:t>
            </w:r>
            <w:r w:rsidR="00377A75">
              <w:rPr>
                <w:rFonts w:eastAsia="MS Mincho"/>
                <w:szCs w:val="22"/>
                <w:lang w:val="fr-CA"/>
              </w:rPr>
              <w:t>Autorités nationales / personnel des autorités nationales</w:t>
            </w:r>
            <w:r w:rsidRPr="00C462BE">
              <w:rPr>
                <w:rFonts w:eastAsia="MS Mincho"/>
                <w:szCs w:val="22"/>
                <w:lang w:val="fr-CA"/>
              </w:rPr>
              <w:t>]</w:t>
            </w:r>
          </w:p>
        </w:tc>
      </w:tr>
      <w:tr w:rsidR="00CD3639" w:rsidRPr="00301569" w14:paraId="42D29BD1" w14:textId="77777777" w:rsidTr="0052325C">
        <w:trPr>
          <w:cantSplit/>
          <w:jc w:val="center"/>
        </w:trPr>
        <w:tc>
          <w:tcPr>
            <w:tcW w:w="1705" w:type="dxa"/>
            <w:tcBorders>
              <w:top w:val="single" w:sz="4" w:space="0" w:color="auto"/>
              <w:left w:val="single" w:sz="4" w:space="0" w:color="auto"/>
              <w:bottom w:val="single" w:sz="4" w:space="0" w:color="auto"/>
              <w:right w:val="single" w:sz="4" w:space="0" w:color="auto"/>
            </w:tcBorders>
          </w:tcPr>
          <w:p w14:paraId="7DC2843E" w14:textId="3CE350E2"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A.8. Les Parties sont en mesure de détecter et d’identifier les OVM.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7B3C63E" w14:textId="33527ECF" w:rsidR="00377A75" w:rsidRPr="00377A75" w:rsidRDefault="00A075A7" w:rsidP="00377A75">
            <w:pPr>
              <w:jc w:val="left"/>
              <w:rPr>
                <w:rFonts w:eastAsia="MS Mincho"/>
                <w:kern w:val="22"/>
                <w:szCs w:val="22"/>
                <w:lang w:val="fr-FR"/>
              </w:rPr>
            </w:pPr>
            <w:r>
              <w:rPr>
                <w:kern w:val="22"/>
                <w:szCs w:val="22"/>
                <w:lang w:val="fr-FR"/>
              </w:rPr>
              <w:t>1) Elaboration, si besoin, et accès au matériel ressource</w:t>
            </w:r>
            <w:r w:rsidR="00377A75" w:rsidRPr="00377A75">
              <w:rPr>
                <w:kern w:val="22"/>
                <w:szCs w:val="22"/>
                <w:lang w:val="fr-FR"/>
              </w:rPr>
              <w:t xml:space="preserve">, </w:t>
            </w:r>
            <w:r>
              <w:rPr>
                <w:kern w:val="22"/>
                <w:szCs w:val="22"/>
                <w:lang w:val="fr-FR"/>
              </w:rPr>
              <w:t xml:space="preserve">aux </w:t>
            </w:r>
            <w:r w:rsidR="00377A75" w:rsidRPr="00377A75">
              <w:rPr>
                <w:kern w:val="22"/>
                <w:szCs w:val="22"/>
                <w:lang w:val="fr-FR"/>
              </w:rPr>
              <w:t xml:space="preserve">procédures et </w:t>
            </w:r>
            <w:r>
              <w:rPr>
                <w:kern w:val="22"/>
                <w:szCs w:val="22"/>
                <w:lang w:val="fr-FR"/>
              </w:rPr>
              <w:t>aux informations s</w:t>
            </w:r>
            <w:r w:rsidR="00377A75" w:rsidRPr="00377A75">
              <w:rPr>
                <w:kern w:val="22"/>
                <w:szCs w:val="22"/>
                <w:lang w:val="fr-FR"/>
              </w:rPr>
              <w:t>ur l’échantillonnage, la détection et l’identification des OVM</w:t>
            </w:r>
            <w:r w:rsidR="000543BC">
              <w:rPr>
                <w:kern w:val="22"/>
                <w:szCs w:val="22"/>
                <w:lang w:val="fr-FR"/>
              </w:rPr>
              <w:t>;</w:t>
            </w:r>
            <w:r w:rsidR="00377A75" w:rsidRPr="00377A75">
              <w:rPr>
                <w:kern w:val="22"/>
                <w:szCs w:val="22"/>
                <w:lang w:val="fr-FR"/>
              </w:rPr>
              <w:t xml:space="preserve"> </w:t>
            </w:r>
          </w:p>
          <w:p w14:paraId="66C906BF" w14:textId="2E906896" w:rsidR="00377A75" w:rsidRPr="00377A75" w:rsidRDefault="00377A75" w:rsidP="00377A75">
            <w:pPr>
              <w:jc w:val="left"/>
              <w:rPr>
                <w:rFonts w:eastAsia="MS Mincho"/>
                <w:kern w:val="22"/>
                <w:szCs w:val="22"/>
                <w:lang w:val="fr-FR"/>
              </w:rPr>
            </w:pPr>
            <w:r>
              <w:rPr>
                <w:kern w:val="22"/>
                <w:szCs w:val="22"/>
                <w:lang w:val="fr-FR"/>
              </w:rPr>
              <w:t>2</w:t>
            </w:r>
            <w:r w:rsidRPr="00377A75">
              <w:rPr>
                <w:kern w:val="22"/>
                <w:szCs w:val="22"/>
                <w:lang w:val="fr-FR"/>
              </w:rPr>
              <w:t>) Renforcement des capacités des fonctionnaires et du personnel de laboratoire en matière d’échantillonnage, de détection et d’identification</w:t>
            </w:r>
            <w:r w:rsidR="00A075A7">
              <w:rPr>
                <w:kern w:val="22"/>
                <w:szCs w:val="22"/>
                <w:lang w:val="fr-FR"/>
              </w:rPr>
              <w:t xml:space="preserve"> des OVM</w:t>
            </w:r>
            <w:r w:rsidR="000543BC">
              <w:rPr>
                <w:kern w:val="22"/>
                <w:szCs w:val="22"/>
                <w:lang w:val="fr-FR"/>
              </w:rPr>
              <w:t>;</w:t>
            </w:r>
          </w:p>
          <w:p w14:paraId="4914BF81" w14:textId="0C5A49AB" w:rsidR="00377A75" w:rsidRPr="00377A75" w:rsidRDefault="00377A75" w:rsidP="00377A75">
            <w:pPr>
              <w:jc w:val="left"/>
              <w:rPr>
                <w:rFonts w:eastAsia="MS Mincho"/>
                <w:kern w:val="22"/>
                <w:szCs w:val="22"/>
                <w:lang w:val="fr-FR"/>
              </w:rPr>
            </w:pPr>
            <w:r>
              <w:rPr>
                <w:kern w:val="22"/>
                <w:szCs w:val="22"/>
                <w:lang w:val="fr-FR"/>
              </w:rPr>
              <w:t>3</w:t>
            </w:r>
            <w:r w:rsidRPr="00377A75">
              <w:rPr>
                <w:kern w:val="22"/>
                <w:szCs w:val="22"/>
                <w:lang w:val="fr-FR"/>
              </w:rPr>
              <w:t>) Accès à l’infrastructure technique pour la détection et l’identification, incluant des matériels de référence certifiés</w:t>
            </w:r>
            <w:r w:rsidR="000543BC">
              <w:rPr>
                <w:kern w:val="22"/>
                <w:szCs w:val="22"/>
                <w:lang w:val="fr-FR"/>
              </w:rPr>
              <w:t>;</w:t>
            </w:r>
          </w:p>
          <w:p w14:paraId="3B9F6B1B" w14:textId="202C9B7B" w:rsidR="00CD3639" w:rsidRPr="00C462BE" w:rsidRDefault="00377A75" w:rsidP="00377A75">
            <w:pPr>
              <w:suppressLineNumbers/>
              <w:suppressAutoHyphens/>
              <w:spacing w:before="60" w:after="60"/>
              <w:jc w:val="left"/>
              <w:rPr>
                <w:rFonts w:eastAsia="MS Mincho"/>
                <w:kern w:val="22"/>
                <w:szCs w:val="22"/>
                <w:lang w:val="fr-CA"/>
              </w:rPr>
            </w:pPr>
            <w:r>
              <w:rPr>
                <w:kern w:val="22"/>
                <w:szCs w:val="22"/>
                <w:lang w:val="fr-FR"/>
              </w:rPr>
              <w:t>4</w:t>
            </w:r>
            <w:r w:rsidRPr="00377A75">
              <w:rPr>
                <w:kern w:val="22"/>
                <w:szCs w:val="22"/>
                <w:lang w:val="fr-FR"/>
              </w:rPr>
              <w:t>) Renforcement de la collaboration, notamment par l’intermédiaire de réseaux de laboratoires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A4ED528" w14:textId="2F601B2E" w:rsidR="00DF1A82" w:rsidRPr="00DF1A82" w:rsidRDefault="00A075A7" w:rsidP="00DF1A82">
            <w:pPr>
              <w:jc w:val="left"/>
              <w:rPr>
                <w:rFonts w:eastAsia="MS Mincho"/>
                <w:kern w:val="22"/>
                <w:szCs w:val="20"/>
                <w:lang w:val="fr-FR"/>
              </w:rPr>
            </w:pPr>
            <w:r>
              <w:rPr>
                <w:kern w:val="22"/>
                <w:szCs w:val="20"/>
                <w:lang w:val="fr-FR"/>
              </w:rPr>
              <w:t xml:space="preserve">i) Assurer </w:t>
            </w:r>
            <w:r w:rsidR="00DF1A82" w:rsidRPr="00DF1A82">
              <w:rPr>
                <w:kern w:val="22"/>
                <w:szCs w:val="20"/>
                <w:lang w:val="fr-FR"/>
              </w:rPr>
              <w:t>une formation sur les méthodologies et les protocoles d’échantillonnage, de détection et d’identification des OVM</w:t>
            </w:r>
            <w:r w:rsidR="000543BC">
              <w:rPr>
                <w:kern w:val="22"/>
                <w:szCs w:val="20"/>
                <w:lang w:val="fr-FR"/>
              </w:rPr>
              <w:t>;</w:t>
            </w:r>
          </w:p>
          <w:p w14:paraId="6D544582" w14:textId="3E74622E" w:rsidR="00DF1A82" w:rsidRPr="00DF1A82" w:rsidRDefault="00DF1A82" w:rsidP="00DF1A82">
            <w:pPr>
              <w:jc w:val="left"/>
              <w:rPr>
                <w:rFonts w:eastAsia="MS Mincho"/>
                <w:kern w:val="22"/>
                <w:szCs w:val="20"/>
                <w:lang w:val="fr-FR"/>
              </w:rPr>
            </w:pPr>
            <w:r w:rsidRPr="00DF1A82">
              <w:rPr>
                <w:kern w:val="22"/>
                <w:szCs w:val="20"/>
                <w:lang w:val="fr-FR"/>
              </w:rPr>
              <w:t xml:space="preserve">ii) Faciliter l’accès </w:t>
            </w:r>
            <w:r w:rsidR="00107337">
              <w:rPr>
                <w:kern w:val="22"/>
                <w:szCs w:val="20"/>
                <w:lang w:val="fr-FR"/>
              </w:rPr>
              <w:t>et mettre en place des</w:t>
            </w:r>
            <w:r w:rsidRPr="00DF1A82">
              <w:rPr>
                <w:kern w:val="22"/>
                <w:szCs w:val="20"/>
                <w:lang w:val="fr-FR"/>
              </w:rPr>
              <w:t xml:space="preserve"> infrastructures de détection et d’ident</w:t>
            </w:r>
            <w:r w:rsidR="00107337">
              <w:rPr>
                <w:kern w:val="22"/>
                <w:szCs w:val="20"/>
                <w:lang w:val="fr-FR"/>
              </w:rPr>
              <w:t>ification des OVM, y compris des</w:t>
            </w:r>
            <w:r w:rsidRPr="00DF1A82">
              <w:rPr>
                <w:kern w:val="22"/>
                <w:szCs w:val="20"/>
                <w:lang w:val="fr-FR"/>
              </w:rPr>
              <w:t xml:space="preserve"> laboratoires accré</w:t>
            </w:r>
            <w:r w:rsidR="00107337">
              <w:rPr>
                <w:kern w:val="22"/>
                <w:szCs w:val="20"/>
                <w:lang w:val="fr-FR"/>
              </w:rPr>
              <w:t>dités, des produits</w:t>
            </w:r>
            <w:r w:rsidRPr="00DF1A82">
              <w:rPr>
                <w:kern w:val="22"/>
                <w:szCs w:val="20"/>
                <w:lang w:val="fr-FR"/>
              </w:rPr>
              <w:t xml:space="preserve"> et matériels de référence certifiés</w:t>
            </w:r>
            <w:r w:rsidR="000543BC">
              <w:rPr>
                <w:kern w:val="22"/>
                <w:szCs w:val="20"/>
                <w:lang w:val="fr-FR"/>
              </w:rPr>
              <w:t>;</w:t>
            </w:r>
          </w:p>
          <w:p w14:paraId="71A020B4" w14:textId="2D266B8C" w:rsidR="00CD3639" w:rsidRPr="00C462BE" w:rsidRDefault="00DF1A82" w:rsidP="00DF1A82">
            <w:pPr>
              <w:suppressLineNumbers/>
              <w:suppressAutoHyphens/>
              <w:spacing w:before="60" w:after="60"/>
              <w:jc w:val="left"/>
              <w:rPr>
                <w:rFonts w:eastAsia="MS Mincho"/>
                <w:kern w:val="22"/>
                <w:szCs w:val="22"/>
                <w:lang w:val="fr-CA"/>
              </w:rPr>
            </w:pPr>
            <w:r w:rsidRPr="00DF1A82">
              <w:rPr>
                <w:kern w:val="22"/>
                <w:szCs w:val="20"/>
                <w:lang w:val="fr-FR"/>
              </w:rPr>
              <w:t>iii) Créer, renforcer et maintenir des réseaux de laboratoires pour la détection et l’identification des OVM.</w:t>
            </w:r>
          </w:p>
        </w:tc>
        <w:tc>
          <w:tcPr>
            <w:tcW w:w="2790" w:type="dxa"/>
            <w:tcBorders>
              <w:top w:val="single" w:sz="4" w:space="0" w:color="auto"/>
              <w:left w:val="single" w:sz="4" w:space="0" w:color="auto"/>
              <w:bottom w:val="single" w:sz="4" w:space="0" w:color="auto"/>
              <w:right w:val="single" w:sz="4" w:space="0" w:color="auto"/>
            </w:tcBorders>
          </w:tcPr>
          <w:p w14:paraId="27139014" w14:textId="18B2A7ED" w:rsidR="00CD3639" w:rsidRPr="00DF1A82" w:rsidRDefault="00CD3639" w:rsidP="00CD3639">
            <w:pPr>
              <w:suppressLineNumbers/>
              <w:suppressAutoHyphens/>
              <w:spacing w:before="60" w:after="60"/>
              <w:jc w:val="left"/>
              <w:rPr>
                <w:rFonts w:eastAsia="MS Mincho"/>
                <w:kern w:val="22"/>
                <w:szCs w:val="22"/>
                <w:lang w:val="fr-CA"/>
              </w:rPr>
            </w:pPr>
            <w:r w:rsidRPr="00DF1A82">
              <w:rPr>
                <w:rFonts w:eastAsia="MS Mincho"/>
                <w:szCs w:val="22"/>
                <w:lang w:val="fr-CA"/>
              </w:rPr>
              <w:t xml:space="preserve">a) </w:t>
            </w:r>
            <w:r w:rsidR="00FE3A58">
              <w:rPr>
                <w:rFonts w:eastAsia="MS Mincho"/>
                <w:szCs w:val="22"/>
                <w:lang w:val="fr-CA"/>
              </w:rPr>
              <w:t>Pourcentage de Parties</w:t>
            </w:r>
            <w:r w:rsidR="00DF1A82" w:rsidRPr="00DF1A82">
              <w:rPr>
                <w:rFonts w:eastAsia="MS Mincho"/>
                <w:szCs w:val="22"/>
                <w:lang w:val="fr-CA"/>
              </w:rPr>
              <w:t xml:space="preserve"> </w:t>
            </w:r>
            <w:r w:rsidR="00107337">
              <w:rPr>
                <w:rFonts w:eastAsia="MS Mincho"/>
                <w:szCs w:val="22"/>
                <w:lang w:val="fr-CA"/>
              </w:rPr>
              <w:t xml:space="preserve">formées aux </w:t>
            </w:r>
            <w:r w:rsidR="00DF1A82">
              <w:rPr>
                <w:rFonts w:eastAsia="MS Mincho"/>
                <w:szCs w:val="22"/>
                <w:lang w:val="fr-CA"/>
              </w:rPr>
              <w:t>méthodes</w:t>
            </w:r>
            <w:r w:rsidR="00DF1A82" w:rsidRPr="00DF1A82">
              <w:rPr>
                <w:rFonts w:eastAsia="MS Mincho"/>
                <w:szCs w:val="22"/>
                <w:lang w:val="fr-CA"/>
              </w:rPr>
              <w:t xml:space="preserve"> et protocol</w:t>
            </w:r>
            <w:r w:rsidR="00DF1A82">
              <w:rPr>
                <w:rFonts w:eastAsia="MS Mincho"/>
                <w:szCs w:val="22"/>
                <w:lang w:val="fr-CA"/>
              </w:rPr>
              <w:t>e</w:t>
            </w:r>
            <w:r w:rsidR="00DF1A82" w:rsidRPr="00DF1A82">
              <w:rPr>
                <w:rFonts w:eastAsia="MS Mincho"/>
                <w:szCs w:val="22"/>
                <w:lang w:val="fr-CA"/>
              </w:rPr>
              <w:t>s d’échantillo</w:t>
            </w:r>
            <w:r w:rsidR="00DF1A82">
              <w:rPr>
                <w:rFonts w:eastAsia="MS Mincho"/>
                <w:szCs w:val="22"/>
                <w:lang w:val="fr-CA"/>
              </w:rPr>
              <w:t>n</w:t>
            </w:r>
            <w:r w:rsidR="00DF1A82" w:rsidRPr="00DF1A82">
              <w:rPr>
                <w:rFonts w:eastAsia="MS Mincho"/>
                <w:szCs w:val="22"/>
                <w:lang w:val="fr-CA"/>
              </w:rPr>
              <w:t xml:space="preserve">nage, de </w:t>
            </w:r>
            <w:r w:rsidR="00DF1A82">
              <w:rPr>
                <w:rFonts w:eastAsia="MS Mincho"/>
                <w:szCs w:val="22"/>
                <w:lang w:val="fr-CA"/>
              </w:rPr>
              <w:t>dé</w:t>
            </w:r>
            <w:r w:rsidR="00DF1A82" w:rsidRPr="00DF1A82">
              <w:rPr>
                <w:rFonts w:eastAsia="MS Mincho"/>
                <w:szCs w:val="22"/>
                <w:lang w:val="fr-CA"/>
              </w:rPr>
              <w:t>tection et d’</w:t>
            </w:r>
            <w:r w:rsidR="00DF1A82">
              <w:rPr>
                <w:rFonts w:eastAsia="MS Mincho"/>
                <w:szCs w:val="22"/>
                <w:lang w:val="fr-CA"/>
              </w:rPr>
              <w:t>identificati</w:t>
            </w:r>
            <w:r w:rsidR="00DF1A82" w:rsidRPr="00DF1A82">
              <w:rPr>
                <w:rFonts w:eastAsia="MS Mincho"/>
                <w:szCs w:val="22"/>
                <w:lang w:val="fr-CA"/>
              </w:rPr>
              <w:t>on des OVM</w:t>
            </w:r>
            <w:r w:rsidRPr="00DF1A82">
              <w:rPr>
                <w:rFonts w:eastAsia="MS Mincho"/>
                <w:szCs w:val="22"/>
                <w:lang w:val="fr-CA"/>
              </w:rPr>
              <w:t>;</w:t>
            </w:r>
          </w:p>
          <w:p w14:paraId="5816D51A" w14:textId="37B2D488" w:rsidR="00CD3639" w:rsidRDefault="00CD3639" w:rsidP="00CD3639">
            <w:pPr>
              <w:suppressLineNumbers/>
              <w:suppressAutoHyphens/>
              <w:spacing w:before="60" w:after="60"/>
              <w:jc w:val="left"/>
              <w:rPr>
                <w:rFonts w:eastAsia="MS Mincho"/>
                <w:kern w:val="22"/>
                <w:szCs w:val="22"/>
                <w:lang w:val="fr-CA"/>
              </w:rPr>
            </w:pPr>
            <w:r w:rsidRPr="00C462BE">
              <w:rPr>
                <w:rFonts w:eastAsia="MS Mincho"/>
                <w:kern w:val="22"/>
                <w:szCs w:val="22"/>
                <w:lang w:val="fr-CA"/>
              </w:rPr>
              <w:t xml:space="preserve">b) </w:t>
            </w:r>
            <w:r w:rsidR="00FE3A58">
              <w:rPr>
                <w:rFonts w:eastAsia="MS Mincho"/>
                <w:kern w:val="22"/>
                <w:szCs w:val="22"/>
                <w:lang w:val="fr-CA"/>
              </w:rPr>
              <w:t>Pourcentage de Parties</w:t>
            </w:r>
            <w:r w:rsidR="00107337">
              <w:rPr>
                <w:rFonts w:eastAsia="MS Mincho"/>
                <w:kern w:val="22"/>
                <w:szCs w:val="22"/>
                <w:lang w:val="fr-CA"/>
              </w:rPr>
              <w:t xml:space="preserve"> ayant accès à des </w:t>
            </w:r>
            <w:r w:rsidR="00077D5A">
              <w:rPr>
                <w:rFonts w:eastAsia="MS Mincho"/>
                <w:kern w:val="22"/>
                <w:szCs w:val="22"/>
                <w:lang w:val="fr-CA"/>
              </w:rPr>
              <w:t>infrastructure</w:t>
            </w:r>
            <w:r w:rsidR="00107337">
              <w:rPr>
                <w:rFonts w:eastAsia="MS Mincho"/>
                <w:kern w:val="22"/>
                <w:szCs w:val="22"/>
                <w:lang w:val="fr-CA"/>
              </w:rPr>
              <w:t>s</w:t>
            </w:r>
            <w:r w:rsidR="00077D5A">
              <w:rPr>
                <w:rFonts w:eastAsia="MS Mincho"/>
                <w:kern w:val="22"/>
                <w:szCs w:val="22"/>
                <w:lang w:val="fr-CA"/>
              </w:rPr>
              <w:t xml:space="preserve"> d’échantillonnage, de détection et d’identification des OVM</w:t>
            </w:r>
            <w:r w:rsidRPr="00C462BE">
              <w:rPr>
                <w:rFonts w:eastAsia="MS Mincho"/>
                <w:kern w:val="22"/>
                <w:szCs w:val="22"/>
                <w:lang w:val="fr-CA"/>
              </w:rPr>
              <w:t>;</w:t>
            </w:r>
          </w:p>
          <w:p w14:paraId="629036A0" w14:textId="013AB818" w:rsidR="00107337" w:rsidRPr="00C462BE" w:rsidRDefault="00107337" w:rsidP="00CD3639">
            <w:pPr>
              <w:suppressLineNumbers/>
              <w:suppressAutoHyphens/>
              <w:spacing w:before="60" w:after="60"/>
              <w:jc w:val="left"/>
              <w:rPr>
                <w:rFonts w:eastAsia="MS Mincho"/>
                <w:kern w:val="22"/>
                <w:szCs w:val="22"/>
                <w:lang w:val="fr-CA"/>
              </w:rPr>
            </w:pPr>
            <w:r>
              <w:rPr>
                <w:rFonts w:eastAsia="MS Mincho"/>
                <w:kern w:val="22"/>
                <w:szCs w:val="22"/>
                <w:lang w:val="fr-CA"/>
              </w:rPr>
              <w:t>c) Pourcentage de Parties ayant mis en place des laboratoires accrédités;</w:t>
            </w:r>
          </w:p>
          <w:p w14:paraId="7EFA31D0" w14:textId="3239C5E3" w:rsidR="00CD3639" w:rsidRPr="00077D5A" w:rsidRDefault="00107337" w:rsidP="00077D5A">
            <w:pPr>
              <w:suppressLineNumbers/>
              <w:suppressAutoHyphens/>
              <w:spacing w:before="60" w:after="60"/>
              <w:jc w:val="left"/>
              <w:rPr>
                <w:rFonts w:eastAsia="MS Mincho"/>
                <w:kern w:val="22"/>
                <w:szCs w:val="22"/>
                <w:lang w:val="fr-CA"/>
              </w:rPr>
            </w:pPr>
            <w:r>
              <w:rPr>
                <w:rFonts w:eastAsia="MS Mincho"/>
                <w:szCs w:val="22"/>
                <w:lang w:val="fr-CA"/>
              </w:rPr>
              <w:t>d</w:t>
            </w:r>
            <w:r w:rsidR="00CD3639" w:rsidRPr="00077D5A">
              <w:rPr>
                <w:rFonts w:eastAsia="MS Mincho"/>
                <w:szCs w:val="22"/>
                <w:lang w:val="fr-CA"/>
              </w:rPr>
              <w:t xml:space="preserve">) </w:t>
            </w:r>
            <w:r w:rsidR="00FE3A58">
              <w:rPr>
                <w:rFonts w:eastAsia="MS Mincho"/>
                <w:szCs w:val="22"/>
                <w:lang w:val="fr-CA"/>
              </w:rPr>
              <w:t>Pourcentage de Parties</w:t>
            </w:r>
            <w:r w:rsidR="00077D5A" w:rsidRPr="00077D5A">
              <w:rPr>
                <w:rFonts w:eastAsia="MS Mincho"/>
                <w:szCs w:val="22"/>
                <w:lang w:val="fr-CA"/>
              </w:rPr>
              <w:t xml:space="preserve"> </w:t>
            </w:r>
            <w:r w:rsidR="00077D5A">
              <w:rPr>
                <w:rFonts w:eastAsia="MS Mincho"/>
                <w:szCs w:val="22"/>
                <w:lang w:val="fr-CA"/>
              </w:rPr>
              <w:t xml:space="preserve">étant </w:t>
            </w:r>
            <w:r w:rsidR="00077D5A" w:rsidRPr="00077D5A">
              <w:rPr>
                <w:rFonts w:eastAsia="MS Mincho"/>
                <w:szCs w:val="22"/>
                <w:lang w:val="fr-CA"/>
              </w:rPr>
              <w:t>membres de réseaux de laboratoires de d</w:t>
            </w:r>
            <w:r w:rsidR="00077D5A">
              <w:rPr>
                <w:rFonts w:eastAsia="MS Mincho"/>
                <w:szCs w:val="22"/>
                <w:lang w:val="fr-CA"/>
              </w:rPr>
              <w:t>é</w:t>
            </w:r>
            <w:r w:rsidR="00077D5A" w:rsidRPr="00077D5A">
              <w:rPr>
                <w:rFonts w:eastAsia="MS Mincho"/>
                <w:szCs w:val="22"/>
                <w:lang w:val="fr-CA"/>
              </w:rPr>
              <w:t>tection et d’identification des OVM</w:t>
            </w:r>
            <w:r>
              <w:rPr>
                <w:rFonts w:eastAsia="MS Mincho"/>
                <w:szCs w:val="22"/>
                <w:lang w:val="fr-CA"/>
              </w:rPr>
              <w:t>.</w:t>
            </w:r>
          </w:p>
        </w:tc>
        <w:tc>
          <w:tcPr>
            <w:tcW w:w="1890" w:type="dxa"/>
            <w:tcBorders>
              <w:top w:val="single" w:sz="4" w:space="0" w:color="auto"/>
              <w:left w:val="single" w:sz="4" w:space="0" w:color="auto"/>
              <w:bottom w:val="single" w:sz="4" w:space="0" w:color="auto"/>
              <w:right w:val="single" w:sz="4" w:space="0" w:color="auto"/>
            </w:tcBorders>
          </w:tcPr>
          <w:p w14:paraId="7F9EC3E8" w14:textId="54E0CD64" w:rsidR="00CD3639" w:rsidRDefault="00CD3639" w:rsidP="00CD3639">
            <w:pPr>
              <w:suppressLineNumbers/>
              <w:suppressAutoHyphens/>
              <w:spacing w:before="60" w:after="60"/>
              <w:jc w:val="left"/>
              <w:rPr>
                <w:kern w:val="22"/>
                <w:szCs w:val="22"/>
                <w:lang w:val="fr-CA"/>
              </w:rPr>
            </w:pPr>
            <w:r w:rsidRPr="00C462BE">
              <w:rPr>
                <w:kern w:val="22"/>
                <w:szCs w:val="22"/>
                <w:lang w:val="fr-CA"/>
              </w:rPr>
              <w:t>En détectant les OVM et en les identifiant, les Parties sont en mesure de faire face aux mouvements transfrontièr</w:t>
            </w:r>
            <w:r w:rsidR="00A075A7">
              <w:rPr>
                <w:kern w:val="22"/>
                <w:szCs w:val="22"/>
                <w:lang w:val="fr-CA"/>
              </w:rPr>
              <w:t>es non intentionnels et illicites et de respecter les exigences</w:t>
            </w:r>
            <w:r w:rsidRPr="00C462BE">
              <w:rPr>
                <w:kern w:val="22"/>
                <w:szCs w:val="22"/>
                <w:lang w:val="fr-CA"/>
              </w:rPr>
              <w:t xml:space="preserve"> </w:t>
            </w:r>
            <w:r w:rsidR="00A075A7">
              <w:rPr>
                <w:kern w:val="22"/>
                <w:szCs w:val="22"/>
                <w:lang w:val="fr-CA"/>
              </w:rPr>
              <w:t xml:space="preserve">en matière </w:t>
            </w:r>
            <w:r w:rsidRPr="00C462BE">
              <w:rPr>
                <w:kern w:val="22"/>
                <w:szCs w:val="22"/>
                <w:lang w:val="fr-CA"/>
              </w:rPr>
              <w:t>de manipulation, de transport, d’emballage et d’identific</w:t>
            </w:r>
            <w:r w:rsidR="00077D5A">
              <w:rPr>
                <w:kern w:val="22"/>
                <w:szCs w:val="22"/>
                <w:lang w:val="fr-CA"/>
              </w:rPr>
              <w:t>ation</w:t>
            </w:r>
            <w:r w:rsidR="00A075A7">
              <w:rPr>
                <w:kern w:val="22"/>
                <w:szCs w:val="22"/>
                <w:lang w:val="fr-CA"/>
              </w:rPr>
              <w:t xml:space="preserve"> des OVM,</w:t>
            </w:r>
            <w:r w:rsidR="00077D5A">
              <w:rPr>
                <w:kern w:val="22"/>
                <w:szCs w:val="22"/>
                <w:lang w:val="fr-CA"/>
              </w:rPr>
              <w:t xml:space="preserve"> conformément au Protocole;</w:t>
            </w:r>
          </w:p>
          <w:p w14:paraId="46353479" w14:textId="0D96DF7B" w:rsidR="00077D5A" w:rsidRPr="00C462BE" w:rsidRDefault="00077D5A" w:rsidP="00A74AE5">
            <w:pPr>
              <w:suppressLineNumbers/>
              <w:suppressAutoHyphens/>
              <w:spacing w:before="60" w:after="60"/>
              <w:jc w:val="left"/>
              <w:rPr>
                <w:rFonts w:eastAsia="MS Mincho"/>
                <w:kern w:val="22"/>
                <w:szCs w:val="22"/>
                <w:lang w:val="fr-CA"/>
              </w:rPr>
            </w:pPr>
            <w:r>
              <w:rPr>
                <w:kern w:val="22"/>
                <w:szCs w:val="22"/>
                <w:lang w:val="fr-CA"/>
              </w:rPr>
              <w:t>Le partage d’information</w:t>
            </w:r>
            <w:r w:rsidR="00A075A7">
              <w:rPr>
                <w:kern w:val="22"/>
                <w:szCs w:val="22"/>
                <w:lang w:val="fr-CA"/>
              </w:rPr>
              <w:t>s</w:t>
            </w:r>
            <w:r>
              <w:rPr>
                <w:kern w:val="22"/>
                <w:szCs w:val="22"/>
                <w:lang w:val="fr-CA"/>
              </w:rPr>
              <w:t xml:space="preserve"> et de programmes d’assurance de </w:t>
            </w:r>
            <w:r w:rsidR="00A74AE5">
              <w:rPr>
                <w:kern w:val="22"/>
                <w:szCs w:val="22"/>
                <w:lang w:val="fr-CA"/>
              </w:rPr>
              <w:t xml:space="preserve">la </w:t>
            </w:r>
            <w:r>
              <w:rPr>
                <w:kern w:val="22"/>
                <w:szCs w:val="22"/>
                <w:lang w:val="fr-CA"/>
              </w:rPr>
              <w:t>qualité dans les réseaux de l</w:t>
            </w:r>
            <w:r w:rsidR="00A075A7">
              <w:rPr>
                <w:kern w:val="22"/>
                <w:szCs w:val="22"/>
                <w:lang w:val="fr-CA"/>
              </w:rPr>
              <w:t>aboratoires favorise des</w:t>
            </w:r>
            <w:r>
              <w:rPr>
                <w:kern w:val="22"/>
                <w:szCs w:val="22"/>
                <w:lang w:val="fr-CA"/>
              </w:rPr>
              <w:t xml:space="preserve"> résultats d’analyse précis, robustes et fiables et de</w:t>
            </w:r>
            <w:r w:rsidR="00A075A7">
              <w:rPr>
                <w:kern w:val="22"/>
                <w:szCs w:val="22"/>
                <w:lang w:val="fr-CA"/>
              </w:rPr>
              <w:t>s</w:t>
            </w:r>
            <w:r>
              <w:rPr>
                <w:kern w:val="22"/>
                <w:szCs w:val="22"/>
                <w:lang w:val="fr-CA"/>
              </w:rPr>
              <w:t xml:space="preserve"> procédures efficaces.</w:t>
            </w:r>
          </w:p>
        </w:tc>
        <w:tc>
          <w:tcPr>
            <w:tcW w:w="1710" w:type="dxa"/>
            <w:tcBorders>
              <w:top w:val="single" w:sz="4" w:space="0" w:color="auto"/>
              <w:left w:val="single" w:sz="4" w:space="0" w:color="auto"/>
              <w:bottom w:val="single" w:sz="4" w:space="0" w:color="auto"/>
              <w:right w:val="single" w:sz="4" w:space="0" w:color="auto"/>
            </w:tcBorders>
          </w:tcPr>
          <w:p w14:paraId="022AE5A6" w14:textId="265C7BBB" w:rsidR="00CD3639" w:rsidRPr="00A74AE5" w:rsidRDefault="00CD3639" w:rsidP="00C7087E">
            <w:pPr>
              <w:suppressLineNumbers/>
              <w:suppressAutoHyphens/>
              <w:spacing w:before="60" w:after="60"/>
              <w:jc w:val="left"/>
              <w:rPr>
                <w:rFonts w:eastAsia="MS Mincho"/>
                <w:kern w:val="22"/>
                <w:szCs w:val="22"/>
                <w:lang w:val="fr-CA"/>
              </w:rPr>
            </w:pPr>
            <w:r w:rsidRPr="00A74AE5">
              <w:rPr>
                <w:rFonts w:eastAsia="MS Mincho"/>
                <w:szCs w:val="22"/>
                <w:lang w:val="fr-CA"/>
              </w:rPr>
              <w:t>[</w:t>
            </w:r>
            <w:r w:rsidR="00A74AE5">
              <w:rPr>
                <w:rFonts w:eastAsia="MS Mincho"/>
                <w:szCs w:val="22"/>
                <w:lang w:val="fr-CA"/>
              </w:rPr>
              <w:t xml:space="preserve">Autorités nationales / personnel des autorités nationales </w:t>
            </w:r>
          </w:p>
          <w:p w14:paraId="42B8B3B2" w14:textId="1453CD74" w:rsidR="00CD3639" w:rsidRPr="00A74AE5" w:rsidRDefault="00A74AE5" w:rsidP="00CD3639">
            <w:pPr>
              <w:suppressLineNumbers/>
              <w:suppressAutoHyphens/>
              <w:spacing w:before="60" w:after="60"/>
              <w:jc w:val="left"/>
              <w:rPr>
                <w:rFonts w:eastAsia="MS Mincho"/>
                <w:kern w:val="22"/>
                <w:szCs w:val="22"/>
                <w:lang w:val="fr-CA"/>
              </w:rPr>
            </w:pPr>
            <w:r w:rsidRPr="00A74AE5">
              <w:rPr>
                <w:rFonts w:eastAsia="MS Mincho"/>
                <w:szCs w:val="22"/>
                <w:lang w:val="fr-CA"/>
              </w:rPr>
              <w:t>Milieu universitaire, réseaux de laboratoires ayant l’appui du Secrétariat de la CDB</w:t>
            </w:r>
            <w:r w:rsidR="00CD3639" w:rsidRPr="00A74AE5">
              <w:rPr>
                <w:rFonts w:eastAsia="MS Mincho"/>
                <w:szCs w:val="22"/>
                <w:lang w:val="fr-CA"/>
              </w:rPr>
              <w:t>]</w:t>
            </w:r>
          </w:p>
        </w:tc>
      </w:tr>
      <w:tr w:rsidR="00CD3639" w:rsidRPr="00301569" w14:paraId="53FE6395" w14:textId="77777777" w:rsidTr="00065370">
        <w:trPr>
          <w:trHeight w:val="752"/>
          <w:jc w:val="center"/>
        </w:trPr>
        <w:tc>
          <w:tcPr>
            <w:tcW w:w="1705" w:type="dxa"/>
            <w:tcBorders>
              <w:bottom w:val="single" w:sz="4" w:space="0" w:color="auto"/>
            </w:tcBorders>
          </w:tcPr>
          <w:p w14:paraId="24B07DD7" w14:textId="4F035576"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A.9. Les Parties qui choisissent de le faire tiennent compte des considérations socio-économiques lorsqu’elles prennent des décisions sur l’importation d’OVM et coopèrent en matière de recherche et d’échange d’informations conformément à l’</w:t>
            </w:r>
            <w:r w:rsidR="009365C2">
              <w:rPr>
                <w:b/>
                <w:bCs/>
                <w:kern w:val="22"/>
                <w:szCs w:val="22"/>
                <w:lang w:val="fr-CA"/>
              </w:rPr>
              <w:t>article</w:t>
            </w:r>
            <w:r w:rsidRPr="00C462BE">
              <w:rPr>
                <w:b/>
                <w:bCs/>
                <w:kern w:val="22"/>
                <w:szCs w:val="22"/>
                <w:lang w:val="fr-CA"/>
              </w:rPr>
              <w:t> 26 du Protocole.</w:t>
            </w:r>
          </w:p>
        </w:tc>
        <w:tc>
          <w:tcPr>
            <w:tcW w:w="1890" w:type="dxa"/>
            <w:tcBorders>
              <w:bottom w:val="single" w:sz="4" w:space="0" w:color="auto"/>
            </w:tcBorders>
            <w:shd w:val="clear" w:color="auto" w:fill="auto"/>
          </w:tcPr>
          <w:p w14:paraId="6B87AB69" w14:textId="2C38055E" w:rsidR="00CD3639" w:rsidRPr="00C462BE" w:rsidRDefault="00CD3639" w:rsidP="00CD3639">
            <w:pPr>
              <w:spacing w:before="60" w:after="60"/>
              <w:jc w:val="left"/>
              <w:rPr>
                <w:rFonts w:eastAsia="MS Mincho"/>
                <w:kern w:val="22"/>
                <w:szCs w:val="22"/>
                <w:lang w:val="fr-CA"/>
              </w:rPr>
            </w:pPr>
            <w:r w:rsidRPr="00C462BE">
              <w:rPr>
                <w:kern w:val="22"/>
                <w:szCs w:val="22"/>
                <w:lang w:val="fr-CA"/>
              </w:rPr>
              <w:t>1) Renforcement des capacités de prise en compte des considérations socio-économiques conformément à l’</w:t>
            </w:r>
            <w:r w:rsidR="009365C2">
              <w:rPr>
                <w:kern w:val="22"/>
                <w:szCs w:val="22"/>
                <w:lang w:val="fr-CA"/>
              </w:rPr>
              <w:t>article</w:t>
            </w:r>
            <w:r w:rsidRPr="00C462BE">
              <w:rPr>
                <w:kern w:val="22"/>
                <w:szCs w:val="22"/>
                <w:lang w:val="fr-CA"/>
              </w:rPr>
              <w:t> 26</w:t>
            </w:r>
            <w:r w:rsidR="000543BC">
              <w:rPr>
                <w:kern w:val="22"/>
                <w:szCs w:val="22"/>
                <w:lang w:val="fr-CA"/>
              </w:rPr>
              <w:t>;</w:t>
            </w:r>
          </w:p>
          <w:p w14:paraId="048A9A49" w14:textId="4EC7DDBE"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2) Développement de matériel ressource sur les considérations socio-économiques.</w:t>
            </w:r>
          </w:p>
        </w:tc>
        <w:tc>
          <w:tcPr>
            <w:tcW w:w="2520" w:type="dxa"/>
            <w:tcBorders>
              <w:bottom w:val="single" w:sz="4" w:space="0" w:color="auto"/>
            </w:tcBorders>
            <w:shd w:val="clear" w:color="auto" w:fill="auto"/>
          </w:tcPr>
          <w:p w14:paraId="5619DB92" w14:textId="1423DA48" w:rsidR="00CD3639" w:rsidRPr="00C462BE" w:rsidRDefault="00CD3639" w:rsidP="00CD3639">
            <w:pPr>
              <w:spacing w:before="60" w:after="60"/>
              <w:jc w:val="left"/>
              <w:rPr>
                <w:rFonts w:eastAsia="MS Mincho"/>
                <w:kern w:val="22"/>
                <w:szCs w:val="22"/>
                <w:lang w:val="fr-CA"/>
              </w:rPr>
            </w:pPr>
            <w:r w:rsidRPr="00C462BE">
              <w:rPr>
                <w:kern w:val="22"/>
                <w:szCs w:val="22"/>
                <w:lang w:val="fr-CA"/>
              </w:rPr>
              <w:t>i) Dispenser une formation aux autorités nationales compétentes sur la prise en compte des considérations socio-économiques</w:t>
            </w:r>
            <w:r w:rsidR="00A74AE5">
              <w:rPr>
                <w:kern w:val="22"/>
                <w:szCs w:val="22"/>
                <w:lang w:val="fr-CA"/>
              </w:rPr>
              <w:t>, conformément à l’</w:t>
            </w:r>
            <w:r w:rsidR="009365C2">
              <w:rPr>
                <w:kern w:val="22"/>
                <w:szCs w:val="22"/>
                <w:lang w:val="fr-CA"/>
              </w:rPr>
              <w:t>article</w:t>
            </w:r>
            <w:r w:rsidR="00495292">
              <w:rPr>
                <w:kern w:val="22"/>
                <w:szCs w:val="22"/>
                <w:lang w:val="fr-CA"/>
              </w:rPr>
              <w:t> </w:t>
            </w:r>
            <w:r w:rsidR="00A74AE5">
              <w:rPr>
                <w:kern w:val="22"/>
                <w:szCs w:val="22"/>
                <w:lang w:val="fr-CA"/>
              </w:rPr>
              <w:t>26</w:t>
            </w:r>
            <w:r w:rsidR="000543BC">
              <w:rPr>
                <w:kern w:val="22"/>
                <w:szCs w:val="22"/>
                <w:lang w:val="fr-CA"/>
              </w:rPr>
              <w:t>;</w:t>
            </w:r>
          </w:p>
          <w:p w14:paraId="39095066" w14:textId="64B91D59" w:rsidR="00CD3639" w:rsidRPr="00C462BE" w:rsidRDefault="00CD3639" w:rsidP="00CD3639">
            <w:pPr>
              <w:jc w:val="left"/>
              <w:rPr>
                <w:rFonts w:eastAsia="MS Mincho"/>
                <w:kern w:val="22"/>
                <w:szCs w:val="22"/>
                <w:lang w:val="fr-CA"/>
              </w:rPr>
            </w:pPr>
            <w:r w:rsidRPr="00C462BE">
              <w:rPr>
                <w:kern w:val="22"/>
                <w:szCs w:val="22"/>
                <w:lang w:val="fr-CA"/>
              </w:rPr>
              <w:t xml:space="preserve">ii) Élaborer, </w:t>
            </w:r>
            <w:r w:rsidR="00495292">
              <w:rPr>
                <w:kern w:val="22"/>
                <w:szCs w:val="22"/>
                <w:lang w:val="fr-CA"/>
              </w:rPr>
              <w:t>si besoin</w:t>
            </w:r>
            <w:r w:rsidR="00A74AE5">
              <w:rPr>
                <w:kern w:val="22"/>
                <w:szCs w:val="22"/>
                <w:lang w:val="fr-CA"/>
              </w:rPr>
              <w:t xml:space="preserve">, </w:t>
            </w:r>
            <w:r w:rsidR="00495292">
              <w:rPr>
                <w:kern w:val="22"/>
                <w:szCs w:val="22"/>
                <w:lang w:val="fr-CA"/>
              </w:rPr>
              <w:t>mettre à jour et diffuser du matériel</w:t>
            </w:r>
            <w:r w:rsidRPr="00C462BE">
              <w:rPr>
                <w:kern w:val="22"/>
                <w:szCs w:val="22"/>
                <w:lang w:val="fr-CA"/>
              </w:rPr>
              <w:t xml:space="preserve"> de formation sur les considérations socio-économiques</w:t>
            </w:r>
            <w:r w:rsidR="000543BC">
              <w:rPr>
                <w:kern w:val="22"/>
                <w:szCs w:val="22"/>
                <w:lang w:val="fr-CA"/>
              </w:rPr>
              <w:t>;</w:t>
            </w:r>
          </w:p>
          <w:p w14:paraId="6A968AB7" w14:textId="717BDA05" w:rsidR="00CD3639" w:rsidRDefault="00CD3639" w:rsidP="00CD3639">
            <w:pPr>
              <w:suppressLineNumbers/>
              <w:suppressAutoHyphens/>
              <w:spacing w:before="60" w:after="60"/>
              <w:jc w:val="left"/>
              <w:rPr>
                <w:kern w:val="22"/>
                <w:szCs w:val="22"/>
                <w:lang w:val="fr-CA"/>
              </w:rPr>
            </w:pPr>
            <w:r w:rsidRPr="00C462BE">
              <w:rPr>
                <w:kern w:val="22"/>
                <w:szCs w:val="22"/>
                <w:lang w:val="fr-CA"/>
              </w:rPr>
              <w:t>iii) Partager les expériences et les approches pour la prise en compte des c</w:t>
            </w:r>
            <w:r w:rsidR="00A74AE5">
              <w:rPr>
                <w:kern w:val="22"/>
                <w:szCs w:val="22"/>
                <w:lang w:val="fr-CA"/>
              </w:rPr>
              <w:t>onsidérations socio-économiques</w:t>
            </w:r>
            <w:r w:rsidR="000543BC">
              <w:rPr>
                <w:kern w:val="22"/>
                <w:szCs w:val="22"/>
                <w:lang w:val="fr-CA"/>
              </w:rPr>
              <w:t>;</w:t>
            </w:r>
          </w:p>
          <w:p w14:paraId="52F50BB8" w14:textId="621E9689" w:rsidR="00A74AE5" w:rsidRPr="00C462BE" w:rsidRDefault="00A74AE5" w:rsidP="00CC56E9">
            <w:pPr>
              <w:suppressLineNumbers/>
              <w:suppressAutoHyphens/>
              <w:spacing w:before="60" w:after="60"/>
              <w:jc w:val="left"/>
              <w:rPr>
                <w:rFonts w:eastAsia="MS Mincho"/>
                <w:kern w:val="22"/>
                <w:szCs w:val="22"/>
                <w:lang w:val="fr-CA"/>
              </w:rPr>
            </w:pPr>
            <w:r>
              <w:rPr>
                <w:rFonts w:eastAsia="MS Mincho"/>
                <w:kern w:val="22"/>
                <w:szCs w:val="22"/>
                <w:lang w:val="fr-CA"/>
              </w:rPr>
              <w:t>iv) Éta</w:t>
            </w:r>
            <w:r w:rsidR="00CC56E9">
              <w:rPr>
                <w:rFonts w:eastAsia="MS Mincho"/>
                <w:kern w:val="22"/>
                <w:szCs w:val="22"/>
                <w:lang w:val="fr-CA"/>
              </w:rPr>
              <w:t xml:space="preserve">blir des collaborations avec des représentants du </w:t>
            </w:r>
            <w:r>
              <w:rPr>
                <w:rFonts w:eastAsia="MS Mincho"/>
                <w:kern w:val="22"/>
                <w:szCs w:val="22"/>
                <w:lang w:val="fr-CA"/>
              </w:rPr>
              <w:t>milieu universitaire</w:t>
            </w:r>
            <w:r w:rsidR="00CC56E9">
              <w:rPr>
                <w:rFonts w:eastAsia="MS Mincho"/>
                <w:kern w:val="22"/>
                <w:szCs w:val="22"/>
                <w:lang w:val="fr-CA"/>
              </w:rPr>
              <w:t xml:space="preserve"> ayant une expertise pertinente [et avec les peuples autochtones et les communautés </w:t>
            </w:r>
            <w:r w:rsidR="00704587">
              <w:rPr>
                <w:rFonts w:eastAsia="MS Mincho"/>
                <w:kern w:val="22"/>
                <w:szCs w:val="22"/>
                <w:lang w:val="fr-CA"/>
              </w:rPr>
              <w:t>locales [</w:t>
            </w:r>
            <w:r w:rsidR="00CC56E9">
              <w:rPr>
                <w:rFonts w:eastAsia="MS Mincho"/>
                <w:kern w:val="22"/>
                <w:szCs w:val="22"/>
                <w:lang w:val="fr-CA"/>
              </w:rPr>
              <w:t>, en gardant à l’esprit les considérations spéciales de l’</w:t>
            </w:r>
            <w:r w:rsidR="009365C2">
              <w:rPr>
                <w:rFonts w:eastAsia="MS Mincho"/>
                <w:kern w:val="22"/>
                <w:szCs w:val="22"/>
                <w:lang w:val="fr-CA"/>
              </w:rPr>
              <w:t>article</w:t>
            </w:r>
            <w:r w:rsidR="00CC56E9">
              <w:rPr>
                <w:rFonts w:eastAsia="MS Mincho"/>
                <w:kern w:val="22"/>
                <w:szCs w:val="22"/>
                <w:lang w:val="fr-CA"/>
              </w:rPr>
              <w:t xml:space="preserve"> 26 relatives aux peuples autochtones et communautés locales.]] </w:t>
            </w:r>
          </w:p>
        </w:tc>
        <w:tc>
          <w:tcPr>
            <w:tcW w:w="2790" w:type="dxa"/>
            <w:tcBorders>
              <w:bottom w:val="single" w:sz="4" w:space="0" w:color="auto"/>
            </w:tcBorders>
          </w:tcPr>
          <w:p w14:paraId="1DCF6D55" w14:textId="4E049F2E" w:rsidR="00CD3639" w:rsidRPr="00CC56E9" w:rsidRDefault="00495292" w:rsidP="00CD3639">
            <w:pPr>
              <w:suppressLineNumbers/>
              <w:suppressAutoHyphens/>
              <w:spacing w:before="60" w:after="60"/>
              <w:jc w:val="left"/>
              <w:rPr>
                <w:rFonts w:eastAsia="MS Mincho"/>
                <w:kern w:val="22"/>
                <w:szCs w:val="22"/>
                <w:lang w:val="fr-CA"/>
              </w:rPr>
            </w:pPr>
            <w:r>
              <w:rPr>
                <w:rFonts w:eastAsia="MS Mincho"/>
                <w:szCs w:val="22"/>
                <w:lang w:val="fr-CA"/>
              </w:rPr>
              <w:t>[</w:t>
            </w:r>
            <w:r w:rsidR="00CD3639" w:rsidRPr="00CC56E9">
              <w:rPr>
                <w:rFonts w:eastAsia="MS Mincho"/>
                <w:szCs w:val="22"/>
                <w:lang w:val="fr-CA"/>
              </w:rPr>
              <w:t xml:space="preserve">a) </w:t>
            </w:r>
            <w:r w:rsidR="00CC56E9" w:rsidRPr="00CC56E9">
              <w:rPr>
                <w:rFonts w:eastAsia="MS Mincho"/>
                <w:szCs w:val="22"/>
                <w:lang w:val="fr-CA"/>
              </w:rPr>
              <w:t>P</w:t>
            </w:r>
            <w:r w:rsidR="00CC56E9">
              <w:rPr>
                <w:rFonts w:eastAsia="MS Mincho"/>
                <w:szCs w:val="22"/>
                <w:lang w:val="fr-CA"/>
              </w:rPr>
              <w:t>ourcentage d’</w:t>
            </w:r>
            <w:r w:rsidR="00CC56E9" w:rsidRPr="00CC56E9">
              <w:rPr>
                <w:rFonts w:eastAsia="MS Mincho"/>
                <w:szCs w:val="22"/>
                <w:lang w:val="fr-CA"/>
              </w:rPr>
              <w:t>autorités nationales compétentes au sein des Parties ayant acc</w:t>
            </w:r>
            <w:r w:rsidR="00CC56E9">
              <w:rPr>
                <w:rFonts w:eastAsia="MS Mincho"/>
                <w:szCs w:val="22"/>
                <w:lang w:val="fr-CA"/>
              </w:rPr>
              <w:t xml:space="preserve">ès à une formation adéquate en </w:t>
            </w:r>
            <w:r>
              <w:rPr>
                <w:rFonts w:eastAsia="MS Mincho"/>
                <w:szCs w:val="22"/>
                <w:lang w:val="fr-CA"/>
              </w:rPr>
              <w:t xml:space="preserve">matière de </w:t>
            </w:r>
            <w:r w:rsidR="00CC56E9">
              <w:rPr>
                <w:rFonts w:eastAsia="MS Mincho"/>
                <w:szCs w:val="22"/>
                <w:lang w:val="fr-CA"/>
              </w:rPr>
              <w:t>prise en compte de</w:t>
            </w:r>
            <w:r>
              <w:rPr>
                <w:rFonts w:eastAsia="MS Mincho"/>
                <w:szCs w:val="22"/>
                <w:lang w:val="fr-CA"/>
              </w:rPr>
              <w:t>s</w:t>
            </w:r>
            <w:r w:rsidR="00CC56E9">
              <w:rPr>
                <w:rFonts w:eastAsia="MS Mincho"/>
                <w:szCs w:val="22"/>
                <w:lang w:val="fr-CA"/>
              </w:rPr>
              <w:t xml:space="preserve"> facteurs socioéconomiques</w:t>
            </w:r>
            <w:r w:rsidR="00107337">
              <w:rPr>
                <w:rFonts w:eastAsia="MS Mincho"/>
                <w:szCs w:val="22"/>
                <w:lang w:val="fr-CA"/>
              </w:rPr>
              <w:t xml:space="preserve"> [sur la base de recherches et d’échange d’informations], notamment en ce qui concerne la valeur de la biodiversité pour les peuples autochtones et les communautés locales</w:t>
            </w:r>
            <w:r w:rsidR="00CD3639" w:rsidRPr="00CC56E9">
              <w:rPr>
                <w:rFonts w:eastAsia="MS Mincho"/>
                <w:szCs w:val="22"/>
                <w:lang w:val="fr-CA"/>
              </w:rPr>
              <w:t>;</w:t>
            </w:r>
          </w:p>
          <w:p w14:paraId="39A22767" w14:textId="6C44FCF9" w:rsidR="00CD3639" w:rsidRPr="00172B32" w:rsidRDefault="00CD3639" w:rsidP="00CD3639">
            <w:pPr>
              <w:suppressLineNumbers/>
              <w:suppressAutoHyphens/>
              <w:spacing w:before="60" w:after="60"/>
              <w:jc w:val="left"/>
              <w:rPr>
                <w:rFonts w:eastAsia="MS Mincho"/>
                <w:kern w:val="22"/>
                <w:szCs w:val="22"/>
                <w:lang w:val="fr-CA"/>
              </w:rPr>
            </w:pPr>
            <w:r w:rsidRPr="00172B32">
              <w:rPr>
                <w:rFonts w:eastAsia="MS Mincho"/>
                <w:kern w:val="22"/>
                <w:szCs w:val="22"/>
                <w:lang w:val="fr-CA"/>
              </w:rPr>
              <w:t xml:space="preserve">b) </w:t>
            </w:r>
            <w:r w:rsidR="00495292">
              <w:rPr>
                <w:rFonts w:eastAsia="MS Mincho"/>
                <w:kern w:val="22"/>
                <w:szCs w:val="22"/>
                <w:lang w:val="fr-CA"/>
              </w:rPr>
              <w:t>Nombre de</w:t>
            </w:r>
            <w:r w:rsidR="00172B32" w:rsidRPr="00172B32">
              <w:rPr>
                <w:rFonts w:eastAsia="MS Mincho"/>
                <w:kern w:val="22"/>
                <w:szCs w:val="22"/>
                <w:lang w:val="fr-CA"/>
              </w:rPr>
              <w:t xml:space="preserve"> </w:t>
            </w:r>
            <w:r w:rsidR="00172B32">
              <w:rPr>
                <w:rFonts w:eastAsia="MS Mincho"/>
                <w:kern w:val="22"/>
                <w:szCs w:val="22"/>
                <w:lang w:val="fr-CA"/>
              </w:rPr>
              <w:t>maté</w:t>
            </w:r>
            <w:r w:rsidR="00172B32" w:rsidRPr="00172B32">
              <w:rPr>
                <w:rFonts w:eastAsia="MS Mincho"/>
                <w:kern w:val="22"/>
                <w:szCs w:val="22"/>
                <w:lang w:val="fr-CA"/>
              </w:rPr>
              <w:t>riel</w:t>
            </w:r>
            <w:r w:rsidR="00495292">
              <w:rPr>
                <w:rFonts w:eastAsia="MS Mincho"/>
                <w:kern w:val="22"/>
                <w:szCs w:val="22"/>
                <w:lang w:val="fr-CA"/>
              </w:rPr>
              <w:t>s</w:t>
            </w:r>
            <w:r w:rsidR="00172B32" w:rsidRPr="00172B32">
              <w:rPr>
                <w:rFonts w:eastAsia="MS Mincho"/>
                <w:kern w:val="22"/>
                <w:szCs w:val="22"/>
                <w:lang w:val="fr-CA"/>
              </w:rPr>
              <w:t xml:space="preserve"> </w:t>
            </w:r>
            <w:r w:rsidR="00172B32">
              <w:rPr>
                <w:rFonts w:eastAsia="MS Mincho"/>
                <w:kern w:val="22"/>
                <w:szCs w:val="22"/>
                <w:lang w:val="fr-CA"/>
              </w:rPr>
              <w:t>de for</w:t>
            </w:r>
            <w:r w:rsidR="00495292">
              <w:rPr>
                <w:rFonts w:eastAsia="MS Mincho"/>
                <w:kern w:val="22"/>
                <w:szCs w:val="22"/>
                <w:lang w:val="fr-CA"/>
              </w:rPr>
              <w:t>mation sur la</w:t>
            </w:r>
            <w:r w:rsidR="00172B32" w:rsidRPr="00172B32">
              <w:rPr>
                <w:rFonts w:eastAsia="MS Mincho"/>
                <w:kern w:val="22"/>
                <w:szCs w:val="22"/>
                <w:lang w:val="fr-CA"/>
              </w:rPr>
              <w:t xml:space="preserve"> prise en </w:t>
            </w:r>
            <w:r w:rsidR="00172B32">
              <w:rPr>
                <w:rFonts w:eastAsia="MS Mincho"/>
                <w:kern w:val="22"/>
                <w:szCs w:val="22"/>
                <w:lang w:val="fr-CA"/>
              </w:rPr>
              <w:t>considé</w:t>
            </w:r>
            <w:r w:rsidR="00172B32" w:rsidRPr="00172B32">
              <w:rPr>
                <w:rFonts w:eastAsia="MS Mincho"/>
                <w:kern w:val="22"/>
                <w:szCs w:val="22"/>
                <w:lang w:val="fr-CA"/>
              </w:rPr>
              <w:t>ration de facteurs socio</w:t>
            </w:r>
            <w:r w:rsidR="00172B32">
              <w:rPr>
                <w:rFonts w:eastAsia="MS Mincho"/>
                <w:kern w:val="22"/>
                <w:szCs w:val="22"/>
                <w:lang w:val="fr-CA"/>
              </w:rPr>
              <w:t>é</w:t>
            </w:r>
            <w:r w:rsidR="00495292">
              <w:rPr>
                <w:rFonts w:eastAsia="MS Mincho"/>
                <w:kern w:val="22"/>
                <w:szCs w:val="22"/>
                <w:lang w:val="fr-CA"/>
              </w:rPr>
              <w:t>conomiques qui ont été élaborés, mi</w:t>
            </w:r>
            <w:r w:rsidR="00172B32" w:rsidRPr="00172B32">
              <w:rPr>
                <w:rFonts w:eastAsia="MS Mincho"/>
                <w:kern w:val="22"/>
                <w:szCs w:val="22"/>
                <w:lang w:val="fr-CA"/>
              </w:rPr>
              <w:t xml:space="preserve">s </w:t>
            </w:r>
            <w:r w:rsidR="00495292">
              <w:rPr>
                <w:rFonts w:eastAsia="MS Mincho"/>
                <w:kern w:val="22"/>
                <w:szCs w:val="22"/>
                <w:lang w:val="fr-CA"/>
              </w:rPr>
              <w:t>à jour et diffusé</w:t>
            </w:r>
            <w:r w:rsidR="00172B32">
              <w:rPr>
                <w:rFonts w:eastAsia="MS Mincho"/>
                <w:kern w:val="22"/>
                <w:szCs w:val="22"/>
                <w:lang w:val="fr-CA"/>
              </w:rPr>
              <w:t>s</w:t>
            </w:r>
            <w:r w:rsidRPr="00172B32">
              <w:rPr>
                <w:rFonts w:eastAsia="MS Mincho"/>
                <w:kern w:val="22"/>
                <w:szCs w:val="22"/>
                <w:lang w:val="fr-CA"/>
              </w:rPr>
              <w:t>;</w:t>
            </w:r>
          </w:p>
          <w:p w14:paraId="1CCE65E0" w14:textId="6BFDAB06" w:rsidR="00CD3639" w:rsidRPr="00172B32" w:rsidRDefault="00CD3639" w:rsidP="00CD3639">
            <w:pPr>
              <w:suppressLineNumbers/>
              <w:suppressAutoHyphens/>
              <w:spacing w:before="60" w:after="60"/>
              <w:jc w:val="left"/>
              <w:rPr>
                <w:rFonts w:eastAsia="MS Mincho"/>
                <w:kern w:val="22"/>
                <w:szCs w:val="22"/>
                <w:lang w:val="fr-CA"/>
              </w:rPr>
            </w:pPr>
            <w:r w:rsidRPr="00172B32">
              <w:rPr>
                <w:rFonts w:eastAsia="MS Mincho"/>
                <w:kern w:val="22"/>
                <w:szCs w:val="22"/>
                <w:lang w:val="fr-CA"/>
              </w:rPr>
              <w:t xml:space="preserve">c) </w:t>
            </w:r>
            <w:r w:rsidR="00FE3A58">
              <w:rPr>
                <w:rFonts w:eastAsia="MS Mincho"/>
                <w:kern w:val="22"/>
                <w:szCs w:val="22"/>
                <w:lang w:val="fr-CA"/>
              </w:rPr>
              <w:t>Pourcentage de Parties</w:t>
            </w:r>
            <w:r w:rsidR="00172B32" w:rsidRPr="00172B32">
              <w:rPr>
                <w:rFonts w:eastAsia="MS Mincho"/>
                <w:kern w:val="22"/>
                <w:szCs w:val="22"/>
                <w:lang w:val="fr-CA"/>
              </w:rPr>
              <w:t xml:space="preserve"> qui communiquent leurs exp</w:t>
            </w:r>
            <w:r w:rsidR="00172B32">
              <w:rPr>
                <w:rFonts w:eastAsia="MS Mincho"/>
                <w:kern w:val="22"/>
                <w:szCs w:val="22"/>
                <w:lang w:val="fr-CA"/>
              </w:rPr>
              <w:t>é</w:t>
            </w:r>
            <w:r w:rsidR="00172B32" w:rsidRPr="00172B32">
              <w:rPr>
                <w:rFonts w:eastAsia="MS Mincho"/>
                <w:kern w:val="22"/>
                <w:szCs w:val="22"/>
                <w:lang w:val="fr-CA"/>
              </w:rPr>
              <w:t xml:space="preserve">riences et </w:t>
            </w:r>
            <w:r w:rsidR="00172B32">
              <w:rPr>
                <w:rFonts w:eastAsia="MS Mincho"/>
                <w:kern w:val="22"/>
                <w:szCs w:val="22"/>
                <w:lang w:val="fr-CA"/>
              </w:rPr>
              <w:t>appro</w:t>
            </w:r>
            <w:r w:rsidR="00172B32" w:rsidRPr="00172B32">
              <w:rPr>
                <w:rFonts w:eastAsia="MS Mincho"/>
                <w:kern w:val="22"/>
                <w:szCs w:val="22"/>
                <w:lang w:val="fr-CA"/>
              </w:rPr>
              <w:t>ches pour prendre en compte les facteurs socioéconomiques</w:t>
            </w:r>
            <w:r w:rsidR="00B750E4">
              <w:rPr>
                <w:rFonts w:eastAsia="MS Mincho"/>
                <w:kern w:val="22"/>
                <w:szCs w:val="22"/>
                <w:lang w:val="fr-CA"/>
              </w:rPr>
              <w:t xml:space="preserve"> [sur la base de recherches et d’échange d’informations]</w:t>
            </w:r>
            <w:r w:rsidRPr="00172B32">
              <w:rPr>
                <w:rFonts w:eastAsia="MS Mincho"/>
                <w:kern w:val="22"/>
                <w:szCs w:val="22"/>
                <w:lang w:val="fr-CA"/>
              </w:rPr>
              <w:t>;</w:t>
            </w:r>
          </w:p>
          <w:p w14:paraId="3526F27B" w14:textId="3D63D1C6" w:rsidR="00CD3639" w:rsidRPr="00172B32" w:rsidRDefault="00CD3639" w:rsidP="00172B32">
            <w:pPr>
              <w:suppressLineNumbers/>
              <w:suppressAutoHyphens/>
              <w:spacing w:before="60" w:after="60"/>
              <w:jc w:val="left"/>
              <w:rPr>
                <w:rFonts w:eastAsia="MS Mincho"/>
                <w:kern w:val="22"/>
                <w:szCs w:val="22"/>
                <w:lang w:val="fr-CA"/>
              </w:rPr>
            </w:pPr>
            <w:r w:rsidRPr="00172B32">
              <w:rPr>
                <w:rFonts w:eastAsia="MS Mincho"/>
                <w:szCs w:val="22"/>
                <w:lang w:val="fr-CA"/>
              </w:rPr>
              <w:t xml:space="preserve">d) </w:t>
            </w:r>
            <w:r w:rsidR="00FE3A58">
              <w:rPr>
                <w:rFonts w:eastAsia="MS Mincho"/>
                <w:szCs w:val="22"/>
                <w:lang w:val="fr-CA"/>
              </w:rPr>
              <w:t>Pourcentage de Parties</w:t>
            </w:r>
            <w:r w:rsidR="00172B32" w:rsidRPr="00172B32">
              <w:rPr>
                <w:rFonts w:eastAsia="MS Mincho"/>
                <w:szCs w:val="22"/>
                <w:lang w:val="fr-CA"/>
              </w:rPr>
              <w:t xml:space="preserve"> ayant établi d</w:t>
            </w:r>
            <w:r w:rsidR="00B750E4">
              <w:rPr>
                <w:rFonts w:eastAsia="MS Mincho"/>
                <w:szCs w:val="22"/>
                <w:lang w:val="fr-CA"/>
              </w:rPr>
              <w:t>es collaborations avec des</w:t>
            </w:r>
            <w:r w:rsidR="00172B32" w:rsidRPr="00172B32">
              <w:rPr>
                <w:rFonts w:eastAsia="MS Mincho"/>
                <w:szCs w:val="22"/>
                <w:lang w:val="fr-CA"/>
              </w:rPr>
              <w:t xml:space="preserve"> universitaire</w:t>
            </w:r>
            <w:r w:rsidR="00B750E4">
              <w:rPr>
                <w:rFonts w:eastAsia="MS Mincho"/>
                <w:szCs w:val="22"/>
                <w:lang w:val="fr-CA"/>
              </w:rPr>
              <w:t>s qui ont l’expérience requise en matière d’</w:t>
            </w:r>
            <w:r w:rsidR="00172B32">
              <w:rPr>
                <w:rFonts w:eastAsia="MS Mincho"/>
                <w:szCs w:val="22"/>
                <w:lang w:val="fr-CA"/>
              </w:rPr>
              <w:t>évaluations socioéconomiques</w:t>
            </w:r>
            <w:r w:rsidR="00B750E4">
              <w:rPr>
                <w:rFonts w:eastAsia="MS Mincho"/>
                <w:szCs w:val="22"/>
                <w:lang w:val="fr-CA"/>
              </w:rPr>
              <w:t xml:space="preserve"> et auprès des peuples autochtones et des communautés locales</w:t>
            </w:r>
            <w:r w:rsidRPr="00172B32">
              <w:rPr>
                <w:rFonts w:eastAsia="MS Mincho"/>
                <w:szCs w:val="22"/>
                <w:lang w:val="fr-CA"/>
              </w:rPr>
              <w:t>.]</w:t>
            </w:r>
          </w:p>
        </w:tc>
        <w:tc>
          <w:tcPr>
            <w:tcW w:w="1890" w:type="dxa"/>
            <w:tcBorders>
              <w:bottom w:val="single" w:sz="4" w:space="0" w:color="auto"/>
            </w:tcBorders>
          </w:tcPr>
          <w:p w14:paraId="16463FBD" w14:textId="3C5E85AA" w:rsidR="00CD3639" w:rsidRPr="00C462BE" w:rsidRDefault="000A2FC6" w:rsidP="000A2FC6">
            <w:pPr>
              <w:suppressLineNumbers/>
              <w:suppressAutoHyphens/>
              <w:spacing w:before="60" w:after="60"/>
              <w:jc w:val="left"/>
              <w:rPr>
                <w:rFonts w:eastAsia="MS Mincho"/>
                <w:kern w:val="22"/>
                <w:szCs w:val="22"/>
                <w:lang w:val="fr-CA"/>
              </w:rPr>
            </w:pPr>
            <w:r>
              <w:rPr>
                <w:kern w:val="22"/>
                <w:szCs w:val="22"/>
                <w:lang w:val="fr-CA"/>
              </w:rPr>
              <w:t>Les</w:t>
            </w:r>
            <w:r w:rsidR="00CD3639" w:rsidRPr="00C462BE">
              <w:rPr>
                <w:kern w:val="22"/>
                <w:szCs w:val="22"/>
                <w:lang w:val="fr-CA"/>
              </w:rPr>
              <w:t xml:space="preserve"> Parties qui choisissent de le faire </w:t>
            </w:r>
            <w:r>
              <w:rPr>
                <w:kern w:val="22"/>
                <w:szCs w:val="22"/>
                <w:lang w:val="fr-CA"/>
              </w:rPr>
              <w:t>tiennent comp</w:t>
            </w:r>
            <w:r w:rsidR="00B750E4">
              <w:rPr>
                <w:kern w:val="22"/>
                <w:szCs w:val="22"/>
                <w:lang w:val="fr-CA"/>
              </w:rPr>
              <w:t>te des facteurs socio</w:t>
            </w:r>
            <w:r w:rsidR="00495292">
              <w:rPr>
                <w:kern w:val="22"/>
                <w:szCs w:val="22"/>
                <w:lang w:val="fr-CA"/>
              </w:rPr>
              <w:t>-</w:t>
            </w:r>
            <w:r w:rsidR="00B750E4">
              <w:rPr>
                <w:kern w:val="22"/>
                <w:szCs w:val="22"/>
                <w:lang w:val="fr-CA"/>
              </w:rPr>
              <w:t xml:space="preserve">économiques, </w:t>
            </w:r>
            <w:r>
              <w:rPr>
                <w:kern w:val="22"/>
                <w:szCs w:val="22"/>
                <w:lang w:val="fr-CA"/>
              </w:rPr>
              <w:t>conformément à l’</w:t>
            </w:r>
            <w:r w:rsidR="009365C2">
              <w:rPr>
                <w:kern w:val="22"/>
                <w:szCs w:val="22"/>
                <w:lang w:val="fr-CA"/>
              </w:rPr>
              <w:t>article</w:t>
            </w:r>
            <w:r>
              <w:rPr>
                <w:kern w:val="22"/>
                <w:szCs w:val="22"/>
                <w:lang w:val="fr-CA"/>
              </w:rPr>
              <w:t xml:space="preserve"> 26</w:t>
            </w:r>
            <w:r w:rsidR="00495292">
              <w:rPr>
                <w:kern w:val="22"/>
                <w:szCs w:val="22"/>
                <w:lang w:val="fr-CA"/>
              </w:rPr>
              <w:t>,</w:t>
            </w:r>
            <w:r>
              <w:rPr>
                <w:kern w:val="22"/>
                <w:szCs w:val="22"/>
                <w:lang w:val="fr-CA"/>
              </w:rPr>
              <w:t xml:space="preserve"> </w:t>
            </w:r>
            <w:r w:rsidR="00CD3639" w:rsidRPr="00C462BE">
              <w:rPr>
                <w:kern w:val="22"/>
                <w:szCs w:val="22"/>
                <w:lang w:val="fr-CA"/>
              </w:rPr>
              <w:t>lors de la prise de décisions sur les importations d’OVM.</w:t>
            </w:r>
          </w:p>
        </w:tc>
        <w:tc>
          <w:tcPr>
            <w:tcW w:w="1710" w:type="dxa"/>
            <w:tcBorders>
              <w:bottom w:val="single" w:sz="4" w:space="0" w:color="auto"/>
            </w:tcBorders>
          </w:tcPr>
          <w:p w14:paraId="2007E012" w14:textId="3D86E3B5" w:rsidR="00CD3639" w:rsidRPr="000A2FC6" w:rsidRDefault="00CD3639" w:rsidP="00814639">
            <w:pPr>
              <w:suppressLineNumbers/>
              <w:suppressAutoHyphens/>
              <w:spacing w:before="60" w:after="60"/>
              <w:jc w:val="left"/>
              <w:rPr>
                <w:rFonts w:eastAsia="MS Mincho"/>
                <w:kern w:val="22"/>
                <w:szCs w:val="22"/>
                <w:lang w:val="fr-CA"/>
              </w:rPr>
            </w:pPr>
            <w:r w:rsidRPr="000A2FC6">
              <w:rPr>
                <w:rFonts w:eastAsia="MS Mincho"/>
                <w:szCs w:val="22"/>
                <w:lang w:val="fr-CA"/>
              </w:rPr>
              <w:t>[</w:t>
            </w:r>
            <w:r w:rsidR="000A2FC6">
              <w:rPr>
                <w:rFonts w:eastAsia="MS Mincho"/>
                <w:szCs w:val="22"/>
                <w:lang w:val="fr-CA"/>
              </w:rPr>
              <w:t>Autorités nationales / personnel des autorités nationales</w:t>
            </w:r>
            <w:r w:rsidR="00B750E4">
              <w:rPr>
                <w:rFonts w:eastAsia="MS Mincho"/>
                <w:szCs w:val="22"/>
                <w:lang w:val="fr-CA"/>
              </w:rPr>
              <w:t>;</w:t>
            </w:r>
            <w:r w:rsidR="000A2FC6">
              <w:rPr>
                <w:rFonts w:eastAsia="MS Mincho"/>
                <w:szCs w:val="22"/>
                <w:lang w:val="fr-CA"/>
              </w:rPr>
              <w:t xml:space="preserve"> </w:t>
            </w:r>
          </w:p>
          <w:p w14:paraId="7ADA5DA2" w14:textId="77777777" w:rsidR="00CD3639" w:rsidRDefault="000A2FC6" w:rsidP="00CD3639">
            <w:pPr>
              <w:suppressLineNumbers/>
              <w:suppressAutoHyphens/>
              <w:spacing w:before="60" w:after="60"/>
              <w:jc w:val="left"/>
              <w:rPr>
                <w:rFonts w:eastAsia="MS Mincho"/>
                <w:szCs w:val="22"/>
                <w:lang w:val="fr-CA"/>
              </w:rPr>
            </w:pPr>
            <w:r>
              <w:rPr>
                <w:rFonts w:eastAsia="MS Mincho"/>
                <w:szCs w:val="22"/>
                <w:lang w:val="fr-CA"/>
              </w:rPr>
              <w:t>Milieu universitaire</w:t>
            </w:r>
            <w:r w:rsidR="00B750E4">
              <w:rPr>
                <w:rFonts w:eastAsia="MS Mincho"/>
                <w:szCs w:val="22"/>
                <w:lang w:val="fr-CA"/>
              </w:rPr>
              <w:t>;</w:t>
            </w:r>
          </w:p>
          <w:p w14:paraId="692BE508" w14:textId="5048F453" w:rsidR="00B750E4" w:rsidRPr="00B750E4" w:rsidRDefault="00B750E4" w:rsidP="00CD3639">
            <w:pPr>
              <w:suppressLineNumbers/>
              <w:suppressAutoHyphens/>
              <w:spacing w:before="60" w:after="60"/>
              <w:jc w:val="left"/>
              <w:rPr>
                <w:rFonts w:eastAsia="MS Mincho"/>
                <w:kern w:val="22"/>
                <w:szCs w:val="22"/>
                <w:lang w:val="fr-CA"/>
              </w:rPr>
            </w:pPr>
            <w:r>
              <w:rPr>
                <w:rFonts w:eastAsia="MS Mincho"/>
                <w:szCs w:val="22"/>
                <w:lang w:val="fr-CA"/>
              </w:rPr>
              <w:t>Peuples autochtones et communautés locales]</w:t>
            </w:r>
          </w:p>
        </w:tc>
      </w:tr>
      <w:tr w:rsidR="00CD3639" w:rsidRPr="00C462BE" w14:paraId="7F7695EC" w14:textId="77777777" w:rsidTr="00065370">
        <w:trPr>
          <w:jc w:val="center"/>
        </w:trPr>
        <w:tc>
          <w:tcPr>
            <w:tcW w:w="1705" w:type="dxa"/>
            <w:tcBorders>
              <w:bottom w:val="single" w:sz="4" w:space="0" w:color="auto"/>
            </w:tcBorders>
          </w:tcPr>
          <w:p w14:paraId="613F38BF" w14:textId="2647099D"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A.10. Les Parties au Protocole de Cartagena deviennent Parties au Protocole additionnel de Nagoya – Kuala Lumpur sur la responsabilité et la réparation, et ont mis en place des mesures pour s’acquitter de leurs obligations au titre du Protocole additionnel.</w:t>
            </w:r>
          </w:p>
        </w:tc>
        <w:tc>
          <w:tcPr>
            <w:tcW w:w="1890" w:type="dxa"/>
            <w:tcBorders>
              <w:bottom w:val="single" w:sz="4" w:space="0" w:color="auto"/>
            </w:tcBorders>
            <w:shd w:val="clear" w:color="auto" w:fill="auto"/>
          </w:tcPr>
          <w:p w14:paraId="6AE7971F" w14:textId="7C9302CC" w:rsidR="00CD3639" w:rsidRDefault="00CD3639" w:rsidP="00CD3639">
            <w:pPr>
              <w:spacing w:before="60" w:after="60"/>
              <w:jc w:val="left"/>
              <w:rPr>
                <w:kern w:val="22"/>
                <w:szCs w:val="22"/>
                <w:lang w:val="fr-CA"/>
              </w:rPr>
            </w:pPr>
            <w:r w:rsidRPr="00C462BE">
              <w:rPr>
                <w:kern w:val="22"/>
                <w:szCs w:val="22"/>
                <w:lang w:val="fr-CA"/>
              </w:rPr>
              <w:t xml:space="preserve">1) Soutien </w:t>
            </w:r>
            <w:r w:rsidR="00495292">
              <w:rPr>
                <w:kern w:val="22"/>
                <w:szCs w:val="22"/>
                <w:lang w:val="fr-CA"/>
              </w:rPr>
              <w:t xml:space="preserve">apporté </w:t>
            </w:r>
            <w:r w:rsidRPr="00C462BE">
              <w:rPr>
                <w:kern w:val="22"/>
                <w:szCs w:val="22"/>
                <w:lang w:val="fr-CA"/>
              </w:rPr>
              <w:t>aux Parties</w:t>
            </w:r>
            <w:r w:rsidR="00495292">
              <w:rPr>
                <w:kern w:val="22"/>
                <w:szCs w:val="22"/>
                <w:lang w:val="fr-CA"/>
              </w:rPr>
              <w:t xml:space="preserve"> au Protocole de Cartagena pour favoriser </w:t>
            </w:r>
            <w:r w:rsidRPr="00C462BE">
              <w:rPr>
                <w:kern w:val="22"/>
                <w:szCs w:val="22"/>
                <w:lang w:val="fr-CA"/>
              </w:rPr>
              <w:t>la ratification du Protocole additionnel</w:t>
            </w:r>
            <w:r w:rsidR="000543BC">
              <w:rPr>
                <w:kern w:val="22"/>
                <w:szCs w:val="22"/>
                <w:lang w:val="fr-CA"/>
              </w:rPr>
              <w:t>;</w:t>
            </w:r>
          </w:p>
          <w:p w14:paraId="203C7A0E" w14:textId="77777777" w:rsidR="0000570F" w:rsidRDefault="0000570F" w:rsidP="00CD3639">
            <w:pPr>
              <w:spacing w:before="60" w:after="60"/>
              <w:jc w:val="left"/>
              <w:rPr>
                <w:kern w:val="22"/>
                <w:szCs w:val="22"/>
                <w:lang w:val="fr-CA"/>
              </w:rPr>
            </w:pPr>
          </w:p>
          <w:p w14:paraId="4B2326BA" w14:textId="1806EB91" w:rsidR="0000570F" w:rsidRPr="00C462BE" w:rsidRDefault="0000570F" w:rsidP="00CD3639">
            <w:pPr>
              <w:spacing w:before="60" w:after="60"/>
              <w:jc w:val="left"/>
              <w:rPr>
                <w:rFonts w:eastAsia="MS Mincho"/>
                <w:kern w:val="22"/>
                <w:szCs w:val="22"/>
                <w:lang w:val="fr-CA"/>
              </w:rPr>
            </w:pPr>
            <w:r w:rsidRPr="0000570F">
              <w:rPr>
                <w:b/>
                <w:kern w:val="22"/>
                <w:szCs w:val="22"/>
                <w:lang w:val="fr-CA"/>
              </w:rPr>
              <w:t>Pour les Parties au</w:t>
            </w:r>
            <w:r>
              <w:rPr>
                <w:kern w:val="22"/>
                <w:szCs w:val="22"/>
                <w:lang w:val="fr-CA"/>
              </w:rPr>
              <w:t xml:space="preserve"> </w:t>
            </w:r>
            <w:r>
              <w:rPr>
                <w:b/>
                <w:bCs/>
                <w:kern w:val="22"/>
                <w:sz w:val="20"/>
                <w:szCs w:val="20"/>
                <w:lang w:val="fr-FR"/>
              </w:rPr>
              <w:t>Protocole additionnel de Nagoya – Kuala Lumpur</w:t>
            </w:r>
            <w:r w:rsidR="00DA3D21">
              <w:rPr>
                <w:b/>
                <w:bCs/>
                <w:kern w:val="22"/>
                <w:sz w:val="20"/>
                <w:szCs w:val="20"/>
                <w:lang w:val="fr-FR"/>
              </w:rPr>
              <w:t> :</w:t>
            </w:r>
            <w:r>
              <w:rPr>
                <w:kern w:val="22"/>
                <w:szCs w:val="22"/>
                <w:lang w:val="fr-CA"/>
              </w:rPr>
              <w:t xml:space="preserve"> </w:t>
            </w:r>
          </w:p>
          <w:p w14:paraId="519D7CB8" w14:textId="4FAC8C4E" w:rsidR="00CD3639" w:rsidRPr="00C462BE" w:rsidRDefault="00CD3639" w:rsidP="00CD3639">
            <w:pPr>
              <w:spacing w:before="60" w:after="60"/>
              <w:jc w:val="left"/>
              <w:rPr>
                <w:rFonts w:eastAsia="MS Mincho"/>
                <w:kern w:val="22"/>
                <w:szCs w:val="22"/>
                <w:lang w:val="fr-CA"/>
              </w:rPr>
            </w:pPr>
            <w:r w:rsidRPr="00C462BE">
              <w:rPr>
                <w:kern w:val="22"/>
                <w:szCs w:val="22"/>
                <w:lang w:val="fr-CA"/>
              </w:rPr>
              <w:t xml:space="preserve">2) Élaboration de mesures nationales juridiques, administratives et d’autres natures </w:t>
            </w:r>
            <w:r w:rsidR="00495292">
              <w:rPr>
                <w:kern w:val="22"/>
                <w:szCs w:val="22"/>
                <w:lang w:val="fr-CA"/>
              </w:rPr>
              <w:t>requises pour l’application</w:t>
            </w:r>
            <w:r w:rsidRPr="00C462BE">
              <w:rPr>
                <w:kern w:val="22"/>
                <w:szCs w:val="22"/>
                <w:lang w:val="fr-CA"/>
              </w:rPr>
              <w:t xml:space="preserve"> du Protocole additionnel</w:t>
            </w:r>
            <w:r w:rsidR="000543BC">
              <w:rPr>
                <w:kern w:val="22"/>
                <w:szCs w:val="22"/>
                <w:lang w:val="fr-CA"/>
              </w:rPr>
              <w:t>;</w:t>
            </w:r>
          </w:p>
          <w:p w14:paraId="21C66D72" w14:textId="3D2AB1DF" w:rsidR="00CD3639" w:rsidRPr="00C462BE" w:rsidRDefault="00CD3639" w:rsidP="00CD3639">
            <w:pPr>
              <w:spacing w:before="60" w:after="60"/>
              <w:jc w:val="left"/>
              <w:rPr>
                <w:rFonts w:eastAsia="MS Mincho"/>
                <w:kern w:val="22"/>
                <w:szCs w:val="22"/>
                <w:lang w:val="fr-CA"/>
              </w:rPr>
            </w:pPr>
            <w:r w:rsidRPr="00C462BE">
              <w:rPr>
                <w:kern w:val="22"/>
                <w:szCs w:val="22"/>
                <w:lang w:val="fr-CA"/>
              </w:rPr>
              <w:t>3) Élaboration et ac</w:t>
            </w:r>
            <w:r w:rsidR="0055474C">
              <w:rPr>
                <w:kern w:val="22"/>
                <w:szCs w:val="22"/>
                <w:lang w:val="fr-CA"/>
              </w:rPr>
              <w:t>cès à du matériel ressource, aux expériences acquises</w:t>
            </w:r>
            <w:r w:rsidRPr="00C462BE">
              <w:rPr>
                <w:kern w:val="22"/>
                <w:szCs w:val="22"/>
                <w:lang w:val="fr-CA"/>
              </w:rPr>
              <w:t xml:space="preserve"> et aux enseign</w:t>
            </w:r>
            <w:r w:rsidR="00495292">
              <w:rPr>
                <w:kern w:val="22"/>
                <w:szCs w:val="22"/>
                <w:lang w:val="fr-CA"/>
              </w:rPr>
              <w:t>ements tirés de l’application</w:t>
            </w:r>
            <w:r w:rsidRPr="00C462BE">
              <w:rPr>
                <w:kern w:val="22"/>
                <w:szCs w:val="22"/>
                <w:lang w:val="fr-CA"/>
              </w:rPr>
              <w:t xml:space="preserve"> du Protocole additionnel</w:t>
            </w:r>
            <w:r w:rsidR="000543BC">
              <w:rPr>
                <w:kern w:val="22"/>
                <w:szCs w:val="22"/>
                <w:lang w:val="fr-CA"/>
              </w:rPr>
              <w:t>;</w:t>
            </w:r>
          </w:p>
          <w:p w14:paraId="546176A5" w14:textId="759390E7" w:rsidR="00CD3639" w:rsidRPr="00C462BE" w:rsidRDefault="00CD3639" w:rsidP="00CD3639">
            <w:pPr>
              <w:spacing w:before="60" w:after="60"/>
              <w:jc w:val="left"/>
              <w:rPr>
                <w:rFonts w:eastAsia="MS Mincho"/>
                <w:kern w:val="22"/>
                <w:szCs w:val="22"/>
                <w:lang w:val="fr-CA"/>
              </w:rPr>
            </w:pPr>
            <w:r w:rsidRPr="00C462BE">
              <w:rPr>
                <w:kern w:val="22"/>
                <w:szCs w:val="22"/>
                <w:lang w:val="fr-CA"/>
              </w:rPr>
              <w:t>4) Renforcement des capacités des autorités compétentes des Parties au Protoc</w:t>
            </w:r>
            <w:r w:rsidR="00495292">
              <w:rPr>
                <w:kern w:val="22"/>
                <w:szCs w:val="22"/>
                <w:lang w:val="fr-CA"/>
              </w:rPr>
              <w:t>ole additionnel pour remplir</w:t>
            </w:r>
            <w:r w:rsidRPr="00C462BE">
              <w:rPr>
                <w:kern w:val="22"/>
                <w:szCs w:val="22"/>
                <w:lang w:val="fr-CA"/>
              </w:rPr>
              <w:t xml:space="preserve"> leurs fonctions</w:t>
            </w:r>
            <w:r w:rsidR="000543BC">
              <w:rPr>
                <w:kern w:val="22"/>
                <w:szCs w:val="22"/>
                <w:lang w:val="fr-CA"/>
              </w:rPr>
              <w:t>;</w:t>
            </w:r>
          </w:p>
          <w:p w14:paraId="6CB11172" w14:textId="7045F0A6" w:rsidR="00CD3639" w:rsidRPr="00C462BE" w:rsidRDefault="00495292" w:rsidP="00CD3639">
            <w:pPr>
              <w:suppressLineNumbers/>
              <w:suppressAutoHyphens/>
              <w:spacing w:before="60" w:after="60"/>
              <w:jc w:val="left"/>
              <w:rPr>
                <w:rFonts w:eastAsia="MS Mincho"/>
                <w:strike/>
                <w:kern w:val="22"/>
                <w:szCs w:val="22"/>
                <w:lang w:val="fr-CA"/>
              </w:rPr>
            </w:pPr>
            <w:r>
              <w:rPr>
                <w:kern w:val="22"/>
                <w:szCs w:val="22"/>
                <w:lang w:val="fr-CA"/>
              </w:rPr>
              <w:t xml:space="preserve">5) </w:t>
            </w:r>
            <w:r w:rsidR="005E4F81">
              <w:rPr>
                <w:kern w:val="22"/>
                <w:szCs w:val="22"/>
                <w:lang w:val="fr-CA"/>
              </w:rPr>
              <w:t>Élaboration</w:t>
            </w:r>
            <w:r w:rsidR="00CD3639" w:rsidRPr="00C462BE">
              <w:rPr>
                <w:kern w:val="22"/>
                <w:szCs w:val="22"/>
                <w:lang w:val="fr-CA"/>
              </w:rPr>
              <w:t xml:space="preserve"> ou identification de références relatives à l’état de la biodiversité.</w:t>
            </w:r>
          </w:p>
        </w:tc>
        <w:tc>
          <w:tcPr>
            <w:tcW w:w="2520" w:type="dxa"/>
            <w:tcBorders>
              <w:bottom w:val="single" w:sz="4" w:space="0" w:color="auto"/>
            </w:tcBorders>
            <w:shd w:val="clear" w:color="auto" w:fill="auto"/>
          </w:tcPr>
          <w:p w14:paraId="4475B6A3" w14:textId="128025E7" w:rsidR="00CD3639" w:rsidRDefault="00CD3639" w:rsidP="00CD3639">
            <w:pPr>
              <w:spacing w:before="60" w:after="60"/>
              <w:jc w:val="left"/>
              <w:rPr>
                <w:kern w:val="22"/>
                <w:szCs w:val="22"/>
                <w:lang w:val="fr-CA"/>
              </w:rPr>
            </w:pPr>
            <w:r w:rsidRPr="00C462BE">
              <w:rPr>
                <w:kern w:val="22"/>
                <w:szCs w:val="22"/>
                <w:lang w:val="fr-CA"/>
              </w:rPr>
              <w:t xml:space="preserve">i) </w:t>
            </w:r>
            <w:r w:rsidR="00814639">
              <w:rPr>
                <w:kern w:val="22"/>
                <w:szCs w:val="22"/>
                <w:lang w:val="fr-CA"/>
              </w:rPr>
              <w:t>Dispenser une formation en</w:t>
            </w:r>
            <w:r w:rsidR="00495292">
              <w:rPr>
                <w:kern w:val="22"/>
                <w:szCs w:val="22"/>
                <w:lang w:val="fr-CA"/>
              </w:rPr>
              <w:t xml:space="preserve"> matière de</w:t>
            </w:r>
            <w:r w:rsidR="00814639">
              <w:rPr>
                <w:kern w:val="22"/>
                <w:szCs w:val="22"/>
                <w:lang w:val="fr-CA"/>
              </w:rPr>
              <w:t xml:space="preserve"> sensibilisation</w:t>
            </w:r>
            <w:r w:rsidR="00DA3D21">
              <w:rPr>
                <w:kern w:val="22"/>
                <w:szCs w:val="22"/>
                <w:lang w:val="fr-CA"/>
              </w:rPr>
              <w:t xml:space="preserve"> au</w:t>
            </w:r>
            <w:r w:rsidRPr="00C462BE">
              <w:rPr>
                <w:kern w:val="22"/>
                <w:szCs w:val="22"/>
                <w:lang w:val="fr-CA"/>
              </w:rPr>
              <w:t xml:space="preserve"> Protocole additionnel pour soutenir la </w:t>
            </w:r>
            <w:r w:rsidR="00495292">
              <w:rPr>
                <w:kern w:val="22"/>
                <w:szCs w:val="22"/>
                <w:lang w:val="fr-CA"/>
              </w:rPr>
              <w:t>ratification et l’application</w:t>
            </w:r>
            <w:r w:rsidR="000543BC">
              <w:rPr>
                <w:kern w:val="22"/>
                <w:szCs w:val="22"/>
                <w:lang w:val="fr-CA"/>
              </w:rPr>
              <w:t>;</w:t>
            </w:r>
          </w:p>
          <w:p w14:paraId="593AC983" w14:textId="77777777" w:rsidR="00495292" w:rsidRDefault="00495292" w:rsidP="00CD3639">
            <w:pPr>
              <w:spacing w:before="60" w:after="60"/>
              <w:jc w:val="left"/>
              <w:rPr>
                <w:b/>
                <w:kern w:val="22"/>
                <w:szCs w:val="22"/>
                <w:lang w:val="fr-CA"/>
              </w:rPr>
            </w:pPr>
          </w:p>
          <w:p w14:paraId="7964B89C" w14:textId="6AB6E600" w:rsidR="00DA3D21" w:rsidRPr="00C462BE" w:rsidRDefault="00DA3D21" w:rsidP="00CD3639">
            <w:pPr>
              <w:spacing w:before="60" w:after="60"/>
              <w:jc w:val="left"/>
              <w:rPr>
                <w:rFonts w:eastAsia="MS Mincho"/>
                <w:kern w:val="22"/>
                <w:szCs w:val="22"/>
                <w:lang w:val="fr-CA"/>
              </w:rPr>
            </w:pPr>
            <w:r w:rsidRPr="0000570F">
              <w:rPr>
                <w:b/>
                <w:kern w:val="22"/>
                <w:szCs w:val="22"/>
                <w:lang w:val="fr-CA"/>
              </w:rPr>
              <w:t>Pour les Parties au</w:t>
            </w:r>
            <w:r>
              <w:rPr>
                <w:kern w:val="22"/>
                <w:szCs w:val="22"/>
                <w:lang w:val="fr-CA"/>
              </w:rPr>
              <w:t xml:space="preserve"> </w:t>
            </w:r>
            <w:r>
              <w:rPr>
                <w:b/>
                <w:bCs/>
                <w:kern w:val="22"/>
                <w:sz w:val="20"/>
                <w:szCs w:val="20"/>
                <w:lang w:val="fr-FR"/>
              </w:rPr>
              <w:t>Protocole additionnel de Nagoya – Kuala Lumpur </w:t>
            </w:r>
            <w:r>
              <w:rPr>
                <w:rFonts w:eastAsia="MS Mincho"/>
                <w:kern w:val="22"/>
                <w:szCs w:val="22"/>
                <w:lang w:val="fr-CA"/>
              </w:rPr>
              <w:t>:</w:t>
            </w:r>
          </w:p>
          <w:p w14:paraId="72EC5790" w14:textId="3F518214" w:rsidR="00CD3639" w:rsidRPr="00C462BE" w:rsidRDefault="00CD3639" w:rsidP="00CD3639">
            <w:pPr>
              <w:spacing w:before="60" w:after="60"/>
              <w:jc w:val="left"/>
              <w:rPr>
                <w:rFonts w:eastAsia="MS Mincho"/>
                <w:kern w:val="22"/>
                <w:szCs w:val="22"/>
                <w:lang w:val="fr-CA"/>
              </w:rPr>
            </w:pPr>
            <w:r w:rsidRPr="00C462BE">
              <w:rPr>
                <w:kern w:val="22"/>
                <w:szCs w:val="22"/>
                <w:lang w:val="fr-CA"/>
              </w:rPr>
              <w:t>ii) Dispenser une formation sur l’analyse des lois, des politiques</w:t>
            </w:r>
            <w:r w:rsidR="00495292">
              <w:rPr>
                <w:kern w:val="22"/>
                <w:szCs w:val="22"/>
                <w:lang w:val="fr-CA"/>
              </w:rPr>
              <w:t xml:space="preserve"> générales</w:t>
            </w:r>
            <w:r w:rsidRPr="00C462BE">
              <w:rPr>
                <w:kern w:val="22"/>
                <w:szCs w:val="22"/>
                <w:lang w:val="fr-CA"/>
              </w:rPr>
              <w:t xml:space="preserve"> et des cadres institutionnels afin de déterminer comment ils répondent aux exigences du Protocole additionnel</w:t>
            </w:r>
            <w:r w:rsidR="000543BC">
              <w:rPr>
                <w:kern w:val="22"/>
                <w:szCs w:val="22"/>
                <w:lang w:val="fr-CA"/>
              </w:rPr>
              <w:t>;</w:t>
            </w:r>
          </w:p>
          <w:p w14:paraId="6FE83309" w14:textId="1DE3EBAB" w:rsidR="00CD3639" w:rsidRPr="00C462BE" w:rsidRDefault="00CD3639" w:rsidP="00CD3639">
            <w:pPr>
              <w:spacing w:before="60" w:after="60"/>
              <w:jc w:val="left"/>
              <w:rPr>
                <w:rFonts w:eastAsia="MS Mincho"/>
                <w:kern w:val="22"/>
                <w:szCs w:val="22"/>
                <w:lang w:val="fr-CA"/>
              </w:rPr>
            </w:pPr>
            <w:r w:rsidRPr="00C462BE">
              <w:rPr>
                <w:kern w:val="22"/>
                <w:szCs w:val="22"/>
                <w:lang w:val="fr-CA"/>
              </w:rPr>
              <w:t>iii) Dispenser une formation s</w:t>
            </w:r>
            <w:r w:rsidR="00495292">
              <w:rPr>
                <w:kern w:val="22"/>
                <w:szCs w:val="22"/>
                <w:lang w:val="fr-CA"/>
              </w:rPr>
              <w:t>ur l’élaboration ou la révision</w:t>
            </w:r>
            <w:r w:rsidRPr="00C462BE">
              <w:rPr>
                <w:kern w:val="22"/>
                <w:szCs w:val="22"/>
                <w:lang w:val="fr-CA"/>
              </w:rPr>
              <w:t xml:space="preserve"> des cadres juridiques et administratif</w:t>
            </w:r>
            <w:r w:rsidR="00495292">
              <w:rPr>
                <w:kern w:val="22"/>
                <w:szCs w:val="22"/>
                <w:lang w:val="fr-CA"/>
              </w:rPr>
              <w:t>s nationaux pour appliquer</w:t>
            </w:r>
            <w:r w:rsidRPr="00C462BE">
              <w:rPr>
                <w:kern w:val="22"/>
                <w:szCs w:val="22"/>
                <w:lang w:val="fr-CA"/>
              </w:rPr>
              <w:t xml:space="preserve"> le Protocole additionnel</w:t>
            </w:r>
            <w:r w:rsidR="000543BC">
              <w:rPr>
                <w:kern w:val="22"/>
                <w:szCs w:val="22"/>
                <w:lang w:val="fr-CA"/>
              </w:rPr>
              <w:t>;</w:t>
            </w:r>
          </w:p>
          <w:p w14:paraId="39FAC6B2" w14:textId="4D5F0DFA" w:rsidR="00CD3639" w:rsidRPr="00C462BE" w:rsidRDefault="00CD3639" w:rsidP="00CD3639">
            <w:pPr>
              <w:spacing w:before="60" w:after="60"/>
              <w:jc w:val="left"/>
              <w:rPr>
                <w:rFonts w:eastAsia="MS Mincho"/>
                <w:kern w:val="22"/>
                <w:szCs w:val="22"/>
                <w:lang w:val="fr-CA"/>
              </w:rPr>
            </w:pPr>
            <w:r w:rsidRPr="00C462BE">
              <w:rPr>
                <w:kern w:val="22"/>
                <w:szCs w:val="22"/>
                <w:lang w:val="fr-CA"/>
              </w:rPr>
              <w:t>iv) Élaborer du matériel ressource pour aider les autorités compétentes à s’acquitter de leurs responsabilités au titre du Protocole additionnel</w:t>
            </w:r>
            <w:r w:rsidR="000543BC">
              <w:rPr>
                <w:kern w:val="22"/>
                <w:szCs w:val="22"/>
                <w:lang w:val="fr-CA"/>
              </w:rPr>
              <w:t>;</w:t>
            </w:r>
          </w:p>
          <w:p w14:paraId="64A58031" w14:textId="75A78390" w:rsidR="00CD3639" w:rsidRPr="00C462BE" w:rsidRDefault="00CD3639" w:rsidP="00CD3639">
            <w:pPr>
              <w:spacing w:before="60" w:after="60"/>
              <w:jc w:val="left"/>
              <w:rPr>
                <w:rFonts w:eastAsia="MS Mincho"/>
                <w:kern w:val="22"/>
                <w:szCs w:val="22"/>
                <w:lang w:val="fr-CA"/>
              </w:rPr>
            </w:pPr>
            <w:r w:rsidRPr="00C462BE">
              <w:rPr>
                <w:kern w:val="22"/>
                <w:szCs w:val="22"/>
                <w:lang w:val="fr-CA"/>
              </w:rPr>
              <w:t xml:space="preserve">v) </w:t>
            </w:r>
            <w:r w:rsidR="00B750E4" w:rsidRPr="00B750E4">
              <w:rPr>
                <w:kern w:val="22"/>
                <w:szCs w:val="22"/>
                <w:lang w:val="fr-FR"/>
              </w:rPr>
              <w:t>[</w:t>
            </w:r>
            <w:r w:rsidRPr="00C462BE">
              <w:rPr>
                <w:kern w:val="22"/>
                <w:szCs w:val="22"/>
                <w:lang w:val="fr-CA"/>
              </w:rPr>
              <w:t>Fournir</w:t>
            </w:r>
            <w:r w:rsidR="00B750E4">
              <w:rPr>
                <w:kern w:val="22"/>
                <w:szCs w:val="22"/>
                <w:lang w:val="fr-CA"/>
              </w:rPr>
              <w:t>]</w:t>
            </w:r>
            <w:r w:rsidRPr="00C462BE">
              <w:rPr>
                <w:kern w:val="22"/>
                <w:szCs w:val="22"/>
                <w:lang w:val="fr-CA"/>
              </w:rPr>
              <w:t xml:space="preserve"> </w:t>
            </w:r>
            <w:r w:rsidR="00B750E4">
              <w:rPr>
                <w:kern w:val="22"/>
                <w:szCs w:val="22"/>
                <w:lang w:val="fr-CA"/>
              </w:rPr>
              <w:t xml:space="preserve">[Fournir une formation] </w:t>
            </w:r>
            <w:r w:rsidRPr="00C462BE">
              <w:rPr>
                <w:kern w:val="22"/>
                <w:szCs w:val="22"/>
                <w:lang w:val="fr-CA"/>
              </w:rPr>
              <w:t xml:space="preserve">aux autorités compétentes </w:t>
            </w:r>
            <w:r w:rsidR="00B80DA8" w:rsidRPr="00B80DA8">
              <w:rPr>
                <w:kern w:val="22"/>
                <w:szCs w:val="22"/>
                <w:lang w:val="fr-FR"/>
              </w:rPr>
              <w:t>[</w:t>
            </w:r>
            <w:r w:rsidR="00B80DA8">
              <w:rPr>
                <w:kern w:val="22"/>
                <w:szCs w:val="22"/>
                <w:lang w:val="fr-FR"/>
              </w:rPr>
              <w:t>et à d’autres parties prenantes concernées</w:t>
            </w:r>
            <w:r w:rsidR="00B80DA8" w:rsidRPr="00B80DA8">
              <w:rPr>
                <w:kern w:val="22"/>
                <w:szCs w:val="22"/>
                <w:lang w:val="fr-FR"/>
              </w:rPr>
              <w:t>] [</w:t>
            </w:r>
            <w:r w:rsidRPr="00C462BE">
              <w:rPr>
                <w:kern w:val="22"/>
                <w:szCs w:val="22"/>
                <w:lang w:val="fr-CA"/>
              </w:rPr>
              <w:t>une formation visant à renforcer les capacités scientifiques et techniques</w:t>
            </w:r>
            <w:r w:rsidR="00B80DA8">
              <w:rPr>
                <w:kern w:val="22"/>
                <w:szCs w:val="22"/>
                <w:lang w:val="fr-CA"/>
              </w:rPr>
              <w:t>]</w:t>
            </w:r>
            <w:r w:rsidRPr="00C462BE">
              <w:rPr>
                <w:kern w:val="22"/>
                <w:szCs w:val="22"/>
                <w:lang w:val="fr-CA"/>
              </w:rPr>
              <w:t xml:space="preserve"> pour évaluer les dommages, établir les liens de causalité et déterminer les mesures d’intervention appropriées</w:t>
            </w:r>
            <w:r w:rsidR="000543BC">
              <w:rPr>
                <w:kern w:val="22"/>
                <w:szCs w:val="22"/>
                <w:lang w:val="fr-CA"/>
              </w:rPr>
              <w:t>;</w:t>
            </w:r>
          </w:p>
          <w:p w14:paraId="2E5C690E" w14:textId="67955503" w:rsidR="00CD3639" w:rsidRPr="00C462BE" w:rsidRDefault="00495292" w:rsidP="00DA3D21">
            <w:pPr>
              <w:spacing w:before="60" w:after="60"/>
              <w:jc w:val="left"/>
              <w:rPr>
                <w:rFonts w:eastAsia="MS Mincho"/>
                <w:kern w:val="22"/>
                <w:szCs w:val="22"/>
                <w:lang w:val="fr-CA"/>
              </w:rPr>
            </w:pPr>
            <w:r>
              <w:rPr>
                <w:kern w:val="22"/>
                <w:szCs w:val="22"/>
                <w:lang w:val="fr-CA"/>
              </w:rPr>
              <w:t>vi) Consolid</w:t>
            </w:r>
            <w:r w:rsidR="00CD3639" w:rsidRPr="00C462BE">
              <w:rPr>
                <w:kern w:val="22"/>
                <w:szCs w:val="22"/>
                <w:lang w:val="fr-CA"/>
              </w:rPr>
              <w:t>er et p</w:t>
            </w:r>
            <w:r>
              <w:rPr>
                <w:kern w:val="22"/>
                <w:szCs w:val="22"/>
                <w:lang w:val="fr-CA"/>
              </w:rPr>
              <w:t>artager des informations sur l’expérience acquise</w:t>
            </w:r>
            <w:r w:rsidR="00CD3639" w:rsidRPr="00C462BE">
              <w:rPr>
                <w:kern w:val="22"/>
                <w:szCs w:val="22"/>
                <w:lang w:val="fr-CA"/>
              </w:rPr>
              <w:t xml:space="preserve"> et les enseign</w:t>
            </w:r>
            <w:r>
              <w:rPr>
                <w:kern w:val="22"/>
                <w:szCs w:val="22"/>
                <w:lang w:val="fr-CA"/>
              </w:rPr>
              <w:t>ements tirés de l’application</w:t>
            </w:r>
            <w:r w:rsidR="00CD3639" w:rsidRPr="00C462BE">
              <w:rPr>
                <w:kern w:val="22"/>
                <w:szCs w:val="22"/>
                <w:lang w:val="fr-CA"/>
              </w:rPr>
              <w:t xml:space="preserve"> du Protocole additionnel.</w:t>
            </w:r>
          </w:p>
        </w:tc>
        <w:tc>
          <w:tcPr>
            <w:tcW w:w="2790" w:type="dxa"/>
            <w:tcBorders>
              <w:bottom w:val="single" w:sz="4" w:space="0" w:color="auto"/>
            </w:tcBorders>
          </w:tcPr>
          <w:p w14:paraId="2A36FA1B" w14:textId="6748ECEB" w:rsidR="00CD3639" w:rsidRPr="00DA3D21" w:rsidRDefault="00CD3639" w:rsidP="00CD3639">
            <w:pPr>
              <w:suppressLineNumbers/>
              <w:suppressAutoHyphens/>
              <w:spacing w:before="60" w:after="60"/>
              <w:jc w:val="left"/>
              <w:rPr>
                <w:rFonts w:eastAsia="MS Mincho"/>
                <w:kern w:val="22"/>
                <w:szCs w:val="22"/>
                <w:lang w:val="fr-CA"/>
              </w:rPr>
            </w:pPr>
            <w:r w:rsidRPr="00DA3D21">
              <w:rPr>
                <w:rFonts w:eastAsia="MS Mincho"/>
                <w:szCs w:val="22"/>
                <w:lang w:val="fr-CA"/>
              </w:rPr>
              <w:t xml:space="preserve">a) </w:t>
            </w:r>
            <w:r w:rsidR="00B750E4" w:rsidRPr="00B750E4">
              <w:rPr>
                <w:rFonts w:eastAsia="MS Mincho"/>
                <w:szCs w:val="22"/>
                <w:lang w:val="fr-FR"/>
              </w:rPr>
              <w:t>[</w:t>
            </w:r>
            <w:r w:rsidR="00FE3A58">
              <w:rPr>
                <w:rFonts w:eastAsia="MS Mincho"/>
                <w:szCs w:val="22"/>
                <w:lang w:val="fr-CA"/>
              </w:rPr>
              <w:t>Pourcentage de Parties</w:t>
            </w:r>
            <w:r w:rsidR="00DA3D21" w:rsidRPr="00DA3D21">
              <w:rPr>
                <w:rFonts w:eastAsia="MS Mincho"/>
                <w:szCs w:val="22"/>
                <w:lang w:val="fr-CA"/>
              </w:rPr>
              <w:t xml:space="preserve"> </w:t>
            </w:r>
            <w:r w:rsidR="00B750E4">
              <w:rPr>
                <w:rFonts w:eastAsia="MS Mincho"/>
                <w:szCs w:val="22"/>
                <w:lang w:val="fr-CA"/>
              </w:rPr>
              <w:t xml:space="preserve"> </w:t>
            </w:r>
            <w:r w:rsidR="00DA3D21" w:rsidRPr="00DA3D21">
              <w:rPr>
                <w:rFonts w:eastAsia="MS Mincho"/>
                <w:szCs w:val="22"/>
                <w:lang w:val="fr-CA"/>
              </w:rPr>
              <w:t xml:space="preserve">au Protocole de Cartagena </w:t>
            </w:r>
            <w:r w:rsidR="00B750E4">
              <w:rPr>
                <w:rFonts w:eastAsia="MS Mincho"/>
                <w:szCs w:val="22"/>
                <w:lang w:val="fr-CA"/>
              </w:rPr>
              <w:t xml:space="preserve">[ne disposant pas de cadres sur la responsabilité et la réparation] </w:t>
            </w:r>
            <w:r w:rsidR="00495292">
              <w:rPr>
                <w:rFonts w:eastAsia="MS Mincho"/>
                <w:szCs w:val="22"/>
                <w:lang w:val="fr-CA"/>
              </w:rPr>
              <w:t>ayant ratifié et appliqué</w:t>
            </w:r>
            <w:r w:rsidR="00DA3D21">
              <w:rPr>
                <w:rFonts w:eastAsia="MS Mincho"/>
                <w:szCs w:val="22"/>
                <w:lang w:val="fr-CA"/>
              </w:rPr>
              <w:t xml:space="preserve"> </w:t>
            </w:r>
            <w:r w:rsidR="00DA3D21" w:rsidRPr="00DA3D21">
              <w:rPr>
                <w:rFonts w:eastAsia="MS Mincho"/>
                <w:szCs w:val="22"/>
                <w:lang w:val="fr-CA"/>
              </w:rPr>
              <w:t>le Protocole additionnel</w:t>
            </w:r>
            <w:r w:rsidR="00B750E4">
              <w:rPr>
                <w:rFonts w:eastAsia="MS Mincho"/>
                <w:szCs w:val="22"/>
                <w:lang w:val="fr-CA"/>
              </w:rPr>
              <w:t>]/</w:t>
            </w:r>
            <w:r w:rsidR="00B750E4" w:rsidRPr="00B750E4">
              <w:rPr>
                <w:rFonts w:eastAsia="MS Mincho"/>
                <w:szCs w:val="22"/>
                <w:lang w:val="fr-FR"/>
              </w:rPr>
              <w:t>[</w:t>
            </w:r>
            <w:r w:rsidR="00B750E4">
              <w:rPr>
                <w:rFonts w:eastAsia="MS Mincho"/>
                <w:szCs w:val="22"/>
                <w:lang w:val="fr-FR"/>
              </w:rPr>
              <w:t>Pourcentage de Parties au Protocole de Cartagena ayant reçu</w:t>
            </w:r>
            <w:r w:rsidR="00495292">
              <w:rPr>
                <w:rFonts w:eastAsia="MS Mincho"/>
                <w:szCs w:val="22"/>
                <w:lang w:val="fr-FR"/>
              </w:rPr>
              <w:t xml:space="preserve"> une formation sur</w:t>
            </w:r>
            <w:r w:rsidR="00B750E4">
              <w:rPr>
                <w:rFonts w:eastAsia="MS Mincho"/>
                <w:szCs w:val="22"/>
                <w:lang w:val="fr-FR"/>
              </w:rPr>
              <w:t xml:space="preserve"> la ratification du Protocole additionnel de Nagoya Kuala-Lumpur sur la re</w:t>
            </w:r>
            <w:r w:rsidR="00495292">
              <w:rPr>
                <w:rFonts w:eastAsia="MS Mincho"/>
                <w:szCs w:val="22"/>
                <w:lang w:val="fr-FR"/>
              </w:rPr>
              <w:t>sponsabilité et la réparation,</w:t>
            </w:r>
            <w:r w:rsidR="00B750E4">
              <w:rPr>
                <w:rFonts w:eastAsia="MS Mincho"/>
                <w:szCs w:val="22"/>
                <w:lang w:val="fr-FR"/>
              </w:rPr>
              <w:t xml:space="preserve"> qui ont ratifié ce Protocole</w:t>
            </w:r>
            <w:r w:rsidR="00B750E4" w:rsidRPr="00B750E4">
              <w:rPr>
                <w:rFonts w:eastAsia="MS Mincho"/>
                <w:szCs w:val="22"/>
                <w:lang w:val="fr-FR"/>
              </w:rPr>
              <w:t>]</w:t>
            </w:r>
            <w:r w:rsidRPr="00DA3D21">
              <w:rPr>
                <w:rFonts w:eastAsia="MS Mincho"/>
                <w:szCs w:val="22"/>
                <w:lang w:val="fr-CA"/>
              </w:rPr>
              <w:t>;</w:t>
            </w:r>
          </w:p>
          <w:p w14:paraId="1A25A43E" w14:textId="73B5E7F5" w:rsidR="00CD3639" w:rsidRPr="00DA3D21" w:rsidRDefault="00CD3639" w:rsidP="00CD3639">
            <w:pPr>
              <w:suppressLineNumbers/>
              <w:suppressAutoHyphens/>
              <w:spacing w:before="60" w:after="60"/>
              <w:jc w:val="left"/>
              <w:rPr>
                <w:rFonts w:eastAsia="MS Mincho"/>
                <w:kern w:val="22"/>
                <w:szCs w:val="22"/>
                <w:lang w:val="fr-CA"/>
              </w:rPr>
            </w:pPr>
            <w:r w:rsidRPr="00DA3D21">
              <w:rPr>
                <w:rFonts w:eastAsia="MS Mincho"/>
                <w:kern w:val="22"/>
                <w:szCs w:val="22"/>
                <w:lang w:val="fr-CA"/>
              </w:rPr>
              <w:t xml:space="preserve">b) </w:t>
            </w:r>
            <w:r w:rsidR="00FE3A58">
              <w:rPr>
                <w:rFonts w:eastAsia="MS Mincho"/>
                <w:kern w:val="22"/>
                <w:szCs w:val="22"/>
                <w:lang w:val="fr-CA"/>
              </w:rPr>
              <w:t>Pourcentage de Parties</w:t>
            </w:r>
            <w:r w:rsidR="00DA3D21" w:rsidRPr="00DA3D21">
              <w:rPr>
                <w:rFonts w:eastAsia="MS Mincho"/>
                <w:kern w:val="22"/>
                <w:szCs w:val="22"/>
                <w:lang w:val="fr-CA"/>
              </w:rPr>
              <w:t xml:space="preserve"> ayant un personnel formé en analyse des lois, politiques</w:t>
            </w:r>
            <w:r w:rsidR="00495292">
              <w:rPr>
                <w:rFonts w:eastAsia="MS Mincho"/>
                <w:kern w:val="22"/>
                <w:szCs w:val="22"/>
                <w:lang w:val="fr-CA"/>
              </w:rPr>
              <w:t xml:space="preserve"> générales</w:t>
            </w:r>
            <w:r w:rsidR="00DA3D21" w:rsidRPr="00DA3D21">
              <w:rPr>
                <w:rFonts w:eastAsia="MS Mincho"/>
                <w:kern w:val="22"/>
                <w:szCs w:val="22"/>
                <w:lang w:val="fr-CA"/>
              </w:rPr>
              <w:t xml:space="preserve"> et cadres institutionnels en lien avec les exigences du Protocole additionnel</w:t>
            </w:r>
            <w:r w:rsidRPr="00DA3D21">
              <w:rPr>
                <w:rFonts w:eastAsia="MS Mincho"/>
                <w:kern w:val="22"/>
                <w:szCs w:val="22"/>
                <w:lang w:val="fr-CA"/>
              </w:rPr>
              <w:t>;</w:t>
            </w:r>
          </w:p>
          <w:p w14:paraId="311AAE79" w14:textId="079FAFE4" w:rsidR="00CD3639" w:rsidRPr="00DA3D21" w:rsidRDefault="00CD3639" w:rsidP="00CD3639">
            <w:pPr>
              <w:suppressLineNumbers/>
              <w:suppressAutoHyphens/>
              <w:spacing w:before="60" w:after="60"/>
              <w:jc w:val="left"/>
              <w:rPr>
                <w:rFonts w:eastAsia="MS Mincho"/>
                <w:kern w:val="22"/>
                <w:szCs w:val="22"/>
                <w:lang w:val="fr-CA"/>
              </w:rPr>
            </w:pPr>
            <w:r w:rsidRPr="00DA3D21">
              <w:rPr>
                <w:rFonts w:eastAsia="MS Mincho"/>
                <w:kern w:val="22"/>
                <w:szCs w:val="22"/>
                <w:lang w:val="fr-CA"/>
              </w:rPr>
              <w:t xml:space="preserve">c) </w:t>
            </w:r>
            <w:r w:rsidR="00FE3A58">
              <w:rPr>
                <w:rFonts w:eastAsia="MS Mincho"/>
                <w:kern w:val="22"/>
                <w:szCs w:val="22"/>
                <w:lang w:val="fr-CA"/>
              </w:rPr>
              <w:t>Pourcentage de Parties</w:t>
            </w:r>
            <w:r w:rsidR="00B750E4">
              <w:rPr>
                <w:rFonts w:eastAsia="MS Mincho"/>
                <w:kern w:val="22"/>
                <w:szCs w:val="22"/>
                <w:lang w:val="fr-CA"/>
              </w:rPr>
              <w:t xml:space="preserve"> ayant</w:t>
            </w:r>
            <w:r w:rsidR="00DA3D21">
              <w:rPr>
                <w:rFonts w:eastAsia="MS Mincho"/>
                <w:kern w:val="22"/>
                <w:szCs w:val="22"/>
                <w:lang w:val="fr-CA"/>
              </w:rPr>
              <w:t xml:space="preserve"> formé </w:t>
            </w:r>
            <w:r w:rsidR="00240464">
              <w:rPr>
                <w:rFonts w:eastAsia="MS Mincho"/>
                <w:kern w:val="22"/>
                <w:szCs w:val="22"/>
                <w:lang w:val="fr-CA"/>
              </w:rPr>
              <w:t>du personnel en</w:t>
            </w:r>
            <w:r w:rsidR="00495292">
              <w:rPr>
                <w:rFonts w:eastAsia="MS Mincho"/>
                <w:kern w:val="22"/>
                <w:szCs w:val="22"/>
                <w:lang w:val="fr-CA"/>
              </w:rPr>
              <w:t xml:space="preserve"> matière d’</w:t>
            </w:r>
            <w:r w:rsidR="00240464">
              <w:rPr>
                <w:rFonts w:eastAsia="MS Mincho"/>
                <w:kern w:val="22"/>
                <w:szCs w:val="22"/>
                <w:lang w:val="fr-CA"/>
              </w:rPr>
              <w:t>élaborati</w:t>
            </w:r>
            <w:r w:rsidR="00495292">
              <w:rPr>
                <w:rFonts w:eastAsia="MS Mincho"/>
                <w:kern w:val="22"/>
                <w:szCs w:val="22"/>
                <w:lang w:val="fr-CA"/>
              </w:rPr>
              <w:t>on et de révision</w:t>
            </w:r>
            <w:r w:rsidR="00DA3D21">
              <w:rPr>
                <w:rFonts w:eastAsia="MS Mincho"/>
                <w:kern w:val="22"/>
                <w:szCs w:val="22"/>
                <w:lang w:val="fr-CA"/>
              </w:rPr>
              <w:t xml:space="preserve"> de</w:t>
            </w:r>
            <w:r w:rsidR="00495292">
              <w:rPr>
                <w:rFonts w:eastAsia="MS Mincho"/>
                <w:kern w:val="22"/>
                <w:szCs w:val="22"/>
                <w:lang w:val="fr-CA"/>
              </w:rPr>
              <w:t>s</w:t>
            </w:r>
            <w:r w:rsidR="00DA3D21">
              <w:rPr>
                <w:rFonts w:eastAsia="MS Mincho"/>
                <w:kern w:val="22"/>
                <w:szCs w:val="22"/>
                <w:lang w:val="fr-CA"/>
              </w:rPr>
              <w:t xml:space="preserve"> cadres </w:t>
            </w:r>
            <w:r w:rsidR="00495292">
              <w:rPr>
                <w:rFonts w:eastAsia="MS Mincho"/>
                <w:kern w:val="22"/>
                <w:szCs w:val="22"/>
                <w:lang w:val="fr-CA"/>
              </w:rPr>
              <w:t>juridiques</w:t>
            </w:r>
            <w:r w:rsidR="00240464">
              <w:rPr>
                <w:rFonts w:eastAsia="MS Mincho"/>
                <w:kern w:val="22"/>
                <w:szCs w:val="22"/>
                <w:lang w:val="fr-CA"/>
              </w:rPr>
              <w:t xml:space="preserve"> ou administratif</w:t>
            </w:r>
            <w:r w:rsidR="00495292">
              <w:rPr>
                <w:rFonts w:eastAsia="MS Mincho"/>
                <w:kern w:val="22"/>
                <w:szCs w:val="22"/>
                <w:lang w:val="fr-CA"/>
              </w:rPr>
              <w:t>s nationaux pour appliquer</w:t>
            </w:r>
            <w:r w:rsidR="00240464">
              <w:rPr>
                <w:rFonts w:eastAsia="MS Mincho"/>
                <w:kern w:val="22"/>
                <w:szCs w:val="22"/>
                <w:lang w:val="fr-CA"/>
              </w:rPr>
              <w:t xml:space="preserve"> le Protocole additionnel</w:t>
            </w:r>
            <w:r w:rsidRPr="00DA3D21">
              <w:rPr>
                <w:rFonts w:eastAsia="MS Mincho"/>
                <w:kern w:val="22"/>
                <w:szCs w:val="22"/>
                <w:lang w:val="fr-CA"/>
              </w:rPr>
              <w:t xml:space="preserve">; </w:t>
            </w:r>
          </w:p>
          <w:p w14:paraId="67A42A87" w14:textId="637F69BB" w:rsidR="00CD3639" w:rsidRPr="00240464" w:rsidRDefault="00CD3639" w:rsidP="00CD3639">
            <w:pPr>
              <w:suppressLineNumbers/>
              <w:suppressAutoHyphens/>
              <w:spacing w:before="60" w:after="60"/>
              <w:jc w:val="left"/>
              <w:rPr>
                <w:rFonts w:eastAsia="MS Mincho"/>
                <w:kern w:val="22"/>
                <w:szCs w:val="22"/>
                <w:lang w:val="fr-CA"/>
              </w:rPr>
            </w:pPr>
            <w:r w:rsidRPr="00240464">
              <w:rPr>
                <w:rFonts w:eastAsia="MS Mincho"/>
                <w:kern w:val="22"/>
                <w:szCs w:val="22"/>
                <w:lang w:val="fr-CA"/>
              </w:rPr>
              <w:t xml:space="preserve">d) </w:t>
            </w:r>
            <w:r w:rsidR="00FE3A58">
              <w:rPr>
                <w:rFonts w:eastAsia="MS Mincho"/>
                <w:kern w:val="22"/>
                <w:szCs w:val="22"/>
                <w:lang w:val="fr-CA"/>
              </w:rPr>
              <w:t>Pourcentage de Parties</w:t>
            </w:r>
            <w:r w:rsidR="00495292">
              <w:rPr>
                <w:rFonts w:eastAsia="MS Mincho"/>
                <w:kern w:val="22"/>
                <w:szCs w:val="22"/>
                <w:lang w:val="fr-CA"/>
              </w:rPr>
              <w:t xml:space="preserve"> qui utilisent du</w:t>
            </w:r>
            <w:r w:rsidR="00240464" w:rsidRPr="00240464">
              <w:rPr>
                <w:rFonts w:eastAsia="MS Mincho"/>
                <w:kern w:val="22"/>
                <w:szCs w:val="22"/>
                <w:lang w:val="fr-CA"/>
              </w:rPr>
              <w:t xml:space="preserve"> matériel </w:t>
            </w:r>
            <w:r w:rsidR="00240464" w:rsidRPr="00240464">
              <w:rPr>
                <w:kern w:val="22"/>
                <w:szCs w:val="22"/>
                <w:lang w:val="fr-CA"/>
              </w:rPr>
              <w:t>ressource</w:t>
            </w:r>
            <w:r w:rsidR="00240464" w:rsidRPr="00240464">
              <w:rPr>
                <w:rFonts w:eastAsia="MS Mincho"/>
                <w:kern w:val="22"/>
                <w:szCs w:val="22"/>
                <w:lang w:val="fr-CA"/>
              </w:rPr>
              <w:t xml:space="preserve"> </w:t>
            </w:r>
            <w:r w:rsidR="00B750E4" w:rsidRPr="00B750E4">
              <w:rPr>
                <w:rFonts w:eastAsia="MS Mincho"/>
                <w:kern w:val="22"/>
                <w:szCs w:val="22"/>
                <w:lang w:val="fr-FR"/>
              </w:rPr>
              <w:t>[</w:t>
            </w:r>
            <w:r w:rsidR="00240464" w:rsidRPr="00240464">
              <w:rPr>
                <w:rFonts w:eastAsia="MS Mincho"/>
                <w:kern w:val="22"/>
                <w:szCs w:val="22"/>
                <w:lang w:val="fr-CA"/>
              </w:rPr>
              <w:t>pour s’acquitter de leurs responsabilités au titre du</w:t>
            </w:r>
            <w:r w:rsidR="00B750E4">
              <w:rPr>
                <w:rFonts w:eastAsia="MS Mincho"/>
                <w:kern w:val="22"/>
                <w:szCs w:val="22"/>
                <w:lang w:val="fr-CA"/>
              </w:rPr>
              <w:t>][</w:t>
            </w:r>
            <w:r w:rsidR="00B80DA8">
              <w:rPr>
                <w:rFonts w:eastAsia="MS Mincho"/>
                <w:kern w:val="22"/>
                <w:szCs w:val="22"/>
                <w:lang w:val="fr-CA"/>
              </w:rPr>
              <w:t>concernant l’application du</w:t>
            </w:r>
            <w:r w:rsidR="00B750E4">
              <w:rPr>
                <w:rFonts w:eastAsia="MS Mincho"/>
                <w:kern w:val="22"/>
                <w:szCs w:val="22"/>
                <w:lang w:val="fr-CA"/>
              </w:rPr>
              <w:t>]</w:t>
            </w:r>
            <w:r w:rsidR="00240464" w:rsidRPr="00240464">
              <w:rPr>
                <w:rFonts w:eastAsia="MS Mincho"/>
                <w:kern w:val="22"/>
                <w:szCs w:val="22"/>
                <w:lang w:val="fr-CA"/>
              </w:rPr>
              <w:t xml:space="preserve"> Protocole additionnel</w:t>
            </w:r>
            <w:r w:rsidRPr="00240464">
              <w:rPr>
                <w:rFonts w:eastAsia="MS Mincho"/>
                <w:kern w:val="22"/>
                <w:szCs w:val="22"/>
                <w:lang w:val="fr-CA"/>
              </w:rPr>
              <w:t xml:space="preserve">; </w:t>
            </w:r>
          </w:p>
          <w:p w14:paraId="20005D54" w14:textId="712F79CB" w:rsidR="00CD3639" w:rsidRPr="00240464" w:rsidRDefault="00CD3639" w:rsidP="00CD3639">
            <w:pPr>
              <w:suppressLineNumbers/>
              <w:suppressAutoHyphens/>
              <w:spacing w:before="60" w:after="60"/>
              <w:jc w:val="left"/>
              <w:rPr>
                <w:rFonts w:eastAsia="MS Mincho"/>
                <w:kern w:val="22"/>
                <w:szCs w:val="22"/>
                <w:lang w:val="fr-CA"/>
              </w:rPr>
            </w:pPr>
            <w:r w:rsidRPr="00240464">
              <w:rPr>
                <w:rFonts w:eastAsia="MS Mincho"/>
                <w:kern w:val="22"/>
                <w:szCs w:val="22"/>
                <w:lang w:val="fr-CA"/>
              </w:rPr>
              <w:t xml:space="preserve">e) </w:t>
            </w:r>
            <w:r w:rsidR="00240464" w:rsidRPr="00240464">
              <w:rPr>
                <w:rFonts w:eastAsia="MS Mincho"/>
                <w:kern w:val="22"/>
                <w:szCs w:val="22"/>
                <w:lang w:val="fr-CA"/>
              </w:rPr>
              <w:t>P</w:t>
            </w:r>
            <w:r w:rsidR="00240464">
              <w:rPr>
                <w:rFonts w:eastAsia="MS Mincho"/>
                <w:kern w:val="22"/>
                <w:szCs w:val="22"/>
                <w:lang w:val="fr-CA"/>
              </w:rPr>
              <w:t>ourcentag</w:t>
            </w:r>
            <w:r w:rsidR="00240464" w:rsidRPr="00240464">
              <w:rPr>
                <w:rFonts w:eastAsia="MS Mincho"/>
                <w:kern w:val="22"/>
                <w:szCs w:val="22"/>
                <w:lang w:val="fr-CA"/>
              </w:rPr>
              <w:t xml:space="preserve">e </w:t>
            </w:r>
            <w:r w:rsidR="00B80DA8">
              <w:rPr>
                <w:rFonts w:eastAsia="MS Mincho"/>
                <w:kern w:val="22"/>
                <w:szCs w:val="22"/>
                <w:lang w:val="fr-CA"/>
              </w:rPr>
              <w:t>[</w:t>
            </w:r>
            <w:r w:rsidR="00B80DA8">
              <w:rPr>
                <w:rFonts w:eastAsia="MS Mincho"/>
                <w:kern w:val="22"/>
                <w:szCs w:val="22"/>
                <w:lang w:val="fr-FR"/>
              </w:rPr>
              <w:t>de Parties ayant reçu une formation</w:t>
            </w:r>
            <w:r w:rsidR="00B80DA8">
              <w:rPr>
                <w:rFonts w:eastAsia="MS Mincho"/>
                <w:kern w:val="22"/>
                <w:szCs w:val="22"/>
                <w:lang w:val="fr-CA"/>
              </w:rPr>
              <w:t>][</w:t>
            </w:r>
            <w:r w:rsidR="00240464" w:rsidRPr="00240464">
              <w:rPr>
                <w:rFonts w:eastAsia="MS Mincho"/>
                <w:kern w:val="22"/>
                <w:szCs w:val="22"/>
                <w:lang w:val="fr-CA"/>
              </w:rPr>
              <w:t>des autorités compétentes ayant exprimé le besoin de recevoir une formation adéquat</w:t>
            </w:r>
            <w:r w:rsidR="00240464">
              <w:rPr>
                <w:rFonts w:eastAsia="MS Mincho"/>
                <w:kern w:val="22"/>
                <w:szCs w:val="22"/>
                <w:lang w:val="fr-CA"/>
              </w:rPr>
              <w:t>e</w:t>
            </w:r>
            <w:r w:rsidR="00B80DA8" w:rsidRPr="00B80DA8">
              <w:rPr>
                <w:rFonts w:eastAsia="MS Mincho"/>
                <w:kern w:val="22"/>
                <w:szCs w:val="22"/>
                <w:lang w:val="fr-FR"/>
              </w:rPr>
              <w:t>]</w:t>
            </w:r>
            <w:r w:rsidR="00B80DA8">
              <w:rPr>
                <w:rFonts w:eastAsia="MS Mincho"/>
                <w:kern w:val="22"/>
                <w:szCs w:val="22"/>
                <w:lang w:val="fr-CA"/>
              </w:rPr>
              <w:t xml:space="preserve"> en matière d’</w:t>
            </w:r>
            <w:r w:rsidR="00240464" w:rsidRPr="00240464">
              <w:rPr>
                <w:rFonts w:eastAsia="MS Mincho"/>
                <w:kern w:val="22"/>
                <w:szCs w:val="22"/>
                <w:lang w:val="fr-CA"/>
              </w:rPr>
              <w:t>évaluation d</w:t>
            </w:r>
            <w:r w:rsidR="00240464">
              <w:rPr>
                <w:rFonts w:eastAsia="MS Mincho"/>
                <w:kern w:val="22"/>
                <w:szCs w:val="22"/>
                <w:lang w:val="fr-CA"/>
              </w:rPr>
              <w:t xml:space="preserve">es </w:t>
            </w:r>
            <w:r w:rsidR="00704587">
              <w:rPr>
                <w:rFonts w:eastAsia="MS Mincho"/>
                <w:kern w:val="22"/>
                <w:szCs w:val="22"/>
                <w:lang w:val="fr-CA"/>
              </w:rPr>
              <w:t>dommages [</w:t>
            </w:r>
            <w:r w:rsidR="00B80DA8">
              <w:rPr>
                <w:rFonts w:eastAsia="MS Mincho"/>
                <w:kern w:val="22"/>
                <w:szCs w:val="22"/>
                <w:lang w:val="fr-CA"/>
              </w:rPr>
              <w:t>, d’établissement de liens de causalité]</w:t>
            </w:r>
            <w:r w:rsidR="00240464">
              <w:rPr>
                <w:rFonts w:eastAsia="MS Mincho"/>
                <w:kern w:val="22"/>
                <w:szCs w:val="22"/>
                <w:lang w:val="fr-CA"/>
              </w:rPr>
              <w:t xml:space="preserve"> et </w:t>
            </w:r>
            <w:r w:rsidR="00B80DA8">
              <w:rPr>
                <w:rFonts w:eastAsia="MS Mincho"/>
                <w:kern w:val="22"/>
                <w:szCs w:val="22"/>
                <w:lang w:val="fr-CA"/>
              </w:rPr>
              <w:t xml:space="preserve">de </w:t>
            </w:r>
            <w:r w:rsidR="00240464">
              <w:rPr>
                <w:rFonts w:eastAsia="MS Mincho"/>
                <w:kern w:val="22"/>
                <w:szCs w:val="22"/>
                <w:lang w:val="fr-CA"/>
              </w:rPr>
              <w:t>détermination des réponses appropriées</w:t>
            </w:r>
            <w:r w:rsidRPr="00240464">
              <w:rPr>
                <w:rFonts w:eastAsia="MS Mincho"/>
                <w:kern w:val="22"/>
                <w:szCs w:val="22"/>
                <w:lang w:val="fr-CA"/>
              </w:rPr>
              <w:t>;</w:t>
            </w:r>
          </w:p>
          <w:p w14:paraId="1ACA61F2" w14:textId="3117957A" w:rsidR="00CD3639" w:rsidRDefault="00CD3639" w:rsidP="00240464">
            <w:pPr>
              <w:suppressLineNumbers/>
              <w:suppressAutoHyphens/>
              <w:spacing w:before="60" w:after="60"/>
              <w:jc w:val="left"/>
              <w:rPr>
                <w:rFonts w:eastAsia="MS Mincho"/>
                <w:szCs w:val="22"/>
                <w:lang w:val="fr-CA"/>
              </w:rPr>
            </w:pPr>
            <w:r w:rsidRPr="00240464">
              <w:rPr>
                <w:rFonts w:eastAsia="MS Mincho"/>
                <w:szCs w:val="22"/>
                <w:lang w:val="fr-CA"/>
              </w:rPr>
              <w:t xml:space="preserve">f) </w:t>
            </w:r>
            <w:r w:rsidR="00FE3A58">
              <w:rPr>
                <w:rFonts w:eastAsia="MS Mincho"/>
                <w:szCs w:val="22"/>
                <w:lang w:val="fr-CA"/>
              </w:rPr>
              <w:t>Pourcentage de Parties</w:t>
            </w:r>
            <w:r w:rsidR="00B80DA8">
              <w:rPr>
                <w:rFonts w:eastAsia="MS Mincho"/>
                <w:szCs w:val="22"/>
                <w:lang w:val="fr-CA"/>
              </w:rPr>
              <w:t xml:space="preserve"> qui consolid</w:t>
            </w:r>
            <w:r w:rsidR="00240464" w:rsidRPr="00240464">
              <w:rPr>
                <w:rFonts w:eastAsia="MS Mincho"/>
                <w:szCs w:val="22"/>
                <w:lang w:val="fr-CA"/>
              </w:rPr>
              <w:t xml:space="preserve">ent </w:t>
            </w:r>
            <w:r w:rsidR="00B80DA8" w:rsidRPr="00B80DA8">
              <w:rPr>
                <w:rFonts w:eastAsia="MS Mincho"/>
                <w:szCs w:val="22"/>
                <w:lang w:val="fr-FR"/>
              </w:rPr>
              <w:t>[</w:t>
            </w:r>
            <w:r w:rsidR="00240464" w:rsidRPr="00240464">
              <w:rPr>
                <w:rFonts w:eastAsia="MS Mincho"/>
                <w:szCs w:val="22"/>
                <w:lang w:val="fr-CA"/>
              </w:rPr>
              <w:t>et partagent</w:t>
            </w:r>
            <w:r w:rsidR="00B80DA8">
              <w:rPr>
                <w:rFonts w:eastAsia="MS Mincho"/>
                <w:szCs w:val="22"/>
                <w:lang w:val="fr-CA"/>
              </w:rPr>
              <w:t>]</w:t>
            </w:r>
            <w:r w:rsidR="00240464" w:rsidRPr="00240464">
              <w:rPr>
                <w:rFonts w:eastAsia="MS Mincho"/>
                <w:szCs w:val="22"/>
                <w:lang w:val="fr-CA"/>
              </w:rPr>
              <w:t xml:space="preserve"> des informations sur </w:t>
            </w:r>
            <w:r w:rsidR="00495292">
              <w:rPr>
                <w:rFonts w:eastAsia="MS Mincho"/>
                <w:szCs w:val="22"/>
                <w:lang w:val="fr-CA"/>
              </w:rPr>
              <w:t>l’</w:t>
            </w:r>
            <w:r w:rsidR="00A674E8">
              <w:rPr>
                <w:rFonts w:eastAsia="MS Mincho"/>
                <w:szCs w:val="22"/>
                <w:lang w:val="fr-CA"/>
              </w:rPr>
              <w:t>expé</w:t>
            </w:r>
            <w:r w:rsidR="00495292">
              <w:rPr>
                <w:rFonts w:eastAsia="MS Mincho"/>
                <w:szCs w:val="22"/>
                <w:lang w:val="fr-CA"/>
              </w:rPr>
              <w:t>rience acquise</w:t>
            </w:r>
            <w:r w:rsidR="00A674E8">
              <w:rPr>
                <w:rFonts w:eastAsia="MS Mincho"/>
                <w:szCs w:val="22"/>
                <w:lang w:val="fr-CA"/>
              </w:rPr>
              <w:t xml:space="preserve"> </w:t>
            </w:r>
            <w:r w:rsidR="00240464" w:rsidRPr="00240464">
              <w:rPr>
                <w:rFonts w:eastAsia="MS Mincho"/>
                <w:szCs w:val="22"/>
                <w:lang w:val="fr-CA"/>
              </w:rPr>
              <w:t>et les enseignements tirés</w:t>
            </w:r>
            <w:r w:rsidR="00BD77E6">
              <w:rPr>
                <w:rFonts w:eastAsia="MS Mincho"/>
                <w:szCs w:val="22"/>
                <w:lang w:val="fr-CA"/>
              </w:rPr>
              <w:t xml:space="preserve"> de l’application</w:t>
            </w:r>
            <w:r w:rsidR="00A674E8">
              <w:rPr>
                <w:rFonts w:eastAsia="MS Mincho"/>
                <w:szCs w:val="22"/>
                <w:lang w:val="fr-CA"/>
              </w:rPr>
              <w:t xml:space="preserve"> du Protocole additionnel</w:t>
            </w:r>
            <w:r w:rsidR="00B80DA8">
              <w:rPr>
                <w:rFonts w:eastAsia="MS Mincho"/>
                <w:szCs w:val="22"/>
                <w:lang w:val="fr-CA"/>
              </w:rPr>
              <w:t>;</w:t>
            </w:r>
          </w:p>
          <w:p w14:paraId="490922A7" w14:textId="249083AD" w:rsidR="00B80DA8" w:rsidRPr="00240464" w:rsidRDefault="00B80DA8" w:rsidP="00240464">
            <w:pPr>
              <w:suppressLineNumbers/>
              <w:suppressAutoHyphens/>
              <w:spacing w:before="60" w:after="60"/>
              <w:jc w:val="left"/>
              <w:rPr>
                <w:rFonts w:eastAsia="MS Mincho"/>
                <w:kern w:val="22"/>
                <w:szCs w:val="22"/>
                <w:lang w:val="fr-CA"/>
              </w:rPr>
            </w:pPr>
            <w:r>
              <w:rPr>
                <w:rFonts w:eastAsia="MS Mincho"/>
                <w:szCs w:val="22"/>
                <w:lang w:val="fr-CA"/>
              </w:rPr>
              <w:t xml:space="preserve">[Pourcentage de Parties </w:t>
            </w:r>
            <w:r>
              <w:rPr>
                <w:rFonts w:eastAsia="MS Mincho"/>
                <w:szCs w:val="22"/>
                <w:lang w:val="fr-FR"/>
              </w:rPr>
              <w:t>qui partagent des informations sur l’expérience acquise et les enseignements tirés dans l’application du Protocole additionnel.</w:t>
            </w:r>
            <w:r>
              <w:rPr>
                <w:rFonts w:eastAsia="MS Mincho"/>
                <w:szCs w:val="22"/>
                <w:lang w:val="fr-CA"/>
              </w:rPr>
              <w:t>]</w:t>
            </w:r>
          </w:p>
        </w:tc>
        <w:tc>
          <w:tcPr>
            <w:tcW w:w="1890" w:type="dxa"/>
            <w:tcBorders>
              <w:bottom w:val="single" w:sz="4" w:space="0" w:color="auto"/>
            </w:tcBorders>
          </w:tcPr>
          <w:p w14:paraId="33CF0395" w14:textId="77777777" w:rsidR="00CD3639" w:rsidRPr="00C462BE" w:rsidRDefault="00CD3639" w:rsidP="00CD3639">
            <w:pPr>
              <w:spacing w:before="60" w:after="60"/>
              <w:jc w:val="left"/>
              <w:rPr>
                <w:rFonts w:eastAsia="MS Mincho"/>
                <w:kern w:val="22"/>
                <w:szCs w:val="22"/>
                <w:lang w:val="fr-CA"/>
              </w:rPr>
            </w:pPr>
            <w:r w:rsidRPr="00C462BE">
              <w:rPr>
                <w:kern w:val="22"/>
                <w:szCs w:val="22"/>
                <w:lang w:val="fr-CA"/>
              </w:rPr>
              <w:t>L’augmentation du nombre de ratifications du Protocole additionnel de Nagoya – Kuala Lumpur sur la responsabilité et la réparation fait progresser l’élaboration de règles et procédures nationales sur la responsabilité et la réparation pour les dommages résultant d’OVM provenant d’un mouvement transfrontière.</w:t>
            </w:r>
          </w:p>
          <w:p w14:paraId="7E8330EA" w14:textId="6CBD4362" w:rsidR="00CD3639" w:rsidRPr="00C462BE" w:rsidRDefault="00CD3639" w:rsidP="00CD3639">
            <w:pPr>
              <w:suppressLineNumbers/>
              <w:suppressAutoHyphens/>
              <w:spacing w:before="60" w:after="60"/>
              <w:jc w:val="left"/>
              <w:rPr>
                <w:rFonts w:eastAsia="MS Mincho"/>
                <w:kern w:val="22"/>
                <w:szCs w:val="22"/>
                <w:lang w:val="fr-CA"/>
              </w:rPr>
            </w:pPr>
          </w:p>
        </w:tc>
        <w:tc>
          <w:tcPr>
            <w:tcW w:w="1710" w:type="dxa"/>
            <w:tcBorders>
              <w:bottom w:val="single" w:sz="4" w:space="0" w:color="auto"/>
            </w:tcBorders>
          </w:tcPr>
          <w:p w14:paraId="32E2AE5C" w14:textId="2490941F" w:rsidR="00A674E8" w:rsidRPr="00C462BE" w:rsidRDefault="00CD3639" w:rsidP="00A674E8">
            <w:pPr>
              <w:spacing w:before="60" w:after="60"/>
              <w:jc w:val="left"/>
              <w:rPr>
                <w:rFonts w:eastAsia="MS Mincho"/>
                <w:kern w:val="22"/>
                <w:szCs w:val="22"/>
                <w:lang w:val="fr-CA"/>
              </w:rPr>
            </w:pPr>
            <w:r w:rsidRPr="00C462BE">
              <w:rPr>
                <w:rFonts w:eastAsia="MS Mincho"/>
                <w:szCs w:val="22"/>
                <w:lang w:val="fr-CA"/>
              </w:rPr>
              <w:t>[</w:t>
            </w:r>
            <w:r w:rsidR="00A674E8">
              <w:rPr>
                <w:rFonts w:eastAsia="MS Mincho"/>
                <w:szCs w:val="22"/>
                <w:lang w:val="fr-CA"/>
              </w:rPr>
              <w:t>Autorités nationales / personnel des autorités nationales</w:t>
            </w:r>
            <w:r w:rsidR="00495292">
              <w:rPr>
                <w:rFonts w:eastAsia="MS Mincho"/>
                <w:szCs w:val="22"/>
                <w:lang w:val="fr-CA"/>
              </w:rPr>
              <w:t>,</w:t>
            </w:r>
            <w:r w:rsidR="00A674E8">
              <w:rPr>
                <w:rFonts w:eastAsia="MS Mincho"/>
                <w:szCs w:val="22"/>
                <w:lang w:val="fr-CA"/>
              </w:rPr>
              <w:t xml:space="preserve"> </w:t>
            </w:r>
          </w:p>
          <w:p w14:paraId="1AD88517" w14:textId="3BCD606F" w:rsidR="00CD3639" w:rsidRPr="00C462BE" w:rsidRDefault="00A674E8" w:rsidP="00CD3639">
            <w:pPr>
              <w:suppressLineNumbers/>
              <w:suppressAutoHyphens/>
              <w:spacing w:before="60" w:after="60"/>
              <w:jc w:val="left"/>
              <w:rPr>
                <w:rFonts w:eastAsia="MS Mincho"/>
                <w:kern w:val="22"/>
                <w:szCs w:val="22"/>
                <w:lang w:val="fr-CA"/>
              </w:rPr>
            </w:pPr>
            <w:r>
              <w:rPr>
                <w:rFonts w:eastAsia="MS Mincho"/>
                <w:szCs w:val="22"/>
                <w:lang w:val="fr-CA"/>
              </w:rPr>
              <w:t>Secrétariat de la CDB</w:t>
            </w:r>
            <w:r w:rsidR="00CD3639" w:rsidRPr="00C462BE">
              <w:rPr>
                <w:rFonts w:eastAsia="MS Mincho"/>
                <w:szCs w:val="22"/>
                <w:lang w:val="fr-CA"/>
              </w:rPr>
              <w:t>]</w:t>
            </w:r>
          </w:p>
        </w:tc>
      </w:tr>
      <w:tr w:rsidR="00CD3639" w:rsidRPr="00C462BE" w14:paraId="269BD9C8" w14:textId="77777777" w:rsidTr="00065370">
        <w:trPr>
          <w:jc w:val="center"/>
        </w:trPr>
        <w:tc>
          <w:tcPr>
            <w:tcW w:w="1705" w:type="dxa"/>
            <w:tcBorders>
              <w:top w:val="single" w:sz="4" w:space="0" w:color="auto"/>
              <w:left w:val="single" w:sz="4" w:space="0" w:color="auto"/>
              <w:bottom w:val="single" w:sz="4" w:space="0" w:color="auto"/>
              <w:right w:val="single" w:sz="4" w:space="0" w:color="auto"/>
            </w:tcBorders>
          </w:tcPr>
          <w:p w14:paraId="03628562" w14:textId="611C45C5" w:rsidR="00CD3639" w:rsidRPr="00C462BE" w:rsidRDefault="00CD3639" w:rsidP="00CD3639">
            <w:pPr>
              <w:keepNext/>
              <w:suppressLineNumbers/>
              <w:suppressAutoHyphens/>
              <w:spacing w:before="60" w:after="60"/>
              <w:ind w:left="714" w:hanging="357"/>
              <w:jc w:val="center"/>
              <w:rPr>
                <w:rFonts w:eastAsia="MS Mincho"/>
                <w:b/>
                <w:bCs/>
                <w:kern w:val="22"/>
                <w:szCs w:val="22"/>
                <w:lang w:val="fr-CA"/>
              </w:rPr>
            </w:pPr>
          </w:p>
        </w:tc>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75A3C3CF" w14:textId="010D0D39" w:rsidR="00CD3639" w:rsidRPr="00C462BE" w:rsidRDefault="00CD3639" w:rsidP="00CD3639">
            <w:pPr>
              <w:keepNext/>
              <w:suppressLineNumbers/>
              <w:suppressAutoHyphens/>
              <w:spacing w:before="60" w:after="60"/>
              <w:ind w:left="714" w:hanging="357"/>
              <w:jc w:val="center"/>
              <w:rPr>
                <w:rFonts w:eastAsia="MS Mincho"/>
                <w:b/>
                <w:bCs/>
                <w:kern w:val="22"/>
                <w:szCs w:val="22"/>
                <w:lang w:val="fr-CA"/>
              </w:rPr>
            </w:pPr>
            <w:r w:rsidRPr="00C462BE">
              <w:rPr>
                <w:b/>
                <w:bCs/>
                <w:kern w:val="22"/>
                <w:szCs w:val="22"/>
                <w:lang w:val="fr-CA"/>
              </w:rPr>
              <w:t>B. Environnement favorable</w:t>
            </w:r>
          </w:p>
        </w:tc>
      </w:tr>
      <w:tr w:rsidR="00CD3639" w:rsidRPr="00C462BE" w14:paraId="7048551D" w14:textId="77777777" w:rsidTr="00065370">
        <w:trPr>
          <w:jc w:val="center"/>
        </w:trPr>
        <w:tc>
          <w:tcPr>
            <w:tcW w:w="1705" w:type="dxa"/>
            <w:tcBorders>
              <w:top w:val="single" w:sz="4" w:space="0" w:color="auto"/>
            </w:tcBorders>
          </w:tcPr>
          <w:p w14:paraId="43FE919E" w14:textId="7622A699"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B.1. Les Parties s’engagent dans des activités de renforcement des capacités.</w:t>
            </w:r>
          </w:p>
        </w:tc>
        <w:tc>
          <w:tcPr>
            <w:tcW w:w="1890" w:type="dxa"/>
            <w:tcBorders>
              <w:top w:val="single" w:sz="4" w:space="0" w:color="auto"/>
            </w:tcBorders>
            <w:shd w:val="clear" w:color="auto" w:fill="auto"/>
          </w:tcPr>
          <w:p w14:paraId="43056A2B" w14:textId="318B545D" w:rsidR="00CD3639" w:rsidRPr="00C462BE" w:rsidRDefault="00CD3639" w:rsidP="00CD3639">
            <w:pPr>
              <w:spacing w:before="60" w:after="60"/>
              <w:jc w:val="left"/>
              <w:rPr>
                <w:rFonts w:eastAsia="MS Mincho"/>
                <w:kern w:val="22"/>
                <w:szCs w:val="22"/>
                <w:lang w:val="fr-CA"/>
              </w:rPr>
            </w:pPr>
            <w:r w:rsidRPr="00C462BE">
              <w:rPr>
                <w:kern w:val="22"/>
                <w:szCs w:val="22"/>
                <w:lang w:val="fr-CA"/>
              </w:rPr>
              <w:t>1) Auto-évaluation des besoins et des priorités en matière de renforcement des capacités</w:t>
            </w:r>
            <w:r w:rsidR="000543BC">
              <w:rPr>
                <w:kern w:val="22"/>
                <w:szCs w:val="22"/>
                <w:lang w:val="fr-CA"/>
              </w:rPr>
              <w:t>;</w:t>
            </w:r>
          </w:p>
          <w:p w14:paraId="41C6CDE9" w14:textId="5B5B791A" w:rsidR="00CD3639" w:rsidRPr="00C462BE" w:rsidRDefault="00CD3639" w:rsidP="00CD3639">
            <w:pPr>
              <w:spacing w:before="60" w:after="60"/>
              <w:jc w:val="left"/>
              <w:rPr>
                <w:rFonts w:eastAsia="MS Mincho"/>
                <w:kern w:val="22"/>
                <w:szCs w:val="22"/>
                <w:lang w:val="fr-CA"/>
              </w:rPr>
            </w:pPr>
            <w:r w:rsidRPr="00C462BE">
              <w:rPr>
                <w:kern w:val="22"/>
                <w:szCs w:val="22"/>
                <w:lang w:val="fr-CA"/>
              </w:rPr>
              <w:t>2) Fourniture d’un appui pour les activités de renforcement des capacités</w:t>
            </w:r>
            <w:r w:rsidR="000543BC">
              <w:rPr>
                <w:kern w:val="22"/>
                <w:szCs w:val="22"/>
                <w:lang w:val="fr-CA"/>
              </w:rPr>
              <w:t>;</w:t>
            </w:r>
          </w:p>
          <w:p w14:paraId="02D638C4" w14:textId="75D68FE3" w:rsidR="00CD3639" w:rsidRPr="00C462BE" w:rsidRDefault="00CD3639" w:rsidP="00CD3639">
            <w:pPr>
              <w:spacing w:before="60" w:after="60"/>
              <w:jc w:val="left"/>
              <w:rPr>
                <w:rFonts w:eastAsia="MS Mincho"/>
                <w:kern w:val="22"/>
                <w:szCs w:val="22"/>
                <w:lang w:val="fr-CA"/>
              </w:rPr>
            </w:pPr>
            <w:r w:rsidRPr="00C462BE">
              <w:rPr>
                <w:kern w:val="22"/>
                <w:szCs w:val="22"/>
                <w:lang w:val="fr-CA"/>
              </w:rPr>
              <w:t>3) Accès aux matériels de renforcement des capacités</w:t>
            </w:r>
            <w:r w:rsidR="000543BC">
              <w:rPr>
                <w:kern w:val="22"/>
                <w:szCs w:val="22"/>
                <w:lang w:val="fr-CA"/>
              </w:rPr>
              <w:t>;</w:t>
            </w:r>
          </w:p>
          <w:p w14:paraId="20897EA3" w14:textId="6F4C77DD"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4) Coopération dans les activités de renforcement des capacités.</w:t>
            </w:r>
          </w:p>
        </w:tc>
        <w:tc>
          <w:tcPr>
            <w:tcW w:w="2520" w:type="dxa"/>
            <w:tcBorders>
              <w:top w:val="single" w:sz="4" w:space="0" w:color="auto"/>
            </w:tcBorders>
            <w:shd w:val="clear" w:color="auto" w:fill="auto"/>
          </w:tcPr>
          <w:p w14:paraId="4FEB9094" w14:textId="141E49F9" w:rsidR="00CD3639" w:rsidRPr="00C462BE" w:rsidRDefault="00CD3639" w:rsidP="00CD3639">
            <w:pPr>
              <w:spacing w:before="60" w:after="60"/>
              <w:jc w:val="left"/>
              <w:rPr>
                <w:rFonts w:eastAsia="MS Mincho"/>
                <w:kern w:val="22"/>
                <w:szCs w:val="22"/>
                <w:lang w:val="fr-CA"/>
              </w:rPr>
            </w:pPr>
            <w:r w:rsidRPr="00C462BE">
              <w:rPr>
                <w:kern w:val="22"/>
                <w:szCs w:val="22"/>
                <w:lang w:val="fr-CA"/>
              </w:rPr>
              <w:t>i) Réaliser une auto-évaluation des besoins et des priorités en matière de renforcement des capacités</w:t>
            </w:r>
            <w:r w:rsidR="000543BC">
              <w:rPr>
                <w:kern w:val="22"/>
                <w:szCs w:val="22"/>
                <w:lang w:val="fr-CA"/>
              </w:rPr>
              <w:t>;</w:t>
            </w:r>
          </w:p>
          <w:p w14:paraId="1B1651D6" w14:textId="06CAB264" w:rsidR="00CD3639" w:rsidRPr="00C462BE" w:rsidRDefault="00CD3639" w:rsidP="00CD3639">
            <w:pPr>
              <w:spacing w:before="60" w:after="60"/>
              <w:jc w:val="left"/>
              <w:rPr>
                <w:rFonts w:eastAsia="MS Mincho"/>
                <w:kern w:val="22"/>
                <w:szCs w:val="22"/>
                <w:lang w:val="fr-CA"/>
              </w:rPr>
            </w:pPr>
            <w:r w:rsidRPr="00C462BE">
              <w:rPr>
                <w:kern w:val="22"/>
                <w:szCs w:val="22"/>
                <w:lang w:val="fr-CA"/>
              </w:rPr>
              <w:t>ii) Fournir un appui technique, financier ou autre pour les activités de renforcement des capacités, y compris celles décrites dans le présent plan d’action pour le renforcement des capacités</w:t>
            </w:r>
            <w:r w:rsidR="000543BC">
              <w:rPr>
                <w:kern w:val="22"/>
                <w:szCs w:val="22"/>
                <w:lang w:val="fr-CA"/>
              </w:rPr>
              <w:t>;</w:t>
            </w:r>
          </w:p>
          <w:p w14:paraId="424E50F0" w14:textId="562083E6" w:rsidR="00CD3639" w:rsidRPr="00C462BE" w:rsidRDefault="00CD3639" w:rsidP="00CD3639">
            <w:pPr>
              <w:spacing w:before="60" w:after="60"/>
              <w:jc w:val="left"/>
              <w:rPr>
                <w:rFonts w:eastAsia="MS Mincho"/>
                <w:kern w:val="22"/>
                <w:szCs w:val="22"/>
                <w:lang w:val="fr-CA"/>
              </w:rPr>
            </w:pPr>
            <w:r w:rsidRPr="00C462BE">
              <w:rPr>
                <w:kern w:val="22"/>
                <w:szCs w:val="22"/>
                <w:lang w:val="fr-CA"/>
              </w:rPr>
              <w:t>iii) Élaborer et diffuser des matériels de renforcement des capacités et les résultats des activités, y compris dans les langues locales</w:t>
            </w:r>
            <w:r w:rsidR="000543BC">
              <w:rPr>
                <w:kern w:val="22"/>
                <w:szCs w:val="22"/>
                <w:lang w:val="fr-CA"/>
              </w:rPr>
              <w:t>;</w:t>
            </w:r>
          </w:p>
          <w:p w14:paraId="60B62654" w14:textId="5183EAFE"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iv) Coopérer aux niveaux national, bilatéral, régional et multilatéral avec les partenaires des secteurs concernés et les parties prenantes pour mener des activités de renforcement des capacités.</w:t>
            </w:r>
          </w:p>
        </w:tc>
        <w:tc>
          <w:tcPr>
            <w:tcW w:w="2790" w:type="dxa"/>
            <w:tcBorders>
              <w:top w:val="single" w:sz="2" w:space="0" w:color="auto"/>
            </w:tcBorders>
          </w:tcPr>
          <w:p w14:paraId="3A2D2AD2" w14:textId="36B49DFA" w:rsidR="00A674E8" w:rsidRDefault="00CD3639" w:rsidP="00CD3639">
            <w:pPr>
              <w:suppressLineNumbers/>
              <w:suppressAutoHyphens/>
              <w:spacing w:before="60" w:after="60"/>
              <w:jc w:val="left"/>
              <w:rPr>
                <w:rFonts w:eastAsia="MS Mincho"/>
                <w:kern w:val="22"/>
                <w:szCs w:val="22"/>
                <w:lang w:val="fr-CA"/>
              </w:rPr>
            </w:pPr>
            <w:r w:rsidRPr="00A674E8">
              <w:rPr>
                <w:rFonts w:eastAsia="MS Mincho"/>
                <w:szCs w:val="22"/>
                <w:lang w:val="fr-CA"/>
              </w:rPr>
              <w:t xml:space="preserve">a) </w:t>
            </w:r>
            <w:r w:rsidR="00FE3A58">
              <w:rPr>
                <w:rFonts w:eastAsia="MS Mincho"/>
                <w:szCs w:val="22"/>
                <w:lang w:val="fr-CA"/>
              </w:rPr>
              <w:t>Pourcentage de Parties</w:t>
            </w:r>
            <w:r w:rsidR="00A674E8" w:rsidRPr="00A674E8">
              <w:rPr>
                <w:rFonts w:eastAsia="MS Mincho"/>
                <w:szCs w:val="22"/>
                <w:lang w:val="fr-CA"/>
              </w:rPr>
              <w:t xml:space="preserve"> ayant réalisé une autoévaluation de leurs capacités</w:t>
            </w:r>
            <w:r w:rsidR="000543BC">
              <w:rPr>
                <w:rFonts w:eastAsia="MS Mincho"/>
                <w:szCs w:val="22"/>
                <w:lang w:val="fr-CA"/>
              </w:rPr>
              <w:t>;</w:t>
            </w:r>
            <w:r w:rsidRPr="00A674E8">
              <w:rPr>
                <w:rFonts w:eastAsia="MS Mincho"/>
                <w:kern w:val="22"/>
                <w:szCs w:val="22"/>
                <w:lang w:val="fr-CA"/>
              </w:rPr>
              <w:t xml:space="preserve"> </w:t>
            </w:r>
          </w:p>
          <w:p w14:paraId="7EECE500" w14:textId="05CBEE64" w:rsidR="00CD3639" w:rsidRPr="009E16C3" w:rsidRDefault="00CD3639" w:rsidP="00CD3639">
            <w:pPr>
              <w:suppressLineNumbers/>
              <w:suppressAutoHyphens/>
              <w:spacing w:before="60" w:after="60"/>
              <w:jc w:val="left"/>
              <w:rPr>
                <w:rFonts w:eastAsia="MS Mincho"/>
                <w:kern w:val="22"/>
                <w:szCs w:val="22"/>
                <w:lang w:val="fr-CA"/>
              </w:rPr>
            </w:pPr>
            <w:r w:rsidRPr="009E16C3">
              <w:rPr>
                <w:rFonts w:eastAsia="MS Mincho"/>
                <w:kern w:val="22"/>
                <w:szCs w:val="22"/>
                <w:lang w:val="fr-CA"/>
              </w:rPr>
              <w:t xml:space="preserve">b) </w:t>
            </w:r>
            <w:r w:rsidR="00FE3A58">
              <w:rPr>
                <w:rFonts w:eastAsia="MS Mincho"/>
                <w:kern w:val="22"/>
                <w:szCs w:val="22"/>
                <w:lang w:val="fr-CA"/>
              </w:rPr>
              <w:t>Pourcentage de Parties</w:t>
            </w:r>
            <w:r w:rsidR="00A674E8" w:rsidRPr="009E16C3">
              <w:rPr>
                <w:rFonts w:eastAsia="MS Mincho"/>
                <w:kern w:val="22"/>
                <w:szCs w:val="22"/>
                <w:lang w:val="fr-CA"/>
              </w:rPr>
              <w:t xml:space="preserve"> qui</w:t>
            </w:r>
            <w:r w:rsidR="009E16C3" w:rsidRPr="009E16C3">
              <w:rPr>
                <w:rFonts w:eastAsia="MS Mincho"/>
                <w:kern w:val="22"/>
                <w:szCs w:val="22"/>
                <w:lang w:val="fr-CA"/>
              </w:rPr>
              <w:t xml:space="preserve"> </w:t>
            </w:r>
            <w:r w:rsidR="00B80DA8" w:rsidRPr="00B80DA8">
              <w:rPr>
                <w:rFonts w:eastAsia="MS Mincho"/>
                <w:kern w:val="22"/>
                <w:szCs w:val="22"/>
                <w:lang w:val="fr-FR"/>
              </w:rPr>
              <w:t>[</w:t>
            </w:r>
            <w:r w:rsidR="00B80DA8">
              <w:rPr>
                <w:rFonts w:eastAsia="MS Mincho"/>
                <w:kern w:val="22"/>
                <w:szCs w:val="22"/>
                <w:lang w:val="fr-FR"/>
              </w:rPr>
              <w:t>reçoivent</w:t>
            </w:r>
            <w:r w:rsidR="00B80DA8" w:rsidRPr="00B80DA8">
              <w:rPr>
                <w:rFonts w:eastAsia="MS Mincho"/>
                <w:kern w:val="22"/>
                <w:szCs w:val="22"/>
                <w:lang w:val="fr-FR"/>
              </w:rPr>
              <w:t>][</w:t>
            </w:r>
            <w:r w:rsidR="009E16C3" w:rsidRPr="009E16C3">
              <w:rPr>
                <w:rFonts w:eastAsia="MS Mincho"/>
                <w:kern w:val="22"/>
                <w:szCs w:val="22"/>
                <w:lang w:val="fr-CA"/>
              </w:rPr>
              <w:t>offrent</w:t>
            </w:r>
            <w:r w:rsidR="00B80DA8">
              <w:rPr>
                <w:rFonts w:eastAsia="MS Mincho"/>
                <w:kern w:val="22"/>
                <w:szCs w:val="22"/>
                <w:lang w:val="fr-CA"/>
              </w:rPr>
              <w:t>]</w:t>
            </w:r>
            <w:r w:rsidR="009E16C3" w:rsidRPr="009E16C3">
              <w:rPr>
                <w:rFonts w:eastAsia="MS Mincho"/>
                <w:kern w:val="22"/>
                <w:szCs w:val="22"/>
                <w:lang w:val="fr-CA"/>
              </w:rPr>
              <w:t xml:space="preserve"> un soutien technique, financier ou autre pour les activités de renforcement des capacités</w:t>
            </w:r>
            <w:r w:rsidRPr="009E16C3">
              <w:rPr>
                <w:rFonts w:eastAsia="MS Mincho"/>
                <w:kern w:val="22"/>
                <w:szCs w:val="22"/>
                <w:lang w:val="fr-CA"/>
              </w:rPr>
              <w:t>;</w:t>
            </w:r>
          </w:p>
          <w:p w14:paraId="611A2EF4" w14:textId="316C8AAA" w:rsidR="00CD3639" w:rsidRPr="009E16C3" w:rsidRDefault="00CD3639" w:rsidP="00CD3639">
            <w:pPr>
              <w:suppressLineNumbers/>
              <w:suppressAutoHyphens/>
              <w:spacing w:before="60" w:after="60"/>
              <w:jc w:val="left"/>
              <w:rPr>
                <w:rFonts w:eastAsia="MS Mincho"/>
                <w:kern w:val="22"/>
                <w:szCs w:val="22"/>
                <w:lang w:val="fr-CA"/>
              </w:rPr>
            </w:pPr>
            <w:r w:rsidRPr="009E16C3">
              <w:rPr>
                <w:rFonts w:eastAsia="MS Mincho"/>
                <w:kern w:val="22"/>
                <w:szCs w:val="22"/>
                <w:lang w:val="fr-CA"/>
              </w:rPr>
              <w:t xml:space="preserve">c) </w:t>
            </w:r>
            <w:r w:rsidR="00FE3A58">
              <w:rPr>
                <w:rFonts w:eastAsia="MS Mincho"/>
                <w:kern w:val="22"/>
                <w:szCs w:val="22"/>
                <w:lang w:val="fr-CA"/>
              </w:rPr>
              <w:t>Pourcentage de Parties</w:t>
            </w:r>
            <w:r w:rsidR="00BD77E6">
              <w:rPr>
                <w:rFonts w:eastAsia="MS Mincho"/>
                <w:kern w:val="22"/>
                <w:szCs w:val="22"/>
                <w:lang w:val="fr-CA"/>
              </w:rPr>
              <w:t xml:space="preserve"> ayant élabor</w:t>
            </w:r>
            <w:r w:rsidR="009E16C3" w:rsidRPr="009E16C3">
              <w:rPr>
                <w:rFonts w:eastAsia="MS Mincho"/>
                <w:kern w:val="22"/>
                <w:szCs w:val="22"/>
                <w:lang w:val="fr-CA"/>
              </w:rPr>
              <w:t>é et diffus</w:t>
            </w:r>
            <w:r w:rsidR="009E16C3">
              <w:rPr>
                <w:rFonts w:eastAsia="MS Mincho"/>
                <w:kern w:val="22"/>
                <w:szCs w:val="22"/>
                <w:lang w:val="fr-CA"/>
              </w:rPr>
              <w:t>é</w:t>
            </w:r>
            <w:r w:rsidR="009E16C3" w:rsidRPr="009E16C3">
              <w:rPr>
                <w:rFonts w:eastAsia="MS Mincho"/>
                <w:kern w:val="22"/>
                <w:szCs w:val="22"/>
                <w:lang w:val="fr-CA"/>
              </w:rPr>
              <w:t xml:space="preserve"> du </w:t>
            </w:r>
            <w:r w:rsidR="009E16C3">
              <w:rPr>
                <w:rFonts w:eastAsia="MS Mincho"/>
                <w:kern w:val="22"/>
                <w:szCs w:val="22"/>
                <w:lang w:val="fr-CA"/>
              </w:rPr>
              <w:t>maté</w:t>
            </w:r>
            <w:r w:rsidR="009E16C3" w:rsidRPr="009E16C3">
              <w:rPr>
                <w:rFonts w:eastAsia="MS Mincho"/>
                <w:kern w:val="22"/>
                <w:szCs w:val="22"/>
                <w:lang w:val="fr-CA"/>
              </w:rPr>
              <w:t>riel de renforcement des cap</w:t>
            </w:r>
            <w:r w:rsidR="009E16C3">
              <w:rPr>
                <w:rFonts w:eastAsia="MS Mincho"/>
                <w:kern w:val="22"/>
                <w:szCs w:val="22"/>
                <w:lang w:val="fr-CA"/>
              </w:rPr>
              <w:t>acités et des résultats d’activités, notamment dans les langues locales</w:t>
            </w:r>
            <w:r w:rsidRPr="009E16C3">
              <w:rPr>
                <w:rFonts w:eastAsia="MS Mincho"/>
                <w:kern w:val="22"/>
                <w:szCs w:val="22"/>
                <w:lang w:val="fr-CA"/>
              </w:rPr>
              <w:t>;</w:t>
            </w:r>
          </w:p>
          <w:p w14:paraId="44882D84" w14:textId="24DF9531" w:rsidR="00CD3639" w:rsidRPr="009E16C3" w:rsidRDefault="00CD3639" w:rsidP="009E16C3">
            <w:pPr>
              <w:suppressLineNumbers/>
              <w:suppressAutoHyphens/>
              <w:spacing w:before="60" w:after="60"/>
              <w:jc w:val="left"/>
              <w:rPr>
                <w:rFonts w:eastAsia="MS Mincho"/>
                <w:kern w:val="22"/>
                <w:szCs w:val="22"/>
                <w:lang w:val="fr-CA"/>
              </w:rPr>
            </w:pPr>
            <w:r w:rsidRPr="009E16C3">
              <w:rPr>
                <w:rFonts w:eastAsia="MS Mincho"/>
                <w:szCs w:val="22"/>
                <w:lang w:val="fr-CA"/>
              </w:rPr>
              <w:t xml:space="preserve">d) </w:t>
            </w:r>
            <w:r w:rsidR="00FE3A58">
              <w:rPr>
                <w:rFonts w:eastAsia="MS Mincho"/>
                <w:szCs w:val="22"/>
                <w:lang w:val="fr-CA"/>
              </w:rPr>
              <w:t>Pourcentage de Parties</w:t>
            </w:r>
            <w:r w:rsidR="009E16C3" w:rsidRPr="009E16C3">
              <w:rPr>
                <w:rFonts w:eastAsia="MS Mincho"/>
                <w:szCs w:val="22"/>
                <w:lang w:val="fr-CA"/>
              </w:rPr>
              <w:t xml:space="preserve"> ayant établi des liens de part</w:t>
            </w:r>
            <w:r w:rsidR="003E4A0A">
              <w:rPr>
                <w:rFonts w:eastAsia="MS Mincho"/>
                <w:szCs w:val="22"/>
                <w:lang w:val="fr-CA"/>
              </w:rPr>
              <w:t>enariat nationaux, bilatéraux, r</w:t>
            </w:r>
            <w:r w:rsidR="009E16C3" w:rsidRPr="009E16C3">
              <w:rPr>
                <w:rFonts w:eastAsia="MS Mincho"/>
                <w:szCs w:val="22"/>
                <w:lang w:val="fr-CA"/>
              </w:rPr>
              <w:t>égionaux et multilatéraux avec des partenaires de secteurs pertinents et des parties prenantes pertinentes dans l’exécution des activités de renforcement des capacités</w:t>
            </w:r>
            <w:r w:rsidR="002A55F4">
              <w:rPr>
                <w:rFonts w:eastAsia="MS Mincho"/>
                <w:szCs w:val="22"/>
                <w:lang w:val="fr-CA"/>
              </w:rPr>
              <w:t>.</w:t>
            </w:r>
          </w:p>
        </w:tc>
        <w:tc>
          <w:tcPr>
            <w:tcW w:w="1890" w:type="dxa"/>
            <w:tcBorders>
              <w:top w:val="single" w:sz="2" w:space="0" w:color="auto"/>
            </w:tcBorders>
          </w:tcPr>
          <w:p w14:paraId="2B7733D1" w14:textId="3039DBDE" w:rsidR="00CD3639" w:rsidRDefault="00CD3639" w:rsidP="00CD3639">
            <w:pPr>
              <w:suppressLineNumbers/>
              <w:suppressAutoHyphens/>
              <w:spacing w:before="60" w:after="60"/>
              <w:jc w:val="left"/>
              <w:rPr>
                <w:kern w:val="22"/>
                <w:szCs w:val="22"/>
                <w:lang w:val="fr-CA"/>
              </w:rPr>
            </w:pPr>
            <w:r w:rsidRPr="00C462BE">
              <w:rPr>
                <w:kern w:val="22"/>
                <w:szCs w:val="22"/>
                <w:lang w:val="fr-CA"/>
              </w:rPr>
              <w:t>Les Parties ont les capacité</w:t>
            </w:r>
            <w:r w:rsidR="00BD77E6">
              <w:rPr>
                <w:kern w:val="22"/>
                <w:szCs w:val="22"/>
                <w:lang w:val="fr-CA"/>
              </w:rPr>
              <w:t>s nécessaires à l’application</w:t>
            </w:r>
            <w:r w:rsidRPr="00C462BE">
              <w:rPr>
                <w:kern w:val="22"/>
                <w:szCs w:val="22"/>
                <w:lang w:val="fr-CA"/>
              </w:rPr>
              <w:t xml:space="preserve"> du Protocole</w:t>
            </w:r>
            <w:r w:rsidR="000543BC">
              <w:rPr>
                <w:kern w:val="22"/>
                <w:szCs w:val="22"/>
                <w:lang w:val="fr-CA"/>
              </w:rPr>
              <w:t>;</w:t>
            </w:r>
          </w:p>
          <w:p w14:paraId="4D757949" w14:textId="65261F7D" w:rsidR="0052325C" w:rsidRPr="00C462BE" w:rsidRDefault="0052325C" w:rsidP="0052325C">
            <w:pPr>
              <w:suppressLineNumbers/>
              <w:suppressAutoHyphens/>
              <w:spacing w:before="60" w:after="60"/>
              <w:jc w:val="left"/>
              <w:rPr>
                <w:rFonts w:eastAsia="MS Mincho"/>
                <w:kern w:val="22"/>
                <w:szCs w:val="22"/>
                <w:lang w:val="fr-CA"/>
              </w:rPr>
            </w:pPr>
            <w:r>
              <w:rPr>
                <w:kern w:val="22"/>
                <w:szCs w:val="22"/>
                <w:lang w:val="fr-CA"/>
              </w:rPr>
              <w:t xml:space="preserve">[Les Parties ont la capacité d’identifier leurs besoins de renforcement des capacités et de reconnaître et mettre en place les mesures nécessaires pour y </w:t>
            </w:r>
            <w:r w:rsidR="00704587">
              <w:rPr>
                <w:kern w:val="22"/>
                <w:szCs w:val="22"/>
                <w:lang w:val="fr-CA"/>
              </w:rPr>
              <w:t>répondre [</w:t>
            </w:r>
            <w:r>
              <w:rPr>
                <w:kern w:val="22"/>
                <w:szCs w:val="22"/>
                <w:lang w:val="fr-CA"/>
              </w:rPr>
              <w:t xml:space="preserve">, conformément aux </w:t>
            </w:r>
            <w:r w:rsidR="009365C2">
              <w:rPr>
                <w:kern w:val="22"/>
                <w:szCs w:val="22"/>
                <w:lang w:val="fr-CA"/>
              </w:rPr>
              <w:t>article</w:t>
            </w:r>
            <w:r>
              <w:rPr>
                <w:kern w:val="22"/>
                <w:szCs w:val="22"/>
                <w:lang w:val="fr-CA"/>
              </w:rPr>
              <w:t>s 22 et 28 du Protocole].]</w:t>
            </w:r>
          </w:p>
        </w:tc>
        <w:tc>
          <w:tcPr>
            <w:tcW w:w="1710" w:type="dxa"/>
            <w:tcBorders>
              <w:top w:val="single" w:sz="2" w:space="0" w:color="auto"/>
            </w:tcBorders>
          </w:tcPr>
          <w:p w14:paraId="28FE09B4" w14:textId="23BFAC1B" w:rsidR="0052325C" w:rsidRDefault="00CD3639" w:rsidP="00CD3639">
            <w:pPr>
              <w:suppressLineNumbers/>
              <w:suppressAutoHyphens/>
              <w:spacing w:before="60" w:after="60"/>
              <w:jc w:val="left"/>
              <w:rPr>
                <w:rFonts w:eastAsia="MS Mincho"/>
                <w:szCs w:val="22"/>
                <w:lang w:val="fr-CA"/>
              </w:rPr>
            </w:pPr>
            <w:r w:rsidRPr="00C462BE">
              <w:rPr>
                <w:rFonts w:eastAsia="MS Mincho"/>
                <w:szCs w:val="22"/>
                <w:lang w:val="fr-CA"/>
              </w:rPr>
              <w:t>[</w:t>
            </w:r>
            <w:r w:rsidR="0052325C">
              <w:rPr>
                <w:rFonts w:eastAsia="MS Mincho"/>
                <w:szCs w:val="22"/>
                <w:lang w:val="fr-CA"/>
              </w:rPr>
              <w:t>Autorités nationales, milieu universitaire / personnel des autorités nationales</w:t>
            </w:r>
          </w:p>
          <w:p w14:paraId="509B336A" w14:textId="77777777" w:rsidR="0052325C" w:rsidRDefault="0052325C" w:rsidP="00CD3639">
            <w:pPr>
              <w:suppressLineNumbers/>
              <w:suppressAutoHyphens/>
              <w:spacing w:before="60" w:after="60"/>
              <w:jc w:val="left"/>
              <w:rPr>
                <w:rFonts w:eastAsia="MS Mincho"/>
                <w:szCs w:val="22"/>
                <w:lang w:val="fr-CA"/>
              </w:rPr>
            </w:pPr>
            <w:r>
              <w:rPr>
                <w:rFonts w:eastAsia="MS Mincho"/>
                <w:szCs w:val="22"/>
                <w:lang w:val="fr-CA"/>
              </w:rPr>
              <w:t>Secrétariat de la CDB</w:t>
            </w:r>
          </w:p>
          <w:p w14:paraId="6C179166" w14:textId="77777777" w:rsidR="0052325C" w:rsidRDefault="0052325C" w:rsidP="00CD3639">
            <w:pPr>
              <w:suppressLineNumbers/>
              <w:suppressAutoHyphens/>
              <w:spacing w:before="60" w:after="60"/>
              <w:jc w:val="left"/>
              <w:rPr>
                <w:rFonts w:eastAsia="MS Mincho"/>
                <w:szCs w:val="22"/>
                <w:lang w:val="fr-CA"/>
              </w:rPr>
            </w:pPr>
            <w:r>
              <w:rPr>
                <w:rFonts w:eastAsia="MS Mincho"/>
                <w:szCs w:val="22"/>
                <w:lang w:val="fr-CA"/>
              </w:rPr>
              <w:t>FEM, autres organisations internationales de financement</w:t>
            </w:r>
          </w:p>
          <w:p w14:paraId="0383BF23" w14:textId="1959C3F7" w:rsidR="00CD3639" w:rsidRPr="00C462BE" w:rsidRDefault="0052325C" w:rsidP="00CD3639">
            <w:pPr>
              <w:suppressLineNumbers/>
              <w:suppressAutoHyphens/>
              <w:spacing w:before="60" w:after="60"/>
              <w:jc w:val="left"/>
              <w:rPr>
                <w:rFonts w:eastAsia="MS Mincho"/>
                <w:kern w:val="22"/>
                <w:szCs w:val="22"/>
                <w:lang w:val="fr-CA"/>
              </w:rPr>
            </w:pPr>
            <w:r>
              <w:rPr>
                <w:rFonts w:eastAsia="MS Mincho"/>
                <w:szCs w:val="22"/>
                <w:lang w:val="fr-CA"/>
              </w:rPr>
              <w:t>Le Fonds vert</w:t>
            </w:r>
            <w:r w:rsidR="00CD3639" w:rsidRPr="00C462BE">
              <w:rPr>
                <w:rFonts w:eastAsia="MS Mincho"/>
                <w:szCs w:val="22"/>
                <w:lang w:val="fr-CA"/>
              </w:rPr>
              <w:t>]</w:t>
            </w:r>
          </w:p>
        </w:tc>
      </w:tr>
      <w:tr w:rsidR="00CD3639" w:rsidRPr="00301569" w14:paraId="2A95BF32" w14:textId="77777777" w:rsidTr="00CE74B9">
        <w:trPr>
          <w:jc w:val="center"/>
        </w:trPr>
        <w:tc>
          <w:tcPr>
            <w:tcW w:w="1705" w:type="dxa"/>
            <w:tcBorders>
              <w:top w:val="single" w:sz="4" w:space="0" w:color="auto"/>
              <w:left w:val="single" w:sz="4" w:space="0" w:color="auto"/>
              <w:bottom w:val="single" w:sz="4" w:space="0" w:color="auto"/>
              <w:right w:val="single" w:sz="4" w:space="0" w:color="auto"/>
            </w:tcBorders>
          </w:tcPr>
          <w:p w14:paraId="21F62A9B" w14:textId="4F4E4418" w:rsidR="00CD3639" w:rsidRPr="00C462BE" w:rsidRDefault="00CD3639" w:rsidP="00CD3639">
            <w:pPr>
              <w:suppressLineNumbers/>
              <w:suppressAutoHyphens/>
              <w:spacing w:before="60" w:after="60"/>
              <w:jc w:val="left"/>
              <w:rPr>
                <w:szCs w:val="22"/>
                <w:lang w:val="fr-CA"/>
              </w:rPr>
            </w:pPr>
            <w:r w:rsidRPr="00C462BE">
              <w:rPr>
                <w:b/>
                <w:bCs/>
                <w:kern w:val="22"/>
                <w:szCs w:val="22"/>
                <w:lang w:val="fr-CA"/>
              </w:rPr>
              <w:t xml:space="preserve">B.2. Les Parties ont mobilisé des ressources adéquates </w:t>
            </w:r>
            <w:r w:rsidR="00A45C92">
              <w:rPr>
                <w:b/>
                <w:bCs/>
                <w:kern w:val="22"/>
                <w:szCs w:val="22"/>
                <w:lang w:val="fr-CA"/>
              </w:rPr>
              <w:t>[</w:t>
            </w:r>
            <w:r w:rsidR="003A5581">
              <w:rPr>
                <w:b/>
                <w:bCs/>
                <w:kern w:val="22"/>
                <w:szCs w:val="22"/>
                <w:lang w:val="fr-CA"/>
              </w:rPr>
              <w:t>de toutes les sources</w:t>
            </w:r>
            <w:r w:rsidR="00A45C92">
              <w:rPr>
                <w:b/>
                <w:bCs/>
                <w:kern w:val="22"/>
                <w:szCs w:val="22"/>
                <w:lang w:val="fr-CA"/>
              </w:rPr>
              <w:t>]</w:t>
            </w:r>
            <w:r w:rsidR="003A5581">
              <w:rPr>
                <w:b/>
                <w:bCs/>
                <w:kern w:val="22"/>
                <w:szCs w:val="22"/>
                <w:lang w:val="fr-CA"/>
              </w:rPr>
              <w:t xml:space="preserve"> </w:t>
            </w:r>
            <w:r w:rsidR="00BD77E6">
              <w:rPr>
                <w:b/>
                <w:bCs/>
                <w:kern w:val="22"/>
                <w:szCs w:val="22"/>
                <w:lang w:val="fr-CA"/>
              </w:rPr>
              <w:t>pour appuyer l’application</w:t>
            </w:r>
            <w:r w:rsidRPr="00C462BE">
              <w:rPr>
                <w:b/>
                <w:bCs/>
                <w:kern w:val="22"/>
                <w:szCs w:val="22"/>
                <w:lang w:val="fr-CA"/>
              </w:rPr>
              <w:t xml:space="preserve"> du Protocole</w:t>
            </w:r>
            <w:r w:rsidR="003A5581">
              <w:rPr>
                <w:b/>
                <w:bCs/>
                <w:kern w:val="22"/>
                <w:szCs w:val="22"/>
                <w:lang w:val="fr-CA"/>
              </w:rPr>
              <w:t xml:space="preserve"> [conformément à l’</w:t>
            </w:r>
            <w:r w:rsidR="009365C2">
              <w:rPr>
                <w:b/>
                <w:bCs/>
                <w:kern w:val="22"/>
                <w:szCs w:val="22"/>
                <w:lang w:val="fr-CA"/>
              </w:rPr>
              <w:t>article</w:t>
            </w:r>
            <w:r w:rsidR="003A5581">
              <w:rPr>
                <w:b/>
                <w:bCs/>
                <w:kern w:val="22"/>
                <w:szCs w:val="22"/>
                <w:lang w:val="fr-CA"/>
              </w:rPr>
              <w:t xml:space="preserve"> 28 du Protocole]</w:t>
            </w:r>
            <w:r w:rsidRPr="00C462BE">
              <w:rPr>
                <w:b/>
                <w:bCs/>
                <w:kern w:val="22"/>
                <w:szCs w:val="22"/>
                <w:lang w:val="fr-CA"/>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9F501F" w14:textId="49BC6086" w:rsidR="00CD3639" w:rsidRPr="00C462BE" w:rsidRDefault="00CD3639" w:rsidP="00CD3639">
            <w:pPr>
              <w:spacing w:before="60" w:after="60"/>
              <w:jc w:val="left"/>
              <w:rPr>
                <w:rFonts w:eastAsia="MS Mincho"/>
                <w:kern w:val="22"/>
                <w:szCs w:val="22"/>
                <w:lang w:val="fr-CA"/>
              </w:rPr>
            </w:pPr>
            <w:r w:rsidRPr="00C462BE">
              <w:rPr>
                <w:kern w:val="22"/>
                <w:szCs w:val="22"/>
                <w:lang w:val="fr-CA"/>
              </w:rPr>
              <w:t>1) Mise en place d’un mécanisme national d’allocation budgétaire pour la prévention des risques biotechnologiques</w:t>
            </w:r>
            <w:r w:rsidR="000543BC">
              <w:rPr>
                <w:kern w:val="22"/>
                <w:szCs w:val="22"/>
                <w:lang w:val="fr-CA"/>
              </w:rPr>
              <w:t>;</w:t>
            </w:r>
          </w:p>
          <w:p w14:paraId="71D1A953" w14:textId="73437E31" w:rsidR="00CD3639" w:rsidRPr="00C462BE" w:rsidRDefault="00CD3639" w:rsidP="00CD3639">
            <w:pPr>
              <w:jc w:val="left"/>
              <w:rPr>
                <w:rFonts w:eastAsia="MS Mincho"/>
                <w:kern w:val="22"/>
                <w:szCs w:val="22"/>
                <w:lang w:val="fr-CA"/>
              </w:rPr>
            </w:pPr>
            <w:r w:rsidRPr="00C462BE">
              <w:rPr>
                <w:kern w:val="22"/>
                <w:szCs w:val="22"/>
                <w:lang w:val="fr-CA"/>
              </w:rPr>
              <w:t>2) Coordination avec les autorités, les organismes de financement et les donateurs au niveau national</w:t>
            </w:r>
            <w:r w:rsidR="000543BC">
              <w:rPr>
                <w:kern w:val="22"/>
                <w:szCs w:val="22"/>
                <w:lang w:val="fr-CA"/>
              </w:rPr>
              <w:t>;</w:t>
            </w:r>
          </w:p>
          <w:p w14:paraId="0216DCAB" w14:textId="5190246A" w:rsidR="00CD3639" w:rsidRPr="00C462BE" w:rsidRDefault="003A5581" w:rsidP="00A45C92">
            <w:pPr>
              <w:suppressLineNumbers/>
              <w:suppressAutoHyphens/>
              <w:spacing w:before="60" w:after="60"/>
              <w:jc w:val="left"/>
              <w:rPr>
                <w:kern w:val="22"/>
                <w:szCs w:val="22"/>
                <w:lang w:val="fr-CA"/>
              </w:rPr>
            </w:pPr>
            <w:r>
              <w:rPr>
                <w:kern w:val="22"/>
                <w:szCs w:val="22"/>
                <w:lang w:val="fr-CA"/>
              </w:rPr>
              <w:t xml:space="preserve">3) Accès à des ressources supplémentaires </w:t>
            </w:r>
            <w:r w:rsidR="00A45C92">
              <w:rPr>
                <w:kern w:val="22"/>
                <w:szCs w:val="22"/>
                <w:lang w:val="fr-CA"/>
              </w:rPr>
              <w:t>dans le cadre d’une</w:t>
            </w:r>
            <w:r>
              <w:rPr>
                <w:kern w:val="22"/>
                <w:szCs w:val="22"/>
                <w:lang w:val="fr-CA"/>
              </w:rPr>
              <w:t xml:space="preserve"> c</w:t>
            </w:r>
            <w:r w:rsidR="00CD3639" w:rsidRPr="00C462BE">
              <w:rPr>
                <w:kern w:val="22"/>
                <w:szCs w:val="22"/>
                <w:lang w:val="fr-CA"/>
              </w:rPr>
              <w:t>oopération avec d’autres Parties et donateurs</w:t>
            </w:r>
            <w:r>
              <w:rPr>
                <w:kern w:val="22"/>
                <w:szCs w:val="22"/>
                <w:lang w:val="fr-CA"/>
              </w:rPr>
              <w:t>, y compris le secteur privé, et par le biais d’autres programmes de coopération internationale</w:t>
            </w:r>
            <w:r w:rsidR="00CD3639" w:rsidRPr="00C462BE">
              <w:rPr>
                <w:kern w:val="22"/>
                <w:szCs w:val="22"/>
                <w:lang w:val="fr-CA"/>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5069D5" w14:textId="475153F5" w:rsidR="00CD3639" w:rsidRPr="00C462BE" w:rsidRDefault="00CD3639" w:rsidP="00CD3639">
            <w:pPr>
              <w:spacing w:before="60" w:after="60"/>
              <w:jc w:val="left"/>
              <w:rPr>
                <w:rFonts w:eastAsia="MS Mincho"/>
                <w:kern w:val="22"/>
                <w:szCs w:val="22"/>
                <w:lang w:val="fr-CA"/>
              </w:rPr>
            </w:pPr>
            <w:r w:rsidRPr="00C462BE">
              <w:rPr>
                <w:kern w:val="22"/>
                <w:szCs w:val="22"/>
                <w:lang w:val="fr-CA"/>
              </w:rPr>
              <w:t xml:space="preserve">i) </w:t>
            </w:r>
            <w:r w:rsidR="002A55F4">
              <w:rPr>
                <w:kern w:val="22"/>
                <w:szCs w:val="22"/>
                <w:lang w:val="fr-CA"/>
              </w:rPr>
              <w:t>[Mettre au point</w:t>
            </w:r>
            <w:r w:rsidR="003A5581">
              <w:rPr>
                <w:kern w:val="22"/>
                <w:szCs w:val="22"/>
                <w:lang w:val="fr-CA"/>
              </w:rPr>
              <w:t xml:space="preserve"> des mécanismes pour </w:t>
            </w:r>
            <w:r w:rsidR="00F16392">
              <w:rPr>
                <w:kern w:val="22"/>
                <w:szCs w:val="22"/>
                <w:lang w:val="fr-CA"/>
              </w:rPr>
              <w:t>mobiliser][</w:t>
            </w:r>
            <w:r w:rsidRPr="00C462BE">
              <w:rPr>
                <w:kern w:val="22"/>
                <w:szCs w:val="22"/>
                <w:lang w:val="fr-CA"/>
              </w:rPr>
              <w:t>Sensibiliser au niveau national à la nécessité de</w:t>
            </w:r>
            <w:r w:rsidR="00F16392">
              <w:rPr>
                <w:kern w:val="22"/>
                <w:szCs w:val="22"/>
                <w:lang w:val="fr-CA"/>
              </w:rPr>
              <w:t>]</w:t>
            </w:r>
            <w:r w:rsidRPr="00C462BE">
              <w:rPr>
                <w:kern w:val="22"/>
                <w:szCs w:val="22"/>
                <w:lang w:val="fr-CA"/>
              </w:rPr>
              <w:t xml:space="preserve"> disposer de ressources adéquates provenant de budgets nationaux pour mener à bien les activités</w:t>
            </w:r>
            <w:r w:rsidR="00BD77E6">
              <w:rPr>
                <w:kern w:val="22"/>
                <w:szCs w:val="22"/>
                <w:lang w:val="fr-CA"/>
              </w:rPr>
              <w:t xml:space="preserve"> nécessaires à l’application </w:t>
            </w:r>
            <w:r w:rsidRPr="00C462BE">
              <w:rPr>
                <w:kern w:val="22"/>
                <w:szCs w:val="22"/>
                <w:lang w:val="fr-CA"/>
              </w:rPr>
              <w:t>du Protocole</w:t>
            </w:r>
            <w:r w:rsidR="000543BC">
              <w:rPr>
                <w:kern w:val="22"/>
                <w:szCs w:val="22"/>
                <w:lang w:val="fr-CA"/>
              </w:rPr>
              <w:t>;</w:t>
            </w:r>
          </w:p>
          <w:p w14:paraId="78F8C3B4" w14:textId="269732AF" w:rsidR="00CD3639" w:rsidRPr="00C462BE" w:rsidRDefault="00CD3639" w:rsidP="00CD3639">
            <w:pPr>
              <w:jc w:val="left"/>
              <w:rPr>
                <w:rFonts w:eastAsia="MS Mincho"/>
                <w:kern w:val="22"/>
                <w:szCs w:val="22"/>
                <w:lang w:val="fr-CA"/>
              </w:rPr>
            </w:pPr>
            <w:r w:rsidRPr="00C462BE">
              <w:rPr>
                <w:kern w:val="22"/>
                <w:szCs w:val="22"/>
                <w:lang w:val="fr-CA"/>
              </w:rPr>
              <w:t xml:space="preserve">ii) </w:t>
            </w:r>
            <w:r w:rsidR="00F16392">
              <w:rPr>
                <w:kern w:val="22"/>
                <w:szCs w:val="22"/>
                <w:lang w:val="fr-CA"/>
              </w:rPr>
              <w:t>Mettre sur pied/</w:t>
            </w:r>
            <w:r w:rsidRPr="00C462BE">
              <w:rPr>
                <w:kern w:val="22"/>
                <w:szCs w:val="22"/>
                <w:lang w:val="fr-CA"/>
              </w:rPr>
              <w:t>renforcer la coordination au niveau national entre les autorités compétentes, les organismes de financement et les autres donateurs</w:t>
            </w:r>
            <w:r w:rsidR="000543BC">
              <w:rPr>
                <w:kern w:val="22"/>
                <w:szCs w:val="22"/>
                <w:lang w:val="fr-CA"/>
              </w:rPr>
              <w:t>;</w:t>
            </w:r>
          </w:p>
          <w:p w14:paraId="5EDE4829" w14:textId="2A3AB7B0" w:rsidR="00CD3639" w:rsidRPr="00C462BE" w:rsidRDefault="00CD3639" w:rsidP="00F16392">
            <w:pPr>
              <w:suppressLineNumbers/>
              <w:suppressAutoHyphens/>
              <w:spacing w:before="60" w:after="60"/>
              <w:jc w:val="left"/>
              <w:rPr>
                <w:rFonts w:eastAsia="MS Mincho"/>
                <w:kern w:val="22"/>
                <w:szCs w:val="22"/>
                <w:lang w:val="fr-CA"/>
              </w:rPr>
            </w:pPr>
            <w:r w:rsidRPr="00C462BE">
              <w:rPr>
                <w:kern w:val="22"/>
                <w:szCs w:val="22"/>
                <w:lang w:val="fr-CA"/>
              </w:rPr>
              <w:t xml:space="preserve">iii) </w:t>
            </w:r>
            <w:r w:rsidR="00F16392">
              <w:rPr>
                <w:kern w:val="22"/>
                <w:szCs w:val="22"/>
                <w:lang w:val="fr-CA"/>
              </w:rPr>
              <w:t xml:space="preserve">Mettre sur </w:t>
            </w:r>
            <w:r w:rsidR="00704587">
              <w:rPr>
                <w:kern w:val="22"/>
                <w:szCs w:val="22"/>
                <w:lang w:val="fr-CA"/>
              </w:rPr>
              <w:t>pied</w:t>
            </w:r>
            <w:r w:rsidR="00704587" w:rsidRPr="00B80DA8">
              <w:rPr>
                <w:kern w:val="22"/>
                <w:szCs w:val="22"/>
                <w:lang w:val="fr-FR"/>
              </w:rPr>
              <w:t xml:space="preserve"> [</w:t>
            </w:r>
            <w:r w:rsidR="00F16392">
              <w:rPr>
                <w:kern w:val="22"/>
                <w:szCs w:val="22"/>
                <w:lang w:val="fr-CA"/>
              </w:rPr>
              <w:t>/</w:t>
            </w:r>
            <w:r w:rsidRPr="00C462BE">
              <w:rPr>
                <w:kern w:val="22"/>
                <w:szCs w:val="22"/>
                <w:lang w:val="fr-CA"/>
              </w:rPr>
              <w:t>renforcer</w:t>
            </w:r>
            <w:r w:rsidR="00B80DA8">
              <w:rPr>
                <w:kern w:val="22"/>
                <w:szCs w:val="22"/>
                <w:lang w:val="fr-CA"/>
              </w:rPr>
              <w:t>]</w:t>
            </w:r>
            <w:r w:rsidRPr="00C462BE">
              <w:rPr>
                <w:kern w:val="22"/>
                <w:szCs w:val="22"/>
                <w:lang w:val="fr-CA"/>
              </w:rPr>
              <w:t xml:space="preserve"> la coopération entre les Parties donatrices</w:t>
            </w:r>
            <w:r w:rsidR="00F16392">
              <w:rPr>
                <w:kern w:val="22"/>
                <w:szCs w:val="22"/>
                <w:lang w:val="fr-CA"/>
              </w:rPr>
              <w:t xml:space="preserve"> et autres donateurs</w:t>
            </w:r>
            <w:r w:rsidRPr="00C462BE">
              <w:rPr>
                <w:kern w:val="22"/>
                <w:szCs w:val="22"/>
                <w:lang w:val="fr-CA"/>
              </w:rPr>
              <w:t>, les Parties qui sont des pays en développement</w:t>
            </w:r>
            <w:r w:rsidR="00F16392">
              <w:rPr>
                <w:kern w:val="22"/>
                <w:szCs w:val="22"/>
                <w:lang w:val="fr-CA"/>
              </w:rPr>
              <w:t xml:space="preserve"> et</w:t>
            </w:r>
            <w:r w:rsidRPr="00C462BE">
              <w:rPr>
                <w:kern w:val="22"/>
                <w:szCs w:val="22"/>
                <w:lang w:val="fr-CA"/>
              </w:rPr>
              <w:t xml:space="preserve"> les Parties à économie en transition afin d’assurer la pleine mise en œuvre du Protocole.</w:t>
            </w:r>
          </w:p>
        </w:tc>
        <w:tc>
          <w:tcPr>
            <w:tcW w:w="2790" w:type="dxa"/>
            <w:tcBorders>
              <w:top w:val="single" w:sz="4" w:space="0" w:color="auto"/>
              <w:left w:val="single" w:sz="4" w:space="0" w:color="auto"/>
              <w:bottom w:val="single" w:sz="4" w:space="0" w:color="auto"/>
              <w:right w:val="single" w:sz="4" w:space="0" w:color="auto"/>
            </w:tcBorders>
          </w:tcPr>
          <w:p w14:paraId="108336D9" w14:textId="79973F18" w:rsidR="00CD3639" w:rsidRPr="00C462BE" w:rsidRDefault="00CD3639" w:rsidP="00CD3639">
            <w:pPr>
              <w:suppressLineNumbers/>
              <w:suppressAutoHyphens/>
              <w:spacing w:before="60" w:after="60"/>
              <w:jc w:val="left"/>
              <w:rPr>
                <w:rFonts w:eastAsia="MS Mincho"/>
                <w:kern w:val="22"/>
                <w:szCs w:val="22"/>
                <w:lang w:val="fr-CA"/>
              </w:rPr>
            </w:pPr>
            <w:r w:rsidRPr="00C462BE">
              <w:rPr>
                <w:rFonts w:eastAsia="MS Mincho"/>
                <w:szCs w:val="22"/>
                <w:lang w:val="fr-CA"/>
              </w:rPr>
              <w:t xml:space="preserve">a) </w:t>
            </w:r>
            <w:r w:rsidR="00FE3A58">
              <w:rPr>
                <w:rFonts w:eastAsia="MS Mincho"/>
                <w:szCs w:val="22"/>
                <w:lang w:val="fr-CA"/>
              </w:rPr>
              <w:t>Pourcentage de Parties</w:t>
            </w:r>
            <w:r w:rsidR="003E4A0A">
              <w:rPr>
                <w:rFonts w:eastAsia="MS Mincho"/>
                <w:szCs w:val="22"/>
                <w:lang w:val="fr-CA"/>
              </w:rPr>
              <w:t xml:space="preserve"> ayant </w:t>
            </w:r>
            <w:r w:rsidR="00B80DA8">
              <w:rPr>
                <w:rFonts w:eastAsia="MS Mincho"/>
                <w:szCs w:val="22"/>
                <w:lang w:val="fr-CA"/>
              </w:rPr>
              <w:t xml:space="preserve">alloué des ressources </w:t>
            </w:r>
            <w:r w:rsidR="003E4A0A">
              <w:rPr>
                <w:rFonts w:eastAsia="MS Mincho"/>
                <w:szCs w:val="22"/>
                <w:lang w:val="fr-CA"/>
              </w:rPr>
              <w:t xml:space="preserve">de leur budget national à la réalisation des activités nécessaires </w:t>
            </w:r>
            <w:r w:rsidR="00BD77E6">
              <w:rPr>
                <w:rFonts w:eastAsia="MS Mincho"/>
                <w:szCs w:val="22"/>
                <w:lang w:val="fr-CA"/>
              </w:rPr>
              <w:t>à l’application</w:t>
            </w:r>
            <w:r w:rsidR="003E4A0A">
              <w:rPr>
                <w:rFonts w:eastAsia="MS Mincho"/>
                <w:szCs w:val="22"/>
                <w:lang w:val="fr-CA"/>
              </w:rPr>
              <w:t xml:space="preserve"> du Protocole</w:t>
            </w:r>
          </w:p>
          <w:p w14:paraId="14DBD02B" w14:textId="27FF8194" w:rsidR="00CD3639" w:rsidRPr="003E4A0A" w:rsidRDefault="00CD3639" w:rsidP="00CD3639">
            <w:pPr>
              <w:suppressLineNumbers/>
              <w:suppressAutoHyphens/>
              <w:spacing w:before="60" w:after="60"/>
              <w:jc w:val="left"/>
              <w:rPr>
                <w:rFonts w:eastAsia="MS Mincho"/>
                <w:kern w:val="22"/>
                <w:szCs w:val="22"/>
                <w:lang w:val="fr-CA"/>
              </w:rPr>
            </w:pPr>
            <w:r w:rsidRPr="003E4A0A">
              <w:rPr>
                <w:rFonts w:eastAsia="MS Mincho"/>
                <w:kern w:val="22"/>
                <w:szCs w:val="22"/>
                <w:lang w:val="fr-CA"/>
              </w:rPr>
              <w:t xml:space="preserve">b) </w:t>
            </w:r>
            <w:r w:rsidR="00FE3A58">
              <w:rPr>
                <w:rFonts w:eastAsia="MS Mincho"/>
                <w:kern w:val="22"/>
                <w:szCs w:val="22"/>
                <w:lang w:val="fr-CA"/>
              </w:rPr>
              <w:t>Pourcentage de Parties</w:t>
            </w:r>
            <w:r w:rsidR="003E4A0A" w:rsidRPr="003E4A0A">
              <w:rPr>
                <w:rFonts w:eastAsia="MS Mincho"/>
                <w:kern w:val="22"/>
                <w:szCs w:val="22"/>
                <w:lang w:val="fr-CA"/>
              </w:rPr>
              <w:t xml:space="preserve"> ay</w:t>
            </w:r>
            <w:r w:rsidR="00B80DA8">
              <w:rPr>
                <w:rFonts w:eastAsia="MS Mincho"/>
                <w:kern w:val="22"/>
                <w:szCs w:val="22"/>
                <w:lang w:val="fr-CA"/>
              </w:rPr>
              <w:t>ant renforcé la coordination</w:t>
            </w:r>
            <w:r w:rsidR="003E4A0A" w:rsidRPr="003E4A0A">
              <w:rPr>
                <w:rFonts w:eastAsia="MS Mincho"/>
                <w:kern w:val="22"/>
                <w:szCs w:val="22"/>
                <w:lang w:val="fr-CA"/>
              </w:rPr>
              <w:t xml:space="preserve"> entre les autorités compétentes, les </w:t>
            </w:r>
            <w:r w:rsidR="003E4A0A">
              <w:rPr>
                <w:rFonts w:eastAsia="MS Mincho"/>
                <w:kern w:val="22"/>
                <w:szCs w:val="22"/>
                <w:lang w:val="fr-CA"/>
              </w:rPr>
              <w:t>agenc</w:t>
            </w:r>
            <w:r w:rsidR="003E4A0A" w:rsidRPr="003E4A0A">
              <w:rPr>
                <w:rFonts w:eastAsia="MS Mincho"/>
                <w:kern w:val="22"/>
                <w:szCs w:val="22"/>
                <w:lang w:val="fr-CA"/>
              </w:rPr>
              <w:t>es de financement et autres donateurs</w:t>
            </w:r>
            <w:r w:rsidRPr="003E4A0A">
              <w:rPr>
                <w:rFonts w:eastAsia="MS Mincho"/>
                <w:kern w:val="22"/>
                <w:szCs w:val="22"/>
                <w:lang w:val="fr-CA"/>
              </w:rPr>
              <w:t>;</w:t>
            </w:r>
          </w:p>
          <w:p w14:paraId="4FCDB0FA" w14:textId="0E8E6039" w:rsidR="00CD3639" w:rsidRDefault="00CD3639" w:rsidP="00CD3639">
            <w:pPr>
              <w:suppressLineNumbers/>
              <w:suppressAutoHyphens/>
              <w:spacing w:before="60" w:after="60"/>
              <w:jc w:val="left"/>
              <w:rPr>
                <w:rFonts w:eastAsia="MS Mincho"/>
                <w:szCs w:val="22"/>
                <w:lang w:val="fr-CA"/>
              </w:rPr>
            </w:pPr>
            <w:r w:rsidRPr="003E4A0A">
              <w:rPr>
                <w:rFonts w:eastAsia="MS Mincho"/>
                <w:szCs w:val="22"/>
                <w:lang w:val="fr-CA"/>
              </w:rPr>
              <w:t xml:space="preserve">c) </w:t>
            </w:r>
            <w:r w:rsidR="00FE3A58">
              <w:rPr>
                <w:rFonts w:eastAsia="MS Mincho"/>
                <w:szCs w:val="22"/>
                <w:lang w:val="fr-CA"/>
              </w:rPr>
              <w:t>Pourcentage de Parties</w:t>
            </w:r>
            <w:r w:rsidR="003E4A0A" w:rsidRPr="003E4A0A">
              <w:rPr>
                <w:rFonts w:eastAsia="MS Mincho"/>
                <w:szCs w:val="22"/>
                <w:lang w:val="fr-CA"/>
              </w:rPr>
              <w:t xml:space="preserve"> </w:t>
            </w:r>
            <w:r w:rsidR="00B80DA8">
              <w:rPr>
                <w:rFonts w:eastAsia="MS Mincho"/>
                <w:szCs w:val="22"/>
                <w:lang w:val="fr-CA"/>
              </w:rPr>
              <w:t xml:space="preserve">[disposant de cadres de coopération ou de mémorandums d’entente] </w:t>
            </w:r>
            <w:r w:rsidR="003E4A0A" w:rsidRPr="003E4A0A">
              <w:rPr>
                <w:rFonts w:eastAsia="MS Mincho"/>
                <w:szCs w:val="22"/>
                <w:lang w:val="fr-CA"/>
              </w:rPr>
              <w:t>ayant renforcé</w:t>
            </w:r>
            <w:r w:rsidR="00B80DA8">
              <w:rPr>
                <w:rFonts w:eastAsia="MS Mincho"/>
                <w:szCs w:val="22"/>
                <w:lang w:val="fr-CA"/>
              </w:rPr>
              <w:t xml:space="preserve"> la coopération</w:t>
            </w:r>
            <w:r w:rsidR="003E4A0A">
              <w:rPr>
                <w:rFonts w:eastAsia="MS Mincho"/>
                <w:szCs w:val="22"/>
                <w:lang w:val="fr-CA"/>
              </w:rPr>
              <w:t xml:space="preserve"> ent</w:t>
            </w:r>
            <w:r w:rsidR="00226B90">
              <w:rPr>
                <w:rFonts w:eastAsia="MS Mincho"/>
                <w:szCs w:val="22"/>
                <w:lang w:val="fr-CA"/>
              </w:rPr>
              <w:t>r</w:t>
            </w:r>
            <w:r w:rsidR="003E4A0A">
              <w:rPr>
                <w:rFonts w:eastAsia="MS Mincho"/>
                <w:szCs w:val="22"/>
                <w:lang w:val="fr-CA"/>
              </w:rPr>
              <w:t xml:space="preserve">e les Parties donatrices, les autres donateurs, les pays en développement Parties et les Parties à économie en </w:t>
            </w:r>
            <w:r w:rsidR="00226B90">
              <w:rPr>
                <w:rFonts w:eastAsia="MS Mincho"/>
                <w:szCs w:val="22"/>
                <w:lang w:val="fr-CA"/>
              </w:rPr>
              <w:t xml:space="preserve">transition afin de réaliser la </w:t>
            </w:r>
            <w:r w:rsidR="003E4A0A">
              <w:rPr>
                <w:rFonts w:eastAsia="MS Mincho"/>
                <w:szCs w:val="22"/>
                <w:lang w:val="fr-CA"/>
              </w:rPr>
              <w:t>mise en œuvre complète du Protocole</w:t>
            </w:r>
            <w:r w:rsidRPr="003E4A0A">
              <w:rPr>
                <w:rFonts w:eastAsia="MS Mincho"/>
                <w:szCs w:val="22"/>
                <w:lang w:val="fr-CA"/>
              </w:rPr>
              <w:t>;</w:t>
            </w:r>
          </w:p>
          <w:p w14:paraId="3206CFD1" w14:textId="254AFB1A" w:rsidR="00B80DA8" w:rsidRPr="00B80DA8" w:rsidRDefault="00B80DA8" w:rsidP="00CD3639">
            <w:pPr>
              <w:suppressLineNumbers/>
              <w:suppressAutoHyphens/>
              <w:spacing w:before="60" w:after="60"/>
              <w:jc w:val="left"/>
              <w:rPr>
                <w:rFonts w:eastAsia="MS Mincho"/>
                <w:szCs w:val="22"/>
                <w:lang w:val="fr-FR"/>
              </w:rPr>
            </w:pPr>
            <w:r w:rsidRPr="00B80DA8">
              <w:rPr>
                <w:rFonts w:eastAsia="MS Mincho"/>
                <w:szCs w:val="22"/>
                <w:lang w:val="fr-FR"/>
              </w:rPr>
              <w:t>[</w:t>
            </w:r>
            <w:r>
              <w:rPr>
                <w:rFonts w:eastAsia="MS Mincho"/>
                <w:szCs w:val="22"/>
                <w:lang w:val="fr-CA"/>
              </w:rPr>
              <w:t xml:space="preserve">d) Pourcentage de Parties qui </w:t>
            </w:r>
            <w:r w:rsidR="006C33DC">
              <w:rPr>
                <w:rFonts w:eastAsia="MS Mincho"/>
                <w:szCs w:val="22"/>
                <w:lang w:val="fr-CA"/>
              </w:rPr>
              <w:t>sont en train de mettre</w:t>
            </w:r>
            <w:r>
              <w:rPr>
                <w:rFonts w:eastAsia="MS Mincho"/>
                <w:szCs w:val="22"/>
                <w:lang w:val="fr-CA"/>
              </w:rPr>
              <w:t xml:space="preserve"> en place un cadre de coopération;]</w:t>
            </w:r>
          </w:p>
          <w:p w14:paraId="210B38DE" w14:textId="08A65A04" w:rsidR="00CD3639" w:rsidRPr="00C462BE" w:rsidRDefault="006C33DC" w:rsidP="00226B90">
            <w:pPr>
              <w:suppressLineNumbers/>
              <w:suppressAutoHyphens/>
              <w:spacing w:before="60" w:after="60"/>
              <w:jc w:val="left"/>
              <w:rPr>
                <w:rFonts w:eastAsia="MS Mincho"/>
                <w:kern w:val="22"/>
                <w:szCs w:val="22"/>
                <w:lang w:val="fr-CA"/>
              </w:rPr>
            </w:pPr>
            <w:r>
              <w:rPr>
                <w:rFonts w:eastAsia="MS Mincho"/>
                <w:szCs w:val="22"/>
                <w:lang w:val="fr-CA"/>
              </w:rPr>
              <w:t>e</w:t>
            </w:r>
            <w:r w:rsidR="00226B90">
              <w:rPr>
                <w:rFonts w:eastAsia="MS Mincho"/>
                <w:szCs w:val="22"/>
                <w:lang w:val="fr-CA"/>
              </w:rPr>
              <w:t xml:space="preserve">) </w:t>
            </w:r>
            <w:r w:rsidR="00FE3A58">
              <w:rPr>
                <w:rFonts w:eastAsia="MS Mincho"/>
                <w:szCs w:val="22"/>
                <w:lang w:val="fr-CA"/>
              </w:rPr>
              <w:t>Pourcentage de Parties</w:t>
            </w:r>
            <w:r w:rsidR="00226B90">
              <w:rPr>
                <w:rFonts w:eastAsia="MS Mincho"/>
                <w:szCs w:val="22"/>
                <w:lang w:val="fr-CA"/>
              </w:rPr>
              <w:t xml:space="preserve"> ayant contribué des ressources à d’autres Parties afin de renforcer leurs capacités pour la mise en œuvre du Protocole</w:t>
            </w:r>
            <w:r w:rsidR="00BD77E6">
              <w:rPr>
                <w:rFonts w:eastAsia="MS Mincho"/>
                <w:szCs w:val="22"/>
                <w:lang w:val="fr-CA"/>
              </w:rPr>
              <w:t>.</w:t>
            </w:r>
          </w:p>
        </w:tc>
        <w:tc>
          <w:tcPr>
            <w:tcW w:w="1890" w:type="dxa"/>
            <w:tcBorders>
              <w:top w:val="single" w:sz="4" w:space="0" w:color="auto"/>
              <w:left w:val="single" w:sz="4" w:space="0" w:color="auto"/>
              <w:bottom w:val="single" w:sz="4" w:space="0" w:color="auto"/>
              <w:right w:val="single" w:sz="4" w:space="0" w:color="auto"/>
            </w:tcBorders>
          </w:tcPr>
          <w:p w14:paraId="7D7F311A" w14:textId="77777777" w:rsidR="00CD3639" w:rsidRDefault="00CD3639" w:rsidP="00CD3639">
            <w:pPr>
              <w:suppressLineNumbers/>
              <w:suppressAutoHyphens/>
              <w:spacing w:before="60" w:after="60"/>
              <w:jc w:val="left"/>
              <w:rPr>
                <w:kern w:val="22"/>
                <w:szCs w:val="22"/>
                <w:lang w:val="fr-CA"/>
              </w:rPr>
            </w:pPr>
            <w:r w:rsidRPr="00C462BE">
              <w:rPr>
                <w:kern w:val="22"/>
                <w:szCs w:val="22"/>
                <w:lang w:val="fr-CA"/>
              </w:rPr>
              <w:t>La pleine mise en œuvre du Protocole est rendue possib</w:t>
            </w:r>
            <w:r w:rsidR="00226B90">
              <w:rPr>
                <w:kern w:val="22"/>
                <w:szCs w:val="22"/>
                <w:lang w:val="fr-CA"/>
              </w:rPr>
              <w:t>le par des ressources adéquates;</w:t>
            </w:r>
          </w:p>
          <w:p w14:paraId="2633F1D1" w14:textId="48397867" w:rsidR="00226B90" w:rsidRPr="00C462BE" w:rsidRDefault="00226B90" w:rsidP="00ED4411">
            <w:pPr>
              <w:suppressLineNumbers/>
              <w:suppressAutoHyphens/>
              <w:spacing w:before="60" w:after="60"/>
              <w:jc w:val="left"/>
              <w:rPr>
                <w:rFonts w:eastAsia="MS Mincho"/>
                <w:kern w:val="22"/>
                <w:szCs w:val="22"/>
                <w:lang w:val="fr-CA"/>
              </w:rPr>
            </w:pPr>
            <w:r>
              <w:rPr>
                <w:kern w:val="22"/>
                <w:szCs w:val="22"/>
                <w:lang w:val="fr-CA"/>
              </w:rPr>
              <w:t xml:space="preserve">Des ressources publiques et privées sont mobilisées et offrent un appui régulier et soutenu aux mesures </w:t>
            </w:r>
            <w:r w:rsidR="00704587">
              <w:rPr>
                <w:kern w:val="22"/>
                <w:szCs w:val="22"/>
                <w:lang w:val="fr-CA"/>
              </w:rPr>
              <w:t>nécessaires [</w:t>
            </w:r>
            <w:r>
              <w:rPr>
                <w:kern w:val="22"/>
                <w:szCs w:val="22"/>
                <w:lang w:val="fr-CA"/>
              </w:rPr>
              <w:t>, conformément à l’</w:t>
            </w:r>
            <w:r w:rsidR="009365C2">
              <w:rPr>
                <w:kern w:val="22"/>
                <w:szCs w:val="22"/>
                <w:lang w:val="fr-CA"/>
              </w:rPr>
              <w:t>article</w:t>
            </w:r>
            <w:r>
              <w:rPr>
                <w:kern w:val="22"/>
                <w:szCs w:val="22"/>
                <w:lang w:val="fr-CA"/>
              </w:rPr>
              <w:t xml:space="preserve"> 28 du Protocole.]</w:t>
            </w:r>
          </w:p>
        </w:tc>
        <w:tc>
          <w:tcPr>
            <w:tcW w:w="1710" w:type="dxa"/>
            <w:tcBorders>
              <w:top w:val="single" w:sz="4" w:space="0" w:color="auto"/>
              <w:left w:val="single" w:sz="4" w:space="0" w:color="auto"/>
              <w:bottom w:val="single" w:sz="4" w:space="0" w:color="auto"/>
              <w:right w:val="single" w:sz="4" w:space="0" w:color="auto"/>
            </w:tcBorders>
          </w:tcPr>
          <w:p w14:paraId="31D0994C" w14:textId="67C36EFB" w:rsidR="00CD3639" w:rsidRPr="00C462BE" w:rsidRDefault="00CD3639" w:rsidP="00ED4411">
            <w:pPr>
              <w:suppressLineNumbers/>
              <w:suppressAutoHyphens/>
              <w:spacing w:before="60" w:after="60"/>
              <w:jc w:val="left"/>
              <w:rPr>
                <w:rFonts w:eastAsia="MS Mincho"/>
                <w:kern w:val="22"/>
                <w:szCs w:val="22"/>
                <w:lang w:val="fr-CA"/>
              </w:rPr>
            </w:pPr>
            <w:r w:rsidRPr="00C462BE">
              <w:rPr>
                <w:rFonts w:eastAsia="MS Mincho"/>
                <w:szCs w:val="22"/>
                <w:lang w:val="fr-CA"/>
              </w:rPr>
              <w:t>[</w:t>
            </w:r>
            <w:r w:rsidR="00ED4411">
              <w:rPr>
                <w:rFonts w:eastAsia="MS Mincho"/>
                <w:szCs w:val="22"/>
                <w:lang w:val="fr-CA"/>
              </w:rPr>
              <w:t>Autorités nationales/ secteur public et privé, dont les banques, les fonds d’affectation spéciale, les sociétés, les investisseurs et le Fonds pour l’environnement mondial</w:t>
            </w:r>
            <w:r w:rsidRPr="00C462BE">
              <w:rPr>
                <w:rFonts w:eastAsia="MS Mincho"/>
                <w:szCs w:val="22"/>
                <w:lang w:val="fr-CA"/>
              </w:rPr>
              <w:t>.]</w:t>
            </w:r>
          </w:p>
        </w:tc>
      </w:tr>
      <w:tr w:rsidR="00CD3639" w:rsidRPr="00C462BE" w14:paraId="4A6EA3AA" w14:textId="77777777" w:rsidTr="00065370">
        <w:trPr>
          <w:jc w:val="center"/>
        </w:trPr>
        <w:tc>
          <w:tcPr>
            <w:tcW w:w="1705" w:type="dxa"/>
          </w:tcPr>
          <w:p w14:paraId="4DD498AF" w14:textId="5837DEE9" w:rsidR="00CD3639" w:rsidRPr="00C462BE" w:rsidRDefault="00CD3639" w:rsidP="00CD3639">
            <w:pPr>
              <w:suppressLineNumbers/>
              <w:suppressAutoHyphens/>
              <w:spacing w:before="60" w:after="60"/>
              <w:jc w:val="left"/>
              <w:rPr>
                <w:rFonts w:eastAsia="MS Mincho"/>
                <w:b/>
                <w:bCs/>
                <w:kern w:val="22"/>
                <w:szCs w:val="22"/>
                <w:lang w:val="fr-CA"/>
              </w:rPr>
            </w:pPr>
            <w:r w:rsidRPr="00C462BE">
              <w:rPr>
                <w:b/>
                <w:bCs/>
                <w:kern w:val="22"/>
                <w:szCs w:val="22"/>
                <w:lang w:val="fr-CA"/>
              </w:rPr>
              <w:t>B.3. Les Parties promeuvent et facilitent la sensibilisation, l’éducation et la participation du public sur le transfert, la manipulation et l’utilisation sans danger des OVM</w:t>
            </w:r>
            <w:r w:rsidR="00ED4411">
              <w:rPr>
                <w:b/>
                <w:bCs/>
                <w:kern w:val="22"/>
                <w:szCs w:val="22"/>
                <w:lang w:val="fr-CA"/>
              </w:rPr>
              <w:t>, conformément à l’article 23 du Protocole</w:t>
            </w:r>
            <w:r w:rsidRPr="00C462BE">
              <w:rPr>
                <w:b/>
                <w:bCs/>
                <w:kern w:val="22"/>
                <w:szCs w:val="22"/>
                <w:lang w:val="fr-CA"/>
              </w:rPr>
              <w:t>.</w:t>
            </w:r>
          </w:p>
        </w:tc>
        <w:tc>
          <w:tcPr>
            <w:tcW w:w="1890" w:type="dxa"/>
            <w:shd w:val="clear" w:color="auto" w:fill="auto"/>
          </w:tcPr>
          <w:p w14:paraId="73D4FE13" w14:textId="7A689ABC" w:rsidR="00CD3639" w:rsidRPr="00C462BE" w:rsidRDefault="00CD3639" w:rsidP="00CD3639">
            <w:pPr>
              <w:spacing w:before="60" w:after="60"/>
              <w:jc w:val="left"/>
              <w:rPr>
                <w:rFonts w:eastAsia="MS Mincho"/>
                <w:kern w:val="22"/>
                <w:szCs w:val="22"/>
                <w:lang w:val="fr-CA"/>
              </w:rPr>
            </w:pPr>
            <w:r w:rsidRPr="00C462BE">
              <w:rPr>
                <w:kern w:val="22"/>
                <w:szCs w:val="22"/>
                <w:lang w:val="fr-CA"/>
              </w:rPr>
              <w:t>1) Mise en place de systèmes nationaux pour promouvoir la sensibilisation, l’éducation et la participation du public</w:t>
            </w:r>
            <w:r w:rsidR="000543BC">
              <w:rPr>
                <w:kern w:val="22"/>
                <w:szCs w:val="22"/>
                <w:lang w:val="fr-CA"/>
              </w:rPr>
              <w:t>;</w:t>
            </w:r>
          </w:p>
          <w:p w14:paraId="4D240C39" w14:textId="52221E3A" w:rsidR="00CD3639" w:rsidRPr="00C462BE" w:rsidRDefault="00CD3639" w:rsidP="00CD3639">
            <w:pPr>
              <w:spacing w:before="60" w:after="60"/>
              <w:jc w:val="left"/>
              <w:rPr>
                <w:rFonts w:eastAsia="MS Mincho"/>
                <w:kern w:val="22"/>
                <w:szCs w:val="22"/>
                <w:lang w:val="fr-CA"/>
              </w:rPr>
            </w:pPr>
            <w:r w:rsidRPr="00C462BE">
              <w:rPr>
                <w:kern w:val="22"/>
                <w:szCs w:val="22"/>
                <w:lang w:val="fr-CA"/>
              </w:rPr>
              <w:t>2) Élaboration et diffusion de ressources et de matériels de formation sur la sensibilisation, l’éducation et la participation du public</w:t>
            </w:r>
            <w:r w:rsidR="000543BC">
              <w:rPr>
                <w:kern w:val="22"/>
                <w:szCs w:val="22"/>
                <w:lang w:val="fr-CA"/>
              </w:rPr>
              <w:t>;</w:t>
            </w:r>
          </w:p>
          <w:p w14:paraId="7AF5C124" w14:textId="365CAA90" w:rsidR="00CD3639" w:rsidRPr="00C462BE" w:rsidRDefault="00CD3639" w:rsidP="00CD3639">
            <w:pPr>
              <w:spacing w:before="60" w:after="60"/>
              <w:jc w:val="left"/>
              <w:rPr>
                <w:rFonts w:eastAsia="MS Mincho"/>
                <w:b/>
                <w:kern w:val="22"/>
                <w:szCs w:val="22"/>
                <w:lang w:val="fr-CA"/>
              </w:rPr>
            </w:pPr>
            <w:r w:rsidRPr="00C462BE">
              <w:rPr>
                <w:kern w:val="22"/>
                <w:szCs w:val="22"/>
                <w:lang w:val="fr-CA"/>
              </w:rPr>
              <w:t>3) Éducation sur la prévention des risques biotechnologiques</w:t>
            </w:r>
            <w:r w:rsidR="000543BC">
              <w:rPr>
                <w:kern w:val="22"/>
                <w:szCs w:val="22"/>
                <w:lang w:val="fr-CA"/>
              </w:rPr>
              <w:t>;</w:t>
            </w:r>
          </w:p>
          <w:p w14:paraId="40FF8B7F" w14:textId="00E45415" w:rsidR="00CD3639" w:rsidRPr="00C462BE" w:rsidRDefault="00CD3639" w:rsidP="00CD3639">
            <w:pPr>
              <w:spacing w:before="60" w:after="60"/>
              <w:jc w:val="left"/>
              <w:rPr>
                <w:rFonts w:eastAsia="MS Mincho"/>
                <w:kern w:val="22"/>
                <w:szCs w:val="22"/>
                <w:lang w:val="fr-CA"/>
              </w:rPr>
            </w:pPr>
            <w:r w:rsidRPr="00C462BE">
              <w:rPr>
                <w:kern w:val="22"/>
                <w:szCs w:val="22"/>
                <w:lang w:val="fr-CA"/>
              </w:rPr>
              <w:t>4) Renforcement des mécanismes de participation à la prise de décision</w:t>
            </w:r>
            <w:r w:rsidR="000543BC">
              <w:rPr>
                <w:kern w:val="22"/>
                <w:szCs w:val="22"/>
                <w:lang w:val="fr-CA"/>
              </w:rPr>
              <w:t>;</w:t>
            </w:r>
          </w:p>
          <w:p w14:paraId="67A287AB" w14:textId="26976613"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5) Développement de programmes de sensibilisation du public.</w:t>
            </w:r>
          </w:p>
        </w:tc>
        <w:tc>
          <w:tcPr>
            <w:tcW w:w="2520" w:type="dxa"/>
            <w:shd w:val="clear" w:color="auto" w:fill="auto"/>
          </w:tcPr>
          <w:p w14:paraId="36F4868C" w14:textId="3807E4EE" w:rsidR="00CD3639" w:rsidRPr="00C462BE" w:rsidRDefault="00CD3639" w:rsidP="00CD3639">
            <w:pPr>
              <w:spacing w:before="60" w:after="60"/>
              <w:jc w:val="left"/>
              <w:rPr>
                <w:rFonts w:eastAsia="MS Mincho"/>
                <w:kern w:val="22"/>
                <w:szCs w:val="22"/>
                <w:lang w:val="fr-CA"/>
              </w:rPr>
            </w:pPr>
            <w:r w:rsidRPr="00C462BE">
              <w:rPr>
                <w:kern w:val="22"/>
                <w:szCs w:val="22"/>
                <w:lang w:val="fr-CA"/>
              </w:rPr>
              <w:t xml:space="preserve">i) </w:t>
            </w:r>
            <w:r w:rsidR="00704587" w:rsidRPr="00C462BE">
              <w:rPr>
                <w:kern w:val="22"/>
                <w:szCs w:val="22"/>
                <w:lang w:val="fr-CA"/>
              </w:rPr>
              <w:t>Élaborer</w:t>
            </w:r>
            <w:r w:rsidR="00704587">
              <w:rPr>
                <w:kern w:val="22"/>
                <w:szCs w:val="22"/>
                <w:lang w:val="fr-CA"/>
              </w:rPr>
              <w:t xml:space="preserve"> [</w:t>
            </w:r>
            <w:r w:rsidR="00ED4411">
              <w:rPr>
                <w:kern w:val="22"/>
                <w:szCs w:val="22"/>
                <w:lang w:val="fr-CA"/>
              </w:rPr>
              <w:t>, si nécessaire]</w:t>
            </w:r>
            <w:r w:rsidRPr="00C462BE">
              <w:rPr>
                <w:kern w:val="22"/>
                <w:szCs w:val="22"/>
                <w:lang w:val="fr-CA"/>
              </w:rPr>
              <w:t xml:space="preserve"> et diffuser des matériels de renforcement des capacités sur la sensibilisation, l’éducation et la participation du public</w:t>
            </w:r>
            <w:r w:rsidR="000543BC">
              <w:rPr>
                <w:kern w:val="22"/>
                <w:szCs w:val="22"/>
                <w:lang w:val="fr-CA"/>
              </w:rPr>
              <w:t>;</w:t>
            </w:r>
          </w:p>
          <w:p w14:paraId="5DDA829F" w14:textId="54994C9B" w:rsidR="00CD3639" w:rsidRPr="00C462BE" w:rsidRDefault="00CD3639" w:rsidP="00CD3639">
            <w:pPr>
              <w:spacing w:before="60" w:after="60"/>
              <w:jc w:val="left"/>
              <w:rPr>
                <w:rFonts w:eastAsia="MS Mincho"/>
                <w:kern w:val="22"/>
                <w:szCs w:val="22"/>
                <w:lang w:val="fr-CA"/>
              </w:rPr>
            </w:pPr>
            <w:r w:rsidRPr="00C462BE">
              <w:rPr>
                <w:kern w:val="22"/>
                <w:szCs w:val="22"/>
                <w:lang w:val="fr-CA"/>
              </w:rPr>
              <w:t xml:space="preserve">ii) </w:t>
            </w:r>
            <w:r w:rsidR="00BD77E6">
              <w:rPr>
                <w:kern w:val="22"/>
                <w:szCs w:val="22"/>
                <w:lang w:val="fr-CA"/>
              </w:rPr>
              <w:t>Élabore</w:t>
            </w:r>
            <w:r w:rsidR="00704587" w:rsidRPr="00C462BE">
              <w:rPr>
                <w:kern w:val="22"/>
                <w:szCs w:val="22"/>
                <w:lang w:val="fr-CA"/>
              </w:rPr>
              <w:t>r</w:t>
            </w:r>
            <w:r w:rsidR="00704587">
              <w:rPr>
                <w:kern w:val="22"/>
                <w:szCs w:val="22"/>
                <w:lang w:val="fr-CA"/>
              </w:rPr>
              <w:t xml:space="preserve"> [</w:t>
            </w:r>
            <w:r w:rsidR="00ED4411">
              <w:rPr>
                <w:kern w:val="22"/>
                <w:szCs w:val="22"/>
                <w:lang w:val="fr-CA"/>
              </w:rPr>
              <w:t>, si nécessaire]</w:t>
            </w:r>
            <w:r w:rsidRPr="00C462BE">
              <w:rPr>
                <w:kern w:val="22"/>
                <w:szCs w:val="22"/>
                <w:lang w:val="fr-CA"/>
              </w:rPr>
              <w:t xml:space="preserve"> ou mettre à jo</w:t>
            </w:r>
            <w:r w:rsidR="00BD77E6">
              <w:rPr>
                <w:kern w:val="22"/>
                <w:szCs w:val="22"/>
                <w:lang w:val="fr-CA"/>
              </w:rPr>
              <w:t xml:space="preserve">ur des programmes d’éducation sur </w:t>
            </w:r>
            <w:r w:rsidRPr="00C462BE">
              <w:rPr>
                <w:kern w:val="22"/>
                <w:szCs w:val="22"/>
                <w:lang w:val="fr-CA"/>
              </w:rPr>
              <w:t>la prévention des risques biotechnologiques et renforcer les capacités institutionnelles</w:t>
            </w:r>
            <w:r w:rsidR="000543BC">
              <w:rPr>
                <w:kern w:val="22"/>
                <w:szCs w:val="22"/>
                <w:lang w:val="fr-CA"/>
              </w:rPr>
              <w:t>;</w:t>
            </w:r>
          </w:p>
          <w:p w14:paraId="22D1FED5" w14:textId="3DEEA4F8" w:rsidR="00CD3639" w:rsidRPr="00C462BE" w:rsidRDefault="00CD3639" w:rsidP="00CD3639">
            <w:pPr>
              <w:spacing w:before="60" w:after="60"/>
              <w:jc w:val="left"/>
              <w:rPr>
                <w:rFonts w:eastAsia="MS Mincho"/>
                <w:kern w:val="22"/>
                <w:szCs w:val="22"/>
                <w:lang w:val="fr-CA"/>
              </w:rPr>
            </w:pPr>
            <w:r w:rsidRPr="00C462BE">
              <w:rPr>
                <w:kern w:val="22"/>
                <w:szCs w:val="22"/>
                <w:lang w:val="fr-CA"/>
              </w:rPr>
              <w:t>iii) Intégrer la prévention des risques biotechnologiques dans les programmes éducatifs pertinents</w:t>
            </w:r>
            <w:r w:rsidR="000543BC">
              <w:rPr>
                <w:kern w:val="22"/>
                <w:szCs w:val="22"/>
                <w:lang w:val="fr-CA"/>
              </w:rPr>
              <w:t>;</w:t>
            </w:r>
          </w:p>
          <w:p w14:paraId="6D29E886" w14:textId="1E02BC94" w:rsidR="00CD3639" w:rsidRPr="00C462BE" w:rsidRDefault="00CD3639" w:rsidP="00CD3639">
            <w:pPr>
              <w:spacing w:before="60" w:after="60"/>
              <w:jc w:val="left"/>
              <w:rPr>
                <w:rFonts w:eastAsia="MS Mincho"/>
                <w:kern w:val="22"/>
                <w:szCs w:val="22"/>
                <w:lang w:val="fr-CA"/>
              </w:rPr>
            </w:pPr>
            <w:r w:rsidRPr="00C462BE">
              <w:rPr>
                <w:kern w:val="22"/>
                <w:szCs w:val="22"/>
                <w:lang w:val="fr-CA"/>
              </w:rPr>
              <w:t>iv) Mettre en place des programmes d’échanges et de bourses universitaires</w:t>
            </w:r>
            <w:r w:rsidR="00ED4411">
              <w:rPr>
                <w:kern w:val="22"/>
                <w:szCs w:val="22"/>
                <w:lang w:val="fr-CA"/>
              </w:rPr>
              <w:t>, n</w:t>
            </w:r>
            <w:r w:rsidR="00BD77E6">
              <w:rPr>
                <w:kern w:val="22"/>
                <w:szCs w:val="22"/>
                <w:lang w:val="fr-CA"/>
              </w:rPr>
              <w:t>otamment dans les domaines de la</w:t>
            </w:r>
            <w:r w:rsidR="00ED4411">
              <w:rPr>
                <w:kern w:val="22"/>
                <w:szCs w:val="22"/>
                <w:lang w:val="fr-CA"/>
              </w:rPr>
              <w:t xml:space="preserve"> </w:t>
            </w:r>
            <w:r w:rsidR="00BD77E6">
              <w:rPr>
                <w:kern w:val="22"/>
                <w:szCs w:val="22"/>
                <w:lang w:val="fr-CA"/>
              </w:rPr>
              <w:t xml:space="preserve">biotechnologie moderne et la </w:t>
            </w:r>
            <w:r w:rsidR="00ED4411" w:rsidRPr="00C54F45">
              <w:rPr>
                <w:kern w:val="22"/>
                <w:szCs w:val="22"/>
                <w:lang w:val="fr-CA"/>
              </w:rPr>
              <w:t>recherche sur la prévention des risques biotechnologi</w:t>
            </w:r>
            <w:r w:rsidR="00C54F45">
              <w:rPr>
                <w:kern w:val="22"/>
                <w:szCs w:val="22"/>
                <w:lang w:val="fr-CA"/>
              </w:rPr>
              <w:t>qu</w:t>
            </w:r>
            <w:r w:rsidR="00ED4411" w:rsidRPr="00C54F45">
              <w:rPr>
                <w:kern w:val="22"/>
                <w:szCs w:val="22"/>
                <w:lang w:val="fr-CA"/>
              </w:rPr>
              <w:t>es</w:t>
            </w:r>
            <w:r w:rsidR="000543BC">
              <w:rPr>
                <w:kern w:val="22"/>
                <w:szCs w:val="22"/>
                <w:lang w:val="fr-CA"/>
              </w:rPr>
              <w:t>;</w:t>
            </w:r>
          </w:p>
          <w:p w14:paraId="7BCA50E4" w14:textId="77A7232C" w:rsidR="00CD3639" w:rsidRPr="00C462BE" w:rsidRDefault="00CD3639" w:rsidP="00CD3639">
            <w:pPr>
              <w:spacing w:before="60" w:after="60"/>
              <w:jc w:val="left"/>
              <w:rPr>
                <w:rFonts w:eastAsia="MS Mincho"/>
                <w:kern w:val="22"/>
                <w:szCs w:val="22"/>
                <w:lang w:val="fr-CA"/>
              </w:rPr>
            </w:pPr>
            <w:r w:rsidRPr="00C462BE">
              <w:rPr>
                <w:kern w:val="22"/>
                <w:szCs w:val="22"/>
                <w:lang w:val="fr-CA"/>
              </w:rPr>
              <w:t>v) Dispenser une formation sur la participation à la prise de décisions, conformément aux lois et réglementations nationales, y compris sur la mise en place de mécanismes pour informer le public sur les modalités de participation</w:t>
            </w:r>
            <w:r w:rsidR="000543BC">
              <w:rPr>
                <w:kern w:val="22"/>
                <w:szCs w:val="22"/>
                <w:lang w:val="fr-CA"/>
              </w:rPr>
              <w:t>;</w:t>
            </w:r>
          </w:p>
          <w:p w14:paraId="1B8E308B" w14:textId="4E2152C4" w:rsidR="00CD3639" w:rsidRPr="00C462BE" w:rsidRDefault="00CD3639" w:rsidP="00CD3639">
            <w:pPr>
              <w:spacing w:before="60" w:after="60"/>
              <w:jc w:val="left"/>
              <w:rPr>
                <w:rFonts w:eastAsia="MS Mincho"/>
                <w:kern w:val="22"/>
                <w:szCs w:val="22"/>
                <w:lang w:val="fr-CA"/>
              </w:rPr>
            </w:pPr>
            <w:r w:rsidRPr="00C462BE">
              <w:rPr>
                <w:kern w:val="22"/>
                <w:szCs w:val="22"/>
                <w:lang w:val="fr-CA"/>
              </w:rPr>
              <w:t>vi) Dispenser une formation sur l’élaboration et la mise en œuvre de programmes de sensibilisation du public à la prévention des risques biotechnologiques</w:t>
            </w:r>
            <w:r w:rsidR="000543BC">
              <w:rPr>
                <w:kern w:val="22"/>
                <w:szCs w:val="22"/>
                <w:lang w:val="fr-CA"/>
              </w:rPr>
              <w:t>;</w:t>
            </w:r>
            <w:r w:rsidRPr="00C462BE">
              <w:rPr>
                <w:kern w:val="22"/>
                <w:szCs w:val="22"/>
                <w:lang w:val="fr-CA"/>
              </w:rPr>
              <w:t xml:space="preserve"> </w:t>
            </w:r>
          </w:p>
          <w:p w14:paraId="77EBE5E9" w14:textId="38E905C2"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vii) Dispenser une formation sur la communication en matière de prévention des risques biotechnologiques.</w:t>
            </w:r>
          </w:p>
        </w:tc>
        <w:tc>
          <w:tcPr>
            <w:tcW w:w="2790" w:type="dxa"/>
          </w:tcPr>
          <w:p w14:paraId="2FE013E8" w14:textId="0BE46BE6" w:rsidR="00CD3639" w:rsidRPr="00C54F45" w:rsidRDefault="00CD3639" w:rsidP="00CD3639">
            <w:pPr>
              <w:suppressLineNumbers/>
              <w:suppressAutoHyphens/>
              <w:spacing w:before="60" w:after="60"/>
              <w:jc w:val="left"/>
              <w:rPr>
                <w:rFonts w:eastAsia="MS Mincho"/>
                <w:kern w:val="22"/>
                <w:szCs w:val="22"/>
                <w:lang w:val="fr-CA"/>
              </w:rPr>
            </w:pPr>
            <w:r w:rsidRPr="00C54F45">
              <w:rPr>
                <w:rFonts w:eastAsia="MS Mincho"/>
                <w:szCs w:val="22"/>
                <w:lang w:val="fr-CA"/>
              </w:rPr>
              <w:t xml:space="preserve">a) </w:t>
            </w:r>
            <w:r w:rsidR="00FE3A58">
              <w:rPr>
                <w:rFonts w:eastAsia="MS Mincho"/>
                <w:szCs w:val="22"/>
                <w:lang w:val="fr-CA"/>
              </w:rPr>
              <w:t>Pourcentage de Parties</w:t>
            </w:r>
            <w:r w:rsidR="00C54F45" w:rsidRPr="00C54F45">
              <w:rPr>
                <w:rFonts w:eastAsia="MS Mincho"/>
                <w:szCs w:val="22"/>
                <w:lang w:val="fr-CA"/>
              </w:rPr>
              <w:t xml:space="preserve"> ayant élaboré et diffus</w:t>
            </w:r>
            <w:r w:rsidR="00C54F45">
              <w:rPr>
                <w:rFonts w:eastAsia="MS Mincho"/>
                <w:szCs w:val="22"/>
                <w:lang w:val="fr-CA"/>
              </w:rPr>
              <w:t>é</w:t>
            </w:r>
            <w:r w:rsidR="00C54F45" w:rsidRPr="00C54F45">
              <w:rPr>
                <w:rFonts w:eastAsia="MS Mincho"/>
                <w:szCs w:val="22"/>
                <w:lang w:val="fr-CA"/>
              </w:rPr>
              <w:t xml:space="preserve"> du </w:t>
            </w:r>
            <w:r w:rsidR="00C54F45">
              <w:rPr>
                <w:rFonts w:eastAsia="MS Mincho"/>
                <w:szCs w:val="22"/>
                <w:lang w:val="fr-CA"/>
              </w:rPr>
              <w:t>maté</w:t>
            </w:r>
            <w:r w:rsidR="00C54F45" w:rsidRPr="00C54F45">
              <w:rPr>
                <w:rFonts w:eastAsia="MS Mincho"/>
                <w:szCs w:val="22"/>
                <w:lang w:val="fr-CA"/>
              </w:rPr>
              <w:t xml:space="preserve">riel </w:t>
            </w:r>
            <w:r w:rsidR="00C54F45">
              <w:rPr>
                <w:rFonts w:eastAsia="MS Mincho"/>
                <w:szCs w:val="22"/>
                <w:lang w:val="fr-CA"/>
              </w:rPr>
              <w:t>de renforcem</w:t>
            </w:r>
            <w:r w:rsidR="006C33DC">
              <w:rPr>
                <w:rFonts w:eastAsia="MS Mincho"/>
                <w:szCs w:val="22"/>
                <w:lang w:val="fr-CA"/>
              </w:rPr>
              <w:t xml:space="preserve">ent des capacités </w:t>
            </w:r>
            <w:r w:rsidR="00C54F45" w:rsidRPr="00C54F45">
              <w:rPr>
                <w:rFonts w:eastAsia="MS Mincho"/>
                <w:szCs w:val="22"/>
                <w:lang w:val="fr-CA"/>
              </w:rPr>
              <w:t>sur la sensibilisation, l’</w:t>
            </w:r>
            <w:r w:rsidR="00C54F45">
              <w:rPr>
                <w:rFonts w:eastAsia="MS Mincho"/>
                <w:szCs w:val="22"/>
                <w:lang w:val="fr-CA"/>
              </w:rPr>
              <w:t>éducati</w:t>
            </w:r>
            <w:r w:rsidR="00C54F45" w:rsidRPr="00C54F45">
              <w:rPr>
                <w:rFonts w:eastAsia="MS Mincho"/>
                <w:szCs w:val="22"/>
                <w:lang w:val="fr-CA"/>
              </w:rPr>
              <w:t>on et la participation du public</w:t>
            </w:r>
            <w:r w:rsidRPr="00C54F45">
              <w:rPr>
                <w:rFonts w:eastAsia="MS Mincho"/>
                <w:szCs w:val="22"/>
                <w:lang w:val="fr-CA"/>
              </w:rPr>
              <w:t>;</w:t>
            </w:r>
          </w:p>
          <w:p w14:paraId="4268734A" w14:textId="2AF22810" w:rsidR="00CD3639" w:rsidRPr="00916B37" w:rsidRDefault="00CD3639" w:rsidP="00CD3639">
            <w:pPr>
              <w:suppressLineNumbers/>
              <w:suppressAutoHyphens/>
              <w:spacing w:before="60" w:after="60"/>
              <w:jc w:val="left"/>
              <w:rPr>
                <w:rFonts w:eastAsia="MS Mincho"/>
                <w:kern w:val="22"/>
                <w:szCs w:val="22"/>
                <w:lang w:val="fr-CA"/>
              </w:rPr>
            </w:pPr>
            <w:r w:rsidRPr="00916B37">
              <w:rPr>
                <w:rFonts w:eastAsia="MS Mincho"/>
                <w:kern w:val="22"/>
                <w:szCs w:val="22"/>
                <w:lang w:val="fr-CA"/>
              </w:rPr>
              <w:t xml:space="preserve">b) </w:t>
            </w:r>
            <w:r w:rsidR="00FE3A58">
              <w:rPr>
                <w:rFonts w:eastAsia="MS Mincho"/>
                <w:kern w:val="22"/>
                <w:szCs w:val="22"/>
                <w:lang w:val="fr-CA"/>
              </w:rPr>
              <w:t>Pourcentage de Parties</w:t>
            </w:r>
            <w:r w:rsidR="00916B37">
              <w:rPr>
                <w:rFonts w:eastAsia="MS Mincho"/>
                <w:kern w:val="22"/>
                <w:szCs w:val="22"/>
                <w:lang w:val="fr-CA"/>
              </w:rPr>
              <w:t xml:space="preserve"> ayant </w:t>
            </w:r>
            <w:r w:rsidR="006C33DC">
              <w:rPr>
                <w:rFonts w:eastAsia="MS Mincho"/>
                <w:kern w:val="22"/>
                <w:szCs w:val="22"/>
                <w:lang w:val="fr-CA"/>
              </w:rPr>
              <w:t>développé ou actualisé d</w:t>
            </w:r>
            <w:r w:rsidR="00916B37" w:rsidRPr="00916B37">
              <w:rPr>
                <w:rFonts w:eastAsia="MS Mincho"/>
                <w:kern w:val="22"/>
                <w:szCs w:val="22"/>
                <w:lang w:val="fr-CA"/>
              </w:rPr>
              <w:t xml:space="preserve">es programmes d’éducation </w:t>
            </w:r>
            <w:r w:rsidR="00916B37">
              <w:rPr>
                <w:rFonts w:eastAsia="MS Mincho"/>
                <w:kern w:val="22"/>
                <w:szCs w:val="22"/>
                <w:lang w:val="fr-CA"/>
              </w:rPr>
              <w:t>en</w:t>
            </w:r>
            <w:r w:rsidR="00916B37" w:rsidRPr="00916B37">
              <w:rPr>
                <w:rFonts w:eastAsia="MS Mincho"/>
                <w:kern w:val="22"/>
                <w:szCs w:val="22"/>
                <w:lang w:val="fr-CA"/>
              </w:rPr>
              <w:t xml:space="preserve"> </w:t>
            </w:r>
            <w:r w:rsidR="006C33DC">
              <w:rPr>
                <w:rFonts w:eastAsia="MS Mincho"/>
                <w:kern w:val="22"/>
                <w:szCs w:val="22"/>
                <w:lang w:val="fr-CA"/>
              </w:rPr>
              <w:t xml:space="preserve">matière de </w:t>
            </w:r>
            <w:r w:rsidR="00916B37" w:rsidRPr="00916B37">
              <w:rPr>
                <w:rFonts w:eastAsia="MS Mincho"/>
                <w:kern w:val="22"/>
                <w:szCs w:val="22"/>
                <w:lang w:val="fr-CA"/>
              </w:rPr>
              <w:t>pr</w:t>
            </w:r>
            <w:r w:rsidR="00916B37">
              <w:rPr>
                <w:rFonts w:eastAsia="MS Mincho"/>
                <w:kern w:val="22"/>
                <w:szCs w:val="22"/>
                <w:lang w:val="fr-CA"/>
              </w:rPr>
              <w:t>é</w:t>
            </w:r>
            <w:r w:rsidR="00916B37" w:rsidRPr="00916B37">
              <w:rPr>
                <w:rFonts w:eastAsia="MS Mincho"/>
                <w:kern w:val="22"/>
                <w:szCs w:val="22"/>
                <w:lang w:val="fr-CA"/>
              </w:rPr>
              <w:t>vention de</w:t>
            </w:r>
            <w:r w:rsidR="00916B37">
              <w:rPr>
                <w:rFonts w:eastAsia="MS Mincho"/>
                <w:kern w:val="22"/>
                <w:szCs w:val="22"/>
                <w:lang w:val="fr-CA"/>
              </w:rPr>
              <w:t xml:space="preserve">s risques biotechnologiques et renforcé les capacités institutionnelles; </w:t>
            </w:r>
            <w:r w:rsidRPr="00916B37">
              <w:rPr>
                <w:rFonts w:eastAsia="MS Mincho"/>
                <w:kern w:val="22"/>
                <w:szCs w:val="22"/>
                <w:lang w:val="fr-CA"/>
              </w:rPr>
              <w:t xml:space="preserve"> </w:t>
            </w:r>
          </w:p>
          <w:p w14:paraId="3C1BA6B7" w14:textId="0791276D" w:rsidR="00CD3639" w:rsidRPr="00C54F45" w:rsidRDefault="00CD3639" w:rsidP="00CD3639">
            <w:pPr>
              <w:suppressLineNumbers/>
              <w:suppressAutoHyphens/>
              <w:spacing w:before="60" w:after="60"/>
              <w:jc w:val="left"/>
              <w:rPr>
                <w:rFonts w:eastAsia="MS Mincho"/>
                <w:kern w:val="22"/>
                <w:szCs w:val="22"/>
                <w:lang w:val="fr-CA"/>
              </w:rPr>
            </w:pPr>
            <w:r w:rsidRPr="00C54F45">
              <w:rPr>
                <w:rFonts w:eastAsia="MS Mincho"/>
                <w:kern w:val="22"/>
                <w:szCs w:val="22"/>
                <w:lang w:val="fr-CA"/>
              </w:rPr>
              <w:t xml:space="preserve">c) </w:t>
            </w:r>
            <w:r w:rsidR="00FE3A58">
              <w:rPr>
                <w:rFonts w:eastAsia="MS Mincho"/>
                <w:kern w:val="22"/>
                <w:szCs w:val="22"/>
                <w:lang w:val="fr-CA"/>
              </w:rPr>
              <w:t>Pourcentage de Parties</w:t>
            </w:r>
            <w:r w:rsidR="006C33DC">
              <w:rPr>
                <w:rFonts w:eastAsia="MS Mincho"/>
                <w:kern w:val="22"/>
                <w:szCs w:val="22"/>
                <w:lang w:val="fr-CA"/>
              </w:rPr>
              <w:t xml:space="preserve"> ayant intégré</w:t>
            </w:r>
            <w:r w:rsidR="00C54F45" w:rsidRPr="00C54F45">
              <w:rPr>
                <w:rFonts w:eastAsia="MS Mincho"/>
                <w:kern w:val="22"/>
                <w:szCs w:val="22"/>
                <w:lang w:val="fr-CA"/>
              </w:rPr>
              <w:t xml:space="preserve"> la </w:t>
            </w:r>
            <w:r w:rsidR="00C54F45">
              <w:rPr>
                <w:rFonts w:eastAsia="MS Mincho"/>
                <w:kern w:val="22"/>
                <w:szCs w:val="22"/>
                <w:lang w:val="fr-CA"/>
              </w:rPr>
              <w:t>pré</w:t>
            </w:r>
            <w:r w:rsidR="00C54F45" w:rsidRPr="00C54F45">
              <w:rPr>
                <w:rFonts w:eastAsia="MS Mincho"/>
                <w:kern w:val="22"/>
                <w:szCs w:val="22"/>
                <w:lang w:val="fr-CA"/>
              </w:rPr>
              <w:t>vention des risques biotechnologiques</w:t>
            </w:r>
            <w:r w:rsidR="00C54F45">
              <w:rPr>
                <w:rFonts w:eastAsia="MS Mincho"/>
                <w:kern w:val="22"/>
                <w:szCs w:val="22"/>
                <w:lang w:val="fr-CA"/>
              </w:rPr>
              <w:t xml:space="preserve"> aux programmes éducatifs pertinents</w:t>
            </w:r>
            <w:r w:rsidRPr="00C54F45">
              <w:rPr>
                <w:rFonts w:eastAsia="MS Mincho"/>
                <w:kern w:val="22"/>
                <w:szCs w:val="22"/>
                <w:lang w:val="fr-CA"/>
              </w:rPr>
              <w:t>;</w:t>
            </w:r>
          </w:p>
          <w:p w14:paraId="0BD7833D" w14:textId="77783149" w:rsidR="00CD3639" w:rsidRPr="009E6250" w:rsidRDefault="00CD3639" w:rsidP="00CD3639">
            <w:pPr>
              <w:suppressLineNumbers/>
              <w:suppressAutoHyphens/>
              <w:spacing w:before="60" w:after="60"/>
              <w:jc w:val="left"/>
              <w:rPr>
                <w:rFonts w:eastAsia="MS Mincho"/>
                <w:kern w:val="22"/>
                <w:szCs w:val="22"/>
                <w:lang w:val="fr-CA"/>
              </w:rPr>
            </w:pPr>
            <w:r w:rsidRPr="009E6250">
              <w:rPr>
                <w:rFonts w:eastAsia="MS Mincho"/>
                <w:kern w:val="22"/>
                <w:szCs w:val="22"/>
                <w:lang w:val="fr-CA"/>
              </w:rPr>
              <w:t xml:space="preserve">d) </w:t>
            </w:r>
            <w:r w:rsidR="00FE3A58">
              <w:rPr>
                <w:rFonts w:eastAsia="MS Mincho"/>
                <w:kern w:val="22"/>
                <w:szCs w:val="22"/>
                <w:lang w:val="fr-CA"/>
              </w:rPr>
              <w:t>Pourcentage de Parties</w:t>
            </w:r>
            <w:r w:rsidR="006C33DC">
              <w:rPr>
                <w:rFonts w:eastAsia="MS Mincho"/>
                <w:kern w:val="22"/>
                <w:szCs w:val="22"/>
                <w:lang w:val="fr-CA"/>
              </w:rPr>
              <w:t xml:space="preserve"> ayant </w:t>
            </w:r>
            <w:r w:rsidR="009E6250" w:rsidRPr="009E6250">
              <w:rPr>
                <w:rFonts w:eastAsia="MS Mincho"/>
                <w:kern w:val="22"/>
                <w:szCs w:val="22"/>
                <w:lang w:val="fr-CA"/>
              </w:rPr>
              <w:t xml:space="preserve">mis sur pied des programmes d’échange </w:t>
            </w:r>
            <w:r w:rsidR="009E6250">
              <w:rPr>
                <w:rFonts w:eastAsia="MS Mincho"/>
                <w:kern w:val="22"/>
                <w:szCs w:val="22"/>
                <w:lang w:val="fr-CA"/>
              </w:rPr>
              <w:t xml:space="preserve">universitaires </w:t>
            </w:r>
            <w:r w:rsidR="009E6250" w:rsidRPr="009E6250">
              <w:rPr>
                <w:rFonts w:eastAsia="MS Mincho"/>
                <w:kern w:val="22"/>
                <w:szCs w:val="22"/>
                <w:lang w:val="fr-CA"/>
              </w:rPr>
              <w:t xml:space="preserve">et de bourses </w:t>
            </w:r>
            <w:r w:rsidR="009E6250">
              <w:rPr>
                <w:rFonts w:eastAsia="MS Mincho"/>
                <w:kern w:val="22"/>
                <w:szCs w:val="22"/>
                <w:lang w:val="fr-CA"/>
              </w:rPr>
              <w:t>de recherches</w:t>
            </w:r>
            <w:r w:rsidRPr="009E6250">
              <w:rPr>
                <w:rFonts w:eastAsia="MS Mincho"/>
                <w:kern w:val="22"/>
                <w:szCs w:val="22"/>
                <w:lang w:val="fr-CA"/>
              </w:rPr>
              <w:t>;</w:t>
            </w:r>
          </w:p>
          <w:p w14:paraId="65D27CF2" w14:textId="1A6D83B7" w:rsidR="00CD3639" w:rsidRPr="009E6250" w:rsidRDefault="00CD3639" w:rsidP="00CD3639">
            <w:pPr>
              <w:suppressLineNumbers/>
              <w:suppressAutoHyphens/>
              <w:spacing w:before="60" w:after="60"/>
              <w:jc w:val="left"/>
              <w:rPr>
                <w:rFonts w:eastAsia="MS Mincho"/>
                <w:kern w:val="22"/>
                <w:szCs w:val="22"/>
                <w:lang w:val="fr-CA"/>
              </w:rPr>
            </w:pPr>
            <w:r w:rsidRPr="009E6250">
              <w:rPr>
                <w:rFonts w:eastAsia="MS Mincho"/>
                <w:kern w:val="22"/>
                <w:szCs w:val="22"/>
                <w:lang w:val="fr-CA"/>
              </w:rPr>
              <w:t xml:space="preserve">e) </w:t>
            </w:r>
            <w:r w:rsidR="00FE3A58">
              <w:rPr>
                <w:rFonts w:eastAsia="MS Mincho"/>
                <w:kern w:val="22"/>
                <w:szCs w:val="22"/>
                <w:lang w:val="fr-CA"/>
              </w:rPr>
              <w:t>Pourcentage de Parties</w:t>
            </w:r>
            <w:r w:rsidR="006C33DC">
              <w:rPr>
                <w:rFonts w:eastAsia="MS Mincho"/>
                <w:kern w:val="22"/>
                <w:szCs w:val="22"/>
                <w:lang w:val="fr-CA"/>
              </w:rPr>
              <w:t xml:space="preserve"> ayant </w:t>
            </w:r>
            <w:r w:rsidR="000A2061">
              <w:rPr>
                <w:rFonts w:eastAsia="MS Mincho"/>
                <w:kern w:val="22"/>
                <w:szCs w:val="22"/>
                <w:lang w:val="fr-CA"/>
              </w:rPr>
              <w:t>dispensé</w:t>
            </w:r>
            <w:r w:rsidR="009E6250" w:rsidRPr="009E6250">
              <w:rPr>
                <w:rFonts w:eastAsia="MS Mincho"/>
                <w:kern w:val="22"/>
                <w:szCs w:val="22"/>
                <w:lang w:val="fr-CA"/>
              </w:rPr>
              <w:t xml:space="preserve"> une formation en participation aux </w:t>
            </w:r>
            <w:r w:rsidR="009E6D36">
              <w:rPr>
                <w:rFonts w:eastAsia="MS Mincho"/>
                <w:kern w:val="22"/>
                <w:szCs w:val="22"/>
                <w:lang w:val="fr-CA"/>
              </w:rPr>
              <w:t>dé</w:t>
            </w:r>
            <w:r w:rsidR="009E6250" w:rsidRPr="009E6250">
              <w:rPr>
                <w:rFonts w:eastAsia="MS Mincho"/>
                <w:kern w:val="22"/>
                <w:szCs w:val="22"/>
                <w:lang w:val="fr-CA"/>
              </w:rPr>
              <w:t>cisions, co</w:t>
            </w:r>
            <w:r w:rsidR="009E6250">
              <w:rPr>
                <w:rFonts w:eastAsia="MS Mincho"/>
                <w:kern w:val="22"/>
                <w:szCs w:val="22"/>
                <w:lang w:val="fr-CA"/>
              </w:rPr>
              <w:t>nformément aux lois et réglement</w:t>
            </w:r>
            <w:r w:rsidR="009E6D36">
              <w:rPr>
                <w:rFonts w:eastAsia="MS Mincho"/>
                <w:kern w:val="22"/>
                <w:szCs w:val="22"/>
                <w:lang w:val="fr-CA"/>
              </w:rPr>
              <w:t>ations nationales, dont la mise</w:t>
            </w:r>
            <w:r w:rsidR="009E6250">
              <w:rPr>
                <w:rFonts w:eastAsia="MS Mincho"/>
                <w:kern w:val="22"/>
                <w:szCs w:val="22"/>
                <w:lang w:val="fr-CA"/>
              </w:rPr>
              <w:t xml:space="preserve"> en place de mécanismes pour informer le public des modalités de participation</w:t>
            </w:r>
            <w:r w:rsidRPr="009E6250">
              <w:rPr>
                <w:rFonts w:eastAsia="MS Mincho"/>
                <w:kern w:val="22"/>
                <w:szCs w:val="22"/>
                <w:lang w:val="fr-CA"/>
              </w:rPr>
              <w:t>;</w:t>
            </w:r>
          </w:p>
          <w:p w14:paraId="57103C2F" w14:textId="3DE5ECA3" w:rsidR="00CD3639" w:rsidRPr="009E6D36" w:rsidRDefault="00CD3639" w:rsidP="00CD3639">
            <w:pPr>
              <w:suppressLineNumbers/>
              <w:suppressAutoHyphens/>
              <w:spacing w:before="60" w:after="60"/>
              <w:jc w:val="left"/>
              <w:rPr>
                <w:rFonts w:eastAsia="MS Mincho"/>
                <w:kern w:val="22"/>
                <w:szCs w:val="22"/>
                <w:lang w:val="fr-CA"/>
              </w:rPr>
            </w:pPr>
            <w:r w:rsidRPr="009E6D36">
              <w:rPr>
                <w:rFonts w:eastAsia="MS Mincho"/>
                <w:kern w:val="22"/>
                <w:szCs w:val="22"/>
                <w:lang w:val="fr-CA"/>
              </w:rPr>
              <w:t xml:space="preserve">f) </w:t>
            </w:r>
            <w:r w:rsidR="00FE3A58">
              <w:rPr>
                <w:rFonts w:eastAsia="MS Mincho"/>
                <w:kern w:val="22"/>
                <w:szCs w:val="22"/>
                <w:lang w:val="fr-CA"/>
              </w:rPr>
              <w:t>Pourcentage de Parties</w:t>
            </w:r>
            <w:r w:rsidR="006C33DC">
              <w:rPr>
                <w:rFonts w:eastAsia="MS Mincho"/>
                <w:kern w:val="22"/>
                <w:szCs w:val="22"/>
                <w:lang w:val="fr-CA"/>
              </w:rPr>
              <w:t xml:space="preserve"> ayant </w:t>
            </w:r>
            <w:r w:rsidR="000A2061">
              <w:rPr>
                <w:rFonts w:eastAsia="MS Mincho"/>
                <w:kern w:val="22"/>
                <w:szCs w:val="22"/>
                <w:lang w:val="fr-CA"/>
              </w:rPr>
              <w:t>dispensé</w:t>
            </w:r>
            <w:r w:rsidR="009E6D36" w:rsidRPr="009E6D36">
              <w:rPr>
                <w:rFonts w:eastAsia="MS Mincho"/>
                <w:kern w:val="22"/>
                <w:szCs w:val="22"/>
                <w:lang w:val="fr-CA"/>
              </w:rPr>
              <w:t xml:space="preserve"> une formation en</w:t>
            </w:r>
            <w:r w:rsidR="006C33DC">
              <w:rPr>
                <w:rFonts w:eastAsia="MS Mincho"/>
                <w:kern w:val="22"/>
                <w:szCs w:val="22"/>
                <w:lang w:val="fr-CA"/>
              </w:rPr>
              <w:t xml:space="preserve"> matière d’</w:t>
            </w:r>
            <w:r w:rsidR="009E6D36">
              <w:rPr>
                <w:rFonts w:eastAsia="MS Mincho"/>
                <w:kern w:val="22"/>
                <w:szCs w:val="22"/>
                <w:lang w:val="fr-CA"/>
              </w:rPr>
              <w:t>é</w:t>
            </w:r>
            <w:r w:rsidR="009E6D36" w:rsidRPr="009E6D36">
              <w:rPr>
                <w:rFonts w:eastAsia="MS Mincho"/>
                <w:kern w:val="22"/>
                <w:szCs w:val="22"/>
                <w:lang w:val="fr-CA"/>
              </w:rPr>
              <w:t xml:space="preserve">laboration et </w:t>
            </w:r>
            <w:r w:rsidR="006C33DC">
              <w:rPr>
                <w:rFonts w:eastAsia="MS Mincho"/>
                <w:kern w:val="22"/>
                <w:szCs w:val="22"/>
                <w:lang w:val="fr-CA"/>
              </w:rPr>
              <w:t xml:space="preserve">de </w:t>
            </w:r>
            <w:r w:rsidR="009E6D36" w:rsidRPr="009E6D36">
              <w:rPr>
                <w:rFonts w:eastAsia="MS Mincho"/>
                <w:kern w:val="22"/>
                <w:szCs w:val="22"/>
                <w:lang w:val="fr-CA"/>
              </w:rPr>
              <w:t>mise e</w:t>
            </w:r>
            <w:r w:rsidR="009E6D36">
              <w:rPr>
                <w:rFonts w:eastAsia="MS Mincho"/>
                <w:kern w:val="22"/>
                <w:szCs w:val="22"/>
                <w:lang w:val="fr-CA"/>
              </w:rPr>
              <w:t>n œuvre de programmes de sensibilisation à la prévention de risques biotechnologiques</w:t>
            </w:r>
            <w:r w:rsidRPr="009E6D36">
              <w:rPr>
                <w:rFonts w:eastAsia="MS Mincho"/>
                <w:kern w:val="22"/>
                <w:szCs w:val="22"/>
                <w:lang w:val="fr-CA"/>
              </w:rPr>
              <w:t>;</w:t>
            </w:r>
          </w:p>
          <w:p w14:paraId="35B51F35" w14:textId="77777777" w:rsidR="00CD3639" w:rsidRDefault="00CD3639" w:rsidP="000A2061">
            <w:pPr>
              <w:suppressLineNumbers/>
              <w:suppressAutoHyphens/>
              <w:spacing w:before="60" w:after="60"/>
              <w:jc w:val="left"/>
              <w:rPr>
                <w:rFonts w:eastAsia="MS Mincho"/>
                <w:szCs w:val="22"/>
                <w:lang w:val="fr-CA"/>
              </w:rPr>
            </w:pPr>
            <w:r w:rsidRPr="009E6D36">
              <w:rPr>
                <w:rFonts w:eastAsia="MS Mincho"/>
                <w:szCs w:val="22"/>
                <w:lang w:val="fr-CA"/>
              </w:rPr>
              <w:t xml:space="preserve">g) </w:t>
            </w:r>
            <w:r w:rsidR="00FE3A58">
              <w:rPr>
                <w:rFonts w:eastAsia="MS Mincho"/>
                <w:szCs w:val="22"/>
                <w:lang w:val="fr-CA"/>
              </w:rPr>
              <w:t>Pourcentage de Parties</w:t>
            </w:r>
            <w:r w:rsidR="006C33DC">
              <w:rPr>
                <w:rFonts w:eastAsia="MS Mincho"/>
                <w:szCs w:val="22"/>
                <w:lang w:val="fr-CA"/>
              </w:rPr>
              <w:t xml:space="preserve"> ayant </w:t>
            </w:r>
            <w:r w:rsidR="000A2061">
              <w:rPr>
                <w:rFonts w:eastAsia="MS Mincho"/>
                <w:szCs w:val="22"/>
                <w:lang w:val="fr-CA"/>
              </w:rPr>
              <w:t>dispensé</w:t>
            </w:r>
            <w:r w:rsidR="009E6D36" w:rsidRPr="009E6D36">
              <w:rPr>
                <w:rFonts w:eastAsia="MS Mincho"/>
                <w:szCs w:val="22"/>
                <w:lang w:val="fr-CA"/>
              </w:rPr>
              <w:t xml:space="preserve"> une formation en communications sur la </w:t>
            </w:r>
            <w:r w:rsidR="009E6D36">
              <w:rPr>
                <w:rFonts w:eastAsia="MS Mincho"/>
                <w:szCs w:val="22"/>
                <w:lang w:val="fr-CA"/>
              </w:rPr>
              <w:t>pré</w:t>
            </w:r>
            <w:r w:rsidR="009E6D36" w:rsidRPr="009E6D36">
              <w:rPr>
                <w:rFonts w:eastAsia="MS Mincho"/>
                <w:szCs w:val="22"/>
                <w:lang w:val="fr-CA"/>
              </w:rPr>
              <w:t>vention des risques biotechnologiques</w:t>
            </w:r>
            <w:r w:rsidR="006C33DC">
              <w:rPr>
                <w:rFonts w:eastAsia="MS Mincho"/>
                <w:szCs w:val="22"/>
                <w:lang w:val="fr-CA"/>
              </w:rPr>
              <w:t>;</w:t>
            </w:r>
          </w:p>
          <w:p w14:paraId="24E1C2F9" w14:textId="2396A608" w:rsidR="006C33DC" w:rsidRPr="006C33DC" w:rsidRDefault="006C33DC" w:rsidP="000A2061">
            <w:pPr>
              <w:suppressLineNumbers/>
              <w:suppressAutoHyphens/>
              <w:spacing w:before="60" w:after="60"/>
              <w:jc w:val="left"/>
              <w:rPr>
                <w:rFonts w:eastAsia="MS Mincho"/>
                <w:kern w:val="22"/>
                <w:szCs w:val="22"/>
                <w:lang w:val="fr-FR"/>
              </w:rPr>
            </w:pPr>
            <w:r w:rsidRPr="006C33DC">
              <w:rPr>
                <w:rFonts w:eastAsia="MS Mincho"/>
                <w:szCs w:val="22"/>
                <w:lang w:val="fr-FR"/>
              </w:rPr>
              <w:t xml:space="preserve">[h) Pourcentage de Parties disposant </w:t>
            </w:r>
            <w:r>
              <w:rPr>
                <w:rFonts w:eastAsia="MS Mincho"/>
                <w:szCs w:val="22"/>
                <w:lang w:val="fr-FR"/>
              </w:rPr>
              <w:t>d’une législation concernant l’étiquetage des produits destinés aux consommateurs.</w:t>
            </w:r>
            <w:r w:rsidRPr="006C33DC">
              <w:rPr>
                <w:rFonts w:eastAsia="MS Mincho"/>
                <w:szCs w:val="22"/>
                <w:lang w:val="fr-FR"/>
              </w:rPr>
              <w:t>]</w:t>
            </w:r>
          </w:p>
        </w:tc>
        <w:tc>
          <w:tcPr>
            <w:tcW w:w="1890" w:type="dxa"/>
          </w:tcPr>
          <w:p w14:paraId="04019384" w14:textId="21D4BA00"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Grâce à la sensibilisation, à l’éducation et à la participation du p</w:t>
            </w:r>
            <w:r w:rsidR="00BD77E6">
              <w:rPr>
                <w:kern w:val="22"/>
                <w:szCs w:val="22"/>
                <w:lang w:val="fr-CA"/>
              </w:rPr>
              <w:t>ublic, les Parties font en sorte</w:t>
            </w:r>
            <w:r w:rsidRPr="00C462BE">
              <w:rPr>
                <w:kern w:val="22"/>
                <w:szCs w:val="22"/>
                <w:lang w:val="fr-CA"/>
              </w:rPr>
              <w:t xml:space="preserve"> que le public soit correctement informé du transfert, de la manipulation et de l’utilisation en toute sécurité des OVM et participe à la prise de décisions sur le transfert, la manipulation et l’utilisation en toute sécurité des OVM.</w:t>
            </w:r>
          </w:p>
        </w:tc>
        <w:tc>
          <w:tcPr>
            <w:tcW w:w="1710" w:type="dxa"/>
          </w:tcPr>
          <w:p w14:paraId="309FCB6E" w14:textId="77777777" w:rsidR="00E132C5" w:rsidRDefault="00CD3639" w:rsidP="000A2061">
            <w:pPr>
              <w:suppressLineNumbers/>
              <w:suppressAutoHyphens/>
              <w:spacing w:before="60" w:after="60"/>
              <w:jc w:val="left"/>
              <w:rPr>
                <w:rFonts w:eastAsia="MS Mincho"/>
                <w:szCs w:val="22"/>
                <w:lang w:val="fr-CA"/>
              </w:rPr>
            </w:pPr>
            <w:r w:rsidRPr="00C462BE">
              <w:rPr>
                <w:rFonts w:eastAsia="MS Mincho"/>
                <w:szCs w:val="22"/>
                <w:lang w:val="fr-CA"/>
              </w:rPr>
              <w:t>[</w:t>
            </w:r>
            <w:r w:rsidR="00E132C5">
              <w:rPr>
                <w:rFonts w:eastAsia="MS Mincho"/>
                <w:szCs w:val="22"/>
                <w:lang w:val="fr-CA"/>
              </w:rPr>
              <w:t>Autorités nationales, agences internationales / le public</w:t>
            </w:r>
          </w:p>
          <w:p w14:paraId="4482010A" w14:textId="6A4853D5" w:rsidR="00CD3639" w:rsidRPr="00C462BE" w:rsidRDefault="00E132C5" w:rsidP="00E132C5">
            <w:pPr>
              <w:suppressLineNumbers/>
              <w:suppressAutoHyphens/>
              <w:spacing w:before="60" w:after="60"/>
              <w:rPr>
                <w:rFonts w:eastAsia="MS Mincho"/>
                <w:kern w:val="22"/>
                <w:szCs w:val="22"/>
                <w:lang w:val="fr-CA"/>
              </w:rPr>
            </w:pPr>
            <w:r>
              <w:rPr>
                <w:rFonts w:eastAsia="MS Mincho"/>
                <w:szCs w:val="22"/>
                <w:lang w:val="fr-CA"/>
              </w:rPr>
              <w:t>Secrétariat de la CDB</w:t>
            </w:r>
            <w:r w:rsidR="00CD3639" w:rsidRPr="00C462BE">
              <w:rPr>
                <w:rFonts w:eastAsia="MS Mincho"/>
                <w:szCs w:val="22"/>
                <w:lang w:val="fr-CA"/>
              </w:rPr>
              <w:t>]</w:t>
            </w:r>
          </w:p>
        </w:tc>
      </w:tr>
      <w:tr w:rsidR="00CD3639" w:rsidRPr="00301569" w14:paraId="675EF08D" w14:textId="77777777" w:rsidTr="00065370">
        <w:trPr>
          <w:jc w:val="center"/>
        </w:trPr>
        <w:tc>
          <w:tcPr>
            <w:tcW w:w="1705" w:type="dxa"/>
          </w:tcPr>
          <w:p w14:paraId="11899218" w14:textId="6A0949DD" w:rsidR="00CD3639" w:rsidRPr="00C462BE" w:rsidRDefault="00CD3639" w:rsidP="00CD3639">
            <w:pPr>
              <w:suppressLineNumbers/>
              <w:suppressAutoHyphens/>
              <w:spacing w:before="60" w:after="60"/>
              <w:jc w:val="left"/>
              <w:rPr>
                <w:rFonts w:eastAsia="MS Mincho"/>
                <w:kern w:val="22"/>
                <w:szCs w:val="22"/>
                <w:lang w:val="fr-CA"/>
              </w:rPr>
            </w:pPr>
            <w:r w:rsidRPr="00C462BE">
              <w:rPr>
                <w:b/>
                <w:bCs/>
                <w:kern w:val="22"/>
                <w:szCs w:val="22"/>
                <w:lang w:val="fr-CA"/>
              </w:rPr>
              <w:t>B.4. Les Parties renforcent la coopération et la coordination sur les questions de prévention des risques biotechnolo</w:t>
            </w:r>
            <w:r w:rsidR="00BD77E6">
              <w:rPr>
                <w:b/>
                <w:bCs/>
                <w:kern w:val="22"/>
                <w:szCs w:val="22"/>
                <w:lang w:val="fr-CA"/>
              </w:rPr>
              <w:t>-</w:t>
            </w:r>
            <w:r w:rsidRPr="00C462BE">
              <w:rPr>
                <w:b/>
                <w:bCs/>
                <w:kern w:val="22"/>
                <w:szCs w:val="22"/>
                <w:lang w:val="fr-CA"/>
              </w:rPr>
              <w:t>giques aux niveaux national, régional et international.</w:t>
            </w:r>
          </w:p>
        </w:tc>
        <w:tc>
          <w:tcPr>
            <w:tcW w:w="1890" w:type="dxa"/>
            <w:shd w:val="clear" w:color="auto" w:fill="auto"/>
          </w:tcPr>
          <w:p w14:paraId="6C8263BA" w14:textId="602690CB" w:rsidR="00CD3639" w:rsidRPr="00C462BE" w:rsidRDefault="00CD3639" w:rsidP="00CD3639">
            <w:pPr>
              <w:spacing w:before="60" w:after="60"/>
              <w:jc w:val="left"/>
              <w:rPr>
                <w:rFonts w:eastAsia="MS Mincho"/>
                <w:kern w:val="22"/>
                <w:szCs w:val="22"/>
                <w:lang w:val="fr-CA"/>
              </w:rPr>
            </w:pPr>
            <w:r w:rsidRPr="00C462BE">
              <w:rPr>
                <w:kern w:val="22"/>
                <w:szCs w:val="22"/>
                <w:lang w:val="fr-CA"/>
              </w:rPr>
              <w:t>1) Coopération entre les Parties et au sein des Parties</w:t>
            </w:r>
            <w:r w:rsidR="000543BC">
              <w:rPr>
                <w:kern w:val="22"/>
                <w:szCs w:val="22"/>
                <w:lang w:val="fr-CA"/>
              </w:rPr>
              <w:t>;</w:t>
            </w:r>
          </w:p>
          <w:p w14:paraId="6138BE45" w14:textId="4DB32186" w:rsidR="00CD3639" w:rsidRPr="00C462BE" w:rsidRDefault="00CD3639" w:rsidP="00CD3639">
            <w:pPr>
              <w:spacing w:before="60" w:after="60"/>
              <w:jc w:val="left"/>
              <w:rPr>
                <w:rFonts w:eastAsia="MS Mincho"/>
                <w:kern w:val="22"/>
                <w:szCs w:val="22"/>
                <w:lang w:val="fr-CA"/>
              </w:rPr>
            </w:pPr>
            <w:r w:rsidRPr="00C462BE">
              <w:rPr>
                <w:kern w:val="22"/>
                <w:szCs w:val="22"/>
                <w:lang w:val="fr-CA"/>
              </w:rPr>
              <w:t>2) Participation des peuples autochtones et des communautés locales ainsi que des parties prenantes des secteurs concernés</w:t>
            </w:r>
            <w:r w:rsidR="000543BC">
              <w:rPr>
                <w:kern w:val="22"/>
                <w:szCs w:val="22"/>
                <w:lang w:val="fr-CA"/>
              </w:rPr>
              <w:t>;</w:t>
            </w:r>
          </w:p>
          <w:p w14:paraId="540ECCDD" w14:textId="016383CC"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3) Intégration de la prévention des risques biotechnologiques dans la législation, les politiques</w:t>
            </w:r>
            <w:r w:rsidR="00BD77E6">
              <w:rPr>
                <w:kern w:val="22"/>
                <w:szCs w:val="22"/>
                <w:lang w:val="fr-CA"/>
              </w:rPr>
              <w:t xml:space="preserve"> générales</w:t>
            </w:r>
            <w:r w:rsidRPr="00C462BE">
              <w:rPr>
                <w:kern w:val="22"/>
                <w:szCs w:val="22"/>
                <w:lang w:val="fr-CA"/>
              </w:rPr>
              <w:t xml:space="preserve"> et les plans sectoriels et intersectoriels.</w:t>
            </w:r>
          </w:p>
        </w:tc>
        <w:tc>
          <w:tcPr>
            <w:tcW w:w="2520" w:type="dxa"/>
            <w:shd w:val="clear" w:color="auto" w:fill="auto"/>
          </w:tcPr>
          <w:p w14:paraId="26353043" w14:textId="61C3DAC9" w:rsidR="00CD3639" w:rsidRPr="00C462BE" w:rsidRDefault="00CD3639" w:rsidP="00CD3639">
            <w:pPr>
              <w:spacing w:before="60" w:after="60"/>
              <w:jc w:val="left"/>
              <w:rPr>
                <w:rFonts w:eastAsia="MS Mincho"/>
                <w:kern w:val="22"/>
                <w:szCs w:val="22"/>
                <w:lang w:val="fr-CA"/>
              </w:rPr>
            </w:pPr>
            <w:r w:rsidRPr="00C462BE">
              <w:rPr>
                <w:kern w:val="22"/>
                <w:szCs w:val="22"/>
                <w:lang w:val="fr-CA"/>
              </w:rPr>
              <w:t>i) Organiser des activités pour faciliter la coopération technique et scientifique</w:t>
            </w:r>
            <w:r w:rsidR="00E132C5">
              <w:rPr>
                <w:kern w:val="22"/>
                <w:szCs w:val="22"/>
                <w:lang w:val="fr-CA"/>
              </w:rPr>
              <w:t>, le transfert de technologie,</w:t>
            </w:r>
            <w:r w:rsidRPr="00C462BE">
              <w:rPr>
                <w:kern w:val="22"/>
                <w:szCs w:val="22"/>
                <w:lang w:val="fr-CA"/>
              </w:rPr>
              <w:t xml:space="preserve"> ainsi que le partage d’informations aux niveaux bilatéral, </w:t>
            </w:r>
            <w:r w:rsidR="00E132C5">
              <w:rPr>
                <w:kern w:val="22"/>
                <w:szCs w:val="22"/>
                <w:lang w:val="fr-CA"/>
              </w:rPr>
              <w:t>infrarégional et régional, [dont le partage d’expériences en</w:t>
            </w:r>
            <w:r w:rsidR="00BD77E6">
              <w:rPr>
                <w:kern w:val="22"/>
                <w:szCs w:val="22"/>
                <w:lang w:val="fr-CA"/>
              </w:rPr>
              <w:t xml:space="preserve"> matière de</w:t>
            </w:r>
            <w:r w:rsidR="00E132C5">
              <w:rPr>
                <w:kern w:val="22"/>
                <w:szCs w:val="22"/>
                <w:lang w:val="fr-CA"/>
              </w:rPr>
              <w:t xml:space="preserve"> prévention des risques biotechnologiques et afin de promouvoir le transfert de technol</w:t>
            </w:r>
            <w:r w:rsidR="001C6DD9">
              <w:rPr>
                <w:kern w:val="22"/>
                <w:szCs w:val="22"/>
                <w:lang w:val="fr-CA"/>
              </w:rPr>
              <w:t>o</w:t>
            </w:r>
            <w:r w:rsidR="00E132C5">
              <w:rPr>
                <w:kern w:val="22"/>
                <w:szCs w:val="22"/>
                <w:lang w:val="fr-CA"/>
              </w:rPr>
              <w:t xml:space="preserve">gie et l’accès à la technologie, </w:t>
            </w:r>
            <w:r w:rsidR="001C6DD9">
              <w:rPr>
                <w:kern w:val="22"/>
                <w:szCs w:val="22"/>
                <w:lang w:val="fr-CA"/>
              </w:rPr>
              <w:t>notamment dans les pays en développement</w:t>
            </w:r>
            <w:r w:rsidR="00E132C5">
              <w:rPr>
                <w:kern w:val="22"/>
                <w:szCs w:val="22"/>
                <w:lang w:val="fr-CA"/>
              </w:rPr>
              <w:t>]</w:t>
            </w:r>
            <w:r w:rsidR="000543BC">
              <w:rPr>
                <w:kern w:val="22"/>
                <w:szCs w:val="22"/>
                <w:lang w:val="fr-CA"/>
              </w:rPr>
              <w:t>;</w:t>
            </w:r>
          </w:p>
          <w:p w14:paraId="7069C34A" w14:textId="74E559AB" w:rsidR="00CD3639" w:rsidRPr="00C462BE" w:rsidRDefault="00CD3639" w:rsidP="00CD3639">
            <w:pPr>
              <w:suppressLineNumbers/>
              <w:suppressAutoHyphens/>
              <w:spacing w:before="60" w:after="60"/>
              <w:jc w:val="left"/>
              <w:rPr>
                <w:rFonts w:eastAsia="MS Mincho"/>
                <w:kern w:val="22"/>
                <w:szCs w:val="22"/>
                <w:lang w:val="fr-CA"/>
              </w:rPr>
            </w:pPr>
            <w:r w:rsidRPr="00C462BE">
              <w:rPr>
                <w:kern w:val="22"/>
                <w:szCs w:val="22"/>
                <w:lang w:val="fr-CA"/>
              </w:rPr>
              <w:t>ii) Organiser d</w:t>
            </w:r>
            <w:r w:rsidR="00BD77E6">
              <w:rPr>
                <w:kern w:val="22"/>
                <w:szCs w:val="22"/>
                <w:lang w:val="fr-CA"/>
              </w:rPr>
              <w:t>es activités conjointes auxquelles participent les peuples autochtones et l</w:t>
            </w:r>
            <w:r w:rsidRPr="00C462BE">
              <w:rPr>
                <w:kern w:val="22"/>
                <w:szCs w:val="22"/>
                <w:lang w:val="fr-CA"/>
              </w:rPr>
              <w:t>es</w:t>
            </w:r>
            <w:r w:rsidR="00BD77E6">
              <w:rPr>
                <w:kern w:val="22"/>
                <w:szCs w:val="22"/>
                <w:lang w:val="fr-CA"/>
              </w:rPr>
              <w:t xml:space="preserve"> communautés locales ainsi que l</w:t>
            </w:r>
            <w:r w:rsidRPr="00C462BE">
              <w:rPr>
                <w:kern w:val="22"/>
                <w:szCs w:val="22"/>
                <w:lang w:val="fr-CA"/>
              </w:rPr>
              <w:t>es parties prenantes concernées d</w:t>
            </w:r>
            <w:r w:rsidR="006946C5">
              <w:rPr>
                <w:kern w:val="22"/>
                <w:szCs w:val="22"/>
                <w:lang w:val="fr-CA"/>
              </w:rPr>
              <w:t xml:space="preserve">ans différents </w:t>
            </w:r>
            <w:r w:rsidRPr="00C462BE">
              <w:rPr>
                <w:kern w:val="22"/>
                <w:szCs w:val="22"/>
                <w:lang w:val="fr-CA"/>
              </w:rPr>
              <w:t>secteurs.</w:t>
            </w:r>
          </w:p>
        </w:tc>
        <w:tc>
          <w:tcPr>
            <w:tcW w:w="2790" w:type="dxa"/>
          </w:tcPr>
          <w:p w14:paraId="2475F0A2" w14:textId="06EFF6DD" w:rsidR="00CD3639" w:rsidRPr="001C6DD9" w:rsidRDefault="00CD3639" w:rsidP="00CD3639">
            <w:pPr>
              <w:suppressLineNumbers/>
              <w:suppressAutoHyphens/>
              <w:spacing w:before="60" w:after="60"/>
              <w:jc w:val="left"/>
              <w:rPr>
                <w:rFonts w:eastAsia="MS Mincho"/>
                <w:kern w:val="22"/>
                <w:szCs w:val="22"/>
                <w:lang w:val="fr-CA"/>
              </w:rPr>
            </w:pPr>
            <w:r w:rsidRPr="001C6DD9">
              <w:rPr>
                <w:rFonts w:eastAsia="MS Mincho"/>
                <w:szCs w:val="22"/>
                <w:lang w:val="fr-CA"/>
              </w:rPr>
              <w:t xml:space="preserve">a) </w:t>
            </w:r>
            <w:r w:rsidR="00FE3A58">
              <w:rPr>
                <w:rFonts w:eastAsia="MS Mincho"/>
                <w:szCs w:val="22"/>
                <w:lang w:val="fr-CA"/>
              </w:rPr>
              <w:t>Pourcentage de Parties</w:t>
            </w:r>
            <w:r w:rsidR="001C6DD9" w:rsidRPr="001C6DD9">
              <w:rPr>
                <w:rFonts w:eastAsia="MS Mincho"/>
                <w:szCs w:val="22"/>
                <w:lang w:val="fr-CA"/>
              </w:rPr>
              <w:t xml:space="preserve"> ayant organisé des activités </w:t>
            </w:r>
            <w:r w:rsidR="001C6DD9">
              <w:rPr>
                <w:rFonts w:eastAsia="MS Mincho"/>
                <w:szCs w:val="22"/>
                <w:lang w:val="fr-CA"/>
              </w:rPr>
              <w:t>pour faciliter la coo</w:t>
            </w:r>
            <w:r w:rsidR="001C6DD9" w:rsidRPr="001C6DD9">
              <w:rPr>
                <w:rFonts w:eastAsia="MS Mincho"/>
                <w:szCs w:val="22"/>
                <w:lang w:val="fr-CA"/>
              </w:rPr>
              <w:t>pération technique et scientifique et le partage d’</w:t>
            </w:r>
            <w:r w:rsidR="001C6DD9">
              <w:rPr>
                <w:rFonts w:eastAsia="MS Mincho"/>
                <w:szCs w:val="22"/>
                <w:lang w:val="fr-CA"/>
              </w:rPr>
              <w:t>informati</w:t>
            </w:r>
            <w:r w:rsidR="001C6DD9" w:rsidRPr="001C6DD9">
              <w:rPr>
                <w:rFonts w:eastAsia="MS Mincho"/>
                <w:szCs w:val="22"/>
                <w:lang w:val="fr-CA"/>
              </w:rPr>
              <w:t xml:space="preserve">ons aux niveaux </w:t>
            </w:r>
            <w:r w:rsidR="001C6DD9">
              <w:rPr>
                <w:rFonts w:eastAsia="MS Mincho"/>
                <w:szCs w:val="22"/>
                <w:lang w:val="fr-CA"/>
              </w:rPr>
              <w:t>bilaté</w:t>
            </w:r>
            <w:r w:rsidR="001C6DD9" w:rsidRPr="001C6DD9">
              <w:rPr>
                <w:rFonts w:eastAsia="MS Mincho"/>
                <w:szCs w:val="22"/>
                <w:lang w:val="fr-CA"/>
              </w:rPr>
              <w:t>ral, infrarégional et régional</w:t>
            </w:r>
            <w:r w:rsidRPr="001C6DD9">
              <w:rPr>
                <w:rFonts w:eastAsia="MS Mincho"/>
                <w:szCs w:val="22"/>
                <w:lang w:val="fr-CA"/>
              </w:rPr>
              <w:t>;</w:t>
            </w:r>
          </w:p>
          <w:p w14:paraId="5B9D4F57" w14:textId="47F39DAE" w:rsidR="00CD3639" w:rsidRPr="001C6DD9" w:rsidRDefault="00CD3639" w:rsidP="001C6DD9">
            <w:pPr>
              <w:suppressLineNumbers/>
              <w:suppressAutoHyphens/>
              <w:spacing w:before="60" w:after="60"/>
              <w:jc w:val="left"/>
              <w:rPr>
                <w:rFonts w:eastAsia="MS Mincho"/>
                <w:kern w:val="22"/>
                <w:szCs w:val="22"/>
                <w:lang w:val="fr-CA"/>
              </w:rPr>
            </w:pPr>
            <w:r w:rsidRPr="001C6DD9">
              <w:rPr>
                <w:rFonts w:eastAsia="MS Mincho"/>
                <w:szCs w:val="22"/>
                <w:lang w:val="fr-CA"/>
              </w:rPr>
              <w:t xml:space="preserve">b) </w:t>
            </w:r>
            <w:r w:rsidR="00FE3A58">
              <w:rPr>
                <w:rFonts w:eastAsia="MS Mincho"/>
                <w:szCs w:val="22"/>
                <w:lang w:val="fr-CA"/>
              </w:rPr>
              <w:t>Pourcentage de Parties</w:t>
            </w:r>
            <w:r w:rsidR="001C6DD9" w:rsidRPr="001C6DD9">
              <w:rPr>
                <w:rFonts w:eastAsia="MS Mincho"/>
                <w:szCs w:val="22"/>
                <w:lang w:val="fr-CA"/>
              </w:rPr>
              <w:t xml:space="preserve"> ay</w:t>
            </w:r>
            <w:r w:rsidR="001C6DD9">
              <w:rPr>
                <w:rFonts w:eastAsia="MS Mincho"/>
                <w:szCs w:val="22"/>
                <w:lang w:val="fr-CA"/>
              </w:rPr>
              <w:t>ant organisé des activités conj</w:t>
            </w:r>
            <w:r w:rsidR="006C33DC">
              <w:rPr>
                <w:rFonts w:eastAsia="MS Mincho"/>
                <w:szCs w:val="22"/>
                <w:lang w:val="fr-CA"/>
              </w:rPr>
              <w:t xml:space="preserve">ointes </w:t>
            </w:r>
            <w:r w:rsidR="001C6DD9" w:rsidRPr="001C6DD9">
              <w:rPr>
                <w:rFonts w:eastAsia="MS Mincho"/>
                <w:szCs w:val="22"/>
                <w:lang w:val="fr-CA"/>
              </w:rPr>
              <w:t xml:space="preserve">auxquelles ont participé les </w:t>
            </w:r>
            <w:r w:rsidR="001C6DD9">
              <w:rPr>
                <w:rFonts w:eastAsia="MS Mincho"/>
                <w:szCs w:val="22"/>
                <w:lang w:val="fr-CA"/>
              </w:rPr>
              <w:t>peuples autocht</w:t>
            </w:r>
            <w:r w:rsidR="00BD77E6">
              <w:rPr>
                <w:rFonts w:eastAsia="MS Mincho"/>
                <w:szCs w:val="22"/>
                <w:lang w:val="fr-CA"/>
              </w:rPr>
              <w:t>ones et les communautés locales, ainsi que l</w:t>
            </w:r>
            <w:r w:rsidR="001C6DD9" w:rsidRPr="001C6DD9">
              <w:rPr>
                <w:rFonts w:eastAsia="MS Mincho"/>
                <w:szCs w:val="22"/>
                <w:lang w:val="fr-CA"/>
              </w:rPr>
              <w:t>es p</w:t>
            </w:r>
            <w:r w:rsidR="00BD77E6">
              <w:rPr>
                <w:rFonts w:eastAsia="MS Mincho"/>
                <w:szCs w:val="22"/>
                <w:lang w:val="fr-CA"/>
              </w:rPr>
              <w:t xml:space="preserve">arties prenantes concernées dans </w:t>
            </w:r>
            <w:r w:rsidR="001C6DD9" w:rsidRPr="001C6DD9">
              <w:rPr>
                <w:rFonts w:eastAsia="MS Mincho"/>
                <w:szCs w:val="22"/>
                <w:lang w:val="fr-CA"/>
              </w:rPr>
              <w:t>différents secteurs</w:t>
            </w:r>
            <w:r w:rsidR="006C33DC">
              <w:rPr>
                <w:rFonts w:eastAsia="MS Mincho"/>
                <w:szCs w:val="22"/>
                <w:lang w:val="fr-CA"/>
              </w:rPr>
              <w:t>.</w:t>
            </w:r>
          </w:p>
        </w:tc>
        <w:tc>
          <w:tcPr>
            <w:tcW w:w="1890" w:type="dxa"/>
          </w:tcPr>
          <w:p w14:paraId="5F557A84" w14:textId="0A0C17D1" w:rsidR="00CD3639" w:rsidRDefault="00CD3639" w:rsidP="00CD3639">
            <w:pPr>
              <w:suppressLineNumbers/>
              <w:suppressAutoHyphens/>
              <w:spacing w:before="60" w:after="60"/>
              <w:jc w:val="left"/>
              <w:rPr>
                <w:kern w:val="22"/>
                <w:szCs w:val="22"/>
                <w:lang w:val="fr-CA"/>
              </w:rPr>
            </w:pPr>
            <w:r w:rsidRPr="00C462BE">
              <w:rPr>
                <w:kern w:val="22"/>
                <w:szCs w:val="22"/>
                <w:lang w:val="fr-CA"/>
              </w:rPr>
              <w:t>Grâce à la coopération aux niveaux national, régional et international et à la participation des par</w:t>
            </w:r>
            <w:r w:rsidR="00BD77E6">
              <w:rPr>
                <w:kern w:val="22"/>
                <w:szCs w:val="22"/>
                <w:lang w:val="fr-CA"/>
              </w:rPr>
              <w:t>ties prenantes, la mise en œuvre</w:t>
            </w:r>
            <w:r w:rsidRPr="00C462BE">
              <w:rPr>
                <w:kern w:val="22"/>
                <w:szCs w:val="22"/>
                <w:lang w:val="fr-CA"/>
              </w:rPr>
              <w:t xml:space="preserve"> du Protocole pa</w:t>
            </w:r>
            <w:r w:rsidR="00E60DFF">
              <w:rPr>
                <w:kern w:val="22"/>
                <w:szCs w:val="22"/>
                <w:lang w:val="fr-CA"/>
              </w:rPr>
              <w:t>r les Parties est plus efficace;</w:t>
            </w:r>
          </w:p>
          <w:p w14:paraId="19CF7369" w14:textId="7A9D2253" w:rsidR="00E60DFF" w:rsidRPr="00C462BE" w:rsidRDefault="00E60DFF" w:rsidP="00CD3639">
            <w:pPr>
              <w:suppressLineNumbers/>
              <w:suppressAutoHyphens/>
              <w:spacing w:before="60" w:after="60"/>
              <w:jc w:val="left"/>
              <w:rPr>
                <w:rFonts w:eastAsia="MS Mincho"/>
                <w:kern w:val="22"/>
                <w:szCs w:val="22"/>
                <w:lang w:val="fr-CA"/>
              </w:rPr>
            </w:pPr>
            <w:r>
              <w:rPr>
                <w:kern w:val="22"/>
                <w:szCs w:val="22"/>
                <w:lang w:val="fr-CA"/>
              </w:rPr>
              <w:t>Sensibilisation accrue à l’importance de la prévention des risques biotechnologiques à l’échelle du gouvernement et chez les parties prenantes concernées</w:t>
            </w:r>
            <w:r w:rsidR="00BD77E6">
              <w:rPr>
                <w:kern w:val="22"/>
                <w:szCs w:val="22"/>
                <w:lang w:val="fr-CA"/>
              </w:rPr>
              <w:t>.</w:t>
            </w:r>
          </w:p>
        </w:tc>
        <w:tc>
          <w:tcPr>
            <w:tcW w:w="1710" w:type="dxa"/>
          </w:tcPr>
          <w:p w14:paraId="468B418F" w14:textId="3400AAFD" w:rsidR="00CD3639" w:rsidRPr="00C462BE" w:rsidRDefault="00CD3639" w:rsidP="00E60DFF">
            <w:pPr>
              <w:suppressLineNumbers/>
              <w:suppressAutoHyphens/>
              <w:spacing w:before="60" w:after="60"/>
              <w:jc w:val="left"/>
              <w:rPr>
                <w:rFonts w:eastAsia="MS Mincho"/>
                <w:kern w:val="22"/>
                <w:szCs w:val="22"/>
                <w:lang w:val="fr-CA"/>
              </w:rPr>
            </w:pPr>
            <w:r w:rsidRPr="00C462BE">
              <w:rPr>
                <w:rFonts w:eastAsia="MS Mincho"/>
                <w:szCs w:val="22"/>
                <w:lang w:val="fr-CA"/>
              </w:rPr>
              <w:t>[</w:t>
            </w:r>
            <w:r w:rsidR="00E60DFF">
              <w:rPr>
                <w:rFonts w:eastAsia="MS Mincho"/>
                <w:szCs w:val="22"/>
                <w:lang w:val="fr-CA"/>
              </w:rPr>
              <w:t>Parties, autorités nationales, peuples autochtones, communautés locales, autres parties prenantes/ le public</w:t>
            </w:r>
            <w:r w:rsidRPr="00C462BE">
              <w:rPr>
                <w:rFonts w:eastAsia="MS Mincho"/>
                <w:szCs w:val="22"/>
                <w:lang w:val="fr-CA"/>
              </w:rPr>
              <w:t>.]</w:t>
            </w:r>
          </w:p>
        </w:tc>
      </w:tr>
    </w:tbl>
    <w:p w14:paraId="70F06B25" w14:textId="6D4A0E64" w:rsidR="005F21B0" w:rsidRPr="00E60DFF" w:rsidRDefault="005F21B0" w:rsidP="00154A61">
      <w:pPr>
        <w:rPr>
          <w:rFonts w:asciiTheme="majorBidi" w:hAnsiTheme="majorBidi" w:cstheme="majorBidi"/>
          <w:lang w:val="fr-CA"/>
        </w:rPr>
      </w:pPr>
    </w:p>
    <w:p w14:paraId="5424424F" w14:textId="77777777" w:rsidR="00154A61" w:rsidRPr="0048236E" w:rsidRDefault="00154A61" w:rsidP="00154A61">
      <w:pPr>
        <w:spacing w:after="160"/>
        <w:ind w:left="630"/>
        <w:jc w:val="center"/>
        <w:rPr>
          <w:rFonts w:asciiTheme="majorBidi" w:hAnsiTheme="majorBidi" w:cstheme="majorBidi"/>
        </w:rPr>
      </w:pPr>
      <w:r w:rsidRPr="00BA3C77">
        <w:rPr>
          <w:rFonts w:asciiTheme="majorBidi" w:hAnsiTheme="majorBidi" w:cstheme="majorBidi"/>
        </w:rPr>
        <w:t>__________</w:t>
      </w:r>
    </w:p>
    <w:p w14:paraId="737FBFDA" w14:textId="19C4B773" w:rsidR="00257E41" w:rsidRPr="0048236E" w:rsidRDefault="00257E41" w:rsidP="00257E41">
      <w:pPr>
        <w:spacing w:after="160"/>
        <w:ind w:left="630"/>
        <w:rPr>
          <w:rFonts w:asciiTheme="majorBidi" w:hAnsiTheme="majorBidi" w:cstheme="majorBidi"/>
        </w:rPr>
      </w:pPr>
    </w:p>
    <w:p w14:paraId="2C744F38" w14:textId="77777777" w:rsidR="00385B46" w:rsidRPr="00346C71" w:rsidRDefault="00385B46" w:rsidP="00385B46">
      <w:pPr>
        <w:rPr>
          <w:rFonts w:asciiTheme="majorBidi" w:hAnsiTheme="majorBidi" w:cstheme="majorBidi"/>
        </w:rPr>
      </w:pPr>
    </w:p>
    <w:p w14:paraId="1D78D090" w14:textId="3EE5F7B6" w:rsidR="008C32B5" w:rsidRPr="00346C71" w:rsidRDefault="008C32B5" w:rsidP="008C32B5">
      <w:pPr>
        <w:rPr>
          <w:rFonts w:asciiTheme="majorBidi" w:hAnsiTheme="majorBidi" w:cstheme="majorBidi"/>
        </w:rPr>
      </w:pPr>
    </w:p>
    <w:sectPr w:rsidR="008C32B5" w:rsidRPr="00346C71" w:rsidSect="00CE74B9">
      <w:headerReference w:type="default" r:id="rId17"/>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CBD9" w14:textId="77777777" w:rsidR="000377AE" w:rsidRDefault="000377AE" w:rsidP="00CF1848">
      <w:r>
        <w:separator/>
      </w:r>
    </w:p>
  </w:endnote>
  <w:endnote w:type="continuationSeparator" w:id="0">
    <w:p w14:paraId="6FAD2654" w14:textId="77777777" w:rsidR="000377AE" w:rsidRDefault="000377AE" w:rsidP="00CF1848">
      <w:r>
        <w:continuationSeparator/>
      </w:r>
    </w:p>
  </w:endnote>
  <w:endnote w:type="continuationNotice" w:id="1">
    <w:p w14:paraId="199CA7ED" w14:textId="77777777" w:rsidR="000377AE" w:rsidRDefault="00037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72227" w14:textId="77777777" w:rsidR="000377AE" w:rsidRDefault="000377AE" w:rsidP="00CF1848">
      <w:r>
        <w:separator/>
      </w:r>
    </w:p>
  </w:footnote>
  <w:footnote w:type="continuationSeparator" w:id="0">
    <w:p w14:paraId="65C46AC4" w14:textId="77777777" w:rsidR="000377AE" w:rsidRDefault="000377AE" w:rsidP="00CF1848">
      <w:r>
        <w:continuationSeparator/>
      </w:r>
    </w:p>
  </w:footnote>
  <w:footnote w:type="continuationNotice" w:id="1">
    <w:p w14:paraId="3E45DBCE" w14:textId="77777777" w:rsidR="000377AE" w:rsidRDefault="000377AE"/>
  </w:footnote>
  <w:footnote w:id="2">
    <w:p w14:paraId="54B27290" w14:textId="6BCD7D5D" w:rsidR="004F298D" w:rsidRPr="00232A4F" w:rsidRDefault="004F298D" w:rsidP="00232A4F">
      <w:pPr>
        <w:pStyle w:val="FootnoteText"/>
        <w:spacing w:after="0"/>
        <w:ind w:firstLine="0"/>
        <w:jc w:val="left"/>
        <w:rPr>
          <w:szCs w:val="18"/>
          <w:lang w:val="fr-CA"/>
        </w:rPr>
      </w:pPr>
      <w:r w:rsidRPr="00232A4F">
        <w:rPr>
          <w:rStyle w:val="FootnoteReference"/>
          <w:sz w:val="18"/>
          <w:szCs w:val="18"/>
          <w:lang w:val="fr-CA"/>
        </w:rPr>
        <w:footnoteRef/>
      </w:r>
      <w:r w:rsidRPr="00232A4F">
        <w:rPr>
          <w:szCs w:val="18"/>
          <w:lang w:val="fr-CA"/>
        </w:rPr>
        <w:t xml:space="preserve"> Décision </w:t>
      </w:r>
      <w:hyperlink r:id="rId1" w:history="1">
        <w:r w:rsidRPr="00701BEA">
          <w:rPr>
            <w:rStyle w:val="Hyperlink"/>
            <w:szCs w:val="18"/>
            <w:lang w:val="fr-CA"/>
          </w:rPr>
          <w:t>BS/V/16</w:t>
        </w:r>
      </w:hyperlink>
      <w:r>
        <w:rPr>
          <w:szCs w:val="18"/>
          <w:lang w:val="fr-CA"/>
        </w:rPr>
        <w:t>.</w:t>
      </w:r>
    </w:p>
  </w:footnote>
  <w:footnote w:id="3">
    <w:p w14:paraId="66376C44" w14:textId="77777777" w:rsidR="004F298D" w:rsidRPr="00701BEA" w:rsidRDefault="004F298D" w:rsidP="00CE74B9">
      <w:pPr>
        <w:pStyle w:val="FootnoteText"/>
        <w:ind w:firstLine="0"/>
        <w:jc w:val="left"/>
        <w:rPr>
          <w:szCs w:val="18"/>
          <w:lang w:val="fr-FR"/>
        </w:rPr>
      </w:pPr>
      <w:r w:rsidRPr="00CE74B9">
        <w:rPr>
          <w:rStyle w:val="FootnoteReference"/>
          <w:sz w:val="18"/>
          <w:szCs w:val="18"/>
        </w:rPr>
        <w:footnoteRef/>
      </w:r>
      <w:r w:rsidRPr="00701BEA">
        <w:rPr>
          <w:szCs w:val="18"/>
          <w:lang w:val="fr-FR"/>
        </w:rPr>
        <w:t xml:space="preserve"> SBI/3/3/Add.1.</w:t>
      </w:r>
    </w:p>
  </w:footnote>
  <w:footnote w:id="4">
    <w:p w14:paraId="34B6FC60" w14:textId="4F590C59" w:rsidR="004F298D" w:rsidRPr="00232A4F" w:rsidRDefault="004F298D" w:rsidP="00000FF4">
      <w:pPr>
        <w:pStyle w:val="FootnoteText"/>
        <w:spacing w:after="0"/>
        <w:ind w:firstLine="0"/>
        <w:jc w:val="left"/>
        <w:rPr>
          <w:szCs w:val="18"/>
          <w:lang w:val="fr-CA"/>
        </w:rPr>
      </w:pPr>
      <w:r w:rsidRPr="00232A4F">
        <w:rPr>
          <w:rStyle w:val="FootnoteReference"/>
          <w:sz w:val="18"/>
          <w:szCs w:val="18"/>
          <w:lang w:val="fr-CA"/>
        </w:rPr>
        <w:footnoteRef/>
      </w:r>
      <w:r w:rsidRPr="00232A4F">
        <w:rPr>
          <w:szCs w:val="18"/>
          <w:lang w:val="fr-CA"/>
        </w:rPr>
        <w:t xml:space="preserve"> Annexe I à la décision </w:t>
      </w:r>
      <w:r w:rsidR="00240570">
        <w:fldChar w:fldCharType="begin"/>
      </w:r>
      <w:r w:rsidR="00240570" w:rsidRPr="00301569">
        <w:rPr>
          <w:lang w:val="fr-FR"/>
        </w:rPr>
        <w:instrText xml:space="preserve"> HYPERLINK "http://bch.cbd.int/protocol/decisions/?decisionID=13236" </w:instrText>
      </w:r>
      <w:r w:rsidR="00240570">
        <w:fldChar w:fldCharType="separate"/>
      </w:r>
      <w:r w:rsidRPr="00FD1311">
        <w:rPr>
          <w:rStyle w:val="Hyperlink"/>
          <w:szCs w:val="18"/>
          <w:lang w:val="fr-CA"/>
        </w:rPr>
        <w:t>BS/VI/3</w:t>
      </w:r>
      <w:r w:rsidR="00240570">
        <w:rPr>
          <w:rStyle w:val="Hyperlink"/>
          <w:szCs w:val="18"/>
          <w:lang w:val="fr-CA"/>
        </w:rPr>
        <w:fldChar w:fldCharType="end"/>
      </w:r>
      <w:r>
        <w:rPr>
          <w:szCs w:val="18"/>
          <w:lang w:val="fr-CA"/>
        </w:rPr>
        <w:t>.</w:t>
      </w:r>
    </w:p>
  </w:footnote>
  <w:footnote w:id="5">
    <w:p w14:paraId="6AFCBE39" w14:textId="77777777" w:rsidR="004F298D" w:rsidRPr="00CE74B9" w:rsidRDefault="004F298D" w:rsidP="00000FF4">
      <w:pPr>
        <w:pStyle w:val="FootnoteText"/>
        <w:ind w:firstLine="0"/>
        <w:jc w:val="left"/>
        <w:rPr>
          <w:szCs w:val="18"/>
        </w:rPr>
      </w:pPr>
      <w:r w:rsidRPr="00CE74B9">
        <w:rPr>
          <w:rStyle w:val="FootnoteReference"/>
          <w:sz w:val="18"/>
          <w:szCs w:val="18"/>
        </w:rPr>
        <w:footnoteRef/>
      </w:r>
      <w:r w:rsidRPr="006439F7">
        <w:rPr>
          <w:szCs w:val="18"/>
        </w:rPr>
        <w:t xml:space="preserve"> SBI/3/3/Add.1.</w:t>
      </w:r>
    </w:p>
  </w:footnote>
  <w:footnote w:id="6">
    <w:p w14:paraId="0E29C589" w14:textId="5574FB11" w:rsidR="004F298D" w:rsidRPr="00F91A49" w:rsidRDefault="004F298D" w:rsidP="006E7DF3">
      <w:pPr>
        <w:pStyle w:val="FootnoteText"/>
        <w:ind w:firstLine="0"/>
        <w:jc w:val="left"/>
        <w:rPr>
          <w:szCs w:val="18"/>
          <w:lang w:val="es-ES"/>
        </w:rPr>
      </w:pPr>
      <w:r w:rsidRPr="00F91A49">
        <w:rPr>
          <w:rStyle w:val="FootnoteReference"/>
          <w:sz w:val="18"/>
          <w:szCs w:val="18"/>
        </w:rPr>
        <w:footnoteRef/>
      </w:r>
      <w:r>
        <w:rPr>
          <w:szCs w:val="18"/>
          <w:lang w:val="es-ES"/>
        </w:rPr>
        <w:t xml:space="preserve"> Déc</w:t>
      </w:r>
      <w:r w:rsidRPr="00F91A49">
        <w:rPr>
          <w:szCs w:val="18"/>
          <w:lang w:val="es-ES"/>
        </w:rPr>
        <w:t xml:space="preserve">ision </w:t>
      </w:r>
      <w:r>
        <w:rPr>
          <w:szCs w:val="18"/>
          <w:lang w:val="es-ES"/>
        </w:rPr>
        <w:t>CP-</w:t>
      </w:r>
      <w:r w:rsidRPr="00F91A49">
        <w:rPr>
          <w:szCs w:val="18"/>
          <w:lang w:val="es-ES"/>
        </w:rPr>
        <w:t>10/</w:t>
      </w:r>
      <w:r>
        <w:rPr>
          <w:szCs w:val="18"/>
          <w:lang w:val="es-ES"/>
        </w:rPr>
        <w:t>--</w:t>
      </w:r>
      <w:r w:rsidRPr="00F91A49">
        <w:rPr>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BC20A3F" w14:textId="1B035379" w:rsidR="004F298D" w:rsidRPr="000E37C8" w:rsidRDefault="004F298D" w:rsidP="00CE74B9">
        <w:pPr>
          <w:pStyle w:val="Header"/>
          <w:jc w:val="left"/>
          <w:rPr>
            <w:noProof/>
            <w:lang w:val="fr-FR"/>
          </w:rPr>
        </w:pPr>
        <w:r>
          <w:rPr>
            <w:lang w:val="fr-FR"/>
          </w:rPr>
          <w:t>CBD/SBI/REC/3/4</w:t>
        </w:r>
      </w:p>
    </w:sdtContent>
  </w:sdt>
  <w:p w14:paraId="1E0FDE0B" w14:textId="77777777" w:rsidR="004F298D" w:rsidRPr="000E37C8" w:rsidRDefault="004F298D" w:rsidP="00CE74B9">
    <w:pPr>
      <w:pStyle w:val="Header"/>
      <w:jc w:val="left"/>
      <w:rPr>
        <w:noProof/>
        <w:lang w:val="fr-FR"/>
      </w:rPr>
    </w:pPr>
    <w:r w:rsidRPr="000E37C8">
      <w:rPr>
        <w:noProof/>
        <w:lang w:val="fr-FR"/>
      </w:rPr>
      <w:t xml:space="preserve">Page </w:t>
    </w:r>
    <w:r w:rsidRPr="00CE74B9">
      <w:rPr>
        <w:noProof/>
      </w:rPr>
      <w:fldChar w:fldCharType="begin"/>
    </w:r>
    <w:r w:rsidRPr="000E37C8">
      <w:rPr>
        <w:noProof/>
        <w:lang w:val="fr-FR"/>
      </w:rPr>
      <w:instrText xml:space="preserve"> PAGE   \* MERGEFORMAT </w:instrText>
    </w:r>
    <w:r w:rsidRPr="00CE74B9">
      <w:rPr>
        <w:noProof/>
      </w:rPr>
      <w:fldChar w:fldCharType="separate"/>
    </w:r>
    <w:r w:rsidR="005E4F81">
      <w:rPr>
        <w:noProof/>
        <w:lang w:val="fr-FR"/>
      </w:rPr>
      <w:t>22</w:t>
    </w:r>
    <w:r w:rsidRPr="00CE74B9">
      <w:rPr>
        <w:noProof/>
      </w:rPr>
      <w:fldChar w:fldCharType="end"/>
    </w:r>
  </w:p>
  <w:p w14:paraId="392EF2C8" w14:textId="77777777" w:rsidR="004F298D" w:rsidRPr="000E37C8" w:rsidRDefault="004F298D" w:rsidP="00CE74B9">
    <w:pPr>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C4EC37E" w14:textId="2424AE35" w:rsidR="004F298D" w:rsidRPr="000E37C8" w:rsidRDefault="004F298D" w:rsidP="008F2127">
        <w:pPr>
          <w:pStyle w:val="Header"/>
          <w:jc w:val="right"/>
          <w:rPr>
            <w:noProof/>
            <w:lang w:val="fr-FR"/>
          </w:rPr>
        </w:pPr>
        <w:r>
          <w:rPr>
            <w:lang w:val="fr-FR"/>
          </w:rPr>
          <w:t>CBD/SBI/REC/3/4</w:t>
        </w:r>
      </w:p>
    </w:sdtContent>
  </w:sdt>
  <w:p w14:paraId="64AE8439" w14:textId="77777777" w:rsidR="004F298D" w:rsidRPr="000E37C8" w:rsidRDefault="004F298D" w:rsidP="008F2127">
    <w:pPr>
      <w:pStyle w:val="Header"/>
      <w:jc w:val="right"/>
      <w:rPr>
        <w:noProof/>
        <w:lang w:val="fr-FR"/>
      </w:rPr>
    </w:pPr>
    <w:r w:rsidRPr="000E37C8">
      <w:rPr>
        <w:noProof/>
        <w:lang w:val="fr-FR"/>
      </w:rPr>
      <w:t xml:space="preserve">Page </w:t>
    </w:r>
    <w:r w:rsidRPr="00CE74B9">
      <w:rPr>
        <w:noProof/>
      </w:rPr>
      <w:fldChar w:fldCharType="begin"/>
    </w:r>
    <w:r w:rsidRPr="000E37C8">
      <w:rPr>
        <w:noProof/>
        <w:lang w:val="fr-FR"/>
      </w:rPr>
      <w:instrText xml:space="preserve"> PAGE   \* MERGEFORMAT </w:instrText>
    </w:r>
    <w:r w:rsidRPr="00CE74B9">
      <w:rPr>
        <w:noProof/>
      </w:rPr>
      <w:fldChar w:fldCharType="separate"/>
    </w:r>
    <w:r w:rsidR="005E4F81">
      <w:rPr>
        <w:noProof/>
        <w:lang w:val="fr-FR"/>
      </w:rPr>
      <w:t>17</w:t>
    </w:r>
    <w:r w:rsidRPr="00CE74B9">
      <w:rPr>
        <w:noProof/>
      </w:rPr>
      <w:fldChar w:fldCharType="end"/>
    </w:r>
  </w:p>
  <w:p w14:paraId="7BB6AB4C" w14:textId="77777777" w:rsidR="004F298D" w:rsidRPr="000E37C8" w:rsidRDefault="004F298D" w:rsidP="00CE74B9">
    <w:pPr>
      <w:jc w:val="right"/>
      <w:rPr>
        <w:noProof/>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10484334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B63B11D" w14:textId="4CE37FD5" w:rsidR="004F298D" w:rsidRPr="000E37C8" w:rsidRDefault="004F298D" w:rsidP="008F2127">
        <w:pPr>
          <w:pStyle w:val="Header"/>
          <w:jc w:val="right"/>
          <w:rPr>
            <w:noProof/>
            <w:lang w:val="fr-FR"/>
          </w:rPr>
        </w:pPr>
        <w:r>
          <w:rPr>
            <w:lang w:val="fr-FR"/>
          </w:rPr>
          <w:t>CBD/SBI/REC/3/4</w:t>
        </w:r>
      </w:p>
    </w:sdtContent>
  </w:sdt>
  <w:p w14:paraId="7A8E6DEA" w14:textId="77777777" w:rsidR="004F298D" w:rsidRPr="000E37C8" w:rsidRDefault="004F298D" w:rsidP="008F2127">
    <w:pPr>
      <w:pStyle w:val="Header"/>
      <w:jc w:val="right"/>
      <w:rPr>
        <w:noProof/>
        <w:lang w:val="fr-FR"/>
      </w:rPr>
    </w:pPr>
    <w:r w:rsidRPr="000E37C8">
      <w:rPr>
        <w:noProof/>
        <w:lang w:val="fr-FR"/>
      </w:rPr>
      <w:t xml:space="preserve">Page </w:t>
    </w:r>
    <w:r w:rsidRPr="00CE74B9">
      <w:rPr>
        <w:noProof/>
      </w:rPr>
      <w:fldChar w:fldCharType="begin"/>
    </w:r>
    <w:r w:rsidRPr="000E37C8">
      <w:rPr>
        <w:noProof/>
        <w:lang w:val="fr-FR"/>
      </w:rPr>
      <w:instrText xml:space="preserve"> PAGE   \* MERGEFORMAT </w:instrText>
    </w:r>
    <w:r w:rsidRPr="00CE74B9">
      <w:rPr>
        <w:noProof/>
      </w:rPr>
      <w:fldChar w:fldCharType="separate"/>
    </w:r>
    <w:r w:rsidR="005E4F81">
      <w:rPr>
        <w:noProof/>
        <w:lang w:val="fr-FR"/>
      </w:rPr>
      <w:t>21</w:t>
    </w:r>
    <w:r w:rsidRPr="00CE74B9">
      <w:rPr>
        <w:noProof/>
      </w:rPr>
      <w:fldChar w:fldCharType="end"/>
    </w:r>
  </w:p>
  <w:p w14:paraId="0A26991B" w14:textId="77777777" w:rsidR="004F298D" w:rsidRPr="000E37C8" w:rsidRDefault="004F298D" w:rsidP="00CE74B9">
    <w:pPr>
      <w:jc w:val="right"/>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51CF"/>
    <w:multiLevelType w:val="hybridMultilevel"/>
    <w:tmpl w:val="43E04824"/>
    <w:lvl w:ilvl="0" w:tplc="F16EAF6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51F5"/>
    <w:multiLevelType w:val="hybridMultilevel"/>
    <w:tmpl w:val="C2747BB4"/>
    <w:lvl w:ilvl="0" w:tplc="A1AA5F78">
      <w:start w:val="1"/>
      <w:numFmt w:val="decimal"/>
      <w:lvlText w:val="%1."/>
      <w:lvlJc w:val="left"/>
      <w:pPr>
        <w:ind w:left="720" w:hanging="360"/>
      </w:pPr>
      <w:rPr>
        <w:rFonts w:hint="default"/>
      </w:rPr>
    </w:lvl>
    <w:lvl w:ilvl="1" w:tplc="DEACFC66" w:tentative="1">
      <w:start w:val="1"/>
      <w:numFmt w:val="lowerLetter"/>
      <w:lvlText w:val="%2."/>
      <w:lvlJc w:val="left"/>
      <w:pPr>
        <w:ind w:left="1440" w:hanging="360"/>
      </w:pPr>
    </w:lvl>
    <w:lvl w:ilvl="2" w:tplc="A0545D06" w:tentative="1">
      <w:start w:val="1"/>
      <w:numFmt w:val="lowerRoman"/>
      <w:lvlText w:val="%3."/>
      <w:lvlJc w:val="right"/>
      <w:pPr>
        <w:ind w:left="2160" w:hanging="180"/>
      </w:pPr>
    </w:lvl>
    <w:lvl w:ilvl="3" w:tplc="197065CA" w:tentative="1">
      <w:start w:val="1"/>
      <w:numFmt w:val="decimal"/>
      <w:lvlText w:val="%4."/>
      <w:lvlJc w:val="left"/>
      <w:pPr>
        <w:ind w:left="2880" w:hanging="360"/>
      </w:pPr>
    </w:lvl>
    <w:lvl w:ilvl="4" w:tplc="716826CA" w:tentative="1">
      <w:start w:val="1"/>
      <w:numFmt w:val="lowerLetter"/>
      <w:lvlText w:val="%5."/>
      <w:lvlJc w:val="left"/>
      <w:pPr>
        <w:ind w:left="3600" w:hanging="360"/>
      </w:pPr>
    </w:lvl>
    <w:lvl w:ilvl="5" w:tplc="835E515E" w:tentative="1">
      <w:start w:val="1"/>
      <w:numFmt w:val="lowerRoman"/>
      <w:lvlText w:val="%6."/>
      <w:lvlJc w:val="right"/>
      <w:pPr>
        <w:ind w:left="4320" w:hanging="180"/>
      </w:pPr>
    </w:lvl>
    <w:lvl w:ilvl="6" w:tplc="E826886C" w:tentative="1">
      <w:start w:val="1"/>
      <w:numFmt w:val="decimal"/>
      <w:lvlText w:val="%7."/>
      <w:lvlJc w:val="left"/>
      <w:pPr>
        <w:ind w:left="5040" w:hanging="360"/>
      </w:pPr>
    </w:lvl>
    <w:lvl w:ilvl="7" w:tplc="FB1CFB7E" w:tentative="1">
      <w:start w:val="1"/>
      <w:numFmt w:val="lowerLetter"/>
      <w:lvlText w:val="%8."/>
      <w:lvlJc w:val="left"/>
      <w:pPr>
        <w:ind w:left="5760" w:hanging="360"/>
      </w:pPr>
    </w:lvl>
    <w:lvl w:ilvl="8" w:tplc="BA142D46" w:tentative="1">
      <w:start w:val="1"/>
      <w:numFmt w:val="lowerRoman"/>
      <w:lvlText w:val="%9."/>
      <w:lvlJc w:val="right"/>
      <w:pPr>
        <w:ind w:left="6480" w:hanging="180"/>
      </w:pPr>
    </w:lvl>
  </w:abstractNum>
  <w:abstractNum w:abstractNumId="4" w15:restartNumberingAfterBreak="0">
    <w:nsid w:val="16433356"/>
    <w:multiLevelType w:val="hybridMultilevel"/>
    <w:tmpl w:val="6976696A"/>
    <w:lvl w:ilvl="0" w:tplc="9BEC5666">
      <w:start w:val="1"/>
      <w:numFmt w:val="decimal"/>
      <w:lvlText w:val="%1."/>
      <w:lvlJc w:val="left"/>
      <w:pPr>
        <w:ind w:left="720" w:hanging="360"/>
      </w:pPr>
      <w:rPr>
        <w:rFonts w:hint="default"/>
        <w:b w:val="0"/>
      </w:rPr>
    </w:lvl>
    <w:lvl w:ilvl="1" w:tplc="DEACFC66" w:tentative="1">
      <w:start w:val="1"/>
      <w:numFmt w:val="lowerLetter"/>
      <w:lvlText w:val="%2."/>
      <w:lvlJc w:val="left"/>
      <w:pPr>
        <w:ind w:left="1440" w:hanging="360"/>
      </w:pPr>
    </w:lvl>
    <w:lvl w:ilvl="2" w:tplc="A0545D06" w:tentative="1">
      <w:start w:val="1"/>
      <w:numFmt w:val="lowerRoman"/>
      <w:lvlText w:val="%3."/>
      <w:lvlJc w:val="right"/>
      <w:pPr>
        <w:ind w:left="2160" w:hanging="180"/>
      </w:pPr>
    </w:lvl>
    <w:lvl w:ilvl="3" w:tplc="197065CA" w:tentative="1">
      <w:start w:val="1"/>
      <w:numFmt w:val="decimal"/>
      <w:lvlText w:val="%4."/>
      <w:lvlJc w:val="left"/>
      <w:pPr>
        <w:ind w:left="2880" w:hanging="360"/>
      </w:pPr>
    </w:lvl>
    <w:lvl w:ilvl="4" w:tplc="716826CA" w:tentative="1">
      <w:start w:val="1"/>
      <w:numFmt w:val="lowerLetter"/>
      <w:lvlText w:val="%5."/>
      <w:lvlJc w:val="left"/>
      <w:pPr>
        <w:ind w:left="3600" w:hanging="360"/>
      </w:pPr>
    </w:lvl>
    <w:lvl w:ilvl="5" w:tplc="835E515E" w:tentative="1">
      <w:start w:val="1"/>
      <w:numFmt w:val="lowerRoman"/>
      <w:lvlText w:val="%6."/>
      <w:lvlJc w:val="right"/>
      <w:pPr>
        <w:ind w:left="4320" w:hanging="180"/>
      </w:pPr>
    </w:lvl>
    <w:lvl w:ilvl="6" w:tplc="E826886C" w:tentative="1">
      <w:start w:val="1"/>
      <w:numFmt w:val="decimal"/>
      <w:lvlText w:val="%7."/>
      <w:lvlJc w:val="left"/>
      <w:pPr>
        <w:ind w:left="5040" w:hanging="360"/>
      </w:pPr>
    </w:lvl>
    <w:lvl w:ilvl="7" w:tplc="FB1CFB7E" w:tentative="1">
      <w:start w:val="1"/>
      <w:numFmt w:val="lowerLetter"/>
      <w:lvlText w:val="%8."/>
      <w:lvlJc w:val="left"/>
      <w:pPr>
        <w:ind w:left="5760" w:hanging="360"/>
      </w:pPr>
    </w:lvl>
    <w:lvl w:ilvl="8" w:tplc="BA142D46" w:tentative="1">
      <w:start w:val="1"/>
      <w:numFmt w:val="lowerRoman"/>
      <w:lvlText w:val="%9."/>
      <w:lvlJc w:val="right"/>
      <w:pPr>
        <w:ind w:left="6480" w:hanging="180"/>
      </w:pPr>
    </w:lvl>
  </w:abstractNum>
  <w:abstractNum w:abstractNumId="5" w15:restartNumberingAfterBreak="0">
    <w:nsid w:val="16A74580"/>
    <w:multiLevelType w:val="hybridMultilevel"/>
    <w:tmpl w:val="19C628A0"/>
    <w:lvl w:ilvl="0" w:tplc="E58E3AD4">
      <w:start w:val="5"/>
      <w:numFmt w:val="upp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BA0738"/>
    <w:multiLevelType w:val="hybridMultilevel"/>
    <w:tmpl w:val="7AF21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13B701B"/>
    <w:multiLevelType w:val="hybridMultilevel"/>
    <w:tmpl w:val="42341A90"/>
    <w:lvl w:ilvl="0" w:tplc="9C446BB4">
      <w:start w:val="5"/>
      <w:numFmt w:val="upp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3DE77636"/>
    <w:multiLevelType w:val="hybridMultilevel"/>
    <w:tmpl w:val="C122B796"/>
    <w:lvl w:ilvl="0" w:tplc="0B2AB9EA">
      <w:start w:val="1"/>
      <w:numFmt w:val="upperLetter"/>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A4764"/>
    <w:multiLevelType w:val="hybridMultilevel"/>
    <w:tmpl w:val="7A300D02"/>
    <w:lvl w:ilvl="0" w:tplc="1C4622CA">
      <w:start w:val="1"/>
      <w:numFmt w:val="upperRoman"/>
      <w:lvlText w:val="%1."/>
      <w:lvlJc w:val="right"/>
      <w:pPr>
        <w:ind w:left="1080" w:hanging="360"/>
      </w:pPr>
    </w:lvl>
    <w:lvl w:ilvl="1" w:tplc="1E562FB2" w:tentative="1">
      <w:start w:val="1"/>
      <w:numFmt w:val="lowerLetter"/>
      <w:lvlText w:val="%2."/>
      <w:lvlJc w:val="left"/>
      <w:pPr>
        <w:ind w:left="1800" w:hanging="360"/>
      </w:pPr>
    </w:lvl>
    <w:lvl w:ilvl="2" w:tplc="42008D24" w:tentative="1">
      <w:start w:val="1"/>
      <w:numFmt w:val="lowerRoman"/>
      <w:lvlText w:val="%3."/>
      <w:lvlJc w:val="right"/>
      <w:pPr>
        <w:ind w:left="2520" w:hanging="180"/>
      </w:pPr>
    </w:lvl>
    <w:lvl w:ilvl="3" w:tplc="3E3E348E" w:tentative="1">
      <w:start w:val="1"/>
      <w:numFmt w:val="decimal"/>
      <w:lvlText w:val="%4."/>
      <w:lvlJc w:val="left"/>
      <w:pPr>
        <w:ind w:left="3240" w:hanging="360"/>
      </w:pPr>
    </w:lvl>
    <w:lvl w:ilvl="4" w:tplc="7BF02104" w:tentative="1">
      <w:start w:val="1"/>
      <w:numFmt w:val="lowerLetter"/>
      <w:lvlText w:val="%5."/>
      <w:lvlJc w:val="left"/>
      <w:pPr>
        <w:ind w:left="3960" w:hanging="360"/>
      </w:pPr>
    </w:lvl>
    <w:lvl w:ilvl="5" w:tplc="E736936C" w:tentative="1">
      <w:start w:val="1"/>
      <w:numFmt w:val="lowerRoman"/>
      <w:lvlText w:val="%6."/>
      <w:lvlJc w:val="right"/>
      <w:pPr>
        <w:ind w:left="4680" w:hanging="180"/>
      </w:pPr>
    </w:lvl>
    <w:lvl w:ilvl="6" w:tplc="0DA60FB6" w:tentative="1">
      <w:start w:val="1"/>
      <w:numFmt w:val="decimal"/>
      <w:lvlText w:val="%7."/>
      <w:lvlJc w:val="left"/>
      <w:pPr>
        <w:ind w:left="5400" w:hanging="360"/>
      </w:pPr>
    </w:lvl>
    <w:lvl w:ilvl="7" w:tplc="3012ADE8" w:tentative="1">
      <w:start w:val="1"/>
      <w:numFmt w:val="lowerLetter"/>
      <w:lvlText w:val="%8."/>
      <w:lvlJc w:val="left"/>
      <w:pPr>
        <w:ind w:left="6120" w:hanging="360"/>
      </w:pPr>
    </w:lvl>
    <w:lvl w:ilvl="8" w:tplc="1CD8FFA8" w:tentative="1">
      <w:start w:val="1"/>
      <w:numFmt w:val="lowerRoman"/>
      <w:lvlText w:val="%9."/>
      <w:lvlJc w:val="right"/>
      <w:pPr>
        <w:ind w:left="6840" w:hanging="180"/>
      </w:p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9D7492"/>
    <w:multiLevelType w:val="hybridMultilevel"/>
    <w:tmpl w:val="ABC05C82"/>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C2E11"/>
    <w:multiLevelType w:val="hybridMultilevel"/>
    <w:tmpl w:val="63DC4DAC"/>
    <w:lvl w:ilvl="0" w:tplc="D924D330">
      <w:start w:val="6"/>
      <w:numFmt w:val="upp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15"/>
  </w:num>
  <w:num w:numId="5">
    <w:abstractNumId w:val="14"/>
  </w:num>
  <w:num w:numId="6">
    <w:abstractNumId w:val="0"/>
  </w:num>
  <w:num w:numId="7">
    <w:abstractNumId w:val="6"/>
  </w:num>
  <w:num w:numId="8">
    <w:abstractNumId w:val="13"/>
    <w:lvlOverride w:ilvl="0">
      <w:startOverride w:val="1"/>
    </w:lvlOverride>
  </w:num>
  <w:num w:numId="9">
    <w:abstractNumId w:val="19"/>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7"/>
  </w:num>
  <w:num w:numId="15">
    <w:abstractNumId w:val="16"/>
  </w:num>
  <w:num w:numId="16">
    <w:abstractNumId w:val="1"/>
  </w:num>
  <w:num w:numId="17">
    <w:abstractNumId w:val="20"/>
  </w:num>
  <w:num w:numId="18">
    <w:abstractNumId w:val="22"/>
  </w:num>
  <w:num w:numId="19">
    <w:abstractNumId w:val="2"/>
  </w:num>
  <w:num w:numId="20">
    <w:abstractNumId w:val="11"/>
  </w:num>
  <w:num w:numId="21">
    <w:abstractNumId w:val="18"/>
  </w:num>
  <w:num w:numId="22">
    <w:abstractNumId w:val="12"/>
  </w:num>
  <w:num w:numId="23">
    <w:abstractNumId w:val="4"/>
  </w:num>
  <w:num w:numId="24">
    <w:abstractNumId w:val="9"/>
  </w:num>
  <w:num w:numId="25">
    <w:abstractNumId w:val="21"/>
  </w:num>
  <w:num w:numId="26">
    <w:abstractNumId w:val="3"/>
  </w:num>
  <w:num w:numId="27">
    <w:abstractNumId w:val="5"/>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FF4"/>
    <w:rsid w:val="00001068"/>
    <w:rsid w:val="00001C6B"/>
    <w:rsid w:val="000047BD"/>
    <w:rsid w:val="000056E2"/>
    <w:rsid w:val="0000570F"/>
    <w:rsid w:val="000061C1"/>
    <w:rsid w:val="0001155E"/>
    <w:rsid w:val="0001374C"/>
    <w:rsid w:val="000146BB"/>
    <w:rsid w:val="000266CE"/>
    <w:rsid w:val="000377AE"/>
    <w:rsid w:val="000525DA"/>
    <w:rsid w:val="000543BC"/>
    <w:rsid w:val="00054ACC"/>
    <w:rsid w:val="00057153"/>
    <w:rsid w:val="00065370"/>
    <w:rsid w:val="0006687A"/>
    <w:rsid w:val="00067F28"/>
    <w:rsid w:val="0007171B"/>
    <w:rsid w:val="00077D5A"/>
    <w:rsid w:val="00093B6B"/>
    <w:rsid w:val="000A2061"/>
    <w:rsid w:val="000A2FC6"/>
    <w:rsid w:val="000C1A9C"/>
    <w:rsid w:val="000C3CF7"/>
    <w:rsid w:val="000E1B5E"/>
    <w:rsid w:val="000E37C8"/>
    <w:rsid w:val="000E3D2B"/>
    <w:rsid w:val="000E673A"/>
    <w:rsid w:val="000F17E6"/>
    <w:rsid w:val="000F74F5"/>
    <w:rsid w:val="00100A9C"/>
    <w:rsid w:val="001013AD"/>
    <w:rsid w:val="00101A36"/>
    <w:rsid w:val="00102632"/>
    <w:rsid w:val="0010367A"/>
    <w:rsid w:val="00105372"/>
    <w:rsid w:val="00106C20"/>
    <w:rsid w:val="00107337"/>
    <w:rsid w:val="00116B23"/>
    <w:rsid w:val="00125559"/>
    <w:rsid w:val="001312AD"/>
    <w:rsid w:val="00131E7A"/>
    <w:rsid w:val="00134846"/>
    <w:rsid w:val="00145240"/>
    <w:rsid w:val="00147998"/>
    <w:rsid w:val="001534C6"/>
    <w:rsid w:val="00154A61"/>
    <w:rsid w:val="00157196"/>
    <w:rsid w:val="00172AF6"/>
    <w:rsid w:val="00172B32"/>
    <w:rsid w:val="001745F9"/>
    <w:rsid w:val="00176CEE"/>
    <w:rsid w:val="00185FE4"/>
    <w:rsid w:val="00186DD8"/>
    <w:rsid w:val="00187CA4"/>
    <w:rsid w:val="001973DE"/>
    <w:rsid w:val="001A3FFE"/>
    <w:rsid w:val="001A54C6"/>
    <w:rsid w:val="001B13FE"/>
    <w:rsid w:val="001B6E8F"/>
    <w:rsid w:val="001C0774"/>
    <w:rsid w:val="001C1A0E"/>
    <w:rsid w:val="001C25A0"/>
    <w:rsid w:val="001C6DD9"/>
    <w:rsid w:val="001C70F1"/>
    <w:rsid w:val="001D2E52"/>
    <w:rsid w:val="001E3545"/>
    <w:rsid w:val="001E450E"/>
    <w:rsid w:val="001E69F5"/>
    <w:rsid w:val="001F04F6"/>
    <w:rsid w:val="001F4E80"/>
    <w:rsid w:val="001F71B7"/>
    <w:rsid w:val="00212734"/>
    <w:rsid w:val="00214EDD"/>
    <w:rsid w:val="00216CB9"/>
    <w:rsid w:val="00220FAE"/>
    <w:rsid w:val="00226B90"/>
    <w:rsid w:val="00227E39"/>
    <w:rsid w:val="00231F1F"/>
    <w:rsid w:val="00232A4F"/>
    <w:rsid w:val="00240464"/>
    <w:rsid w:val="00240570"/>
    <w:rsid w:val="00247B2B"/>
    <w:rsid w:val="00256D85"/>
    <w:rsid w:val="00257E41"/>
    <w:rsid w:val="00260B1A"/>
    <w:rsid w:val="00270299"/>
    <w:rsid w:val="00275758"/>
    <w:rsid w:val="00290F08"/>
    <w:rsid w:val="002933B5"/>
    <w:rsid w:val="00294900"/>
    <w:rsid w:val="00294DEA"/>
    <w:rsid w:val="002A3907"/>
    <w:rsid w:val="002A55F4"/>
    <w:rsid w:val="002B1274"/>
    <w:rsid w:val="002B25B9"/>
    <w:rsid w:val="002D30A7"/>
    <w:rsid w:val="002D374C"/>
    <w:rsid w:val="002D541C"/>
    <w:rsid w:val="002D57BA"/>
    <w:rsid w:val="002E5CC7"/>
    <w:rsid w:val="002E63E2"/>
    <w:rsid w:val="002E7F94"/>
    <w:rsid w:val="00301569"/>
    <w:rsid w:val="0030169D"/>
    <w:rsid w:val="00302721"/>
    <w:rsid w:val="00305850"/>
    <w:rsid w:val="003060EB"/>
    <w:rsid w:val="003153EB"/>
    <w:rsid w:val="00321850"/>
    <w:rsid w:val="00321985"/>
    <w:rsid w:val="00326CC9"/>
    <w:rsid w:val="00335EE7"/>
    <w:rsid w:val="00346C71"/>
    <w:rsid w:val="00351205"/>
    <w:rsid w:val="00352076"/>
    <w:rsid w:val="00360D77"/>
    <w:rsid w:val="00363ADF"/>
    <w:rsid w:val="00372F74"/>
    <w:rsid w:val="00377A75"/>
    <w:rsid w:val="00380BE2"/>
    <w:rsid w:val="00385B46"/>
    <w:rsid w:val="00396360"/>
    <w:rsid w:val="0039772E"/>
    <w:rsid w:val="003A0D23"/>
    <w:rsid w:val="003A2931"/>
    <w:rsid w:val="003A3829"/>
    <w:rsid w:val="003A3DDE"/>
    <w:rsid w:val="003A5581"/>
    <w:rsid w:val="003C4EF4"/>
    <w:rsid w:val="003D2BBC"/>
    <w:rsid w:val="003D4ABD"/>
    <w:rsid w:val="003D53CB"/>
    <w:rsid w:val="003D599E"/>
    <w:rsid w:val="003E4A0A"/>
    <w:rsid w:val="003E4FD3"/>
    <w:rsid w:val="003E647F"/>
    <w:rsid w:val="003E7758"/>
    <w:rsid w:val="003F42C0"/>
    <w:rsid w:val="003F7224"/>
    <w:rsid w:val="00401A23"/>
    <w:rsid w:val="004149A9"/>
    <w:rsid w:val="00416904"/>
    <w:rsid w:val="00417D87"/>
    <w:rsid w:val="00422417"/>
    <w:rsid w:val="004253EE"/>
    <w:rsid w:val="00427D21"/>
    <w:rsid w:val="00440610"/>
    <w:rsid w:val="0045147A"/>
    <w:rsid w:val="004639D9"/>
    <w:rsid w:val="004644C2"/>
    <w:rsid w:val="00467F9C"/>
    <w:rsid w:val="00476E90"/>
    <w:rsid w:val="0048236E"/>
    <w:rsid w:val="00483206"/>
    <w:rsid w:val="00483224"/>
    <w:rsid w:val="00485295"/>
    <w:rsid w:val="00492462"/>
    <w:rsid w:val="004930D8"/>
    <w:rsid w:val="004941C8"/>
    <w:rsid w:val="00495292"/>
    <w:rsid w:val="004973CD"/>
    <w:rsid w:val="004A0ADE"/>
    <w:rsid w:val="004A3804"/>
    <w:rsid w:val="004B4CA0"/>
    <w:rsid w:val="004B4F15"/>
    <w:rsid w:val="004C02C8"/>
    <w:rsid w:val="004D359D"/>
    <w:rsid w:val="004D6F9F"/>
    <w:rsid w:val="004E5DD9"/>
    <w:rsid w:val="004F298D"/>
    <w:rsid w:val="005218F6"/>
    <w:rsid w:val="00521FE0"/>
    <w:rsid w:val="0052325C"/>
    <w:rsid w:val="00525954"/>
    <w:rsid w:val="00527B5A"/>
    <w:rsid w:val="00534681"/>
    <w:rsid w:val="00537C5B"/>
    <w:rsid w:val="00540457"/>
    <w:rsid w:val="0055474C"/>
    <w:rsid w:val="00563442"/>
    <w:rsid w:val="00565B42"/>
    <w:rsid w:val="0057323B"/>
    <w:rsid w:val="00577774"/>
    <w:rsid w:val="00584D14"/>
    <w:rsid w:val="00585692"/>
    <w:rsid w:val="00590BE9"/>
    <w:rsid w:val="00595CCB"/>
    <w:rsid w:val="005A6CB8"/>
    <w:rsid w:val="005B7375"/>
    <w:rsid w:val="005C0272"/>
    <w:rsid w:val="005C38EB"/>
    <w:rsid w:val="005C4CE6"/>
    <w:rsid w:val="005C586A"/>
    <w:rsid w:val="005D6B58"/>
    <w:rsid w:val="005E0FF3"/>
    <w:rsid w:val="005E1849"/>
    <w:rsid w:val="005E4F81"/>
    <w:rsid w:val="005F2043"/>
    <w:rsid w:val="005F21B0"/>
    <w:rsid w:val="00605DE0"/>
    <w:rsid w:val="006122BA"/>
    <w:rsid w:val="00634A68"/>
    <w:rsid w:val="006439F7"/>
    <w:rsid w:val="00644ACB"/>
    <w:rsid w:val="00651D51"/>
    <w:rsid w:val="00672BB6"/>
    <w:rsid w:val="00675416"/>
    <w:rsid w:val="00682A19"/>
    <w:rsid w:val="006859EE"/>
    <w:rsid w:val="006862AA"/>
    <w:rsid w:val="00690995"/>
    <w:rsid w:val="006946C5"/>
    <w:rsid w:val="00696F3A"/>
    <w:rsid w:val="006A0CAC"/>
    <w:rsid w:val="006B1DCE"/>
    <w:rsid w:val="006B2290"/>
    <w:rsid w:val="006B3951"/>
    <w:rsid w:val="006C336D"/>
    <w:rsid w:val="006C33DC"/>
    <w:rsid w:val="006C37AB"/>
    <w:rsid w:val="006D297B"/>
    <w:rsid w:val="006E59CC"/>
    <w:rsid w:val="006E73E6"/>
    <w:rsid w:val="006E7DF3"/>
    <w:rsid w:val="006F1AF2"/>
    <w:rsid w:val="006F4D09"/>
    <w:rsid w:val="006F7512"/>
    <w:rsid w:val="006F7F06"/>
    <w:rsid w:val="00701BEA"/>
    <w:rsid w:val="00703D44"/>
    <w:rsid w:val="00704587"/>
    <w:rsid w:val="007073BD"/>
    <w:rsid w:val="0071088E"/>
    <w:rsid w:val="00717D88"/>
    <w:rsid w:val="00732417"/>
    <w:rsid w:val="0073242E"/>
    <w:rsid w:val="00732F21"/>
    <w:rsid w:val="00746028"/>
    <w:rsid w:val="00747856"/>
    <w:rsid w:val="007541BE"/>
    <w:rsid w:val="0076720A"/>
    <w:rsid w:val="00783C5C"/>
    <w:rsid w:val="00786056"/>
    <w:rsid w:val="007942D3"/>
    <w:rsid w:val="007A4362"/>
    <w:rsid w:val="007B12A4"/>
    <w:rsid w:val="007B2099"/>
    <w:rsid w:val="007B2AE8"/>
    <w:rsid w:val="007B2E9B"/>
    <w:rsid w:val="007B6C09"/>
    <w:rsid w:val="007B7741"/>
    <w:rsid w:val="007C1AE4"/>
    <w:rsid w:val="007C5C8A"/>
    <w:rsid w:val="007D3C55"/>
    <w:rsid w:val="007D54FE"/>
    <w:rsid w:val="007D79CB"/>
    <w:rsid w:val="007D7AA4"/>
    <w:rsid w:val="007D7EA0"/>
    <w:rsid w:val="007E09DA"/>
    <w:rsid w:val="007E1602"/>
    <w:rsid w:val="007E2102"/>
    <w:rsid w:val="007F295A"/>
    <w:rsid w:val="007F52CD"/>
    <w:rsid w:val="00800075"/>
    <w:rsid w:val="00814599"/>
    <w:rsid w:val="00814639"/>
    <w:rsid w:val="00815795"/>
    <w:rsid w:val="008178B6"/>
    <w:rsid w:val="00836913"/>
    <w:rsid w:val="00853A2F"/>
    <w:rsid w:val="008570E7"/>
    <w:rsid w:val="00862A44"/>
    <w:rsid w:val="00865B74"/>
    <w:rsid w:val="00865DF0"/>
    <w:rsid w:val="008723AC"/>
    <w:rsid w:val="008974F0"/>
    <w:rsid w:val="008B012A"/>
    <w:rsid w:val="008B5B0F"/>
    <w:rsid w:val="008B749D"/>
    <w:rsid w:val="008C32B5"/>
    <w:rsid w:val="008D3E98"/>
    <w:rsid w:val="008D43D1"/>
    <w:rsid w:val="008D4860"/>
    <w:rsid w:val="008E2041"/>
    <w:rsid w:val="008F2127"/>
    <w:rsid w:val="008F25C3"/>
    <w:rsid w:val="009013D8"/>
    <w:rsid w:val="00905F8B"/>
    <w:rsid w:val="0090668C"/>
    <w:rsid w:val="00906E17"/>
    <w:rsid w:val="0091254A"/>
    <w:rsid w:val="00912E9D"/>
    <w:rsid w:val="00916B37"/>
    <w:rsid w:val="0092568F"/>
    <w:rsid w:val="00930BA1"/>
    <w:rsid w:val="0093169E"/>
    <w:rsid w:val="00932BAF"/>
    <w:rsid w:val="009365C2"/>
    <w:rsid w:val="00936BFD"/>
    <w:rsid w:val="00942508"/>
    <w:rsid w:val="00942914"/>
    <w:rsid w:val="009505C9"/>
    <w:rsid w:val="00950752"/>
    <w:rsid w:val="00950774"/>
    <w:rsid w:val="0095091F"/>
    <w:rsid w:val="00964336"/>
    <w:rsid w:val="00966424"/>
    <w:rsid w:val="0097130A"/>
    <w:rsid w:val="0097306B"/>
    <w:rsid w:val="00987311"/>
    <w:rsid w:val="00990665"/>
    <w:rsid w:val="0099309E"/>
    <w:rsid w:val="009A4102"/>
    <w:rsid w:val="009B1691"/>
    <w:rsid w:val="009B490A"/>
    <w:rsid w:val="009C2DE6"/>
    <w:rsid w:val="009C58D6"/>
    <w:rsid w:val="009E16C3"/>
    <w:rsid w:val="009E1FD7"/>
    <w:rsid w:val="009E6250"/>
    <w:rsid w:val="009E6D36"/>
    <w:rsid w:val="009F1816"/>
    <w:rsid w:val="009F183A"/>
    <w:rsid w:val="009F3A8C"/>
    <w:rsid w:val="00A063BE"/>
    <w:rsid w:val="00A075A7"/>
    <w:rsid w:val="00A077F6"/>
    <w:rsid w:val="00A2364F"/>
    <w:rsid w:val="00A253A5"/>
    <w:rsid w:val="00A31F68"/>
    <w:rsid w:val="00A45C92"/>
    <w:rsid w:val="00A460C8"/>
    <w:rsid w:val="00A4658B"/>
    <w:rsid w:val="00A54792"/>
    <w:rsid w:val="00A674E8"/>
    <w:rsid w:val="00A74AE5"/>
    <w:rsid w:val="00A80E57"/>
    <w:rsid w:val="00A86607"/>
    <w:rsid w:val="00A96C24"/>
    <w:rsid w:val="00AA6F92"/>
    <w:rsid w:val="00AA7FB6"/>
    <w:rsid w:val="00AB6934"/>
    <w:rsid w:val="00AC30B3"/>
    <w:rsid w:val="00AC3A92"/>
    <w:rsid w:val="00AC784A"/>
    <w:rsid w:val="00AD3F5A"/>
    <w:rsid w:val="00AD4865"/>
    <w:rsid w:val="00AD7B83"/>
    <w:rsid w:val="00AE6092"/>
    <w:rsid w:val="00AF16A9"/>
    <w:rsid w:val="00AF42DE"/>
    <w:rsid w:val="00AF6787"/>
    <w:rsid w:val="00B00135"/>
    <w:rsid w:val="00B03DBE"/>
    <w:rsid w:val="00B11974"/>
    <w:rsid w:val="00B14C93"/>
    <w:rsid w:val="00B1667A"/>
    <w:rsid w:val="00B25D7F"/>
    <w:rsid w:val="00B31013"/>
    <w:rsid w:val="00B32953"/>
    <w:rsid w:val="00B3369F"/>
    <w:rsid w:val="00B338BC"/>
    <w:rsid w:val="00B41942"/>
    <w:rsid w:val="00B42A7B"/>
    <w:rsid w:val="00B45C9C"/>
    <w:rsid w:val="00B472C1"/>
    <w:rsid w:val="00B55C68"/>
    <w:rsid w:val="00B60787"/>
    <w:rsid w:val="00B67497"/>
    <w:rsid w:val="00B7038D"/>
    <w:rsid w:val="00B724CB"/>
    <w:rsid w:val="00B750E4"/>
    <w:rsid w:val="00B80DA8"/>
    <w:rsid w:val="00B8289D"/>
    <w:rsid w:val="00B90DDC"/>
    <w:rsid w:val="00B90E40"/>
    <w:rsid w:val="00B928FA"/>
    <w:rsid w:val="00B92910"/>
    <w:rsid w:val="00B94E6C"/>
    <w:rsid w:val="00BA0BBA"/>
    <w:rsid w:val="00BA3C77"/>
    <w:rsid w:val="00BB4606"/>
    <w:rsid w:val="00BB55AF"/>
    <w:rsid w:val="00BD505D"/>
    <w:rsid w:val="00BD77E6"/>
    <w:rsid w:val="00C022E2"/>
    <w:rsid w:val="00C23D2F"/>
    <w:rsid w:val="00C2483F"/>
    <w:rsid w:val="00C431F6"/>
    <w:rsid w:val="00C43D93"/>
    <w:rsid w:val="00C443BD"/>
    <w:rsid w:val="00C451C5"/>
    <w:rsid w:val="00C462BE"/>
    <w:rsid w:val="00C52C25"/>
    <w:rsid w:val="00C53BC3"/>
    <w:rsid w:val="00C54F45"/>
    <w:rsid w:val="00C61EF3"/>
    <w:rsid w:val="00C7087E"/>
    <w:rsid w:val="00C70C11"/>
    <w:rsid w:val="00C72F14"/>
    <w:rsid w:val="00C73048"/>
    <w:rsid w:val="00C74D12"/>
    <w:rsid w:val="00C9161D"/>
    <w:rsid w:val="00CA0C1D"/>
    <w:rsid w:val="00CA3A21"/>
    <w:rsid w:val="00CA6251"/>
    <w:rsid w:val="00CB2AD1"/>
    <w:rsid w:val="00CB3C8A"/>
    <w:rsid w:val="00CB465C"/>
    <w:rsid w:val="00CB5FCA"/>
    <w:rsid w:val="00CB6839"/>
    <w:rsid w:val="00CC56E9"/>
    <w:rsid w:val="00CD0945"/>
    <w:rsid w:val="00CD3639"/>
    <w:rsid w:val="00CE04EF"/>
    <w:rsid w:val="00CE70B7"/>
    <w:rsid w:val="00CE74B9"/>
    <w:rsid w:val="00CF1848"/>
    <w:rsid w:val="00CF4A61"/>
    <w:rsid w:val="00CF501B"/>
    <w:rsid w:val="00D044F5"/>
    <w:rsid w:val="00D106AA"/>
    <w:rsid w:val="00D12044"/>
    <w:rsid w:val="00D15E0D"/>
    <w:rsid w:val="00D22DC6"/>
    <w:rsid w:val="00D321D4"/>
    <w:rsid w:val="00D33EFC"/>
    <w:rsid w:val="00D36832"/>
    <w:rsid w:val="00D40DBC"/>
    <w:rsid w:val="00D42098"/>
    <w:rsid w:val="00D47E58"/>
    <w:rsid w:val="00D53E9B"/>
    <w:rsid w:val="00D579B7"/>
    <w:rsid w:val="00D71CBD"/>
    <w:rsid w:val="00D728CC"/>
    <w:rsid w:val="00D76A18"/>
    <w:rsid w:val="00D80849"/>
    <w:rsid w:val="00D82E8F"/>
    <w:rsid w:val="00D879B6"/>
    <w:rsid w:val="00D90C4B"/>
    <w:rsid w:val="00D91048"/>
    <w:rsid w:val="00DA3D21"/>
    <w:rsid w:val="00DC082A"/>
    <w:rsid w:val="00DC18C4"/>
    <w:rsid w:val="00DD118C"/>
    <w:rsid w:val="00DE300E"/>
    <w:rsid w:val="00DF134B"/>
    <w:rsid w:val="00DF1A82"/>
    <w:rsid w:val="00DF2E23"/>
    <w:rsid w:val="00E03AB2"/>
    <w:rsid w:val="00E07AC0"/>
    <w:rsid w:val="00E07B3C"/>
    <w:rsid w:val="00E127B9"/>
    <w:rsid w:val="00E132C5"/>
    <w:rsid w:val="00E27BBB"/>
    <w:rsid w:val="00E43BA3"/>
    <w:rsid w:val="00E461B1"/>
    <w:rsid w:val="00E54CF3"/>
    <w:rsid w:val="00E57B3E"/>
    <w:rsid w:val="00E60AF7"/>
    <w:rsid w:val="00E60DFF"/>
    <w:rsid w:val="00E66235"/>
    <w:rsid w:val="00E8141A"/>
    <w:rsid w:val="00E83C24"/>
    <w:rsid w:val="00E9318D"/>
    <w:rsid w:val="00E95682"/>
    <w:rsid w:val="00E9629B"/>
    <w:rsid w:val="00EB0579"/>
    <w:rsid w:val="00EB386E"/>
    <w:rsid w:val="00ED4411"/>
    <w:rsid w:val="00EE354D"/>
    <w:rsid w:val="00EF151F"/>
    <w:rsid w:val="00F0380E"/>
    <w:rsid w:val="00F128F4"/>
    <w:rsid w:val="00F145A8"/>
    <w:rsid w:val="00F16392"/>
    <w:rsid w:val="00F27557"/>
    <w:rsid w:val="00F30A19"/>
    <w:rsid w:val="00F31CB6"/>
    <w:rsid w:val="00F34B62"/>
    <w:rsid w:val="00F3654B"/>
    <w:rsid w:val="00F4029D"/>
    <w:rsid w:val="00F4152C"/>
    <w:rsid w:val="00F44312"/>
    <w:rsid w:val="00F53193"/>
    <w:rsid w:val="00F54E1B"/>
    <w:rsid w:val="00F61B30"/>
    <w:rsid w:val="00F620D6"/>
    <w:rsid w:val="00F644AF"/>
    <w:rsid w:val="00F6586C"/>
    <w:rsid w:val="00F67E0F"/>
    <w:rsid w:val="00F77422"/>
    <w:rsid w:val="00F90A8D"/>
    <w:rsid w:val="00F94774"/>
    <w:rsid w:val="00F97EDA"/>
    <w:rsid w:val="00FA3827"/>
    <w:rsid w:val="00FA663B"/>
    <w:rsid w:val="00FB06E2"/>
    <w:rsid w:val="00FB78B9"/>
    <w:rsid w:val="00FC2A9E"/>
    <w:rsid w:val="00FC34CE"/>
    <w:rsid w:val="00FC3D64"/>
    <w:rsid w:val="00FC53DB"/>
    <w:rsid w:val="00FC6F3C"/>
    <w:rsid w:val="00FD1311"/>
    <w:rsid w:val="00FE035A"/>
    <w:rsid w:val="00FE05B6"/>
    <w:rsid w:val="00FE3A58"/>
    <w:rsid w:val="00FE4643"/>
    <w:rsid w:val="00FF2D2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48A9379F-1F7B-409E-BE61-E3592817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FE0"/>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Diplomarbeit FZ),(Diplomarbeit FZ)1,(Diplomarbeit FZ)2,(Diplomarbeit FZ)3,(Diplomarbeit FZ)4,(Diplomarbeit FZ)5,(Diplomarbeit FZ)6,(Diplomarbeit FZ)7,(Diplomarbeit FZ)8,-E Fußnotenzeichen,Footnote Reference Superscript,number"/>
    <w:link w:val="BVIfnrChar"/>
    <w:qFormat/>
    <w:rsid w:val="00427D21"/>
    <w:rPr>
      <w:sz w:val="22"/>
      <w:u w:val="none"/>
      <w:vertAlign w:val="superscript"/>
    </w:rPr>
  </w:style>
  <w:style w:type="paragraph" w:styleId="FootnoteText">
    <w:name w:val="footnote text"/>
    <w:aliases w:val="ADB,ADB1,ADB2,Boston 10,FOOTNOTES,FOOTNOTES1,FOOTNOTES2,Font: Geneva 9,Fotnotstext Char,Geneva 9,f,fn1,fn2,footnote text,footnote text1,footnote text2,footnote text3,ft,ft Char,single space,single space1,single space2,single space3"/>
    <w:basedOn w:val="Normal"/>
    <w:link w:val="FootnoteTextChar"/>
    <w:qFormat/>
    <w:rsid w:val="007E09DA"/>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1 Char,fn2 Char,footnote text Char,footnote text1 Char,footnote text2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Default">
    <w:name w:val="Default"/>
    <w:rsid w:val="00154A61"/>
    <w:pPr>
      <w:autoSpaceDE w:val="0"/>
      <w:autoSpaceDN w:val="0"/>
      <w:adjustRightInd w:val="0"/>
    </w:pPr>
    <w:rPr>
      <w:rFonts w:ascii="Trebuchet MS" w:hAnsi="Trebuchet MS" w:cs="Trebuchet MS"/>
      <w:color w:val="000000"/>
      <w:lang w:val="en-US" w:eastAsia="zh-CN"/>
    </w:rPr>
  </w:style>
  <w:style w:type="character" w:customStyle="1" w:styleId="UnresolvedMention1">
    <w:name w:val="Unresolved Mention1"/>
    <w:basedOn w:val="DefaultParagraphFont"/>
    <w:uiPriority w:val="99"/>
    <w:semiHidden/>
    <w:unhideWhenUsed/>
    <w:rsid w:val="00AF6787"/>
    <w:rPr>
      <w:color w:val="605E5C"/>
      <w:shd w:val="clear" w:color="auto" w:fill="E1DFDD"/>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rsid w:val="008723AC"/>
    <w:pPr>
      <w:spacing w:before="120"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8052">
      <w:bodyDiv w:val="1"/>
      <w:marLeft w:val="0"/>
      <w:marRight w:val="0"/>
      <w:marTop w:val="0"/>
      <w:marBottom w:val="0"/>
      <w:divBdr>
        <w:top w:val="none" w:sz="0" w:space="0" w:color="auto"/>
        <w:left w:val="none" w:sz="0" w:space="0" w:color="auto"/>
        <w:bottom w:val="none" w:sz="0" w:space="0" w:color="auto"/>
        <w:right w:val="none" w:sz="0" w:space="0" w:color="auto"/>
      </w:divBdr>
      <w:divsChild>
        <w:div w:id="56780428">
          <w:marLeft w:val="0"/>
          <w:marRight w:val="0"/>
          <w:marTop w:val="0"/>
          <w:marBottom w:val="0"/>
          <w:divBdr>
            <w:top w:val="none" w:sz="0" w:space="0" w:color="auto"/>
            <w:left w:val="none" w:sz="0" w:space="0" w:color="auto"/>
            <w:bottom w:val="none" w:sz="0" w:space="0" w:color="auto"/>
            <w:right w:val="none" w:sz="0" w:space="0" w:color="auto"/>
          </w:divBdr>
        </w:div>
        <w:div w:id="237861188">
          <w:marLeft w:val="0"/>
          <w:marRight w:val="0"/>
          <w:marTop w:val="0"/>
          <w:marBottom w:val="0"/>
          <w:divBdr>
            <w:top w:val="none" w:sz="0" w:space="0" w:color="auto"/>
            <w:left w:val="none" w:sz="0" w:space="0" w:color="auto"/>
            <w:bottom w:val="none" w:sz="0" w:space="0" w:color="auto"/>
            <w:right w:val="none" w:sz="0" w:space="0" w:color="auto"/>
          </w:divBdr>
        </w:div>
        <w:div w:id="333534779">
          <w:marLeft w:val="0"/>
          <w:marRight w:val="0"/>
          <w:marTop w:val="0"/>
          <w:marBottom w:val="0"/>
          <w:divBdr>
            <w:top w:val="none" w:sz="0" w:space="0" w:color="auto"/>
            <w:left w:val="none" w:sz="0" w:space="0" w:color="auto"/>
            <w:bottom w:val="none" w:sz="0" w:space="0" w:color="auto"/>
            <w:right w:val="none" w:sz="0" w:space="0" w:color="auto"/>
          </w:divBdr>
        </w:div>
        <w:div w:id="355540775">
          <w:marLeft w:val="0"/>
          <w:marRight w:val="0"/>
          <w:marTop w:val="0"/>
          <w:marBottom w:val="0"/>
          <w:divBdr>
            <w:top w:val="none" w:sz="0" w:space="0" w:color="auto"/>
            <w:left w:val="none" w:sz="0" w:space="0" w:color="auto"/>
            <w:bottom w:val="none" w:sz="0" w:space="0" w:color="auto"/>
            <w:right w:val="none" w:sz="0" w:space="0" w:color="auto"/>
          </w:divBdr>
        </w:div>
        <w:div w:id="518197001">
          <w:marLeft w:val="0"/>
          <w:marRight w:val="0"/>
          <w:marTop w:val="0"/>
          <w:marBottom w:val="0"/>
          <w:divBdr>
            <w:top w:val="none" w:sz="0" w:space="0" w:color="auto"/>
            <w:left w:val="none" w:sz="0" w:space="0" w:color="auto"/>
            <w:bottom w:val="none" w:sz="0" w:space="0" w:color="auto"/>
            <w:right w:val="none" w:sz="0" w:space="0" w:color="auto"/>
          </w:divBdr>
        </w:div>
        <w:div w:id="573472023">
          <w:marLeft w:val="0"/>
          <w:marRight w:val="0"/>
          <w:marTop w:val="0"/>
          <w:marBottom w:val="0"/>
          <w:divBdr>
            <w:top w:val="none" w:sz="0" w:space="0" w:color="auto"/>
            <w:left w:val="none" w:sz="0" w:space="0" w:color="auto"/>
            <w:bottom w:val="none" w:sz="0" w:space="0" w:color="auto"/>
            <w:right w:val="none" w:sz="0" w:space="0" w:color="auto"/>
          </w:divBdr>
        </w:div>
        <w:div w:id="638924440">
          <w:marLeft w:val="0"/>
          <w:marRight w:val="0"/>
          <w:marTop w:val="0"/>
          <w:marBottom w:val="0"/>
          <w:divBdr>
            <w:top w:val="none" w:sz="0" w:space="0" w:color="auto"/>
            <w:left w:val="none" w:sz="0" w:space="0" w:color="auto"/>
            <w:bottom w:val="none" w:sz="0" w:space="0" w:color="auto"/>
            <w:right w:val="none" w:sz="0" w:space="0" w:color="auto"/>
          </w:divBdr>
        </w:div>
        <w:div w:id="740248367">
          <w:marLeft w:val="0"/>
          <w:marRight w:val="0"/>
          <w:marTop w:val="0"/>
          <w:marBottom w:val="0"/>
          <w:divBdr>
            <w:top w:val="none" w:sz="0" w:space="0" w:color="auto"/>
            <w:left w:val="none" w:sz="0" w:space="0" w:color="auto"/>
            <w:bottom w:val="none" w:sz="0" w:space="0" w:color="auto"/>
            <w:right w:val="none" w:sz="0" w:space="0" w:color="auto"/>
          </w:divBdr>
        </w:div>
        <w:div w:id="807824894">
          <w:marLeft w:val="0"/>
          <w:marRight w:val="0"/>
          <w:marTop w:val="0"/>
          <w:marBottom w:val="0"/>
          <w:divBdr>
            <w:top w:val="none" w:sz="0" w:space="0" w:color="auto"/>
            <w:left w:val="none" w:sz="0" w:space="0" w:color="auto"/>
            <w:bottom w:val="none" w:sz="0" w:space="0" w:color="auto"/>
            <w:right w:val="none" w:sz="0" w:space="0" w:color="auto"/>
          </w:divBdr>
        </w:div>
        <w:div w:id="910433887">
          <w:marLeft w:val="0"/>
          <w:marRight w:val="0"/>
          <w:marTop w:val="0"/>
          <w:marBottom w:val="0"/>
          <w:divBdr>
            <w:top w:val="none" w:sz="0" w:space="0" w:color="auto"/>
            <w:left w:val="none" w:sz="0" w:space="0" w:color="auto"/>
            <w:bottom w:val="none" w:sz="0" w:space="0" w:color="auto"/>
            <w:right w:val="none" w:sz="0" w:space="0" w:color="auto"/>
          </w:divBdr>
        </w:div>
        <w:div w:id="939874940">
          <w:marLeft w:val="0"/>
          <w:marRight w:val="0"/>
          <w:marTop w:val="0"/>
          <w:marBottom w:val="0"/>
          <w:divBdr>
            <w:top w:val="none" w:sz="0" w:space="0" w:color="auto"/>
            <w:left w:val="none" w:sz="0" w:space="0" w:color="auto"/>
            <w:bottom w:val="none" w:sz="0" w:space="0" w:color="auto"/>
            <w:right w:val="none" w:sz="0" w:space="0" w:color="auto"/>
          </w:divBdr>
        </w:div>
        <w:div w:id="1030372633">
          <w:marLeft w:val="0"/>
          <w:marRight w:val="0"/>
          <w:marTop w:val="0"/>
          <w:marBottom w:val="0"/>
          <w:divBdr>
            <w:top w:val="none" w:sz="0" w:space="0" w:color="auto"/>
            <w:left w:val="none" w:sz="0" w:space="0" w:color="auto"/>
            <w:bottom w:val="none" w:sz="0" w:space="0" w:color="auto"/>
            <w:right w:val="none" w:sz="0" w:space="0" w:color="auto"/>
          </w:divBdr>
        </w:div>
        <w:div w:id="1100761058">
          <w:marLeft w:val="0"/>
          <w:marRight w:val="0"/>
          <w:marTop w:val="0"/>
          <w:marBottom w:val="0"/>
          <w:divBdr>
            <w:top w:val="none" w:sz="0" w:space="0" w:color="auto"/>
            <w:left w:val="none" w:sz="0" w:space="0" w:color="auto"/>
            <w:bottom w:val="none" w:sz="0" w:space="0" w:color="auto"/>
            <w:right w:val="none" w:sz="0" w:space="0" w:color="auto"/>
          </w:divBdr>
        </w:div>
        <w:div w:id="1184590724">
          <w:marLeft w:val="0"/>
          <w:marRight w:val="0"/>
          <w:marTop w:val="0"/>
          <w:marBottom w:val="0"/>
          <w:divBdr>
            <w:top w:val="none" w:sz="0" w:space="0" w:color="auto"/>
            <w:left w:val="none" w:sz="0" w:space="0" w:color="auto"/>
            <w:bottom w:val="none" w:sz="0" w:space="0" w:color="auto"/>
            <w:right w:val="none" w:sz="0" w:space="0" w:color="auto"/>
          </w:divBdr>
        </w:div>
        <w:div w:id="1189030803">
          <w:marLeft w:val="0"/>
          <w:marRight w:val="0"/>
          <w:marTop w:val="0"/>
          <w:marBottom w:val="0"/>
          <w:divBdr>
            <w:top w:val="none" w:sz="0" w:space="0" w:color="auto"/>
            <w:left w:val="none" w:sz="0" w:space="0" w:color="auto"/>
            <w:bottom w:val="none" w:sz="0" w:space="0" w:color="auto"/>
            <w:right w:val="none" w:sz="0" w:space="0" w:color="auto"/>
          </w:divBdr>
        </w:div>
        <w:div w:id="1304968482">
          <w:marLeft w:val="0"/>
          <w:marRight w:val="0"/>
          <w:marTop w:val="0"/>
          <w:marBottom w:val="0"/>
          <w:divBdr>
            <w:top w:val="none" w:sz="0" w:space="0" w:color="auto"/>
            <w:left w:val="none" w:sz="0" w:space="0" w:color="auto"/>
            <w:bottom w:val="none" w:sz="0" w:space="0" w:color="auto"/>
            <w:right w:val="none" w:sz="0" w:space="0" w:color="auto"/>
          </w:divBdr>
        </w:div>
        <w:div w:id="1333753058">
          <w:marLeft w:val="0"/>
          <w:marRight w:val="0"/>
          <w:marTop w:val="0"/>
          <w:marBottom w:val="0"/>
          <w:divBdr>
            <w:top w:val="none" w:sz="0" w:space="0" w:color="auto"/>
            <w:left w:val="none" w:sz="0" w:space="0" w:color="auto"/>
            <w:bottom w:val="none" w:sz="0" w:space="0" w:color="auto"/>
            <w:right w:val="none" w:sz="0" w:space="0" w:color="auto"/>
          </w:divBdr>
        </w:div>
        <w:div w:id="1336153581">
          <w:marLeft w:val="0"/>
          <w:marRight w:val="0"/>
          <w:marTop w:val="0"/>
          <w:marBottom w:val="0"/>
          <w:divBdr>
            <w:top w:val="none" w:sz="0" w:space="0" w:color="auto"/>
            <w:left w:val="none" w:sz="0" w:space="0" w:color="auto"/>
            <w:bottom w:val="none" w:sz="0" w:space="0" w:color="auto"/>
            <w:right w:val="none" w:sz="0" w:space="0" w:color="auto"/>
          </w:divBdr>
        </w:div>
        <w:div w:id="1390884597">
          <w:marLeft w:val="0"/>
          <w:marRight w:val="0"/>
          <w:marTop w:val="0"/>
          <w:marBottom w:val="0"/>
          <w:divBdr>
            <w:top w:val="none" w:sz="0" w:space="0" w:color="auto"/>
            <w:left w:val="none" w:sz="0" w:space="0" w:color="auto"/>
            <w:bottom w:val="none" w:sz="0" w:space="0" w:color="auto"/>
            <w:right w:val="none" w:sz="0" w:space="0" w:color="auto"/>
          </w:divBdr>
        </w:div>
        <w:div w:id="1464272726">
          <w:marLeft w:val="0"/>
          <w:marRight w:val="0"/>
          <w:marTop w:val="0"/>
          <w:marBottom w:val="0"/>
          <w:divBdr>
            <w:top w:val="none" w:sz="0" w:space="0" w:color="auto"/>
            <w:left w:val="none" w:sz="0" w:space="0" w:color="auto"/>
            <w:bottom w:val="none" w:sz="0" w:space="0" w:color="auto"/>
            <w:right w:val="none" w:sz="0" w:space="0" w:color="auto"/>
          </w:divBdr>
        </w:div>
        <w:div w:id="1524444090">
          <w:marLeft w:val="0"/>
          <w:marRight w:val="0"/>
          <w:marTop w:val="0"/>
          <w:marBottom w:val="0"/>
          <w:divBdr>
            <w:top w:val="none" w:sz="0" w:space="0" w:color="auto"/>
            <w:left w:val="none" w:sz="0" w:space="0" w:color="auto"/>
            <w:bottom w:val="none" w:sz="0" w:space="0" w:color="auto"/>
            <w:right w:val="none" w:sz="0" w:space="0" w:color="auto"/>
          </w:divBdr>
        </w:div>
        <w:div w:id="1546874233">
          <w:marLeft w:val="0"/>
          <w:marRight w:val="0"/>
          <w:marTop w:val="0"/>
          <w:marBottom w:val="0"/>
          <w:divBdr>
            <w:top w:val="none" w:sz="0" w:space="0" w:color="auto"/>
            <w:left w:val="none" w:sz="0" w:space="0" w:color="auto"/>
            <w:bottom w:val="none" w:sz="0" w:space="0" w:color="auto"/>
            <w:right w:val="none" w:sz="0" w:space="0" w:color="auto"/>
          </w:divBdr>
        </w:div>
        <w:div w:id="1567108070">
          <w:marLeft w:val="0"/>
          <w:marRight w:val="0"/>
          <w:marTop w:val="0"/>
          <w:marBottom w:val="0"/>
          <w:divBdr>
            <w:top w:val="none" w:sz="0" w:space="0" w:color="auto"/>
            <w:left w:val="none" w:sz="0" w:space="0" w:color="auto"/>
            <w:bottom w:val="none" w:sz="0" w:space="0" w:color="auto"/>
            <w:right w:val="none" w:sz="0" w:space="0" w:color="auto"/>
          </w:divBdr>
        </w:div>
        <w:div w:id="1606184339">
          <w:marLeft w:val="0"/>
          <w:marRight w:val="0"/>
          <w:marTop w:val="0"/>
          <w:marBottom w:val="0"/>
          <w:divBdr>
            <w:top w:val="none" w:sz="0" w:space="0" w:color="auto"/>
            <w:left w:val="none" w:sz="0" w:space="0" w:color="auto"/>
            <w:bottom w:val="none" w:sz="0" w:space="0" w:color="auto"/>
            <w:right w:val="none" w:sz="0" w:space="0" w:color="auto"/>
          </w:divBdr>
        </w:div>
        <w:div w:id="1672292845">
          <w:marLeft w:val="0"/>
          <w:marRight w:val="0"/>
          <w:marTop w:val="0"/>
          <w:marBottom w:val="0"/>
          <w:divBdr>
            <w:top w:val="none" w:sz="0" w:space="0" w:color="auto"/>
            <w:left w:val="none" w:sz="0" w:space="0" w:color="auto"/>
            <w:bottom w:val="none" w:sz="0" w:space="0" w:color="auto"/>
            <w:right w:val="none" w:sz="0" w:space="0" w:color="auto"/>
          </w:divBdr>
        </w:div>
        <w:div w:id="1757441104">
          <w:marLeft w:val="0"/>
          <w:marRight w:val="0"/>
          <w:marTop w:val="0"/>
          <w:marBottom w:val="0"/>
          <w:divBdr>
            <w:top w:val="none" w:sz="0" w:space="0" w:color="auto"/>
            <w:left w:val="none" w:sz="0" w:space="0" w:color="auto"/>
            <w:bottom w:val="none" w:sz="0" w:space="0" w:color="auto"/>
            <w:right w:val="none" w:sz="0" w:space="0" w:color="auto"/>
          </w:divBdr>
        </w:div>
        <w:div w:id="1857772655">
          <w:marLeft w:val="0"/>
          <w:marRight w:val="0"/>
          <w:marTop w:val="0"/>
          <w:marBottom w:val="0"/>
          <w:divBdr>
            <w:top w:val="none" w:sz="0" w:space="0" w:color="auto"/>
            <w:left w:val="none" w:sz="0" w:space="0" w:color="auto"/>
            <w:bottom w:val="none" w:sz="0" w:space="0" w:color="auto"/>
            <w:right w:val="none" w:sz="0" w:space="0" w:color="auto"/>
          </w:divBdr>
        </w:div>
        <w:div w:id="1880898212">
          <w:marLeft w:val="0"/>
          <w:marRight w:val="0"/>
          <w:marTop w:val="0"/>
          <w:marBottom w:val="0"/>
          <w:divBdr>
            <w:top w:val="none" w:sz="0" w:space="0" w:color="auto"/>
            <w:left w:val="none" w:sz="0" w:space="0" w:color="auto"/>
            <w:bottom w:val="none" w:sz="0" w:space="0" w:color="auto"/>
            <w:right w:val="none" w:sz="0" w:space="0" w:color="auto"/>
          </w:divBdr>
        </w:div>
        <w:div w:id="1894463418">
          <w:marLeft w:val="0"/>
          <w:marRight w:val="0"/>
          <w:marTop w:val="0"/>
          <w:marBottom w:val="0"/>
          <w:divBdr>
            <w:top w:val="none" w:sz="0" w:space="0" w:color="auto"/>
            <w:left w:val="none" w:sz="0" w:space="0" w:color="auto"/>
            <w:bottom w:val="none" w:sz="0" w:space="0" w:color="auto"/>
            <w:right w:val="none" w:sz="0" w:space="0" w:color="auto"/>
          </w:divBdr>
        </w:div>
        <w:div w:id="1948582409">
          <w:marLeft w:val="0"/>
          <w:marRight w:val="0"/>
          <w:marTop w:val="0"/>
          <w:marBottom w:val="0"/>
          <w:divBdr>
            <w:top w:val="none" w:sz="0" w:space="0" w:color="auto"/>
            <w:left w:val="none" w:sz="0" w:space="0" w:color="auto"/>
            <w:bottom w:val="none" w:sz="0" w:space="0" w:color="auto"/>
            <w:right w:val="none" w:sz="0" w:space="0" w:color="auto"/>
          </w:divBdr>
        </w:div>
        <w:div w:id="1981765338">
          <w:marLeft w:val="0"/>
          <w:marRight w:val="0"/>
          <w:marTop w:val="0"/>
          <w:marBottom w:val="0"/>
          <w:divBdr>
            <w:top w:val="none" w:sz="0" w:space="0" w:color="auto"/>
            <w:left w:val="none" w:sz="0" w:space="0" w:color="auto"/>
            <w:bottom w:val="none" w:sz="0" w:space="0" w:color="auto"/>
            <w:right w:val="none" w:sz="0" w:space="0" w:color="auto"/>
          </w:divBdr>
        </w:div>
        <w:div w:id="1983266008">
          <w:marLeft w:val="0"/>
          <w:marRight w:val="0"/>
          <w:marTop w:val="0"/>
          <w:marBottom w:val="0"/>
          <w:divBdr>
            <w:top w:val="none" w:sz="0" w:space="0" w:color="auto"/>
            <w:left w:val="none" w:sz="0" w:space="0" w:color="auto"/>
            <w:bottom w:val="none" w:sz="0" w:space="0" w:color="auto"/>
            <w:right w:val="none" w:sz="0" w:space="0" w:color="auto"/>
          </w:divBdr>
        </w:div>
        <w:div w:id="2006280094">
          <w:marLeft w:val="0"/>
          <w:marRight w:val="0"/>
          <w:marTop w:val="0"/>
          <w:marBottom w:val="0"/>
          <w:divBdr>
            <w:top w:val="none" w:sz="0" w:space="0" w:color="auto"/>
            <w:left w:val="none" w:sz="0" w:space="0" w:color="auto"/>
            <w:bottom w:val="none" w:sz="0" w:space="0" w:color="auto"/>
            <w:right w:val="none" w:sz="0" w:space="0" w:color="auto"/>
          </w:divBdr>
        </w:div>
        <w:div w:id="2041470145">
          <w:marLeft w:val="0"/>
          <w:marRight w:val="0"/>
          <w:marTop w:val="0"/>
          <w:marBottom w:val="0"/>
          <w:divBdr>
            <w:top w:val="none" w:sz="0" w:space="0" w:color="auto"/>
            <w:left w:val="none" w:sz="0" w:space="0" w:color="auto"/>
            <w:bottom w:val="none" w:sz="0" w:space="0" w:color="auto"/>
            <w:right w:val="none" w:sz="0" w:space="0" w:color="auto"/>
          </w:divBdr>
        </w:div>
      </w:divsChild>
    </w:div>
    <w:div w:id="1234001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45CEA3FF220C4BE6B20EDFB731F8BD84"/>
        <w:category>
          <w:name w:val="General"/>
          <w:gallery w:val="placeholder"/>
        </w:category>
        <w:types>
          <w:type w:val="bbPlcHdr"/>
        </w:types>
        <w:behaviors>
          <w:behavior w:val="content"/>
        </w:behaviors>
        <w:guid w:val="{E19A7144-29B7-4A62-9779-5666B3F18D0B}"/>
      </w:docPartPr>
      <w:docPartBody>
        <w:p w:rsidR="00B50056" w:rsidRDefault="00CF4731" w:rsidP="00CF4731">
          <w:pPr>
            <w:pStyle w:val="45CEA3FF220C4BE6B20EDFB731F8BD84"/>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A42AE"/>
    <w:rsid w:val="00217578"/>
    <w:rsid w:val="0046422C"/>
    <w:rsid w:val="004760CF"/>
    <w:rsid w:val="004E092F"/>
    <w:rsid w:val="00500A2B"/>
    <w:rsid w:val="005225D9"/>
    <w:rsid w:val="0058288D"/>
    <w:rsid w:val="00631EE2"/>
    <w:rsid w:val="00665C6B"/>
    <w:rsid w:val="006801B3"/>
    <w:rsid w:val="00810A55"/>
    <w:rsid w:val="00852999"/>
    <w:rsid w:val="008C6619"/>
    <w:rsid w:val="008D420E"/>
    <w:rsid w:val="0098642F"/>
    <w:rsid w:val="00A324C1"/>
    <w:rsid w:val="00AD5817"/>
    <w:rsid w:val="00B0397C"/>
    <w:rsid w:val="00B50056"/>
    <w:rsid w:val="00BB5BB3"/>
    <w:rsid w:val="00C009DA"/>
    <w:rsid w:val="00C8104B"/>
    <w:rsid w:val="00CF0032"/>
    <w:rsid w:val="00CF4731"/>
    <w:rsid w:val="00D31D12"/>
    <w:rsid w:val="00F3176F"/>
    <w:rsid w:val="00F656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4731"/>
  </w:style>
  <w:style w:type="paragraph" w:customStyle="1" w:styleId="83660B0D53B14BDA8A30922F8A2058D5">
    <w:name w:val="83660B0D53B14BDA8A30922F8A2058D5"/>
    <w:rsid w:val="00CF4731"/>
    <w:pPr>
      <w:spacing w:after="160" w:line="259" w:lineRule="auto"/>
    </w:pPr>
    <w:rPr>
      <w:lang w:val="fr-FR" w:eastAsia="fr-FR"/>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45CEA3FF220C4BE6B20EDFB731F8BD84">
    <w:name w:val="45CEA3FF220C4BE6B20EDFB731F8BD84"/>
    <w:rsid w:val="00CF473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6D83E563-E1EB-486E-BEAB-D9F9C226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8D2169-F5A3-4363-A6D6-9CC6864F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34</Pages>
  <Words>11940</Words>
  <Characters>68060</Characters>
  <Application>Microsoft Office Word</Application>
  <DocSecurity>0</DocSecurity>
  <Lines>567</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ADOPTEE PAR L’ORGANE SUBSIDIAIRE CHARGE DE L’APPLICATION</vt:lpstr>
      <vt:lpstr>PLAN DE MISE EN ŒUVRE ET PLAN D’ACTION POUR LE RENFORCEMENT DES CAPACITÉS DU PROTOCOLE DE CARTAGENA</vt:lpstr>
    </vt:vector>
  </TitlesOfParts>
  <Company>United Nations</Company>
  <LinksUpToDate>false</LinksUpToDate>
  <CharactersWithSpaces>79841</CharactersWithSpaces>
  <SharedDoc>false</SharedDoc>
  <HyperlinkBase>https://www.cbd.int/sbi/</HyperlinkBase>
  <HLinks>
    <vt:vector size="12" baseType="variant">
      <vt:variant>
        <vt:i4>6291579</vt:i4>
      </vt:variant>
      <vt:variant>
        <vt:i4>3</vt:i4>
      </vt:variant>
      <vt:variant>
        <vt:i4>0</vt:i4>
      </vt:variant>
      <vt:variant>
        <vt:i4>5</vt:i4>
      </vt:variant>
      <vt:variant>
        <vt:lpwstr>http://bch.cbd.int/protocol/decisions/?decisionID=13236</vt:lpwstr>
      </vt:variant>
      <vt:variant>
        <vt:lpwstr/>
      </vt:variant>
      <vt:variant>
        <vt:i4>74</vt:i4>
      </vt:variant>
      <vt:variant>
        <vt:i4>0</vt:i4>
      </vt:variant>
      <vt:variant>
        <vt:i4>0</vt:i4>
      </vt:variant>
      <vt:variant>
        <vt:i4>5</vt:i4>
      </vt:variant>
      <vt:variant>
        <vt:lpwstr>http://bch.cbd.int/protocol/decisions/decision.shtml?decisionID=12329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ADOPTEE PAR L’ORGANE SUBSIDIAIRE CHARGE DE L’APPLICATION</dc:title>
  <dc:subject>CBD/SBI/REC/3/4</dc:subject>
  <dc:creator>SBI-3</dc:creator>
  <cp:keywords>Convention on Biological Diversity, Subsidiary Body on Implementation, third meeting</cp:keywords>
  <cp:lastModifiedBy>Xue He Yan</cp:lastModifiedBy>
  <cp:revision>13</cp:revision>
  <cp:lastPrinted>2020-01-21T19:56:00Z</cp:lastPrinted>
  <dcterms:created xsi:type="dcterms:W3CDTF">2022-03-26T13:46:00Z</dcterms:created>
  <dcterms:modified xsi:type="dcterms:W3CDTF">2022-05-06T13:22:00Z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