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14:paraId="07F6750D" w14:textId="77777777" w:rsidTr="009C2DE6">
        <w:trPr>
          <w:trHeight w:val="851"/>
        </w:trPr>
        <w:tc>
          <w:tcPr>
            <w:tcW w:w="976" w:type="dxa"/>
            <w:tcBorders>
              <w:bottom w:val="single" w:sz="12" w:space="0" w:color="auto"/>
            </w:tcBorders>
          </w:tcPr>
          <w:p w14:paraId="1DEFF495" w14:textId="77777777" w:rsidR="00C9161D" w:rsidRPr="00321985" w:rsidRDefault="00C9161D" w:rsidP="00321985">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321985">
            <w:r w:rsidRPr="00F430B9">
              <w:rPr>
                <w:noProof/>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4090" w:type="dxa"/>
            <w:tcBorders>
              <w:bottom w:val="single" w:sz="12" w:space="0" w:color="auto"/>
            </w:tcBorders>
          </w:tcPr>
          <w:p w14:paraId="600A589D" w14:textId="77777777" w:rsidR="00C9161D" w:rsidRPr="00C9161D" w:rsidRDefault="00C9161D" w:rsidP="00C9161D">
            <w:pPr>
              <w:jc w:val="right"/>
              <w:rPr>
                <w:rFonts w:ascii="Arial" w:hAnsi="Arial" w:cs="Arial"/>
                <w:b/>
                <w:sz w:val="32"/>
                <w:szCs w:val="32"/>
              </w:rPr>
            </w:pPr>
            <w:r w:rsidRPr="00C9161D">
              <w:rPr>
                <w:rFonts w:ascii="Arial" w:hAnsi="Arial" w:cs="Arial"/>
                <w:b/>
                <w:sz w:val="32"/>
                <w:szCs w:val="32"/>
              </w:rPr>
              <w:t>CBD</w:t>
            </w:r>
          </w:p>
        </w:tc>
      </w:tr>
      <w:tr w:rsidR="00C9161D" w14:paraId="6F751905" w14:textId="77777777" w:rsidTr="00CF1848">
        <w:tc>
          <w:tcPr>
            <w:tcW w:w="6117" w:type="dxa"/>
            <w:gridSpan w:val="2"/>
            <w:tcBorders>
              <w:top w:val="single" w:sz="12" w:space="0" w:color="auto"/>
              <w:bottom w:val="single" w:sz="36" w:space="0" w:color="auto"/>
            </w:tcBorders>
            <w:vAlign w:val="center"/>
          </w:tcPr>
          <w:p w14:paraId="14F52A6C" w14:textId="77777777" w:rsidR="00C9161D" w:rsidRDefault="00C9161D" w:rsidP="00C9161D">
            <w:r>
              <w:rPr>
                <w:noProof/>
                <w:lang w:val="en-US"/>
              </w:rPr>
              <w:drawing>
                <wp:inline distT="0" distB="0" distL="0" distR="0" wp14:anchorId="7BABC8B6" wp14:editId="083FE5C8">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4090" w:type="dxa"/>
            <w:tcBorders>
              <w:top w:val="single" w:sz="12" w:space="0" w:color="auto"/>
              <w:bottom w:val="single" w:sz="36" w:space="0" w:color="auto"/>
            </w:tcBorders>
          </w:tcPr>
          <w:p w14:paraId="1C693BA4" w14:textId="77777777" w:rsidR="00C9161D" w:rsidRPr="00C9161D" w:rsidRDefault="00C9161D" w:rsidP="00176CEE">
            <w:pPr>
              <w:ind w:left="1215"/>
              <w:rPr>
                <w:szCs w:val="22"/>
              </w:rPr>
            </w:pPr>
            <w:r w:rsidRPr="00C9161D">
              <w:rPr>
                <w:szCs w:val="22"/>
              </w:rPr>
              <w:t>Distr.</w:t>
            </w:r>
          </w:p>
          <w:p w14:paraId="0C21C438" w14:textId="7409E2E0" w:rsidR="00C9161D" w:rsidRPr="00C9161D" w:rsidRDefault="00DC710B" w:rsidP="00176CEE">
            <w:pPr>
              <w:ind w:left="1215"/>
              <w:rPr>
                <w:szCs w:val="22"/>
              </w:rPr>
            </w:pPr>
            <w:r>
              <w:rPr>
                <w:caps/>
                <w:szCs w:val="22"/>
              </w:rPr>
              <w:t>GENERAL</w:t>
            </w:r>
          </w:p>
          <w:p w14:paraId="06715052" w14:textId="77777777" w:rsidR="00C9161D" w:rsidRPr="00C9161D" w:rsidRDefault="00C9161D" w:rsidP="00176CEE">
            <w:pPr>
              <w:ind w:left="1215"/>
              <w:rPr>
                <w:szCs w:val="22"/>
              </w:rPr>
            </w:pPr>
          </w:p>
          <w:p w14:paraId="44230134" w14:textId="69052BF6" w:rsidR="00C9161D" w:rsidRPr="00D26FB4" w:rsidRDefault="001066BE" w:rsidP="00176CEE">
            <w:pPr>
              <w:ind w:left="1215"/>
              <w:rPr>
                <w:szCs w:val="22"/>
                <w:lang w:val="en-US"/>
              </w:rPr>
            </w:pPr>
            <w:sdt>
              <w:sdtPr>
                <w:rPr>
                  <w:lang w:val="en-U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5729BF" w:rsidRPr="00D26FB4">
                  <w:rPr>
                    <w:lang w:val="en-US"/>
                  </w:rPr>
                  <w:t>CBD/SBI/</w:t>
                </w:r>
                <w:r w:rsidR="00DC710B">
                  <w:rPr>
                    <w:lang w:val="en-US"/>
                  </w:rPr>
                  <w:t>REC/3/8</w:t>
                </w:r>
              </w:sdtContent>
            </w:sdt>
          </w:p>
          <w:p w14:paraId="0DF1F033" w14:textId="15113C8B" w:rsidR="00C9161D" w:rsidRPr="00D170DA" w:rsidRDefault="007969D2" w:rsidP="00176CEE">
            <w:pPr>
              <w:ind w:left="1215"/>
              <w:rPr>
                <w:szCs w:val="22"/>
                <w:lang w:val="en-US"/>
              </w:rPr>
            </w:pPr>
            <w:r>
              <w:rPr>
                <w:szCs w:val="22"/>
                <w:lang w:val="en-US"/>
              </w:rPr>
              <w:t>2</w:t>
            </w:r>
            <w:r w:rsidR="00DC710B">
              <w:rPr>
                <w:szCs w:val="22"/>
                <w:lang w:val="en-US"/>
              </w:rPr>
              <w:t>8</w:t>
            </w:r>
            <w:r w:rsidR="00FF6D53" w:rsidRPr="00D170DA">
              <w:rPr>
                <w:szCs w:val="22"/>
                <w:lang w:val="en-US"/>
              </w:rPr>
              <w:t xml:space="preserve"> </w:t>
            </w:r>
            <w:r w:rsidR="0078614A" w:rsidRPr="00D170DA">
              <w:rPr>
                <w:szCs w:val="22"/>
                <w:lang w:val="en-US"/>
              </w:rPr>
              <w:t>March</w:t>
            </w:r>
            <w:r w:rsidR="00F6586C" w:rsidRPr="00D170DA">
              <w:rPr>
                <w:szCs w:val="22"/>
                <w:lang w:val="en-US"/>
              </w:rPr>
              <w:t xml:space="preserve"> 20</w:t>
            </w:r>
            <w:r w:rsidR="00FF6D53" w:rsidRPr="00D170DA">
              <w:rPr>
                <w:szCs w:val="22"/>
                <w:lang w:val="en-US"/>
              </w:rPr>
              <w:t>2</w:t>
            </w:r>
            <w:r w:rsidR="008C56E3" w:rsidRPr="00D170DA">
              <w:rPr>
                <w:szCs w:val="22"/>
                <w:lang w:val="en-US"/>
              </w:rPr>
              <w:t>2</w:t>
            </w:r>
          </w:p>
          <w:p w14:paraId="159892DF" w14:textId="77777777" w:rsidR="00C9161D" w:rsidRPr="00D170DA" w:rsidRDefault="00C9161D" w:rsidP="00176CEE">
            <w:pPr>
              <w:ind w:left="1215"/>
              <w:rPr>
                <w:szCs w:val="22"/>
                <w:lang w:val="en-US"/>
              </w:rPr>
            </w:pPr>
          </w:p>
          <w:p w14:paraId="19472D49" w14:textId="77777777" w:rsidR="00C9161D" w:rsidRPr="00C9161D" w:rsidRDefault="006B2290" w:rsidP="00176CEE">
            <w:pPr>
              <w:ind w:left="1215"/>
              <w:rPr>
                <w:szCs w:val="22"/>
              </w:rPr>
            </w:pPr>
            <w:r>
              <w:rPr>
                <w:szCs w:val="22"/>
              </w:rPr>
              <w:t xml:space="preserve">ORIGINAL: </w:t>
            </w:r>
            <w:r w:rsidR="00C9161D" w:rsidRPr="00C9161D">
              <w:rPr>
                <w:szCs w:val="22"/>
              </w:rPr>
              <w:t>ENGLISH</w:t>
            </w:r>
          </w:p>
          <w:p w14:paraId="5AA10CCE" w14:textId="77777777" w:rsidR="00C9161D" w:rsidRDefault="00C9161D"/>
        </w:tc>
      </w:tr>
    </w:tbl>
    <w:p w14:paraId="545320C7" w14:textId="77777777" w:rsidR="00CE163A" w:rsidRPr="00853A7F" w:rsidRDefault="00CE163A" w:rsidP="00CE163A">
      <w:pPr>
        <w:pStyle w:val="meetingname"/>
        <w:ind w:left="284" w:right="4398" w:hanging="284"/>
        <w:rPr>
          <w:kern w:val="22"/>
        </w:rPr>
      </w:pPr>
      <w:bookmarkStart w:id="0" w:name="Meeting"/>
      <w:r w:rsidRPr="00853A7F">
        <w:rPr>
          <w:kern w:val="22"/>
        </w:rPr>
        <w:t>SUBSIDIARY BODY ON IMPLEMENTATION</w:t>
      </w:r>
      <w:bookmarkEnd w:id="0"/>
    </w:p>
    <w:p w14:paraId="141D5799" w14:textId="2F4CD04C" w:rsidR="00CE163A" w:rsidRPr="00853A7F" w:rsidRDefault="00CE163A" w:rsidP="00CE163A">
      <w:pPr>
        <w:ind w:left="284" w:hanging="284"/>
        <w:jc w:val="left"/>
        <w:rPr>
          <w:snapToGrid w:val="0"/>
          <w:kern w:val="22"/>
          <w:szCs w:val="22"/>
          <w:lang w:eastAsia="nb-NO"/>
        </w:rPr>
      </w:pPr>
      <w:r w:rsidRPr="00853A7F">
        <w:rPr>
          <w:snapToGrid w:val="0"/>
          <w:kern w:val="22"/>
          <w:szCs w:val="22"/>
          <w:lang w:eastAsia="nb-NO"/>
        </w:rPr>
        <w:t>Third meeting</w:t>
      </w:r>
      <w:r w:rsidR="00304F9B">
        <w:rPr>
          <w:snapToGrid w:val="0"/>
          <w:kern w:val="22"/>
          <w:szCs w:val="22"/>
          <w:lang w:eastAsia="nb-NO"/>
        </w:rPr>
        <w:t xml:space="preserve"> </w:t>
      </w:r>
    </w:p>
    <w:p w14:paraId="565D8356" w14:textId="77777777" w:rsidR="005729BF" w:rsidRPr="000C6FB3" w:rsidRDefault="005729BF" w:rsidP="005729BF">
      <w:pPr>
        <w:ind w:left="426" w:hanging="426"/>
        <w:jc w:val="left"/>
        <w:rPr>
          <w:snapToGrid w:val="0"/>
          <w:kern w:val="22"/>
          <w:szCs w:val="22"/>
          <w:lang w:eastAsia="nb-NO"/>
        </w:rPr>
      </w:pPr>
      <w:r w:rsidRPr="000C6FB3">
        <w:rPr>
          <w:snapToGrid w:val="0"/>
          <w:kern w:val="22"/>
          <w:szCs w:val="22"/>
          <w:lang w:eastAsia="nb-NO"/>
        </w:rPr>
        <w:t>Online, 16 May-13 June 2021</w:t>
      </w:r>
      <w:r>
        <w:rPr>
          <w:snapToGrid w:val="0"/>
          <w:kern w:val="22"/>
          <w:szCs w:val="22"/>
          <w:lang w:eastAsia="nb-NO"/>
        </w:rPr>
        <w:t xml:space="preserve"> and</w:t>
      </w:r>
    </w:p>
    <w:p w14:paraId="5C846C48" w14:textId="77777777" w:rsidR="005729BF" w:rsidRPr="00554253" w:rsidRDefault="005729BF" w:rsidP="005729BF">
      <w:pPr>
        <w:suppressLineNumbers/>
        <w:suppressAutoHyphens/>
        <w:adjustRightInd w:val="0"/>
        <w:snapToGrid w:val="0"/>
        <w:ind w:left="426" w:hanging="426"/>
        <w:rPr>
          <w:rFonts w:asciiTheme="majorBidi" w:hAnsiTheme="majorBidi" w:cstheme="majorBidi"/>
          <w:snapToGrid w:val="0"/>
          <w:kern w:val="22"/>
          <w:szCs w:val="22"/>
          <w:lang w:eastAsia="nb-NO"/>
        </w:rPr>
      </w:pPr>
      <w:r w:rsidRPr="007677FF">
        <w:rPr>
          <w:rFonts w:asciiTheme="majorBidi" w:hAnsiTheme="majorBidi" w:cstheme="majorBidi"/>
          <w:snapToGrid w:val="0"/>
          <w:kern w:val="22"/>
          <w:lang w:eastAsia="nb-NO"/>
        </w:rPr>
        <w:t>Geneva, Switzerland, 14-29 March 2022</w:t>
      </w:r>
    </w:p>
    <w:p w14:paraId="40162601" w14:textId="66B20C1E" w:rsidR="00BE7A85" w:rsidRDefault="00453BCD" w:rsidP="00BE7A85">
      <w:pPr>
        <w:rPr>
          <w:snapToGrid w:val="0"/>
          <w:kern w:val="22"/>
          <w:szCs w:val="22"/>
        </w:rPr>
      </w:pPr>
      <w:r>
        <w:rPr>
          <w:snapToGrid w:val="0"/>
          <w:kern w:val="22"/>
          <w:szCs w:val="22"/>
        </w:rPr>
        <w:t>Agenda i</w:t>
      </w:r>
      <w:r w:rsidR="00BE7A85" w:rsidRPr="004B44DE">
        <w:rPr>
          <w:snapToGrid w:val="0"/>
          <w:kern w:val="22"/>
          <w:szCs w:val="22"/>
        </w:rPr>
        <w:t xml:space="preserve">tem </w:t>
      </w:r>
      <w:r w:rsidR="007969D2">
        <w:rPr>
          <w:snapToGrid w:val="0"/>
          <w:kern w:val="22"/>
          <w:szCs w:val="22"/>
        </w:rPr>
        <w:t>7</w:t>
      </w:r>
    </w:p>
    <w:p w14:paraId="03CFD92A" w14:textId="77777777" w:rsidR="000E369B" w:rsidRPr="00C9161D" w:rsidRDefault="000E369B" w:rsidP="00BE7A85"/>
    <w:p w14:paraId="32DEE78D" w14:textId="30DFCA74" w:rsidR="00D87A97" w:rsidRPr="00760D30" w:rsidRDefault="001066BE" w:rsidP="00D87A97">
      <w:pPr>
        <w:spacing w:before="120" w:after="240"/>
        <w:jc w:val="center"/>
        <w:rPr>
          <w:szCs w:val="22"/>
        </w:rPr>
      </w:pPr>
      <w:sdt>
        <w:sdtPr>
          <w:rPr>
            <w:rFonts w:asciiTheme="majorBidi" w:hAnsiTheme="majorBidi" w:cstheme="majorBidi"/>
            <w:b/>
            <w:bCs/>
            <w:iCs/>
            <w:caps/>
            <w:snapToGrid w:val="0"/>
            <w:kern w:val="22"/>
          </w:rPr>
          <w:alias w:val="Title"/>
          <w:tag w:val=""/>
          <w:id w:val="-2130620803"/>
          <w:placeholder>
            <w:docPart w:val="31EF7AED56C94AD9A6ED42F91CBE4E6B"/>
          </w:placeholder>
          <w:dataBinding w:prefixMappings="xmlns:ns0='http://purl.org/dc/elements/1.1/' xmlns:ns1='http://schemas.openxmlformats.org/package/2006/metadata/core-properties' " w:xpath="/ns1:coreProperties[1]/ns0:title[1]" w:storeItemID="{6C3C8BC8-F283-45AE-878A-BAB7291924A1}"/>
          <w:text/>
        </w:sdtPr>
        <w:sdtEndPr/>
        <w:sdtContent>
          <w:r w:rsidR="008562C0">
            <w:rPr>
              <w:rFonts w:asciiTheme="majorBidi" w:hAnsiTheme="majorBidi" w:cstheme="majorBidi"/>
              <w:b/>
              <w:bCs/>
              <w:iCs/>
              <w:caps/>
              <w:snapToGrid w:val="0"/>
              <w:kern w:val="22"/>
            </w:rPr>
            <w:t>RECOMMENDATION ADOPTED BY THE SUBSIDIARY BODY ON IMPLEMENTATION</w:t>
          </w:r>
        </w:sdtContent>
      </w:sdt>
      <w:r w:rsidR="00D87A97" w:rsidRPr="00117EEC">
        <w:rPr>
          <w:b/>
          <w:caps/>
        </w:rPr>
        <w:t xml:space="preserve"> </w:t>
      </w:r>
    </w:p>
    <w:p w14:paraId="5ED2F669" w14:textId="6E1C824C" w:rsidR="003E7E47" w:rsidRPr="00C07F07" w:rsidRDefault="0091693C" w:rsidP="006D7A92">
      <w:pPr>
        <w:suppressLineNumbers/>
        <w:tabs>
          <w:tab w:val="left" w:pos="720"/>
        </w:tabs>
        <w:suppressAutoHyphens/>
        <w:kinsoku w:val="0"/>
        <w:overflowPunct w:val="0"/>
        <w:autoSpaceDE w:val="0"/>
        <w:autoSpaceDN w:val="0"/>
        <w:adjustRightInd w:val="0"/>
        <w:snapToGrid w:val="0"/>
        <w:spacing w:before="120" w:after="120"/>
        <w:ind w:left="1701" w:hanging="709"/>
        <w:jc w:val="left"/>
        <w:rPr>
          <w:b/>
          <w:bCs/>
          <w:kern w:val="22"/>
          <w:szCs w:val="22"/>
        </w:rPr>
      </w:pPr>
      <w:r>
        <w:rPr>
          <w:b/>
          <w:bCs/>
          <w:kern w:val="22"/>
          <w:szCs w:val="22"/>
        </w:rPr>
        <w:t>3/8.</w:t>
      </w:r>
      <w:r>
        <w:rPr>
          <w:b/>
          <w:bCs/>
          <w:kern w:val="22"/>
          <w:szCs w:val="22"/>
        </w:rPr>
        <w:tab/>
      </w:r>
      <w:r w:rsidRPr="0091693C">
        <w:rPr>
          <w:b/>
          <w:bCs/>
          <w:kern w:val="22"/>
          <w:szCs w:val="22"/>
        </w:rPr>
        <w:t xml:space="preserve">Capacity-building and development, technical and scientific </w:t>
      </w:r>
      <w:proofErr w:type="gramStart"/>
      <w:r w:rsidRPr="0091693C">
        <w:rPr>
          <w:b/>
          <w:bCs/>
          <w:kern w:val="22"/>
          <w:szCs w:val="22"/>
        </w:rPr>
        <w:t>cooperation</w:t>
      </w:r>
      <w:proofErr w:type="gramEnd"/>
      <w:r w:rsidRPr="0091693C">
        <w:rPr>
          <w:b/>
          <w:bCs/>
          <w:kern w:val="22"/>
          <w:szCs w:val="22"/>
        </w:rPr>
        <w:t xml:space="preserve"> and technology transfer</w:t>
      </w:r>
    </w:p>
    <w:p w14:paraId="5801D5FB" w14:textId="77777777" w:rsidR="00D87A97" w:rsidRPr="005A0091" w:rsidRDefault="00D87A97" w:rsidP="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sidRPr="00C07F07">
        <w:rPr>
          <w:i/>
          <w:iCs/>
          <w:kern w:val="22"/>
          <w:szCs w:val="22"/>
        </w:rPr>
        <w:t xml:space="preserve">The </w:t>
      </w:r>
      <w:bookmarkStart w:id="1" w:name="_Hlk99381559"/>
      <w:r w:rsidRPr="00C07F07">
        <w:rPr>
          <w:i/>
          <w:iCs/>
          <w:kern w:val="22"/>
          <w:szCs w:val="22"/>
        </w:rPr>
        <w:t>Subsidiary Body on Implementation</w:t>
      </w:r>
      <w:bookmarkEnd w:id="1"/>
      <w:r>
        <w:rPr>
          <w:kern w:val="22"/>
          <w:szCs w:val="22"/>
        </w:rPr>
        <w:t>,</w:t>
      </w:r>
      <w:r w:rsidRPr="005A0091">
        <w:rPr>
          <w:kern w:val="22"/>
          <w:szCs w:val="22"/>
        </w:rPr>
        <w:t xml:space="preserve"> </w:t>
      </w:r>
    </w:p>
    <w:p w14:paraId="597AE270" w14:textId="609183D8" w:rsidR="00D87A97" w:rsidRDefault="00D87A97" w:rsidP="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sidRPr="00B10336">
        <w:rPr>
          <w:i/>
          <w:iCs/>
          <w:kern w:val="22"/>
          <w:szCs w:val="22"/>
        </w:rPr>
        <w:t xml:space="preserve">Taking note </w:t>
      </w:r>
      <w:r w:rsidRPr="00C07F07">
        <w:rPr>
          <w:kern w:val="22"/>
          <w:szCs w:val="22"/>
        </w:rPr>
        <w:t>of</w:t>
      </w:r>
      <w:r>
        <w:rPr>
          <w:i/>
          <w:iCs/>
          <w:kern w:val="22"/>
          <w:szCs w:val="22"/>
        </w:rPr>
        <w:t xml:space="preserve"> </w:t>
      </w:r>
      <w:r w:rsidRPr="00C378BC">
        <w:rPr>
          <w:kern w:val="22"/>
          <w:szCs w:val="22"/>
        </w:rPr>
        <w:t xml:space="preserve">the proposals to strengthen </w:t>
      </w:r>
      <w:r>
        <w:rPr>
          <w:kern w:val="22"/>
          <w:szCs w:val="22"/>
        </w:rPr>
        <w:t>technical and scientific cooperation</w:t>
      </w:r>
      <w:r w:rsidRPr="00C378BC">
        <w:rPr>
          <w:kern w:val="22"/>
          <w:szCs w:val="22"/>
        </w:rPr>
        <w:t xml:space="preserve"> in support of the post</w:t>
      </w:r>
      <w:r>
        <w:rPr>
          <w:kern w:val="22"/>
          <w:szCs w:val="22"/>
        </w:rPr>
        <w:t>-</w:t>
      </w:r>
      <w:r w:rsidRPr="00C378BC">
        <w:rPr>
          <w:kern w:val="22"/>
          <w:szCs w:val="22"/>
        </w:rPr>
        <w:t>202</w:t>
      </w:r>
      <w:r>
        <w:rPr>
          <w:kern w:val="22"/>
          <w:szCs w:val="22"/>
        </w:rPr>
        <w:t>0</w:t>
      </w:r>
      <w:r w:rsidRPr="00C378BC">
        <w:rPr>
          <w:kern w:val="22"/>
          <w:szCs w:val="22"/>
        </w:rPr>
        <w:t xml:space="preserve"> </w:t>
      </w:r>
      <w:r>
        <w:rPr>
          <w:kern w:val="22"/>
          <w:szCs w:val="22"/>
        </w:rPr>
        <w:t xml:space="preserve">global biodiversity framework </w:t>
      </w:r>
      <w:r w:rsidRPr="00C378BC">
        <w:rPr>
          <w:kern w:val="22"/>
          <w:szCs w:val="22"/>
        </w:rPr>
        <w:t xml:space="preserve">contained in </w:t>
      </w:r>
      <w:r>
        <w:rPr>
          <w:kern w:val="22"/>
          <w:szCs w:val="22"/>
        </w:rPr>
        <w:t>a</w:t>
      </w:r>
      <w:r w:rsidRPr="00C378BC">
        <w:rPr>
          <w:kern w:val="22"/>
          <w:szCs w:val="22"/>
        </w:rPr>
        <w:t>nnex II</w:t>
      </w:r>
      <w:r>
        <w:rPr>
          <w:kern w:val="22"/>
          <w:szCs w:val="22"/>
        </w:rPr>
        <w:t>,</w:t>
      </w:r>
      <w:r w:rsidR="00D520FF">
        <w:rPr>
          <w:rStyle w:val="FootnoteReference"/>
          <w:kern w:val="22"/>
          <w:szCs w:val="22"/>
        </w:rPr>
        <w:footnoteReference w:id="1"/>
      </w:r>
    </w:p>
    <w:p w14:paraId="4A03FF4D" w14:textId="7002ED4D" w:rsidR="00D520FF" w:rsidRDefault="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sidRPr="00C07F07">
        <w:rPr>
          <w:i/>
          <w:iCs/>
          <w:kern w:val="22"/>
          <w:szCs w:val="22"/>
        </w:rPr>
        <w:t>N</w:t>
      </w:r>
      <w:r w:rsidRPr="000D4038">
        <w:rPr>
          <w:i/>
          <w:iCs/>
          <w:kern w:val="22"/>
          <w:szCs w:val="22"/>
        </w:rPr>
        <w:t>ot</w:t>
      </w:r>
      <w:r w:rsidRPr="00C07F07">
        <w:rPr>
          <w:i/>
          <w:iCs/>
          <w:kern w:val="22"/>
          <w:szCs w:val="22"/>
        </w:rPr>
        <w:t>ing</w:t>
      </w:r>
      <w:r w:rsidRPr="000D4038">
        <w:rPr>
          <w:kern w:val="22"/>
          <w:szCs w:val="22"/>
        </w:rPr>
        <w:t xml:space="preserve"> that annex II was not negotiated </w:t>
      </w:r>
      <w:r>
        <w:rPr>
          <w:kern w:val="22"/>
          <w:szCs w:val="22"/>
        </w:rPr>
        <w:t>by the</w:t>
      </w:r>
      <w:r w:rsidRPr="000D4038">
        <w:rPr>
          <w:kern w:val="22"/>
          <w:szCs w:val="22"/>
        </w:rPr>
        <w:t xml:space="preserve"> Subsidiary Body on Implementation</w:t>
      </w:r>
      <w:r>
        <w:rPr>
          <w:kern w:val="22"/>
          <w:szCs w:val="22"/>
        </w:rPr>
        <w:t xml:space="preserve"> at its third meeting</w:t>
      </w:r>
      <w:r w:rsidRPr="000D4038">
        <w:rPr>
          <w:kern w:val="22"/>
          <w:szCs w:val="22"/>
        </w:rPr>
        <w:t>,</w:t>
      </w:r>
    </w:p>
    <w:p w14:paraId="1152C7F2" w14:textId="2FCD3F52" w:rsidR="001432B4" w:rsidRDefault="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sidRPr="00476673">
        <w:rPr>
          <w:i/>
          <w:iCs/>
          <w:kern w:val="22"/>
          <w:szCs w:val="22"/>
        </w:rPr>
        <w:t>Tak</w:t>
      </w:r>
      <w:r w:rsidRPr="0019584A">
        <w:rPr>
          <w:i/>
          <w:iCs/>
          <w:kern w:val="22"/>
          <w:szCs w:val="22"/>
        </w:rPr>
        <w:t>ing</w:t>
      </w:r>
      <w:r w:rsidRPr="009945D4">
        <w:rPr>
          <w:i/>
          <w:iCs/>
          <w:kern w:val="22"/>
          <w:szCs w:val="22"/>
        </w:rPr>
        <w:t xml:space="preserve"> note </w:t>
      </w:r>
      <w:r w:rsidRPr="00476673">
        <w:rPr>
          <w:kern w:val="22"/>
          <w:szCs w:val="22"/>
        </w:rPr>
        <w:t xml:space="preserve">of the proposal for an inclusive process to review and renew technical and scientific cooperation programmes contained in </w:t>
      </w:r>
      <w:r>
        <w:rPr>
          <w:kern w:val="22"/>
          <w:szCs w:val="22"/>
        </w:rPr>
        <w:t>annex IV</w:t>
      </w:r>
      <w:r w:rsidRPr="00C378BC">
        <w:rPr>
          <w:kern w:val="22"/>
          <w:szCs w:val="22"/>
        </w:rPr>
        <w:t xml:space="preserve"> below, </w:t>
      </w:r>
    </w:p>
    <w:p w14:paraId="323318BF" w14:textId="628050DA" w:rsidR="001432B4" w:rsidRDefault="00D87A97" w:rsidP="00D87A97">
      <w:pPr>
        <w:suppressLineNumbers/>
        <w:tabs>
          <w:tab w:val="left" w:pos="720"/>
        </w:tabs>
        <w:suppressAutoHyphens/>
        <w:kinsoku w:val="0"/>
        <w:overflowPunct w:val="0"/>
        <w:autoSpaceDE w:val="0"/>
        <w:autoSpaceDN w:val="0"/>
        <w:adjustRightInd w:val="0"/>
        <w:snapToGrid w:val="0"/>
        <w:spacing w:before="120" w:after="120"/>
        <w:ind w:firstLine="709"/>
        <w:rPr>
          <w:i/>
          <w:iCs/>
          <w:kern w:val="22"/>
          <w:szCs w:val="22"/>
        </w:rPr>
      </w:pPr>
      <w:r w:rsidRPr="00C07F07">
        <w:rPr>
          <w:kern w:val="22"/>
          <w:szCs w:val="22"/>
        </w:rPr>
        <w:t>1.</w:t>
      </w:r>
      <w:r>
        <w:rPr>
          <w:i/>
          <w:iCs/>
          <w:kern w:val="22"/>
          <w:szCs w:val="22"/>
        </w:rPr>
        <w:tab/>
      </w:r>
      <w:r w:rsidR="001432B4" w:rsidRPr="00191104">
        <w:rPr>
          <w:i/>
          <w:iCs/>
          <w:kern w:val="22"/>
          <w:szCs w:val="22"/>
        </w:rPr>
        <w:t>Recommends</w:t>
      </w:r>
      <w:r w:rsidR="001432B4" w:rsidRPr="00D520FF">
        <w:rPr>
          <w:kern w:val="22"/>
          <w:szCs w:val="22"/>
        </w:rPr>
        <w:t xml:space="preserve"> that the outcomes of </w:t>
      </w:r>
      <w:r w:rsidR="001432B4">
        <w:rPr>
          <w:kern w:val="22"/>
          <w:szCs w:val="22"/>
        </w:rPr>
        <w:t xml:space="preserve">part II of </w:t>
      </w:r>
      <w:r w:rsidR="00266D6B">
        <w:rPr>
          <w:kern w:val="22"/>
          <w:szCs w:val="22"/>
        </w:rPr>
        <w:t xml:space="preserve">its </w:t>
      </w:r>
      <w:r w:rsidR="001432B4" w:rsidRPr="009C1792">
        <w:rPr>
          <w:kern w:val="22"/>
          <w:szCs w:val="22"/>
        </w:rPr>
        <w:t xml:space="preserve">third meeting </w:t>
      </w:r>
      <w:r w:rsidR="001432B4" w:rsidRPr="00D520FF">
        <w:rPr>
          <w:kern w:val="22"/>
          <w:szCs w:val="22"/>
        </w:rPr>
        <w:t>on</w:t>
      </w:r>
      <w:r w:rsidR="001432B4">
        <w:rPr>
          <w:kern w:val="22"/>
          <w:szCs w:val="22"/>
        </w:rPr>
        <w:t xml:space="preserve"> </w:t>
      </w:r>
      <w:r w:rsidR="008B0CB4">
        <w:rPr>
          <w:kern w:val="22"/>
          <w:szCs w:val="22"/>
        </w:rPr>
        <w:t>c</w:t>
      </w:r>
      <w:r w:rsidR="001432B4" w:rsidRPr="00D520FF">
        <w:rPr>
          <w:kern w:val="22"/>
          <w:szCs w:val="22"/>
        </w:rPr>
        <w:t>apacity</w:t>
      </w:r>
      <w:r w:rsidR="001E5BEA">
        <w:rPr>
          <w:kern w:val="22"/>
          <w:szCs w:val="22"/>
        </w:rPr>
        <w:t>-</w:t>
      </w:r>
      <w:r w:rsidR="003D0EB7">
        <w:rPr>
          <w:kern w:val="22"/>
          <w:szCs w:val="22"/>
        </w:rPr>
        <w:t>b</w:t>
      </w:r>
      <w:r w:rsidR="001432B4" w:rsidRPr="00D520FF">
        <w:rPr>
          <w:kern w:val="22"/>
          <w:szCs w:val="22"/>
        </w:rPr>
        <w:t>uilding</w:t>
      </w:r>
      <w:r w:rsidR="001432B4">
        <w:rPr>
          <w:kern w:val="22"/>
          <w:szCs w:val="22"/>
        </w:rPr>
        <w:t xml:space="preserve"> and </w:t>
      </w:r>
      <w:r w:rsidR="003D0EB7">
        <w:rPr>
          <w:kern w:val="22"/>
          <w:szCs w:val="22"/>
        </w:rPr>
        <w:t>d</w:t>
      </w:r>
      <w:r w:rsidR="001432B4">
        <w:rPr>
          <w:kern w:val="22"/>
          <w:szCs w:val="22"/>
        </w:rPr>
        <w:t xml:space="preserve">evelopment, and </w:t>
      </w:r>
      <w:r w:rsidR="003D0EB7">
        <w:rPr>
          <w:kern w:val="22"/>
          <w:szCs w:val="22"/>
        </w:rPr>
        <w:t>t</w:t>
      </w:r>
      <w:r w:rsidR="001432B4">
        <w:rPr>
          <w:kern w:val="22"/>
          <w:szCs w:val="22"/>
        </w:rPr>
        <w:t xml:space="preserve">echnical and </w:t>
      </w:r>
      <w:r w:rsidR="003D0EB7">
        <w:rPr>
          <w:kern w:val="22"/>
          <w:szCs w:val="22"/>
        </w:rPr>
        <w:t>s</w:t>
      </w:r>
      <w:r w:rsidR="001432B4">
        <w:rPr>
          <w:kern w:val="22"/>
          <w:szCs w:val="22"/>
        </w:rPr>
        <w:t xml:space="preserve">cientific </w:t>
      </w:r>
      <w:r w:rsidR="003D0EB7">
        <w:rPr>
          <w:kern w:val="22"/>
          <w:szCs w:val="22"/>
        </w:rPr>
        <w:t>c</w:t>
      </w:r>
      <w:r w:rsidR="001432B4">
        <w:rPr>
          <w:kern w:val="22"/>
          <w:szCs w:val="22"/>
        </w:rPr>
        <w:t>ooperation (</w:t>
      </w:r>
      <w:r w:rsidR="00264DCC">
        <w:rPr>
          <w:kern w:val="22"/>
          <w:szCs w:val="22"/>
        </w:rPr>
        <w:t>a</w:t>
      </w:r>
      <w:r w:rsidR="001432B4">
        <w:rPr>
          <w:kern w:val="22"/>
          <w:szCs w:val="22"/>
        </w:rPr>
        <w:t xml:space="preserve">genda </w:t>
      </w:r>
      <w:r w:rsidR="00264DCC">
        <w:rPr>
          <w:kern w:val="22"/>
          <w:szCs w:val="22"/>
        </w:rPr>
        <w:t>i</w:t>
      </w:r>
      <w:r w:rsidR="001432B4">
        <w:rPr>
          <w:kern w:val="22"/>
          <w:szCs w:val="22"/>
        </w:rPr>
        <w:t xml:space="preserve">tem 7) </w:t>
      </w:r>
      <w:r w:rsidR="001432B4" w:rsidRPr="00D520FF">
        <w:rPr>
          <w:kern w:val="22"/>
          <w:szCs w:val="22"/>
        </w:rPr>
        <w:t>are made available for consideration by the O</w:t>
      </w:r>
      <w:r w:rsidR="001432B4">
        <w:rPr>
          <w:kern w:val="22"/>
          <w:szCs w:val="22"/>
        </w:rPr>
        <w:t xml:space="preserve">pen-ended </w:t>
      </w:r>
      <w:r w:rsidR="001432B4" w:rsidRPr="00D520FF">
        <w:rPr>
          <w:kern w:val="22"/>
          <w:szCs w:val="22"/>
        </w:rPr>
        <w:t>W</w:t>
      </w:r>
      <w:r w:rsidR="001432B4">
        <w:rPr>
          <w:kern w:val="22"/>
          <w:szCs w:val="22"/>
        </w:rPr>
        <w:t xml:space="preserve">orking </w:t>
      </w:r>
      <w:r w:rsidR="001432B4" w:rsidRPr="00D520FF">
        <w:rPr>
          <w:kern w:val="22"/>
          <w:szCs w:val="22"/>
        </w:rPr>
        <w:t>G</w:t>
      </w:r>
      <w:r w:rsidR="001432B4">
        <w:rPr>
          <w:kern w:val="22"/>
          <w:szCs w:val="22"/>
        </w:rPr>
        <w:t>roup</w:t>
      </w:r>
      <w:r w:rsidR="001432B4" w:rsidRPr="00D520FF">
        <w:rPr>
          <w:kern w:val="22"/>
          <w:szCs w:val="22"/>
        </w:rPr>
        <w:t xml:space="preserve"> </w:t>
      </w:r>
      <w:r w:rsidR="001432B4">
        <w:rPr>
          <w:kern w:val="22"/>
          <w:szCs w:val="22"/>
        </w:rPr>
        <w:t xml:space="preserve">on </w:t>
      </w:r>
      <w:r w:rsidR="001432B4" w:rsidRPr="00D520FF">
        <w:rPr>
          <w:kern w:val="22"/>
          <w:szCs w:val="22"/>
        </w:rPr>
        <w:t xml:space="preserve">the Post-2020 Global Biodiversity Framework when continuing </w:t>
      </w:r>
      <w:r w:rsidR="008C17A3">
        <w:rPr>
          <w:kern w:val="22"/>
          <w:szCs w:val="22"/>
        </w:rPr>
        <w:t xml:space="preserve">its </w:t>
      </w:r>
      <w:r w:rsidR="001432B4" w:rsidRPr="00D520FF">
        <w:rPr>
          <w:kern w:val="22"/>
          <w:szCs w:val="22"/>
        </w:rPr>
        <w:t xml:space="preserve">work </w:t>
      </w:r>
      <w:r w:rsidR="009414A2">
        <w:rPr>
          <w:kern w:val="22"/>
          <w:szCs w:val="22"/>
        </w:rPr>
        <w:t xml:space="preserve">towards </w:t>
      </w:r>
      <w:r w:rsidR="001432B4" w:rsidRPr="00D520FF">
        <w:rPr>
          <w:kern w:val="22"/>
          <w:szCs w:val="22"/>
        </w:rPr>
        <w:t xml:space="preserve">the final draft of the </w:t>
      </w:r>
      <w:r w:rsidR="00975805">
        <w:rPr>
          <w:kern w:val="22"/>
          <w:szCs w:val="22"/>
        </w:rPr>
        <w:t>p</w:t>
      </w:r>
      <w:r w:rsidR="001432B4" w:rsidRPr="00D520FF">
        <w:rPr>
          <w:kern w:val="22"/>
          <w:szCs w:val="22"/>
        </w:rPr>
        <w:t xml:space="preserve">ost-2020 </w:t>
      </w:r>
      <w:r w:rsidR="00975805">
        <w:rPr>
          <w:kern w:val="22"/>
          <w:szCs w:val="22"/>
        </w:rPr>
        <w:t>g</w:t>
      </w:r>
      <w:r w:rsidR="001432B4" w:rsidRPr="00D520FF">
        <w:rPr>
          <w:kern w:val="22"/>
          <w:szCs w:val="22"/>
        </w:rPr>
        <w:t xml:space="preserve">lobal </w:t>
      </w:r>
      <w:r w:rsidR="00975805">
        <w:rPr>
          <w:kern w:val="22"/>
          <w:szCs w:val="22"/>
        </w:rPr>
        <w:t>b</w:t>
      </w:r>
      <w:r w:rsidR="001432B4" w:rsidRPr="00D520FF">
        <w:rPr>
          <w:kern w:val="22"/>
          <w:szCs w:val="22"/>
        </w:rPr>
        <w:t xml:space="preserve">iodiversity </w:t>
      </w:r>
      <w:proofErr w:type="gramStart"/>
      <w:r w:rsidR="00975805">
        <w:rPr>
          <w:kern w:val="22"/>
          <w:szCs w:val="22"/>
        </w:rPr>
        <w:t>f</w:t>
      </w:r>
      <w:r w:rsidR="001432B4" w:rsidRPr="00D520FF">
        <w:rPr>
          <w:kern w:val="22"/>
          <w:szCs w:val="22"/>
        </w:rPr>
        <w:t>ramework</w:t>
      </w:r>
      <w:r w:rsidR="00264DCC">
        <w:rPr>
          <w:kern w:val="22"/>
          <w:szCs w:val="22"/>
        </w:rPr>
        <w:t>;</w:t>
      </w:r>
      <w:proofErr w:type="gramEnd"/>
    </w:p>
    <w:p w14:paraId="2DB9AFE7" w14:textId="5926A0D1" w:rsidR="00D87A97" w:rsidRPr="00C378BC" w:rsidRDefault="001432B4" w:rsidP="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sidRPr="006D7A92">
        <w:rPr>
          <w:kern w:val="22"/>
          <w:szCs w:val="22"/>
        </w:rPr>
        <w:t>2.</w:t>
      </w:r>
      <w:r>
        <w:rPr>
          <w:i/>
          <w:iCs/>
          <w:kern w:val="22"/>
          <w:szCs w:val="22"/>
        </w:rPr>
        <w:tab/>
      </w:r>
      <w:r w:rsidR="00D87A97">
        <w:rPr>
          <w:i/>
          <w:iCs/>
          <w:kern w:val="22"/>
          <w:szCs w:val="22"/>
        </w:rPr>
        <w:t>R</w:t>
      </w:r>
      <w:r w:rsidR="00D87A97" w:rsidRPr="00C378BC">
        <w:rPr>
          <w:i/>
          <w:iCs/>
          <w:kern w:val="22"/>
          <w:szCs w:val="22"/>
        </w:rPr>
        <w:t>equests</w:t>
      </w:r>
      <w:r w:rsidR="00D87A97" w:rsidRPr="00C378BC">
        <w:rPr>
          <w:kern w:val="22"/>
          <w:szCs w:val="22"/>
        </w:rPr>
        <w:t xml:space="preserve"> the Executive Secretary, subject to the availability of resources, to commission the review </w:t>
      </w:r>
      <w:r w:rsidR="00D87A97">
        <w:rPr>
          <w:kern w:val="22"/>
          <w:szCs w:val="22"/>
        </w:rPr>
        <w:t xml:space="preserve">of technical and scientific cooperation programmes in accordance with the process </w:t>
      </w:r>
      <w:r w:rsidR="00D87A97" w:rsidRPr="00C378BC">
        <w:rPr>
          <w:kern w:val="22"/>
          <w:szCs w:val="22"/>
        </w:rPr>
        <w:t xml:space="preserve">outlined in </w:t>
      </w:r>
      <w:r w:rsidR="00D87A97" w:rsidRPr="003C0F0F">
        <w:rPr>
          <w:kern w:val="22"/>
          <w:szCs w:val="22"/>
        </w:rPr>
        <w:t>annex</w:t>
      </w:r>
      <w:r w:rsidR="00D87A97">
        <w:rPr>
          <w:kern w:val="22"/>
          <w:szCs w:val="22"/>
        </w:rPr>
        <w:t xml:space="preserve"> IV</w:t>
      </w:r>
      <w:r w:rsidR="00D87A97" w:rsidRPr="003C0F0F">
        <w:rPr>
          <w:kern w:val="22"/>
          <w:szCs w:val="22"/>
        </w:rPr>
        <w:t xml:space="preserve"> </w:t>
      </w:r>
      <w:r w:rsidR="00D87A97" w:rsidRPr="00C378BC">
        <w:rPr>
          <w:kern w:val="22"/>
          <w:szCs w:val="22"/>
        </w:rPr>
        <w:t>below,</w:t>
      </w:r>
      <w:r w:rsidR="00D87A97">
        <w:rPr>
          <w:kern w:val="22"/>
          <w:szCs w:val="22"/>
        </w:rPr>
        <w:t xml:space="preserve"> </w:t>
      </w:r>
      <w:r w:rsidR="00D87A97" w:rsidRPr="00C378BC">
        <w:rPr>
          <w:kern w:val="22"/>
          <w:szCs w:val="22"/>
        </w:rPr>
        <w:t>and to submit a report</w:t>
      </w:r>
      <w:r w:rsidR="00D87A97">
        <w:rPr>
          <w:kern w:val="22"/>
          <w:szCs w:val="22"/>
        </w:rPr>
        <w:t>,</w:t>
      </w:r>
      <w:r w:rsidR="00D87A97" w:rsidRPr="00C378BC">
        <w:rPr>
          <w:kern w:val="22"/>
          <w:szCs w:val="22"/>
        </w:rPr>
        <w:t xml:space="preserve"> </w:t>
      </w:r>
      <w:r w:rsidR="00D87A97">
        <w:rPr>
          <w:kern w:val="22"/>
          <w:szCs w:val="22"/>
        </w:rPr>
        <w:t xml:space="preserve">including </w:t>
      </w:r>
      <w:r w:rsidR="00D87A97" w:rsidRPr="00C378BC">
        <w:rPr>
          <w:kern w:val="22"/>
          <w:szCs w:val="22"/>
        </w:rPr>
        <w:t xml:space="preserve">the criteria </w:t>
      </w:r>
      <w:r w:rsidR="00D87A97">
        <w:rPr>
          <w:kern w:val="22"/>
          <w:szCs w:val="22"/>
        </w:rPr>
        <w:t>and</w:t>
      </w:r>
      <w:r w:rsidR="00D87A97" w:rsidRPr="00C378BC">
        <w:rPr>
          <w:kern w:val="22"/>
          <w:szCs w:val="22"/>
        </w:rPr>
        <w:t xml:space="preserve"> </w:t>
      </w:r>
      <w:r w:rsidR="00D87A97">
        <w:rPr>
          <w:kern w:val="22"/>
          <w:szCs w:val="22"/>
        </w:rPr>
        <w:t xml:space="preserve">modalities </w:t>
      </w:r>
      <w:r w:rsidR="00D87A97" w:rsidRPr="00C378BC">
        <w:rPr>
          <w:kern w:val="22"/>
          <w:szCs w:val="22"/>
        </w:rPr>
        <w:t>for the selection of entities and organizations to implement the mechanisms</w:t>
      </w:r>
      <w:r w:rsidR="00D87A97">
        <w:rPr>
          <w:kern w:val="22"/>
          <w:szCs w:val="22"/>
        </w:rPr>
        <w:t>,</w:t>
      </w:r>
      <w:r w:rsidR="00D87A97" w:rsidRPr="00C378BC">
        <w:rPr>
          <w:kern w:val="22"/>
          <w:szCs w:val="22"/>
        </w:rPr>
        <w:t xml:space="preserve"> for</w:t>
      </w:r>
      <w:r w:rsidR="00D87A97">
        <w:rPr>
          <w:kern w:val="22"/>
          <w:szCs w:val="22"/>
        </w:rPr>
        <w:t xml:space="preserve"> consideration by the Conference of the Parties at its fifteenth </w:t>
      </w:r>
      <w:proofErr w:type="gramStart"/>
      <w:r w:rsidR="00D87A97">
        <w:rPr>
          <w:kern w:val="22"/>
          <w:szCs w:val="22"/>
        </w:rPr>
        <w:t>meeting</w:t>
      </w:r>
      <w:r w:rsidR="00D87A97" w:rsidRPr="00C378BC">
        <w:rPr>
          <w:kern w:val="22"/>
          <w:szCs w:val="22"/>
        </w:rPr>
        <w:t>;</w:t>
      </w:r>
      <w:proofErr w:type="gramEnd"/>
    </w:p>
    <w:p w14:paraId="479E05F6" w14:textId="6FAAA12C" w:rsidR="00D87A97" w:rsidRDefault="001432B4" w:rsidP="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Pr>
          <w:kern w:val="22"/>
          <w:szCs w:val="22"/>
        </w:rPr>
        <w:t>3</w:t>
      </w:r>
      <w:r w:rsidR="00D87A97" w:rsidRPr="00C07F07">
        <w:rPr>
          <w:kern w:val="22"/>
          <w:szCs w:val="22"/>
        </w:rPr>
        <w:t>.</w:t>
      </w:r>
      <w:r w:rsidR="00D87A97">
        <w:rPr>
          <w:i/>
          <w:iCs/>
          <w:kern w:val="22"/>
          <w:szCs w:val="22"/>
        </w:rPr>
        <w:tab/>
      </w:r>
      <w:r w:rsidR="00D87A97" w:rsidRPr="00A46FCE">
        <w:rPr>
          <w:i/>
          <w:iCs/>
          <w:kern w:val="22"/>
          <w:szCs w:val="22"/>
        </w:rPr>
        <w:t>Welcomes</w:t>
      </w:r>
      <w:r w:rsidR="00D87A97">
        <w:rPr>
          <w:kern w:val="22"/>
          <w:szCs w:val="22"/>
        </w:rPr>
        <w:t xml:space="preserve"> the generous support provided by the Republic of Korea to support the review </w:t>
      </w:r>
      <w:proofErr w:type="gramStart"/>
      <w:r w:rsidR="00D87A97">
        <w:rPr>
          <w:kern w:val="22"/>
          <w:szCs w:val="22"/>
        </w:rPr>
        <w:t>process;</w:t>
      </w:r>
      <w:proofErr w:type="gramEnd"/>
    </w:p>
    <w:p w14:paraId="14578E6E" w14:textId="7FF5F6FD" w:rsidR="00D87A97" w:rsidRPr="00760D30" w:rsidRDefault="001432B4" w:rsidP="00D87A97">
      <w:pPr>
        <w:suppressLineNumbers/>
        <w:tabs>
          <w:tab w:val="left" w:pos="720"/>
        </w:tabs>
        <w:suppressAutoHyphens/>
        <w:kinsoku w:val="0"/>
        <w:overflowPunct w:val="0"/>
        <w:autoSpaceDE w:val="0"/>
        <w:autoSpaceDN w:val="0"/>
        <w:adjustRightInd w:val="0"/>
        <w:snapToGrid w:val="0"/>
        <w:spacing w:before="120" w:after="120"/>
        <w:ind w:firstLine="709"/>
        <w:rPr>
          <w:kern w:val="22"/>
          <w:szCs w:val="22"/>
        </w:rPr>
      </w:pPr>
      <w:r>
        <w:rPr>
          <w:kern w:val="22"/>
          <w:szCs w:val="22"/>
        </w:rPr>
        <w:t>4</w:t>
      </w:r>
      <w:r w:rsidR="00D87A97" w:rsidRPr="00C07F07">
        <w:rPr>
          <w:kern w:val="22"/>
          <w:szCs w:val="22"/>
        </w:rPr>
        <w:t>.</w:t>
      </w:r>
      <w:r w:rsidR="00D87A97">
        <w:rPr>
          <w:i/>
          <w:iCs/>
          <w:kern w:val="22"/>
          <w:szCs w:val="22"/>
        </w:rPr>
        <w:tab/>
        <w:t>R</w:t>
      </w:r>
      <w:r w:rsidR="00D87A97" w:rsidRPr="00760D30">
        <w:rPr>
          <w:i/>
          <w:iCs/>
          <w:kern w:val="22"/>
          <w:szCs w:val="22"/>
        </w:rPr>
        <w:t>ecommends</w:t>
      </w:r>
      <w:r w:rsidR="00D87A97" w:rsidRPr="00760D30">
        <w:rPr>
          <w:kern w:val="22"/>
          <w:szCs w:val="22"/>
        </w:rPr>
        <w:t xml:space="preserve"> that the Conference of the </w:t>
      </w:r>
      <w:r w:rsidR="00D87A97" w:rsidRPr="008F6F56">
        <w:rPr>
          <w:kern w:val="22"/>
          <w:szCs w:val="22"/>
        </w:rPr>
        <w:t>Parties at its fifteenth meeting adopt</w:t>
      </w:r>
      <w:r w:rsidR="00D87A97" w:rsidRPr="00760D30">
        <w:rPr>
          <w:kern w:val="22"/>
          <w:szCs w:val="22"/>
        </w:rPr>
        <w:t xml:space="preserve"> a decision along the following lines:</w:t>
      </w:r>
    </w:p>
    <w:p w14:paraId="7DFFC030" w14:textId="77777777" w:rsidR="00D87A97" w:rsidRPr="00760D30" w:rsidRDefault="00D87A97" w:rsidP="00D87A97">
      <w:pPr>
        <w:pStyle w:val="Para1"/>
        <w:numPr>
          <w:ilvl w:val="0"/>
          <w:numId w:val="0"/>
        </w:numPr>
        <w:ind w:left="709" w:firstLine="709"/>
        <w:rPr>
          <w:iCs/>
          <w:szCs w:val="22"/>
        </w:rPr>
      </w:pPr>
      <w:r w:rsidRPr="004E35D7">
        <w:rPr>
          <w:i/>
          <w:kern w:val="22"/>
          <w:szCs w:val="22"/>
        </w:rPr>
        <w:t>The Conference of the Parties</w:t>
      </w:r>
      <w:r w:rsidRPr="00760D30">
        <w:rPr>
          <w:iCs/>
          <w:kern w:val="22"/>
          <w:szCs w:val="22"/>
        </w:rPr>
        <w:t>,</w:t>
      </w:r>
    </w:p>
    <w:p w14:paraId="577CF469" w14:textId="77777777" w:rsidR="00D87A97" w:rsidRPr="00D71EDE"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4E35D7">
        <w:rPr>
          <w:i/>
          <w:kern w:val="22"/>
          <w:szCs w:val="22"/>
        </w:rPr>
        <w:t>Recalling</w:t>
      </w:r>
      <w:r w:rsidRPr="004E35D7">
        <w:rPr>
          <w:kern w:val="22"/>
          <w:szCs w:val="22"/>
        </w:rPr>
        <w:t xml:space="preserve"> decisions </w:t>
      </w:r>
      <w:hyperlink r:id="rId15" w:history="1">
        <w:r w:rsidRPr="004E35D7">
          <w:rPr>
            <w:rStyle w:val="Hyperlink"/>
            <w:kern w:val="22"/>
            <w:sz w:val="22"/>
            <w:szCs w:val="22"/>
            <w:u w:val="none"/>
          </w:rPr>
          <w:t>XIII/23</w:t>
        </w:r>
      </w:hyperlink>
      <w:r w:rsidRPr="004E35D7">
        <w:rPr>
          <w:kern w:val="22"/>
          <w:szCs w:val="22"/>
        </w:rPr>
        <w:t xml:space="preserve"> and </w:t>
      </w:r>
      <w:hyperlink r:id="rId16" w:history="1">
        <w:r w:rsidRPr="004E35D7">
          <w:rPr>
            <w:rStyle w:val="Hyperlink"/>
            <w:kern w:val="22"/>
            <w:sz w:val="22"/>
            <w:szCs w:val="22"/>
            <w:u w:val="none"/>
          </w:rPr>
          <w:t>14/24</w:t>
        </w:r>
      </w:hyperlink>
      <w:r w:rsidRPr="004E35D7">
        <w:rPr>
          <w:kern w:val="22"/>
          <w:szCs w:val="22"/>
        </w:rPr>
        <w:t>,</w:t>
      </w:r>
    </w:p>
    <w:p w14:paraId="6FB94D76"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iCs/>
          <w:kern w:val="22"/>
          <w:szCs w:val="22"/>
        </w:rPr>
        <w:t xml:space="preserve">Noting with appreciation </w:t>
      </w:r>
      <w:r w:rsidRPr="00760D30">
        <w:rPr>
          <w:kern w:val="22"/>
          <w:szCs w:val="22"/>
        </w:rPr>
        <w:t>the support provided by Parties, other Governments, the Global Environmental Facility</w:t>
      </w:r>
      <w:r>
        <w:rPr>
          <w:kern w:val="22"/>
          <w:szCs w:val="22"/>
        </w:rPr>
        <w:t>,</w:t>
      </w:r>
      <w:r w:rsidRPr="00760D30">
        <w:rPr>
          <w:kern w:val="22"/>
          <w:szCs w:val="22"/>
        </w:rPr>
        <w:t xml:space="preserve"> relevant </w:t>
      </w:r>
      <w:proofErr w:type="gramStart"/>
      <w:r w:rsidRPr="00760D30">
        <w:rPr>
          <w:kern w:val="22"/>
          <w:szCs w:val="22"/>
        </w:rPr>
        <w:t>organizations</w:t>
      </w:r>
      <w:proofErr w:type="gramEnd"/>
      <w:r w:rsidRPr="00760D30">
        <w:rPr>
          <w:kern w:val="22"/>
          <w:szCs w:val="22"/>
        </w:rPr>
        <w:t xml:space="preserve"> and other stakeholders for capacity</w:t>
      </w:r>
      <w:r w:rsidRPr="00760D30">
        <w:rPr>
          <w:kern w:val="22"/>
          <w:szCs w:val="22"/>
        </w:rPr>
        <w:noBreakHyphen/>
        <w:t>building and development</w:t>
      </w:r>
      <w:r>
        <w:rPr>
          <w:kern w:val="22"/>
          <w:szCs w:val="22"/>
        </w:rPr>
        <w:t>,</w:t>
      </w:r>
      <w:r w:rsidRPr="00760D30">
        <w:rPr>
          <w:kern w:val="22"/>
          <w:szCs w:val="22"/>
        </w:rPr>
        <w:t xml:space="preserve"> and technical and scientific cooperation activities to assist developing country </w:t>
      </w:r>
      <w:r w:rsidRPr="00760D30">
        <w:rPr>
          <w:kern w:val="22"/>
          <w:szCs w:val="22"/>
        </w:rPr>
        <w:lastRenderedPageBreak/>
        <w:t>Parties, Parties with economies in transition, indigenous peoples and local communities, women and youth</w:t>
      </w:r>
      <w:r>
        <w:rPr>
          <w:kern w:val="22"/>
          <w:szCs w:val="22"/>
        </w:rPr>
        <w:t>,</w:t>
      </w:r>
    </w:p>
    <w:p w14:paraId="32DDA898"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iCs/>
          <w:kern w:val="22"/>
          <w:szCs w:val="22"/>
        </w:rPr>
        <w:t xml:space="preserve">Reaffirming </w:t>
      </w:r>
      <w:r w:rsidRPr="00760D30">
        <w:rPr>
          <w:kern w:val="22"/>
          <w:szCs w:val="22"/>
        </w:rPr>
        <w:t>the need to promote strategic and coherent approaches to capacity</w:t>
      </w:r>
      <w:r w:rsidRPr="00760D30">
        <w:rPr>
          <w:kern w:val="22"/>
          <w:szCs w:val="22"/>
        </w:rPr>
        <w:noBreakHyphen/>
        <w:t xml:space="preserve">building and development and technical and scientific cooperation in supporting the implementation of the Convention and its </w:t>
      </w:r>
      <w:r>
        <w:rPr>
          <w:kern w:val="22"/>
          <w:szCs w:val="22"/>
        </w:rPr>
        <w:t>p</w:t>
      </w:r>
      <w:r w:rsidRPr="00760D30">
        <w:rPr>
          <w:kern w:val="22"/>
          <w:szCs w:val="22"/>
        </w:rPr>
        <w:t>rotocols,</w:t>
      </w:r>
    </w:p>
    <w:p w14:paraId="7C99AB74" w14:textId="77777777" w:rsidR="00D87A9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iCs/>
          <w:kern w:val="22"/>
          <w:szCs w:val="22"/>
        </w:rPr>
        <w:t xml:space="preserve">Underscoring, </w:t>
      </w:r>
      <w:r w:rsidRPr="00760D30">
        <w:rPr>
          <w:kern w:val="22"/>
          <w:szCs w:val="22"/>
        </w:rPr>
        <w:t>the critical importance of capacity</w:t>
      </w:r>
      <w:r w:rsidRPr="00760D30">
        <w:rPr>
          <w:kern w:val="22"/>
          <w:szCs w:val="22"/>
        </w:rPr>
        <w:noBreakHyphen/>
        <w:t xml:space="preserve">building and development, technical and scientific </w:t>
      </w:r>
      <w:proofErr w:type="gramStart"/>
      <w:r w:rsidRPr="00760D30">
        <w:rPr>
          <w:kern w:val="22"/>
          <w:szCs w:val="22"/>
        </w:rPr>
        <w:t>cooperation</w:t>
      </w:r>
      <w:proofErr w:type="gramEnd"/>
      <w:r w:rsidRPr="00760D30">
        <w:rPr>
          <w:kern w:val="22"/>
          <w:szCs w:val="22"/>
        </w:rPr>
        <w:t xml:space="preserve"> and technology transfer for the effective implementation of the post-2020 global biodiversity framework, </w:t>
      </w:r>
    </w:p>
    <w:p w14:paraId="2E5371FC" w14:textId="77777777" w:rsidR="00D87A9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D51B9">
        <w:rPr>
          <w:i/>
          <w:iCs/>
          <w:kern w:val="22"/>
          <w:szCs w:val="22"/>
        </w:rPr>
        <w:t>Recognizing</w:t>
      </w:r>
      <w:r>
        <w:rPr>
          <w:kern w:val="22"/>
          <w:szCs w:val="22"/>
        </w:rPr>
        <w:t xml:space="preserve"> that many Parties, in particular developing country Parties, might not yet have the necessary capacities to fully implement the post-2020 </w:t>
      </w:r>
      <w:r w:rsidRPr="00C84023">
        <w:rPr>
          <w:kern w:val="22"/>
          <w:szCs w:val="22"/>
        </w:rPr>
        <w:t>global biodiversity framework</w:t>
      </w:r>
      <w:r>
        <w:rPr>
          <w:kern w:val="22"/>
          <w:szCs w:val="22"/>
        </w:rPr>
        <w:t xml:space="preserve"> and related decisions taken by the Conference of the Parties at its fifteenth meeting and further </w:t>
      </w:r>
      <w:r w:rsidRPr="006D7A92">
        <w:rPr>
          <w:kern w:val="22"/>
          <w:szCs w:val="22"/>
        </w:rPr>
        <w:t>highlighting</w:t>
      </w:r>
      <w:r>
        <w:rPr>
          <w:kern w:val="22"/>
          <w:szCs w:val="22"/>
        </w:rPr>
        <w:t xml:space="preserve"> the need for enhanced cooperation to address these capacity gaps,</w:t>
      </w:r>
    </w:p>
    <w:p w14:paraId="5248994D"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4B0F59">
        <w:rPr>
          <w:i/>
          <w:iCs/>
          <w:kern w:val="22"/>
          <w:szCs w:val="22"/>
        </w:rPr>
        <w:t>Noting</w:t>
      </w:r>
      <w:r w:rsidRPr="004B0F59">
        <w:rPr>
          <w:kern w:val="22"/>
          <w:szCs w:val="22"/>
        </w:rPr>
        <w:t xml:space="preserve"> that</w:t>
      </w:r>
      <w:r w:rsidRPr="001A5316">
        <w:rPr>
          <w:kern w:val="22"/>
          <w:szCs w:val="22"/>
        </w:rPr>
        <w:t xml:space="preserve"> the post-2020 global biodiversity framework and related decisions are to be implemented in accordance with national priorities and capabilities</w:t>
      </w:r>
      <w:r>
        <w:rPr>
          <w:kern w:val="22"/>
          <w:szCs w:val="22"/>
        </w:rPr>
        <w:t>,</w:t>
      </w:r>
    </w:p>
    <w:p w14:paraId="462E071F"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iCs/>
          <w:kern w:val="22"/>
          <w:szCs w:val="22"/>
        </w:rPr>
        <w:t>Taking note</w:t>
      </w:r>
      <w:r w:rsidRPr="00760D30">
        <w:rPr>
          <w:kern w:val="22"/>
          <w:szCs w:val="22"/>
        </w:rPr>
        <w:t xml:space="preserve"> of the final report on the implementation of the short-term action plan (2017-2020) to enhance and support capacity</w:t>
      </w:r>
      <w:r w:rsidRPr="00760D30">
        <w:rPr>
          <w:kern w:val="22"/>
          <w:szCs w:val="22"/>
        </w:rPr>
        <w:noBreakHyphen/>
        <w:t>building for the implementation of the Convention and its Protocols, and the lessons learned,</w:t>
      </w:r>
      <w:r w:rsidRPr="00760D30">
        <w:rPr>
          <w:rStyle w:val="StyleFootnoteReferencenumberFootnoteReferenceSuperscript-EF"/>
          <w:rFonts w:eastAsiaTheme="majorEastAsia"/>
          <w:szCs w:val="22"/>
        </w:rPr>
        <w:footnoteReference w:id="2"/>
      </w:r>
    </w:p>
    <w:p w14:paraId="6ED41C88"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iCs/>
          <w:kern w:val="22"/>
          <w:szCs w:val="22"/>
        </w:rPr>
        <w:t xml:space="preserve">Taking note </w:t>
      </w:r>
      <w:r w:rsidRPr="00713974">
        <w:rPr>
          <w:kern w:val="22"/>
          <w:szCs w:val="22"/>
        </w:rPr>
        <w:t>of</w:t>
      </w:r>
      <w:r w:rsidRPr="00760D30">
        <w:rPr>
          <w:i/>
          <w:iCs/>
          <w:kern w:val="22"/>
          <w:szCs w:val="22"/>
        </w:rPr>
        <w:t xml:space="preserve"> </w:t>
      </w:r>
      <w:r w:rsidRPr="00760D30">
        <w:rPr>
          <w:kern w:val="22"/>
          <w:szCs w:val="22"/>
        </w:rPr>
        <w:t>the</w:t>
      </w:r>
      <w:r>
        <w:rPr>
          <w:kern w:val="22"/>
          <w:szCs w:val="22"/>
        </w:rPr>
        <w:t xml:space="preserve"> summary of the</w:t>
      </w:r>
      <w:r w:rsidRPr="00760D30">
        <w:rPr>
          <w:kern w:val="22"/>
          <w:szCs w:val="22"/>
        </w:rPr>
        <w:t xml:space="preserve"> United Nations Summit on Biodiversity held on 30 September 2020,</w:t>
      </w:r>
      <w:r w:rsidRPr="00760D30">
        <w:rPr>
          <w:rStyle w:val="FootnoteReference"/>
          <w:kern w:val="22"/>
          <w:szCs w:val="22"/>
        </w:rPr>
        <w:footnoteReference w:id="3"/>
      </w:r>
    </w:p>
    <w:p w14:paraId="5A57794D"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kern w:val="22"/>
          <w:szCs w:val="22"/>
        </w:rPr>
        <w:t>Welcoming</w:t>
      </w:r>
      <w:r w:rsidRPr="00760D30">
        <w:rPr>
          <w:kern w:val="22"/>
          <w:szCs w:val="22"/>
        </w:rPr>
        <w:t xml:space="preserve"> partnerships and commitments among organizations</w:t>
      </w:r>
      <w:r>
        <w:rPr>
          <w:kern w:val="22"/>
          <w:szCs w:val="22"/>
        </w:rPr>
        <w:t xml:space="preserve"> to support capacity-building and development, and technical and scientific cooperation for the implementation of the Convention,</w:t>
      </w:r>
      <w:r w:rsidRPr="00760D30">
        <w:rPr>
          <w:kern w:val="22"/>
          <w:szCs w:val="22"/>
        </w:rPr>
        <w:t xml:space="preserve"> </w:t>
      </w:r>
    </w:p>
    <w:p w14:paraId="68D56E64" w14:textId="77777777" w:rsidR="00D87A9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760D30">
        <w:rPr>
          <w:i/>
          <w:iCs/>
          <w:kern w:val="22"/>
          <w:szCs w:val="22"/>
        </w:rPr>
        <w:t>Acknowledging</w:t>
      </w:r>
      <w:r w:rsidRPr="00760D30">
        <w:rPr>
          <w:kern w:val="22"/>
          <w:szCs w:val="22"/>
        </w:rPr>
        <w:t xml:space="preserve"> the importance of </w:t>
      </w:r>
      <w:r w:rsidRPr="00905DBA">
        <w:rPr>
          <w:kern w:val="22"/>
          <w:szCs w:val="22"/>
        </w:rPr>
        <w:t>increasing the provision and mobilization of resources [from all  sources</w:t>
      </w:r>
      <w:r>
        <w:rPr>
          <w:kern w:val="22"/>
          <w:szCs w:val="22"/>
        </w:rPr>
        <w:t>]</w:t>
      </w:r>
      <w:r w:rsidRPr="00760D30">
        <w:rPr>
          <w:kern w:val="22"/>
          <w:szCs w:val="22"/>
        </w:rPr>
        <w:t xml:space="preserve"> for the effective implementation of the post-2020 global biodiversity framework</w:t>
      </w:r>
      <w:r>
        <w:rPr>
          <w:kern w:val="22"/>
          <w:szCs w:val="22"/>
        </w:rPr>
        <w:t xml:space="preserve"> including its monitoring framework</w:t>
      </w:r>
      <w:r w:rsidRPr="00760D30">
        <w:rPr>
          <w:kern w:val="22"/>
          <w:szCs w:val="22"/>
        </w:rPr>
        <w:t>, in particular for capacity</w:t>
      </w:r>
      <w:r w:rsidRPr="00760D30">
        <w:rPr>
          <w:kern w:val="22"/>
          <w:szCs w:val="22"/>
        </w:rPr>
        <w:noBreakHyphen/>
        <w:t>building and development,</w:t>
      </w:r>
      <w:r>
        <w:rPr>
          <w:kern w:val="22"/>
          <w:szCs w:val="22"/>
        </w:rPr>
        <w:t xml:space="preserve"> and technical and scientific cooperation for all Parties, in particular developing country Parties,</w:t>
      </w:r>
      <w:r w:rsidRPr="00760D30">
        <w:rPr>
          <w:kern w:val="22"/>
          <w:szCs w:val="22"/>
        </w:rPr>
        <w:t xml:space="preserve"> and </w:t>
      </w:r>
      <w:r w:rsidRPr="006D7A92">
        <w:rPr>
          <w:kern w:val="22"/>
          <w:szCs w:val="22"/>
        </w:rPr>
        <w:t>recalling</w:t>
      </w:r>
      <w:r w:rsidRPr="00760D30">
        <w:rPr>
          <w:kern w:val="22"/>
          <w:szCs w:val="22"/>
        </w:rPr>
        <w:t xml:space="preserve"> Articles 20 and 21 of the Convention, as well as taking into account decision 15/-- on resource mobilization</w:t>
      </w:r>
      <w:r>
        <w:rPr>
          <w:kern w:val="22"/>
          <w:szCs w:val="22"/>
        </w:rPr>
        <w:t xml:space="preserve"> and 15/-- on the financial mechanism.</w:t>
      </w:r>
    </w:p>
    <w:p w14:paraId="5EF8CFFD"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i/>
          <w:iCs/>
          <w:kern w:val="22"/>
        </w:rPr>
      </w:pPr>
      <w:r w:rsidRPr="00117EEC">
        <w:rPr>
          <w:i/>
          <w:iCs/>
          <w:kern w:val="22"/>
        </w:rPr>
        <w:t xml:space="preserve">Recalling </w:t>
      </w:r>
      <w:r w:rsidRPr="00117EEC">
        <w:rPr>
          <w:kern w:val="22"/>
        </w:rPr>
        <w:t>decisions 14/24 B, XIII/23, XIII/31, XII/2 B, X/16, IX/14, VIII/12 and VII/29 regarding technical and scientific cooperation and technology transfer,</w:t>
      </w:r>
    </w:p>
    <w:p w14:paraId="0A4FF8B3"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rPr>
      </w:pPr>
      <w:r w:rsidRPr="00117EEC">
        <w:rPr>
          <w:i/>
          <w:iCs/>
          <w:kern w:val="22"/>
        </w:rPr>
        <w:t xml:space="preserve">Reaffirming </w:t>
      </w:r>
      <w:r w:rsidRPr="00117EEC">
        <w:rPr>
          <w:kern w:val="22"/>
        </w:rPr>
        <w:t>that technical and scientific cooperation is essential to the effective implementation of the post-2020 global biodiversity framework,</w:t>
      </w:r>
    </w:p>
    <w:p w14:paraId="3904B20F" w14:textId="77777777" w:rsidR="00D87A9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117EEC">
        <w:rPr>
          <w:i/>
          <w:iCs/>
          <w:kern w:val="22"/>
        </w:rPr>
        <w:t>Acknowledging</w:t>
      </w:r>
      <w:r w:rsidRPr="00117EEC">
        <w:rPr>
          <w:kern w:val="22"/>
        </w:rPr>
        <w:t xml:space="preserve"> the close interlinkages between technical and scientific cooperation and the other means of implementation and the need for Parties to consider them as a package and not in isolation</w:t>
      </w:r>
      <w:r>
        <w:rPr>
          <w:kern w:val="22"/>
        </w:rPr>
        <w:t>,</w:t>
      </w:r>
    </w:p>
    <w:p w14:paraId="042FCAC9"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rPr>
      </w:pPr>
      <w:r w:rsidRPr="00117EEC">
        <w:rPr>
          <w:i/>
          <w:iCs/>
          <w:kern w:val="22"/>
        </w:rPr>
        <w:t xml:space="preserve">Taking note </w:t>
      </w:r>
      <w:r w:rsidRPr="00713974">
        <w:rPr>
          <w:kern w:val="22"/>
        </w:rPr>
        <w:t>of</w:t>
      </w:r>
      <w:r w:rsidRPr="00117EEC">
        <w:rPr>
          <w:i/>
          <w:iCs/>
          <w:kern w:val="22"/>
        </w:rPr>
        <w:t xml:space="preserve"> </w:t>
      </w:r>
      <w:r w:rsidRPr="00117EEC">
        <w:rPr>
          <w:kern w:val="22"/>
        </w:rPr>
        <w:t>the progress report on technical and scientific cooperation, including the achievements made under the Bio-Bridge Initiative, presented in document CBD/SBI/3/INF/18,</w:t>
      </w:r>
    </w:p>
    <w:p w14:paraId="1C39E10B" w14:textId="17CC622C" w:rsidR="00D87A97" w:rsidRDefault="00D87A97" w:rsidP="006D7A92">
      <w:pPr>
        <w:pStyle w:val="Para1"/>
        <w:numPr>
          <w:ilvl w:val="0"/>
          <w:numId w:val="0"/>
        </w:numPr>
        <w:suppressLineNumbers/>
        <w:tabs>
          <w:tab w:val="left" w:pos="720"/>
        </w:tabs>
        <w:suppressAutoHyphens/>
        <w:kinsoku w:val="0"/>
        <w:overflowPunct w:val="0"/>
        <w:autoSpaceDE w:val="0"/>
        <w:autoSpaceDN w:val="0"/>
        <w:adjustRightInd w:val="0"/>
        <w:ind w:left="720" w:firstLine="720"/>
        <w:rPr>
          <w:kern w:val="22"/>
        </w:rPr>
      </w:pPr>
      <w:bookmarkStart w:id="2" w:name="_Hlk98580676"/>
      <w:r w:rsidRPr="00A435C9">
        <w:rPr>
          <w:i/>
          <w:iCs/>
          <w:kern w:val="22"/>
        </w:rPr>
        <w:t>Taking note</w:t>
      </w:r>
      <w:r w:rsidRPr="00D91078">
        <w:rPr>
          <w:kern w:val="22"/>
        </w:rPr>
        <w:t xml:space="preserve"> of the results of the review </w:t>
      </w:r>
      <w:r w:rsidRPr="0078346D">
        <w:rPr>
          <w:kern w:val="22"/>
        </w:rPr>
        <w:t xml:space="preserve">of technical and scientific cooperation programmes contained in document </w:t>
      </w:r>
      <w:r w:rsidRPr="009F35B1">
        <w:rPr>
          <w:kern w:val="22"/>
        </w:rPr>
        <w:t>CBD/COP/15/XX;</w:t>
      </w:r>
      <w:r w:rsidR="00F44F29" w:rsidRPr="009F35B1">
        <w:rPr>
          <w:rStyle w:val="FootnoteReference"/>
          <w:kern w:val="22"/>
        </w:rPr>
        <w:footnoteReference w:id="4"/>
      </w:r>
      <w:bookmarkEnd w:id="2"/>
    </w:p>
    <w:p w14:paraId="737B3052" w14:textId="77777777" w:rsidR="00D87A97" w:rsidRPr="00713974" w:rsidDel="004779A3" w:rsidRDefault="00D87A97" w:rsidP="00581A06">
      <w:pPr>
        <w:pStyle w:val="Para1"/>
        <w:keepNext/>
        <w:numPr>
          <w:ilvl w:val="0"/>
          <w:numId w:val="0"/>
        </w:numPr>
        <w:suppressLineNumbers/>
        <w:tabs>
          <w:tab w:val="left" w:pos="720"/>
        </w:tabs>
        <w:suppressAutoHyphens/>
        <w:kinsoku w:val="0"/>
        <w:overflowPunct w:val="0"/>
        <w:autoSpaceDE w:val="0"/>
        <w:autoSpaceDN w:val="0"/>
        <w:adjustRightInd w:val="0"/>
        <w:ind w:left="709" w:firstLine="720"/>
        <w:jc w:val="center"/>
        <w:rPr>
          <w:b/>
          <w:bCs/>
          <w:kern w:val="22"/>
          <w:szCs w:val="22"/>
        </w:rPr>
      </w:pPr>
      <w:r w:rsidRPr="00713974">
        <w:rPr>
          <w:b/>
          <w:bCs/>
          <w:kern w:val="22"/>
          <w:szCs w:val="22"/>
        </w:rPr>
        <w:lastRenderedPageBreak/>
        <w:t>A.</w:t>
      </w:r>
      <w:r w:rsidRPr="00713974">
        <w:rPr>
          <w:b/>
          <w:bCs/>
          <w:kern w:val="22"/>
          <w:szCs w:val="22"/>
        </w:rPr>
        <w:tab/>
        <w:t>Capacity-building and development</w:t>
      </w:r>
    </w:p>
    <w:p w14:paraId="57F9A503" w14:textId="77777777" w:rsidR="00D87A97" w:rsidRPr="00D71EDE"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Fonts w:eastAsiaTheme="minorEastAsia"/>
          <w:kern w:val="22"/>
          <w:szCs w:val="22"/>
        </w:rPr>
      </w:pPr>
      <w:r w:rsidRPr="004E35D7">
        <w:rPr>
          <w:kern w:val="22"/>
          <w:szCs w:val="22"/>
        </w:rPr>
        <w:t>1.</w:t>
      </w:r>
      <w:r w:rsidRPr="004E35D7">
        <w:rPr>
          <w:kern w:val="22"/>
          <w:szCs w:val="22"/>
        </w:rPr>
        <w:tab/>
        <w:t>[</w:t>
      </w:r>
      <w:r w:rsidRPr="004E35D7">
        <w:rPr>
          <w:i/>
          <w:iCs/>
          <w:kern w:val="22"/>
          <w:szCs w:val="22"/>
        </w:rPr>
        <w:t>Adopts</w:t>
      </w:r>
      <w:r w:rsidRPr="0008136D">
        <w:rPr>
          <w:kern w:val="22"/>
          <w:szCs w:val="22"/>
        </w:rPr>
        <w:t>]</w:t>
      </w:r>
      <w:r>
        <w:rPr>
          <w:i/>
          <w:iCs/>
          <w:kern w:val="22"/>
          <w:szCs w:val="22"/>
        </w:rPr>
        <w:t xml:space="preserve"> </w:t>
      </w:r>
      <w:r w:rsidRPr="004E35D7">
        <w:rPr>
          <w:kern w:val="22"/>
          <w:szCs w:val="22"/>
        </w:rPr>
        <w:t>the long-term strategic framework for capacity</w:t>
      </w:r>
      <w:r w:rsidRPr="004E35D7">
        <w:rPr>
          <w:kern w:val="22"/>
          <w:szCs w:val="22"/>
        </w:rPr>
        <w:noBreakHyphen/>
        <w:t xml:space="preserve">building and development </w:t>
      </w:r>
      <w:r w:rsidRPr="004E35D7">
        <w:rPr>
          <w:kern w:val="22"/>
          <w:szCs w:val="22"/>
          <w:lang w:eastAsia="ko-KR"/>
        </w:rPr>
        <w:t xml:space="preserve">to </w:t>
      </w:r>
      <w:r>
        <w:rPr>
          <w:kern w:val="22"/>
          <w:szCs w:val="22"/>
          <w:lang w:eastAsia="ko-KR"/>
        </w:rPr>
        <w:t xml:space="preserve">support </w:t>
      </w:r>
      <w:r w:rsidRPr="00117EEC">
        <w:rPr>
          <w:kern w:val="22"/>
        </w:rPr>
        <w:t>priorities determined by Parties</w:t>
      </w:r>
      <w:r>
        <w:rPr>
          <w:kern w:val="22"/>
        </w:rPr>
        <w:t xml:space="preserve"> [</w:t>
      </w:r>
      <w:proofErr w:type="gramStart"/>
      <w:r>
        <w:rPr>
          <w:kern w:val="22"/>
        </w:rPr>
        <w:t>in particular those</w:t>
      </w:r>
      <w:proofErr w:type="gramEnd"/>
      <w:r>
        <w:rPr>
          <w:kern w:val="22"/>
        </w:rPr>
        <w:t xml:space="preserve"> captured]</w:t>
      </w:r>
      <w:r w:rsidRPr="00117EEC">
        <w:rPr>
          <w:kern w:val="22"/>
        </w:rPr>
        <w:t xml:space="preserve"> in their national biodiversity strategies and action plans</w:t>
      </w:r>
      <w:r>
        <w:rPr>
          <w:kern w:val="22"/>
          <w:szCs w:val="22"/>
        </w:rPr>
        <w:t xml:space="preserve"> </w:t>
      </w:r>
      <w:r w:rsidRPr="004E35D7">
        <w:rPr>
          <w:kern w:val="22"/>
          <w:szCs w:val="22"/>
        </w:rPr>
        <w:t>for the implementation of the post-2020 global biodiversity framework, contained in annex I to the present decision;</w:t>
      </w:r>
      <w:r w:rsidRPr="004E35D7">
        <w:rPr>
          <w:rStyle w:val="FootnoteReference"/>
          <w:kern w:val="22"/>
          <w:szCs w:val="22"/>
        </w:rPr>
        <w:footnoteReference w:id="5"/>
      </w:r>
    </w:p>
    <w:p w14:paraId="1F3C3B3C" w14:textId="77777777" w:rsidR="00D87A97" w:rsidRPr="0008136D"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i/>
          <w:kern w:val="22"/>
        </w:rPr>
      </w:pPr>
      <w:r w:rsidRPr="00064579">
        <w:rPr>
          <w:kern w:val="22"/>
          <w:szCs w:val="22"/>
        </w:rPr>
        <w:t>2.</w:t>
      </w:r>
      <w:r w:rsidRPr="00064579">
        <w:rPr>
          <w:kern w:val="22"/>
          <w:szCs w:val="22"/>
        </w:rPr>
        <w:tab/>
      </w:r>
      <w:r w:rsidRPr="004E35D7">
        <w:rPr>
          <w:kern w:val="22"/>
          <w:szCs w:val="22"/>
        </w:rPr>
        <w:t>[</w:t>
      </w:r>
      <w:r w:rsidRPr="004E35D7">
        <w:rPr>
          <w:i/>
          <w:iCs/>
          <w:kern w:val="22"/>
          <w:szCs w:val="22"/>
        </w:rPr>
        <w:t>Welcomes</w:t>
      </w:r>
      <w:r w:rsidRPr="004E35D7">
        <w:rPr>
          <w:kern w:val="22"/>
          <w:szCs w:val="22"/>
        </w:rPr>
        <w:t xml:space="preserve">] </w:t>
      </w:r>
      <w:r>
        <w:rPr>
          <w:kern w:val="22"/>
          <w:szCs w:val="22"/>
        </w:rPr>
        <w:t>[</w:t>
      </w:r>
      <w:r w:rsidRPr="007D51B9">
        <w:rPr>
          <w:i/>
          <w:iCs/>
          <w:kern w:val="22"/>
          <w:szCs w:val="22"/>
        </w:rPr>
        <w:t xml:space="preserve">Takes note </w:t>
      </w:r>
      <w:r w:rsidRPr="00C07F07">
        <w:rPr>
          <w:kern w:val="22"/>
          <w:szCs w:val="22"/>
        </w:rPr>
        <w:t>of</w:t>
      </w:r>
      <w:r w:rsidRPr="0008136D">
        <w:rPr>
          <w:kern w:val="22"/>
          <w:szCs w:val="22"/>
        </w:rPr>
        <w:t>]</w:t>
      </w:r>
      <w:r>
        <w:rPr>
          <w:kern w:val="22"/>
          <w:szCs w:val="22"/>
        </w:rPr>
        <w:t xml:space="preserve"> [</w:t>
      </w:r>
      <w:r w:rsidRPr="004E35D7">
        <w:rPr>
          <w:kern w:val="22"/>
          <w:szCs w:val="22"/>
        </w:rPr>
        <w:t>the capacity-building action plan</w:t>
      </w:r>
      <w:r>
        <w:rPr>
          <w:kern w:val="22"/>
          <w:szCs w:val="22"/>
        </w:rPr>
        <w:t>]</w:t>
      </w:r>
      <w:r w:rsidRPr="004E35D7">
        <w:rPr>
          <w:kern w:val="22"/>
          <w:szCs w:val="22"/>
        </w:rPr>
        <w:t xml:space="preserve"> for the Cartagena Protocol on Biosafety and its Supplementary Protocol,</w:t>
      </w:r>
      <w:r w:rsidRPr="004E35D7">
        <w:rPr>
          <w:rStyle w:val="FootnoteReference"/>
          <w:kern w:val="22"/>
          <w:szCs w:val="22"/>
        </w:rPr>
        <w:footnoteReference w:id="6"/>
      </w:r>
      <w:r w:rsidRPr="004E35D7">
        <w:rPr>
          <w:kern w:val="22"/>
          <w:szCs w:val="22"/>
        </w:rPr>
        <w:t xml:space="preserve"> which has been developed to be complementary to the long-ter</w:t>
      </w:r>
      <w:r w:rsidRPr="00D71EDE">
        <w:rPr>
          <w:kern w:val="22"/>
          <w:szCs w:val="22"/>
        </w:rPr>
        <w:t xml:space="preserve">m strategic framework referred to in paragraph 1 </w:t>
      </w:r>
      <w:proofErr w:type="gramStart"/>
      <w:r w:rsidRPr="00D71EDE">
        <w:rPr>
          <w:kern w:val="22"/>
          <w:szCs w:val="22"/>
        </w:rPr>
        <w:t>above;</w:t>
      </w:r>
      <w:proofErr w:type="gramEnd"/>
    </w:p>
    <w:p w14:paraId="64B929C9" w14:textId="77777777" w:rsidR="00D87A97" w:rsidRPr="004E35D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Fonts w:eastAsiaTheme="minorEastAsia"/>
          <w:kern w:val="22"/>
          <w:szCs w:val="22"/>
        </w:rPr>
      </w:pPr>
      <w:r w:rsidRPr="004E35D7">
        <w:rPr>
          <w:kern w:val="22"/>
          <w:szCs w:val="22"/>
        </w:rPr>
        <w:t>3.</w:t>
      </w:r>
      <w:r w:rsidRPr="004E35D7">
        <w:rPr>
          <w:kern w:val="22"/>
          <w:szCs w:val="22"/>
        </w:rPr>
        <w:tab/>
      </w:r>
      <w:r w:rsidRPr="004E35D7">
        <w:rPr>
          <w:rFonts w:eastAsiaTheme="minorEastAsia"/>
          <w:i/>
          <w:iCs/>
          <w:kern w:val="22"/>
          <w:szCs w:val="22"/>
        </w:rPr>
        <w:t>Takes note</w:t>
      </w:r>
      <w:r w:rsidRPr="004E35D7">
        <w:rPr>
          <w:rFonts w:eastAsiaTheme="minorEastAsia"/>
          <w:kern w:val="22"/>
          <w:szCs w:val="22"/>
        </w:rPr>
        <w:t xml:space="preserve"> of the findings and recommendations of the evaluation of the strategic framework for capacity-building and development to support the effective implementation of the Nagoya Protocol,</w:t>
      </w:r>
      <w:r w:rsidRPr="004E35D7">
        <w:rPr>
          <w:rStyle w:val="FootnoteReference"/>
          <w:rFonts w:eastAsiaTheme="minorEastAsia"/>
          <w:kern w:val="22"/>
          <w:szCs w:val="22"/>
        </w:rPr>
        <w:footnoteReference w:id="7"/>
      </w:r>
      <w:r w:rsidRPr="004E35D7">
        <w:rPr>
          <w:rFonts w:eastAsiaTheme="minorEastAsia"/>
          <w:kern w:val="22"/>
          <w:szCs w:val="22"/>
        </w:rPr>
        <w:t xml:space="preserve"> </w:t>
      </w:r>
      <w:r w:rsidRPr="00D71EDE">
        <w:rPr>
          <w:rFonts w:eastAsiaTheme="minorEastAsia"/>
          <w:kern w:val="22"/>
          <w:szCs w:val="22"/>
        </w:rPr>
        <w:t xml:space="preserve">and </w:t>
      </w:r>
      <w:r w:rsidRPr="006D7A92">
        <w:rPr>
          <w:rFonts w:eastAsiaTheme="minorEastAsia"/>
          <w:kern w:val="22"/>
          <w:szCs w:val="22"/>
        </w:rPr>
        <w:t>welcomes</w:t>
      </w:r>
      <w:r w:rsidRPr="00BB532D">
        <w:rPr>
          <w:rFonts w:eastAsiaTheme="minorEastAsia"/>
          <w:kern w:val="22"/>
          <w:szCs w:val="22"/>
        </w:rPr>
        <w:t xml:space="preserve"> decision </w:t>
      </w:r>
      <w:r w:rsidRPr="00064579">
        <w:rPr>
          <w:rFonts w:eastAsiaTheme="minorEastAsia"/>
          <w:kern w:val="22"/>
          <w:szCs w:val="22"/>
        </w:rPr>
        <w:t>NP-4/--</w:t>
      </w:r>
      <w:r w:rsidRPr="004E35D7">
        <w:rPr>
          <w:rFonts w:eastAsiaTheme="minorEastAsia"/>
          <w:kern w:val="22"/>
          <w:szCs w:val="22"/>
        </w:rPr>
        <w:t xml:space="preserve"> requesting the Executive Secretary to prepare its revision in line with the </w:t>
      </w:r>
      <w:r w:rsidRPr="004E35D7">
        <w:rPr>
          <w:kern w:val="22"/>
          <w:szCs w:val="22"/>
        </w:rPr>
        <w:t>long</w:t>
      </w:r>
      <w:r>
        <w:rPr>
          <w:kern w:val="22"/>
          <w:szCs w:val="22"/>
        </w:rPr>
        <w:noBreakHyphen/>
      </w:r>
      <w:r w:rsidRPr="004E35D7">
        <w:rPr>
          <w:kern w:val="22"/>
          <w:szCs w:val="22"/>
        </w:rPr>
        <w:t xml:space="preserve">term strategic framework referred to in paragraph 1 </w:t>
      </w:r>
      <w:proofErr w:type="gramStart"/>
      <w:r w:rsidRPr="004E35D7">
        <w:rPr>
          <w:kern w:val="22"/>
          <w:szCs w:val="22"/>
        </w:rPr>
        <w:t>above;</w:t>
      </w:r>
      <w:proofErr w:type="gramEnd"/>
    </w:p>
    <w:p w14:paraId="2E84FEAE" w14:textId="201829B5" w:rsidR="00D87A97" w:rsidRPr="004E35D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4E35D7">
        <w:rPr>
          <w:kern w:val="22"/>
          <w:szCs w:val="22"/>
        </w:rPr>
        <w:t>4.</w:t>
      </w:r>
      <w:r w:rsidRPr="004E35D7">
        <w:rPr>
          <w:kern w:val="22"/>
          <w:szCs w:val="22"/>
        </w:rPr>
        <w:tab/>
      </w:r>
      <w:r w:rsidRPr="004E35D7">
        <w:rPr>
          <w:i/>
          <w:iCs/>
          <w:kern w:val="22"/>
          <w:szCs w:val="22"/>
        </w:rPr>
        <w:t>Urges</w:t>
      </w:r>
      <w:r w:rsidRPr="004E35D7">
        <w:rPr>
          <w:kern w:val="22"/>
          <w:szCs w:val="22"/>
        </w:rPr>
        <w:t xml:space="preserve"> Parties and </w:t>
      </w:r>
      <w:r w:rsidRPr="006D7A92">
        <w:rPr>
          <w:kern w:val="22"/>
          <w:szCs w:val="22"/>
        </w:rPr>
        <w:t>invites</w:t>
      </w:r>
      <w:r w:rsidRPr="004E35D7">
        <w:rPr>
          <w:kern w:val="22"/>
          <w:szCs w:val="22"/>
        </w:rPr>
        <w:t xml:space="preserve"> other Governments, indigenous peoples and local communities, women and youth, the capacity</w:t>
      </w:r>
      <w:r w:rsidRPr="004E35D7">
        <w:rPr>
          <w:kern w:val="22"/>
          <w:szCs w:val="22"/>
        </w:rPr>
        <w:noBreakHyphen/>
        <w:t>building task force of the Intergovernmental Science-Policy Platform on Biodiversity and Ecosystem Services, relevant organizations and other stakeholders, to use [the guidance provided in the long-term strategic framework for capacity</w:t>
      </w:r>
      <w:r w:rsidRPr="004E35D7">
        <w:rPr>
          <w:kern w:val="22"/>
          <w:szCs w:val="22"/>
        </w:rPr>
        <w:noBreakHyphen/>
        <w:t>building and development] as a flexible framework in the design, implementation, monitoring and evaluation of their capacity</w:t>
      </w:r>
      <w:r w:rsidRPr="004E35D7">
        <w:rPr>
          <w:kern w:val="22"/>
          <w:szCs w:val="22"/>
        </w:rPr>
        <w:noBreakHyphen/>
        <w:t>building and development initiatives and programmes supporting the achievement of the vision, mission, goals and targets of the post-2020 global biodiversity framework;</w:t>
      </w:r>
    </w:p>
    <w:p w14:paraId="3F2B19F3" w14:textId="1CF02840" w:rsidR="00D87A97" w:rsidRPr="004E35D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Pr="004E35D7">
        <w:rPr>
          <w:kern w:val="22"/>
          <w:szCs w:val="22"/>
        </w:rPr>
        <w:t>5.</w:t>
      </w:r>
      <w:r w:rsidRPr="004E35D7">
        <w:rPr>
          <w:kern w:val="22"/>
          <w:szCs w:val="22"/>
        </w:rPr>
        <w:tab/>
      </w:r>
      <w:r w:rsidRPr="004E35D7">
        <w:rPr>
          <w:i/>
          <w:iCs/>
          <w:kern w:val="22"/>
          <w:szCs w:val="22"/>
        </w:rPr>
        <w:t xml:space="preserve">Urges </w:t>
      </w:r>
      <w:r w:rsidRPr="004E35D7">
        <w:rPr>
          <w:kern w:val="22"/>
          <w:szCs w:val="22"/>
        </w:rPr>
        <w:t xml:space="preserve">Parties and </w:t>
      </w:r>
      <w:r w:rsidRPr="006D7A92">
        <w:rPr>
          <w:kern w:val="22"/>
          <w:szCs w:val="22"/>
        </w:rPr>
        <w:t>invites</w:t>
      </w:r>
      <w:r w:rsidRPr="004E35D7">
        <w:rPr>
          <w:kern w:val="22"/>
          <w:szCs w:val="22"/>
        </w:rPr>
        <w:t xml:space="preserve"> Governments [to put in place enabling environments (including relevant policies, </w:t>
      </w:r>
      <w:proofErr w:type="gramStart"/>
      <w:r w:rsidRPr="004E35D7">
        <w:rPr>
          <w:kern w:val="22"/>
          <w:szCs w:val="22"/>
        </w:rPr>
        <w:t>legislation</w:t>
      </w:r>
      <w:proofErr w:type="gramEnd"/>
      <w:r w:rsidRPr="004E35D7">
        <w:rPr>
          <w:kern w:val="22"/>
          <w:szCs w:val="22"/>
        </w:rPr>
        <w:t xml:space="preserve"> and incentives, [and sufficient funding]) to promote and facilitate capacity</w:t>
      </w:r>
      <w:r w:rsidRPr="004E35D7">
        <w:rPr>
          <w:kern w:val="22"/>
          <w:szCs w:val="22"/>
        </w:rPr>
        <w:noBreakHyphen/>
        <w:t>building and development at various levels, [according to national legislation] in partnership with relevant stakeholders, including indigenous peoples and local communities, women</w:t>
      </w:r>
      <w:r w:rsidR="00161204">
        <w:rPr>
          <w:kern w:val="22"/>
          <w:szCs w:val="22"/>
        </w:rPr>
        <w:t>’s</w:t>
      </w:r>
      <w:r w:rsidRPr="004E35D7">
        <w:rPr>
          <w:kern w:val="22"/>
          <w:szCs w:val="22"/>
        </w:rPr>
        <w:t xml:space="preserve"> and youth organizations, in accordance with Article 20 of the Convention;]</w:t>
      </w:r>
    </w:p>
    <w:p w14:paraId="738F56B7" w14:textId="77777777"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Fonts w:eastAsiaTheme="minorEastAsia"/>
          <w:kern w:val="22"/>
          <w:szCs w:val="22"/>
        </w:rPr>
      </w:pPr>
      <w:r w:rsidRPr="00760D30">
        <w:rPr>
          <w:rFonts w:eastAsiaTheme="minorEastAsia"/>
          <w:kern w:val="22"/>
          <w:szCs w:val="22"/>
        </w:rPr>
        <w:t>6</w:t>
      </w:r>
      <w:r w:rsidRPr="004E35D7">
        <w:rPr>
          <w:kern w:val="22"/>
          <w:szCs w:val="22"/>
        </w:rPr>
        <w:t>.</w:t>
      </w:r>
      <w:r w:rsidRPr="004E35D7">
        <w:rPr>
          <w:kern w:val="22"/>
          <w:szCs w:val="22"/>
        </w:rPr>
        <w:tab/>
      </w:r>
      <w:r w:rsidRPr="00760D30">
        <w:rPr>
          <w:i/>
          <w:kern w:val="22"/>
          <w:szCs w:val="22"/>
        </w:rPr>
        <w:t xml:space="preserve">Invites </w:t>
      </w:r>
      <w:r w:rsidRPr="00760D30">
        <w:rPr>
          <w:kern w:val="22"/>
          <w:szCs w:val="22"/>
        </w:rPr>
        <w:t>biodiversity-related multilateral environmental agreements and processes</w:t>
      </w:r>
      <w:r w:rsidRPr="00760D30" w:rsidDel="00264E8D">
        <w:rPr>
          <w:kern w:val="22"/>
          <w:szCs w:val="22"/>
        </w:rPr>
        <w:t xml:space="preserve"> </w:t>
      </w:r>
      <w:r w:rsidRPr="00760D30">
        <w:rPr>
          <w:kern w:val="22"/>
          <w:szCs w:val="22"/>
        </w:rPr>
        <w:t xml:space="preserve">to </w:t>
      </w:r>
      <w:r w:rsidRPr="00760D30">
        <w:rPr>
          <w:szCs w:val="22"/>
        </w:rPr>
        <w:t>consider the long-term strategic framework when designing</w:t>
      </w:r>
      <w:r w:rsidRPr="00760D30">
        <w:rPr>
          <w:kern w:val="22"/>
          <w:szCs w:val="22"/>
        </w:rPr>
        <w:t xml:space="preserve"> their capacity</w:t>
      </w:r>
      <w:r w:rsidRPr="00760D30">
        <w:rPr>
          <w:kern w:val="22"/>
          <w:szCs w:val="22"/>
        </w:rPr>
        <w:noBreakHyphen/>
        <w:t>building and development strategies, action plans, work programmes and mechanisms, as appropriate, to foster synerg</w:t>
      </w:r>
      <w:r w:rsidRPr="00760D30">
        <w:rPr>
          <w:szCs w:val="22"/>
        </w:rPr>
        <w:t xml:space="preserve">ies and avoid </w:t>
      </w:r>
      <w:proofErr w:type="gramStart"/>
      <w:r w:rsidRPr="00760D30">
        <w:rPr>
          <w:szCs w:val="22"/>
        </w:rPr>
        <w:t>duplications</w:t>
      </w:r>
      <w:r w:rsidRPr="00760D30">
        <w:rPr>
          <w:kern w:val="22"/>
          <w:szCs w:val="22"/>
        </w:rPr>
        <w:t>;</w:t>
      </w:r>
      <w:proofErr w:type="gramEnd"/>
    </w:p>
    <w:p w14:paraId="5CFEA9B5" w14:textId="48D11D82" w:rsidR="00D87A97" w:rsidRPr="004E35D7" w:rsidRDefault="00DD0698"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7.</w:t>
      </w:r>
      <w:r w:rsidR="00D87A97" w:rsidRPr="004E35D7">
        <w:rPr>
          <w:kern w:val="22"/>
          <w:szCs w:val="22"/>
        </w:rPr>
        <w:tab/>
      </w:r>
      <w:r w:rsidR="00670754">
        <w:rPr>
          <w:i/>
          <w:iCs/>
          <w:kern w:val="22"/>
          <w:szCs w:val="22"/>
        </w:rPr>
        <w:t>I</w:t>
      </w:r>
      <w:r w:rsidR="00D87A97" w:rsidRPr="004E35D7">
        <w:rPr>
          <w:i/>
          <w:iCs/>
          <w:kern w:val="22"/>
          <w:szCs w:val="22"/>
        </w:rPr>
        <w:t xml:space="preserve">nvites </w:t>
      </w:r>
      <w:r w:rsidR="00D87A97" w:rsidRPr="004E35D7">
        <w:rPr>
          <w:kern w:val="22"/>
          <w:szCs w:val="22"/>
        </w:rPr>
        <w:t>Parties, [in accordance with Articles 20 and 21 of the Convention] as well as other Governments, and all relevant organizations [in a position to do so], to provide financial and technical support [from all sources] to enable all developing country Parties, including in particular [least developed countries, small island developing States], and Parties with economies in transition, indigenous peoples and local communities and relevant stakeholders</w:t>
      </w:r>
      <w:r w:rsidR="00D87A97">
        <w:rPr>
          <w:kern w:val="22"/>
          <w:szCs w:val="22"/>
        </w:rPr>
        <w:t>,</w:t>
      </w:r>
      <w:r w:rsidR="00D87A97" w:rsidRPr="00DD0AB2">
        <w:rPr>
          <w:kern w:val="22"/>
          <w:szCs w:val="22"/>
        </w:rPr>
        <w:t xml:space="preserve"> including</w:t>
      </w:r>
      <w:r w:rsidR="00D87A97" w:rsidRPr="004E35D7">
        <w:rPr>
          <w:kern w:val="22"/>
          <w:szCs w:val="22"/>
        </w:rPr>
        <w:t xml:space="preserve"> women</w:t>
      </w:r>
      <w:r w:rsidR="00161204">
        <w:rPr>
          <w:kern w:val="22"/>
          <w:szCs w:val="22"/>
        </w:rPr>
        <w:t>’s</w:t>
      </w:r>
      <w:r w:rsidR="00D87A97" w:rsidRPr="00176496">
        <w:rPr>
          <w:kern w:val="22"/>
          <w:szCs w:val="22"/>
        </w:rPr>
        <w:t xml:space="preserve"> and youth organizations, to design and implement </w:t>
      </w:r>
      <w:r w:rsidR="00D87A97" w:rsidRPr="006C4F57">
        <w:rPr>
          <w:kern w:val="22"/>
          <w:szCs w:val="22"/>
        </w:rPr>
        <w:t>capacity</w:t>
      </w:r>
      <w:r w:rsidR="00D87A97" w:rsidRPr="004E35D7">
        <w:rPr>
          <w:kern w:val="22"/>
          <w:szCs w:val="22"/>
        </w:rPr>
        <w:noBreakHyphen/>
        <w:t>building and development programmes aligned with the long-term strategic framework [and in accordance with national priorities and legislation]</w:t>
      </w:r>
      <w:r>
        <w:rPr>
          <w:kern w:val="22"/>
          <w:szCs w:val="22"/>
        </w:rPr>
        <w:t>;</w:t>
      </w:r>
      <w:r w:rsidR="00D87A97" w:rsidRPr="004E35D7">
        <w:rPr>
          <w:kern w:val="22"/>
          <w:szCs w:val="22"/>
        </w:rPr>
        <w:t>]</w:t>
      </w:r>
    </w:p>
    <w:p w14:paraId="30C16F14" w14:textId="1965D36E" w:rsidR="00D87A97" w:rsidRPr="004E35D7" w:rsidRDefault="00817C1E"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8.</w:t>
      </w:r>
      <w:r w:rsidR="00D87A97" w:rsidRPr="004E35D7">
        <w:rPr>
          <w:kern w:val="22"/>
          <w:szCs w:val="22"/>
        </w:rPr>
        <w:tab/>
      </w:r>
      <w:r w:rsidR="00D87A97" w:rsidRPr="004E35D7">
        <w:rPr>
          <w:i/>
          <w:iCs/>
          <w:kern w:val="22"/>
          <w:szCs w:val="22"/>
        </w:rPr>
        <w:t>Invites</w:t>
      </w:r>
      <w:r w:rsidR="00D87A97" w:rsidRPr="004E35D7">
        <w:rPr>
          <w:kern w:val="22"/>
          <w:szCs w:val="22"/>
        </w:rPr>
        <w:t xml:space="preserve"> the [governing bodies of the] [secretariats of the] biodiversity-related conventions and other multilateral environmental agreements, in collaboration with governments, indigenous peoples and local communities, women</w:t>
      </w:r>
      <w:r w:rsidR="00034A1B">
        <w:rPr>
          <w:kern w:val="22"/>
          <w:szCs w:val="22"/>
        </w:rPr>
        <w:t>’s</w:t>
      </w:r>
      <w:r w:rsidR="00D87A97" w:rsidRPr="004E35D7">
        <w:rPr>
          <w:kern w:val="22"/>
          <w:szCs w:val="22"/>
        </w:rPr>
        <w:t xml:space="preserve"> and youth organizations, and other relevant organizations and stakeholders, to prepare, immediately following the adoption of the post-2020 global biodiversity framework, thematic capacity</w:t>
      </w:r>
      <w:r w:rsidR="00D87A97" w:rsidRPr="004E35D7">
        <w:rPr>
          <w:kern w:val="22"/>
          <w:szCs w:val="22"/>
        </w:rPr>
        <w:noBreakHyphen/>
        <w:t xml:space="preserve">building and development action plans for specific targets or groups of related targets, and to develop dedicated global, regional and </w:t>
      </w:r>
      <w:r w:rsidR="00D87A97" w:rsidRPr="004E35D7">
        <w:rPr>
          <w:kern w:val="22"/>
          <w:szCs w:val="22"/>
        </w:rPr>
        <w:lastRenderedPageBreak/>
        <w:t>subregional programmes to implement those thematic plans, in line with the long-term strategic framework and the Convention’s post-2020 gender plan of action, as appropriate;]</w:t>
      </w:r>
    </w:p>
    <w:p w14:paraId="07CF2271" w14:textId="5462B8BF" w:rsidR="00D87A97" w:rsidRPr="004E35D7" w:rsidRDefault="00817C1E"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9.</w:t>
      </w:r>
      <w:r w:rsidR="00D87A97" w:rsidRPr="004E35D7">
        <w:rPr>
          <w:kern w:val="22"/>
          <w:szCs w:val="22"/>
        </w:rPr>
        <w:tab/>
      </w:r>
      <w:r w:rsidR="00D87A97" w:rsidRPr="004E35D7">
        <w:rPr>
          <w:i/>
          <w:iCs/>
          <w:kern w:val="22"/>
          <w:szCs w:val="22"/>
        </w:rPr>
        <w:t xml:space="preserve">Urges </w:t>
      </w:r>
      <w:r w:rsidR="00D87A97" w:rsidRPr="004E35D7">
        <w:rPr>
          <w:kern w:val="22"/>
          <w:szCs w:val="22"/>
        </w:rPr>
        <w:t xml:space="preserve">Parties and </w:t>
      </w:r>
      <w:r w:rsidR="00D87A97" w:rsidRPr="006D7A92">
        <w:rPr>
          <w:kern w:val="22"/>
          <w:szCs w:val="22"/>
        </w:rPr>
        <w:t>invites</w:t>
      </w:r>
      <w:r w:rsidR="00D87A97" w:rsidRPr="004E35D7">
        <w:rPr>
          <w:kern w:val="22"/>
          <w:szCs w:val="22"/>
        </w:rPr>
        <w:t xml:space="preserve"> other Governments to identify and prioritize capacity-building and development needs, including with the participation of indigenous peoples and local communities, women and youth</w:t>
      </w:r>
      <w:r w:rsidR="00D87A97">
        <w:rPr>
          <w:kern w:val="22"/>
          <w:szCs w:val="22"/>
        </w:rPr>
        <w:t>,</w:t>
      </w:r>
      <w:r w:rsidR="00D87A97" w:rsidRPr="003B6F08">
        <w:rPr>
          <w:kern w:val="22"/>
          <w:szCs w:val="22"/>
        </w:rPr>
        <w:t xml:space="preserve"> </w:t>
      </w:r>
      <w:r w:rsidR="00D87A97" w:rsidRPr="006C4F57">
        <w:rPr>
          <w:kern w:val="22"/>
          <w:szCs w:val="22"/>
        </w:rPr>
        <w:t>and relevant stakeholders</w:t>
      </w:r>
      <w:r w:rsidR="00D87A97" w:rsidRPr="004E35D7">
        <w:rPr>
          <w:kern w:val="22"/>
          <w:szCs w:val="22"/>
        </w:rPr>
        <w:t>, and to integrate capacity-building and development components in their national biodiversity strategies and action plans while updating them in line with the post-2020 global biodiversity framework and/or develop dedicated biodiversity capacity</w:t>
      </w:r>
      <w:r w:rsidR="00D87A97" w:rsidRPr="004E35D7">
        <w:rPr>
          <w:kern w:val="22"/>
          <w:szCs w:val="22"/>
        </w:rPr>
        <w:noBreakHyphen/>
        <w:t>building and development action plans, as appropriate</w:t>
      </w:r>
      <w:r>
        <w:rPr>
          <w:kern w:val="22"/>
          <w:szCs w:val="22"/>
        </w:rPr>
        <w:t>;</w:t>
      </w:r>
      <w:r w:rsidR="00D87A97" w:rsidRPr="004E35D7">
        <w:rPr>
          <w:kern w:val="22"/>
          <w:szCs w:val="22"/>
        </w:rPr>
        <w:t>]</w:t>
      </w:r>
    </w:p>
    <w:p w14:paraId="30690A2A" w14:textId="35DA53EC" w:rsidR="00D87A97" w:rsidRPr="004E35D7" w:rsidRDefault="00C76F99"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10.</w:t>
      </w:r>
      <w:r w:rsidR="00D87A97" w:rsidRPr="004E35D7">
        <w:rPr>
          <w:kern w:val="22"/>
          <w:szCs w:val="22"/>
        </w:rPr>
        <w:tab/>
      </w:r>
      <w:r w:rsidR="00D87A97" w:rsidRPr="004E35D7">
        <w:rPr>
          <w:i/>
          <w:iCs/>
          <w:kern w:val="22"/>
          <w:szCs w:val="22"/>
        </w:rPr>
        <w:t>Urges</w:t>
      </w:r>
      <w:r w:rsidR="00D87A97" w:rsidRPr="004E35D7">
        <w:rPr>
          <w:kern w:val="22"/>
          <w:szCs w:val="22"/>
        </w:rPr>
        <w:t xml:space="preserve"> Parties </w:t>
      </w:r>
      <w:r w:rsidR="00D87A97" w:rsidRPr="00580604">
        <w:rPr>
          <w:kern w:val="22"/>
          <w:szCs w:val="22"/>
        </w:rPr>
        <w:t>and</w:t>
      </w:r>
      <w:r w:rsidR="00D87A97" w:rsidRPr="004E35D7">
        <w:rPr>
          <w:kern w:val="22"/>
          <w:szCs w:val="22"/>
        </w:rPr>
        <w:t xml:space="preserve"> </w:t>
      </w:r>
      <w:r w:rsidR="00D87A97" w:rsidRPr="006D7A92">
        <w:rPr>
          <w:kern w:val="22"/>
          <w:szCs w:val="22"/>
        </w:rPr>
        <w:t>invites</w:t>
      </w:r>
      <w:r w:rsidR="00D87A97" w:rsidRPr="004E35D7">
        <w:rPr>
          <w:kern w:val="22"/>
          <w:szCs w:val="22"/>
        </w:rPr>
        <w:t xml:space="preserve"> other Governments and relevant organizations to institutionalize and deliver capacity-building and development interventions as part of their regular policies, plans and programmes, as appropriate</w:t>
      </w:r>
      <w:r>
        <w:rPr>
          <w:kern w:val="22"/>
          <w:szCs w:val="22"/>
        </w:rPr>
        <w:t>;</w:t>
      </w:r>
      <w:r w:rsidR="00D87A97" w:rsidRPr="004E35D7">
        <w:rPr>
          <w:kern w:val="22"/>
          <w:szCs w:val="22"/>
        </w:rPr>
        <w:t>]</w:t>
      </w:r>
    </w:p>
    <w:p w14:paraId="48B7C12D" w14:textId="624190BB" w:rsidR="00D87A97" w:rsidRPr="004E35D7" w:rsidRDefault="00C76F99"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11.</w:t>
      </w:r>
      <w:r w:rsidR="00D87A97" w:rsidRPr="004E35D7">
        <w:rPr>
          <w:kern w:val="22"/>
          <w:szCs w:val="22"/>
        </w:rPr>
        <w:tab/>
      </w:r>
      <w:r w:rsidR="00520D81">
        <w:rPr>
          <w:i/>
          <w:iCs/>
          <w:kern w:val="22"/>
          <w:szCs w:val="22"/>
        </w:rPr>
        <w:t>Also u</w:t>
      </w:r>
      <w:r w:rsidR="00D87A97" w:rsidRPr="004E35D7">
        <w:rPr>
          <w:i/>
          <w:iCs/>
          <w:kern w:val="22"/>
          <w:szCs w:val="22"/>
        </w:rPr>
        <w:t>rges</w:t>
      </w:r>
      <w:r w:rsidR="00D87A97" w:rsidRPr="004E35D7">
        <w:rPr>
          <w:kern w:val="22"/>
          <w:szCs w:val="22"/>
        </w:rPr>
        <w:t xml:space="preserve"> Parties and </w:t>
      </w:r>
      <w:r w:rsidR="00D87A97" w:rsidRPr="006D7A92">
        <w:rPr>
          <w:kern w:val="22"/>
          <w:szCs w:val="22"/>
        </w:rPr>
        <w:t>invites</w:t>
      </w:r>
      <w:r w:rsidR="00D87A97" w:rsidRPr="004E35D7">
        <w:rPr>
          <w:kern w:val="22"/>
          <w:szCs w:val="22"/>
        </w:rPr>
        <w:t xml:space="preserve"> other Governments and relevant organizations, [in accordance with Article 20 of the Convention], to allocate [additional] financial resources to support biodiversity capacity-building and development, taking into account the priority needs identified in national biodiversity strategies and action plans and/or national capacity-building and development strategies as well as those identified by indigenous peoples and local communities, women</w:t>
      </w:r>
      <w:r w:rsidR="00F05816">
        <w:rPr>
          <w:kern w:val="22"/>
          <w:szCs w:val="22"/>
        </w:rPr>
        <w:t>’s</w:t>
      </w:r>
      <w:r w:rsidR="00D87A97" w:rsidRPr="004E35D7">
        <w:rPr>
          <w:kern w:val="22"/>
          <w:szCs w:val="22"/>
        </w:rPr>
        <w:t xml:space="preserve"> and youth organizations</w:t>
      </w:r>
      <w:r>
        <w:rPr>
          <w:kern w:val="22"/>
          <w:szCs w:val="22"/>
        </w:rPr>
        <w:t>;</w:t>
      </w:r>
      <w:r w:rsidR="00D87A97" w:rsidRPr="004E35D7">
        <w:rPr>
          <w:kern w:val="22"/>
          <w:szCs w:val="22"/>
        </w:rPr>
        <w:t>]</w:t>
      </w:r>
    </w:p>
    <w:p w14:paraId="4C7AC5F8" w14:textId="06E1D0DD" w:rsidR="00D87A97" w:rsidRPr="004E35D7" w:rsidRDefault="00C76F99"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12.</w:t>
      </w:r>
      <w:r w:rsidR="00D87A97" w:rsidRPr="004E35D7">
        <w:rPr>
          <w:kern w:val="22"/>
          <w:szCs w:val="22"/>
        </w:rPr>
        <w:tab/>
      </w:r>
      <w:r w:rsidR="00D87A97" w:rsidRPr="004E35D7">
        <w:rPr>
          <w:i/>
          <w:iCs/>
          <w:kern w:val="22"/>
          <w:szCs w:val="22"/>
        </w:rPr>
        <w:t>Urges</w:t>
      </w:r>
      <w:r w:rsidR="00D87A97" w:rsidRPr="004E35D7">
        <w:rPr>
          <w:kern w:val="22"/>
          <w:szCs w:val="22"/>
        </w:rPr>
        <w:t xml:space="preserve"> Parties and </w:t>
      </w:r>
      <w:r w:rsidR="00D87A97" w:rsidRPr="006D7A92">
        <w:rPr>
          <w:kern w:val="22"/>
          <w:szCs w:val="22"/>
        </w:rPr>
        <w:t>invites</w:t>
      </w:r>
      <w:r w:rsidR="00D87A97" w:rsidRPr="004E35D7">
        <w:rPr>
          <w:kern w:val="22"/>
          <w:szCs w:val="22"/>
        </w:rPr>
        <w:t xml:space="preserve"> other Governments to include biodiversity capacity-building and development, [as appropriate], in relevant development cooperation frameworks, partnerships and programmes</w:t>
      </w:r>
      <w:r>
        <w:rPr>
          <w:kern w:val="22"/>
          <w:szCs w:val="22"/>
        </w:rPr>
        <w:t>;</w:t>
      </w:r>
      <w:r w:rsidR="00D87A97" w:rsidRPr="004E35D7">
        <w:rPr>
          <w:kern w:val="22"/>
          <w:szCs w:val="22"/>
        </w:rPr>
        <w:t>]</w:t>
      </w:r>
    </w:p>
    <w:p w14:paraId="1D09A725" w14:textId="16DC3A11" w:rsidR="00D87A97" w:rsidRPr="004E35D7" w:rsidRDefault="00C76F99" w:rsidP="00D87A97">
      <w:pPr>
        <w:pStyle w:val="Para1"/>
        <w:numPr>
          <w:ilvl w:val="0"/>
          <w:numId w:val="0"/>
        </w:numPr>
        <w:suppressLineNumbers/>
        <w:suppressAutoHyphens/>
        <w:kinsoku w:val="0"/>
        <w:overflowPunct w:val="0"/>
        <w:autoSpaceDE w:val="0"/>
        <w:autoSpaceDN w:val="0"/>
        <w:adjustRightInd w:val="0"/>
        <w:snapToGrid w:val="0"/>
        <w:ind w:left="709" w:firstLine="720"/>
        <w:rPr>
          <w:kern w:val="22"/>
          <w:szCs w:val="22"/>
        </w:rPr>
      </w:pPr>
      <w:r>
        <w:rPr>
          <w:kern w:val="22"/>
          <w:szCs w:val="22"/>
        </w:rPr>
        <w:t>[</w:t>
      </w:r>
      <w:r w:rsidR="00D87A97" w:rsidRPr="004E35D7">
        <w:rPr>
          <w:kern w:val="22"/>
          <w:szCs w:val="22"/>
        </w:rPr>
        <w:t>13.</w:t>
      </w:r>
      <w:r w:rsidR="00D87A97" w:rsidRPr="004E35D7">
        <w:rPr>
          <w:kern w:val="22"/>
          <w:szCs w:val="22"/>
        </w:rPr>
        <w:tab/>
      </w:r>
      <w:r w:rsidR="00D87A97" w:rsidRPr="004E35D7">
        <w:rPr>
          <w:i/>
          <w:iCs/>
          <w:kern w:val="22"/>
          <w:szCs w:val="22"/>
        </w:rPr>
        <w:t>Invites</w:t>
      </w:r>
      <w:r w:rsidR="00D87A97" w:rsidRPr="004E35D7">
        <w:rPr>
          <w:kern w:val="22"/>
          <w:szCs w:val="22"/>
        </w:rPr>
        <w:t xml:space="preserve"> Parties in accordance with Articles [14], 16, 18 and [19] to enhance and support capacity-building cooperation activities, especially in developing countries, for the implementation of the Convention and its </w:t>
      </w:r>
      <w:r w:rsidR="00D87A97">
        <w:rPr>
          <w:kern w:val="22"/>
          <w:szCs w:val="22"/>
        </w:rPr>
        <w:t>p</w:t>
      </w:r>
      <w:r w:rsidR="00D87A97" w:rsidRPr="004E35D7">
        <w:rPr>
          <w:kern w:val="22"/>
          <w:szCs w:val="22"/>
        </w:rPr>
        <w:t xml:space="preserve">rotocols and the post-2020 global biodiversity framework, </w:t>
      </w:r>
      <w:proofErr w:type="gramStart"/>
      <w:r w:rsidR="00D87A97" w:rsidRPr="004E35D7">
        <w:rPr>
          <w:kern w:val="22"/>
          <w:szCs w:val="22"/>
        </w:rPr>
        <w:t>taking into account</w:t>
      </w:r>
      <w:proofErr w:type="gramEnd"/>
      <w:r w:rsidR="00D87A97" w:rsidRPr="004E35D7">
        <w:rPr>
          <w:kern w:val="22"/>
          <w:szCs w:val="22"/>
        </w:rPr>
        <w:t xml:space="preserve"> synergies</w:t>
      </w:r>
      <w:r w:rsidR="00E024C8">
        <w:rPr>
          <w:strike/>
          <w:kern w:val="22"/>
          <w:szCs w:val="22"/>
        </w:rPr>
        <w:t xml:space="preserve"> </w:t>
      </w:r>
      <w:r w:rsidR="00D87A97" w:rsidRPr="004E35D7">
        <w:rPr>
          <w:kern w:val="22"/>
          <w:szCs w:val="22"/>
        </w:rPr>
        <w:t>between capacity-building and technology transfer, technical and scientific cooperation and effective participation in biotechnological research</w:t>
      </w:r>
      <w:r>
        <w:rPr>
          <w:kern w:val="22"/>
          <w:szCs w:val="22"/>
        </w:rPr>
        <w:t>;</w:t>
      </w:r>
      <w:r w:rsidR="00D87A97" w:rsidRPr="004E35D7">
        <w:rPr>
          <w:kern w:val="22"/>
          <w:szCs w:val="22"/>
        </w:rPr>
        <w:t>]</w:t>
      </w:r>
    </w:p>
    <w:p w14:paraId="165DE713" w14:textId="77777777" w:rsidR="00D87A97" w:rsidRPr="004E35D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4E35D7">
        <w:rPr>
          <w:kern w:val="22"/>
          <w:szCs w:val="22"/>
        </w:rPr>
        <w:t>14.</w:t>
      </w:r>
      <w:r w:rsidRPr="004E35D7">
        <w:rPr>
          <w:kern w:val="22"/>
          <w:szCs w:val="22"/>
        </w:rPr>
        <w:tab/>
      </w:r>
      <w:r w:rsidRPr="004E35D7">
        <w:rPr>
          <w:i/>
          <w:iCs/>
          <w:kern w:val="22"/>
          <w:szCs w:val="22"/>
        </w:rPr>
        <w:t>Invites</w:t>
      </w:r>
      <w:r w:rsidRPr="004E35D7">
        <w:rPr>
          <w:kern w:val="22"/>
          <w:szCs w:val="22"/>
        </w:rPr>
        <w:t xml:space="preserve"> universities and other academic institutions to develop and integrate into their curricula specialized and transdisciplinary academic courses and programmes and/or expand and strengthen existing ones, generate and share new knowledge, and implement continuing education programmes to support the post-2020 global biodiversity framework with </w:t>
      </w:r>
      <w:r>
        <w:rPr>
          <w:kern w:val="22"/>
          <w:szCs w:val="22"/>
        </w:rPr>
        <w:t xml:space="preserve">the </w:t>
      </w:r>
      <w:r w:rsidRPr="00CB10D4">
        <w:rPr>
          <w:kern w:val="22"/>
          <w:szCs w:val="22"/>
        </w:rPr>
        <w:t>full and effective participation of indigenous peoples and local communities</w:t>
      </w:r>
      <w:r w:rsidRPr="004E35D7">
        <w:rPr>
          <w:kern w:val="22"/>
          <w:szCs w:val="22"/>
        </w:rPr>
        <w:t xml:space="preserve">, women and </w:t>
      </w:r>
      <w:proofErr w:type="gramStart"/>
      <w:r w:rsidRPr="004E35D7">
        <w:rPr>
          <w:kern w:val="22"/>
          <w:szCs w:val="22"/>
        </w:rPr>
        <w:t>youth;</w:t>
      </w:r>
      <w:proofErr w:type="gramEnd"/>
    </w:p>
    <w:p w14:paraId="2B7672F5" w14:textId="05283324" w:rsidR="00D87A97" w:rsidRPr="004E35D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4E35D7">
        <w:rPr>
          <w:kern w:val="22"/>
          <w:szCs w:val="22"/>
        </w:rPr>
        <w:t>15.</w:t>
      </w:r>
      <w:r w:rsidRPr="004E35D7">
        <w:rPr>
          <w:kern w:val="22"/>
          <w:szCs w:val="22"/>
        </w:rPr>
        <w:tab/>
      </w:r>
      <w:r w:rsidRPr="004E35D7">
        <w:rPr>
          <w:i/>
          <w:iCs/>
          <w:kern w:val="22"/>
          <w:szCs w:val="22"/>
        </w:rPr>
        <w:t>Invites</w:t>
      </w:r>
      <w:r w:rsidRPr="004E35D7">
        <w:rPr>
          <w:kern w:val="22"/>
          <w:szCs w:val="22"/>
        </w:rPr>
        <w:t xml:space="preserve"> relevant organizations and regional and subregional bodies, including regional economic integration organizations, to promote sharing of expertise and information, to strengthen existing regional and subregional support networks or establish new ones as appropriate, to provide, upon request, assistance to enable national and subnational government institutions, local authorities and non-government actors, including indigenous peoples and local communities, women</w:t>
      </w:r>
      <w:r w:rsidR="00F05816">
        <w:rPr>
          <w:kern w:val="22"/>
          <w:szCs w:val="22"/>
        </w:rPr>
        <w:t>’s</w:t>
      </w:r>
      <w:r w:rsidRPr="004E35D7">
        <w:rPr>
          <w:kern w:val="22"/>
          <w:szCs w:val="22"/>
        </w:rPr>
        <w:t xml:space="preserve"> and youth organizations, within the respective regions or subregions to strengthen their capacities, while also mobilizing and fostering effective use and retention of the capacities developed;</w:t>
      </w:r>
    </w:p>
    <w:p w14:paraId="7A24FD8A" w14:textId="01B71180" w:rsidR="00D87A97" w:rsidRPr="00760D30" w:rsidRDefault="00F87AF8"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i/>
          <w:kern w:val="22"/>
          <w:szCs w:val="22"/>
        </w:rPr>
      </w:pPr>
      <w:r w:rsidRPr="006D7A92" w:rsidDel="00F87AF8">
        <w:rPr>
          <w:kern w:val="22"/>
          <w:szCs w:val="22"/>
        </w:rPr>
        <w:t xml:space="preserve"> </w:t>
      </w:r>
      <w:r w:rsidR="00D85E94" w:rsidRPr="006D7A92">
        <w:rPr>
          <w:kern w:val="22"/>
          <w:szCs w:val="22"/>
          <w:vertAlign w:val="superscript"/>
        </w:rPr>
        <w:t>*</w:t>
      </w:r>
      <w:r w:rsidRPr="006D7A92">
        <w:rPr>
          <w:rStyle w:val="FootnoteReference"/>
          <w:kern w:val="22"/>
          <w:szCs w:val="22"/>
        </w:rPr>
        <w:footnoteReference w:customMarkFollows="1" w:id="8"/>
        <w:t>*</w:t>
      </w:r>
      <w:r w:rsidR="00D87A97" w:rsidRPr="00F87AF8">
        <w:rPr>
          <w:kern w:val="22"/>
          <w:szCs w:val="22"/>
        </w:rPr>
        <w:t>[16</w:t>
      </w:r>
      <w:r w:rsidR="00D87A97" w:rsidRPr="004268DC">
        <w:rPr>
          <w:kern w:val="22"/>
          <w:szCs w:val="22"/>
        </w:rPr>
        <w:t>.</w:t>
      </w:r>
      <w:r w:rsidR="00D87A97" w:rsidRPr="004E35D7">
        <w:rPr>
          <w:kern w:val="22"/>
          <w:szCs w:val="22"/>
        </w:rPr>
        <w:tab/>
      </w:r>
      <w:r w:rsidR="00D87A97" w:rsidRPr="00760D30">
        <w:rPr>
          <w:i/>
          <w:kern w:val="22"/>
          <w:szCs w:val="22"/>
        </w:rPr>
        <w:t xml:space="preserve">Invites </w:t>
      </w:r>
      <w:r w:rsidR="00D87A97" w:rsidRPr="00760D30">
        <w:rPr>
          <w:kern w:val="22"/>
          <w:szCs w:val="22"/>
        </w:rPr>
        <w:t>the United Nations Environment Management Group, in collaboration with the Liaison Group of Biodiversity-related Conventions, to designate a biodiversity capacity-building and development task team to foster United Nations system-wide synergy, coherence and effectiveness in the provision of capacity</w:t>
      </w:r>
      <w:r w:rsidR="00D87A97" w:rsidRPr="00760D30">
        <w:rPr>
          <w:kern w:val="22"/>
          <w:szCs w:val="22"/>
        </w:rPr>
        <w:noBreakHyphen/>
        <w:t>building and development support and guidance for the implementation of the post-2020 global biodiversity framework</w:t>
      </w:r>
      <w:r w:rsidR="00D87A97" w:rsidRPr="004E35D7">
        <w:rPr>
          <w:kern w:val="22"/>
          <w:szCs w:val="22"/>
        </w:rPr>
        <w:t>,</w:t>
      </w:r>
      <w:r w:rsidR="00D87A97" w:rsidRPr="00523A49">
        <w:rPr>
          <w:kern w:val="22"/>
          <w:szCs w:val="22"/>
        </w:rPr>
        <w:t>[</w:t>
      </w:r>
      <w:r w:rsidR="00D87A97" w:rsidRPr="00760D30">
        <w:rPr>
          <w:kern w:val="22"/>
          <w:szCs w:val="22"/>
        </w:rPr>
        <w:t xml:space="preserve">in line with the proposed United </w:t>
      </w:r>
      <w:r w:rsidR="00D87A97" w:rsidRPr="00760D30">
        <w:rPr>
          <w:kern w:val="22"/>
          <w:szCs w:val="22"/>
        </w:rPr>
        <w:lastRenderedPageBreak/>
        <w:t>Nations common approach to integrating biodiversity and [nature-based solutions] for sustainable development into United Nations policy and programme planning and delivery</w:t>
      </w:r>
      <w:r w:rsidR="00D87A97" w:rsidRPr="00760D30">
        <w:rPr>
          <w:rStyle w:val="FootnoteReference"/>
          <w:kern w:val="22"/>
          <w:szCs w:val="22"/>
        </w:rPr>
        <w:footnoteReference w:id="9"/>
      </w:r>
      <w:r w:rsidR="004E22A3">
        <w:rPr>
          <w:kern w:val="22"/>
          <w:szCs w:val="22"/>
        </w:rPr>
        <w:t>;</w:t>
      </w:r>
      <w:r w:rsidR="00D87A97" w:rsidRPr="00760D30">
        <w:rPr>
          <w:kern w:val="22"/>
          <w:szCs w:val="22"/>
        </w:rPr>
        <w:t>]</w:t>
      </w:r>
    </w:p>
    <w:p w14:paraId="781F7D7B" w14:textId="60F4D8CD" w:rsidR="00D87A97" w:rsidRPr="004E35D7" w:rsidRDefault="004E22A3"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4E35D7">
        <w:rPr>
          <w:kern w:val="22"/>
          <w:szCs w:val="22"/>
        </w:rPr>
        <w:t>17.</w:t>
      </w:r>
      <w:r w:rsidR="00D87A97" w:rsidRPr="004E35D7">
        <w:rPr>
          <w:kern w:val="22"/>
          <w:szCs w:val="22"/>
        </w:rPr>
        <w:tab/>
      </w:r>
      <w:r w:rsidR="00D87A97" w:rsidRPr="004E35D7">
        <w:rPr>
          <w:i/>
          <w:kern w:val="22"/>
          <w:szCs w:val="22"/>
        </w:rPr>
        <w:t xml:space="preserve">Invites </w:t>
      </w:r>
      <w:r w:rsidR="00D87A97" w:rsidRPr="004E35D7">
        <w:rPr>
          <w:kern w:val="22"/>
          <w:szCs w:val="22"/>
        </w:rPr>
        <w:t>regional teams of the United Nations Sustainable Development Group and the United Nations regional commissions to initiate and facilitate the coordination and synergistic implementation of capacity-building and development interventions in support of the post-2020 global biodiversity framework</w:t>
      </w:r>
      <w:r>
        <w:rPr>
          <w:kern w:val="22"/>
          <w:szCs w:val="22"/>
        </w:rPr>
        <w:t>;</w:t>
      </w:r>
      <w:r w:rsidR="00D87A97" w:rsidRPr="004E35D7">
        <w:rPr>
          <w:kern w:val="22"/>
          <w:szCs w:val="22"/>
        </w:rPr>
        <w:t>]</w:t>
      </w:r>
    </w:p>
    <w:p w14:paraId="6B1DDCAE" w14:textId="696AC74E" w:rsidR="00D87A97" w:rsidRPr="00117EEC" w:rsidRDefault="004E22A3"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Pr>
          <w:kern w:val="22"/>
          <w:szCs w:val="22"/>
        </w:rPr>
        <w:t>[</w:t>
      </w:r>
      <w:r w:rsidR="00D87A97" w:rsidRPr="00117EEC">
        <w:rPr>
          <w:kern w:val="22"/>
          <w:szCs w:val="22"/>
        </w:rPr>
        <w:t>18.</w:t>
      </w:r>
      <w:r w:rsidR="00D87A97" w:rsidRPr="00117EEC">
        <w:rPr>
          <w:kern w:val="22"/>
          <w:szCs w:val="22"/>
        </w:rPr>
        <w:tab/>
      </w:r>
      <w:r w:rsidR="00D87A97" w:rsidRPr="002764CB">
        <w:rPr>
          <w:i/>
          <w:kern w:val="22"/>
          <w:szCs w:val="22"/>
        </w:rPr>
        <w:t>Also</w:t>
      </w:r>
      <w:r w:rsidR="00D87A97" w:rsidRPr="002764CB">
        <w:rPr>
          <w:i/>
          <w:iCs/>
          <w:kern w:val="22"/>
          <w:szCs w:val="22"/>
        </w:rPr>
        <w:t xml:space="preserve"> invites </w:t>
      </w:r>
      <w:r w:rsidR="00D87A97" w:rsidRPr="002764CB">
        <w:rPr>
          <w:kern w:val="22"/>
          <w:szCs w:val="22"/>
        </w:rPr>
        <w:t xml:space="preserve">United Nations Resident Coordinator and the United Nations </w:t>
      </w:r>
      <w:r w:rsidR="00343A5D" w:rsidRPr="002764CB">
        <w:rPr>
          <w:kern w:val="22"/>
          <w:szCs w:val="22"/>
        </w:rPr>
        <w:t>C</w:t>
      </w:r>
      <w:r w:rsidR="00D87A97" w:rsidRPr="002764CB">
        <w:rPr>
          <w:kern w:val="22"/>
          <w:szCs w:val="22"/>
        </w:rPr>
        <w:t xml:space="preserve">ountry </w:t>
      </w:r>
      <w:r w:rsidR="00343A5D" w:rsidRPr="002764CB">
        <w:rPr>
          <w:kern w:val="22"/>
          <w:szCs w:val="22"/>
        </w:rPr>
        <w:t>T</w:t>
      </w:r>
      <w:r w:rsidR="00D87A97" w:rsidRPr="002764CB">
        <w:rPr>
          <w:kern w:val="22"/>
          <w:szCs w:val="22"/>
        </w:rPr>
        <w:t>eams, in consultation with the United Nations Inter</w:t>
      </w:r>
      <w:r w:rsidR="00465F1B" w:rsidRPr="006D7A92">
        <w:rPr>
          <w:kern w:val="22"/>
          <w:szCs w:val="22"/>
        </w:rPr>
        <w:t>-</w:t>
      </w:r>
      <w:proofErr w:type="gramStart"/>
      <w:r w:rsidR="00465F1B" w:rsidRPr="006D7A92">
        <w:rPr>
          <w:kern w:val="22"/>
          <w:szCs w:val="22"/>
        </w:rPr>
        <w:t>a</w:t>
      </w:r>
      <w:r w:rsidR="00D87A97" w:rsidRPr="002764CB">
        <w:rPr>
          <w:kern w:val="22"/>
          <w:szCs w:val="22"/>
        </w:rPr>
        <w:t>gency</w:t>
      </w:r>
      <w:proofErr w:type="gramEnd"/>
      <w:r w:rsidR="00D87A97" w:rsidRPr="002764CB">
        <w:rPr>
          <w:kern w:val="22"/>
          <w:szCs w:val="22"/>
        </w:rPr>
        <w:t xml:space="preserve"> </w:t>
      </w:r>
      <w:r w:rsidR="00465F1B" w:rsidRPr="006D7A92">
        <w:rPr>
          <w:kern w:val="22"/>
          <w:szCs w:val="22"/>
        </w:rPr>
        <w:t xml:space="preserve">Support </w:t>
      </w:r>
      <w:r w:rsidR="00D87A97" w:rsidRPr="002764CB">
        <w:rPr>
          <w:kern w:val="22"/>
          <w:szCs w:val="22"/>
        </w:rPr>
        <w:t xml:space="preserve">Group </w:t>
      </w:r>
      <w:r w:rsidR="00465F1B" w:rsidRPr="006D7A92">
        <w:rPr>
          <w:kern w:val="22"/>
          <w:szCs w:val="22"/>
        </w:rPr>
        <w:t>(IASG) on</w:t>
      </w:r>
      <w:r w:rsidR="00465F1B" w:rsidRPr="002764CB">
        <w:rPr>
          <w:kern w:val="22"/>
          <w:szCs w:val="22"/>
        </w:rPr>
        <w:t xml:space="preserve"> </w:t>
      </w:r>
      <w:r w:rsidR="00D87A97" w:rsidRPr="00330792">
        <w:rPr>
          <w:kern w:val="22"/>
          <w:szCs w:val="22"/>
        </w:rPr>
        <w:t xml:space="preserve">Indigenous </w:t>
      </w:r>
      <w:r w:rsidR="00465F1B" w:rsidRPr="002764CB">
        <w:rPr>
          <w:kern w:val="22"/>
          <w:szCs w:val="22"/>
        </w:rPr>
        <w:t xml:space="preserve">Issues </w:t>
      </w:r>
      <w:r w:rsidR="00D87A97" w:rsidRPr="002764CB">
        <w:rPr>
          <w:kern w:val="22"/>
          <w:szCs w:val="22"/>
        </w:rPr>
        <w:t>and other relevant United Nations agencies, to integrate biodiversity capacity-building and development into country-level United Nations sustainable development cooperation frameworks</w:t>
      </w:r>
      <w:r w:rsidR="00D87A97" w:rsidRPr="00117EEC">
        <w:rPr>
          <w:kern w:val="22"/>
          <w:szCs w:val="22"/>
        </w:rPr>
        <w:t xml:space="preserve"> to support national implementation of the post-2020 global biodiversity framework and the Sustainable Development Goals</w:t>
      </w:r>
      <w:r w:rsidR="007D6D60">
        <w:rPr>
          <w:kern w:val="22"/>
          <w:szCs w:val="22"/>
        </w:rPr>
        <w:t>;</w:t>
      </w:r>
      <w:r w:rsidR="00D87A97" w:rsidRPr="00117EEC">
        <w:rPr>
          <w:kern w:val="22"/>
          <w:szCs w:val="22"/>
        </w:rPr>
        <w:t>]</w:t>
      </w:r>
    </w:p>
    <w:p w14:paraId="73A7E8EF" w14:textId="77777777" w:rsidR="00D87A97" w:rsidRPr="00117EEC" w:rsidRDefault="00D87A97" w:rsidP="00D87A97">
      <w:pPr>
        <w:pStyle w:val="Para1"/>
        <w:keepNext/>
        <w:numPr>
          <w:ilvl w:val="0"/>
          <w:numId w:val="0"/>
        </w:numPr>
        <w:suppressLineNumbers/>
        <w:tabs>
          <w:tab w:val="left" w:pos="720"/>
        </w:tabs>
        <w:suppressAutoHyphens/>
        <w:kinsoku w:val="0"/>
        <w:overflowPunct w:val="0"/>
        <w:autoSpaceDE w:val="0"/>
        <w:autoSpaceDN w:val="0"/>
        <w:adjustRightInd w:val="0"/>
        <w:ind w:left="709" w:firstLine="720"/>
        <w:rPr>
          <w:kern w:val="22"/>
          <w:szCs w:val="22"/>
        </w:rPr>
      </w:pPr>
      <w:r w:rsidRPr="00117EEC">
        <w:rPr>
          <w:kern w:val="22"/>
          <w:szCs w:val="22"/>
        </w:rPr>
        <w:t>19.</w:t>
      </w:r>
      <w:r w:rsidRPr="00117EEC">
        <w:rPr>
          <w:kern w:val="22"/>
          <w:szCs w:val="22"/>
        </w:rPr>
        <w:tab/>
      </w:r>
      <w:r w:rsidRPr="00117EEC">
        <w:rPr>
          <w:i/>
          <w:iCs/>
          <w:kern w:val="22"/>
          <w:szCs w:val="22"/>
        </w:rPr>
        <w:t xml:space="preserve">Requests </w:t>
      </w:r>
      <w:r w:rsidRPr="00117EEC">
        <w:rPr>
          <w:kern w:val="22"/>
          <w:szCs w:val="22"/>
        </w:rPr>
        <w:t>the Executive Secretary, subject to the availability of resources:</w:t>
      </w:r>
    </w:p>
    <w:p w14:paraId="0B9FFE0E"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Style w:val="normaltextrun"/>
          <w:kern w:val="22"/>
          <w:szCs w:val="22"/>
        </w:rPr>
      </w:pPr>
      <w:r w:rsidRPr="00117EEC">
        <w:rPr>
          <w:rStyle w:val="normaltextrun"/>
          <w:kern w:val="22"/>
          <w:szCs w:val="22"/>
        </w:rPr>
        <w:t>(a)</w:t>
      </w:r>
      <w:r w:rsidRPr="00117EEC">
        <w:rPr>
          <w:rStyle w:val="normaltextrun"/>
          <w:kern w:val="22"/>
          <w:szCs w:val="22"/>
        </w:rPr>
        <w:tab/>
        <w:t>To promote awareness of the long-term strategic framework [including through the creation of a specific section in the clearing-house mechanism and linked to the technical and scientific cooperation website] [including through the creation of a dedicated web page] as part of the Secretariat’s capacity</w:t>
      </w:r>
      <w:r w:rsidRPr="00117EEC">
        <w:rPr>
          <w:rStyle w:val="normaltextrun"/>
          <w:kern w:val="22"/>
          <w:szCs w:val="22"/>
        </w:rPr>
        <w:noBreakHyphen/>
        <w:t xml:space="preserve">building and development </w:t>
      </w:r>
      <w:proofErr w:type="gramStart"/>
      <w:r w:rsidRPr="00117EEC">
        <w:rPr>
          <w:rStyle w:val="normaltextrun"/>
          <w:kern w:val="22"/>
          <w:szCs w:val="22"/>
        </w:rPr>
        <w:t>portal;</w:t>
      </w:r>
      <w:proofErr w:type="gramEnd"/>
    </w:p>
    <w:p w14:paraId="13E221DA" w14:textId="3B6F0B38"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Style w:val="normaltextrun"/>
          <w:kern w:val="22"/>
          <w:szCs w:val="22"/>
        </w:rPr>
      </w:pPr>
      <w:r w:rsidRPr="00117EEC">
        <w:rPr>
          <w:rStyle w:val="normaltextrun"/>
          <w:kern w:val="22"/>
          <w:szCs w:val="22"/>
        </w:rPr>
        <w:t>(b)</w:t>
      </w:r>
      <w:r w:rsidRPr="00117EEC">
        <w:rPr>
          <w:rStyle w:val="normaltextrun"/>
          <w:kern w:val="22"/>
          <w:szCs w:val="22"/>
        </w:rPr>
        <w:tab/>
        <w:t>To [develop and] make available through the clearing-house mechanism of the Convention and the clearing-houses of the Protocols [additional] [existing] [guidance on] capacity</w:t>
      </w:r>
      <w:r w:rsidRPr="00117EEC">
        <w:rPr>
          <w:rStyle w:val="normaltextrun"/>
          <w:kern w:val="22"/>
          <w:szCs w:val="22"/>
        </w:rPr>
        <w:noBreakHyphen/>
        <w:t>building and development, including [new and innovative tools], methods and case studies on good practices and lessons learned that can assist Parties, indigenous peoples and local communities, women</w:t>
      </w:r>
      <w:r w:rsidR="00F05816">
        <w:rPr>
          <w:rStyle w:val="normaltextrun"/>
          <w:kern w:val="22"/>
          <w:szCs w:val="22"/>
        </w:rPr>
        <w:t>’s</w:t>
      </w:r>
      <w:r w:rsidRPr="00117EEC">
        <w:rPr>
          <w:rStyle w:val="normaltextrun"/>
          <w:kern w:val="22"/>
          <w:szCs w:val="22"/>
        </w:rPr>
        <w:t xml:space="preserve"> and youth organizations, and other relevant stakeholders in their capacity</w:t>
      </w:r>
      <w:r w:rsidRPr="00117EEC">
        <w:rPr>
          <w:rStyle w:val="normaltextrun"/>
          <w:kern w:val="22"/>
          <w:szCs w:val="22"/>
        </w:rPr>
        <w:noBreakHyphen/>
        <w:t>building and development efforts [and to monitor and receive new and updated tools, methods, and cases studies as necessary];</w:t>
      </w:r>
    </w:p>
    <w:p w14:paraId="6539559A"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Style w:val="eop"/>
          <w:rFonts w:eastAsiaTheme="majorEastAsia"/>
          <w:kern w:val="22"/>
          <w:szCs w:val="22"/>
        </w:rPr>
      </w:pPr>
      <w:r w:rsidRPr="00117EEC">
        <w:rPr>
          <w:rStyle w:val="normaltextrun"/>
          <w:kern w:val="22"/>
          <w:szCs w:val="22"/>
        </w:rPr>
        <w:t>[(c)</w:t>
      </w:r>
      <w:r w:rsidRPr="00117EEC">
        <w:rPr>
          <w:rStyle w:val="normaltextrun"/>
          <w:kern w:val="22"/>
          <w:szCs w:val="22"/>
        </w:rPr>
        <w:tab/>
        <w:t>To review the capacity and technology absorption and sustaining abilities of small island developing States and develop specific tools, methods and identify lessons on maintaining absorbed capacities and technologies;]</w:t>
      </w:r>
    </w:p>
    <w:p w14:paraId="6395D1A1" w14:textId="783060AB" w:rsidR="00D87A97" w:rsidRPr="00117EEC" w:rsidRDefault="00D87A97" w:rsidP="00D87A97">
      <w:pPr>
        <w:pStyle w:val="Para1"/>
        <w:numPr>
          <w:ilvl w:val="0"/>
          <w:numId w:val="0"/>
        </w:numPr>
        <w:suppressLineNumbers/>
        <w:suppressAutoHyphens/>
        <w:kinsoku w:val="0"/>
        <w:overflowPunct w:val="0"/>
        <w:autoSpaceDE w:val="0"/>
        <w:autoSpaceDN w:val="0"/>
        <w:adjustRightInd w:val="0"/>
        <w:snapToGrid w:val="0"/>
        <w:ind w:left="709" w:firstLine="720"/>
        <w:rPr>
          <w:rStyle w:val="normaltextrun"/>
          <w:kern w:val="22"/>
          <w:szCs w:val="22"/>
        </w:rPr>
      </w:pPr>
      <w:r w:rsidRPr="00117EEC">
        <w:rPr>
          <w:rStyle w:val="normaltextrun"/>
          <w:kern w:val="22"/>
          <w:szCs w:val="22"/>
        </w:rPr>
        <w:t>[(d)</w:t>
      </w:r>
      <w:r w:rsidRPr="00117EEC">
        <w:rPr>
          <w:rStyle w:val="normaltextrun"/>
          <w:kern w:val="22"/>
          <w:szCs w:val="22"/>
        </w:rPr>
        <w:tab/>
        <w:t>To enable Parties, indigenous peoples and local communities</w:t>
      </w:r>
      <w:r w:rsidRPr="00765ED5">
        <w:rPr>
          <w:rStyle w:val="normaltextrun"/>
          <w:kern w:val="22"/>
          <w:szCs w:val="22"/>
        </w:rPr>
        <w:t xml:space="preserve">, </w:t>
      </w:r>
      <w:r w:rsidRPr="00432FBB">
        <w:rPr>
          <w:rStyle w:val="normaltextrun"/>
          <w:kern w:val="22"/>
          <w:szCs w:val="22"/>
        </w:rPr>
        <w:t>women</w:t>
      </w:r>
      <w:r w:rsidR="00765ED5" w:rsidRPr="006D7A92">
        <w:rPr>
          <w:rStyle w:val="normaltextrun"/>
          <w:kern w:val="22"/>
          <w:szCs w:val="22"/>
        </w:rPr>
        <w:t>’s</w:t>
      </w:r>
      <w:r w:rsidRPr="00765ED5">
        <w:rPr>
          <w:rStyle w:val="normaltextrun"/>
          <w:kern w:val="22"/>
          <w:szCs w:val="22"/>
        </w:rPr>
        <w:t xml:space="preserve"> and youth</w:t>
      </w:r>
      <w:r w:rsidRPr="00117EEC">
        <w:rPr>
          <w:rStyle w:val="normaltextrun"/>
          <w:kern w:val="22"/>
          <w:szCs w:val="22"/>
        </w:rPr>
        <w:t xml:space="preserve"> organizations, and other relevant organizations to prepare, immediately following the adoption of the post</w:t>
      </w:r>
      <w:r w:rsidRPr="00117EEC">
        <w:rPr>
          <w:rStyle w:val="normaltextrun"/>
          <w:kern w:val="22"/>
          <w:szCs w:val="22"/>
        </w:rPr>
        <w:noBreakHyphen/>
        <w:t>2020 global biodiversity framework, thematic capacity</w:t>
      </w:r>
      <w:r w:rsidRPr="00117EEC">
        <w:rPr>
          <w:rStyle w:val="normaltextrun"/>
          <w:kern w:val="22"/>
          <w:szCs w:val="22"/>
        </w:rPr>
        <w:noBreakHyphen/>
        <w:t>building and development action plans for specific 2030 targets or groups of related targets, as appropriate, [and taking into account needs and gaps previously identified and decided by Parties with special consideration for the development of an island biodiversity capacity</w:t>
      </w:r>
      <w:r w:rsidRPr="00117EEC">
        <w:rPr>
          <w:rStyle w:val="normaltextrun"/>
          <w:kern w:val="22"/>
          <w:szCs w:val="22"/>
        </w:rPr>
        <w:noBreakHyphen/>
        <w:t>building and development action plan];]</w:t>
      </w:r>
    </w:p>
    <w:p w14:paraId="059801C8" w14:textId="77777777" w:rsidR="00D87A97" w:rsidRPr="00117EEC" w:rsidRDefault="00D87A97" w:rsidP="00D87A97">
      <w:pPr>
        <w:pStyle w:val="Para1"/>
        <w:numPr>
          <w:ilvl w:val="0"/>
          <w:numId w:val="0"/>
        </w:numPr>
        <w:suppressLineNumbers/>
        <w:suppressAutoHyphens/>
        <w:kinsoku w:val="0"/>
        <w:overflowPunct w:val="0"/>
        <w:autoSpaceDE w:val="0"/>
        <w:autoSpaceDN w:val="0"/>
        <w:adjustRightInd w:val="0"/>
        <w:snapToGrid w:val="0"/>
        <w:ind w:left="709" w:firstLine="720"/>
        <w:rPr>
          <w:rStyle w:val="eop"/>
          <w:rFonts w:eastAsia="Arial"/>
          <w:kern w:val="22"/>
          <w:szCs w:val="22"/>
        </w:rPr>
      </w:pPr>
      <w:r w:rsidRPr="00117EEC">
        <w:rPr>
          <w:rStyle w:val="normaltextrun"/>
          <w:kern w:val="22"/>
          <w:szCs w:val="22"/>
        </w:rPr>
        <w:t>[(e)</w:t>
      </w:r>
      <w:r w:rsidRPr="00117EEC">
        <w:rPr>
          <w:rStyle w:val="normaltextrun"/>
          <w:kern w:val="22"/>
          <w:szCs w:val="22"/>
        </w:rPr>
        <w:tab/>
      </w:r>
      <w:r>
        <w:rPr>
          <w:rStyle w:val="normaltextrun"/>
          <w:kern w:val="22"/>
          <w:szCs w:val="22"/>
        </w:rPr>
        <w:t>To s</w:t>
      </w:r>
      <w:r w:rsidRPr="00117EEC">
        <w:rPr>
          <w:rStyle w:val="normaltextrun"/>
          <w:kern w:val="22"/>
          <w:szCs w:val="22"/>
        </w:rPr>
        <w:t>upport and advise Parties to integrate capacity</w:t>
      </w:r>
      <w:r w:rsidRPr="00117EEC">
        <w:rPr>
          <w:rStyle w:val="normaltextrun"/>
          <w:kern w:val="22"/>
          <w:szCs w:val="22"/>
        </w:rPr>
        <w:noBreakHyphen/>
        <w:t>building and development components into their national biodiversity strategies and action plans;]</w:t>
      </w:r>
    </w:p>
    <w:p w14:paraId="33890589" w14:textId="77777777" w:rsidR="00D87A97" w:rsidRPr="004E35D7" w:rsidRDefault="00D87A97" w:rsidP="00D87A97">
      <w:pPr>
        <w:pStyle w:val="Para1"/>
        <w:numPr>
          <w:ilvl w:val="0"/>
          <w:numId w:val="0"/>
        </w:numPr>
        <w:suppressLineNumbers/>
        <w:suppressAutoHyphens/>
        <w:kinsoku w:val="0"/>
        <w:overflowPunct w:val="0"/>
        <w:autoSpaceDE w:val="0"/>
        <w:autoSpaceDN w:val="0"/>
        <w:adjustRightInd w:val="0"/>
        <w:ind w:left="709" w:firstLine="720"/>
        <w:rPr>
          <w:rStyle w:val="eop"/>
          <w:rFonts w:eastAsiaTheme="majorEastAsia"/>
          <w:snapToGrid/>
          <w:szCs w:val="24"/>
        </w:rPr>
      </w:pPr>
      <w:r w:rsidRPr="00D85E94">
        <w:rPr>
          <w:rStyle w:val="FootnoteReference"/>
          <w:rFonts w:eastAsiaTheme="majorEastAsia"/>
        </w:rPr>
        <w:footnoteReference w:customMarkFollows="1" w:id="10"/>
        <w:t>**</w:t>
      </w:r>
      <w:r w:rsidRPr="00D85E94">
        <w:rPr>
          <w:rStyle w:val="eop"/>
          <w:rFonts w:eastAsiaTheme="majorEastAsia"/>
        </w:rPr>
        <w:t>[</w:t>
      </w:r>
      <w:r w:rsidRPr="008B3D8E">
        <w:rPr>
          <w:rStyle w:val="eop"/>
          <w:rFonts w:eastAsiaTheme="majorEastAsia"/>
        </w:rPr>
        <w:t>(f)</w:t>
      </w:r>
      <w:r w:rsidRPr="008B3D8E">
        <w:rPr>
          <w:rStyle w:val="eop"/>
          <w:rFonts w:eastAsiaTheme="majorEastAsia"/>
        </w:rPr>
        <w:tab/>
        <w:t>To invite the United Nations Environment Management Group, in collaboration with the</w:t>
      </w:r>
      <w:r w:rsidRPr="004E35D7">
        <w:rPr>
          <w:rStyle w:val="eop"/>
          <w:rFonts w:eastAsiaTheme="majorEastAsia"/>
        </w:rPr>
        <w:t xml:space="preserve"> Liaison Group of Biodiversity-related Conventions, to designate a biodiversity capacity</w:t>
      </w:r>
      <w:r w:rsidRPr="004E35D7">
        <w:rPr>
          <w:rStyle w:val="eop"/>
          <w:rFonts w:eastAsiaTheme="majorEastAsia"/>
        </w:rPr>
        <w:noBreakHyphen/>
      </w:r>
      <w:r w:rsidRPr="00117EEC">
        <w:rPr>
          <w:rStyle w:val="eop"/>
          <w:rFonts w:eastAsiaTheme="majorEastAsia"/>
        </w:rPr>
        <w:t>building and development task team to foster United Nations system-wide synergy, coherence and effectiveness in the provision of capacity</w:t>
      </w:r>
      <w:r w:rsidRPr="00117EEC">
        <w:rPr>
          <w:rStyle w:val="eop"/>
          <w:rFonts w:eastAsiaTheme="majorEastAsia"/>
        </w:rPr>
        <w:noBreakHyphen/>
        <w:t xml:space="preserve">building and development support and guidance for the implementation of the post-2020 global </w:t>
      </w:r>
      <w:r w:rsidRPr="00117EEC">
        <w:rPr>
          <w:rStyle w:val="normaltextrun"/>
          <w:kern w:val="22"/>
          <w:szCs w:val="22"/>
        </w:rPr>
        <w:t>biodiversity</w:t>
      </w:r>
      <w:r w:rsidRPr="00117EEC">
        <w:rPr>
          <w:rStyle w:val="eop"/>
          <w:rFonts w:eastAsiaTheme="majorEastAsia"/>
        </w:rPr>
        <w:t xml:space="preserve"> framework in line with the quadrennial comprehensive policy review of operational activities for development of the United Nations system]</w:t>
      </w:r>
      <w:r w:rsidRPr="00694029">
        <w:rPr>
          <w:rStyle w:val="eop"/>
          <w:rFonts w:eastAsiaTheme="majorEastAsia"/>
        </w:rPr>
        <w:t>;</w:t>
      </w:r>
    </w:p>
    <w:p w14:paraId="2AA6353C" w14:textId="57E0B7B6" w:rsidR="00D87A97" w:rsidRPr="00760D30"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Style w:val="eop"/>
          <w:rFonts w:eastAsiaTheme="majorEastAsia"/>
          <w:strike/>
          <w:snapToGrid/>
          <w:kern w:val="22"/>
          <w:szCs w:val="22"/>
        </w:rPr>
      </w:pPr>
      <w:r w:rsidRPr="00064579">
        <w:rPr>
          <w:rStyle w:val="normaltextrun"/>
          <w:kern w:val="22"/>
          <w:szCs w:val="22"/>
        </w:rPr>
        <w:t>[(</w:t>
      </w:r>
      <w:r w:rsidRPr="005E661F">
        <w:rPr>
          <w:rStyle w:val="normaltextrun"/>
          <w:kern w:val="22"/>
          <w:szCs w:val="22"/>
        </w:rPr>
        <w:t>g)</w:t>
      </w:r>
      <w:r w:rsidRPr="005E661F">
        <w:rPr>
          <w:rStyle w:val="normaltextrun"/>
          <w:kern w:val="22"/>
          <w:szCs w:val="22"/>
        </w:rPr>
        <w:tab/>
        <w:t>To develop, in collaboration with relevant partners</w:t>
      </w:r>
      <w:r w:rsidRPr="00117EEC">
        <w:rPr>
          <w:rStyle w:val="normaltextrun"/>
          <w:kern w:val="22"/>
          <w:szCs w:val="22"/>
        </w:rPr>
        <w:t xml:space="preserve"> and stakeholders, including indigenous peoples and local communities, women and youth</w:t>
      </w:r>
      <w:r w:rsidRPr="00117EEC" w:rsidDel="00286019">
        <w:rPr>
          <w:rStyle w:val="normaltextrun"/>
          <w:kern w:val="22"/>
          <w:szCs w:val="22"/>
        </w:rPr>
        <w:t>,</w:t>
      </w:r>
      <w:r w:rsidRPr="00117EEC">
        <w:rPr>
          <w:rStyle w:val="normaltextrun"/>
          <w:kern w:val="22"/>
          <w:szCs w:val="22"/>
        </w:rPr>
        <w:t xml:space="preserve"> complementary indicators and a methodology for measuring progress in the achievement of the long-term strategic framework goals </w:t>
      </w:r>
      <w:r w:rsidRPr="00117EEC">
        <w:rPr>
          <w:rStyle w:val="normaltextrun"/>
          <w:kern w:val="22"/>
          <w:szCs w:val="22"/>
        </w:rPr>
        <w:lastRenderedPageBreak/>
        <w:t xml:space="preserve">and for enabling Parties, indigenous peoples and local communities, </w:t>
      </w:r>
      <w:r w:rsidRPr="00765ED5">
        <w:rPr>
          <w:rStyle w:val="normaltextrun"/>
          <w:kern w:val="22"/>
          <w:szCs w:val="22"/>
        </w:rPr>
        <w:t>women</w:t>
      </w:r>
      <w:r w:rsidR="00765ED5" w:rsidRPr="006D7A92">
        <w:rPr>
          <w:rStyle w:val="normaltextrun"/>
          <w:kern w:val="22"/>
          <w:szCs w:val="22"/>
        </w:rPr>
        <w:t>’s</w:t>
      </w:r>
      <w:r w:rsidRPr="00765ED5">
        <w:rPr>
          <w:rStyle w:val="normaltextrun"/>
          <w:kern w:val="22"/>
          <w:szCs w:val="22"/>
        </w:rPr>
        <w:t xml:space="preserve"> and youth</w:t>
      </w:r>
      <w:r w:rsidRPr="00117EEC">
        <w:rPr>
          <w:rStyle w:val="normaltextrun"/>
          <w:kern w:val="22"/>
          <w:szCs w:val="22"/>
        </w:rPr>
        <w:t xml:space="preserve"> organizations, to monitor, assess and report on capacity</w:t>
      </w:r>
      <w:r w:rsidRPr="00117EEC">
        <w:rPr>
          <w:rStyle w:val="normaltextrun"/>
          <w:kern w:val="22"/>
          <w:szCs w:val="22"/>
        </w:rPr>
        <w:noBreakHyphen/>
        <w:t xml:space="preserve">building and development at the national level, in line with the indicators to be adopted </w:t>
      </w:r>
      <w:r w:rsidRPr="00700EF6">
        <w:rPr>
          <w:rStyle w:val="normaltextrun"/>
          <w:kern w:val="22"/>
          <w:szCs w:val="22"/>
        </w:rPr>
        <w:t xml:space="preserve">under </w:t>
      </w:r>
      <w:r w:rsidR="00870ABF">
        <w:rPr>
          <w:rStyle w:val="normaltextrun"/>
          <w:kern w:val="22"/>
          <w:szCs w:val="22"/>
        </w:rPr>
        <w:t xml:space="preserve">the relevant </w:t>
      </w:r>
      <w:r w:rsidRPr="00700EF6">
        <w:rPr>
          <w:rStyle w:val="normaltextrun"/>
          <w:kern w:val="22"/>
          <w:szCs w:val="22"/>
        </w:rPr>
        <w:t>target</w:t>
      </w:r>
      <w:r w:rsidR="005B7263">
        <w:rPr>
          <w:rStyle w:val="FootnoteReference"/>
          <w:kern w:val="22"/>
          <w:szCs w:val="22"/>
        </w:rPr>
        <w:footnoteReference w:id="11"/>
      </w:r>
      <w:r w:rsidRPr="00700EF6">
        <w:rPr>
          <w:rStyle w:val="normaltextrun"/>
          <w:kern w:val="22"/>
          <w:szCs w:val="22"/>
        </w:rPr>
        <w:t xml:space="preserve"> </w:t>
      </w:r>
      <w:r w:rsidRPr="00117EEC">
        <w:rPr>
          <w:rStyle w:val="normaltextrun"/>
          <w:kern w:val="22"/>
          <w:szCs w:val="22"/>
        </w:rPr>
        <w:t>of the post-2020 global biodiversity framework;]</w:t>
      </w:r>
    </w:p>
    <w:p w14:paraId="4554F7D1" w14:textId="406CE3DC"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Style w:val="eop"/>
          <w:rFonts w:eastAsiaTheme="majorEastAsia"/>
          <w:kern w:val="22"/>
          <w:szCs w:val="22"/>
        </w:rPr>
      </w:pPr>
      <w:r w:rsidRPr="00117EEC">
        <w:rPr>
          <w:rStyle w:val="normaltextrun"/>
          <w:rFonts w:eastAsia="MS Mincho"/>
          <w:kern w:val="22"/>
          <w:szCs w:val="22"/>
        </w:rPr>
        <w:t>[(h)</w:t>
      </w:r>
      <w:r w:rsidRPr="00117EEC">
        <w:rPr>
          <w:rStyle w:val="normaltextrun"/>
          <w:rFonts w:eastAsia="MS Mincho"/>
          <w:kern w:val="22"/>
          <w:szCs w:val="22"/>
        </w:rPr>
        <w:tab/>
        <w:t>To convene, in collaboration with partners, [a workshop on capacity</w:t>
      </w:r>
      <w:r w:rsidRPr="00117EEC">
        <w:rPr>
          <w:rStyle w:val="normaltextrun"/>
          <w:rFonts w:eastAsia="MS Mincho"/>
          <w:kern w:val="22"/>
          <w:szCs w:val="22"/>
        </w:rPr>
        <w:noBreakHyphen/>
        <w:t>building and development] [the first biodiversity capacity</w:t>
      </w:r>
      <w:r w:rsidRPr="00117EEC">
        <w:rPr>
          <w:rStyle w:val="normaltextrun"/>
          <w:rFonts w:eastAsia="MS Mincho"/>
          <w:kern w:val="22"/>
          <w:szCs w:val="22"/>
        </w:rPr>
        <w:noBreakHyphen/>
        <w:t>building and development forum], to facilitate networking and share experiences, good practices and lessons learned in capacity</w:t>
      </w:r>
      <w:r w:rsidRPr="00117EEC">
        <w:rPr>
          <w:rStyle w:val="normaltextrun"/>
          <w:rFonts w:eastAsia="MS Mincho"/>
          <w:kern w:val="22"/>
          <w:szCs w:val="22"/>
        </w:rPr>
        <w:noBreakHyphen/>
        <w:t>building and development for biodiversity, [in parallel] [</w:t>
      </w:r>
      <w:r w:rsidRPr="00117EEC" w:rsidDel="002C5C7C">
        <w:rPr>
          <w:rStyle w:val="normaltextrun"/>
          <w:rFonts w:eastAsia="MS Mincho"/>
          <w:kern w:val="22"/>
          <w:szCs w:val="22"/>
        </w:rPr>
        <w:t>back-to-back</w:t>
      </w:r>
      <w:r w:rsidRPr="00117EEC">
        <w:rPr>
          <w:rStyle w:val="normaltextrun"/>
          <w:rFonts w:eastAsia="MS Mincho"/>
          <w:kern w:val="22"/>
          <w:szCs w:val="22"/>
        </w:rPr>
        <w:t>] with [</w:t>
      </w:r>
      <w:r w:rsidRPr="00117EEC">
        <w:rPr>
          <w:kern w:val="22"/>
          <w:szCs w:val="22"/>
        </w:rPr>
        <w:t>the sixteenth meeting of the Conference of the Parties][twenty-sixth meeting of the Subsidiary Body on Scientific, Technical and Technological Advice ], [and to facilitate the participation and inclusion of the perspectives of indigenous peoples and local communities, women and youth]</w:t>
      </w:r>
      <w:r w:rsidR="00AB17EE">
        <w:rPr>
          <w:kern w:val="22"/>
          <w:szCs w:val="22"/>
        </w:rPr>
        <w:t>;</w:t>
      </w:r>
      <w:r w:rsidRPr="00117EEC">
        <w:rPr>
          <w:kern w:val="22"/>
          <w:szCs w:val="22"/>
        </w:rPr>
        <w:t>]</w:t>
      </w:r>
    </w:p>
    <w:p w14:paraId="67B3EF88"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Style w:val="normaltextrun"/>
          <w:rFonts w:eastAsiaTheme="majorEastAsia"/>
        </w:rPr>
      </w:pPr>
      <w:r w:rsidRPr="00117EEC">
        <w:rPr>
          <w:rStyle w:val="normaltextrun"/>
          <w:kern w:val="22"/>
          <w:szCs w:val="22"/>
        </w:rPr>
        <w:t>[(</w:t>
      </w:r>
      <w:proofErr w:type="spellStart"/>
      <w:r w:rsidRPr="00117EEC">
        <w:rPr>
          <w:rStyle w:val="normaltextrun"/>
          <w:kern w:val="22"/>
          <w:szCs w:val="22"/>
        </w:rPr>
        <w:t>i</w:t>
      </w:r>
      <w:proofErr w:type="spellEnd"/>
      <w:r w:rsidRPr="00117EEC">
        <w:rPr>
          <w:rStyle w:val="normaltextrun"/>
          <w:kern w:val="22"/>
          <w:szCs w:val="22"/>
        </w:rPr>
        <w:t>)</w:t>
      </w:r>
      <w:r w:rsidRPr="00117EEC">
        <w:rPr>
          <w:rStyle w:val="normaltextrun"/>
          <w:kern w:val="22"/>
          <w:szCs w:val="22"/>
        </w:rPr>
        <w:tab/>
        <w:t>To prepare updates on the status of the long-term strategic framework for consideration by the Subsidiary Body on Implementation;]</w:t>
      </w:r>
    </w:p>
    <w:p w14:paraId="7CF90FBE" w14:textId="2C6E57AC" w:rsidR="00D87A97" w:rsidRPr="00117EEC" w:rsidRDefault="00D87A97" w:rsidP="00D87A97">
      <w:pPr>
        <w:pStyle w:val="Para1"/>
        <w:numPr>
          <w:ilvl w:val="0"/>
          <w:numId w:val="0"/>
        </w:numPr>
        <w:suppressLineNumbers/>
        <w:suppressAutoHyphens/>
        <w:kinsoku w:val="0"/>
        <w:overflowPunct w:val="0"/>
        <w:autoSpaceDE w:val="0"/>
        <w:autoSpaceDN w:val="0"/>
        <w:adjustRightInd w:val="0"/>
        <w:ind w:left="709" w:firstLine="720"/>
        <w:rPr>
          <w:rStyle w:val="eop"/>
          <w:rFonts w:eastAsiaTheme="majorEastAsia"/>
          <w:strike/>
          <w:kern w:val="22"/>
        </w:rPr>
      </w:pPr>
      <w:r w:rsidRPr="00117EEC">
        <w:rPr>
          <w:rStyle w:val="normaltextrun"/>
          <w:kern w:val="22"/>
        </w:rPr>
        <w:t>[(j)</w:t>
      </w:r>
      <w:r w:rsidRPr="00117EEC">
        <w:rPr>
          <w:rStyle w:val="normaltextrun"/>
          <w:kern w:val="22"/>
          <w:szCs w:val="22"/>
        </w:rPr>
        <w:tab/>
      </w:r>
      <w:r w:rsidRPr="00117EEC">
        <w:rPr>
          <w:rStyle w:val="normaltextrun"/>
          <w:kern w:val="22"/>
        </w:rPr>
        <w:t>To undertake, in collaboration with other biodiversity-related conventions and partners, a review of the long-term strategic framework in 2025</w:t>
      </w:r>
      <w:r w:rsidRPr="00117EEC">
        <w:rPr>
          <w:rStyle w:val="normaltextrun"/>
        </w:rPr>
        <w:t xml:space="preserve"> [in conjunction with the mid-term review and global stocktake of the post-2020 global biodiversity framework]</w:t>
      </w:r>
      <w:r w:rsidRPr="00117EEC">
        <w:rPr>
          <w:rStyle w:val="normaltextrun"/>
          <w:kern w:val="22"/>
        </w:rPr>
        <w:t xml:space="preserve"> to assess its use by Parties, indigenous peoples and local communities, women</w:t>
      </w:r>
      <w:r w:rsidR="00F05816">
        <w:rPr>
          <w:rStyle w:val="normaltextrun"/>
          <w:kern w:val="22"/>
        </w:rPr>
        <w:t>’s</w:t>
      </w:r>
      <w:r w:rsidRPr="00117EEC">
        <w:rPr>
          <w:rStyle w:val="normaltextrun"/>
          <w:kern w:val="22"/>
        </w:rPr>
        <w:t xml:space="preserve"> and youth organizations, and other relevant stakeholders and, if necessary, propose updates to ensure its continued relevance and effectiveness</w:t>
      </w:r>
      <w:r w:rsidR="00AB17EE">
        <w:rPr>
          <w:rStyle w:val="normaltextrun"/>
          <w:kern w:val="22"/>
        </w:rPr>
        <w:t>;</w:t>
      </w:r>
      <w:r w:rsidRPr="00117EEC">
        <w:rPr>
          <w:rStyle w:val="normaltextrun"/>
          <w:kern w:val="22"/>
        </w:rPr>
        <w:t>]</w:t>
      </w:r>
    </w:p>
    <w:p w14:paraId="79DDD5F8" w14:textId="202638C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709" w:firstLine="720"/>
        <w:rPr>
          <w:rFonts w:eastAsiaTheme="majorEastAsia"/>
        </w:rPr>
      </w:pPr>
      <w:r w:rsidRPr="00117EEC">
        <w:rPr>
          <w:rStyle w:val="normaltextrun"/>
          <w:kern w:val="22"/>
        </w:rPr>
        <w:t>[(k)</w:t>
      </w:r>
      <w:r w:rsidRPr="00117EEC">
        <w:rPr>
          <w:rStyle w:val="normaltextrun"/>
          <w:kern w:val="22"/>
          <w:szCs w:val="22"/>
        </w:rPr>
        <w:tab/>
      </w:r>
      <w:r w:rsidRPr="00117EEC">
        <w:rPr>
          <w:rStyle w:val="normaltextrun"/>
        </w:rPr>
        <w:t>To commission an independent evaluation of the long-term strategic framework in 2029 and submit a report to facilitate its review by the Subsidiary Body on Implementation and the Conference of the Parties in conjunction with the review of the post-2020 global biodiversity framework</w:t>
      </w:r>
      <w:r w:rsidR="00F52744">
        <w:rPr>
          <w:rStyle w:val="normaltextrun"/>
        </w:rPr>
        <w:t>;</w:t>
      </w:r>
      <w:r w:rsidRPr="00117EEC">
        <w:rPr>
          <w:rStyle w:val="normaltextrun"/>
        </w:rPr>
        <w:t>]</w:t>
      </w:r>
    </w:p>
    <w:p w14:paraId="4E66854D" w14:textId="77777777" w:rsidR="00D87A97" w:rsidRPr="00117EEC" w:rsidRDefault="00D87A97" w:rsidP="00D87A97">
      <w:pPr>
        <w:pStyle w:val="Para1"/>
        <w:keepNext/>
        <w:numPr>
          <w:ilvl w:val="0"/>
          <w:numId w:val="0"/>
        </w:numPr>
        <w:suppressLineNumbers/>
        <w:tabs>
          <w:tab w:val="left" w:pos="426"/>
        </w:tabs>
        <w:suppressAutoHyphens/>
        <w:kinsoku w:val="0"/>
        <w:overflowPunct w:val="0"/>
        <w:autoSpaceDE w:val="0"/>
        <w:autoSpaceDN w:val="0"/>
        <w:adjustRightInd w:val="0"/>
        <w:ind w:left="426"/>
        <w:jc w:val="center"/>
        <w:outlineLvl w:val="1"/>
        <w:rPr>
          <w:b/>
          <w:bCs/>
          <w:kern w:val="22"/>
        </w:rPr>
      </w:pPr>
      <w:bookmarkStart w:id="3" w:name="_Toc57214893"/>
      <w:r w:rsidRPr="00117EEC">
        <w:rPr>
          <w:b/>
          <w:bCs/>
          <w:kern w:val="22"/>
        </w:rPr>
        <w:t>B.</w:t>
      </w:r>
      <w:r w:rsidRPr="00117EEC">
        <w:rPr>
          <w:b/>
          <w:kern w:val="22"/>
          <w:szCs w:val="22"/>
        </w:rPr>
        <w:tab/>
      </w:r>
      <w:r w:rsidRPr="00117EEC">
        <w:rPr>
          <w:b/>
          <w:bCs/>
          <w:kern w:val="22"/>
        </w:rPr>
        <w:t>Technical and scientific cooperation</w:t>
      </w:r>
      <w:bookmarkEnd w:id="3"/>
    </w:p>
    <w:p w14:paraId="4E14BEB4"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i/>
          <w:iCs/>
          <w:kern w:val="22"/>
        </w:rPr>
      </w:pPr>
      <w:r w:rsidRPr="00117EEC">
        <w:rPr>
          <w:kern w:val="22"/>
        </w:rPr>
        <w:t>[20.</w:t>
      </w:r>
      <w:r w:rsidRPr="00117EEC">
        <w:rPr>
          <w:kern w:val="22"/>
        </w:rPr>
        <w:tab/>
      </w:r>
      <w:r w:rsidRPr="00117EEC">
        <w:rPr>
          <w:i/>
          <w:iCs/>
          <w:kern w:val="22"/>
        </w:rPr>
        <w:t xml:space="preserve">Adopts </w:t>
      </w:r>
      <w:r w:rsidRPr="00117EEC">
        <w:rPr>
          <w:kern w:val="22"/>
        </w:rPr>
        <w:t>the proposals to strengthen technical and scientific cooperation in support of the post-2020 global biodiversity framework contained in annex II below;]</w:t>
      </w:r>
    </w:p>
    <w:p w14:paraId="0CE4D02B" w14:textId="5B5E6F63"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kern w:val="22"/>
        </w:rPr>
      </w:pPr>
      <w:r w:rsidRPr="00117EEC">
        <w:rPr>
          <w:kern w:val="22"/>
        </w:rPr>
        <w:t>2</w:t>
      </w:r>
      <w:r>
        <w:rPr>
          <w:kern w:val="22"/>
        </w:rPr>
        <w:t>1</w:t>
      </w:r>
      <w:r w:rsidRPr="00117EEC">
        <w:rPr>
          <w:kern w:val="22"/>
        </w:rPr>
        <w:t>.</w:t>
      </w:r>
      <w:r w:rsidRPr="00117EEC">
        <w:rPr>
          <w:kern w:val="22"/>
        </w:rPr>
        <w:tab/>
      </w:r>
      <w:r>
        <w:rPr>
          <w:kern w:val="22"/>
        </w:rPr>
        <w:tab/>
      </w:r>
      <w:r w:rsidRPr="00117EEC">
        <w:rPr>
          <w:i/>
          <w:kern w:val="22"/>
        </w:rPr>
        <w:t>Urges</w:t>
      </w:r>
      <w:r w:rsidRPr="00117EEC">
        <w:rPr>
          <w:kern w:val="22"/>
        </w:rPr>
        <w:t xml:space="preserve"> Parties</w:t>
      </w:r>
      <w:r>
        <w:rPr>
          <w:kern w:val="22"/>
        </w:rPr>
        <w:t xml:space="preserve"> </w:t>
      </w:r>
      <w:r w:rsidRPr="00117EEC">
        <w:rPr>
          <w:kern w:val="22"/>
        </w:rPr>
        <w:t xml:space="preserve">and </w:t>
      </w:r>
      <w:r w:rsidRPr="006D7A92">
        <w:rPr>
          <w:kern w:val="22"/>
        </w:rPr>
        <w:t>invites</w:t>
      </w:r>
      <w:r>
        <w:rPr>
          <w:i/>
          <w:iCs/>
          <w:kern w:val="22"/>
        </w:rPr>
        <w:t xml:space="preserve"> </w:t>
      </w:r>
      <w:r w:rsidRPr="00117EEC">
        <w:rPr>
          <w:kern w:val="22"/>
        </w:rPr>
        <w:t xml:space="preserve">other Governments and relevant organizations to recognize </w:t>
      </w:r>
      <w:r>
        <w:rPr>
          <w:kern w:val="22"/>
        </w:rPr>
        <w:t xml:space="preserve">the important role of </w:t>
      </w:r>
      <w:r w:rsidRPr="00117EEC">
        <w:rPr>
          <w:kern w:val="22"/>
        </w:rPr>
        <w:t xml:space="preserve">and </w:t>
      </w:r>
      <w:r>
        <w:rPr>
          <w:kern w:val="22"/>
        </w:rPr>
        <w:t>promote</w:t>
      </w:r>
      <w:r w:rsidRPr="00117EEC">
        <w:rPr>
          <w:kern w:val="22"/>
        </w:rPr>
        <w:t xml:space="preserve"> science, technology, innovation and other knowledge systems in supporting the implementation of the goals and targets of the post-2020 global biodiversity framework towards achieving the 2050 Vision of “living in harmony with nature</w:t>
      </w:r>
      <w:proofErr w:type="gramStart"/>
      <w:r w:rsidRPr="00117EEC">
        <w:rPr>
          <w:kern w:val="22"/>
        </w:rPr>
        <w:t>”;</w:t>
      </w:r>
      <w:proofErr w:type="gramEnd"/>
    </w:p>
    <w:p w14:paraId="4112ADC1"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rPr>
      </w:pPr>
      <w:r w:rsidRPr="00117EEC">
        <w:rPr>
          <w:kern w:val="22"/>
        </w:rPr>
        <w:t>2</w:t>
      </w:r>
      <w:r>
        <w:rPr>
          <w:kern w:val="22"/>
        </w:rPr>
        <w:t>2</w:t>
      </w:r>
      <w:r w:rsidRPr="00117EEC">
        <w:rPr>
          <w:kern w:val="22"/>
        </w:rPr>
        <w:t>.</w:t>
      </w:r>
      <w:r w:rsidRPr="00117EEC">
        <w:rPr>
          <w:kern w:val="22"/>
        </w:rPr>
        <w:tab/>
      </w:r>
      <w:r>
        <w:rPr>
          <w:kern w:val="22"/>
        </w:rPr>
        <w:tab/>
      </w:r>
      <w:r w:rsidRPr="00117EEC">
        <w:rPr>
          <w:i/>
          <w:iCs/>
          <w:kern w:val="22"/>
        </w:rPr>
        <w:t xml:space="preserve">Reminds </w:t>
      </w:r>
      <w:r w:rsidRPr="00117EEC">
        <w:rPr>
          <w:kern w:val="22"/>
        </w:rPr>
        <w:t xml:space="preserve">Parties, pursuant to decision XIII/23, paragraph 6, to identify and communicate their biodiversity-related technical and scientific needs and requests for assistance, and </w:t>
      </w:r>
      <w:r w:rsidRPr="00117EEC">
        <w:rPr>
          <w:i/>
          <w:iCs/>
          <w:kern w:val="22"/>
        </w:rPr>
        <w:t xml:space="preserve">invites </w:t>
      </w:r>
      <w:r w:rsidRPr="00117EEC">
        <w:rPr>
          <w:kern w:val="22"/>
        </w:rPr>
        <w:t xml:space="preserve">Parties, other Governments and relevant organizations to register as providers of technical assistance and offer support to address the needs identified by Parties through the </w:t>
      </w:r>
      <w:r>
        <w:rPr>
          <w:kern w:val="22"/>
        </w:rPr>
        <w:t xml:space="preserve">central portal of the </w:t>
      </w:r>
      <w:r w:rsidRPr="00117EEC">
        <w:rPr>
          <w:kern w:val="22"/>
        </w:rPr>
        <w:t xml:space="preserve">clearing-house mechanism and the </w:t>
      </w:r>
      <w:r>
        <w:rPr>
          <w:kern w:val="22"/>
        </w:rPr>
        <w:t>c</w:t>
      </w:r>
      <w:r w:rsidRPr="00117EEC">
        <w:rPr>
          <w:kern w:val="22"/>
        </w:rPr>
        <w:t xml:space="preserve">learing </w:t>
      </w:r>
      <w:r>
        <w:rPr>
          <w:kern w:val="22"/>
        </w:rPr>
        <w:t>h</w:t>
      </w:r>
      <w:r w:rsidRPr="00117EEC">
        <w:rPr>
          <w:kern w:val="22"/>
        </w:rPr>
        <w:t xml:space="preserve">ouses of the </w:t>
      </w:r>
      <w:r>
        <w:rPr>
          <w:kern w:val="22"/>
        </w:rPr>
        <w:t>p</w:t>
      </w:r>
      <w:r w:rsidRPr="00117EEC">
        <w:rPr>
          <w:kern w:val="22"/>
        </w:rPr>
        <w:t>rotocols</w:t>
      </w:r>
      <w:r>
        <w:rPr>
          <w:kern w:val="22"/>
        </w:rPr>
        <w:t xml:space="preserve"> to facilitate capacity building and development and technical and scientific cooperation</w:t>
      </w:r>
      <w:r w:rsidRPr="00117EEC">
        <w:rPr>
          <w:kern w:val="22"/>
        </w:rPr>
        <w:t>;</w:t>
      </w:r>
    </w:p>
    <w:p w14:paraId="04A09E6F" w14:textId="77777777" w:rsidR="00D87A97" w:rsidRPr="00713974"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strike/>
          <w:kern w:val="22"/>
        </w:rPr>
      </w:pPr>
      <w:r w:rsidRPr="00117EEC">
        <w:rPr>
          <w:kern w:val="22"/>
        </w:rPr>
        <w:t>2</w:t>
      </w:r>
      <w:r>
        <w:rPr>
          <w:kern w:val="22"/>
        </w:rPr>
        <w:t>3</w:t>
      </w:r>
      <w:r w:rsidRPr="00117EEC">
        <w:rPr>
          <w:kern w:val="22"/>
        </w:rPr>
        <w:t>.</w:t>
      </w:r>
      <w:r w:rsidRPr="00117EEC">
        <w:rPr>
          <w:kern w:val="22"/>
        </w:rPr>
        <w:tab/>
      </w:r>
      <w:r>
        <w:rPr>
          <w:kern w:val="22"/>
        </w:rPr>
        <w:tab/>
      </w:r>
      <w:r w:rsidRPr="00117EEC">
        <w:rPr>
          <w:i/>
          <w:iCs/>
          <w:kern w:val="22"/>
        </w:rPr>
        <w:t>Urges</w:t>
      </w:r>
      <w:r>
        <w:rPr>
          <w:i/>
          <w:iCs/>
          <w:kern w:val="22"/>
        </w:rPr>
        <w:t xml:space="preserve"> </w:t>
      </w:r>
      <w:r w:rsidRPr="00117EEC">
        <w:rPr>
          <w:kern w:val="22"/>
        </w:rPr>
        <w:t xml:space="preserve">Parties and </w:t>
      </w:r>
      <w:r w:rsidRPr="006D7A92">
        <w:rPr>
          <w:kern w:val="22"/>
        </w:rPr>
        <w:t>invites</w:t>
      </w:r>
      <w:r w:rsidRPr="00117EEC">
        <w:rPr>
          <w:i/>
          <w:iCs/>
          <w:kern w:val="22"/>
        </w:rPr>
        <w:t xml:space="preserve"> </w:t>
      </w:r>
      <w:r w:rsidRPr="00117EEC">
        <w:rPr>
          <w:kern w:val="22"/>
        </w:rPr>
        <w:t xml:space="preserve">other Governments to put in place enabling environments (including relevant policies, legislation and incentives) to promote and facilitate technical and scientific cooperation with other Parties, in particular developing country Parties, including through joint research programmes and joint ventures </w:t>
      </w:r>
      <w:r>
        <w:rPr>
          <w:kern w:val="22"/>
        </w:rPr>
        <w:t xml:space="preserve">for the development of technologies relevant to </w:t>
      </w:r>
      <w:r w:rsidRPr="00103EA8">
        <w:rPr>
          <w:kern w:val="22"/>
        </w:rPr>
        <w:t>the objective</w:t>
      </w:r>
      <w:r w:rsidRPr="00DF714D">
        <w:rPr>
          <w:kern w:val="22"/>
        </w:rPr>
        <w:t>s of the Convention</w:t>
      </w:r>
      <w:r>
        <w:rPr>
          <w:kern w:val="22"/>
        </w:rPr>
        <w:t xml:space="preserve"> </w:t>
      </w:r>
      <w:r w:rsidRPr="00103EA8">
        <w:rPr>
          <w:kern w:val="22"/>
        </w:rPr>
        <w:t>[in accordance with Article 20 of</w:t>
      </w:r>
      <w:r w:rsidRPr="00DF714D">
        <w:rPr>
          <w:kern w:val="22"/>
        </w:rPr>
        <w:t xml:space="preserve"> the Convention]</w:t>
      </w:r>
      <w:r w:rsidRPr="00736F0E">
        <w:rPr>
          <w:kern w:val="22"/>
        </w:rPr>
        <w:t>,</w:t>
      </w:r>
      <w:r w:rsidRPr="00736F0E">
        <w:t xml:space="preserve"> </w:t>
      </w:r>
      <w:r w:rsidRPr="00C66D4A">
        <w:rPr>
          <w:kern w:val="22"/>
        </w:rPr>
        <w:t xml:space="preserve">ensuring full and effective participation of </w:t>
      </w:r>
      <w:bookmarkStart w:id="4" w:name="_Hlk72329378"/>
      <w:r w:rsidRPr="00C66D4A">
        <w:rPr>
          <w:kern w:val="22"/>
        </w:rPr>
        <w:t>indigenous people and local communities</w:t>
      </w:r>
      <w:bookmarkEnd w:id="4"/>
      <w:r w:rsidRPr="00C66D4A">
        <w:rPr>
          <w:kern w:val="22"/>
        </w:rPr>
        <w:t>, women and youth</w:t>
      </w:r>
      <w:r w:rsidRPr="009515B7">
        <w:rPr>
          <w:kern w:val="22"/>
        </w:rPr>
        <w:t>;</w:t>
      </w:r>
    </w:p>
    <w:p w14:paraId="20EAA938"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szCs w:val="22"/>
        </w:rPr>
      </w:pPr>
      <w:r w:rsidRPr="00117EEC">
        <w:rPr>
          <w:kern w:val="22"/>
        </w:rPr>
        <w:t>[2</w:t>
      </w:r>
      <w:r>
        <w:rPr>
          <w:kern w:val="22"/>
        </w:rPr>
        <w:t>4</w:t>
      </w:r>
      <w:r w:rsidRPr="00117EEC">
        <w:rPr>
          <w:kern w:val="22"/>
        </w:rPr>
        <w:t>.</w:t>
      </w:r>
      <w:r w:rsidRPr="00117EEC">
        <w:rPr>
          <w:kern w:val="22"/>
        </w:rPr>
        <w:tab/>
      </w:r>
      <w:r w:rsidRPr="00117EEC">
        <w:rPr>
          <w:i/>
          <w:iCs/>
          <w:kern w:val="22"/>
        </w:rPr>
        <w:t xml:space="preserve">Encourages </w:t>
      </w:r>
      <w:r w:rsidRPr="00117EEC">
        <w:rPr>
          <w:kern w:val="22"/>
        </w:rPr>
        <w:t xml:space="preserve">Parties and other Governments, in collaboration with relevant partners and financial institutions </w:t>
      </w:r>
      <w:r w:rsidRPr="00117EEC">
        <w:rPr>
          <w:kern w:val="22"/>
          <w:szCs w:val="22"/>
        </w:rPr>
        <w:t>to promote</w:t>
      </w:r>
      <w:r>
        <w:rPr>
          <w:kern w:val="22"/>
          <w:szCs w:val="22"/>
        </w:rPr>
        <w:t xml:space="preserve">, </w:t>
      </w:r>
      <w:r w:rsidRPr="00117EEC">
        <w:rPr>
          <w:kern w:val="22"/>
          <w:szCs w:val="22"/>
        </w:rPr>
        <w:t>facilitate</w:t>
      </w:r>
      <w:r>
        <w:rPr>
          <w:kern w:val="22"/>
          <w:szCs w:val="22"/>
        </w:rPr>
        <w:t xml:space="preserve"> and support</w:t>
      </w:r>
      <w:r w:rsidRPr="00117EEC">
        <w:rPr>
          <w:kern w:val="22"/>
          <w:szCs w:val="22"/>
        </w:rPr>
        <w:t xml:space="preserve"> the development of biodiversity-related technologies and innovations, including biotechnology, as well as locally designed solutions and </w:t>
      </w:r>
      <w:r w:rsidRPr="00117EEC">
        <w:rPr>
          <w:kern w:val="22"/>
          <w:szCs w:val="22"/>
        </w:rPr>
        <w:lastRenderedPageBreak/>
        <w:t xml:space="preserve">indigenous technologies of </w:t>
      </w:r>
      <w:r w:rsidRPr="00117EEC">
        <w:rPr>
          <w:kern w:val="22"/>
        </w:rPr>
        <w:t>indigenous peoples and local communities</w:t>
      </w:r>
      <w:r w:rsidRPr="00117EEC">
        <w:rPr>
          <w:kern w:val="22"/>
          <w:szCs w:val="22"/>
        </w:rPr>
        <w:t xml:space="preserve">, with their </w:t>
      </w:r>
      <w:r>
        <w:rPr>
          <w:kern w:val="22"/>
          <w:szCs w:val="22"/>
        </w:rPr>
        <w:t>[</w:t>
      </w:r>
      <w:r w:rsidRPr="00117EEC">
        <w:rPr>
          <w:kern w:val="22"/>
          <w:szCs w:val="22"/>
        </w:rPr>
        <w:t>free,</w:t>
      </w:r>
      <w:r>
        <w:rPr>
          <w:kern w:val="22"/>
          <w:szCs w:val="22"/>
        </w:rPr>
        <w:t>]</w:t>
      </w:r>
      <w:r w:rsidRPr="00117EEC">
        <w:rPr>
          <w:kern w:val="22"/>
          <w:szCs w:val="22"/>
        </w:rPr>
        <w:t xml:space="preserve"> prior and informed consent </w:t>
      </w:r>
      <w:r>
        <w:rPr>
          <w:kern w:val="22"/>
          <w:szCs w:val="22"/>
        </w:rPr>
        <w:t>[</w:t>
      </w:r>
      <w:r w:rsidRPr="007A1ABB">
        <w:rPr>
          <w:kern w:val="22"/>
          <w:szCs w:val="22"/>
        </w:rPr>
        <w:t>or approval and involvement</w:t>
      </w:r>
      <w:r w:rsidRPr="00F827DA">
        <w:rPr>
          <w:kern w:val="22"/>
          <w:szCs w:val="22"/>
        </w:rPr>
        <w:t>],</w:t>
      </w:r>
      <w:r>
        <w:rPr>
          <w:kern w:val="22"/>
          <w:szCs w:val="22"/>
        </w:rPr>
        <w:t xml:space="preserve"> </w:t>
      </w:r>
      <w:r w:rsidRPr="00713974">
        <w:rPr>
          <w:strike/>
          <w:kern w:val="22"/>
          <w:szCs w:val="22"/>
        </w:rPr>
        <w:t>[</w:t>
      </w:r>
      <w:r w:rsidRPr="00E626CD">
        <w:rPr>
          <w:kern w:val="22"/>
          <w:szCs w:val="22"/>
        </w:rPr>
        <w:t>subject to mutually agreed terms, as applicable</w:t>
      </w:r>
      <w:r w:rsidRPr="00713974">
        <w:rPr>
          <w:strike/>
          <w:kern w:val="22"/>
          <w:szCs w:val="22"/>
        </w:rPr>
        <w:t>]</w:t>
      </w:r>
      <w:r w:rsidRPr="00117EEC">
        <w:rPr>
          <w:kern w:val="22"/>
          <w:szCs w:val="22"/>
        </w:rPr>
        <w:t xml:space="preserve"> [</w:t>
      </w:r>
      <w:r w:rsidRPr="00C23031">
        <w:rPr>
          <w:kern w:val="22"/>
          <w:szCs w:val="22"/>
        </w:rPr>
        <w:t>in accordance with national legislation</w:t>
      </w:r>
      <w:r>
        <w:rPr>
          <w:kern w:val="22"/>
          <w:szCs w:val="22"/>
        </w:rPr>
        <w:t xml:space="preserve"> and international obligations</w:t>
      </w:r>
      <w:r w:rsidRPr="00117EEC">
        <w:rPr>
          <w:kern w:val="22"/>
          <w:szCs w:val="22"/>
        </w:rPr>
        <w:t xml:space="preserve">], </w:t>
      </w:r>
      <w:r>
        <w:rPr>
          <w:kern w:val="22"/>
          <w:szCs w:val="22"/>
        </w:rPr>
        <w:t>including through [</w:t>
      </w:r>
      <w:r w:rsidRPr="00713974">
        <w:rPr>
          <w:kern w:val="22"/>
          <w:szCs w:val="22"/>
        </w:rPr>
        <w:t>existing</w:t>
      </w:r>
      <w:r>
        <w:rPr>
          <w:kern w:val="22"/>
          <w:szCs w:val="22"/>
        </w:rPr>
        <w:t>]</w:t>
      </w:r>
      <w:r w:rsidRPr="00713974">
        <w:rPr>
          <w:kern w:val="22"/>
          <w:szCs w:val="22"/>
        </w:rPr>
        <w:t xml:space="preserve"> </w:t>
      </w:r>
      <w:r w:rsidRPr="00251EF2">
        <w:rPr>
          <w:kern w:val="22"/>
          <w:szCs w:val="22"/>
        </w:rPr>
        <w:t xml:space="preserve">incubator programmes </w:t>
      </w:r>
      <w:r w:rsidRPr="00117EEC">
        <w:rPr>
          <w:kern w:val="22"/>
          <w:szCs w:val="22"/>
        </w:rPr>
        <w:t>relevan</w:t>
      </w:r>
      <w:r>
        <w:rPr>
          <w:kern w:val="22"/>
          <w:szCs w:val="22"/>
        </w:rPr>
        <w:t>t to the objectives of</w:t>
      </w:r>
      <w:r w:rsidRPr="00117EEC">
        <w:rPr>
          <w:kern w:val="22"/>
          <w:szCs w:val="22"/>
        </w:rPr>
        <w:t xml:space="preserve"> the Convention</w:t>
      </w:r>
      <w:r>
        <w:rPr>
          <w:kern w:val="22"/>
          <w:szCs w:val="22"/>
        </w:rPr>
        <w:t xml:space="preserve"> </w:t>
      </w:r>
      <w:r w:rsidRPr="00117EEC">
        <w:rPr>
          <w:kern w:val="22"/>
          <w:szCs w:val="22"/>
        </w:rPr>
        <w:t>[in accordance with Article 20 of the Convention], and to increase technology transfer for all Parties, in particular for developing country Parties;]</w:t>
      </w:r>
    </w:p>
    <w:p w14:paraId="656A9937" w14:textId="755CF538"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rPr>
      </w:pPr>
      <w:r w:rsidRPr="00117EEC">
        <w:rPr>
          <w:kern w:val="22"/>
        </w:rPr>
        <w:t>2</w:t>
      </w:r>
      <w:r>
        <w:rPr>
          <w:kern w:val="22"/>
        </w:rPr>
        <w:t>5</w:t>
      </w:r>
      <w:r w:rsidRPr="00117EEC">
        <w:rPr>
          <w:kern w:val="22"/>
        </w:rPr>
        <w:t>.</w:t>
      </w:r>
      <w:r w:rsidRPr="00117EEC">
        <w:rPr>
          <w:kern w:val="22"/>
        </w:rPr>
        <w:tab/>
      </w:r>
      <w:r>
        <w:rPr>
          <w:kern w:val="22"/>
        </w:rPr>
        <w:tab/>
      </w:r>
      <w:r w:rsidR="00ED33E3">
        <w:rPr>
          <w:i/>
          <w:iCs/>
          <w:kern w:val="22"/>
        </w:rPr>
        <w:t>E</w:t>
      </w:r>
      <w:r w:rsidRPr="00117EEC">
        <w:rPr>
          <w:i/>
          <w:iCs/>
          <w:kern w:val="22"/>
        </w:rPr>
        <w:t xml:space="preserve">ncourages </w:t>
      </w:r>
      <w:r w:rsidRPr="00117EEC">
        <w:rPr>
          <w:kern w:val="22"/>
        </w:rPr>
        <w:t xml:space="preserve">Parties, other Governments and relevant organizations to take practical steps to promote and strengthen relevant networks of institutions and communities of practice to facilitate the exchange of biodiversity-related information, experiences, skills and technical know-how, among others, through networks of national and regional </w:t>
      </w:r>
      <w:proofErr w:type="gramStart"/>
      <w:r w:rsidRPr="00117EEC">
        <w:rPr>
          <w:kern w:val="22"/>
        </w:rPr>
        <w:t>clearing-house</w:t>
      </w:r>
      <w:proofErr w:type="gramEnd"/>
      <w:r w:rsidRPr="00117EEC">
        <w:rPr>
          <w:kern w:val="22"/>
        </w:rPr>
        <w:t xml:space="preserve"> mechanisms;</w:t>
      </w:r>
    </w:p>
    <w:p w14:paraId="4584C4F2" w14:textId="0A3857C3" w:rsidR="00D87A97" w:rsidRPr="00694029"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szCs w:val="22"/>
        </w:rPr>
      </w:pPr>
      <w:r w:rsidRPr="00117EEC">
        <w:rPr>
          <w:kern w:val="22"/>
        </w:rPr>
        <w:t>2</w:t>
      </w:r>
      <w:r>
        <w:rPr>
          <w:kern w:val="22"/>
        </w:rPr>
        <w:t>6</w:t>
      </w:r>
      <w:r w:rsidRPr="00117EEC">
        <w:rPr>
          <w:kern w:val="22"/>
        </w:rPr>
        <w:t>.</w:t>
      </w:r>
      <w:r w:rsidRPr="00117EEC">
        <w:rPr>
          <w:kern w:val="22"/>
        </w:rPr>
        <w:tab/>
      </w:r>
      <w:r>
        <w:rPr>
          <w:kern w:val="22"/>
        </w:rPr>
        <w:tab/>
      </w:r>
      <w:r w:rsidRPr="00117EEC">
        <w:rPr>
          <w:i/>
          <w:iCs/>
          <w:kern w:val="22"/>
        </w:rPr>
        <w:t>Takes note</w:t>
      </w:r>
      <w:r w:rsidRPr="00117EEC">
        <w:rPr>
          <w:kern w:val="22"/>
        </w:rPr>
        <w:t xml:space="preserve"> of the outcomes and key messages of the fifth Science-Policy Forum </w:t>
      </w:r>
      <w:r w:rsidR="00613C83">
        <w:rPr>
          <w:kern w:val="22"/>
        </w:rPr>
        <w:t>for</w:t>
      </w:r>
      <w:r w:rsidR="00613C83" w:rsidRPr="00117EEC">
        <w:rPr>
          <w:kern w:val="22"/>
        </w:rPr>
        <w:t xml:space="preserve"> </w:t>
      </w:r>
      <w:r w:rsidRPr="00117EEC">
        <w:rPr>
          <w:kern w:val="22"/>
        </w:rPr>
        <w:t xml:space="preserve">Biodiversity and the </w:t>
      </w:r>
      <w:r w:rsidRPr="00322D2B">
        <w:rPr>
          <w:kern w:val="22"/>
        </w:rPr>
        <w:t>eighth International Conference on Sustainability</w:t>
      </w:r>
      <w:r w:rsidR="00100C77">
        <w:rPr>
          <w:kern w:val="22"/>
        </w:rPr>
        <w:t xml:space="preserve"> Science</w:t>
      </w:r>
      <w:r w:rsidRPr="00117EEC">
        <w:rPr>
          <w:kern w:val="22"/>
        </w:rPr>
        <w:t>;</w:t>
      </w:r>
      <w:r w:rsidRPr="00117EEC">
        <w:rPr>
          <w:rStyle w:val="FootnoteReference"/>
          <w:rFonts w:eastAsiaTheme="minorEastAsia"/>
          <w:kern w:val="22"/>
          <w:szCs w:val="22"/>
        </w:rPr>
        <w:footnoteReference w:id="12"/>
      </w:r>
    </w:p>
    <w:p w14:paraId="11845C52" w14:textId="2E8B956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i/>
          <w:kern w:val="22"/>
        </w:rPr>
      </w:pPr>
      <w:r w:rsidRPr="00D71EDE">
        <w:rPr>
          <w:kern w:val="22"/>
        </w:rPr>
        <w:t>2</w:t>
      </w:r>
      <w:r>
        <w:rPr>
          <w:kern w:val="22"/>
        </w:rPr>
        <w:t>7</w:t>
      </w:r>
      <w:r w:rsidRPr="00117EEC">
        <w:rPr>
          <w:kern w:val="22"/>
        </w:rPr>
        <w:t>.</w:t>
      </w:r>
      <w:r w:rsidRPr="00117EEC">
        <w:rPr>
          <w:kern w:val="22"/>
        </w:rPr>
        <w:tab/>
      </w:r>
      <w:r>
        <w:rPr>
          <w:kern w:val="22"/>
        </w:rPr>
        <w:tab/>
      </w:r>
      <w:r w:rsidRPr="00117EEC">
        <w:rPr>
          <w:i/>
          <w:iCs/>
          <w:kern w:val="22"/>
        </w:rPr>
        <w:t>Urges</w:t>
      </w:r>
      <w:r w:rsidRPr="00117EEC">
        <w:rPr>
          <w:kern w:val="22"/>
        </w:rPr>
        <w:t xml:space="preserve"> Parties,</w:t>
      </w:r>
      <w:r w:rsidR="00A21440">
        <w:rPr>
          <w:kern w:val="22"/>
        </w:rPr>
        <w:t xml:space="preserve"> </w:t>
      </w:r>
      <w:r w:rsidRPr="00117EEC">
        <w:rPr>
          <w:kern w:val="22"/>
        </w:rPr>
        <w:t xml:space="preserve">and </w:t>
      </w:r>
      <w:r w:rsidRPr="006D7A92">
        <w:rPr>
          <w:iCs/>
          <w:kern w:val="22"/>
        </w:rPr>
        <w:t>invites</w:t>
      </w:r>
      <w:r w:rsidRPr="00117EEC">
        <w:rPr>
          <w:kern w:val="22"/>
        </w:rPr>
        <w:t xml:space="preserve"> other Governments</w:t>
      </w:r>
      <w:r>
        <w:rPr>
          <w:kern w:val="22"/>
        </w:rPr>
        <w:t xml:space="preserve"> and relevant stakeholders</w:t>
      </w:r>
      <w:r w:rsidRPr="00117EEC">
        <w:rPr>
          <w:kern w:val="22"/>
        </w:rPr>
        <w:t xml:space="preserve"> to develop solutions, based on innovative technologies embedded in local contexts, to </w:t>
      </w:r>
      <w:r w:rsidRPr="0081332D">
        <w:rPr>
          <w:kern w:val="22"/>
        </w:rPr>
        <w:t>enhan</w:t>
      </w:r>
      <w:r>
        <w:rPr>
          <w:kern w:val="22"/>
        </w:rPr>
        <w:t>ce</w:t>
      </w:r>
      <w:r w:rsidRPr="0081332D">
        <w:rPr>
          <w:kern w:val="22"/>
        </w:rPr>
        <w:t xml:space="preserve"> the conservation and sustainable use of biological diversity</w:t>
      </w:r>
      <w:r>
        <w:rPr>
          <w:kern w:val="22"/>
        </w:rPr>
        <w:t>,</w:t>
      </w:r>
      <w:r w:rsidRPr="00117EEC">
        <w:rPr>
          <w:kern w:val="22"/>
        </w:rPr>
        <w:t xml:space="preserve"> </w:t>
      </w:r>
      <w:r>
        <w:rPr>
          <w:kern w:val="22"/>
        </w:rPr>
        <w:t xml:space="preserve">and </w:t>
      </w:r>
      <w:r w:rsidRPr="00117EEC">
        <w:rPr>
          <w:kern w:val="22"/>
        </w:rPr>
        <w:t>address</w:t>
      </w:r>
      <w:r w:rsidRPr="0081332D">
        <w:t xml:space="preserve"> </w:t>
      </w:r>
      <w:r>
        <w:rPr>
          <w:kern w:val="22"/>
        </w:rPr>
        <w:t>the goals and targets of the post-202</w:t>
      </w:r>
      <w:r w:rsidR="006203BF">
        <w:rPr>
          <w:kern w:val="22"/>
        </w:rPr>
        <w:t>0</w:t>
      </w:r>
      <w:r>
        <w:rPr>
          <w:kern w:val="22"/>
        </w:rPr>
        <w:t xml:space="preserve"> global biodiversity framework</w:t>
      </w:r>
      <w:r w:rsidRPr="00117EEC">
        <w:rPr>
          <w:kern w:val="22"/>
        </w:rPr>
        <w:t xml:space="preserve"> </w:t>
      </w:r>
      <w:r>
        <w:rPr>
          <w:kern w:val="22"/>
        </w:rPr>
        <w:t xml:space="preserve">and </w:t>
      </w:r>
      <w:r w:rsidRPr="00117EEC">
        <w:rPr>
          <w:kern w:val="22"/>
        </w:rPr>
        <w:t xml:space="preserve">the Sustainable Development Goals, and to scale them up at </w:t>
      </w:r>
      <w:r>
        <w:rPr>
          <w:kern w:val="22"/>
        </w:rPr>
        <w:t xml:space="preserve">the </w:t>
      </w:r>
      <w:r w:rsidRPr="00117EEC">
        <w:rPr>
          <w:kern w:val="22"/>
        </w:rPr>
        <w:t>national</w:t>
      </w:r>
      <w:r>
        <w:rPr>
          <w:kern w:val="22"/>
        </w:rPr>
        <w:t>,</w:t>
      </w:r>
      <w:r w:rsidRPr="00117EEC">
        <w:rPr>
          <w:kern w:val="22"/>
        </w:rPr>
        <w:t xml:space="preserve"> regional</w:t>
      </w:r>
      <w:r>
        <w:rPr>
          <w:kern w:val="22"/>
        </w:rPr>
        <w:t xml:space="preserve"> and subregional</w:t>
      </w:r>
      <w:r w:rsidRPr="00117EEC">
        <w:rPr>
          <w:kern w:val="22"/>
        </w:rPr>
        <w:t xml:space="preserve"> </w:t>
      </w:r>
      <w:proofErr w:type="gramStart"/>
      <w:r w:rsidRPr="00117EEC">
        <w:rPr>
          <w:kern w:val="22"/>
        </w:rPr>
        <w:t>levels;</w:t>
      </w:r>
      <w:proofErr w:type="gramEnd"/>
    </w:p>
    <w:p w14:paraId="1DD6788D" w14:textId="7B5780EB"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kern w:val="22"/>
        </w:rPr>
      </w:pPr>
      <w:r w:rsidRPr="00117EEC">
        <w:rPr>
          <w:kern w:val="22"/>
        </w:rPr>
        <w:t>[2</w:t>
      </w:r>
      <w:r>
        <w:rPr>
          <w:kern w:val="22"/>
        </w:rPr>
        <w:t>8</w:t>
      </w:r>
      <w:r w:rsidRPr="00117EEC">
        <w:rPr>
          <w:kern w:val="22"/>
        </w:rPr>
        <w:t>.</w:t>
      </w:r>
      <w:r w:rsidRPr="00117EEC">
        <w:rPr>
          <w:kern w:val="22"/>
        </w:rPr>
        <w:tab/>
      </w:r>
      <w:r w:rsidRPr="00117EEC">
        <w:rPr>
          <w:i/>
          <w:iCs/>
          <w:kern w:val="22"/>
        </w:rPr>
        <w:t xml:space="preserve">Decides </w:t>
      </w:r>
      <w:r w:rsidRPr="00117EEC">
        <w:rPr>
          <w:kern w:val="22"/>
        </w:rPr>
        <w:t xml:space="preserve">to establish an </w:t>
      </w:r>
      <w:r>
        <w:rPr>
          <w:kern w:val="22"/>
        </w:rPr>
        <w:t>i</w:t>
      </w:r>
      <w:r w:rsidRPr="00117EEC">
        <w:rPr>
          <w:kern w:val="22"/>
        </w:rPr>
        <w:t xml:space="preserve">nformal </w:t>
      </w:r>
      <w:r>
        <w:rPr>
          <w:kern w:val="22"/>
        </w:rPr>
        <w:t>a</w:t>
      </w:r>
      <w:r w:rsidRPr="00117EEC">
        <w:rPr>
          <w:kern w:val="22"/>
        </w:rPr>
        <w:t xml:space="preserve">dvisory </w:t>
      </w:r>
      <w:r>
        <w:rPr>
          <w:kern w:val="22"/>
        </w:rPr>
        <w:t>g</w:t>
      </w:r>
      <w:r w:rsidRPr="00117EEC">
        <w:rPr>
          <w:kern w:val="22"/>
        </w:rPr>
        <w:t xml:space="preserve">roup on </w:t>
      </w:r>
      <w:r>
        <w:rPr>
          <w:kern w:val="22"/>
        </w:rPr>
        <w:t>t</w:t>
      </w:r>
      <w:r w:rsidRPr="00117EEC">
        <w:rPr>
          <w:kern w:val="22"/>
        </w:rPr>
        <w:t xml:space="preserve">echnical and </w:t>
      </w:r>
      <w:r>
        <w:rPr>
          <w:kern w:val="22"/>
        </w:rPr>
        <w:t>s</w:t>
      </w:r>
      <w:r w:rsidRPr="00117EEC">
        <w:rPr>
          <w:kern w:val="22"/>
        </w:rPr>
        <w:t xml:space="preserve">cientific </w:t>
      </w:r>
      <w:r>
        <w:rPr>
          <w:kern w:val="22"/>
        </w:rPr>
        <w:t>c</w:t>
      </w:r>
      <w:r w:rsidRPr="00117EEC">
        <w:rPr>
          <w:kern w:val="22"/>
        </w:rPr>
        <w:t xml:space="preserve">ooperation, to provide strategic advice on practical measures, </w:t>
      </w:r>
      <w:proofErr w:type="gramStart"/>
      <w:r w:rsidRPr="00117EEC">
        <w:rPr>
          <w:kern w:val="22"/>
        </w:rPr>
        <w:t>tools</w:t>
      </w:r>
      <w:proofErr w:type="gramEnd"/>
      <w:r w:rsidRPr="00117EEC">
        <w:rPr>
          <w:kern w:val="22"/>
        </w:rPr>
        <w:t xml:space="preserve"> and opportunities to promote and facilitate technical and scientific cooperation in accordance with the terms of reference contained in annex </w:t>
      </w:r>
      <w:r>
        <w:rPr>
          <w:kern w:val="22"/>
        </w:rPr>
        <w:t>III</w:t>
      </w:r>
      <w:r w:rsidRPr="00117EEC">
        <w:rPr>
          <w:kern w:val="22"/>
        </w:rPr>
        <w:t xml:space="preserve"> below;]</w:t>
      </w:r>
    </w:p>
    <w:p w14:paraId="47DB8CFE" w14:textId="3BEF67C9" w:rsidR="00D87A9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kern w:val="22"/>
          <w:szCs w:val="22"/>
        </w:rPr>
      </w:pPr>
      <w:r w:rsidRPr="00117EEC">
        <w:rPr>
          <w:rFonts w:eastAsiaTheme="minorEastAsia"/>
          <w:kern w:val="22"/>
          <w:szCs w:val="22"/>
        </w:rPr>
        <w:t>[</w:t>
      </w:r>
      <w:r>
        <w:rPr>
          <w:rFonts w:eastAsiaTheme="minorEastAsia"/>
          <w:kern w:val="22"/>
          <w:szCs w:val="22"/>
        </w:rPr>
        <w:t>29</w:t>
      </w:r>
      <w:r w:rsidRPr="00117EEC">
        <w:rPr>
          <w:rFonts w:eastAsiaTheme="minorEastAsia"/>
          <w:kern w:val="22"/>
          <w:szCs w:val="22"/>
        </w:rPr>
        <w:t>.</w:t>
      </w:r>
      <w:r w:rsidRPr="00117EEC">
        <w:rPr>
          <w:rFonts w:eastAsiaTheme="minorEastAsia"/>
          <w:kern w:val="22"/>
          <w:szCs w:val="22"/>
        </w:rPr>
        <w:tab/>
      </w:r>
      <w:r w:rsidRPr="00117EEC">
        <w:rPr>
          <w:rFonts w:eastAsiaTheme="minorEastAsia"/>
          <w:i/>
          <w:iCs/>
          <w:kern w:val="22"/>
          <w:szCs w:val="22"/>
        </w:rPr>
        <w:t>Also</w:t>
      </w:r>
      <w:r w:rsidRPr="00117EEC">
        <w:rPr>
          <w:i/>
          <w:iCs/>
          <w:kern w:val="22"/>
          <w:szCs w:val="22"/>
        </w:rPr>
        <w:t xml:space="preserve"> decides</w:t>
      </w:r>
      <w:r w:rsidRPr="00117EEC">
        <w:rPr>
          <w:kern w:val="22"/>
          <w:szCs w:val="22"/>
        </w:rPr>
        <w:t xml:space="preserve">, </w:t>
      </w:r>
      <w:r w:rsidRPr="00117EEC">
        <w:rPr>
          <w:rFonts w:eastAsiaTheme="minorEastAsia"/>
          <w:kern w:val="22"/>
          <w:szCs w:val="22"/>
        </w:rPr>
        <w:t xml:space="preserve">in light of the </w:t>
      </w:r>
      <w:r w:rsidRPr="00117EEC">
        <w:rPr>
          <w:kern w:val="22"/>
          <w:szCs w:val="22"/>
        </w:rPr>
        <w:t>advantages, disadvantages and costs presented in document CBD/SBI/3/INF/16, to pursue [option B] [a hybrid of] [options A and B] [options B and C] of the institutional mechanisms to promote and facilitate technical and scientific cooperation proposed in section IV of annex</w:t>
      </w:r>
      <w:r>
        <w:rPr>
          <w:kern w:val="22"/>
          <w:szCs w:val="22"/>
        </w:rPr>
        <w:t> </w:t>
      </w:r>
      <w:r w:rsidRPr="00117EEC">
        <w:rPr>
          <w:kern w:val="22"/>
          <w:szCs w:val="22"/>
        </w:rPr>
        <w:t>II below, whereby a global technical and scientific cooperation support centre would work together with a network of regional support centres, other relevant organizations, and indigenous peoples and local communities;]</w:t>
      </w:r>
    </w:p>
    <w:p w14:paraId="4CBCC8F6" w14:textId="6A6D5BEA" w:rsidR="00D87A97"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kern w:val="22"/>
          <w:szCs w:val="22"/>
        </w:rPr>
      </w:pPr>
      <w:r w:rsidRPr="00631432">
        <w:rPr>
          <w:kern w:val="22"/>
          <w:szCs w:val="22"/>
        </w:rPr>
        <w:t>[30.</w:t>
      </w:r>
      <w:r>
        <w:rPr>
          <w:i/>
          <w:iCs/>
          <w:kern w:val="22"/>
          <w:szCs w:val="22"/>
        </w:rPr>
        <w:tab/>
      </w:r>
      <w:r w:rsidRPr="00631432">
        <w:rPr>
          <w:i/>
          <w:iCs/>
          <w:kern w:val="22"/>
          <w:szCs w:val="22"/>
        </w:rPr>
        <w:t>Decides</w:t>
      </w:r>
      <w:r w:rsidRPr="00631432">
        <w:rPr>
          <w:kern w:val="22"/>
          <w:szCs w:val="22"/>
        </w:rPr>
        <w:t xml:space="preserve"> in the interim to strengthen and upscale the Bio-Bridge Initiative for the coming biennium, subject to </w:t>
      </w:r>
      <w:r w:rsidR="00A61E99">
        <w:rPr>
          <w:kern w:val="22"/>
          <w:szCs w:val="22"/>
        </w:rPr>
        <w:t xml:space="preserve">the </w:t>
      </w:r>
      <w:r w:rsidRPr="00631432">
        <w:rPr>
          <w:kern w:val="22"/>
          <w:szCs w:val="22"/>
        </w:rPr>
        <w:t>availab</w:t>
      </w:r>
      <w:r w:rsidR="00A61E99">
        <w:rPr>
          <w:kern w:val="22"/>
          <w:szCs w:val="22"/>
        </w:rPr>
        <w:t>ility of</w:t>
      </w:r>
      <w:r w:rsidRPr="00631432">
        <w:rPr>
          <w:kern w:val="22"/>
          <w:szCs w:val="22"/>
        </w:rPr>
        <w:t xml:space="preserve"> resources, and</w:t>
      </w:r>
      <w:r w:rsidRPr="00631432">
        <w:rPr>
          <w:i/>
          <w:iCs/>
          <w:kern w:val="22"/>
          <w:szCs w:val="22"/>
        </w:rPr>
        <w:t xml:space="preserve"> </w:t>
      </w:r>
      <w:r w:rsidRPr="006D7A92">
        <w:rPr>
          <w:kern w:val="22"/>
          <w:szCs w:val="22"/>
        </w:rPr>
        <w:t>urges</w:t>
      </w:r>
      <w:r w:rsidRPr="00631432">
        <w:rPr>
          <w:kern w:val="22"/>
          <w:szCs w:val="22"/>
        </w:rPr>
        <w:t xml:space="preserve"> Parties, other Governments, relevant organizations and other stakeholders to scale up financial, technical and human resources to further promote technical and scientific cooperation and technology transfer in support of the post</w:t>
      </w:r>
      <w:r w:rsidR="00E84EA8">
        <w:rPr>
          <w:kern w:val="22"/>
          <w:szCs w:val="22"/>
        </w:rPr>
        <w:noBreakHyphen/>
      </w:r>
      <w:r w:rsidRPr="00631432">
        <w:rPr>
          <w:kern w:val="22"/>
          <w:szCs w:val="22"/>
        </w:rPr>
        <w:t xml:space="preserve">2020 </w:t>
      </w:r>
      <w:r>
        <w:rPr>
          <w:kern w:val="22"/>
          <w:szCs w:val="22"/>
        </w:rPr>
        <w:t>g</w:t>
      </w:r>
      <w:r w:rsidRPr="00631432">
        <w:rPr>
          <w:kern w:val="22"/>
          <w:szCs w:val="22"/>
        </w:rPr>
        <w:t xml:space="preserve">lobal </w:t>
      </w:r>
      <w:r>
        <w:rPr>
          <w:kern w:val="22"/>
          <w:szCs w:val="22"/>
        </w:rPr>
        <w:t>b</w:t>
      </w:r>
      <w:r w:rsidRPr="00631432">
        <w:rPr>
          <w:kern w:val="22"/>
          <w:szCs w:val="22"/>
        </w:rPr>
        <w:t xml:space="preserve">iodiversity </w:t>
      </w:r>
      <w:r>
        <w:rPr>
          <w:kern w:val="22"/>
          <w:szCs w:val="22"/>
        </w:rPr>
        <w:t>f</w:t>
      </w:r>
      <w:r w:rsidRPr="00631432">
        <w:rPr>
          <w:kern w:val="22"/>
          <w:szCs w:val="22"/>
        </w:rPr>
        <w:t>ramework, at the global, national, regional, and subregional levels, taking into account the results of the terminal evaluation of phase I of the Initiative;]</w:t>
      </w:r>
      <w:bookmarkStart w:id="5" w:name="_Hlk98438639"/>
      <w:bookmarkStart w:id="6" w:name="_Hlk98484238"/>
    </w:p>
    <w:p w14:paraId="0176534C"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kern w:val="22"/>
          <w:szCs w:val="22"/>
        </w:rPr>
      </w:pPr>
      <w:r w:rsidRPr="006E486B">
        <w:rPr>
          <w:rStyle w:val="FootnoteReference"/>
          <w:kern w:val="22"/>
          <w:szCs w:val="22"/>
        </w:rPr>
        <w:footnoteReference w:customMarkFollows="1" w:id="13"/>
        <w:t>**</w:t>
      </w:r>
      <w:r w:rsidRPr="00F87AF8">
        <w:rPr>
          <w:kern w:val="22"/>
          <w:szCs w:val="22"/>
        </w:rPr>
        <w:t>[</w:t>
      </w:r>
      <w:r w:rsidRPr="00631432">
        <w:rPr>
          <w:kern w:val="22"/>
          <w:szCs w:val="22"/>
        </w:rPr>
        <w:t>3</w:t>
      </w:r>
      <w:r>
        <w:rPr>
          <w:kern w:val="22"/>
          <w:szCs w:val="22"/>
        </w:rPr>
        <w:t>1</w:t>
      </w:r>
      <w:r w:rsidRPr="00631432">
        <w:rPr>
          <w:kern w:val="22"/>
          <w:szCs w:val="22"/>
        </w:rPr>
        <w:t>.</w:t>
      </w:r>
      <w:r>
        <w:rPr>
          <w:i/>
          <w:iCs/>
          <w:kern w:val="22"/>
          <w:szCs w:val="22"/>
        </w:rPr>
        <w:tab/>
      </w:r>
      <w:r w:rsidRPr="00631432">
        <w:rPr>
          <w:i/>
          <w:iCs/>
          <w:kern w:val="22"/>
          <w:szCs w:val="22"/>
        </w:rPr>
        <w:t>Request</w:t>
      </w:r>
      <w:r>
        <w:rPr>
          <w:i/>
          <w:iCs/>
          <w:kern w:val="22"/>
          <w:szCs w:val="22"/>
        </w:rPr>
        <w:t>s</w:t>
      </w:r>
      <w:r w:rsidRPr="00631432">
        <w:rPr>
          <w:i/>
          <w:iCs/>
          <w:kern w:val="22"/>
          <w:szCs w:val="22"/>
        </w:rPr>
        <w:t xml:space="preserve"> </w:t>
      </w:r>
      <w:r w:rsidRPr="00631432">
        <w:rPr>
          <w:kern w:val="22"/>
          <w:szCs w:val="22"/>
        </w:rPr>
        <w:t>the Subsidiary Body on Implementation</w:t>
      </w:r>
      <w:r w:rsidRPr="00631432">
        <w:rPr>
          <w:i/>
          <w:iCs/>
          <w:kern w:val="22"/>
          <w:szCs w:val="22"/>
        </w:rPr>
        <w:t xml:space="preserve"> </w:t>
      </w:r>
      <w:r w:rsidRPr="00631432">
        <w:rPr>
          <w:kern w:val="22"/>
          <w:szCs w:val="22"/>
        </w:rPr>
        <w:t xml:space="preserve">at its fourth meeting to consider proposals to strengthen </w:t>
      </w:r>
      <w:r>
        <w:rPr>
          <w:kern w:val="22"/>
          <w:szCs w:val="22"/>
        </w:rPr>
        <w:t>technical and scientific cooperation,</w:t>
      </w:r>
      <w:r w:rsidRPr="00631432">
        <w:rPr>
          <w:kern w:val="22"/>
          <w:szCs w:val="22"/>
        </w:rPr>
        <w:t xml:space="preserve"> including establishment or designation of the necessary institutional mechanisms and the criteria and modalities for the selection of entities and organizations to implement the mechanisms on the basis of the options contained </w:t>
      </w:r>
      <w:r w:rsidRPr="005A0091">
        <w:rPr>
          <w:kern w:val="22"/>
          <w:szCs w:val="22"/>
        </w:rPr>
        <w:t xml:space="preserve">in section </w:t>
      </w:r>
      <w:r w:rsidRPr="00C07F07">
        <w:rPr>
          <w:kern w:val="22"/>
          <w:szCs w:val="22"/>
        </w:rPr>
        <w:t>IV</w:t>
      </w:r>
      <w:r>
        <w:rPr>
          <w:kern w:val="22"/>
          <w:szCs w:val="22"/>
        </w:rPr>
        <w:t xml:space="preserve"> of</w:t>
      </w:r>
      <w:r w:rsidRPr="005A0091">
        <w:rPr>
          <w:kern w:val="22"/>
          <w:szCs w:val="22"/>
        </w:rPr>
        <w:t xml:space="preserve"> annex</w:t>
      </w:r>
      <w:r>
        <w:rPr>
          <w:kern w:val="22"/>
          <w:szCs w:val="22"/>
        </w:rPr>
        <w:t> </w:t>
      </w:r>
      <w:r w:rsidRPr="005A0091">
        <w:rPr>
          <w:kern w:val="22"/>
          <w:szCs w:val="22"/>
        </w:rPr>
        <w:t>II, taking into account the analysis presented in document CBD/SBI/3/INF/16 and the results of the review, and make recommendations for consideration by the Conference of the Part</w:t>
      </w:r>
      <w:r w:rsidRPr="00631432">
        <w:rPr>
          <w:kern w:val="22"/>
          <w:szCs w:val="22"/>
        </w:rPr>
        <w:t>ies at its sixteenth meeting</w:t>
      </w:r>
      <w:r>
        <w:rPr>
          <w:kern w:val="22"/>
          <w:szCs w:val="22"/>
        </w:rPr>
        <w:t>;</w:t>
      </w:r>
      <w:r w:rsidRPr="00631432">
        <w:rPr>
          <w:kern w:val="22"/>
          <w:szCs w:val="22"/>
        </w:rPr>
        <w:t>]</w:t>
      </w:r>
      <w:bookmarkEnd w:id="5"/>
      <w:bookmarkEnd w:id="6"/>
    </w:p>
    <w:p w14:paraId="33663A7D" w14:textId="41EB9559"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szCs w:val="22"/>
        </w:rPr>
      </w:pPr>
      <w:r w:rsidRPr="00117EEC">
        <w:rPr>
          <w:kern w:val="22"/>
          <w:szCs w:val="22"/>
        </w:rPr>
        <w:t>[3</w:t>
      </w:r>
      <w:r>
        <w:rPr>
          <w:kern w:val="22"/>
          <w:szCs w:val="22"/>
        </w:rPr>
        <w:t>2</w:t>
      </w:r>
      <w:r w:rsidRPr="00117EEC">
        <w:rPr>
          <w:kern w:val="22"/>
          <w:szCs w:val="22"/>
        </w:rPr>
        <w:t>.</w:t>
      </w:r>
      <w:r w:rsidRPr="00117EEC">
        <w:rPr>
          <w:kern w:val="22"/>
          <w:szCs w:val="22"/>
        </w:rPr>
        <w:tab/>
      </w:r>
      <w:r w:rsidRPr="00117EEC">
        <w:rPr>
          <w:i/>
          <w:iCs/>
          <w:kern w:val="22"/>
          <w:szCs w:val="22"/>
        </w:rPr>
        <w:t>Invites</w:t>
      </w:r>
      <w:r w:rsidRPr="00117EEC">
        <w:rPr>
          <w:kern w:val="22"/>
          <w:szCs w:val="22"/>
        </w:rPr>
        <w:t xml:space="preserve"> the United Nations Environment Programme to establish, in collaboration with relevant organizations [and indigenous peoples and local communities], the global technical and scientific cooperation support centre for biodiversity to catalyse, facilitate and enhance technical and scientific cooperation and technology transfer, [ensuring equitable geographic coverage,] to support [the implementation of the three objectives of the Convention and the] achievement of the goals and </w:t>
      </w:r>
      <w:r w:rsidRPr="00117EEC">
        <w:rPr>
          <w:kern w:val="22"/>
          <w:szCs w:val="22"/>
        </w:rPr>
        <w:lastRenderedPageBreak/>
        <w:t>targets of the post-2020 global biodiversity framework [and of the 2030 Agenda for Sustainable Development,</w:t>
      </w:r>
      <w:r w:rsidRPr="00117EEC">
        <w:rPr>
          <w:vertAlign w:val="superscript"/>
        </w:rPr>
        <w:footnoteReference w:id="14"/>
      </w:r>
      <w:r w:rsidRPr="00117EEC">
        <w:rPr>
          <w:kern w:val="22"/>
          <w:szCs w:val="22"/>
        </w:rPr>
        <w:t>]</w:t>
      </w:r>
      <w:r w:rsidRPr="00694029">
        <w:rPr>
          <w:kern w:val="22"/>
          <w:szCs w:val="22"/>
        </w:rPr>
        <w:t xml:space="preserve"> </w:t>
      </w:r>
      <w:r w:rsidRPr="004E35D7">
        <w:rPr>
          <w:kern w:val="22"/>
          <w:szCs w:val="22"/>
        </w:rPr>
        <w:t>[</w:t>
      </w:r>
      <w:r w:rsidRPr="00D71EDE">
        <w:rPr>
          <w:kern w:val="22"/>
          <w:szCs w:val="22"/>
        </w:rPr>
        <w:t xml:space="preserve">in line with Articles 16, 18 and 19 </w:t>
      </w:r>
      <w:r w:rsidRPr="00064579">
        <w:rPr>
          <w:kern w:val="22"/>
          <w:szCs w:val="22"/>
        </w:rPr>
        <w:t>of the Convention,</w:t>
      </w:r>
      <w:r w:rsidRPr="00117EEC">
        <w:rPr>
          <w:kern w:val="22"/>
          <w:szCs w:val="22"/>
        </w:rPr>
        <w:t>] drawing on the lessons learned from, and maximizing synergies with [other technology transfer initiatives and mechanisms, including] the Climate Technology Centre and Network [</w:t>
      </w:r>
      <w:r>
        <w:rPr>
          <w:kern w:val="22"/>
          <w:szCs w:val="22"/>
        </w:rPr>
        <w:t>,</w:t>
      </w:r>
      <w:r w:rsidR="00C21C92">
        <w:rPr>
          <w:kern w:val="22"/>
          <w:szCs w:val="22"/>
        </w:rPr>
        <w:t xml:space="preserve"> </w:t>
      </w:r>
      <w:r w:rsidRPr="00117EEC">
        <w:rPr>
          <w:kern w:val="22"/>
          <w:szCs w:val="22"/>
        </w:rPr>
        <w:t xml:space="preserve">the BIOPAMA Regional Observatories and Reference Information Systems, the technology facilitation mechanism under the </w:t>
      </w:r>
      <w:r w:rsidRPr="00884F74">
        <w:rPr>
          <w:kern w:val="22"/>
          <w:szCs w:val="22"/>
        </w:rPr>
        <w:t>2030</w:t>
      </w:r>
      <w:r>
        <w:rPr>
          <w:kern w:val="22"/>
          <w:szCs w:val="22"/>
        </w:rPr>
        <w:t xml:space="preserve"> </w:t>
      </w:r>
      <w:r w:rsidRPr="00117EEC">
        <w:rPr>
          <w:kern w:val="22"/>
          <w:szCs w:val="22"/>
        </w:rPr>
        <w:t>Agenda, WIPO GREEN, and others, and to clearly define the costs of the centre in order to mobilize the necessary funds for its operations];]</w:t>
      </w:r>
    </w:p>
    <w:p w14:paraId="73DEA9DF" w14:textId="006C0E4E"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szCs w:val="22"/>
        </w:rPr>
      </w:pPr>
      <w:r w:rsidRPr="00117EEC">
        <w:rPr>
          <w:kern w:val="22"/>
        </w:rPr>
        <w:t>[3</w:t>
      </w:r>
      <w:r>
        <w:rPr>
          <w:kern w:val="22"/>
        </w:rPr>
        <w:t>3</w:t>
      </w:r>
      <w:r w:rsidRPr="00117EEC">
        <w:rPr>
          <w:kern w:val="22"/>
        </w:rPr>
        <w:t>.</w:t>
      </w:r>
      <w:r w:rsidRPr="00117EEC">
        <w:rPr>
          <w:kern w:val="22"/>
        </w:rPr>
        <w:tab/>
        <w:t>[</w:t>
      </w:r>
      <w:r w:rsidRPr="00117EEC">
        <w:rPr>
          <w:i/>
          <w:iCs/>
          <w:kern w:val="22"/>
        </w:rPr>
        <w:t>Decides</w:t>
      </w:r>
      <w:r w:rsidRPr="00117EEC">
        <w:rPr>
          <w:kern w:val="22"/>
        </w:rPr>
        <w:t>][</w:t>
      </w:r>
      <w:r w:rsidRPr="00117EEC">
        <w:rPr>
          <w:i/>
          <w:iCs/>
          <w:kern w:val="22"/>
        </w:rPr>
        <w:t>Proposes</w:t>
      </w:r>
      <w:r w:rsidRPr="00117EEC">
        <w:rPr>
          <w:kern w:val="22"/>
        </w:rPr>
        <w:t>]</w:t>
      </w:r>
      <w:r w:rsidRPr="00117EEC">
        <w:rPr>
          <w:i/>
          <w:iCs/>
          <w:kern w:val="22"/>
        </w:rPr>
        <w:t xml:space="preserve"> </w:t>
      </w:r>
      <w:r w:rsidRPr="00117EEC">
        <w:rPr>
          <w:kern w:val="22"/>
          <w:szCs w:val="22"/>
        </w:rPr>
        <w:t>that the core functions of [the global support centre and] the regional support centres and organizations, will be [carried out in coordination with the Secretariat and in line with the long-term strategic framework for capacity</w:t>
      </w:r>
      <w:r w:rsidRPr="00117EEC">
        <w:rPr>
          <w:kern w:val="22"/>
          <w:szCs w:val="22"/>
        </w:rPr>
        <w:noBreakHyphen/>
        <w:t>building and development to support the implementation of the post-2020 global biodiversity framework</w:t>
      </w:r>
      <w:r w:rsidR="00417872">
        <w:rPr>
          <w:kern w:val="22"/>
          <w:szCs w:val="22"/>
        </w:rPr>
        <w:t>:</w:t>
      </w:r>
      <w:r w:rsidRPr="00117EEC">
        <w:rPr>
          <w:kern w:val="22"/>
          <w:szCs w:val="22"/>
        </w:rPr>
        <w:t>]</w:t>
      </w:r>
    </w:p>
    <w:p w14:paraId="4027BAE6"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snapToGrid w:val="0"/>
          <w:color w:val="000000" w:themeColor="text1"/>
          <w:kern w:val="22"/>
          <w:szCs w:val="22"/>
        </w:rPr>
      </w:pPr>
      <w:r w:rsidRPr="00117EEC">
        <w:rPr>
          <w:snapToGrid w:val="0"/>
          <w:color w:val="000000" w:themeColor="text1"/>
          <w:kern w:val="22"/>
          <w:szCs w:val="22"/>
        </w:rPr>
        <w:t>[(a)</w:t>
      </w:r>
      <w:r w:rsidRPr="00117EEC">
        <w:rPr>
          <w:snapToGrid w:val="0"/>
          <w:color w:val="000000" w:themeColor="text1"/>
          <w:kern w:val="22"/>
          <w:szCs w:val="22"/>
        </w:rPr>
        <w:tab/>
        <w:t>To promote and facilitate, [on a demand-driven basis,] technical and scientific cooperation and technology transfer</w:t>
      </w:r>
      <w:r w:rsidRPr="00117EEC" w:rsidDel="00710A01">
        <w:rPr>
          <w:snapToGrid w:val="0"/>
          <w:color w:val="000000" w:themeColor="text1"/>
          <w:kern w:val="22"/>
          <w:szCs w:val="22"/>
        </w:rPr>
        <w:t xml:space="preserve"> </w:t>
      </w:r>
      <w:r w:rsidRPr="00117EEC">
        <w:rPr>
          <w:snapToGrid w:val="0"/>
          <w:color w:val="000000" w:themeColor="text1"/>
          <w:kern w:val="22"/>
          <w:szCs w:val="22"/>
        </w:rPr>
        <w:t>among Parties, [especially from developed country Parties to developing country Parties,] [to support the implementation of [the Convention and] the post-2020 global biodiversity framework], [including through joint research programmes and joint ventures for the development of technologies relevant to the objectives of this Convention];]</w:t>
      </w:r>
    </w:p>
    <w:p w14:paraId="4F39D48F" w14:textId="152755B4"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color w:val="000000" w:themeColor="text1"/>
          <w:kern w:val="22"/>
          <w:szCs w:val="22"/>
        </w:rPr>
      </w:pPr>
      <w:r w:rsidRPr="00117EEC">
        <w:rPr>
          <w:snapToGrid w:val="0"/>
          <w:color w:val="000000" w:themeColor="text1"/>
          <w:kern w:val="22"/>
          <w:szCs w:val="22"/>
        </w:rPr>
        <w:t>[(b)</w:t>
      </w:r>
      <w:r w:rsidRPr="00117EEC">
        <w:rPr>
          <w:snapToGrid w:val="0"/>
          <w:color w:val="000000" w:themeColor="text1"/>
          <w:kern w:val="22"/>
          <w:szCs w:val="22"/>
        </w:rPr>
        <w:tab/>
        <w:t xml:space="preserve">To provide a “one-stop service centre” for Parties to biodiversity-related conventions [and other multilateral environmental agreements,] </w:t>
      </w:r>
      <w:r w:rsidRPr="00117EEC">
        <w:rPr>
          <w:snapToGrid w:val="0"/>
          <w:kern w:val="22"/>
          <w:szCs w:val="22"/>
        </w:rPr>
        <w:t>indigenous peoples and local communities, [women</w:t>
      </w:r>
      <w:r w:rsidR="00F05816">
        <w:rPr>
          <w:snapToGrid w:val="0"/>
          <w:kern w:val="22"/>
          <w:szCs w:val="22"/>
        </w:rPr>
        <w:t>’s</w:t>
      </w:r>
      <w:r w:rsidRPr="00117EEC">
        <w:rPr>
          <w:snapToGrid w:val="0"/>
          <w:kern w:val="22"/>
          <w:szCs w:val="22"/>
        </w:rPr>
        <w:t xml:space="preserve"> and youth organizations,] and other relevant stakeholders </w:t>
      </w:r>
      <w:r w:rsidRPr="00117EEC">
        <w:rPr>
          <w:snapToGrid w:val="0"/>
          <w:color w:val="000000" w:themeColor="text1"/>
          <w:kern w:val="22"/>
          <w:szCs w:val="22"/>
        </w:rPr>
        <w:t>to access</w:t>
      </w:r>
      <w:r w:rsidRPr="00117EEC">
        <w:rPr>
          <w:snapToGrid w:val="0"/>
          <w:kern w:val="22"/>
          <w:szCs w:val="22"/>
        </w:rPr>
        <w:t xml:space="preserve"> technical and scientific knowledge, expertise, </w:t>
      </w:r>
      <w:proofErr w:type="gramStart"/>
      <w:r w:rsidRPr="00117EEC">
        <w:rPr>
          <w:snapToGrid w:val="0"/>
          <w:kern w:val="22"/>
          <w:szCs w:val="22"/>
        </w:rPr>
        <w:t>tools</w:t>
      </w:r>
      <w:proofErr w:type="gramEnd"/>
      <w:r w:rsidRPr="00117EEC">
        <w:rPr>
          <w:snapToGrid w:val="0"/>
          <w:kern w:val="22"/>
          <w:szCs w:val="22"/>
        </w:rPr>
        <w:t xml:space="preserve"> and other resources, [taking into account the science, technology and innovation capability gaps identified by Parties, especially developing country Parties];]</w:t>
      </w:r>
    </w:p>
    <w:p w14:paraId="789C44F7"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color w:val="000000" w:themeColor="text1"/>
          <w:kern w:val="22"/>
          <w:szCs w:val="22"/>
        </w:rPr>
      </w:pPr>
      <w:r w:rsidRPr="00117EEC">
        <w:rPr>
          <w:snapToGrid w:val="0"/>
          <w:kern w:val="22"/>
          <w:szCs w:val="22"/>
        </w:rPr>
        <w:t>[(c)</w:t>
      </w:r>
      <w:r w:rsidRPr="00117EEC">
        <w:rPr>
          <w:snapToGrid w:val="0"/>
          <w:kern w:val="22"/>
          <w:szCs w:val="22"/>
        </w:rPr>
        <w:tab/>
        <w:t xml:space="preserve">To provide </w:t>
      </w:r>
      <w:r w:rsidRPr="00117EEC">
        <w:rPr>
          <w:snapToGrid w:val="0"/>
          <w:color w:val="000000" w:themeColor="text1"/>
          <w:kern w:val="22"/>
          <w:szCs w:val="22"/>
        </w:rPr>
        <w:t>[Parties, especially developing country Parties,] access to information on opportunities for technical and scientific cooperation, technology transfer and innovations [and effective participation in biotechnological research];]</w:t>
      </w:r>
    </w:p>
    <w:p w14:paraId="1E0EC1D3"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color w:val="000000" w:themeColor="text1"/>
          <w:kern w:val="22"/>
          <w:szCs w:val="22"/>
        </w:rPr>
      </w:pPr>
      <w:r w:rsidRPr="00117EEC">
        <w:rPr>
          <w:snapToGrid w:val="0"/>
          <w:color w:val="000000" w:themeColor="text1"/>
          <w:kern w:val="22"/>
          <w:szCs w:val="22"/>
        </w:rPr>
        <w:t>[(d)</w:t>
      </w:r>
      <w:r w:rsidRPr="00117EEC">
        <w:rPr>
          <w:snapToGrid w:val="0"/>
          <w:color w:val="000000" w:themeColor="text1"/>
          <w:kern w:val="22"/>
          <w:szCs w:val="22"/>
        </w:rPr>
        <w:tab/>
        <w:t xml:space="preserve">To mobilize resources to </w:t>
      </w:r>
      <w:r w:rsidRPr="00117EEC">
        <w:rPr>
          <w:snapToGrid w:val="0"/>
          <w:kern w:val="22"/>
          <w:szCs w:val="22"/>
        </w:rPr>
        <w:t>provide punctual and targeted support for small-scale projects and activities to address specific identified technical and scientific needs</w:t>
      </w:r>
      <w:r w:rsidRPr="00117EEC">
        <w:rPr>
          <w:snapToGrid w:val="0"/>
          <w:color w:val="000000" w:themeColor="text1"/>
          <w:kern w:val="22"/>
          <w:szCs w:val="22"/>
        </w:rPr>
        <w:t>;]</w:t>
      </w:r>
    </w:p>
    <w:p w14:paraId="372E8C80"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kern w:val="22"/>
          <w:szCs w:val="22"/>
        </w:rPr>
      </w:pPr>
      <w:r w:rsidRPr="00117EEC">
        <w:rPr>
          <w:snapToGrid w:val="0"/>
          <w:kern w:val="22"/>
          <w:szCs w:val="22"/>
        </w:rPr>
        <w:t>[(e)</w:t>
      </w:r>
      <w:r w:rsidRPr="00117EEC">
        <w:rPr>
          <w:snapToGrid w:val="0"/>
          <w:kern w:val="22"/>
          <w:szCs w:val="22"/>
        </w:rPr>
        <w:tab/>
        <w:t xml:space="preserve">To facilitate matchmaking between [developing country] Parties with specific needs and [developed country] Parties or organizations in a position to </w:t>
      </w:r>
      <w:proofErr w:type="gramStart"/>
      <w:r w:rsidRPr="00117EEC">
        <w:rPr>
          <w:snapToGrid w:val="0"/>
          <w:kern w:val="22"/>
          <w:szCs w:val="22"/>
        </w:rPr>
        <w:t>provide assistance</w:t>
      </w:r>
      <w:proofErr w:type="gramEnd"/>
      <w:r w:rsidRPr="00117EEC">
        <w:rPr>
          <w:snapToGrid w:val="0"/>
          <w:kern w:val="22"/>
          <w:szCs w:val="22"/>
        </w:rPr>
        <w:t xml:space="preserve"> in response to the priority needs</w:t>
      </w:r>
      <w:r w:rsidRPr="00117EEC">
        <w:t xml:space="preserve"> </w:t>
      </w:r>
      <w:r w:rsidRPr="00117EEC">
        <w:rPr>
          <w:snapToGrid w:val="0"/>
          <w:kern w:val="22"/>
          <w:szCs w:val="22"/>
        </w:rPr>
        <w:t>identified;]</w:t>
      </w:r>
    </w:p>
    <w:p w14:paraId="0FD0E3F8"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kern w:val="22"/>
          <w:szCs w:val="22"/>
        </w:rPr>
      </w:pPr>
      <w:r w:rsidRPr="00117EEC">
        <w:rPr>
          <w:snapToGrid w:val="0"/>
          <w:kern w:val="22"/>
          <w:szCs w:val="22"/>
        </w:rPr>
        <w:t>[(f)</w:t>
      </w:r>
      <w:r w:rsidRPr="00117EEC">
        <w:rPr>
          <w:snapToGrid w:val="0"/>
          <w:kern w:val="22"/>
          <w:szCs w:val="22"/>
        </w:rPr>
        <w:tab/>
      </w:r>
      <w:r>
        <w:rPr>
          <w:snapToGrid w:val="0"/>
          <w:kern w:val="22"/>
          <w:szCs w:val="22"/>
        </w:rPr>
        <w:tab/>
      </w:r>
      <w:r w:rsidRPr="00117EEC">
        <w:rPr>
          <w:snapToGrid w:val="0"/>
          <w:kern w:val="22"/>
          <w:szCs w:val="22"/>
        </w:rPr>
        <w:t>To catalyse and support the development, implementation, monitoring and evaluation of technical and scientific cooperation projects and programmes [that</w:t>
      </w:r>
      <w:proofErr w:type="gramStart"/>
      <w:r w:rsidRPr="00117EEC">
        <w:rPr>
          <w:snapToGrid w:val="0"/>
          <w:kern w:val="22"/>
          <w:szCs w:val="22"/>
        </w:rPr>
        <w:t>][</w:t>
      </w:r>
      <w:proofErr w:type="gramEnd"/>
      <w:r w:rsidRPr="00117EEC">
        <w:rPr>
          <w:snapToGrid w:val="0"/>
          <w:kern w:val="22"/>
          <w:szCs w:val="22"/>
        </w:rPr>
        <w:t>in order to]:</w:t>
      </w:r>
    </w:p>
    <w:p w14:paraId="5BC64FEC" w14:textId="77777777" w:rsidR="00D87A97" w:rsidRPr="00117EEC" w:rsidRDefault="00D87A97" w:rsidP="00D87A97">
      <w:pPr>
        <w:suppressLineNumbers/>
        <w:suppressAutoHyphens/>
        <w:kinsoku w:val="0"/>
        <w:overflowPunct w:val="0"/>
        <w:autoSpaceDE w:val="0"/>
        <w:autoSpaceDN w:val="0"/>
        <w:adjustRightInd w:val="0"/>
        <w:snapToGrid w:val="0"/>
        <w:spacing w:after="120"/>
        <w:ind w:left="2880" w:hanging="720"/>
        <w:rPr>
          <w:snapToGrid w:val="0"/>
          <w:kern w:val="22"/>
          <w:szCs w:val="22"/>
        </w:rPr>
      </w:pPr>
      <w:r w:rsidRPr="00117EEC">
        <w:rPr>
          <w:snapToGrid w:val="0"/>
          <w:kern w:val="22"/>
          <w:szCs w:val="22"/>
        </w:rPr>
        <w:t>(</w:t>
      </w:r>
      <w:proofErr w:type="spellStart"/>
      <w:r w:rsidRPr="00117EEC">
        <w:rPr>
          <w:snapToGrid w:val="0"/>
          <w:kern w:val="22"/>
          <w:szCs w:val="22"/>
        </w:rPr>
        <w:t>i</w:t>
      </w:r>
      <w:proofErr w:type="spellEnd"/>
      <w:r w:rsidRPr="00117EEC">
        <w:rPr>
          <w:snapToGrid w:val="0"/>
          <w:kern w:val="22"/>
          <w:szCs w:val="22"/>
        </w:rPr>
        <w:t>)</w:t>
      </w:r>
      <w:r w:rsidRPr="00117EEC">
        <w:rPr>
          <w:snapToGrid w:val="0"/>
          <w:kern w:val="22"/>
          <w:szCs w:val="22"/>
        </w:rPr>
        <w:tab/>
        <w:t xml:space="preserve">Promote and incubate international and regional cooperation and partnerships using a programmatic </w:t>
      </w:r>
      <w:proofErr w:type="gramStart"/>
      <w:r w:rsidRPr="00117EEC">
        <w:rPr>
          <w:snapToGrid w:val="0"/>
          <w:kern w:val="22"/>
          <w:szCs w:val="22"/>
        </w:rPr>
        <w:t>approach;</w:t>
      </w:r>
      <w:proofErr w:type="gramEnd"/>
    </w:p>
    <w:p w14:paraId="61F4FEBA" w14:textId="77777777" w:rsidR="00D87A97" w:rsidRPr="00117EEC" w:rsidRDefault="00D87A97" w:rsidP="00D87A97">
      <w:pPr>
        <w:suppressLineNumbers/>
        <w:suppressAutoHyphens/>
        <w:kinsoku w:val="0"/>
        <w:overflowPunct w:val="0"/>
        <w:autoSpaceDE w:val="0"/>
        <w:autoSpaceDN w:val="0"/>
        <w:adjustRightInd w:val="0"/>
        <w:snapToGrid w:val="0"/>
        <w:spacing w:after="120"/>
        <w:ind w:left="2880" w:hanging="720"/>
        <w:rPr>
          <w:snapToGrid w:val="0"/>
          <w:kern w:val="22"/>
          <w:szCs w:val="22"/>
        </w:rPr>
      </w:pPr>
      <w:r w:rsidRPr="00117EEC">
        <w:rPr>
          <w:snapToGrid w:val="0"/>
          <w:kern w:val="22"/>
          <w:szCs w:val="22"/>
        </w:rPr>
        <w:t>[(ii)</w:t>
      </w:r>
      <w:r w:rsidRPr="00117EEC">
        <w:rPr>
          <w:snapToGrid w:val="0"/>
          <w:kern w:val="22"/>
          <w:szCs w:val="22"/>
        </w:rPr>
        <w:tab/>
        <w:t xml:space="preserve">Facilitate the development, </w:t>
      </w:r>
      <w:proofErr w:type="gramStart"/>
      <w:r w:rsidRPr="00117EEC">
        <w:rPr>
          <w:snapToGrid w:val="0"/>
          <w:kern w:val="22"/>
          <w:szCs w:val="22"/>
        </w:rPr>
        <w:t>transfer</w:t>
      </w:r>
      <w:proofErr w:type="gramEnd"/>
      <w:r w:rsidRPr="00117EEC">
        <w:rPr>
          <w:snapToGrid w:val="0"/>
          <w:kern w:val="22"/>
          <w:szCs w:val="22"/>
        </w:rPr>
        <w:t xml:space="preserve"> and diffusion of technologies and innovative [national, regional and] local solutions, including [those of indigenous peoples and local communities, with their [free,] prior and informed consent,] through scalable initiatives;]</w:t>
      </w:r>
    </w:p>
    <w:p w14:paraId="0EDD184A" w14:textId="77777777" w:rsidR="00D87A97" w:rsidRPr="00117EEC" w:rsidRDefault="00D87A97" w:rsidP="00D87A97">
      <w:pPr>
        <w:suppressLineNumbers/>
        <w:suppressAutoHyphens/>
        <w:kinsoku w:val="0"/>
        <w:overflowPunct w:val="0"/>
        <w:autoSpaceDE w:val="0"/>
        <w:autoSpaceDN w:val="0"/>
        <w:adjustRightInd w:val="0"/>
        <w:snapToGrid w:val="0"/>
        <w:spacing w:after="120"/>
        <w:ind w:left="2880" w:hanging="720"/>
        <w:rPr>
          <w:snapToGrid w:val="0"/>
          <w:kern w:val="22"/>
          <w:szCs w:val="22"/>
        </w:rPr>
      </w:pPr>
      <w:r w:rsidRPr="00117EEC">
        <w:rPr>
          <w:snapToGrid w:val="0"/>
          <w:kern w:val="22"/>
          <w:szCs w:val="22"/>
        </w:rPr>
        <w:t>[(iii)</w:t>
      </w:r>
      <w:r w:rsidRPr="00117EEC">
        <w:rPr>
          <w:snapToGrid w:val="0"/>
          <w:kern w:val="22"/>
          <w:szCs w:val="22"/>
        </w:rPr>
        <w:tab/>
        <w:t xml:space="preserve">Facilitate access to and utilization of available scientific knowledge, </w:t>
      </w:r>
      <w:proofErr w:type="gramStart"/>
      <w:r w:rsidRPr="00117EEC">
        <w:rPr>
          <w:snapToGrid w:val="0"/>
          <w:kern w:val="22"/>
          <w:szCs w:val="22"/>
        </w:rPr>
        <w:t>information</w:t>
      </w:r>
      <w:proofErr w:type="gramEnd"/>
      <w:r w:rsidRPr="00117EEC">
        <w:rPr>
          <w:snapToGrid w:val="0"/>
          <w:kern w:val="22"/>
          <w:szCs w:val="22"/>
        </w:rPr>
        <w:t xml:space="preserve"> and data, as well as indigenous and traditional knowledge, subject to [free], prior and informed consent;]</w:t>
      </w:r>
    </w:p>
    <w:p w14:paraId="52F985E1"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kern w:val="22"/>
          <w:szCs w:val="22"/>
        </w:rPr>
      </w:pPr>
      <w:r w:rsidRPr="00117EEC">
        <w:rPr>
          <w:snapToGrid w:val="0"/>
          <w:kern w:val="22"/>
          <w:szCs w:val="22"/>
        </w:rPr>
        <w:t>[(g)</w:t>
      </w:r>
      <w:r w:rsidRPr="00117EEC">
        <w:rPr>
          <w:snapToGrid w:val="0"/>
          <w:kern w:val="22"/>
          <w:szCs w:val="22"/>
        </w:rPr>
        <w:tab/>
        <w:t xml:space="preserve">To strengthen capacities </w:t>
      </w:r>
      <w:proofErr w:type="gramStart"/>
      <w:r w:rsidRPr="00117EEC">
        <w:rPr>
          <w:snapToGrid w:val="0"/>
          <w:kern w:val="22"/>
          <w:szCs w:val="22"/>
        </w:rPr>
        <w:t>[</w:t>
      </w:r>
      <w:r>
        <w:rPr>
          <w:snapToGrid w:val="0"/>
          <w:kern w:val="22"/>
          <w:szCs w:val="22"/>
        </w:rPr>
        <w:t>,</w:t>
      </w:r>
      <w:r w:rsidRPr="00117EEC">
        <w:rPr>
          <w:snapToGrid w:val="0"/>
          <w:kern w:val="22"/>
          <w:szCs w:val="22"/>
        </w:rPr>
        <w:t>with</w:t>
      </w:r>
      <w:proofErr w:type="gramEnd"/>
      <w:r w:rsidRPr="00117EEC">
        <w:rPr>
          <w:snapToGrid w:val="0"/>
          <w:kern w:val="22"/>
          <w:szCs w:val="22"/>
        </w:rPr>
        <w:t xml:space="preserve"> an emphasis on innovation,] of regional and national centres to facilitate technical and scientific cooperation;]</w:t>
      </w:r>
    </w:p>
    <w:p w14:paraId="4991EF04"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kern w:val="22"/>
          <w:szCs w:val="22"/>
        </w:rPr>
      </w:pPr>
      <w:r w:rsidRPr="00117EEC">
        <w:rPr>
          <w:snapToGrid w:val="0"/>
          <w:kern w:val="22"/>
          <w:szCs w:val="22"/>
        </w:rPr>
        <w:lastRenderedPageBreak/>
        <w:t>[(h)</w:t>
      </w:r>
      <w:r w:rsidRPr="00117EEC">
        <w:rPr>
          <w:snapToGrid w:val="0"/>
          <w:kern w:val="22"/>
          <w:szCs w:val="22"/>
        </w:rPr>
        <w:tab/>
        <w:t>To facilitate knowledge sharing and organizational learning [through appropriate tools, means and methodologies];]</w:t>
      </w:r>
    </w:p>
    <w:p w14:paraId="7E8B43F7"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snapToGrid w:val="0"/>
          <w:kern w:val="22"/>
        </w:rPr>
      </w:pPr>
      <w:r w:rsidRPr="00117EEC">
        <w:rPr>
          <w:snapToGrid w:val="0"/>
          <w:kern w:val="22"/>
        </w:rPr>
        <w:t>[(</w:t>
      </w:r>
      <w:proofErr w:type="spellStart"/>
      <w:r w:rsidRPr="00117EEC">
        <w:rPr>
          <w:snapToGrid w:val="0"/>
          <w:kern w:val="22"/>
        </w:rPr>
        <w:t>i</w:t>
      </w:r>
      <w:proofErr w:type="spellEnd"/>
      <w:r w:rsidRPr="00117EEC">
        <w:rPr>
          <w:snapToGrid w:val="0"/>
          <w:kern w:val="22"/>
        </w:rPr>
        <w:t>)</w:t>
      </w:r>
      <w:r w:rsidRPr="00117EEC">
        <w:rPr>
          <w:snapToGrid w:val="0"/>
          <w:kern w:val="22"/>
        </w:rPr>
        <w:tab/>
      </w:r>
      <w:r>
        <w:rPr>
          <w:snapToGrid w:val="0"/>
          <w:kern w:val="22"/>
        </w:rPr>
        <w:tab/>
      </w:r>
      <w:r w:rsidRPr="00117EEC">
        <w:rPr>
          <w:snapToGrid w:val="0"/>
          <w:kern w:val="22"/>
        </w:rPr>
        <w:t>To identify, collate and disseminate good practices and lessons learned regarding biodiversity-related technical and scientific cooperation, technology transfer and innovation, [and effective participation in biotechnological research];]</w:t>
      </w:r>
    </w:p>
    <w:p w14:paraId="3FBB60ED"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kern w:val="22"/>
        </w:rPr>
      </w:pPr>
      <w:r w:rsidRPr="00117EEC">
        <w:rPr>
          <w:snapToGrid w:val="0"/>
          <w:kern w:val="22"/>
        </w:rPr>
        <w:t>[(j)</w:t>
      </w:r>
      <w:r w:rsidRPr="00117EEC">
        <w:rPr>
          <w:snapToGrid w:val="0"/>
          <w:kern w:val="22"/>
        </w:rPr>
        <w:tab/>
      </w:r>
      <w:r>
        <w:rPr>
          <w:snapToGrid w:val="0"/>
          <w:kern w:val="22"/>
        </w:rPr>
        <w:tab/>
      </w:r>
      <w:r w:rsidRPr="00117EEC">
        <w:rPr>
          <w:snapToGrid w:val="0"/>
          <w:kern w:val="22"/>
        </w:rPr>
        <w:t>To maximize synergies and collaborate with other technology transfer initiatives and mechanisms;]</w:t>
      </w:r>
    </w:p>
    <w:p w14:paraId="12824A3A"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ind w:left="426" w:firstLine="720"/>
        <w:rPr>
          <w:rFonts w:eastAsiaTheme="minorEastAsia"/>
          <w:snapToGrid w:val="0"/>
          <w:kern w:val="22"/>
        </w:rPr>
      </w:pPr>
      <w:r w:rsidRPr="00117EEC">
        <w:rPr>
          <w:snapToGrid w:val="0"/>
          <w:kern w:val="22"/>
        </w:rPr>
        <w:t>[(k)</w:t>
      </w:r>
      <w:r w:rsidRPr="00117EEC">
        <w:rPr>
          <w:snapToGrid w:val="0"/>
          <w:kern w:val="22"/>
        </w:rPr>
        <w:tab/>
        <w:t>To perform such other activities as may be necessary;]</w:t>
      </w:r>
    </w:p>
    <w:p w14:paraId="2B665CA7"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snapToGrid/>
          <w:kern w:val="22"/>
        </w:rPr>
      </w:pPr>
      <w:r w:rsidRPr="00117EEC">
        <w:rPr>
          <w:kern w:val="22"/>
        </w:rPr>
        <w:t>[3</w:t>
      </w:r>
      <w:r>
        <w:rPr>
          <w:kern w:val="22"/>
        </w:rPr>
        <w:t>4</w:t>
      </w:r>
      <w:r w:rsidRPr="00117EEC">
        <w:rPr>
          <w:kern w:val="22"/>
        </w:rPr>
        <w:t>.</w:t>
      </w:r>
      <w:r w:rsidRPr="00117EEC">
        <w:rPr>
          <w:kern w:val="22"/>
        </w:rPr>
        <w:tab/>
      </w:r>
      <w:r w:rsidRPr="00117EEC">
        <w:rPr>
          <w:i/>
          <w:iCs/>
          <w:kern w:val="22"/>
        </w:rPr>
        <w:t xml:space="preserve">Also decides </w:t>
      </w:r>
      <w:r w:rsidRPr="00117EEC">
        <w:rPr>
          <w:kern w:val="22"/>
        </w:rPr>
        <w:t>that the global support centre shall begin its operations as soon as possible;]</w:t>
      </w:r>
    </w:p>
    <w:p w14:paraId="10FD3462" w14:textId="77777777" w:rsidR="00D87A97" w:rsidRPr="00D71EDE"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rPr>
      </w:pPr>
      <w:r w:rsidRPr="00117EEC">
        <w:rPr>
          <w:kern w:val="22"/>
        </w:rPr>
        <w:t>[3</w:t>
      </w:r>
      <w:r>
        <w:rPr>
          <w:kern w:val="22"/>
        </w:rPr>
        <w:t>5</w:t>
      </w:r>
      <w:r w:rsidRPr="00117EEC">
        <w:rPr>
          <w:kern w:val="22"/>
        </w:rPr>
        <w:t>.</w:t>
      </w:r>
      <w:r w:rsidRPr="00117EEC">
        <w:rPr>
          <w:kern w:val="22"/>
        </w:rPr>
        <w:tab/>
        <w:t>[</w:t>
      </w:r>
      <w:r w:rsidRPr="00117EEC">
        <w:rPr>
          <w:i/>
          <w:iCs/>
          <w:kern w:val="22"/>
        </w:rPr>
        <w:t>Requests</w:t>
      </w:r>
      <w:r w:rsidRPr="00117EEC">
        <w:rPr>
          <w:kern w:val="22"/>
        </w:rPr>
        <w:t>][</w:t>
      </w:r>
      <w:r w:rsidRPr="00117EEC">
        <w:rPr>
          <w:i/>
          <w:iCs/>
          <w:kern w:val="22"/>
        </w:rPr>
        <w:t>Invites</w:t>
      </w:r>
      <w:r w:rsidRPr="00117EEC">
        <w:rPr>
          <w:kern w:val="22"/>
        </w:rPr>
        <w:t>] the Global Environment Facility to support eligible activities [of the global technical and scientific cooperation support centre for biodiversity [and, as appropriate</w:t>
      </w:r>
      <w:proofErr w:type="gramStart"/>
      <w:r w:rsidRPr="00117EEC">
        <w:rPr>
          <w:kern w:val="22"/>
        </w:rPr>
        <w:t>,][</w:t>
      </w:r>
      <w:proofErr w:type="gramEnd"/>
      <w:r w:rsidRPr="00117EEC">
        <w:rPr>
          <w:kern w:val="22"/>
        </w:rPr>
        <w:t>as well as] of the regional support centres and organizations] [contributing to both technical and scientific capacity</w:t>
      </w:r>
      <w:r w:rsidRPr="00117EEC">
        <w:rPr>
          <w:kern w:val="22"/>
        </w:rPr>
        <w:noBreakHyphen/>
        <w:t xml:space="preserve">building and development at global, regional and national levels, as appropriate, including </w:t>
      </w:r>
      <w:r w:rsidRPr="00CD30CB">
        <w:rPr>
          <w:kern w:val="22"/>
        </w:rPr>
        <w:t xml:space="preserve">activities] [referred to in paragraph </w:t>
      </w:r>
      <w:r w:rsidRPr="00760D30">
        <w:rPr>
          <w:kern w:val="22"/>
        </w:rPr>
        <w:t>30</w:t>
      </w:r>
      <w:r w:rsidRPr="00CD30CB">
        <w:rPr>
          <w:kern w:val="22"/>
        </w:rPr>
        <w:t xml:space="preserve"> above];]</w:t>
      </w:r>
    </w:p>
    <w:p w14:paraId="5CCF528A"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rPr>
      </w:pPr>
      <w:r w:rsidRPr="00BB532D">
        <w:rPr>
          <w:kern w:val="22"/>
        </w:rPr>
        <w:t>[</w:t>
      </w:r>
      <w:r w:rsidRPr="00064579">
        <w:rPr>
          <w:kern w:val="22"/>
        </w:rPr>
        <w:t>3</w:t>
      </w:r>
      <w:r>
        <w:rPr>
          <w:kern w:val="22"/>
        </w:rPr>
        <w:t>6</w:t>
      </w:r>
      <w:r w:rsidRPr="00117EEC">
        <w:rPr>
          <w:kern w:val="22"/>
        </w:rPr>
        <w:t>.</w:t>
      </w:r>
      <w:r w:rsidRPr="00117EEC">
        <w:rPr>
          <w:kern w:val="22"/>
        </w:rPr>
        <w:tab/>
      </w:r>
      <w:r w:rsidRPr="00117EEC">
        <w:rPr>
          <w:i/>
          <w:iCs/>
          <w:kern w:val="22"/>
        </w:rPr>
        <w:t>Invites</w:t>
      </w:r>
      <w:r w:rsidRPr="00117EEC">
        <w:rPr>
          <w:kern w:val="22"/>
        </w:rPr>
        <w:t xml:space="preserve"> [developed country] Parties, other Governments, relevant organizations, [and other stakeholders] [in a position to do so] to provide financial, technical and human resources to support the global technical and scientific cooperation support centre for biodiversity [and, as appropriate,][as well as] activities of the regional support centres and organizations referred to in paragraph </w:t>
      </w:r>
      <w:r>
        <w:rPr>
          <w:kern w:val="22"/>
        </w:rPr>
        <w:t>30</w:t>
      </w:r>
      <w:r w:rsidRPr="00117EEC">
        <w:rPr>
          <w:kern w:val="22"/>
        </w:rPr>
        <w:t xml:space="preserve"> above, [in line with Articles 16 and 18 of the Convention, while noting that this support does not in any way replace their commitments under Article 20 of the Convention];]</w:t>
      </w:r>
    </w:p>
    <w:p w14:paraId="189E6827"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ind w:left="426" w:firstLine="720"/>
        <w:rPr>
          <w:rFonts w:eastAsiaTheme="minorEastAsia"/>
          <w:kern w:val="22"/>
        </w:rPr>
      </w:pPr>
      <w:r w:rsidRPr="00117EEC">
        <w:rPr>
          <w:kern w:val="22"/>
        </w:rPr>
        <w:t>3</w:t>
      </w:r>
      <w:r>
        <w:rPr>
          <w:kern w:val="22"/>
        </w:rPr>
        <w:t>7</w:t>
      </w:r>
      <w:r w:rsidRPr="00117EEC">
        <w:rPr>
          <w:kern w:val="22"/>
        </w:rPr>
        <w:t>.</w:t>
      </w:r>
      <w:r w:rsidRPr="00117EEC">
        <w:rPr>
          <w:kern w:val="22"/>
        </w:rPr>
        <w:tab/>
      </w:r>
      <w:r>
        <w:rPr>
          <w:kern w:val="22"/>
        </w:rPr>
        <w:tab/>
      </w:r>
      <w:r w:rsidRPr="00117EEC">
        <w:rPr>
          <w:i/>
          <w:iCs/>
          <w:kern w:val="22"/>
        </w:rPr>
        <w:t>Requests</w:t>
      </w:r>
      <w:r w:rsidRPr="00117EEC">
        <w:rPr>
          <w:kern w:val="22"/>
        </w:rPr>
        <w:t xml:space="preserve"> the Executive Secretary, subject to the availability of resources:</w:t>
      </w:r>
    </w:p>
    <w:p w14:paraId="100E68DA" w14:textId="123157D3"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snapToGrid w:val="0"/>
          <w:color w:val="000000" w:themeColor="text1"/>
          <w:kern w:val="22"/>
        </w:rPr>
      </w:pPr>
      <w:r w:rsidRPr="00117EEC">
        <w:rPr>
          <w:snapToGrid w:val="0"/>
          <w:kern w:val="22"/>
        </w:rPr>
        <w:t>(a)</w:t>
      </w:r>
      <w:r w:rsidRPr="00117EEC">
        <w:rPr>
          <w:snapToGrid w:val="0"/>
          <w:kern w:val="22"/>
        </w:rPr>
        <w:tab/>
      </w:r>
      <w:r w:rsidR="00BF025E">
        <w:rPr>
          <w:snapToGrid w:val="0"/>
          <w:kern w:val="22"/>
        </w:rPr>
        <w:tab/>
      </w:r>
      <w:r w:rsidRPr="00117EEC">
        <w:rPr>
          <w:snapToGrid w:val="0"/>
          <w:kern w:val="22"/>
        </w:rPr>
        <w:t xml:space="preserve">To further promote and facilitate </w:t>
      </w:r>
      <w:r w:rsidRPr="00117EEC">
        <w:rPr>
          <w:snapToGrid w:val="0"/>
          <w:color w:val="000000" w:themeColor="text1"/>
          <w:kern w:val="22"/>
        </w:rPr>
        <w:t>technical and scientific cooperation in support of the post-2020 global biodiversity framework, in collaboration with [Parties,] relevant partners, [the global support centre and regional support centres], other organizations [and indigenous peoples and local communities</w:t>
      </w:r>
      <w:proofErr w:type="gramStart"/>
      <w:r w:rsidRPr="00117EEC">
        <w:rPr>
          <w:snapToGrid w:val="0"/>
          <w:color w:val="000000" w:themeColor="text1"/>
          <w:kern w:val="22"/>
        </w:rPr>
        <w:t>];</w:t>
      </w:r>
      <w:proofErr w:type="gramEnd"/>
    </w:p>
    <w:p w14:paraId="13D92E04"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snapToGrid w:val="0"/>
          <w:color w:val="000000" w:themeColor="text1"/>
          <w:kern w:val="22"/>
        </w:rPr>
      </w:pPr>
      <w:r w:rsidRPr="00117EEC">
        <w:rPr>
          <w:snapToGrid w:val="0"/>
          <w:color w:val="000000" w:themeColor="text1"/>
          <w:kern w:val="22"/>
        </w:rPr>
        <w:t>[(b)</w:t>
      </w:r>
      <w:r w:rsidRPr="00117EEC">
        <w:rPr>
          <w:snapToGrid w:val="0"/>
          <w:color w:val="000000" w:themeColor="text1"/>
          <w:kern w:val="22"/>
        </w:rPr>
        <w:tab/>
        <w:t>To communicate to the global technical and scientific cooperation support centre the priorities established by Parties regarding capacity</w:t>
      </w:r>
      <w:r w:rsidRPr="00117EEC">
        <w:rPr>
          <w:snapToGrid w:val="0"/>
          <w:color w:val="000000" w:themeColor="text1"/>
          <w:kern w:val="22"/>
        </w:rPr>
        <w:noBreakHyphen/>
        <w:t>building and development;]</w:t>
      </w:r>
    </w:p>
    <w:p w14:paraId="0DC7197C"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snapToGrid w:val="0"/>
          <w:kern w:val="22"/>
        </w:rPr>
      </w:pPr>
      <w:r w:rsidRPr="00117EEC">
        <w:rPr>
          <w:snapToGrid w:val="0"/>
          <w:color w:val="000000" w:themeColor="text1"/>
          <w:kern w:val="22"/>
        </w:rPr>
        <w:t>[(c)</w:t>
      </w:r>
      <w:r w:rsidRPr="00117EEC">
        <w:rPr>
          <w:snapToGrid w:val="0"/>
          <w:color w:val="000000" w:themeColor="text1"/>
          <w:kern w:val="22"/>
        </w:rPr>
        <w:tab/>
        <w:t>To be actively involved in coordinating a harmonized approach in the delivery of the proposed support tools;]</w:t>
      </w:r>
    </w:p>
    <w:p w14:paraId="2A296F35" w14:textId="77777777" w:rsidR="00D87A97" w:rsidRPr="00760D30" w:rsidRDefault="00D87A97" w:rsidP="00D87A97">
      <w:pPr>
        <w:suppressLineNumbers/>
        <w:suppressAutoHyphens/>
        <w:kinsoku w:val="0"/>
        <w:overflowPunct w:val="0"/>
        <w:autoSpaceDE w:val="0"/>
        <w:autoSpaceDN w:val="0"/>
        <w:adjustRightInd w:val="0"/>
        <w:snapToGrid w:val="0"/>
        <w:spacing w:after="120"/>
        <w:ind w:left="426" w:firstLine="720"/>
        <w:rPr>
          <w:snapToGrid w:val="0"/>
          <w:kern w:val="22"/>
        </w:rPr>
      </w:pPr>
      <w:r w:rsidRPr="00760D30">
        <w:rPr>
          <w:snapToGrid w:val="0"/>
          <w:kern w:val="22"/>
        </w:rPr>
        <w:t>(d)</w:t>
      </w:r>
      <w:r w:rsidRPr="00760D30">
        <w:rPr>
          <w:snapToGrid w:val="0"/>
          <w:kern w:val="22"/>
        </w:rPr>
        <w:tab/>
      </w:r>
      <w:r>
        <w:rPr>
          <w:snapToGrid w:val="0"/>
          <w:kern w:val="22"/>
        </w:rPr>
        <w:tab/>
      </w:r>
      <w:r w:rsidRPr="00760D30">
        <w:rPr>
          <w:snapToGrid w:val="0"/>
          <w:kern w:val="22"/>
        </w:rPr>
        <w:t xml:space="preserve">To maintain synergy and collaboration with biodiversity-related conventions, [the United Nations Framework Convention on Climate Change,] and relevant organizations, initiatives and networks, [including the Consortium of Scientific Partners on Biodiversity, the </w:t>
      </w:r>
      <w:r w:rsidRPr="00760D30">
        <w:rPr>
          <w:snapToGrid w:val="0"/>
          <w:kern w:val="22"/>
          <w:szCs w:val="22"/>
        </w:rPr>
        <w:t xml:space="preserve">Global Partnership for </w:t>
      </w:r>
      <w:r w:rsidRPr="00760D30">
        <w:rPr>
          <w:snapToGrid w:val="0"/>
          <w:kern w:val="22"/>
        </w:rPr>
        <w:t xml:space="preserve">Business and Biodiversity, and others with technical and scientific expertise, technologies and information, and/or] that are involved in biodiversity-related technical and scientific </w:t>
      </w:r>
      <w:proofErr w:type="gramStart"/>
      <w:r w:rsidRPr="00760D30">
        <w:rPr>
          <w:snapToGrid w:val="0"/>
          <w:kern w:val="22"/>
        </w:rPr>
        <w:t>cooperation;</w:t>
      </w:r>
      <w:proofErr w:type="gramEnd"/>
    </w:p>
    <w:p w14:paraId="129C10D5"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rFonts w:eastAsiaTheme="minorEastAsia"/>
          <w:snapToGrid w:val="0"/>
          <w:kern w:val="22"/>
        </w:rPr>
      </w:pPr>
      <w:r w:rsidRPr="00117EEC">
        <w:rPr>
          <w:snapToGrid w:val="0"/>
          <w:kern w:val="22"/>
        </w:rPr>
        <w:t>[(e)</w:t>
      </w:r>
      <w:r w:rsidRPr="00117EEC">
        <w:rPr>
          <w:snapToGrid w:val="0"/>
          <w:kern w:val="22"/>
        </w:rPr>
        <w:tab/>
        <w:t>To maintain active communication with Parties and relevant stakeholders with a view to keeping them and the public informed of the achievements of the technical and scientific cooperation support activities;]</w:t>
      </w:r>
    </w:p>
    <w:p w14:paraId="083E8749"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snapToGrid w:val="0"/>
          <w:kern w:val="22"/>
        </w:rPr>
      </w:pPr>
      <w:r w:rsidRPr="00117EEC">
        <w:rPr>
          <w:snapToGrid w:val="0"/>
          <w:kern w:val="22"/>
        </w:rPr>
        <w:t>[(f)</w:t>
      </w:r>
      <w:r w:rsidRPr="00117EEC">
        <w:rPr>
          <w:snapToGrid w:val="0"/>
          <w:kern w:val="22"/>
        </w:rPr>
        <w:tab/>
      </w:r>
      <w:r>
        <w:rPr>
          <w:snapToGrid w:val="0"/>
          <w:kern w:val="22"/>
        </w:rPr>
        <w:tab/>
      </w:r>
      <w:r w:rsidRPr="00117EEC">
        <w:rPr>
          <w:snapToGrid w:val="0"/>
          <w:kern w:val="22"/>
        </w:rPr>
        <w:t>To organize, in collaboration with [</w:t>
      </w:r>
      <w:r w:rsidRPr="00117EEC" w:rsidDel="00F1747D">
        <w:rPr>
          <w:snapToGrid w:val="0"/>
          <w:kern w:val="22"/>
        </w:rPr>
        <w:t>partners</w:t>
      </w:r>
      <w:proofErr w:type="gramStart"/>
      <w:r w:rsidRPr="00117EEC">
        <w:rPr>
          <w:snapToGrid w:val="0"/>
          <w:kern w:val="22"/>
        </w:rPr>
        <w:t>][</w:t>
      </w:r>
      <w:proofErr w:type="gramEnd"/>
      <w:r w:rsidRPr="00117EEC">
        <w:rPr>
          <w:snapToGrid w:val="0"/>
          <w:kern w:val="22"/>
        </w:rPr>
        <w:t>relevant organizations] [and indigenous peoples and local communities], [biodiversity] science forums, technology and innovation expos, round tables and other events to showcase cooperation initiatives, technologies and opportunities;]</w:t>
      </w:r>
    </w:p>
    <w:p w14:paraId="61D8AF12"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snapToGrid w:val="0"/>
          <w:kern w:val="22"/>
        </w:rPr>
      </w:pPr>
      <w:r w:rsidRPr="00117EEC">
        <w:rPr>
          <w:snapToGrid w:val="0"/>
          <w:kern w:val="22"/>
        </w:rPr>
        <w:t>(g)</w:t>
      </w:r>
      <w:r w:rsidRPr="00117EEC">
        <w:rPr>
          <w:snapToGrid w:val="0"/>
          <w:kern w:val="22"/>
        </w:rPr>
        <w:tab/>
      </w:r>
      <w:r>
        <w:rPr>
          <w:snapToGrid w:val="0"/>
          <w:kern w:val="22"/>
        </w:rPr>
        <w:tab/>
      </w:r>
      <w:r w:rsidRPr="00117EEC">
        <w:rPr>
          <w:snapToGrid w:val="0"/>
          <w:kern w:val="22"/>
        </w:rPr>
        <w:t xml:space="preserve">To compile relevant information related to technical and scientific cooperation and technology transfer in the field of biological diversity [for the implementation of the three objectives of the Convention] and </w:t>
      </w:r>
      <w:r>
        <w:rPr>
          <w:snapToGrid w:val="0"/>
          <w:kern w:val="22"/>
        </w:rPr>
        <w:t xml:space="preserve">to </w:t>
      </w:r>
      <w:r w:rsidRPr="00117EEC">
        <w:rPr>
          <w:snapToGrid w:val="0"/>
          <w:kern w:val="22"/>
        </w:rPr>
        <w:t xml:space="preserve">make it available to Parties through the clearing-house mechanism, in line with the knowledge management component of the post-2020 global biodiversity </w:t>
      </w:r>
      <w:proofErr w:type="gramStart"/>
      <w:r w:rsidRPr="00117EEC">
        <w:rPr>
          <w:snapToGrid w:val="0"/>
          <w:kern w:val="22"/>
        </w:rPr>
        <w:t>framework;</w:t>
      </w:r>
      <w:proofErr w:type="gramEnd"/>
    </w:p>
    <w:p w14:paraId="50C11E2E"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rFonts w:eastAsiaTheme="minorEastAsia"/>
          <w:snapToGrid w:val="0"/>
          <w:kern w:val="22"/>
        </w:rPr>
      </w:pPr>
      <w:r w:rsidRPr="00117EEC">
        <w:rPr>
          <w:snapToGrid w:val="0"/>
          <w:kern w:val="22"/>
        </w:rPr>
        <w:lastRenderedPageBreak/>
        <w:t>[(h)</w:t>
      </w:r>
      <w:r w:rsidRPr="00117EEC">
        <w:rPr>
          <w:snapToGrid w:val="0"/>
          <w:kern w:val="22"/>
        </w:rPr>
        <w:tab/>
        <w:t xml:space="preserve">To perform such other activities as may be necessary to facilitate </w:t>
      </w:r>
      <w:r w:rsidRPr="00117EEC">
        <w:rPr>
          <w:snapToGrid w:val="0"/>
          <w:color w:val="000000" w:themeColor="text1"/>
          <w:kern w:val="22"/>
        </w:rPr>
        <w:t xml:space="preserve">technical and scientific cooperation in </w:t>
      </w:r>
      <w:r w:rsidRPr="00117EEC">
        <w:rPr>
          <w:snapToGrid w:val="0"/>
          <w:kern w:val="22"/>
        </w:rPr>
        <w:t>support of the post-2020 global biodiversity framework;]</w:t>
      </w:r>
    </w:p>
    <w:p w14:paraId="1BAF9FFB"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rFonts w:eastAsiaTheme="minorEastAsia"/>
          <w:snapToGrid w:val="0"/>
          <w:kern w:val="22"/>
        </w:rPr>
      </w:pPr>
      <w:r w:rsidRPr="00117EEC">
        <w:rPr>
          <w:snapToGrid w:val="0"/>
          <w:kern w:val="22"/>
        </w:rPr>
        <w:t>(</w:t>
      </w:r>
      <w:proofErr w:type="spellStart"/>
      <w:r w:rsidRPr="00117EEC">
        <w:rPr>
          <w:snapToGrid w:val="0"/>
          <w:kern w:val="22"/>
        </w:rPr>
        <w:t>i</w:t>
      </w:r>
      <w:proofErr w:type="spellEnd"/>
      <w:r w:rsidRPr="00117EEC">
        <w:rPr>
          <w:snapToGrid w:val="0"/>
          <w:kern w:val="22"/>
        </w:rPr>
        <w:t>)</w:t>
      </w:r>
      <w:r w:rsidRPr="00117EEC">
        <w:rPr>
          <w:snapToGrid w:val="0"/>
          <w:kern w:val="22"/>
        </w:rPr>
        <w:tab/>
      </w:r>
      <w:r>
        <w:rPr>
          <w:snapToGrid w:val="0"/>
          <w:kern w:val="22"/>
        </w:rPr>
        <w:tab/>
      </w:r>
      <w:r w:rsidRPr="00117EEC">
        <w:rPr>
          <w:snapToGrid w:val="0"/>
          <w:kern w:val="22"/>
        </w:rPr>
        <w:t>To prepare relevant documents and reports on technical and scientific cooperation and technology transfer for consideration by [the Subsidiary Body on Implementation at its fifth meeting and] the Conference of Parties [at its seventeenth meeting] [and its subsidiary bodies</w:t>
      </w:r>
      <w:proofErr w:type="gramStart"/>
      <w:r w:rsidRPr="00117EEC">
        <w:rPr>
          <w:snapToGrid w:val="0"/>
          <w:kern w:val="22"/>
        </w:rPr>
        <w:t>];</w:t>
      </w:r>
      <w:proofErr w:type="gramEnd"/>
    </w:p>
    <w:p w14:paraId="3B992EC9" w14:textId="77777777" w:rsidR="00D87A97" w:rsidRPr="00117EEC" w:rsidRDefault="00D87A97" w:rsidP="00D87A97">
      <w:pPr>
        <w:suppressLineNumbers/>
        <w:suppressAutoHyphens/>
        <w:kinsoku w:val="0"/>
        <w:overflowPunct w:val="0"/>
        <w:autoSpaceDE w:val="0"/>
        <w:autoSpaceDN w:val="0"/>
        <w:adjustRightInd w:val="0"/>
        <w:snapToGrid w:val="0"/>
        <w:spacing w:after="120"/>
        <w:ind w:left="426" w:firstLine="720"/>
        <w:rPr>
          <w:rFonts w:eastAsiaTheme="minorEastAsia"/>
          <w:snapToGrid w:val="0"/>
          <w:kern w:val="22"/>
        </w:rPr>
      </w:pPr>
      <w:r w:rsidRPr="00117EEC">
        <w:rPr>
          <w:rFonts w:eastAsiaTheme="minorEastAsia"/>
          <w:snapToGrid w:val="0"/>
          <w:kern w:val="22"/>
        </w:rPr>
        <w:t>[(j)</w:t>
      </w:r>
      <w:r w:rsidRPr="00117EEC">
        <w:rPr>
          <w:rFonts w:eastAsiaTheme="minorEastAsia"/>
          <w:snapToGrid w:val="0"/>
          <w:kern w:val="22"/>
        </w:rPr>
        <w:tab/>
      </w:r>
      <w:r>
        <w:rPr>
          <w:rFonts w:eastAsiaTheme="minorEastAsia"/>
          <w:snapToGrid w:val="0"/>
          <w:kern w:val="22"/>
        </w:rPr>
        <w:tab/>
      </w:r>
      <w:r w:rsidRPr="00117EEC">
        <w:rPr>
          <w:rFonts w:eastAsiaTheme="minorEastAsia"/>
          <w:snapToGrid w:val="0"/>
          <w:kern w:val="22"/>
        </w:rPr>
        <w:t xml:space="preserve">To submit a report on the work of the Informal Advisory Group on Technical and Scientific Cooperation for peer review by Parties </w:t>
      </w:r>
      <w:r>
        <w:rPr>
          <w:rFonts w:eastAsiaTheme="minorEastAsia"/>
          <w:snapToGrid w:val="0"/>
          <w:kern w:val="22"/>
        </w:rPr>
        <w:t xml:space="preserve">and </w:t>
      </w:r>
      <w:r w:rsidRPr="00117EEC">
        <w:rPr>
          <w:rFonts w:eastAsiaTheme="minorEastAsia"/>
          <w:snapToGrid w:val="0"/>
          <w:kern w:val="22"/>
        </w:rPr>
        <w:t xml:space="preserve">for </w:t>
      </w:r>
      <w:r>
        <w:rPr>
          <w:rFonts w:eastAsiaTheme="minorEastAsia"/>
          <w:snapToGrid w:val="0"/>
          <w:kern w:val="22"/>
        </w:rPr>
        <w:t xml:space="preserve">subsequent </w:t>
      </w:r>
      <w:r w:rsidRPr="00117EEC">
        <w:rPr>
          <w:rFonts w:eastAsiaTheme="minorEastAsia"/>
          <w:snapToGrid w:val="0"/>
          <w:kern w:val="22"/>
        </w:rPr>
        <w:t xml:space="preserve">consideration by the Subsidiary Body on Scientific, Technical and Technological Advice at </w:t>
      </w:r>
      <w:r>
        <w:rPr>
          <w:rFonts w:eastAsiaTheme="minorEastAsia"/>
          <w:snapToGrid w:val="0"/>
          <w:kern w:val="22"/>
        </w:rPr>
        <w:t>a</w:t>
      </w:r>
      <w:r w:rsidRPr="00117EEC">
        <w:rPr>
          <w:rFonts w:eastAsiaTheme="minorEastAsia"/>
          <w:snapToGrid w:val="0"/>
          <w:kern w:val="22"/>
        </w:rPr>
        <w:t xml:space="preserve"> meeting to be held prior to the sixteenth Conference of the Parties</w:t>
      </w:r>
      <w:r w:rsidRPr="00117EEC">
        <w:rPr>
          <w:snapToGrid w:val="0"/>
          <w:kern w:val="22"/>
        </w:rPr>
        <w:t>.]</w:t>
      </w:r>
    </w:p>
    <w:p w14:paraId="7EA49D3F"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rPr>
          <w:kern w:val="22"/>
        </w:rPr>
      </w:pPr>
      <w:r w:rsidRPr="00117EEC">
        <w:rPr>
          <w:snapToGrid w:val="0"/>
          <w:kern w:val="22"/>
        </w:rPr>
        <w:br w:type="page"/>
      </w:r>
    </w:p>
    <w:p w14:paraId="0C317DFD" w14:textId="77777777" w:rsidR="00D87A97" w:rsidRPr="00760D30" w:rsidRDefault="00D87A97" w:rsidP="00D87A97">
      <w:pPr>
        <w:keepNext/>
        <w:suppressLineNumbers/>
        <w:tabs>
          <w:tab w:val="center" w:pos="4731"/>
          <w:tab w:val="left" w:pos="6162"/>
        </w:tabs>
        <w:suppressAutoHyphens/>
        <w:kinsoku w:val="0"/>
        <w:overflowPunct w:val="0"/>
        <w:autoSpaceDE w:val="0"/>
        <w:autoSpaceDN w:val="0"/>
        <w:adjustRightInd w:val="0"/>
        <w:snapToGrid w:val="0"/>
        <w:spacing w:after="60"/>
        <w:jc w:val="center"/>
        <w:outlineLvl w:val="0"/>
        <w:rPr>
          <w:i/>
          <w:iCs/>
          <w:snapToGrid w:val="0"/>
          <w:kern w:val="22"/>
        </w:rPr>
      </w:pPr>
      <w:bookmarkStart w:id="7" w:name="_Toc57214894"/>
      <w:r w:rsidRPr="00760D30">
        <w:rPr>
          <w:i/>
          <w:iCs/>
          <w:snapToGrid w:val="0"/>
          <w:kern w:val="22"/>
        </w:rPr>
        <w:lastRenderedPageBreak/>
        <w:t>Annex I</w:t>
      </w:r>
      <w:bookmarkEnd w:id="7"/>
    </w:p>
    <w:p w14:paraId="61BB0F60" w14:textId="77777777" w:rsidR="00D87A97" w:rsidRPr="00117EEC" w:rsidRDefault="00D87A97" w:rsidP="00D87A97">
      <w:pPr>
        <w:suppressLineNumbers/>
        <w:suppressAutoHyphens/>
        <w:kinsoku w:val="0"/>
        <w:overflowPunct w:val="0"/>
        <w:autoSpaceDE w:val="0"/>
        <w:autoSpaceDN w:val="0"/>
        <w:adjustRightInd w:val="0"/>
        <w:snapToGrid w:val="0"/>
        <w:spacing w:before="120" w:after="120"/>
        <w:jc w:val="center"/>
        <w:outlineLvl w:val="0"/>
        <w:rPr>
          <w:b/>
          <w:bCs/>
          <w:caps/>
          <w:snapToGrid w:val="0"/>
          <w:kern w:val="22"/>
          <w:szCs w:val="22"/>
        </w:rPr>
      </w:pPr>
      <w:bookmarkStart w:id="8" w:name="_Toc57214895"/>
      <w:r w:rsidRPr="00117EEC">
        <w:rPr>
          <w:b/>
          <w:bCs/>
          <w:caps/>
          <w:snapToGrid w:val="0"/>
          <w:kern w:val="22"/>
          <w:szCs w:val="22"/>
        </w:rPr>
        <w:t xml:space="preserve">Long-term strategic framework for </w:t>
      </w:r>
      <w:r w:rsidRPr="00694029">
        <w:rPr>
          <w:b/>
          <w:bCs/>
          <w:caps/>
          <w:snapToGrid w:val="0"/>
          <w:kern w:val="22"/>
          <w:szCs w:val="22"/>
        </w:rPr>
        <w:t>capacity</w:t>
      </w:r>
      <w:r w:rsidRPr="00D71EDE">
        <w:rPr>
          <w:b/>
          <w:bCs/>
          <w:caps/>
          <w:snapToGrid w:val="0"/>
          <w:kern w:val="22"/>
          <w:szCs w:val="22"/>
        </w:rPr>
        <w:noBreakHyphen/>
      </w:r>
      <w:r w:rsidRPr="00117EEC">
        <w:rPr>
          <w:b/>
          <w:bCs/>
          <w:caps/>
          <w:snapToGrid w:val="0"/>
          <w:kern w:val="22"/>
          <w:szCs w:val="22"/>
        </w:rPr>
        <w:t>building and development</w:t>
      </w:r>
      <w:bookmarkEnd w:id="8"/>
    </w:p>
    <w:p w14:paraId="6049C61E" w14:textId="77777777" w:rsidR="00D87A97" w:rsidRPr="00117EEC" w:rsidRDefault="00D87A97" w:rsidP="000E369B">
      <w:pPr>
        <w:pStyle w:val="Heading1"/>
        <w:numPr>
          <w:ilvl w:val="0"/>
          <w:numId w:val="6"/>
        </w:numPr>
        <w:suppressLineNumbers/>
        <w:tabs>
          <w:tab w:val="left" w:pos="284"/>
        </w:tabs>
        <w:suppressAutoHyphens/>
        <w:kinsoku w:val="0"/>
        <w:overflowPunct w:val="0"/>
        <w:autoSpaceDE w:val="0"/>
        <w:autoSpaceDN w:val="0"/>
        <w:adjustRightInd w:val="0"/>
        <w:snapToGrid w:val="0"/>
        <w:ind w:left="0" w:firstLine="0"/>
        <w:rPr>
          <w:rFonts w:ascii="Times New Roman Bold" w:hAnsi="Times New Roman Bold"/>
          <w:snapToGrid w:val="0"/>
          <w:kern w:val="22"/>
        </w:rPr>
      </w:pPr>
      <w:bookmarkStart w:id="9" w:name="_Toc57214896"/>
      <w:r w:rsidRPr="00117EEC">
        <w:rPr>
          <w:rFonts w:ascii="Times New Roman Bold" w:hAnsi="Times New Roman Bold"/>
          <w:snapToGrid w:val="0"/>
          <w:kern w:val="22"/>
        </w:rPr>
        <w:t>Introduction</w:t>
      </w:r>
      <w:bookmarkEnd w:id="9"/>
    </w:p>
    <w:p w14:paraId="09424A7D" w14:textId="4C6D8833"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snapToGrid/>
          <w:kern w:val="22"/>
        </w:rPr>
      </w:pPr>
      <w:r w:rsidRPr="00117EEC">
        <w:rPr>
          <w:kern w:val="22"/>
        </w:rPr>
        <w:t>The long-term strategic framework for capacity</w:t>
      </w:r>
      <w:r w:rsidRPr="00117EEC">
        <w:rPr>
          <w:kern w:val="22"/>
        </w:rPr>
        <w:noBreakHyphen/>
        <w:t>building and development is intended to guide the capacity</w:t>
      </w:r>
      <w:r w:rsidRPr="00117EEC">
        <w:rPr>
          <w:kern w:val="22"/>
        </w:rPr>
        <w:noBreakHyphen/>
        <w:t>building and development efforts of government and non-government actor</w:t>
      </w:r>
      <w:r>
        <w:rPr>
          <w:kern w:val="22"/>
        </w:rPr>
        <w:t>s</w:t>
      </w:r>
      <w:r w:rsidR="00B95C51">
        <w:rPr>
          <w:kern w:val="22"/>
        </w:rPr>
        <w:t>,</w:t>
      </w:r>
      <w:r w:rsidRPr="00117EEC">
        <w:rPr>
          <w:rStyle w:val="FootnoteReference"/>
          <w:kern w:val="22"/>
        </w:rPr>
        <w:footnoteReference w:id="15"/>
      </w:r>
      <w:r w:rsidRPr="00694029">
        <w:rPr>
          <w:kern w:val="22"/>
        </w:rPr>
        <w:t xml:space="preserve"> </w:t>
      </w:r>
      <w:r w:rsidRPr="00D71EDE">
        <w:rPr>
          <w:kern w:val="22"/>
        </w:rPr>
        <w:t xml:space="preserve">including </w:t>
      </w:r>
      <w:r w:rsidRPr="00BB532D">
        <w:rPr>
          <w:kern w:val="22"/>
        </w:rPr>
        <w:t>indigenous peoples and local communities</w:t>
      </w:r>
      <w:r w:rsidRPr="00064579">
        <w:rPr>
          <w:kern w:val="22"/>
        </w:rPr>
        <w:t>,</w:t>
      </w:r>
      <w:r w:rsidRPr="00117EEC">
        <w:rPr>
          <w:kern w:val="22"/>
        </w:rPr>
        <w:t xml:space="preserve"> in support of [priorities determined by Parties in their national biodiversity strategies and action plans for the implementation of] the post-2020 global biodiversity framework. It seeks to catalyse institutionalized capacity</w:t>
      </w:r>
      <w:r w:rsidRPr="00117EEC">
        <w:rPr>
          <w:kern w:val="22"/>
        </w:rPr>
        <w:noBreakHyphen/>
        <w:t xml:space="preserve">building and development interventions that are robust, coordinated and delivered in a holistic and complementary manner and promote coherence, </w:t>
      </w:r>
      <w:proofErr w:type="gramStart"/>
      <w:r w:rsidRPr="00117EEC">
        <w:rPr>
          <w:kern w:val="22"/>
        </w:rPr>
        <w:t>efficiency</w:t>
      </w:r>
      <w:proofErr w:type="gramEnd"/>
      <w:r w:rsidRPr="00117EEC">
        <w:rPr>
          <w:kern w:val="22"/>
        </w:rPr>
        <w:t xml:space="preserve"> and effectiveness of capacity</w:t>
      </w:r>
      <w:r w:rsidRPr="00117EEC">
        <w:rPr>
          <w:kern w:val="22"/>
        </w:rPr>
        <w:noBreakHyphen/>
        <w:t>building and development efforts at all levels through strategic, coordinated and harmonized approaches.</w:t>
      </w:r>
    </w:p>
    <w:p w14:paraId="4F304BDD"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kern w:val="22"/>
        </w:rPr>
      </w:pPr>
      <w:r w:rsidRPr="00117EEC">
        <w:rPr>
          <w:kern w:val="22"/>
        </w:rPr>
        <w:t>The study carried out to provide the knowledge base for the framework</w:t>
      </w:r>
      <w:r w:rsidRPr="00117EEC">
        <w:rPr>
          <w:kern w:val="22"/>
          <w:vertAlign w:val="superscript"/>
        </w:rPr>
        <w:footnoteReference w:id="16"/>
      </w:r>
      <w:r w:rsidRPr="00117EEC">
        <w:rPr>
          <w:kern w:val="22"/>
        </w:rPr>
        <w:t xml:space="preserve"> noted that </w:t>
      </w:r>
      <w:bookmarkStart w:id="10" w:name="_Hlk47869803"/>
      <w:r w:rsidRPr="00694029">
        <w:rPr>
          <w:kern w:val="22"/>
        </w:rPr>
        <w:t>capacity</w:t>
      </w:r>
      <w:r w:rsidRPr="00D71EDE">
        <w:rPr>
          <w:kern w:val="22"/>
        </w:rPr>
        <w:noBreakHyphen/>
      </w:r>
      <w:r w:rsidRPr="00117EEC">
        <w:rPr>
          <w:kern w:val="22"/>
        </w:rPr>
        <w:t xml:space="preserve">building and development </w:t>
      </w:r>
      <w:bookmarkEnd w:id="10"/>
      <w:r w:rsidRPr="00117EEC">
        <w:rPr>
          <w:kern w:val="22"/>
        </w:rPr>
        <w:t xml:space="preserve">efforts, especially in developing countries, are fragmented and undertaken in silos, largely through externally funded short-term projects. Many countries have not yet adopted systemic, </w:t>
      </w:r>
      <w:proofErr w:type="gramStart"/>
      <w:r w:rsidRPr="00117EEC">
        <w:rPr>
          <w:kern w:val="22"/>
        </w:rPr>
        <w:t>long-term</w:t>
      </w:r>
      <w:proofErr w:type="gramEnd"/>
      <w:r w:rsidRPr="00117EEC">
        <w:rPr>
          <w:kern w:val="22"/>
        </w:rPr>
        <w:t xml:space="preserve"> and institutionalized approaches to capacity</w:t>
      </w:r>
      <w:r w:rsidRPr="00117EEC">
        <w:rPr>
          <w:kern w:val="22"/>
        </w:rPr>
        <w:noBreakHyphen/>
        <w:t>building and development. Capacity</w:t>
      </w:r>
      <w:r w:rsidRPr="00117EEC">
        <w:rPr>
          <w:kern w:val="22"/>
        </w:rPr>
        <w:noBreakHyphen/>
        <w:t>building and development interventions are often implemented in an ad hoc manner and not as part of coherent long-term programmes, and without an adequate enabling environment. Consequently, many have not succeeded in bringing about the desired changes in a sustainable manner. The strategic framework aims to help address these shortcomings.</w:t>
      </w:r>
    </w:p>
    <w:p w14:paraId="0ADB4ECE"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kern w:val="22"/>
          <w:szCs w:val="22"/>
        </w:rPr>
      </w:pPr>
      <w:r w:rsidRPr="00117EEC">
        <w:rPr>
          <w:kern w:val="22"/>
          <w:szCs w:val="22"/>
        </w:rPr>
        <w:t>In this strategic framework, capacity is described as “the ability of people, organizations and societies as a whole to achieve the biodiversity-related goals and action targets”, and capacity</w:t>
      </w:r>
      <w:r w:rsidRPr="00117EEC">
        <w:rPr>
          <w:kern w:val="22"/>
          <w:szCs w:val="22"/>
        </w:rPr>
        <w:noBreakHyphen/>
        <w:t>building and development is understood as “the process whereby people, organizations and society as a whole unleash, strengthen, create, adapt and maintain capacity over time to achieve positive biodiversity results.”</w:t>
      </w:r>
      <w:r w:rsidRPr="00117EEC">
        <w:rPr>
          <w:kern w:val="22"/>
          <w:szCs w:val="22"/>
          <w:vertAlign w:val="superscript"/>
        </w:rPr>
        <w:footnoteReference w:id="17"/>
      </w:r>
      <w:r w:rsidRPr="00117EEC">
        <w:rPr>
          <w:kern w:val="22"/>
          <w:szCs w:val="22"/>
        </w:rPr>
        <w:t xml:space="preserve"> </w:t>
      </w:r>
      <w:r w:rsidRPr="00694029">
        <w:rPr>
          <w:kern w:val="22"/>
          <w:szCs w:val="22"/>
        </w:rPr>
        <w:t>Capacity</w:t>
      </w:r>
      <w:r w:rsidRPr="00D71EDE">
        <w:rPr>
          <w:kern w:val="22"/>
          <w:szCs w:val="22"/>
        </w:rPr>
        <w:noBreakHyphen/>
      </w:r>
      <w:r w:rsidRPr="00117EEC">
        <w:rPr>
          <w:kern w:val="22"/>
          <w:szCs w:val="22"/>
        </w:rPr>
        <w:t>building and development is considered at three levels: the enabling environment, organizational and individual levels.</w:t>
      </w:r>
    </w:p>
    <w:p w14:paraId="1A6AEF6F" w14:textId="77777777" w:rsidR="00D87A97" w:rsidRPr="00117EEC" w:rsidRDefault="00D87A97" w:rsidP="00D87A97">
      <w:pPr>
        <w:pStyle w:val="Heading1"/>
        <w:suppressLineNumbers/>
        <w:tabs>
          <w:tab w:val="left" w:pos="426"/>
        </w:tabs>
        <w:suppressAutoHyphens/>
        <w:kinsoku w:val="0"/>
        <w:overflowPunct w:val="0"/>
        <w:autoSpaceDE w:val="0"/>
        <w:autoSpaceDN w:val="0"/>
        <w:adjustRightInd w:val="0"/>
        <w:snapToGrid w:val="0"/>
        <w:spacing w:before="120"/>
        <w:rPr>
          <w:bCs/>
          <w:snapToGrid w:val="0"/>
          <w:kern w:val="22"/>
        </w:rPr>
      </w:pPr>
      <w:bookmarkStart w:id="11" w:name="_Toc57214897"/>
      <w:r w:rsidRPr="00117EEC">
        <w:rPr>
          <w:bCs/>
          <w:snapToGrid w:val="0"/>
          <w:kern w:val="22"/>
        </w:rPr>
        <w:t>II.</w:t>
      </w:r>
      <w:r w:rsidRPr="00117EEC">
        <w:rPr>
          <w:bCs/>
          <w:snapToGrid w:val="0"/>
          <w:kern w:val="22"/>
        </w:rPr>
        <w:tab/>
      </w:r>
      <w:r w:rsidRPr="00117EEC">
        <w:rPr>
          <w:snapToGrid w:val="0"/>
          <w:kern w:val="22"/>
        </w:rPr>
        <w:t>Strategic direction and outcomes</w:t>
      </w:r>
      <w:bookmarkEnd w:id="11"/>
    </w:p>
    <w:p w14:paraId="13702A74" w14:textId="77777777" w:rsidR="00D87A97" w:rsidRPr="00117EEC" w:rsidRDefault="00D87A97" w:rsidP="000E369B">
      <w:pPr>
        <w:pStyle w:val="Heading2"/>
        <w:keepNext w:val="0"/>
        <w:numPr>
          <w:ilvl w:val="0"/>
          <w:numId w:val="8"/>
        </w:numPr>
        <w:suppressLineNumbers/>
        <w:suppressAutoHyphens/>
        <w:kinsoku w:val="0"/>
        <w:overflowPunct w:val="0"/>
        <w:autoSpaceDE w:val="0"/>
        <w:autoSpaceDN w:val="0"/>
        <w:adjustRightInd w:val="0"/>
        <w:snapToGrid w:val="0"/>
        <w:ind w:left="714" w:hanging="357"/>
        <w:rPr>
          <w:snapToGrid w:val="0"/>
          <w:kern w:val="22"/>
        </w:rPr>
      </w:pPr>
      <w:bookmarkStart w:id="12" w:name="_Toc39228082"/>
      <w:bookmarkStart w:id="13" w:name="_Toc57214898"/>
      <w:r w:rsidRPr="00117EEC">
        <w:rPr>
          <w:snapToGrid w:val="0"/>
          <w:kern w:val="22"/>
        </w:rPr>
        <w:t>Overall vision and theory of change</w:t>
      </w:r>
      <w:bookmarkEnd w:id="12"/>
      <w:bookmarkEnd w:id="13"/>
    </w:p>
    <w:p w14:paraId="51194F4C"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snapToGrid/>
          <w:kern w:val="22"/>
        </w:rPr>
      </w:pPr>
      <w:r w:rsidRPr="00117EEC">
        <w:rPr>
          <w:kern w:val="22"/>
        </w:rPr>
        <w:t xml:space="preserve">The long-term vision of this strategic framework is that by 2050 all societies will be fully empowered and effectively living in harmony with nature. The medium-term vision is that by 2030 governments and relevant non-government actors will have the requisite capacities to </w:t>
      </w:r>
      <w:proofErr w:type="gramStart"/>
      <w:r w:rsidRPr="00117EEC">
        <w:rPr>
          <w:kern w:val="22"/>
        </w:rPr>
        <w:t xml:space="preserve">effectively and sustainably contribute to the achievement of the goals and 2030 targets of the </w:t>
      </w:r>
      <w:bookmarkStart w:id="14" w:name="_Hlk47652963"/>
      <w:r w:rsidRPr="00117EEC">
        <w:rPr>
          <w:kern w:val="22"/>
        </w:rPr>
        <w:t>post-</w:t>
      </w:r>
      <w:proofErr w:type="gramEnd"/>
      <w:r w:rsidRPr="00117EEC">
        <w:rPr>
          <w:kern w:val="22"/>
        </w:rPr>
        <w:t xml:space="preserve">2020 </w:t>
      </w:r>
      <w:bookmarkEnd w:id="14"/>
      <w:r w:rsidRPr="00117EEC">
        <w:rPr>
          <w:kern w:val="22"/>
        </w:rPr>
        <w:t>global biodiversity framework and the implementation of the three objectives of the Convention and its Protocols.</w:t>
      </w:r>
    </w:p>
    <w:p w14:paraId="5304086D"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kern w:val="22"/>
        </w:rPr>
      </w:pPr>
      <w:r w:rsidRPr="00117EEC">
        <w:rPr>
          <w:kern w:val="22"/>
        </w:rPr>
        <w:t xml:space="preserve">The overall goal is to support ongoing development and strengthening of the capacities necessary for the achievement of the goals and targets of the post-2020 global biodiversity framework. This calls for enhancing the coherence, </w:t>
      </w:r>
      <w:proofErr w:type="gramStart"/>
      <w:r w:rsidRPr="00117EEC">
        <w:rPr>
          <w:kern w:val="22"/>
        </w:rPr>
        <w:t>efficiency</w:t>
      </w:r>
      <w:proofErr w:type="gramEnd"/>
      <w:r w:rsidRPr="00117EEC">
        <w:rPr>
          <w:kern w:val="22"/>
        </w:rPr>
        <w:t xml:space="preserve"> and effectiveness of capacity</w:t>
      </w:r>
      <w:r w:rsidRPr="00117EEC">
        <w:rPr>
          <w:kern w:val="22"/>
        </w:rPr>
        <w:noBreakHyphen/>
        <w:t xml:space="preserve">building and development initiatives at all levels and ensuring alignment with relevant initiatives supporting the achievement of the Sustainable Development Goals. These changes can only be achieved by having in place effective, </w:t>
      </w:r>
      <w:proofErr w:type="gramStart"/>
      <w:r w:rsidRPr="00117EEC">
        <w:rPr>
          <w:kern w:val="22"/>
        </w:rPr>
        <w:t>agile</w:t>
      </w:r>
      <w:proofErr w:type="gramEnd"/>
      <w:r w:rsidRPr="00117EEC">
        <w:rPr>
          <w:kern w:val="22"/>
        </w:rPr>
        <w:t xml:space="preserve"> and </w:t>
      </w:r>
      <w:r w:rsidRPr="00117EEC">
        <w:rPr>
          <w:kern w:val="22"/>
        </w:rPr>
        <w:lastRenderedPageBreak/>
        <w:t>continuously learning organizations</w:t>
      </w:r>
      <w:r w:rsidRPr="00117EEC">
        <w:rPr>
          <w:rStyle w:val="FootnoteReference"/>
          <w:kern w:val="22"/>
        </w:rPr>
        <w:footnoteReference w:id="18"/>
      </w:r>
      <w:r w:rsidRPr="00117EEC">
        <w:rPr>
          <w:kern w:val="22"/>
        </w:rPr>
        <w:t xml:space="preserve"> supported with </w:t>
      </w:r>
      <w:r w:rsidRPr="00694029">
        <w:rPr>
          <w:kern w:val="22"/>
        </w:rPr>
        <w:t>[</w:t>
      </w:r>
      <w:r w:rsidRPr="00D71EDE">
        <w:rPr>
          <w:kern w:val="22"/>
        </w:rPr>
        <w:t>sufficient</w:t>
      </w:r>
      <w:r w:rsidRPr="00BB532D">
        <w:rPr>
          <w:kern w:val="22"/>
        </w:rPr>
        <w:t>]</w:t>
      </w:r>
      <w:r w:rsidRPr="00064579">
        <w:rPr>
          <w:kern w:val="22"/>
        </w:rPr>
        <w:t xml:space="preserve"> appropr</w:t>
      </w:r>
      <w:r w:rsidRPr="00117EEC">
        <w:rPr>
          <w:kern w:val="22"/>
        </w:rPr>
        <w:t>iate financial, technical and human resources.</w:t>
      </w:r>
    </w:p>
    <w:p w14:paraId="5CC41410" w14:textId="77777777" w:rsidR="00D87A97" w:rsidRPr="00064579"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kern w:val="22"/>
        </w:rPr>
      </w:pPr>
      <w:r w:rsidRPr="00117EEC">
        <w:rPr>
          <w:kern w:val="22"/>
        </w:rPr>
        <w:t xml:space="preserve">The long-term strategic framework, </w:t>
      </w:r>
      <w:proofErr w:type="gramStart"/>
      <w:r w:rsidRPr="00117EEC">
        <w:rPr>
          <w:kern w:val="22"/>
        </w:rPr>
        <w:t>similarly</w:t>
      </w:r>
      <w:proofErr w:type="gramEnd"/>
      <w:r w:rsidRPr="00117EEC">
        <w:rPr>
          <w:kern w:val="22"/>
        </w:rPr>
        <w:t xml:space="preserve"> to the post-2020 global biodiversity framework, is underpinned by a theory of change, which is elaborated and visualized in figure 3 of document CBD/SBI/3/7/Add.1.</w:t>
      </w:r>
      <w:r w:rsidRPr="00117EEC">
        <w:rPr>
          <w:kern w:val="22"/>
          <w:vertAlign w:val="superscript"/>
        </w:rPr>
        <w:footnoteReference w:id="19"/>
      </w:r>
      <w:r w:rsidRPr="00117EEC">
        <w:rPr>
          <w:kern w:val="22"/>
        </w:rPr>
        <w:t xml:space="preserve"> The theory of change outlines the intended pathways of change in capacity, the underlying assumptions and the anticipated high-level changes/outcomes. The purpose of the theory of change is to ensure </w:t>
      </w:r>
      <w:r w:rsidRPr="00694029">
        <w:rPr>
          <w:kern w:val="22"/>
        </w:rPr>
        <w:t>that relevant actors are conscious of the causal relationships, the change pathways, the expected changes/capacity results, and the important contextual factors and underlying assumptions.</w:t>
      </w:r>
    </w:p>
    <w:p w14:paraId="69429B2D" w14:textId="77777777" w:rsidR="00D87A97" w:rsidRPr="00117EEC" w:rsidRDefault="00D87A97" w:rsidP="000E369B">
      <w:pPr>
        <w:pStyle w:val="Heading2"/>
        <w:keepNext w:val="0"/>
        <w:numPr>
          <w:ilvl w:val="0"/>
          <w:numId w:val="8"/>
        </w:numPr>
        <w:suppressLineNumbers/>
        <w:suppressAutoHyphens/>
        <w:kinsoku w:val="0"/>
        <w:overflowPunct w:val="0"/>
        <w:autoSpaceDE w:val="0"/>
        <w:autoSpaceDN w:val="0"/>
        <w:adjustRightInd w:val="0"/>
        <w:snapToGrid w:val="0"/>
        <w:ind w:left="714" w:hanging="357"/>
        <w:rPr>
          <w:snapToGrid w:val="0"/>
          <w:kern w:val="22"/>
        </w:rPr>
      </w:pPr>
      <w:bookmarkStart w:id="15" w:name="_Toc57214899"/>
      <w:r w:rsidRPr="00064579">
        <w:rPr>
          <w:snapToGrid w:val="0"/>
          <w:kern w:val="22"/>
        </w:rPr>
        <w:t>Capacity results</w:t>
      </w:r>
      <w:bookmarkEnd w:id="15"/>
    </w:p>
    <w:p w14:paraId="3B4806BB"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after="240"/>
        <w:rPr>
          <w:snapToGrid/>
          <w:kern w:val="22"/>
        </w:rPr>
      </w:pPr>
      <w:r w:rsidRPr="00117EEC">
        <w:rPr>
          <w:kern w:val="22"/>
        </w:rPr>
        <w:t>The strategic framework establishes indicative high-level and long-term capacity</w:t>
      </w:r>
      <w:r w:rsidRPr="00117EEC">
        <w:rPr>
          <w:kern w:val="22"/>
        </w:rPr>
        <w:noBreakHyphen/>
        <w:t>building and development results relevant to [the implementation of the three objectives of the Convention and] the achievement of the post-2020 global biodiversity framework goals and targets and the Sustainable Development Goals (see Box 1). Government and relevant non-government actors are also encouraged to set capacity</w:t>
      </w:r>
      <w:r w:rsidRPr="00117EEC">
        <w:rPr>
          <w:kern w:val="22"/>
        </w:rPr>
        <w:noBreakHyphen/>
        <w:t xml:space="preserve">building and development targets at various levels and clearly include them in relevant documents, such as national biodiversity strategies and action plans, programme strategies and plans. Capacities can be categorized as “functional” capacities (cross-cutting skills needed to get things done and not associated with any one particular sector or theme); and “technical” capacities (associated with specific areas of expertise, </w:t>
      </w:r>
      <w:proofErr w:type="gramStart"/>
      <w:r w:rsidRPr="00117EEC">
        <w:rPr>
          <w:kern w:val="22"/>
        </w:rPr>
        <w:t>sectors</w:t>
      </w:r>
      <w:proofErr w:type="gramEnd"/>
      <w:r w:rsidRPr="00117EEC">
        <w:rPr>
          <w:kern w:val="22"/>
        </w:rPr>
        <w:t xml:space="preserve"> or themes).</w:t>
      </w:r>
    </w:p>
    <w:tbl>
      <w:tblPr>
        <w:tblStyle w:val="TableGrid"/>
        <w:tblW w:w="0" w:type="auto"/>
        <w:tblLook w:val="04A0" w:firstRow="1" w:lastRow="0" w:firstColumn="1" w:lastColumn="0" w:noHBand="0" w:noVBand="1"/>
      </w:tblPr>
      <w:tblGrid>
        <w:gridCol w:w="9350"/>
      </w:tblGrid>
      <w:tr w:rsidR="00D87A97" w:rsidRPr="00117EEC" w14:paraId="2CD2DD6F" w14:textId="77777777" w:rsidTr="00FF4C56">
        <w:tc>
          <w:tcPr>
            <w:tcW w:w="9452" w:type="dxa"/>
            <w:tcBorders>
              <w:top w:val="single" w:sz="4" w:space="0" w:color="auto"/>
              <w:left w:val="single" w:sz="4" w:space="0" w:color="auto"/>
              <w:bottom w:val="single" w:sz="4" w:space="0" w:color="auto"/>
              <w:right w:val="single" w:sz="4" w:space="0" w:color="auto"/>
            </w:tcBorders>
          </w:tcPr>
          <w:p w14:paraId="553717AA" w14:textId="77777777" w:rsidR="00D87A97" w:rsidRPr="00117EEC" w:rsidRDefault="00D87A97" w:rsidP="00FF4C56">
            <w:pPr>
              <w:suppressLineNumbers/>
              <w:suppressAutoHyphens/>
              <w:kinsoku w:val="0"/>
              <w:overflowPunct w:val="0"/>
              <w:autoSpaceDE w:val="0"/>
              <w:autoSpaceDN w:val="0"/>
              <w:adjustRightInd w:val="0"/>
              <w:snapToGrid w:val="0"/>
              <w:spacing w:before="120" w:after="120"/>
              <w:jc w:val="center"/>
              <w:rPr>
                <w:snapToGrid w:val="0"/>
                <w:kern w:val="22"/>
              </w:rPr>
            </w:pPr>
            <w:r w:rsidRPr="00117EEC">
              <w:rPr>
                <w:b/>
                <w:bCs/>
                <w:snapToGrid w:val="0"/>
                <w:color w:val="000000"/>
                <w:kern w:val="22"/>
              </w:rPr>
              <w:t>Box 1. Expected capacity results</w:t>
            </w:r>
          </w:p>
          <w:p w14:paraId="3D93A588" w14:textId="77777777" w:rsidR="00D87A97" w:rsidRPr="00117EEC" w:rsidRDefault="00D87A97" w:rsidP="00FF4C56">
            <w:pPr>
              <w:pStyle w:val="ListParagraph"/>
              <w:suppressLineNumbers/>
              <w:suppressAutoHyphens/>
              <w:kinsoku w:val="0"/>
              <w:overflowPunct w:val="0"/>
              <w:autoSpaceDE w:val="0"/>
              <w:autoSpaceDN w:val="0"/>
              <w:adjustRightInd w:val="0"/>
              <w:snapToGrid w:val="0"/>
              <w:spacing w:after="60"/>
              <w:ind w:left="0"/>
              <w:rPr>
                <w:rFonts w:eastAsia="Calibri"/>
                <w:bCs/>
                <w:snapToGrid w:val="0"/>
                <w:color w:val="000000"/>
                <w:kern w:val="22"/>
              </w:rPr>
            </w:pPr>
            <w:r w:rsidRPr="00117EEC">
              <w:rPr>
                <w:rFonts w:eastAsia="Calibri"/>
                <w:bCs/>
                <w:snapToGrid w:val="0"/>
                <w:color w:val="000000"/>
                <w:kern w:val="22"/>
              </w:rPr>
              <w:t>Long-term, high-level outcomes</w:t>
            </w:r>
          </w:p>
          <w:p w14:paraId="644224E7" w14:textId="77777777" w:rsidR="00D87A97" w:rsidRPr="00117EEC" w:rsidRDefault="00D87A97" w:rsidP="000E369B">
            <w:pPr>
              <w:pStyle w:val="ListParagraph"/>
              <w:numPr>
                <w:ilvl w:val="0"/>
                <w:numId w:val="9"/>
              </w:numPr>
              <w:suppressLineNumbers/>
              <w:suppressAutoHyphens/>
              <w:kinsoku w:val="0"/>
              <w:overflowPunct w:val="0"/>
              <w:autoSpaceDE w:val="0"/>
              <w:autoSpaceDN w:val="0"/>
              <w:adjustRightInd w:val="0"/>
              <w:snapToGrid w:val="0"/>
              <w:rPr>
                <w:rFonts w:eastAsia="Calibri"/>
                <w:bCs/>
                <w:snapToGrid w:val="0"/>
                <w:color w:val="000000"/>
                <w:kern w:val="22"/>
              </w:rPr>
            </w:pPr>
            <w:r w:rsidRPr="00117EEC">
              <w:rPr>
                <w:bCs/>
                <w:snapToGrid w:val="0"/>
                <w:kern w:val="22"/>
              </w:rPr>
              <w:t xml:space="preserve">Successful implementation of </w:t>
            </w:r>
            <w:r w:rsidRPr="00117EEC">
              <w:rPr>
                <w:snapToGrid w:val="0"/>
                <w:kern w:val="22"/>
              </w:rPr>
              <w:t>national biodiversity strategies and action plans [</w:t>
            </w:r>
            <w:r w:rsidRPr="00117EEC">
              <w:rPr>
                <w:bCs/>
                <w:snapToGrid w:val="0"/>
                <w:kern w:val="22"/>
              </w:rPr>
              <w:t>and, if appropriate, their development]</w:t>
            </w:r>
          </w:p>
          <w:p w14:paraId="588E8B3B" w14:textId="77777777" w:rsidR="00D87A97" w:rsidRPr="00117EEC" w:rsidRDefault="00D87A97" w:rsidP="000E369B">
            <w:pPr>
              <w:pStyle w:val="ListParagraph"/>
              <w:numPr>
                <w:ilvl w:val="0"/>
                <w:numId w:val="9"/>
              </w:numPr>
              <w:suppressLineNumbers/>
              <w:suppressAutoHyphens/>
              <w:kinsoku w:val="0"/>
              <w:overflowPunct w:val="0"/>
              <w:autoSpaceDE w:val="0"/>
              <w:autoSpaceDN w:val="0"/>
              <w:adjustRightInd w:val="0"/>
              <w:snapToGrid w:val="0"/>
              <w:rPr>
                <w:rFonts w:eastAsia="Calibri"/>
                <w:bCs/>
                <w:snapToGrid w:val="0"/>
                <w:color w:val="000000"/>
                <w:kern w:val="22"/>
              </w:rPr>
            </w:pPr>
            <w:r w:rsidRPr="00117EEC">
              <w:rPr>
                <w:bCs/>
                <w:snapToGrid w:val="0"/>
                <w:kern w:val="22"/>
              </w:rPr>
              <w:t>Achievement of 2030 targets and 2050 vision of the post-2020 global biodiversity framework</w:t>
            </w:r>
          </w:p>
          <w:p w14:paraId="6F80440D" w14:textId="77777777" w:rsidR="00D87A97" w:rsidRPr="00117EEC" w:rsidRDefault="00D87A97" w:rsidP="000E369B">
            <w:pPr>
              <w:pStyle w:val="ListParagraph"/>
              <w:numPr>
                <w:ilvl w:val="0"/>
                <w:numId w:val="9"/>
              </w:numPr>
              <w:suppressLineNumbers/>
              <w:suppressAutoHyphens/>
              <w:kinsoku w:val="0"/>
              <w:overflowPunct w:val="0"/>
              <w:autoSpaceDE w:val="0"/>
              <w:autoSpaceDN w:val="0"/>
              <w:adjustRightInd w:val="0"/>
              <w:snapToGrid w:val="0"/>
              <w:rPr>
                <w:rFonts w:eastAsia="Calibri"/>
                <w:snapToGrid w:val="0"/>
                <w:color w:val="000000"/>
                <w:kern w:val="22"/>
              </w:rPr>
            </w:pPr>
            <w:r w:rsidRPr="00117EEC">
              <w:rPr>
                <w:bCs/>
                <w:snapToGrid w:val="0"/>
                <w:kern w:val="22"/>
              </w:rPr>
              <w:t>Biodiversity mainstreamed throughout sectors and society</w:t>
            </w:r>
          </w:p>
          <w:p w14:paraId="26BF9CF6" w14:textId="77777777" w:rsidR="00D87A97" w:rsidRPr="00117EEC" w:rsidRDefault="00D87A97" w:rsidP="000E369B">
            <w:pPr>
              <w:pStyle w:val="ListParagraph"/>
              <w:numPr>
                <w:ilvl w:val="0"/>
                <w:numId w:val="9"/>
              </w:numPr>
              <w:suppressLineNumbers/>
              <w:suppressAutoHyphens/>
              <w:kinsoku w:val="0"/>
              <w:overflowPunct w:val="0"/>
              <w:autoSpaceDE w:val="0"/>
              <w:autoSpaceDN w:val="0"/>
              <w:adjustRightInd w:val="0"/>
              <w:snapToGrid w:val="0"/>
              <w:rPr>
                <w:rFonts w:eastAsia="Calibri"/>
                <w:bCs/>
                <w:snapToGrid w:val="0"/>
                <w:color w:val="000000"/>
                <w:kern w:val="22"/>
              </w:rPr>
            </w:pPr>
            <w:r w:rsidRPr="00117EEC">
              <w:rPr>
                <w:color w:val="000000" w:themeColor="text1"/>
              </w:rPr>
              <w:t xml:space="preserve">[Substantial increase in access to and transfer of technology and in effective participation in scientific and technical cooperation, particularly for developing countries] </w:t>
            </w:r>
          </w:p>
          <w:p w14:paraId="1FF5551F" w14:textId="77777777" w:rsidR="00D87A97" w:rsidRPr="00117EEC" w:rsidRDefault="00D87A97" w:rsidP="00FF4C56">
            <w:pPr>
              <w:pStyle w:val="ListParagraph"/>
              <w:suppressLineNumbers/>
              <w:suppressAutoHyphens/>
              <w:kinsoku w:val="0"/>
              <w:overflowPunct w:val="0"/>
              <w:autoSpaceDE w:val="0"/>
              <w:autoSpaceDN w:val="0"/>
              <w:adjustRightInd w:val="0"/>
              <w:snapToGrid w:val="0"/>
              <w:ind w:left="0"/>
              <w:rPr>
                <w:rFonts w:eastAsia="Calibri"/>
                <w:bCs/>
                <w:snapToGrid w:val="0"/>
                <w:color w:val="000000"/>
                <w:kern w:val="22"/>
              </w:rPr>
            </w:pPr>
          </w:p>
          <w:p w14:paraId="21CF523E" w14:textId="77777777" w:rsidR="00D87A97" w:rsidRPr="00117EEC" w:rsidRDefault="00D87A97" w:rsidP="00FF4C56">
            <w:pPr>
              <w:pStyle w:val="ListParagraph"/>
              <w:suppressLineNumbers/>
              <w:suppressAutoHyphens/>
              <w:kinsoku w:val="0"/>
              <w:overflowPunct w:val="0"/>
              <w:autoSpaceDE w:val="0"/>
              <w:autoSpaceDN w:val="0"/>
              <w:adjustRightInd w:val="0"/>
              <w:snapToGrid w:val="0"/>
              <w:spacing w:after="60"/>
              <w:ind w:left="0"/>
              <w:rPr>
                <w:rFonts w:eastAsia="Calibri"/>
                <w:bCs/>
                <w:snapToGrid w:val="0"/>
                <w:color w:val="000000"/>
                <w:kern w:val="22"/>
              </w:rPr>
            </w:pPr>
            <w:r w:rsidRPr="00117EEC">
              <w:rPr>
                <w:rFonts w:eastAsia="Calibri"/>
                <w:bCs/>
                <w:snapToGrid w:val="0"/>
                <w:color w:val="000000"/>
                <w:kern w:val="22"/>
              </w:rPr>
              <w:t>Medium-term outcomes</w:t>
            </w:r>
          </w:p>
          <w:p w14:paraId="2992CF0B" w14:textId="77777777" w:rsidR="00D87A97" w:rsidRPr="00117EEC" w:rsidRDefault="00D87A97" w:rsidP="000E369B">
            <w:pPr>
              <w:pStyle w:val="ListParagraph"/>
              <w:numPr>
                <w:ilvl w:val="0"/>
                <w:numId w:val="10"/>
              </w:numPr>
              <w:suppressLineNumbers/>
              <w:suppressAutoHyphens/>
              <w:kinsoku w:val="0"/>
              <w:overflowPunct w:val="0"/>
              <w:autoSpaceDE w:val="0"/>
              <w:autoSpaceDN w:val="0"/>
              <w:adjustRightInd w:val="0"/>
              <w:snapToGrid w:val="0"/>
              <w:spacing w:after="60"/>
              <w:rPr>
                <w:rFonts w:eastAsia="Calibri"/>
                <w:bCs/>
                <w:snapToGrid w:val="0"/>
                <w:color w:val="000000"/>
                <w:kern w:val="22"/>
              </w:rPr>
            </w:pPr>
            <w:r w:rsidRPr="00117EEC">
              <w:rPr>
                <w:bCs/>
                <w:snapToGrid w:val="0"/>
                <w:kern w:val="22"/>
              </w:rPr>
              <w:t>Sound enabling frameworks and institutional arrangements support achievement of national biodiversity strategies and action plans</w:t>
            </w:r>
          </w:p>
          <w:p w14:paraId="001DAD85" w14:textId="77777777" w:rsidR="00D87A97" w:rsidRPr="00117EEC" w:rsidRDefault="00D87A97" w:rsidP="000E369B">
            <w:pPr>
              <w:pStyle w:val="ListParagraph"/>
              <w:numPr>
                <w:ilvl w:val="0"/>
                <w:numId w:val="10"/>
              </w:numPr>
              <w:suppressLineNumbers/>
              <w:suppressAutoHyphens/>
              <w:kinsoku w:val="0"/>
              <w:overflowPunct w:val="0"/>
              <w:autoSpaceDE w:val="0"/>
              <w:autoSpaceDN w:val="0"/>
              <w:adjustRightInd w:val="0"/>
              <w:snapToGrid w:val="0"/>
              <w:spacing w:after="60"/>
              <w:rPr>
                <w:rFonts w:eastAsia="Calibri"/>
                <w:bCs/>
                <w:snapToGrid w:val="0"/>
                <w:color w:val="000000"/>
                <w:kern w:val="22"/>
              </w:rPr>
            </w:pPr>
            <w:r w:rsidRPr="00117EEC">
              <w:rPr>
                <w:rFonts w:eastAsia="Calibri"/>
                <w:bCs/>
                <w:snapToGrid w:val="0"/>
                <w:color w:val="000000"/>
                <w:kern w:val="22"/>
              </w:rPr>
              <w:t>Strategic partnerships and learning networks enhance biodiversity conservation and sustainable use efforts along with the equitable sharing of benefits arising from the use of genetic resources</w:t>
            </w:r>
          </w:p>
          <w:p w14:paraId="0D967699" w14:textId="77777777" w:rsidR="00D87A97" w:rsidRPr="00117EEC" w:rsidRDefault="00D87A97" w:rsidP="000E369B">
            <w:pPr>
              <w:pStyle w:val="ListParagraph"/>
              <w:numPr>
                <w:ilvl w:val="0"/>
                <w:numId w:val="10"/>
              </w:numPr>
              <w:suppressLineNumbers/>
              <w:suppressAutoHyphens/>
              <w:kinsoku w:val="0"/>
              <w:overflowPunct w:val="0"/>
              <w:autoSpaceDE w:val="0"/>
              <w:autoSpaceDN w:val="0"/>
              <w:adjustRightInd w:val="0"/>
              <w:snapToGrid w:val="0"/>
              <w:spacing w:after="60"/>
              <w:rPr>
                <w:rFonts w:eastAsia="Calibri"/>
                <w:bCs/>
                <w:snapToGrid w:val="0"/>
                <w:color w:val="000000"/>
                <w:kern w:val="22"/>
              </w:rPr>
            </w:pPr>
            <w:r w:rsidRPr="00117EEC">
              <w:rPr>
                <w:rFonts w:eastAsia="Calibri"/>
                <w:bCs/>
                <w:snapToGrid w:val="0"/>
                <w:color w:val="000000"/>
                <w:kern w:val="22"/>
              </w:rPr>
              <w:t>High-quality programmes and projects that are technically sound, have realistic and achievable plans, address gender and youth considerations, and embed monitoring</w:t>
            </w:r>
          </w:p>
          <w:p w14:paraId="605096A9" w14:textId="77777777" w:rsidR="00D87A97" w:rsidRPr="00117EEC" w:rsidRDefault="00D87A97" w:rsidP="000E369B">
            <w:pPr>
              <w:pStyle w:val="ListParagraph"/>
              <w:numPr>
                <w:ilvl w:val="0"/>
                <w:numId w:val="10"/>
              </w:numPr>
              <w:suppressLineNumbers/>
              <w:suppressAutoHyphens/>
              <w:kinsoku w:val="0"/>
              <w:overflowPunct w:val="0"/>
              <w:autoSpaceDE w:val="0"/>
              <w:autoSpaceDN w:val="0"/>
              <w:adjustRightInd w:val="0"/>
              <w:snapToGrid w:val="0"/>
              <w:spacing w:after="60"/>
              <w:rPr>
                <w:rFonts w:eastAsia="Calibri"/>
                <w:snapToGrid w:val="0"/>
                <w:color w:val="000000"/>
                <w:kern w:val="22"/>
              </w:rPr>
            </w:pPr>
            <w:r w:rsidRPr="00117EEC">
              <w:rPr>
                <w:rFonts w:eastAsia="Calibri"/>
                <w:snapToGrid w:val="0"/>
                <w:color w:val="000000"/>
                <w:kern w:val="22"/>
              </w:rPr>
              <w:t>Effective monitoring and evaluation (M&amp;E) and learning processes embedded into projects and programmes from the start, to support evidence-based decision-making at all levels</w:t>
            </w:r>
          </w:p>
          <w:p w14:paraId="0EB0B9C1" w14:textId="77777777" w:rsidR="00D87A97" w:rsidRPr="00117EEC" w:rsidRDefault="00D87A97" w:rsidP="000E369B">
            <w:pPr>
              <w:pStyle w:val="ListParagraph"/>
              <w:numPr>
                <w:ilvl w:val="0"/>
                <w:numId w:val="11"/>
              </w:numPr>
              <w:suppressLineNumbers/>
              <w:suppressAutoHyphens/>
              <w:kinsoku w:val="0"/>
              <w:overflowPunct w:val="0"/>
              <w:autoSpaceDE w:val="0"/>
              <w:autoSpaceDN w:val="0"/>
              <w:adjustRightInd w:val="0"/>
              <w:snapToGrid w:val="0"/>
              <w:spacing w:after="120"/>
              <w:rPr>
                <w:rFonts w:eastAsia="Calibri"/>
                <w:bCs/>
                <w:snapToGrid w:val="0"/>
                <w:color w:val="000000"/>
                <w:kern w:val="22"/>
              </w:rPr>
            </w:pPr>
            <w:r w:rsidRPr="00117EEC">
              <w:rPr>
                <w:rFonts w:eastAsia="Calibri"/>
                <w:bCs/>
                <w:snapToGrid w:val="0"/>
                <w:color w:val="000000"/>
                <w:kern w:val="22"/>
              </w:rPr>
              <w:t>Reinforcing mechanisms, incentive structures and investments ensure utilization and retention of capacity of all types at all levels</w:t>
            </w:r>
          </w:p>
        </w:tc>
      </w:tr>
    </w:tbl>
    <w:p w14:paraId="3085A745" w14:textId="77777777" w:rsidR="00D87A97" w:rsidRPr="00117EEC" w:rsidRDefault="00D87A97" w:rsidP="00D87A97">
      <w:pPr>
        <w:pStyle w:val="Heading1"/>
        <w:suppressLineNumbers/>
        <w:tabs>
          <w:tab w:val="left" w:pos="426"/>
        </w:tabs>
        <w:suppressAutoHyphens/>
        <w:kinsoku w:val="0"/>
        <w:overflowPunct w:val="0"/>
        <w:autoSpaceDE w:val="0"/>
        <w:autoSpaceDN w:val="0"/>
        <w:adjustRightInd w:val="0"/>
        <w:snapToGrid w:val="0"/>
        <w:ind w:right="14"/>
        <w:rPr>
          <w:bCs/>
          <w:snapToGrid w:val="0"/>
          <w:kern w:val="22"/>
        </w:rPr>
      </w:pPr>
      <w:bookmarkStart w:id="16" w:name="_Toc57214900"/>
      <w:r w:rsidRPr="00117EEC">
        <w:rPr>
          <w:bCs/>
          <w:snapToGrid w:val="0"/>
          <w:kern w:val="22"/>
        </w:rPr>
        <w:lastRenderedPageBreak/>
        <w:t>III.</w:t>
      </w:r>
      <w:r w:rsidRPr="00117EEC">
        <w:rPr>
          <w:bCs/>
          <w:snapToGrid w:val="0"/>
          <w:kern w:val="22"/>
        </w:rPr>
        <w:tab/>
      </w:r>
      <w:r w:rsidRPr="00117EEC">
        <w:rPr>
          <w:rFonts w:ascii="Times New Roman Bold" w:hAnsi="Times New Roman Bold"/>
          <w:bCs/>
          <w:snapToGrid w:val="0"/>
          <w:kern w:val="22"/>
        </w:rPr>
        <w:t>Guiding principles</w:t>
      </w:r>
      <w:bookmarkEnd w:id="16"/>
    </w:p>
    <w:p w14:paraId="126EC189"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snapToGrid/>
          <w:kern w:val="22"/>
          <w:szCs w:val="22"/>
        </w:rPr>
      </w:pPr>
      <w:r w:rsidRPr="00117EEC">
        <w:rPr>
          <w:kern w:val="22"/>
          <w:szCs w:val="22"/>
        </w:rPr>
        <w:t>Governments and non-governmental actors [including indigenous peoples and local communities and relevant international organizations,] are encouraged to apply the following overarching guiding principles, [</w:t>
      </w:r>
      <w:r w:rsidRPr="00117EEC">
        <w:rPr>
          <w:kern w:val="22"/>
        </w:rPr>
        <w:t>in support of priorities for capacity</w:t>
      </w:r>
      <w:r w:rsidRPr="00117EEC">
        <w:rPr>
          <w:kern w:val="22"/>
        </w:rPr>
        <w:noBreakHyphen/>
        <w:t>building and development determined by Parties in their national biodiversity strategies and action plans],</w:t>
      </w:r>
      <w:r w:rsidRPr="00117EEC">
        <w:rPr>
          <w:kern w:val="22"/>
          <w:szCs w:val="22"/>
        </w:rPr>
        <w:t xml:space="preserve"> which, if applied, would contribute to more effective and sustainable capacities to support the post-2020 </w:t>
      </w:r>
      <w:r w:rsidRPr="00117EEC">
        <w:rPr>
          <w:kern w:val="22"/>
        </w:rPr>
        <w:t>global biodiversity framework</w:t>
      </w:r>
      <w:r w:rsidRPr="00117EEC">
        <w:rPr>
          <w:kern w:val="22"/>
          <w:szCs w:val="22"/>
        </w:rPr>
        <w:t>:</w:t>
      </w:r>
    </w:p>
    <w:p w14:paraId="3E03527A" w14:textId="77777777" w:rsidR="00D87A97" w:rsidRPr="00117EEC" w:rsidRDefault="00D87A97" w:rsidP="000E369B">
      <w:pPr>
        <w:pStyle w:val="ListParagraph"/>
        <w:numPr>
          <w:ilvl w:val="0"/>
          <w:numId w:val="12"/>
        </w:numPr>
        <w:suppressLineNumbers/>
        <w:suppressAutoHyphens/>
        <w:kinsoku w:val="0"/>
        <w:overflowPunct w:val="0"/>
        <w:autoSpaceDE w:val="0"/>
        <w:autoSpaceDN w:val="0"/>
        <w:adjustRightInd w:val="0"/>
        <w:snapToGrid w:val="0"/>
        <w:spacing w:after="120"/>
        <w:ind w:left="0" w:firstLine="720"/>
        <w:contextualSpacing w:val="0"/>
        <w:rPr>
          <w:snapToGrid w:val="0"/>
          <w:color w:val="000000"/>
          <w:kern w:val="22"/>
        </w:rPr>
      </w:pPr>
      <w:r w:rsidRPr="00117EEC">
        <w:rPr>
          <w:snapToGrid w:val="0"/>
          <w:color w:val="000000"/>
          <w:kern w:val="22"/>
        </w:rPr>
        <w:t xml:space="preserve">Inclusive analysis of existing capacities and needs is essential to ensure effective </w:t>
      </w:r>
      <w:proofErr w:type="gramStart"/>
      <w:r w:rsidRPr="00117EEC">
        <w:rPr>
          <w:snapToGrid w:val="0"/>
          <w:color w:val="000000"/>
          <w:kern w:val="22"/>
        </w:rPr>
        <w:t>interventions;</w:t>
      </w:r>
      <w:proofErr w:type="gramEnd"/>
    </w:p>
    <w:p w14:paraId="207FE485" w14:textId="77777777" w:rsidR="00D87A97" w:rsidRPr="00117EEC" w:rsidRDefault="00D87A97" w:rsidP="000E369B">
      <w:pPr>
        <w:pStyle w:val="ListParagraph"/>
        <w:numPr>
          <w:ilvl w:val="0"/>
          <w:numId w:val="12"/>
        </w:numPr>
        <w:suppressLineNumbers/>
        <w:suppressAutoHyphens/>
        <w:kinsoku w:val="0"/>
        <w:overflowPunct w:val="0"/>
        <w:autoSpaceDE w:val="0"/>
        <w:autoSpaceDN w:val="0"/>
        <w:adjustRightInd w:val="0"/>
        <w:snapToGrid w:val="0"/>
        <w:spacing w:after="120"/>
        <w:ind w:left="0" w:firstLine="720"/>
        <w:contextualSpacing w:val="0"/>
        <w:rPr>
          <w:snapToGrid w:val="0"/>
          <w:color w:val="000000"/>
          <w:kern w:val="22"/>
        </w:rPr>
      </w:pPr>
      <w:r w:rsidRPr="00117EEC">
        <w:rPr>
          <w:snapToGrid w:val="0"/>
          <w:color w:val="000000"/>
          <w:kern w:val="22"/>
        </w:rPr>
        <w:t>Country ownership and commitment should be cornerstones for capacity</w:t>
      </w:r>
      <w:r w:rsidRPr="00117EEC">
        <w:rPr>
          <w:snapToGrid w:val="0"/>
          <w:color w:val="000000"/>
          <w:kern w:val="22"/>
        </w:rPr>
        <w:noBreakHyphen/>
        <w:t xml:space="preserve">building and development </w:t>
      </w:r>
      <w:proofErr w:type="gramStart"/>
      <w:r w:rsidRPr="00117EEC">
        <w:rPr>
          <w:snapToGrid w:val="0"/>
          <w:color w:val="000000"/>
          <w:kern w:val="22"/>
        </w:rPr>
        <w:t>actions;</w:t>
      </w:r>
      <w:proofErr w:type="gramEnd"/>
    </w:p>
    <w:p w14:paraId="656E7FC1" w14:textId="77777777" w:rsidR="00D87A97" w:rsidRPr="00117EEC" w:rsidRDefault="00D87A97" w:rsidP="000E369B">
      <w:pPr>
        <w:pStyle w:val="ListParagraph"/>
        <w:numPr>
          <w:ilvl w:val="0"/>
          <w:numId w:val="12"/>
        </w:numPr>
        <w:suppressLineNumbers/>
        <w:suppressAutoHyphens/>
        <w:kinsoku w:val="0"/>
        <w:overflowPunct w:val="0"/>
        <w:autoSpaceDE w:val="0"/>
        <w:autoSpaceDN w:val="0"/>
        <w:adjustRightInd w:val="0"/>
        <w:snapToGrid w:val="0"/>
        <w:spacing w:after="120"/>
        <w:ind w:left="0" w:firstLine="720"/>
        <w:contextualSpacing w:val="0"/>
        <w:rPr>
          <w:snapToGrid w:val="0"/>
          <w:color w:val="000000"/>
          <w:kern w:val="22"/>
        </w:rPr>
      </w:pPr>
      <w:r w:rsidRPr="00117EEC">
        <w:rPr>
          <w:snapToGrid w:val="0"/>
          <w:color w:val="000000"/>
          <w:kern w:val="22"/>
        </w:rPr>
        <w:t>Strategic and integrated system-wide approaches to capacity</w:t>
      </w:r>
      <w:r w:rsidRPr="00117EEC">
        <w:rPr>
          <w:snapToGrid w:val="0"/>
          <w:color w:val="000000"/>
          <w:kern w:val="22"/>
        </w:rPr>
        <w:noBreakHyphen/>
        <w:t xml:space="preserve">building and development should be </w:t>
      </w:r>
      <w:proofErr w:type="gramStart"/>
      <w:r w:rsidRPr="00117EEC">
        <w:rPr>
          <w:snapToGrid w:val="0"/>
          <w:color w:val="000000"/>
          <w:kern w:val="22"/>
        </w:rPr>
        <w:t>promoted;</w:t>
      </w:r>
      <w:proofErr w:type="gramEnd"/>
    </w:p>
    <w:p w14:paraId="5B280D37" w14:textId="77777777" w:rsidR="00D87A97" w:rsidRPr="00117EEC" w:rsidRDefault="00D87A97" w:rsidP="000E369B">
      <w:pPr>
        <w:pStyle w:val="ListParagraph"/>
        <w:numPr>
          <w:ilvl w:val="0"/>
          <w:numId w:val="12"/>
        </w:numPr>
        <w:suppressLineNumbers/>
        <w:suppressAutoHyphens/>
        <w:kinsoku w:val="0"/>
        <w:overflowPunct w:val="0"/>
        <w:autoSpaceDE w:val="0"/>
        <w:autoSpaceDN w:val="0"/>
        <w:adjustRightInd w:val="0"/>
        <w:snapToGrid w:val="0"/>
        <w:spacing w:after="120"/>
        <w:ind w:left="0" w:firstLine="720"/>
        <w:contextualSpacing w:val="0"/>
        <w:rPr>
          <w:snapToGrid w:val="0"/>
          <w:color w:val="000000" w:themeColor="text1"/>
          <w:kern w:val="22"/>
        </w:rPr>
      </w:pPr>
      <w:r w:rsidRPr="00117EEC">
        <w:rPr>
          <w:snapToGrid w:val="0"/>
          <w:color w:val="000000"/>
          <w:kern w:val="22"/>
        </w:rPr>
        <w:t>Interventions</w:t>
      </w:r>
      <w:r w:rsidRPr="00117EEC">
        <w:rPr>
          <w:snapToGrid w:val="0"/>
          <w:color w:val="000000" w:themeColor="text1"/>
          <w:kern w:val="22"/>
        </w:rPr>
        <w:t xml:space="preserve"> should be designed and implemented according to recognized good practice and lessons </w:t>
      </w:r>
      <w:proofErr w:type="gramStart"/>
      <w:r w:rsidRPr="00117EEC">
        <w:rPr>
          <w:snapToGrid w:val="0"/>
          <w:color w:val="000000" w:themeColor="text1"/>
          <w:kern w:val="22"/>
        </w:rPr>
        <w:t>learned;</w:t>
      </w:r>
      <w:proofErr w:type="gramEnd"/>
    </w:p>
    <w:p w14:paraId="2A8FEBB8" w14:textId="77777777" w:rsidR="00D87A97" w:rsidRPr="00117EEC" w:rsidRDefault="00D87A97" w:rsidP="000E369B">
      <w:pPr>
        <w:pStyle w:val="ListParagraph"/>
        <w:numPr>
          <w:ilvl w:val="0"/>
          <w:numId w:val="12"/>
        </w:numPr>
        <w:suppressLineNumbers/>
        <w:suppressAutoHyphens/>
        <w:kinsoku w:val="0"/>
        <w:overflowPunct w:val="0"/>
        <w:autoSpaceDE w:val="0"/>
        <w:autoSpaceDN w:val="0"/>
        <w:adjustRightInd w:val="0"/>
        <w:snapToGrid w:val="0"/>
        <w:spacing w:after="120"/>
        <w:ind w:left="0" w:firstLine="720"/>
        <w:contextualSpacing w:val="0"/>
        <w:rPr>
          <w:snapToGrid w:val="0"/>
          <w:kern w:val="22"/>
        </w:rPr>
      </w:pPr>
      <w:r w:rsidRPr="00117EEC">
        <w:rPr>
          <w:snapToGrid w:val="0"/>
          <w:color w:val="000000"/>
          <w:kern w:val="22"/>
        </w:rPr>
        <w:t>Gender</w:t>
      </w:r>
      <w:r w:rsidRPr="00117EEC">
        <w:rPr>
          <w:snapToGrid w:val="0"/>
          <w:kern w:val="22"/>
        </w:rPr>
        <w:t xml:space="preserve"> and youth perspectives should be fully integrated into biodiversity capacity</w:t>
      </w:r>
      <w:r w:rsidRPr="00117EEC">
        <w:rPr>
          <w:snapToGrid w:val="0"/>
          <w:kern w:val="22"/>
        </w:rPr>
        <w:noBreakHyphen/>
        <w:t xml:space="preserve">building and development efforts taking into account the post-2020 Gender Plan of </w:t>
      </w:r>
      <w:proofErr w:type="gramStart"/>
      <w:r w:rsidRPr="00117EEC">
        <w:rPr>
          <w:snapToGrid w:val="0"/>
          <w:kern w:val="22"/>
        </w:rPr>
        <w:t>Action;</w:t>
      </w:r>
      <w:proofErr w:type="gramEnd"/>
    </w:p>
    <w:p w14:paraId="6E52CB88" w14:textId="77777777" w:rsidR="00D87A97" w:rsidRPr="00117EEC" w:rsidRDefault="00D87A97" w:rsidP="000E369B">
      <w:pPr>
        <w:pStyle w:val="ListParagraph"/>
        <w:numPr>
          <w:ilvl w:val="0"/>
          <w:numId w:val="12"/>
        </w:numPr>
        <w:suppressLineNumbers/>
        <w:suppressAutoHyphens/>
        <w:kinsoku w:val="0"/>
        <w:overflowPunct w:val="0"/>
        <w:autoSpaceDE w:val="0"/>
        <w:autoSpaceDN w:val="0"/>
        <w:adjustRightInd w:val="0"/>
        <w:snapToGrid w:val="0"/>
        <w:spacing w:after="120"/>
        <w:ind w:left="0" w:firstLine="720"/>
        <w:contextualSpacing w:val="0"/>
        <w:rPr>
          <w:snapToGrid w:val="0"/>
          <w:color w:val="000000" w:themeColor="text1"/>
          <w:kern w:val="22"/>
        </w:rPr>
      </w:pPr>
      <w:r w:rsidRPr="00117EEC">
        <w:rPr>
          <w:snapToGrid w:val="0"/>
          <w:color w:val="000000"/>
          <w:kern w:val="22"/>
        </w:rPr>
        <w:t>Monitoring</w:t>
      </w:r>
      <w:r w:rsidRPr="00117EEC">
        <w:rPr>
          <w:snapToGrid w:val="0"/>
          <w:color w:val="000000" w:themeColor="text1"/>
          <w:kern w:val="22"/>
        </w:rPr>
        <w:t>, evaluation and learning frameworks should be incorporated into capacity</w:t>
      </w:r>
      <w:r w:rsidRPr="00117EEC">
        <w:rPr>
          <w:snapToGrid w:val="0"/>
          <w:color w:val="000000" w:themeColor="text1"/>
          <w:kern w:val="22"/>
        </w:rPr>
        <w:noBreakHyphen/>
        <w:t>building and development strategies, plans and programmes from the start.</w:t>
      </w:r>
    </w:p>
    <w:p w14:paraId="79570A80" w14:textId="77777777" w:rsidR="00D87A97" w:rsidRPr="00117EEC" w:rsidRDefault="00D87A97" w:rsidP="00D87A97">
      <w:pPr>
        <w:pStyle w:val="Heading1"/>
        <w:suppressLineNumbers/>
        <w:tabs>
          <w:tab w:val="left" w:pos="567"/>
        </w:tabs>
        <w:suppressAutoHyphens/>
        <w:kinsoku w:val="0"/>
        <w:overflowPunct w:val="0"/>
        <w:autoSpaceDE w:val="0"/>
        <w:autoSpaceDN w:val="0"/>
        <w:adjustRightInd w:val="0"/>
        <w:snapToGrid w:val="0"/>
        <w:ind w:right="-130"/>
        <w:rPr>
          <w:snapToGrid w:val="0"/>
          <w:kern w:val="22"/>
        </w:rPr>
      </w:pPr>
      <w:bookmarkStart w:id="17" w:name="_Toc57214901"/>
      <w:r w:rsidRPr="00117EEC">
        <w:rPr>
          <w:snapToGrid w:val="0"/>
          <w:kern w:val="22"/>
        </w:rPr>
        <w:t>I</w:t>
      </w:r>
      <w:bookmarkStart w:id="18" w:name="_Toc39228093"/>
      <w:r w:rsidRPr="00117EEC">
        <w:rPr>
          <w:snapToGrid w:val="0"/>
          <w:kern w:val="22"/>
        </w:rPr>
        <w:t>V.</w:t>
      </w:r>
      <w:r w:rsidRPr="00117EEC">
        <w:rPr>
          <w:bCs/>
          <w:snapToGrid w:val="0"/>
          <w:kern w:val="22"/>
        </w:rPr>
        <w:tab/>
      </w:r>
      <w:r w:rsidRPr="00117EEC">
        <w:rPr>
          <w:snapToGrid w:val="0"/>
          <w:kern w:val="22"/>
        </w:rPr>
        <w:t>Key strategies to improve capacity</w:t>
      </w:r>
      <w:r w:rsidRPr="00117EEC">
        <w:rPr>
          <w:snapToGrid w:val="0"/>
          <w:kern w:val="22"/>
        </w:rPr>
        <w:noBreakHyphen/>
        <w:t>building and development</w:t>
      </w:r>
      <w:bookmarkEnd w:id="17"/>
      <w:bookmarkEnd w:id="18"/>
    </w:p>
    <w:p w14:paraId="1B3AD87F"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rPr>
          <w:snapToGrid/>
          <w:kern w:val="22"/>
        </w:rPr>
      </w:pPr>
      <w:r w:rsidRPr="00117EEC">
        <w:rPr>
          <w:kern w:val="22"/>
        </w:rPr>
        <w:t>Government and non-government actors are encouraged to adopt, as appropriate, the strategies below to enhance capacity</w:t>
      </w:r>
      <w:r w:rsidRPr="00117EEC">
        <w:rPr>
          <w:kern w:val="22"/>
        </w:rPr>
        <w:noBreakHyphen/>
        <w:t xml:space="preserve">building and development initiatives in support of the post-2020 global biodiversity framework and ensure alignment and synergy with the Sustainable Development Goals and other relevant national and global processes. Each country should decide which strategies to apply, </w:t>
      </w:r>
      <w:proofErr w:type="gramStart"/>
      <w:r w:rsidRPr="00117EEC">
        <w:rPr>
          <w:kern w:val="22"/>
        </w:rPr>
        <w:t>taking into account</w:t>
      </w:r>
      <w:proofErr w:type="gramEnd"/>
      <w:r w:rsidRPr="00117EEC">
        <w:rPr>
          <w:kern w:val="22"/>
        </w:rPr>
        <w:t xml:space="preserve"> its needs, circumstances and local contexts:</w:t>
      </w:r>
    </w:p>
    <w:p w14:paraId="3B904DB0"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bookmarkStart w:id="19" w:name="_Toc39228094"/>
      <w:r w:rsidRPr="00117EEC">
        <w:rPr>
          <w:i/>
          <w:snapToGrid w:val="0"/>
          <w:kern w:val="22"/>
        </w:rPr>
        <w:t>Institutionalize capacity</w:t>
      </w:r>
      <w:r w:rsidRPr="00117EEC">
        <w:rPr>
          <w:i/>
          <w:snapToGrid w:val="0"/>
          <w:kern w:val="22"/>
        </w:rPr>
        <w:noBreakHyphen/>
        <w:t>building and development</w:t>
      </w:r>
      <w:bookmarkEnd w:id="19"/>
      <w:r w:rsidRPr="00117EEC">
        <w:rPr>
          <w:snapToGrid w:val="0"/>
          <w:kern w:val="22"/>
        </w:rPr>
        <w:t>: E</w:t>
      </w:r>
      <w:r w:rsidRPr="00117EEC">
        <w:rPr>
          <w:snapToGrid w:val="0"/>
          <w:kern w:val="22"/>
          <w:szCs w:val="22"/>
        </w:rPr>
        <w:t>nsure</w:t>
      </w:r>
      <w:r w:rsidRPr="00117EEC">
        <w:rPr>
          <w:snapToGrid w:val="0"/>
          <w:kern w:val="22"/>
        </w:rPr>
        <w:t xml:space="preserve"> that capacity</w:t>
      </w:r>
      <w:r w:rsidRPr="00117EEC">
        <w:rPr>
          <w:snapToGrid w:val="0"/>
          <w:kern w:val="22"/>
        </w:rPr>
        <w:noBreakHyphen/>
        <w:t xml:space="preserve">building and development interventions are planned and delivered as an integral part of the institutions’ broader corporate strategic plans, ongoing human resources and organizational development and knowledge management, organizational learning, mentorship and peer-to-peer support, nurturing of communities of practice, and systematic sharing of experiences, best practices and lessons </w:t>
      </w:r>
      <w:proofErr w:type="gramStart"/>
      <w:r w:rsidRPr="00117EEC">
        <w:rPr>
          <w:snapToGrid w:val="0"/>
          <w:kern w:val="22"/>
        </w:rPr>
        <w:t>learned</w:t>
      </w:r>
      <w:r w:rsidRPr="00117EEC">
        <w:rPr>
          <w:snapToGrid w:val="0"/>
          <w:kern w:val="22"/>
          <w:szCs w:val="22"/>
        </w:rPr>
        <w:t>;</w:t>
      </w:r>
      <w:bookmarkStart w:id="20" w:name="_Toc39228095"/>
      <w:proofErr w:type="gramEnd"/>
    </w:p>
    <w:p w14:paraId="2A0132B4"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Integrate long-term capacity</w:t>
      </w:r>
      <w:r w:rsidRPr="00117EEC">
        <w:rPr>
          <w:i/>
          <w:snapToGrid w:val="0"/>
          <w:kern w:val="22"/>
        </w:rPr>
        <w:noBreakHyphen/>
        <w:t>building and development into national biodiversity strategies and action plans</w:t>
      </w:r>
      <w:bookmarkEnd w:id="20"/>
      <w:r w:rsidRPr="00117EEC">
        <w:rPr>
          <w:i/>
          <w:snapToGrid w:val="0"/>
          <w:kern w:val="22"/>
        </w:rPr>
        <w:t>:</w:t>
      </w:r>
      <w:r w:rsidRPr="00117EEC">
        <w:rPr>
          <w:snapToGrid w:val="0"/>
          <w:kern w:val="22"/>
        </w:rPr>
        <w:t xml:space="preserve"> Integrate capacity</w:t>
      </w:r>
      <w:r w:rsidRPr="00117EEC">
        <w:rPr>
          <w:snapToGrid w:val="0"/>
          <w:kern w:val="22"/>
        </w:rPr>
        <w:noBreakHyphen/>
        <w:t>building and development components into national biodiversity strategies and action plans and similar strategic documents or develop dedicated national capacity</w:t>
      </w:r>
      <w:r w:rsidRPr="00117EEC">
        <w:rPr>
          <w:snapToGrid w:val="0"/>
          <w:kern w:val="22"/>
        </w:rPr>
        <w:noBreakHyphen/>
        <w:t>building and development action plans, as appropriate,</w:t>
      </w:r>
      <w:r w:rsidRPr="00117EEC">
        <w:rPr>
          <w:rStyle w:val="FootnoteReference"/>
          <w:snapToGrid w:val="0"/>
          <w:kern w:val="22"/>
        </w:rPr>
        <w:footnoteReference w:id="20"/>
      </w:r>
      <w:r w:rsidRPr="00117EEC">
        <w:rPr>
          <w:snapToGrid w:val="0"/>
          <w:kern w:val="22"/>
        </w:rPr>
        <w:t xml:space="preserve"> to identify the core </w:t>
      </w:r>
      <w:r w:rsidRPr="00694029">
        <w:rPr>
          <w:snapToGrid w:val="0"/>
          <w:kern w:val="22"/>
        </w:rPr>
        <w:t>capacity</w:t>
      </w:r>
      <w:r w:rsidRPr="00D71EDE">
        <w:rPr>
          <w:snapToGrid w:val="0"/>
          <w:kern w:val="22"/>
        </w:rPr>
        <w:noBreakHyphen/>
      </w:r>
      <w:r w:rsidRPr="00117EEC">
        <w:rPr>
          <w:snapToGrid w:val="0"/>
          <w:kern w:val="22"/>
        </w:rPr>
        <w:t>building and development needs, goals, targets and milestones and foster their alignment with the strategic framework, alongside initiatives on related Sustainable Development Goals. This would help ensure that capacity</w:t>
      </w:r>
      <w:r w:rsidRPr="00117EEC">
        <w:rPr>
          <w:snapToGrid w:val="0"/>
          <w:kern w:val="22"/>
        </w:rPr>
        <w:noBreakHyphen/>
        <w:t>building and development for biodiversity is planned strategically and streamlined into national development investments and budgeting processes; [These plans are encouraged to include plans on youth engagement and capacity</w:t>
      </w:r>
      <w:r w:rsidRPr="00117EEC">
        <w:rPr>
          <w:snapToGrid w:val="0"/>
          <w:kern w:val="22"/>
        </w:rPr>
        <w:noBreakHyphen/>
        <w:t>building and development and integrate inter-generational initiatives;]</w:t>
      </w:r>
    </w:p>
    <w:p w14:paraId="0B02EE19"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Increase focus on life-</w:t>
      </w:r>
      <w:r w:rsidRPr="00117EEC">
        <w:rPr>
          <w:i/>
          <w:iCs/>
          <w:snapToGrid w:val="0"/>
          <w:kern w:val="22"/>
        </w:rPr>
        <w:t xml:space="preserve">long </w:t>
      </w:r>
      <w:proofErr w:type="gramStart"/>
      <w:r w:rsidRPr="00117EEC">
        <w:rPr>
          <w:i/>
          <w:iCs/>
          <w:snapToGrid w:val="0"/>
          <w:kern w:val="22"/>
        </w:rPr>
        <w:t>learning</w:t>
      </w:r>
      <w:r w:rsidRPr="00117EEC">
        <w:rPr>
          <w:snapToGrid w:val="0"/>
          <w:kern w:val="22"/>
        </w:rPr>
        <w:t>;</w:t>
      </w:r>
      <w:proofErr w:type="gramEnd"/>
    </w:p>
    <w:p w14:paraId="0A74EC3C" w14:textId="51B737A8"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spacing w:val="-2"/>
          <w:kern w:val="22"/>
        </w:rPr>
      </w:pPr>
      <w:r w:rsidRPr="00117EEC">
        <w:rPr>
          <w:i/>
          <w:snapToGrid w:val="0"/>
          <w:spacing w:val="-2"/>
          <w:kern w:val="22"/>
        </w:rPr>
        <w:t>Align biodiversity capacity</w:t>
      </w:r>
      <w:r w:rsidRPr="00117EEC">
        <w:rPr>
          <w:i/>
          <w:snapToGrid w:val="0"/>
          <w:spacing w:val="-2"/>
          <w:kern w:val="22"/>
        </w:rPr>
        <w:noBreakHyphen/>
        <w:t>building and development with broader cross-sectoral plans and programmes:</w:t>
      </w:r>
      <w:r w:rsidRPr="00117EEC">
        <w:rPr>
          <w:snapToGrid w:val="0"/>
          <w:spacing w:val="-2"/>
          <w:kern w:val="22"/>
        </w:rPr>
        <w:t xml:space="preserve"> Apply the whole-of-government and whole-of-society approaches to national implementation proposed in the post-2020 </w:t>
      </w:r>
      <w:r w:rsidRPr="00117EEC">
        <w:rPr>
          <w:snapToGrid w:val="0"/>
          <w:spacing w:val="-2"/>
          <w:kern w:val="22"/>
          <w:szCs w:val="22"/>
        </w:rPr>
        <w:t xml:space="preserve">global biodiversity </w:t>
      </w:r>
      <w:r w:rsidRPr="00117EEC">
        <w:rPr>
          <w:snapToGrid w:val="0"/>
          <w:spacing w:val="-2"/>
          <w:kern w:val="22"/>
        </w:rPr>
        <w:t>framework to galvanize capacity</w:t>
      </w:r>
      <w:r w:rsidRPr="00117EEC">
        <w:rPr>
          <w:snapToGrid w:val="0"/>
          <w:spacing w:val="-2"/>
          <w:kern w:val="22"/>
        </w:rPr>
        <w:noBreakHyphen/>
        <w:t>building and development for the achievement of the Sustainable Development Goal</w:t>
      </w:r>
      <w:r w:rsidRPr="00117EEC">
        <w:rPr>
          <w:snapToGrid w:val="0"/>
          <w:spacing w:val="-2"/>
          <w:kern w:val="22"/>
          <w:szCs w:val="22"/>
        </w:rPr>
        <w:t>s</w:t>
      </w:r>
      <w:r w:rsidRPr="00117EEC">
        <w:rPr>
          <w:snapToGrid w:val="0"/>
          <w:spacing w:val="-2"/>
          <w:kern w:val="22"/>
        </w:rPr>
        <w:t xml:space="preserve"> and the biodiversity goals and targets. Focal points of </w:t>
      </w:r>
      <w:r w:rsidRPr="00117EEC">
        <w:rPr>
          <w:snapToGrid w:val="0"/>
          <w:spacing w:val="-2"/>
          <w:kern w:val="22"/>
        </w:rPr>
        <w:lastRenderedPageBreak/>
        <w:t xml:space="preserve">the Rio </w:t>
      </w:r>
      <w:r w:rsidRPr="00117EEC">
        <w:rPr>
          <w:snapToGrid w:val="0"/>
          <w:spacing w:val="-2"/>
          <w:kern w:val="22"/>
          <w:szCs w:val="22"/>
        </w:rPr>
        <w:t>conventions,</w:t>
      </w:r>
      <w:r w:rsidRPr="00117EEC">
        <w:rPr>
          <w:snapToGrid w:val="0"/>
          <w:spacing w:val="-2"/>
          <w:kern w:val="22"/>
        </w:rPr>
        <w:t xml:space="preserve"> biodiversity-related conventions</w:t>
      </w:r>
      <w:r w:rsidRPr="00117EEC">
        <w:rPr>
          <w:snapToGrid w:val="0"/>
          <w:spacing w:val="-2"/>
          <w:kern w:val="22"/>
          <w:szCs w:val="22"/>
        </w:rPr>
        <w:t xml:space="preserve"> and the </w:t>
      </w:r>
      <w:r w:rsidRPr="00117EEC">
        <w:rPr>
          <w:snapToGrid w:val="0"/>
          <w:spacing w:val="-2"/>
          <w:kern w:val="22"/>
        </w:rPr>
        <w:t>Sustainable Development Goal</w:t>
      </w:r>
      <w:r w:rsidRPr="00117EEC">
        <w:rPr>
          <w:snapToGrid w:val="0"/>
          <w:spacing w:val="-2"/>
          <w:kern w:val="22"/>
          <w:szCs w:val="22"/>
        </w:rPr>
        <w:t>s,</w:t>
      </w:r>
      <w:r w:rsidRPr="00117EEC">
        <w:rPr>
          <w:snapToGrid w:val="0"/>
          <w:spacing w:val="-2"/>
          <w:kern w:val="22"/>
        </w:rPr>
        <w:t xml:space="preserve"> and </w:t>
      </w:r>
      <w:r w:rsidRPr="00117EEC">
        <w:rPr>
          <w:snapToGrid w:val="0"/>
          <w:spacing w:val="-2"/>
          <w:kern w:val="22"/>
          <w:szCs w:val="22"/>
        </w:rPr>
        <w:t>representatives of</w:t>
      </w:r>
      <w:r w:rsidRPr="00117EEC">
        <w:rPr>
          <w:snapToGrid w:val="0"/>
          <w:spacing w:val="-2"/>
          <w:kern w:val="22"/>
        </w:rPr>
        <w:t xml:space="preserve"> line ministries and sectors should adopt a road map for alignment and coordinated action. The United Nations </w:t>
      </w:r>
      <w:r w:rsidR="000111C0">
        <w:rPr>
          <w:snapToGrid w:val="0"/>
          <w:spacing w:val="-2"/>
          <w:kern w:val="22"/>
          <w:szCs w:val="22"/>
        </w:rPr>
        <w:t>C</w:t>
      </w:r>
      <w:r w:rsidRPr="00117EEC">
        <w:rPr>
          <w:snapToGrid w:val="0"/>
          <w:spacing w:val="-2"/>
          <w:kern w:val="22"/>
          <w:szCs w:val="22"/>
        </w:rPr>
        <w:t xml:space="preserve">ountry </w:t>
      </w:r>
      <w:r w:rsidR="000111C0">
        <w:rPr>
          <w:snapToGrid w:val="0"/>
          <w:spacing w:val="-2"/>
          <w:kern w:val="22"/>
          <w:szCs w:val="22"/>
        </w:rPr>
        <w:t>T</w:t>
      </w:r>
      <w:r w:rsidRPr="00117EEC">
        <w:rPr>
          <w:snapToGrid w:val="0"/>
          <w:spacing w:val="-2"/>
          <w:kern w:val="22"/>
          <w:szCs w:val="22"/>
        </w:rPr>
        <w:t>eams</w:t>
      </w:r>
      <w:r w:rsidRPr="00117EEC">
        <w:rPr>
          <w:snapToGrid w:val="0"/>
          <w:spacing w:val="-2"/>
          <w:kern w:val="22"/>
        </w:rPr>
        <w:t xml:space="preserve"> should also play a key role in promoting integrated programming and coordination of capacity</w:t>
      </w:r>
      <w:r w:rsidRPr="00117EEC">
        <w:rPr>
          <w:snapToGrid w:val="0"/>
          <w:spacing w:val="-2"/>
          <w:kern w:val="22"/>
        </w:rPr>
        <w:noBreakHyphen/>
        <w:t>building and development as part of United Nations Sustainable Development Cooperation Framework</w:t>
      </w:r>
      <w:r>
        <w:rPr>
          <w:snapToGrid w:val="0"/>
          <w:spacing w:val="-2"/>
          <w:kern w:val="22"/>
        </w:rPr>
        <w:t>s</w:t>
      </w:r>
      <w:r w:rsidRPr="00117EEC">
        <w:rPr>
          <w:snapToGrid w:val="0"/>
          <w:spacing w:val="-2"/>
          <w:kern w:val="22"/>
          <w:szCs w:val="22"/>
        </w:rPr>
        <w:t>;</w:t>
      </w:r>
      <w:r w:rsidRPr="00117EEC">
        <w:rPr>
          <w:snapToGrid w:val="0"/>
          <w:spacing w:val="-2"/>
          <w:kern w:val="22"/>
          <w:vertAlign w:val="superscript"/>
        </w:rPr>
        <w:footnoteReference w:id="21"/>
      </w:r>
    </w:p>
    <w:p w14:paraId="42976149"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694029">
        <w:rPr>
          <w:i/>
          <w:snapToGrid w:val="0"/>
          <w:kern w:val="22"/>
        </w:rPr>
        <w:t>Undertake measures to fu</w:t>
      </w:r>
      <w:r w:rsidRPr="005678DE">
        <w:rPr>
          <w:i/>
          <w:snapToGrid w:val="0"/>
          <w:kern w:val="22"/>
        </w:rPr>
        <w:t>lly utilize and retain existing capacity:</w:t>
      </w:r>
      <w:r w:rsidRPr="00D71EDE">
        <w:rPr>
          <w:snapToGrid w:val="0"/>
          <w:kern w:val="22"/>
        </w:rPr>
        <w:t xml:space="preserve"> Undertake context-specific assessments and stocktaking processes to identify existing capacity, and the obstacles preventing its utilization and retention. Likewise, identify and promote incentives</w:t>
      </w:r>
      <w:r w:rsidRPr="00064579">
        <w:rPr>
          <w:snapToGrid w:val="0"/>
          <w:kern w:val="22"/>
        </w:rPr>
        <w:t xml:space="preserve"> </w:t>
      </w:r>
      <w:r w:rsidRPr="00117EEC">
        <w:rPr>
          <w:snapToGrid w:val="0"/>
          <w:kern w:val="22"/>
        </w:rPr>
        <w:t>that will help retain and fully utilize existing capacity and minimize not only loss of expertise and institutional memory, but discontinuity of partnerships/relationships built;</w:t>
      </w:r>
      <w:r w:rsidRPr="00117EEC">
        <w:rPr>
          <w:snapToGrid w:val="0"/>
          <w:kern w:val="22"/>
          <w:vertAlign w:val="superscript"/>
        </w:rPr>
        <w:footnoteReference w:id="22"/>
      </w:r>
      <w:bookmarkStart w:id="21" w:name="_Toc39228096"/>
    </w:p>
    <w:p w14:paraId="447BFCCB" w14:textId="7CDF0FCE"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694029">
        <w:rPr>
          <w:i/>
          <w:snapToGrid w:val="0"/>
          <w:kern w:val="22"/>
        </w:rPr>
        <w:t>[</w:t>
      </w:r>
      <w:r w:rsidRPr="005678DE">
        <w:rPr>
          <w:i/>
          <w:snapToGrid w:val="0"/>
          <w:kern w:val="22"/>
        </w:rPr>
        <w:t>Develop thematic and regional</w:t>
      </w:r>
      <w:r w:rsidRPr="00D71EDE">
        <w:rPr>
          <w:i/>
          <w:snapToGrid w:val="0"/>
          <w:kern w:val="22"/>
        </w:rPr>
        <w:t xml:space="preserve"> </w:t>
      </w:r>
      <w:r w:rsidRPr="00BB532D">
        <w:rPr>
          <w:i/>
          <w:snapToGrid w:val="0"/>
          <w:kern w:val="22"/>
        </w:rPr>
        <w:t>[</w:t>
      </w:r>
      <w:r w:rsidRPr="00064579">
        <w:rPr>
          <w:i/>
          <w:snapToGrid w:val="0"/>
          <w:kern w:val="22"/>
        </w:rPr>
        <w:t>or subregional</w:t>
      </w:r>
      <w:r w:rsidRPr="00117EEC">
        <w:rPr>
          <w:i/>
          <w:snapToGrid w:val="0"/>
          <w:kern w:val="22"/>
        </w:rPr>
        <w:t>] capacity</w:t>
      </w:r>
      <w:r w:rsidRPr="00117EEC">
        <w:rPr>
          <w:i/>
          <w:snapToGrid w:val="0"/>
          <w:kern w:val="22"/>
        </w:rPr>
        <w:noBreakHyphen/>
        <w:t>building and development action plans and programmes</w:t>
      </w:r>
      <w:bookmarkEnd w:id="21"/>
      <w:r w:rsidRPr="00117EEC">
        <w:rPr>
          <w:i/>
          <w:snapToGrid w:val="0"/>
          <w:kern w:val="22"/>
        </w:rPr>
        <w:t>:</w:t>
      </w:r>
      <w:r w:rsidRPr="00117EEC">
        <w:rPr>
          <w:snapToGrid w:val="0"/>
          <w:kern w:val="22"/>
        </w:rPr>
        <w:t xml:space="preserve"> It is recommended that, following the adoption of the post-2020 global biodiversity framework, thematic capacity</w:t>
      </w:r>
      <w:r w:rsidRPr="00117EEC">
        <w:rPr>
          <w:snapToGrid w:val="0"/>
          <w:kern w:val="22"/>
        </w:rPr>
        <w:noBreakHyphen/>
        <w:t>building and development strategies or action plans be developed to support the achievement of the respective targets or groups of related targets. Parties, other governments, biodiversity-related conventions, international organizations and other relevant stakeholders in a position to do so should, as appropriate, consider developing dedicated regional, subregional, national and subnational capacity</w:t>
      </w:r>
      <w:r w:rsidRPr="00117EEC">
        <w:rPr>
          <w:snapToGrid w:val="0"/>
          <w:kern w:val="22"/>
        </w:rPr>
        <w:noBreakHyphen/>
        <w:t>building and development action plans and programmes across multiple thematic sectors, with specific capacity targets and indicators</w:t>
      </w:r>
      <w:proofErr w:type="gramStart"/>
      <w:r w:rsidRPr="00117EEC">
        <w:rPr>
          <w:snapToGrid w:val="0"/>
          <w:kern w:val="22"/>
        </w:rPr>
        <w:t>];</w:t>
      </w:r>
      <w:bookmarkStart w:id="22" w:name="_Toc39228097"/>
      <w:proofErr w:type="gramEnd"/>
    </w:p>
    <w:p w14:paraId="639DD854"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Promote partnerships and networks for implementation</w:t>
      </w:r>
      <w:bookmarkEnd w:id="22"/>
      <w:r w:rsidRPr="00117EEC">
        <w:rPr>
          <w:i/>
          <w:snapToGrid w:val="0"/>
          <w:kern w:val="22"/>
        </w:rPr>
        <w:t xml:space="preserve"> [and learning]:</w:t>
      </w:r>
      <w:r w:rsidRPr="00117EEC">
        <w:rPr>
          <w:snapToGrid w:val="0"/>
          <w:kern w:val="22"/>
        </w:rPr>
        <w:t xml:space="preserve"> Establish and strengthen partnerships for effective mobilization of capacities and resources; the sharing of existing knowledge, expertise and technologies; and implementation of medium to long-term capacity</w:t>
      </w:r>
      <w:r w:rsidRPr="00117EEC">
        <w:rPr>
          <w:snapToGrid w:val="0"/>
          <w:kern w:val="22"/>
        </w:rPr>
        <w:noBreakHyphen/>
        <w:t xml:space="preserve">building and development programmes on specific issues related to the post-2020 targets, in line with national </w:t>
      </w:r>
      <w:proofErr w:type="gramStart"/>
      <w:r w:rsidRPr="00117EEC">
        <w:rPr>
          <w:snapToGrid w:val="0"/>
          <w:kern w:val="22"/>
        </w:rPr>
        <w:t>priorities;</w:t>
      </w:r>
      <w:proofErr w:type="gramEnd"/>
    </w:p>
    <w:p w14:paraId="3980ED87"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Enhance synergies between capacity</w:t>
      </w:r>
      <w:r w:rsidRPr="00117EEC">
        <w:rPr>
          <w:i/>
          <w:snapToGrid w:val="0"/>
          <w:kern w:val="22"/>
        </w:rPr>
        <w:noBreakHyphen/>
        <w:t>building and development efforts of relevant processes:</w:t>
      </w:r>
      <w:r w:rsidRPr="00117EEC">
        <w:rPr>
          <w:snapToGrid w:val="0"/>
          <w:kern w:val="22"/>
        </w:rPr>
        <w:t xml:space="preserve"> Enhance synergies with the capacity</w:t>
      </w:r>
      <w:r w:rsidRPr="00117EEC">
        <w:rPr>
          <w:snapToGrid w:val="0"/>
          <w:kern w:val="22"/>
        </w:rPr>
        <w:noBreakHyphen/>
        <w:t xml:space="preserve">building and development initiatives of biodiversity-related conventions, the Rio </w:t>
      </w:r>
      <w:proofErr w:type="gramStart"/>
      <w:r w:rsidRPr="00117EEC">
        <w:rPr>
          <w:snapToGrid w:val="0"/>
          <w:kern w:val="22"/>
        </w:rPr>
        <w:t>conventions</w:t>
      </w:r>
      <w:proofErr w:type="gramEnd"/>
      <w:r w:rsidRPr="00117EEC">
        <w:rPr>
          <w:snapToGrid w:val="0"/>
          <w:kern w:val="22"/>
        </w:rPr>
        <w:t xml:space="preserve"> and the Sustainable Development Goal implementation processes at the global, regional and national levels. At the national level, the focal points of relevant conventions and processes, and of funding mechanisms, such as the Global Environment Facility and the Green Climate Fund, should consider establishing a mechanism to foster integrated and/or coordinated planning, programming, monitoring and evaluation, as </w:t>
      </w:r>
      <w:proofErr w:type="gramStart"/>
      <w:r w:rsidRPr="00117EEC">
        <w:rPr>
          <w:snapToGrid w:val="0"/>
          <w:kern w:val="22"/>
        </w:rPr>
        <w:t>appropriate;</w:t>
      </w:r>
      <w:proofErr w:type="gramEnd"/>
    </w:p>
    <w:p w14:paraId="222513CF"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rPr>
        <w:t>Promote North-South cooperation</w:t>
      </w:r>
      <w:r w:rsidRPr="00117EEC">
        <w:t xml:space="preserve"> to support capacity</w:t>
      </w:r>
      <w:r w:rsidRPr="00117EEC">
        <w:noBreakHyphen/>
        <w:t>building and development of developing countries, with a view to addressing institutional and technical constraints that could undermine access to and transfer of technology, access to scientific and technical cooperation and the effective participation in biotechnological research, [in line with Articles 16, 18 and 19 of the Convention]. This could include joint research programmes and joint ventures for the development of technologies that are relevant to the conservation and sustainable use of biological diversity.</w:t>
      </w:r>
    </w:p>
    <w:p w14:paraId="0375B5C8"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Promote South-South and triangular cooperation</w:t>
      </w:r>
      <w:r w:rsidRPr="00117EEC">
        <w:rPr>
          <w:snapToGrid w:val="0"/>
          <w:kern w:val="22"/>
        </w:rPr>
        <w:t xml:space="preserve"> to support capacity</w:t>
      </w:r>
      <w:r w:rsidRPr="00117EEC">
        <w:rPr>
          <w:snapToGrid w:val="0"/>
          <w:kern w:val="22"/>
        </w:rPr>
        <w:noBreakHyphen/>
        <w:t>building and development of developing countries that have common challenges and share similar characteristics (</w:t>
      </w:r>
      <w:proofErr w:type="gramStart"/>
      <w:r w:rsidRPr="00117EEC">
        <w:rPr>
          <w:snapToGrid w:val="0"/>
          <w:kern w:val="22"/>
        </w:rPr>
        <w:t>e.g.</w:t>
      </w:r>
      <w:proofErr w:type="gramEnd"/>
      <w:r w:rsidRPr="00117EEC">
        <w:rPr>
          <w:snapToGrid w:val="0"/>
          <w:kern w:val="22"/>
        </w:rPr>
        <w:t xml:space="preserve"> economic and social conditions and language)</w:t>
      </w:r>
      <w:r w:rsidRPr="00117EEC">
        <w:t>, [as a complement for North-South cooperation]</w:t>
      </w:r>
      <w:r w:rsidRPr="00117EEC">
        <w:rPr>
          <w:snapToGrid w:val="0"/>
          <w:kern w:val="22"/>
        </w:rPr>
        <w:t xml:space="preserve">. This could include sharing of knowledge, expertise, technologies and resources and establishment of regional nodes, networks or centres of </w:t>
      </w:r>
      <w:proofErr w:type="gramStart"/>
      <w:r w:rsidRPr="00117EEC">
        <w:rPr>
          <w:snapToGrid w:val="0"/>
          <w:kern w:val="22"/>
        </w:rPr>
        <w:t>excellence;</w:t>
      </w:r>
      <w:proofErr w:type="gramEnd"/>
    </w:p>
    <w:p w14:paraId="55CB7B5E"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Engage the private sector:</w:t>
      </w:r>
      <w:r w:rsidRPr="00117EEC">
        <w:rPr>
          <w:snapToGrid w:val="0"/>
          <w:kern w:val="22"/>
        </w:rPr>
        <w:t xml:space="preserve"> Engage the private sector, proactively and as appropriate, in the development of national capacities</w:t>
      </w:r>
      <w:r w:rsidRPr="00117EEC">
        <w:rPr>
          <w:snapToGrid w:val="0"/>
          <w:kern w:val="22"/>
          <w:szCs w:val="22"/>
        </w:rPr>
        <w:t>,</w:t>
      </w:r>
      <w:r w:rsidRPr="00117EEC">
        <w:rPr>
          <w:snapToGrid w:val="0"/>
          <w:kern w:val="22"/>
        </w:rPr>
        <w:t xml:space="preserve"> as many technical and financial resources and relevant expertise and </w:t>
      </w:r>
      <w:r w:rsidRPr="00117EEC">
        <w:rPr>
          <w:snapToGrid w:val="0"/>
          <w:kern w:val="22"/>
        </w:rPr>
        <w:lastRenderedPageBreak/>
        <w:t>technologies lie in the hands of private entities. In doing so</w:t>
      </w:r>
      <w:r w:rsidRPr="00117EEC">
        <w:rPr>
          <w:snapToGrid w:val="0"/>
          <w:kern w:val="22"/>
          <w:szCs w:val="22"/>
        </w:rPr>
        <w:t>,</w:t>
      </w:r>
      <w:r w:rsidRPr="00117EEC">
        <w:rPr>
          <w:snapToGrid w:val="0"/>
          <w:kern w:val="22"/>
        </w:rPr>
        <w:t xml:space="preserve"> ensure transparency and accountability. Also strengthen the capacity of small and medium enterprises to address biodiversity-related </w:t>
      </w:r>
      <w:proofErr w:type="gramStart"/>
      <w:r w:rsidRPr="00117EEC">
        <w:rPr>
          <w:snapToGrid w:val="0"/>
          <w:kern w:val="22"/>
        </w:rPr>
        <w:t>issues</w:t>
      </w:r>
      <w:r w:rsidRPr="00117EEC">
        <w:rPr>
          <w:snapToGrid w:val="0"/>
          <w:kern w:val="22"/>
          <w:szCs w:val="22"/>
        </w:rPr>
        <w:t>;</w:t>
      </w:r>
      <w:bookmarkStart w:id="23" w:name="_Toc39228098"/>
      <w:proofErr w:type="gramEnd"/>
    </w:p>
    <w:p w14:paraId="7A48AA73" w14:textId="77777777" w:rsidR="00D87A97" w:rsidRPr="00117EEC" w:rsidRDefault="00D87A97" w:rsidP="000E369B">
      <w:pPr>
        <w:pStyle w:val="ListParagraph"/>
        <w:numPr>
          <w:ilvl w:val="0"/>
          <w:numId w:val="13"/>
        </w:numPr>
        <w:suppressLineNumbers/>
        <w:suppressAutoHyphens/>
        <w:kinsoku w:val="0"/>
        <w:overflowPunct w:val="0"/>
        <w:autoSpaceDE w:val="0"/>
        <w:autoSpaceDN w:val="0"/>
        <w:adjustRightInd w:val="0"/>
        <w:snapToGrid w:val="0"/>
        <w:spacing w:before="120" w:after="120"/>
        <w:ind w:left="0" w:firstLine="720"/>
        <w:contextualSpacing w:val="0"/>
        <w:rPr>
          <w:snapToGrid w:val="0"/>
          <w:kern w:val="22"/>
        </w:rPr>
      </w:pPr>
      <w:r w:rsidRPr="00117EEC">
        <w:rPr>
          <w:i/>
          <w:snapToGrid w:val="0"/>
          <w:kern w:val="22"/>
        </w:rPr>
        <w:t xml:space="preserve">Strengthen </w:t>
      </w:r>
      <w:bookmarkEnd w:id="23"/>
      <w:r w:rsidRPr="00117EEC">
        <w:rPr>
          <w:i/>
          <w:snapToGrid w:val="0"/>
          <w:kern w:val="22"/>
        </w:rPr>
        <w:t>the monitoring and evaluation of capacity</w:t>
      </w:r>
      <w:r w:rsidRPr="00117EEC">
        <w:rPr>
          <w:i/>
          <w:snapToGrid w:val="0"/>
          <w:kern w:val="22"/>
        </w:rPr>
        <w:noBreakHyphen/>
        <w:t>building and development interventions:</w:t>
      </w:r>
      <w:r w:rsidRPr="00117EEC">
        <w:rPr>
          <w:snapToGrid w:val="0"/>
          <w:kern w:val="22"/>
        </w:rPr>
        <w:t xml:space="preserve"> Develop and implement adaptive management systems for monitoring and evaluation of biodiversity capacity</w:t>
      </w:r>
      <w:r w:rsidRPr="00117EEC">
        <w:rPr>
          <w:snapToGrid w:val="0"/>
          <w:kern w:val="22"/>
        </w:rPr>
        <w:noBreakHyphen/>
        <w:t>building and development efforts, to assess whether the intended capacity results are achieved in an impactful and sustainable manner, to identify and correct mistakes, and to capture and share good practices and lessons.</w:t>
      </w:r>
    </w:p>
    <w:p w14:paraId="50BFEDCB" w14:textId="77777777" w:rsidR="00D87A97" w:rsidRPr="00117EEC" w:rsidRDefault="00D87A97" w:rsidP="00D87A97">
      <w:pPr>
        <w:pStyle w:val="Heading1"/>
        <w:suppressLineNumbers/>
        <w:tabs>
          <w:tab w:val="left" w:pos="426"/>
        </w:tabs>
        <w:suppressAutoHyphens/>
        <w:kinsoku w:val="0"/>
        <w:overflowPunct w:val="0"/>
        <w:autoSpaceDE w:val="0"/>
        <w:autoSpaceDN w:val="0"/>
        <w:adjustRightInd w:val="0"/>
        <w:snapToGrid w:val="0"/>
        <w:spacing w:before="120"/>
        <w:rPr>
          <w:bCs/>
          <w:snapToGrid w:val="0"/>
          <w:kern w:val="22"/>
        </w:rPr>
      </w:pPr>
      <w:bookmarkStart w:id="24" w:name="_Toc57214902"/>
      <w:r w:rsidRPr="00117EEC">
        <w:rPr>
          <w:bCs/>
          <w:snapToGrid w:val="0"/>
          <w:kern w:val="22"/>
        </w:rPr>
        <w:t>V.</w:t>
      </w:r>
      <w:r w:rsidRPr="00117EEC">
        <w:rPr>
          <w:bCs/>
          <w:snapToGrid w:val="0"/>
          <w:kern w:val="22"/>
        </w:rPr>
        <w:tab/>
        <w:t>Mechanisms for implementation</w:t>
      </w:r>
      <w:bookmarkEnd w:id="24"/>
    </w:p>
    <w:p w14:paraId="6E1273DD" w14:textId="77777777" w:rsidR="00D87A97" w:rsidRPr="00117EEC" w:rsidRDefault="00D87A97" w:rsidP="000E369B">
      <w:pPr>
        <w:pStyle w:val="Heading2"/>
        <w:numPr>
          <w:ilvl w:val="0"/>
          <w:numId w:val="14"/>
        </w:numPr>
        <w:suppressLineNumbers/>
        <w:tabs>
          <w:tab w:val="left" w:pos="426"/>
        </w:tabs>
        <w:suppressAutoHyphens/>
        <w:kinsoku w:val="0"/>
        <w:overflowPunct w:val="0"/>
        <w:autoSpaceDE w:val="0"/>
        <w:autoSpaceDN w:val="0"/>
        <w:adjustRightInd w:val="0"/>
        <w:snapToGrid w:val="0"/>
        <w:spacing w:before="0" w:after="0"/>
        <w:ind w:left="0" w:firstLine="0"/>
        <w:rPr>
          <w:snapToGrid w:val="0"/>
          <w:kern w:val="22"/>
        </w:rPr>
      </w:pPr>
      <w:bookmarkStart w:id="25" w:name="_Toc57214903"/>
      <w:r w:rsidRPr="00117EEC">
        <w:rPr>
          <w:snapToGrid w:val="0"/>
          <w:kern w:val="22"/>
        </w:rPr>
        <w:t>Governance and coordination mechanisms</w:t>
      </w:r>
      <w:bookmarkEnd w:id="25"/>
    </w:p>
    <w:p w14:paraId="54F3CD6F"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rPr>
      </w:pPr>
      <w:r w:rsidRPr="00117EEC">
        <w:rPr>
          <w:kern w:val="22"/>
        </w:rPr>
        <w:t>[There is a need for mechanisms that could provide strategic leadership and foster coordinated capacity</w:t>
      </w:r>
      <w:r w:rsidRPr="00117EEC">
        <w:rPr>
          <w:kern w:val="22"/>
        </w:rPr>
        <w:noBreakHyphen/>
        <w:t xml:space="preserve">building and development action for biodiversity at the global, </w:t>
      </w:r>
      <w:proofErr w:type="gramStart"/>
      <w:r w:rsidRPr="00117EEC">
        <w:rPr>
          <w:kern w:val="22"/>
        </w:rPr>
        <w:t>regional</w:t>
      </w:r>
      <w:proofErr w:type="gramEnd"/>
      <w:r w:rsidRPr="00117EEC">
        <w:rPr>
          <w:kern w:val="22"/>
        </w:rPr>
        <w:t xml:space="preserve"> and national levels. Specifically, the roles of such mechanisms may include: (a) enhancing synergy, by facilitating inter-agency coordination and cooperation among relevant organizations, initiatives, and funding agencies; [(b) providing strategic guidance, advice and support to government and non-government actors]; (c) promoting strategic and coherent approaches to capacity</w:t>
      </w:r>
      <w:r w:rsidRPr="00117EEC">
        <w:rPr>
          <w:kern w:val="22"/>
        </w:rPr>
        <w:noBreakHyphen/>
        <w:t>building and development; (d) fostering partnerships and multi-stakeholder initiatives; (e) identifying opportunities to mobilize additional resources for biodiversity capacity</w:t>
      </w:r>
      <w:r w:rsidRPr="00117EEC">
        <w:rPr>
          <w:kern w:val="22"/>
        </w:rPr>
        <w:noBreakHyphen/>
        <w:t>building and development efforts</w:t>
      </w:r>
      <w:bookmarkStart w:id="26" w:name="_Hlk50342860"/>
      <w:r w:rsidRPr="00117EEC">
        <w:rPr>
          <w:kern w:val="22"/>
        </w:rPr>
        <w:t>; and (f)</w:t>
      </w:r>
      <w:bookmarkStart w:id="27" w:name="_Hlk50348775"/>
      <w:r w:rsidRPr="00117EEC">
        <w:rPr>
          <w:kern w:val="22"/>
        </w:rPr>
        <w:t> proposing innovative ideas to improve and advance the implementation of the strategic framework</w:t>
      </w:r>
      <w:bookmarkEnd w:id="27"/>
      <w:r w:rsidRPr="00117EEC">
        <w:rPr>
          <w:kern w:val="22"/>
        </w:rPr>
        <w:t>.</w:t>
      </w:r>
      <w:bookmarkEnd w:id="26"/>
      <w:r w:rsidRPr="00117EEC">
        <w:rPr>
          <w:kern w:val="22"/>
        </w:rPr>
        <w:t>]</w:t>
      </w:r>
    </w:p>
    <w:p w14:paraId="281D07BF"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line="230" w:lineRule="auto"/>
        <w:rPr>
          <w:kern w:val="22"/>
        </w:rPr>
      </w:pPr>
      <w:r w:rsidRPr="00117EEC">
        <w:rPr>
          <w:kern w:val="22"/>
        </w:rPr>
        <w:t>At the global level, the above roles could be accomplished through [for example]:</w:t>
      </w:r>
    </w:p>
    <w:p w14:paraId="7CBEFDDA" w14:textId="77777777" w:rsidR="00D87A97" w:rsidRPr="00D71EDE" w:rsidRDefault="00D87A97" w:rsidP="000E369B">
      <w:pPr>
        <w:pStyle w:val="Para1"/>
        <w:numPr>
          <w:ilvl w:val="1"/>
          <w:numId w:val="15"/>
        </w:numPr>
        <w:suppressLineNumbers/>
        <w:suppressAutoHyphens/>
        <w:kinsoku w:val="0"/>
        <w:overflowPunct w:val="0"/>
        <w:autoSpaceDE w:val="0"/>
        <w:autoSpaceDN w:val="0"/>
        <w:adjustRightInd w:val="0"/>
        <w:snapToGrid w:val="0"/>
        <w:spacing w:line="230" w:lineRule="auto"/>
        <w:rPr>
          <w:kern w:val="22"/>
          <w:szCs w:val="22"/>
        </w:rPr>
      </w:pPr>
      <w:bookmarkStart w:id="28" w:name="_Hlk50335725"/>
      <w:r w:rsidRPr="00117EEC">
        <w:rPr>
          <w:kern w:val="22"/>
          <w:szCs w:val="22"/>
        </w:rPr>
        <w:t>[The establishment of a new high-level biodiversity capacity</w:t>
      </w:r>
      <w:r w:rsidRPr="00117EEC">
        <w:rPr>
          <w:kern w:val="22"/>
          <w:szCs w:val="22"/>
        </w:rPr>
        <w:noBreakHyphen/>
        <w:t>building and development committee or a broader inter-agency implementation support committee</w:t>
      </w:r>
      <w:r w:rsidRPr="00117EEC">
        <w:rPr>
          <w:rStyle w:val="FootnoteReference"/>
          <w:kern w:val="22"/>
          <w:szCs w:val="22"/>
        </w:rPr>
        <w:footnoteReference w:id="23"/>
      </w:r>
      <w:r w:rsidRPr="00117EEC">
        <w:rPr>
          <w:kern w:val="22"/>
          <w:szCs w:val="22"/>
        </w:rPr>
        <w:t>;]</w:t>
      </w:r>
      <w:r w:rsidRPr="00694029">
        <w:rPr>
          <w:kern w:val="22"/>
          <w:szCs w:val="22"/>
        </w:rPr>
        <w:t xml:space="preserve"> </w:t>
      </w:r>
    </w:p>
    <w:p w14:paraId="461DA1BC" w14:textId="77777777" w:rsidR="00D87A97" w:rsidRPr="00117EEC" w:rsidRDefault="00D87A97" w:rsidP="000E369B">
      <w:pPr>
        <w:pStyle w:val="Para1"/>
        <w:numPr>
          <w:ilvl w:val="1"/>
          <w:numId w:val="15"/>
        </w:numPr>
        <w:suppressLineNumbers/>
        <w:suppressAutoHyphens/>
        <w:kinsoku w:val="0"/>
        <w:overflowPunct w:val="0"/>
        <w:autoSpaceDE w:val="0"/>
        <w:autoSpaceDN w:val="0"/>
        <w:adjustRightInd w:val="0"/>
        <w:snapToGrid w:val="0"/>
        <w:spacing w:line="230" w:lineRule="auto"/>
        <w:rPr>
          <w:kern w:val="22"/>
        </w:rPr>
      </w:pPr>
      <w:r w:rsidRPr="00BB532D">
        <w:t>[</w:t>
      </w:r>
      <w:r w:rsidRPr="00064579">
        <w:t>The establishment of a biodiversity</w:t>
      </w:r>
      <w:r w:rsidRPr="00117EEC">
        <w:t>] capacity</w:t>
      </w:r>
      <w:r w:rsidRPr="00117EEC">
        <w:noBreakHyphen/>
        <w:t xml:space="preserve">building and development [committee under the Informal Advisory Group on Technical and Scientific Cooperation mentioned in annex </w:t>
      </w:r>
      <w:r>
        <w:t>III</w:t>
      </w:r>
      <w:r w:rsidRPr="00117EEC">
        <w:t xml:space="preserve"> below</w:t>
      </w:r>
      <w:proofErr w:type="gramStart"/>
      <w:r w:rsidRPr="00117EEC">
        <w:t>];</w:t>
      </w:r>
      <w:proofErr w:type="gramEnd"/>
    </w:p>
    <w:p w14:paraId="79D287C7" w14:textId="77777777" w:rsidR="00D87A97" w:rsidRPr="00117EEC" w:rsidRDefault="00D87A97" w:rsidP="000E369B">
      <w:pPr>
        <w:pStyle w:val="Para1"/>
        <w:numPr>
          <w:ilvl w:val="1"/>
          <w:numId w:val="15"/>
        </w:numPr>
        <w:suppressLineNumbers/>
        <w:suppressAutoHyphens/>
        <w:kinsoku w:val="0"/>
        <w:overflowPunct w:val="0"/>
        <w:autoSpaceDE w:val="0"/>
        <w:autoSpaceDN w:val="0"/>
        <w:adjustRightInd w:val="0"/>
        <w:snapToGrid w:val="0"/>
        <w:spacing w:line="230" w:lineRule="auto"/>
        <w:rPr>
          <w:kern w:val="22"/>
        </w:rPr>
      </w:pPr>
      <w:bookmarkStart w:id="30" w:name="_Hlk50335767"/>
      <w:bookmarkEnd w:id="28"/>
      <w:r w:rsidRPr="00117EEC">
        <w:rPr>
          <w:kern w:val="22"/>
        </w:rPr>
        <w:t>[The designation of a biodiversity capacity</w:t>
      </w:r>
      <w:r w:rsidRPr="00117EEC">
        <w:rPr>
          <w:kern w:val="22"/>
        </w:rPr>
        <w:noBreakHyphen/>
        <w:t>building and development task team under existing mechanisms such as the United Nations Environment Management Group (EMG) or the Liaison Group of Biodiversity-related Conventions (BLG)].</w:t>
      </w:r>
      <w:r w:rsidRPr="00117EEC">
        <w:rPr>
          <w:vertAlign w:val="superscript"/>
        </w:rPr>
        <w:footnoteReference w:id="24"/>
      </w:r>
    </w:p>
    <w:p w14:paraId="1CAFDF5F"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line="230" w:lineRule="auto"/>
        <w:rPr>
          <w:kern w:val="22"/>
        </w:rPr>
      </w:pPr>
      <w:bookmarkStart w:id="31" w:name="_Hlk50335824"/>
      <w:bookmarkEnd w:id="30"/>
      <w:r w:rsidRPr="00694029">
        <w:rPr>
          <w:kern w:val="22"/>
        </w:rPr>
        <w:t xml:space="preserve">At the regional level, biodiversity </w:t>
      </w:r>
      <w:r w:rsidRPr="005678DE">
        <w:rPr>
          <w:kern w:val="22"/>
        </w:rPr>
        <w:t>capacity</w:t>
      </w:r>
      <w:r w:rsidRPr="00D71EDE">
        <w:rPr>
          <w:kern w:val="22"/>
        </w:rPr>
        <w:noBreakHyphen/>
      </w:r>
      <w:r w:rsidRPr="00117EEC">
        <w:rPr>
          <w:kern w:val="22"/>
        </w:rPr>
        <w:t>building and development coordination and coherence could be achieved with the support of the United Nations regional economic commissions and the regional teams of the United Nations Sustainable Development Group (UNSDG</w:t>
      </w:r>
      <w:bookmarkEnd w:id="31"/>
      <w:proofErr w:type="gramStart"/>
      <w:r w:rsidRPr="00117EEC">
        <w:rPr>
          <w:kern w:val="22"/>
        </w:rPr>
        <w:t>);</w:t>
      </w:r>
      <w:proofErr w:type="gramEnd"/>
    </w:p>
    <w:p w14:paraId="2218FF94" w14:textId="1725E9B8"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line="230" w:lineRule="auto"/>
        <w:rPr>
          <w:kern w:val="22"/>
        </w:rPr>
      </w:pPr>
      <w:r w:rsidRPr="00117EEC">
        <w:rPr>
          <w:kern w:val="22"/>
        </w:rPr>
        <w:t>At the country level, coordination of biodiversity capacity</w:t>
      </w:r>
      <w:r w:rsidRPr="00117EEC">
        <w:rPr>
          <w:kern w:val="22"/>
        </w:rPr>
        <w:noBreakHyphen/>
        <w:t xml:space="preserve">building and development could be done through the national biodiversity committees or similar mechanisms and facilitated through the United Nations </w:t>
      </w:r>
      <w:r w:rsidR="000229A6">
        <w:rPr>
          <w:kern w:val="22"/>
        </w:rPr>
        <w:t>C</w:t>
      </w:r>
      <w:r w:rsidRPr="00117EEC">
        <w:rPr>
          <w:kern w:val="22"/>
        </w:rPr>
        <w:t xml:space="preserve">ountry </w:t>
      </w:r>
      <w:r w:rsidR="000229A6">
        <w:rPr>
          <w:kern w:val="22"/>
        </w:rPr>
        <w:t>T</w:t>
      </w:r>
      <w:r w:rsidRPr="00117EEC">
        <w:rPr>
          <w:kern w:val="22"/>
        </w:rPr>
        <w:t>eams, within the United Nations Sustainable Development Cooperation Framework for the country.</w:t>
      </w:r>
    </w:p>
    <w:p w14:paraId="34118FDB"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line="230" w:lineRule="auto"/>
        <w:rPr>
          <w:kern w:val="22"/>
        </w:rPr>
      </w:pPr>
      <w:r w:rsidRPr="00117EEC">
        <w:rPr>
          <w:kern w:val="22"/>
        </w:rPr>
        <w:t>[In addition, an informal biodiversity capacity</w:t>
      </w:r>
      <w:r w:rsidRPr="00117EEC">
        <w:rPr>
          <w:kern w:val="22"/>
        </w:rPr>
        <w:noBreakHyphen/>
        <w:t>building and development forum could be established and convened periodically on a rotational basis by different biodiversity-related conventions to bring together government and non-government actors to network and share experiences, good practices and lessons learned.]</w:t>
      </w:r>
    </w:p>
    <w:p w14:paraId="20C89C27" w14:textId="77777777" w:rsidR="00D87A97" w:rsidRPr="00117EEC" w:rsidRDefault="00D87A97" w:rsidP="00D170DA">
      <w:pPr>
        <w:pStyle w:val="Heading2"/>
        <w:keepNext w:val="0"/>
        <w:numPr>
          <w:ilvl w:val="0"/>
          <w:numId w:val="14"/>
        </w:numPr>
        <w:suppressLineNumbers/>
        <w:suppressAutoHyphens/>
        <w:kinsoku w:val="0"/>
        <w:overflowPunct w:val="0"/>
        <w:autoSpaceDE w:val="0"/>
        <w:autoSpaceDN w:val="0"/>
        <w:adjustRightInd w:val="0"/>
        <w:snapToGrid w:val="0"/>
        <w:spacing w:before="0" w:after="0" w:line="230" w:lineRule="auto"/>
        <w:ind w:left="993"/>
        <w:rPr>
          <w:snapToGrid w:val="0"/>
          <w:kern w:val="22"/>
        </w:rPr>
      </w:pPr>
      <w:bookmarkStart w:id="32" w:name="_Toc57214904"/>
      <w:r w:rsidRPr="00117EEC">
        <w:rPr>
          <w:snapToGrid w:val="0"/>
          <w:kern w:val="22"/>
        </w:rPr>
        <w:t>Mutual supportiveness between various implementation strategies and processes</w:t>
      </w:r>
      <w:bookmarkEnd w:id="32"/>
    </w:p>
    <w:p w14:paraId="4B1B449B" w14:textId="77777777" w:rsidR="00D87A97" w:rsidRPr="00760E56" w:rsidRDefault="00D87A97" w:rsidP="000E369B">
      <w:pPr>
        <w:pStyle w:val="Para1"/>
        <w:numPr>
          <w:ilvl w:val="0"/>
          <w:numId w:val="15"/>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szCs w:val="22"/>
        </w:rPr>
      </w:pPr>
      <w:r w:rsidRPr="00760E56">
        <w:rPr>
          <w:kern w:val="22"/>
          <w:szCs w:val="22"/>
        </w:rPr>
        <w:t xml:space="preserve">This long-term strategic framework should be synergized with the other means of implementation and enabling conditions for the post-2020 </w:t>
      </w:r>
      <w:r w:rsidRPr="00760E56">
        <w:rPr>
          <w:kern w:val="22"/>
        </w:rPr>
        <w:t>global biodiversity framework</w:t>
      </w:r>
      <w:r w:rsidRPr="00760E56">
        <w:rPr>
          <w:kern w:val="22"/>
          <w:szCs w:val="22"/>
        </w:rPr>
        <w:t xml:space="preserve"> (including technical and scientific cooperation, technology transfer, knowledge management and resource mobilization), the long-term </w:t>
      </w:r>
      <w:r w:rsidRPr="00760E56">
        <w:rPr>
          <w:kern w:val="22"/>
          <w:szCs w:val="22"/>
        </w:rPr>
        <w:lastRenderedPageBreak/>
        <w:t xml:space="preserve">approach to mainstreaming biodiversity and with the mechanisms for reporting, </w:t>
      </w:r>
      <w:proofErr w:type="gramStart"/>
      <w:r w:rsidRPr="00760E56">
        <w:rPr>
          <w:kern w:val="22"/>
          <w:szCs w:val="22"/>
        </w:rPr>
        <w:t>assessment</w:t>
      </w:r>
      <w:proofErr w:type="gramEnd"/>
      <w:r w:rsidRPr="00760E56">
        <w:rPr>
          <w:kern w:val="22"/>
          <w:szCs w:val="22"/>
        </w:rPr>
        <w:t xml:space="preserve"> and review of implementation.</w:t>
      </w:r>
    </w:p>
    <w:p w14:paraId="7023D03D" w14:textId="77777777" w:rsidR="00D87A97" w:rsidRPr="00117EEC" w:rsidRDefault="00D87A97" w:rsidP="000E369B">
      <w:pPr>
        <w:pStyle w:val="Heading2"/>
        <w:numPr>
          <w:ilvl w:val="0"/>
          <w:numId w:val="14"/>
        </w:numPr>
        <w:suppressLineNumbers/>
        <w:suppressAutoHyphens/>
        <w:kinsoku w:val="0"/>
        <w:overflowPunct w:val="0"/>
        <w:autoSpaceDE w:val="0"/>
        <w:autoSpaceDN w:val="0"/>
        <w:adjustRightInd w:val="0"/>
        <w:snapToGrid w:val="0"/>
        <w:spacing w:before="0" w:after="0" w:line="230" w:lineRule="auto"/>
        <w:ind w:left="714" w:hanging="357"/>
        <w:rPr>
          <w:snapToGrid w:val="0"/>
          <w:kern w:val="22"/>
        </w:rPr>
      </w:pPr>
      <w:bookmarkStart w:id="33" w:name="_Toc57214905"/>
      <w:r w:rsidRPr="00117EEC">
        <w:rPr>
          <w:snapToGrid w:val="0"/>
          <w:kern w:val="22"/>
        </w:rPr>
        <w:t>Resource mobilization for capacity</w:t>
      </w:r>
      <w:r w:rsidRPr="00117EEC">
        <w:rPr>
          <w:snapToGrid w:val="0"/>
          <w:kern w:val="22"/>
        </w:rPr>
        <w:noBreakHyphen/>
        <w:t>building and development</w:t>
      </w:r>
      <w:bookmarkEnd w:id="33"/>
    </w:p>
    <w:p w14:paraId="28F89D83" w14:textId="77777777" w:rsidR="00D87A97" w:rsidRPr="00117EEC" w:rsidRDefault="00D87A97" w:rsidP="000E369B">
      <w:pPr>
        <w:pStyle w:val="Para1"/>
        <w:numPr>
          <w:ilvl w:val="0"/>
          <w:numId w:val="15"/>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szCs w:val="22"/>
        </w:rPr>
      </w:pPr>
      <w:r w:rsidRPr="00117EEC">
        <w:rPr>
          <w:kern w:val="22"/>
          <w:szCs w:val="22"/>
        </w:rPr>
        <w:t>[There is a need to mobilize [human and] [financial] resources [from all sources] to support national capacity</w:t>
      </w:r>
      <w:r w:rsidRPr="00117EEC">
        <w:rPr>
          <w:kern w:val="22"/>
          <w:szCs w:val="22"/>
        </w:rPr>
        <w:noBreakHyphen/>
        <w:t>building and development and help create an enabling environment. The [provision of financial resources in line with article 20 and the] Biodiversity Finance Initiative of the United Nations Development Programme (BIOFIN) could support countries to include options to mobilize resources for capacity</w:t>
      </w:r>
      <w:r w:rsidRPr="00117EEC">
        <w:rPr>
          <w:kern w:val="22"/>
          <w:szCs w:val="22"/>
        </w:rPr>
        <w:noBreakHyphen/>
        <w:t>building and development in their national resource mobilization strategies]</w:t>
      </w:r>
      <w:r w:rsidRPr="00117EEC">
        <w:rPr>
          <w:rStyle w:val="FootnoteReference"/>
          <w:kern w:val="22"/>
          <w:szCs w:val="22"/>
        </w:rPr>
        <w:footnoteReference w:customMarkFollows="1" w:id="25"/>
        <w:t>*</w:t>
      </w:r>
      <w:r w:rsidRPr="00117EEC">
        <w:rPr>
          <w:kern w:val="22"/>
          <w:szCs w:val="22"/>
        </w:rPr>
        <w:t>.</w:t>
      </w:r>
    </w:p>
    <w:p w14:paraId="64BF6D0D" w14:textId="77777777" w:rsidR="00D87A97" w:rsidRPr="00117EEC" w:rsidRDefault="00D87A97" w:rsidP="006D7A92">
      <w:pPr>
        <w:pStyle w:val="Heading2"/>
        <w:keepNext w:val="0"/>
        <w:numPr>
          <w:ilvl w:val="0"/>
          <w:numId w:val="14"/>
        </w:numPr>
        <w:suppressLineNumbers/>
        <w:suppressAutoHyphens/>
        <w:kinsoku w:val="0"/>
        <w:overflowPunct w:val="0"/>
        <w:autoSpaceDE w:val="0"/>
        <w:autoSpaceDN w:val="0"/>
        <w:adjustRightInd w:val="0"/>
        <w:snapToGrid w:val="0"/>
        <w:spacing w:before="0" w:after="0" w:line="230" w:lineRule="auto"/>
        <w:ind w:left="0" w:firstLine="0"/>
        <w:rPr>
          <w:snapToGrid w:val="0"/>
          <w:kern w:val="22"/>
        </w:rPr>
      </w:pPr>
      <w:bookmarkStart w:id="34" w:name="_Toc57214906"/>
      <w:r w:rsidRPr="00117EEC">
        <w:rPr>
          <w:snapToGrid w:val="0"/>
          <w:kern w:val="22"/>
        </w:rPr>
        <w:t>Regional and global support networks</w:t>
      </w:r>
      <w:bookmarkEnd w:id="34"/>
    </w:p>
    <w:p w14:paraId="1EC769FC" w14:textId="77777777" w:rsidR="00D87A97" w:rsidRPr="00117EEC" w:rsidRDefault="00D87A97" w:rsidP="000E369B">
      <w:pPr>
        <w:pStyle w:val="Para1"/>
        <w:numPr>
          <w:ilvl w:val="0"/>
          <w:numId w:val="7"/>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szCs w:val="22"/>
        </w:rPr>
      </w:pPr>
      <w:r w:rsidRPr="00117EEC">
        <w:rPr>
          <w:kern w:val="22"/>
          <w:szCs w:val="22"/>
        </w:rPr>
        <w:t>Existing regional and global support networks should be strengthened, [</w:t>
      </w:r>
      <w:r w:rsidRPr="00117EEC" w:rsidDel="00B878E8">
        <w:rPr>
          <w:kern w:val="22"/>
          <w:szCs w:val="22"/>
        </w:rPr>
        <w:t>or</w:t>
      </w:r>
      <w:r w:rsidRPr="00117EEC">
        <w:rPr>
          <w:kern w:val="22"/>
          <w:szCs w:val="22"/>
        </w:rPr>
        <w:t xml:space="preserve"> </w:t>
      </w:r>
      <w:r w:rsidRPr="00117EEC" w:rsidDel="00B878E8">
        <w:rPr>
          <w:kern w:val="22"/>
          <w:szCs w:val="22"/>
        </w:rPr>
        <w:t>established</w:t>
      </w:r>
      <w:r w:rsidRPr="00117EEC">
        <w:rPr>
          <w:kern w:val="22"/>
          <w:szCs w:val="22"/>
        </w:rPr>
        <w:t>], to provide, upon request, capacity</w:t>
      </w:r>
      <w:r w:rsidRPr="00117EEC">
        <w:rPr>
          <w:kern w:val="22"/>
          <w:szCs w:val="22"/>
        </w:rPr>
        <w:noBreakHyphen/>
        <w:t>building and development support to national government institutions, subnational governments, local authorities and non-government actors within the respective geographic regions or subregions.</w:t>
      </w:r>
    </w:p>
    <w:p w14:paraId="6339AF5A" w14:textId="77777777" w:rsidR="00D87A97" w:rsidRPr="00117EEC" w:rsidRDefault="00D87A97" w:rsidP="006D7A92">
      <w:pPr>
        <w:pStyle w:val="Heading2"/>
        <w:keepNext w:val="0"/>
        <w:numPr>
          <w:ilvl w:val="0"/>
          <w:numId w:val="14"/>
        </w:numPr>
        <w:suppressLineNumbers/>
        <w:suppressAutoHyphens/>
        <w:kinsoku w:val="0"/>
        <w:overflowPunct w:val="0"/>
        <w:autoSpaceDE w:val="0"/>
        <w:autoSpaceDN w:val="0"/>
        <w:adjustRightInd w:val="0"/>
        <w:snapToGrid w:val="0"/>
        <w:spacing w:before="0" w:after="0" w:line="230" w:lineRule="auto"/>
        <w:ind w:left="0" w:firstLine="0"/>
        <w:rPr>
          <w:snapToGrid w:val="0"/>
          <w:kern w:val="22"/>
        </w:rPr>
      </w:pPr>
      <w:bookmarkStart w:id="35" w:name="_Toc57214907"/>
      <w:r w:rsidRPr="00117EEC">
        <w:rPr>
          <w:snapToGrid w:val="0"/>
          <w:kern w:val="22"/>
        </w:rPr>
        <w:t>Enhanced review mechanisms</w:t>
      </w:r>
      <w:bookmarkEnd w:id="35"/>
    </w:p>
    <w:p w14:paraId="3709027C" w14:textId="77777777" w:rsidR="00D87A97" w:rsidRPr="00117EEC" w:rsidRDefault="00D87A97" w:rsidP="000E369B">
      <w:pPr>
        <w:pStyle w:val="Para1"/>
        <w:numPr>
          <w:ilvl w:val="0"/>
          <w:numId w:val="15"/>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szCs w:val="22"/>
        </w:rPr>
      </w:pPr>
      <w:r w:rsidRPr="00117EEC">
        <w:rPr>
          <w:kern w:val="22"/>
          <w:szCs w:val="22"/>
        </w:rPr>
        <w:t>[The enhanced planning, reporting and review mechanism should consider the capacity</w:t>
      </w:r>
      <w:r w:rsidRPr="00117EEC">
        <w:rPr>
          <w:kern w:val="22"/>
          <w:szCs w:val="22"/>
        </w:rPr>
        <w:noBreakHyphen/>
        <w:t>building and development dimension. The guidelines for national reporting by governments should also include provisions for reporting on capacity</w:t>
      </w:r>
      <w:r w:rsidRPr="00117EEC">
        <w:rPr>
          <w:kern w:val="22"/>
          <w:szCs w:val="22"/>
        </w:rPr>
        <w:noBreakHyphen/>
        <w:t xml:space="preserve">building and development and provide opportunities for countries to share experiences and lessons learned. The national biodiversity strategy and action plan review and revision process and </w:t>
      </w:r>
      <w:r w:rsidRPr="00117EEC">
        <w:rPr>
          <w:kern w:val="22"/>
        </w:rPr>
        <w:t xml:space="preserve">the </w:t>
      </w:r>
      <w:r w:rsidRPr="00117EEC">
        <w:rPr>
          <w:kern w:val="22"/>
          <w:szCs w:val="22"/>
        </w:rPr>
        <w:t>voluntary peer review of the national biodiversity strategy and action plan implementation should also include a review of the capacity</w:t>
      </w:r>
      <w:r w:rsidRPr="00117EEC">
        <w:rPr>
          <w:kern w:val="22"/>
          <w:szCs w:val="22"/>
        </w:rPr>
        <w:noBreakHyphen/>
        <w:t>building and development strategies and approaches]</w:t>
      </w:r>
      <w:r w:rsidRPr="00117EEC" w:rsidDel="00855CC2">
        <w:rPr>
          <w:kern w:val="22"/>
          <w:szCs w:val="22"/>
        </w:rPr>
        <w:t>.</w:t>
      </w:r>
    </w:p>
    <w:p w14:paraId="6FB13360" w14:textId="77777777" w:rsidR="00D87A97" w:rsidRPr="00117EEC" w:rsidRDefault="00D87A97" w:rsidP="006D7A92">
      <w:pPr>
        <w:pStyle w:val="Heading2"/>
        <w:keepNext w:val="0"/>
        <w:numPr>
          <w:ilvl w:val="0"/>
          <w:numId w:val="14"/>
        </w:numPr>
        <w:suppressLineNumbers/>
        <w:suppressAutoHyphens/>
        <w:kinsoku w:val="0"/>
        <w:overflowPunct w:val="0"/>
        <w:autoSpaceDE w:val="0"/>
        <w:autoSpaceDN w:val="0"/>
        <w:adjustRightInd w:val="0"/>
        <w:snapToGrid w:val="0"/>
        <w:spacing w:before="0" w:after="0" w:line="230" w:lineRule="auto"/>
        <w:ind w:left="0" w:firstLine="0"/>
        <w:rPr>
          <w:snapToGrid w:val="0"/>
          <w:kern w:val="22"/>
        </w:rPr>
      </w:pPr>
      <w:bookmarkStart w:id="36" w:name="_Toc57214908"/>
      <w:r w:rsidRPr="00117EEC">
        <w:rPr>
          <w:snapToGrid w:val="0"/>
          <w:kern w:val="22"/>
        </w:rPr>
        <w:t>Outreach and dissemination of the framework</w:t>
      </w:r>
      <w:bookmarkEnd w:id="36"/>
    </w:p>
    <w:p w14:paraId="7C0CCC07" w14:textId="77777777" w:rsidR="00D87A97" w:rsidRPr="00117EEC" w:rsidRDefault="00D87A97" w:rsidP="000E369B">
      <w:pPr>
        <w:pStyle w:val="Para1"/>
        <w:numPr>
          <w:ilvl w:val="0"/>
          <w:numId w:val="15"/>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rPr>
      </w:pPr>
      <w:r w:rsidRPr="00117EEC">
        <w:rPr>
          <w:kern w:val="22"/>
        </w:rPr>
        <w:t>A campaign targeting various stakeholders and actors will be undertaken to raise awareness of, and support for, the long-term strategic framework. Key partners and stakeholders will be invited to support the implementation, including through alignment of their capacity</w:t>
      </w:r>
      <w:r w:rsidRPr="00117EEC">
        <w:rPr>
          <w:kern w:val="22"/>
        </w:rPr>
        <w:noBreakHyphen/>
        <w:t xml:space="preserve">building and development actions with the framework, [elaboration of thematic action plans], and establishment of coalitions and communities of practice. A dedicated web portal within the clearing-house mechanism will be created </w:t>
      </w:r>
      <w:bookmarkStart w:id="37" w:name="_Hlk47923928"/>
      <w:r w:rsidRPr="00117EEC">
        <w:rPr>
          <w:kern w:val="22"/>
        </w:rPr>
        <w:t xml:space="preserve">and linked to the websites of biodiversity-related conventions and organizations </w:t>
      </w:r>
      <w:bookmarkEnd w:id="37"/>
      <w:r w:rsidRPr="00117EEC">
        <w:rPr>
          <w:kern w:val="22"/>
        </w:rPr>
        <w:t>to share information about the framework and the activities and experiences of various actors.</w:t>
      </w:r>
      <w:bookmarkStart w:id="38" w:name="_Hlk50340087"/>
    </w:p>
    <w:p w14:paraId="11FC26F3" w14:textId="77777777" w:rsidR="00D87A97" w:rsidRPr="00117EEC" w:rsidRDefault="00D87A97" w:rsidP="006D7A92">
      <w:pPr>
        <w:pStyle w:val="Heading2"/>
        <w:keepNext w:val="0"/>
        <w:numPr>
          <w:ilvl w:val="0"/>
          <w:numId w:val="14"/>
        </w:numPr>
        <w:suppressLineNumbers/>
        <w:suppressAutoHyphens/>
        <w:kinsoku w:val="0"/>
        <w:overflowPunct w:val="0"/>
        <w:autoSpaceDE w:val="0"/>
        <w:autoSpaceDN w:val="0"/>
        <w:adjustRightInd w:val="0"/>
        <w:snapToGrid w:val="0"/>
        <w:spacing w:before="0" w:after="0" w:line="230" w:lineRule="auto"/>
        <w:ind w:left="0" w:firstLine="0"/>
        <w:rPr>
          <w:snapToGrid w:val="0"/>
          <w:kern w:val="22"/>
        </w:rPr>
      </w:pPr>
      <w:bookmarkStart w:id="39" w:name="_Toc57214909"/>
      <w:r w:rsidRPr="00117EEC">
        <w:rPr>
          <w:snapToGrid w:val="0"/>
          <w:kern w:val="22"/>
        </w:rPr>
        <w:t>Reporting and review of the framework</w:t>
      </w:r>
      <w:bookmarkEnd w:id="39"/>
    </w:p>
    <w:p w14:paraId="116EFC3E" w14:textId="77777777" w:rsidR="00D87A97" w:rsidRPr="00117EEC" w:rsidRDefault="00D87A97" w:rsidP="000E369B">
      <w:pPr>
        <w:pStyle w:val="Para1"/>
        <w:numPr>
          <w:ilvl w:val="0"/>
          <w:numId w:val="15"/>
        </w:numPr>
        <w:suppressLineNumbers/>
        <w:tabs>
          <w:tab w:val="clear" w:pos="360"/>
          <w:tab w:val="left" w:pos="720"/>
        </w:tabs>
        <w:suppressAutoHyphens/>
        <w:kinsoku w:val="0"/>
        <w:overflowPunct w:val="0"/>
        <w:autoSpaceDE w:val="0"/>
        <w:autoSpaceDN w:val="0"/>
        <w:adjustRightInd w:val="0"/>
        <w:snapToGrid w:val="0"/>
        <w:spacing w:line="230" w:lineRule="auto"/>
        <w:rPr>
          <w:snapToGrid/>
          <w:kern w:val="22"/>
          <w:szCs w:val="22"/>
        </w:rPr>
      </w:pPr>
      <w:r w:rsidRPr="00117EEC">
        <w:rPr>
          <w:kern w:val="22"/>
          <w:szCs w:val="22"/>
        </w:rPr>
        <w:t xml:space="preserve">[The long-term strategic framework is intended to be a living document. It will be reviewed periodically </w:t>
      </w:r>
      <w:bookmarkStart w:id="40" w:name="_Hlk46691380"/>
      <w:r w:rsidRPr="00117EEC">
        <w:rPr>
          <w:kern w:val="22"/>
          <w:szCs w:val="22"/>
        </w:rPr>
        <w:t>and, if necessary, updated to ensure its continued relevance, effectiveness and use by government and non-government actors</w:t>
      </w:r>
      <w:bookmarkEnd w:id="40"/>
      <w:r w:rsidRPr="00117EEC">
        <w:rPr>
          <w:kern w:val="22"/>
          <w:szCs w:val="22"/>
        </w:rPr>
        <w:t xml:space="preserve">. A first review will be carried out in 2025 and an independent evaluation will be undertaken in 2029, to coincide with the review of the post-2020 global biodiversity framework. Reporting on its application and the lessons learned by governments will be done through </w:t>
      </w:r>
      <w:bookmarkStart w:id="41" w:name="_Hlk50983404"/>
      <w:r w:rsidRPr="00117EEC">
        <w:rPr>
          <w:kern w:val="22"/>
          <w:szCs w:val="22"/>
        </w:rPr>
        <w:t>national reports; and reporting by non-government actors will be through voluntary submission of reports and case studies to the Secretariats of biodiversity-related conventions and processes</w:t>
      </w:r>
      <w:bookmarkEnd w:id="41"/>
      <w:r w:rsidRPr="00117EEC">
        <w:rPr>
          <w:kern w:val="22"/>
          <w:szCs w:val="22"/>
        </w:rPr>
        <w:t>].</w:t>
      </w:r>
    </w:p>
    <w:p w14:paraId="69CF8055" w14:textId="77777777" w:rsidR="00D87A97" w:rsidRPr="00117EEC" w:rsidRDefault="00D87A97" w:rsidP="000E369B">
      <w:pPr>
        <w:pStyle w:val="Para1"/>
        <w:numPr>
          <w:ilvl w:val="0"/>
          <w:numId w:val="15"/>
        </w:numPr>
        <w:suppressLineNumbers/>
        <w:tabs>
          <w:tab w:val="clear" w:pos="360"/>
          <w:tab w:val="left" w:pos="720"/>
        </w:tabs>
        <w:suppressAutoHyphens/>
        <w:kinsoku w:val="0"/>
        <w:overflowPunct w:val="0"/>
        <w:autoSpaceDE w:val="0"/>
        <w:autoSpaceDN w:val="0"/>
        <w:adjustRightInd w:val="0"/>
        <w:snapToGrid w:val="0"/>
        <w:spacing w:line="230" w:lineRule="auto"/>
        <w:rPr>
          <w:kern w:val="22"/>
        </w:rPr>
      </w:pPr>
      <w:bookmarkStart w:id="42" w:name="_Hlk49788243"/>
      <w:bookmarkStart w:id="43" w:name="_Hlk50341369"/>
      <w:r w:rsidRPr="00117EEC">
        <w:rPr>
          <w:kern w:val="22"/>
        </w:rPr>
        <w:t>[A set of headline indicators for capacity</w:t>
      </w:r>
      <w:r w:rsidRPr="00117EEC">
        <w:rPr>
          <w:kern w:val="22"/>
        </w:rPr>
        <w:noBreakHyphen/>
        <w:t>building and development will be included in the monitoring framework for the post-2020 global biodiversity framework</w:t>
      </w:r>
      <w:bookmarkEnd w:id="42"/>
      <w:r w:rsidRPr="00117EEC">
        <w:rPr>
          <w:kern w:val="22"/>
        </w:rPr>
        <w:t xml:space="preserve">. </w:t>
      </w:r>
      <w:bookmarkStart w:id="44" w:name="_Hlk49788308"/>
      <w:r w:rsidRPr="00117EEC">
        <w:rPr>
          <w:kern w:val="22"/>
        </w:rPr>
        <w:t xml:space="preserve">[A complementary set of indicators </w:t>
      </w:r>
      <w:bookmarkEnd w:id="44"/>
      <w:r w:rsidRPr="00117EEC">
        <w:rPr>
          <w:kern w:val="22"/>
        </w:rPr>
        <w:t>and a methodology for measuring progress towards the achievement of the strategic directions proposed in the long-term strategic framework for capacity</w:t>
      </w:r>
      <w:r w:rsidRPr="00117EEC">
        <w:rPr>
          <w:kern w:val="22"/>
        </w:rPr>
        <w:noBreakHyphen/>
        <w:t xml:space="preserve">building and development could be prepared with the support of experts and made available immediately following the adoption of the strategic framework]. Government and non-government actors could also adapt and use the complementary indicators to monitor, assess and report on their capacity building and development efforts at the subnational, </w:t>
      </w:r>
      <w:proofErr w:type="gramStart"/>
      <w:r w:rsidRPr="00117EEC">
        <w:rPr>
          <w:kern w:val="22"/>
        </w:rPr>
        <w:t>national</w:t>
      </w:r>
      <w:proofErr w:type="gramEnd"/>
      <w:r w:rsidRPr="00117EEC">
        <w:rPr>
          <w:kern w:val="22"/>
        </w:rPr>
        <w:t xml:space="preserve"> and regional levels. [The information generated from the monitoring and capacity</w:t>
      </w:r>
      <w:r w:rsidRPr="00117EEC">
        <w:rPr>
          <w:kern w:val="22"/>
        </w:rPr>
        <w:noBreakHyphen/>
        <w:t>building and development assessments processes at the national and regional levels should inform the periodic review and update of the framework</w:t>
      </w:r>
      <w:bookmarkEnd w:id="43"/>
      <w:r w:rsidRPr="00117EEC">
        <w:rPr>
          <w:kern w:val="22"/>
        </w:rPr>
        <w:t>].</w:t>
      </w:r>
      <w:bookmarkEnd w:id="38"/>
      <w:r w:rsidRPr="00117EEC">
        <w:rPr>
          <w:kern w:val="22"/>
        </w:rPr>
        <w:t>]</w:t>
      </w:r>
      <w:r w:rsidRPr="00117EEC">
        <w:rPr>
          <w:kern w:val="22"/>
        </w:rPr>
        <w:br w:type="page"/>
      </w:r>
    </w:p>
    <w:p w14:paraId="587B245B" w14:textId="77777777" w:rsidR="00D87A97" w:rsidRPr="00760D30" w:rsidRDefault="00D87A97" w:rsidP="00D87A97">
      <w:pPr>
        <w:pStyle w:val="ListParagraph"/>
        <w:keepNext/>
        <w:suppressLineNumbers/>
        <w:suppressAutoHyphens/>
        <w:kinsoku w:val="0"/>
        <w:overflowPunct w:val="0"/>
        <w:autoSpaceDE w:val="0"/>
        <w:autoSpaceDN w:val="0"/>
        <w:adjustRightInd w:val="0"/>
        <w:snapToGrid w:val="0"/>
        <w:spacing w:before="120" w:after="120"/>
        <w:ind w:left="0"/>
        <w:contextualSpacing w:val="0"/>
        <w:jc w:val="center"/>
        <w:outlineLvl w:val="0"/>
        <w:rPr>
          <w:i/>
          <w:snapToGrid w:val="0"/>
          <w:kern w:val="22"/>
          <w:szCs w:val="22"/>
        </w:rPr>
      </w:pPr>
      <w:bookmarkStart w:id="45" w:name="_Toc57214910"/>
      <w:r w:rsidRPr="00760D30">
        <w:rPr>
          <w:i/>
          <w:snapToGrid w:val="0"/>
          <w:kern w:val="22"/>
          <w:szCs w:val="22"/>
        </w:rPr>
        <w:lastRenderedPageBreak/>
        <w:t>[Annex II</w:t>
      </w:r>
    </w:p>
    <w:p w14:paraId="072E8AFB" w14:textId="77777777" w:rsidR="00D87A97" w:rsidRPr="00760D30" w:rsidRDefault="00D87A97" w:rsidP="00D87A97">
      <w:pPr>
        <w:pStyle w:val="NormalWeb"/>
        <w:keepNext/>
        <w:suppressLineNumbers/>
        <w:suppressAutoHyphens/>
        <w:kinsoku w:val="0"/>
        <w:overflowPunct w:val="0"/>
        <w:adjustRightInd w:val="0"/>
        <w:snapToGrid w:val="0"/>
        <w:spacing w:before="120" w:after="120"/>
        <w:jc w:val="center"/>
        <w:outlineLvl w:val="0"/>
        <w:rPr>
          <w:rFonts w:ascii="Times New Roman Bold" w:hAnsi="Times New Roman Bold" w:cs="Times New Roman Bold"/>
          <w:b/>
          <w:bCs/>
          <w:caps/>
          <w:snapToGrid w:val="0"/>
          <w:kern w:val="22"/>
          <w:sz w:val="22"/>
          <w:lang w:val="en-GB"/>
        </w:rPr>
      </w:pPr>
      <w:bookmarkStart w:id="46" w:name="_Toc57214911"/>
      <w:bookmarkEnd w:id="45"/>
      <w:r w:rsidRPr="00760D30">
        <w:rPr>
          <w:rFonts w:ascii="Times New Roman Bold" w:hAnsi="Times New Roman Bold" w:cs="Times New Roman Bold"/>
          <w:b/>
          <w:bCs/>
          <w:caps/>
          <w:snapToGrid w:val="0"/>
          <w:kern w:val="22"/>
          <w:sz w:val="22"/>
          <w:lang w:val="en-GB"/>
        </w:rPr>
        <w:t>Proposals to strengthen technical and scientific cooperation in support of the post-2020 global biodiversity framework</w:t>
      </w:r>
    </w:p>
    <w:p w14:paraId="1F968372" w14:textId="77777777" w:rsidR="00D87A97" w:rsidRPr="00694029" w:rsidRDefault="00D87A97" w:rsidP="000E369B">
      <w:pPr>
        <w:pStyle w:val="Heading1"/>
        <w:numPr>
          <w:ilvl w:val="0"/>
          <w:numId w:val="19"/>
        </w:numPr>
        <w:suppressLineNumbers/>
        <w:tabs>
          <w:tab w:val="clear" w:pos="720"/>
          <w:tab w:val="num" w:pos="360"/>
        </w:tabs>
        <w:suppressAutoHyphens/>
        <w:kinsoku w:val="0"/>
        <w:overflowPunct w:val="0"/>
        <w:autoSpaceDE w:val="0"/>
        <w:autoSpaceDN w:val="0"/>
        <w:adjustRightInd w:val="0"/>
        <w:snapToGrid w:val="0"/>
        <w:ind w:left="0" w:firstLine="0"/>
        <w:rPr>
          <w:snapToGrid w:val="0"/>
          <w:kern w:val="22"/>
        </w:rPr>
      </w:pPr>
      <w:r w:rsidRPr="00117EEC">
        <w:rPr>
          <w:kern w:val="22"/>
        </w:rPr>
        <w:t>Introduction</w:t>
      </w:r>
    </w:p>
    <w:p w14:paraId="6C3D7218"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064579">
        <w:rPr>
          <w:kern w:val="22"/>
          <w:lang w:val="en-GB"/>
        </w:rPr>
        <w:t xml:space="preserve">Article 18(1) of the Convention on Biological Diversity requires Parties to promote international technical and scientific cooperation in the field of conservation and sustainable use of biological diversity, where </w:t>
      </w:r>
      <w:r w:rsidRPr="00117EEC">
        <w:rPr>
          <w:kern w:val="22"/>
          <w:lang w:val="en-GB"/>
        </w:rPr>
        <w:t>necessary, through the appropriate international and national channels.</w:t>
      </w:r>
    </w:p>
    <w:p w14:paraId="0C4F0014" w14:textId="77777777" w:rsidR="00D87A97" w:rsidRPr="00117EEC" w:rsidRDefault="00D87A97" w:rsidP="00D87A97">
      <w:pPr>
        <w:pStyle w:val="CBD-Para"/>
        <w:rPr>
          <w:snapToGrid w:val="0"/>
          <w:kern w:val="22"/>
          <w:lang w:val="en-GB"/>
        </w:rPr>
      </w:pPr>
      <w:r w:rsidRPr="00117EEC">
        <w:rPr>
          <w:lang w:val="en-GB"/>
        </w:rPr>
        <w:t>[Various provisions of other biodiversity-related conventions and agreements require Parties to promote technical and scientific cooperation.] [In addition</w:t>
      </w:r>
      <w:r w:rsidRPr="00117EEC">
        <w:rPr>
          <w:kern w:val="22"/>
          <w:lang w:val="en-GB"/>
        </w:rPr>
        <w:t xml:space="preserve">, the preamble of the Convention on International Trade in Endangered Species of Wild Fauna and Flora (CITES) recognizes </w:t>
      </w:r>
      <w:r w:rsidRPr="00117EEC">
        <w:rPr>
          <w:lang w:val="en-GB"/>
        </w:rPr>
        <w:t>that</w:t>
      </w:r>
      <w:r w:rsidRPr="00117EEC">
        <w:rPr>
          <w:kern w:val="22"/>
          <w:lang w:val="en-GB"/>
        </w:rPr>
        <w:t xml:space="preserve"> international cooperation</w:t>
      </w:r>
      <w:r w:rsidRPr="00117EEC">
        <w:rPr>
          <w:snapToGrid w:val="0"/>
          <w:kern w:val="22"/>
          <w:lang w:val="en-GB"/>
        </w:rPr>
        <w:t xml:space="preserve"> </w:t>
      </w:r>
      <w:r w:rsidRPr="00117EEC">
        <w:rPr>
          <w:lang w:val="en-GB"/>
        </w:rPr>
        <w:t xml:space="preserve">is essential </w:t>
      </w:r>
      <w:r w:rsidRPr="00117EEC">
        <w:rPr>
          <w:kern w:val="22"/>
          <w:lang w:val="en-GB"/>
        </w:rPr>
        <w:t xml:space="preserve">for the protection of certain species of wild fauna and flora. Article 2 of the Convention on Migratory Species of Wild Animals [, as well as Article 5 of the Ramsar Convention on Wetlands,] require[s] Parties to promote, cooperate in and support research relating to migratory species. </w:t>
      </w:r>
      <w:r w:rsidRPr="00117EEC">
        <w:rPr>
          <w:lang w:val="en-GB"/>
        </w:rPr>
        <w:t>Several articles of t</w:t>
      </w:r>
      <w:r w:rsidRPr="00117EEC">
        <w:rPr>
          <w:snapToGrid w:val="0"/>
          <w:kern w:val="22"/>
          <w:lang w:val="en-GB"/>
        </w:rPr>
        <w:t>he</w:t>
      </w:r>
      <w:r w:rsidRPr="00117EEC">
        <w:rPr>
          <w:kern w:val="22"/>
          <w:lang w:val="en-GB"/>
        </w:rPr>
        <w:t xml:space="preserve"> International Treaty on Plant Genetic Resources for Food and Agriculture stress the importance of international cooperation. Article 4 of the World Heritage Convention </w:t>
      </w:r>
      <w:r w:rsidRPr="00117EEC">
        <w:rPr>
          <w:lang w:val="en-GB"/>
        </w:rPr>
        <w:t xml:space="preserve">states that </w:t>
      </w:r>
      <w:r w:rsidRPr="00117EEC">
        <w:rPr>
          <w:kern w:val="22"/>
          <w:lang w:val="en-GB"/>
        </w:rPr>
        <w:t xml:space="preserve">each State Party </w:t>
      </w:r>
      <w:r w:rsidRPr="00117EEC">
        <w:rPr>
          <w:lang w:val="en-GB"/>
        </w:rPr>
        <w:t xml:space="preserve">will </w:t>
      </w:r>
      <w:r w:rsidRPr="00117EEC">
        <w:rPr>
          <w:kern w:val="22"/>
          <w:lang w:val="en-GB"/>
        </w:rPr>
        <w:t xml:space="preserve">do all it can, including with international assistance and cooperation, to ensure the identification, </w:t>
      </w:r>
      <w:proofErr w:type="gramStart"/>
      <w:r w:rsidRPr="00117EEC">
        <w:rPr>
          <w:kern w:val="22"/>
          <w:lang w:val="en-GB"/>
        </w:rPr>
        <w:t>protection</w:t>
      </w:r>
      <w:proofErr w:type="gramEnd"/>
      <w:r w:rsidRPr="00117EEC">
        <w:rPr>
          <w:kern w:val="22"/>
          <w:lang w:val="en-GB"/>
        </w:rPr>
        <w:t xml:space="preserve"> and conservation of its cultural and natural heritage.]</w:t>
      </w:r>
    </w:p>
    <w:p w14:paraId="4DC2AE65" w14:textId="77777777" w:rsidR="00D87A97" w:rsidRPr="00117EEC" w:rsidRDefault="00D87A97" w:rsidP="000E369B">
      <w:pPr>
        <w:pStyle w:val="Heading1"/>
        <w:numPr>
          <w:ilvl w:val="0"/>
          <w:numId w:val="19"/>
        </w:numPr>
        <w:suppressLineNumbers/>
        <w:tabs>
          <w:tab w:val="num" w:pos="360"/>
        </w:tabs>
        <w:suppressAutoHyphens/>
        <w:kinsoku w:val="0"/>
        <w:overflowPunct w:val="0"/>
        <w:autoSpaceDE w:val="0"/>
        <w:autoSpaceDN w:val="0"/>
        <w:adjustRightInd w:val="0"/>
        <w:snapToGrid w:val="0"/>
        <w:spacing w:before="120"/>
        <w:ind w:left="720" w:firstLine="0"/>
        <w:rPr>
          <w:snapToGrid w:val="0"/>
          <w:kern w:val="22"/>
        </w:rPr>
      </w:pPr>
      <w:r w:rsidRPr="00117EEC">
        <w:rPr>
          <w:caps w:val="0"/>
          <w:kern w:val="22"/>
        </w:rPr>
        <w:t>GOAL, OBJECTIVES AND GUIDING PRINCIPLES</w:t>
      </w:r>
    </w:p>
    <w:p w14:paraId="40A93C32" w14:textId="77777777" w:rsidR="00D87A97" w:rsidRPr="00117EEC" w:rsidRDefault="00D87A97" w:rsidP="000E369B">
      <w:pPr>
        <w:pStyle w:val="Heading2"/>
        <w:numPr>
          <w:ilvl w:val="0"/>
          <w:numId w:val="20"/>
        </w:numPr>
        <w:suppressLineNumbers/>
        <w:tabs>
          <w:tab w:val="num" w:pos="360"/>
        </w:tabs>
        <w:suppressAutoHyphens/>
        <w:kinsoku w:val="0"/>
        <w:overflowPunct w:val="0"/>
        <w:autoSpaceDE w:val="0"/>
        <w:autoSpaceDN w:val="0"/>
        <w:adjustRightInd w:val="0"/>
        <w:snapToGrid w:val="0"/>
        <w:ind w:left="0" w:firstLine="0"/>
        <w:rPr>
          <w:bCs w:val="0"/>
          <w:snapToGrid w:val="0"/>
          <w:kern w:val="22"/>
        </w:rPr>
      </w:pPr>
      <w:r w:rsidRPr="00117EEC">
        <w:rPr>
          <w:bCs w:val="0"/>
          <w:kern w:val="22"/>
        </w:rPr>
        <w:t>Goal and objectives</w:t>
      </w:r>
    </w:p>
    <w:p w14:paraId="37772C65"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overall goal </w:t>
      </w:r>
      <w:r w:rsidRPr="00117EEC">
        <w:rPr>
          <w:lang w:val="en-GB"/>
        </w:rPr>
        <w:t xml:space="preserve">of the proposals </w:t>
      </w:r>
      <w:r w:rsidRPr="00117EEC">
        <w:rPr>
          <w:kern w:val="22"/>
          <w:lang w:val="en-GB"/>
        </w:rPr>
        <w:t>is to promote and facilitate cooperation among Parties and relevant organizations to enable them to effectively utilize science, technology, and innovation to support the implementation of the post-2020 global biodiversity framework</w:t>
      </w:r>
      <w:r w:rsidRPr="00117EEC">
        <w:rPr>
          <w:snapToGrid w:val="0"/>
          <w:kern w:val="22"/>
          <w:lang w:val="en-GB"/>
        </w:rPr>
        <w:t>.</w:t>
      </w:r>
      <w:r w:rsidRPr="00117EEC">
        <w:rPr>
          <w:kern w:val="22"/>
          <w:lang w:val="en-GB"/>
        </w:rPr>
        <w:t xml:space="preserve"> The specific objectives are:</w:t>
      </w:r>
    </w:p>
    <w:p w14:paraId="71EEFD8C"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ind w:left="0" w:firstLine="720"/>
        <w:rPr>
          <w:snapToGrid/>
          <w:kern w:val="22"/>
        </w:rPr>
      </w:pPr>
      <w:r w:rsidRPr="00117EEC">
        <w:rPr>
          <w:kern w:val="22"/>
        </w:rPr>
        <w:t>To enhance local, national, regional and international capacities in relation to science, technology and innovation by means of human resource</w:t>
      </w:r>
      <w:r w:rsidRPr="00117EEC">
        <w:rPr>
          <w:kern w:val="22"/>
          <w:szCs w:val="22"/>
        </w:rPr>
        <w:t xml:space="preserve"> </w:t>
      </w:r>
      <w:r w:rsidRPr="00117EEC">
        <w:rPr>
          <w:kern w:val="22"/>
        </w:rPr>
        <w:t>and institutional capacity</w:t>
      </w:r>
      <w:r w:rsidRPr="00117EEC">
        <w:rPr>
          <w:kern w:val="22"/>
        </w:rPr>
        <w:noBreakHyphen/>
        <w:t xml:space="preserve">building and </w:t>
      </w:r>
      <w:proofErr w:type="gramStart"/>
      <w:r w:rsidRPr="00117EEC">
        <w:rPr>
          <w:kern w:val="22"/>
        </w:rPr>
        <w:t>development;</w:t>
      </w:r>
      <w:proofErr w:type="gramEnd"/>
    </w:p>
    <w:p w14:paraId="7881E269"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ind w:left="0" w:firstLine="720"/>
        <w:rPr>
          <w:kern w:val="22"/>
          <w:szCs w:val="22"/>
        </w:rPr>
      </w:pPr>
      <w:r w:rsidRPr="00117EEC">
        <w:rPr>
          <w:kern w:val="22"/>
          <w:szCs w:val="22"/>
        </w:rPr>
        <w:t>To enable technology horizon scanning, assessment, monitoring, and</w:t>
      </w:r>
      <w:r w:rsidRPr="00117EEC">
        <w:rPr>
          <w:kern w:val="22"/>
        </w:rPr>
        <w:t xml:space="preserve"> </w:t>
      </w:r>
      <w:r w:rsidRPr="00117EEC">
        <w:rPr>
          <w:kern w:val="22"/>
          <w:szCs w:val="22"/>
        </w:rPr>
        <w:t xml:space="preserve">judgement on the appropriate </w:t>
      </w:r>
      <w:proofErr w:type="gramStart"/>
      <w:r w:rsidRPr="00117EEC">
        <w:rPr>
          <w:kern w:val="22"/>
          <w:szCs w:val="22"/>
        </w:rPr>
        <w:t>technologies;</w:t>
      </w:r>
      <w:proofErr w:type="gramEnd"/>
    </w:p>
    <w:p w14:paraId="29D7CE68"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ind w:left="0" w:firstLine="720"/>
        <w:rPr>
          <w:kern w:val="22"/>
        </w:rPr>
      </w:pPr>
      <w:r w:rsidRPr="00117EEC">
        <w:rPr>
          <w:kern w:val="22"/>
        </w:rPr>
        <w:t>To promote and facilitate the development, transfer and use of appropriate technologies, including indigenous and traditional technologies subject to prior informed consent</w:t>
      </w:r>
      <w:r w:rsidRPr="00117EEC">
        <w:t xml:space="preserve">, as </w:t>
      </w:r>
      <w:proofErr w:type="gramStart"/>
      <w:r w:rsidRPr="00117EEC">
        <w:t>applicable</w:t>
      </w:r>
      <w:r w:rsidRPr="00117EEC">
        <w:rPr>
          <w:kern w:val="22"/>
          <w:szCs w:val="22"/>
        </w:rPr>
        <w:t>;</w:t>
      </w:r>
      <w:proofErr w:type="gramEnd"/>
    </w:p>
    <w:p w14:paraId="571633C9"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ind w:left="0" w:firstLine="720"/>
        <w:rPr>
          <w:kern w:val="22"/>
        </w:rPr>
      </w:pPr>
      <w:r w:rsidRPr="00117EEC">
        <w:rPr>
          <w:kern w:val="22"/>
        </w:rPr>
        <w:t xml:space="preserve">To promote and encourage joint research, cooperation and collaboration in the use of scientific advances and good practices in </w:t>
      </w:r>
      <w:proofErr w:type="gramStart"/>
      <w:r w:rsidRPr="00117EEC">
        <w:rPr>
          <w:kern w:val="22"/>
        </w:rPr>
        <w:t>research</w:t>
      </w:r>
      <w:r w:rsidRPr="00117EEC">
        <w:rPr>
          <w:kern w:val="22"/>
          <w:szCs w:val="22"/>
        </w:rPr>
        <w:t>;</w:t>
      </w:r>
      <w:proofErr w:type="gramEnd"/>
    </w:p>
    <w:p w14:paraId="09CD9537"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ind w:left="0" w:firstLine="720"/>
        <w:rPr>
          <w:kern w:val="22"/>
        </w:rPr>
      </w:pPr>
      <w:r w:rsidRPr="00117EEC">
        <w:rPr>
          <w:kern w:val="22"/>
        </w:rPr>
        <w:t xml:space="preserve">To promote the development, implementation and scaling up of appropriate and responsible innovative </w:t>
      </w:r>
      <w:proofErr w:type="gramStart"/>
      <w:r w:rsidRPr="00117EEC">
        <w:rPr>
          <w:kern w:val="22"/>
        </w:rPr>
        <w:t>solutions</w:t>
      </w:r>
      <w:r w:rsidRPr="00117EEC">
        <w:t>;</w:t>
      </w:r>
      <w:proofErr w:type="gramEnd"/>
    </w:p>
    <w:p w14:paraId="2EE227BD"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ind w:left="0" w:firstLine="720"/>
        <w:rPr>
          <w:kern w:val="22"/>
        </w:rPr>
      </w:pPr>
      <w:r w:rsidRPr="00117EEC">
        <w:rPr>
          <w:kern w:val="22"/>
        </w:rPr>
        <w:t xml:space="preserve">To facilitate access to and exchange of relevant technical and scientific data, </w:t>
      </w:r>
      <w:proofErr w:type="gramStart"/>
      <w:r w:rsidRPr="00117EEC">
        <w:rPr>
          <w:kern w:val="22"/>
        </w:rPr>
        <w:t>information</w:t>
      </w:r>
      <w:proofErr w:type="gramEnd"/>
      <w:r w:rsidRPr="00117EEC">
        <w:rPr>
          <w:kern w:val="22"/>
        </w:rPr>
        <w:t xml:space="preserve"> and knowledge</w:t>
      </w:r>
      <w:r w:rsidRPr="00117EEC">
        <w:rPr>
          <w:kern w:val="22"/>
          <w:szCs w:val="22"/>
        </w:rPr>
        <w:t>.</w:t>
      </w:r>
    </w:p>
    <w:p w14:paraId="351B3F73" w14:textId="77777777" w:rsidR="00D87A97" w:rsidRPr="00117EEC" w:rsidRDefault="00D87A97" w:rsidP="000E369B">
      <w:pPr>
        <w:pStyle w:val="Heading2"/>
        <w:numPr>
          <w:ilvl w:val="0"/>
          <w:numId w:val="20"/>
        </w:numPr>
        <w:suppressLineNumbers/>
        <w:tabs>
          <w:tab w:val="num" w:pos="360"/>
        </w:tabs>
        <w:suppressAutoHyphens/>
        <w:kinsoku w:val="0"/>
        <w:overflowPunct w:val="0"/>
        <w:autoSpaceDE w:val="0"/>
        <w:autoSpaceDN w:val="0"/>
        <w:adjustRightInd w:val="0"/>
        <w:snapToGrid w:val="0"/>
        <w:ind w:left="0" w:firstLine="0"/>
        <w:rPr>
          <w:bCs w:val="0"/>
          <w:snapToGrid w:val="0"/>
          <w:kern w:val="22"/>
        </w:rPr>
      </w:pPr>
      <w:r w:rsidRPr="00117EEC">
        <w:rPr>
          <w:bCs w:val="0"/>
          <w:kern w:val="22"/>
        </w:rPr>
        <w:t>Guiding principles</w:t>
      </w:r>
    </w:p>
    <w:p w14:paraId="715DE4AF"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lang w:val="en-GB"/>
        </w:rPr>
        <w:t>T</w:t>
      </w:r>
      <w:r w:rsidRPr="00117EEC">
        <w:rPr>
          <w:snapToGrid w:val="0"/>
          <w:kern w:val="22"/>
          <w:lang w:val="en-GB"/>
        </w:rPr>
        <w:t>echnical</w:t>
      </w:r>
      <w:r w:rsidRPr="00117EEC">
        <w:rPr>
          <w:kern w:val="22"/>
          <w:lang w:val="en-GB"/>
        </w:rPr>
        <w:t xml:space="preserve"> and scientific cooperation initiatives (activities, </w:t>
      </w:r>
      <w:proofErr w:type="gramStart"/>
      <w:r w:rsidRPr="00117EEC">
        <w:rPr>
          <w:kern w:val="22"/>
          <w:lang w:val="en-GB"/>
        </w:rPr>
        <w:t>projects</w:t>
      </w:r>
      <w:proofErr w:type="gramEnd"/>
      <w:r w:rsidRPr="00117EEC">
        <w:rPr>
          <w:kern w:val="22"/>
          <w:lang w:val="en-GB"/>
        </w:rPr>
        <w:t xml:space="preserve"> and programmes</w:t>
      </w:r>
      <w:r w:rsidRPr="00117EEC">
        <w:rPr>
          <w:snapToGrid w:val="0"/>
          <w:kern w:val="22"/>
          <w:lang w:val="en-GB"/>
        </w:rPr>
        <w:t>)</w:t>
      </w:r>
      <w:r w:rsidRPr="00117EEC">
        <w:rPr>
          <w:kern w:val="22"/>
          <w:lang w:val="en-GB"/>
        </w:rPr>
        <w:t xml:space="preserve"> would be guided by the following principles:</w:t>
      </w:r>
    </w:p>
    <w:p w14:paraId="3A1AF979"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snapToGrid/>
          <w:kern w:val="22"/>
          <w:szCs w:val="22"/>
        </w:rPr>
      </w:pPr>
      <w:r w:rsidRPr="00117EEC">
        <w:rPr>
          <w:i/>
          <w:kern w:val="22"/>
          <w:szCs w:val="22"/>
        </w:rPr>
        <w:t>Demand-driven:</w:t>
      </w:r>
      <w:r w:rsidRPr="00117EEC">
        <w:rPr>
          <w:kern w:val="22"/>
          <w:szCs w:val="22"/>
        </w:rPr>
        <w:t xml:space="preserve"> Initiatives should be started at the request of Parties and relevant institutions and stakeholders, including indigenous peoples and local communities, in response to their needs and in accordance with national </w:t>
      </w:r>
      <w:proofErr w:type="gramStart"/>
      <w:r w:rsidRPr="00117EEC">
        <w:rPr>
          <w:kern w:val="22"/>
          <w:szCs w:val="22"/>
        </w:rPr>
        <w:t>legislation;</w:t>
      </w:r>
      <w:proofErr w:type="gramEnd"/>
    </w:p>
    <w:p w14:paraId="37E16003"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Flexibility:</w:t>
      </w:r>
      <w:r w:rsidRPr="00117EEC">
        <w:rPr>
          <w:kern w:val="22"/>
          <w:szCs w:val="22"/>
        </w:rPr>
        <w:t xml:space="preserve"> Initiatives should be implemented in a flexible and adaptive manner, taking into account the varying needs, conditions and circumstances of the Parties and stakeholders </w:t>
      </w:r>
      <w:proofErr w:type="gramStart"/>
      <w:r w:rsidRPr="00117EEC">
        <w:rPr>
          <w:kern w:val="22"/>
          <w:szCs w:val="22"/>
        </w:rPr>
        <w:t>involved;</w:t>
      </w:r>
      <w:proofErr w:type="gramEnd"/>
    </w:p>
    <w:p w14:paraId="5C2D30C0"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lastRenderedPageBreak/>
        <w:t>Efficiency:</w:t>
      </w:r>
      <w:r w:rsidRPr="00117EEC">
        <w:rPr>
          <w:kern w:val="22"/>
          <w:szCs w:val="22"/>
        </w:rPr>
        <w:t xml:space="preserve"> Measures should be taken to ensure that the initiatives achieve the intended results on time and with the least possible </w:t>
      </w:r>
      <w:proofErr w:type="gramStart"/>
      <w:r w:rsidRPr="00117EEC">
        <w:rPr>
          <w:kern w:val="22"/>
          <w:szCs w:val="22"/>
        </w:rPr>
        <w:t>resources;</w:t>
      </w:r>
      <w:proofErr w:type="gramEnd"/>
    </w:p>
    <w:p w14:paraId="4CB41189"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Efficacy:</w:t>
      </w:r>
      <w:r w:rsidRPr="00117EEC">
        <w:rPr>
          <w:kern w:val="22"/>
          <w:szCs w:val="22"/>
        </w:rPr>
        <w:t xml:space="preserve"> Measures should be taken to ensure that the initiatives generate the desired changes while taking into account the potential interconnections and unintended impacts, and that results can be monitored, assessed and </w:t>
      </w:r>
      <w:proofErr w:type="gramStart"/>
      <w:r w:rsidRPr="00117EEC">
        <w:rPr>
          <w:kern w:val="22"/>
          <w:szCs w:val="22"/>
        </w:rPr>
        <w:t>evaluated;</w:t>
      </w:r>
      <w:proofErr w:type="gramEnd"/>
    </w:p>
    <w:p w14:paraId="3311A22A"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Tailored:</w:t>
      </w:r>
      <w:r w:rsidRPr="00117EEC">
        <w:rPr>
          <w:kern w:val="22"/>
          <w:szCs w:val="22"/>
        </w:rPr>
        <w:t xml:space="preserve"> Initiatives should be adapted to local conditions and circumstances, also </w:t>
      </w:r>
      <w:r w:rsidRPr="00117EEC">
        <w:rPr>
          <w:kern w:val="22"/>
        </w:rPr>
        <w:t>taking into account cultural and other considerations, to</w:t>
      </w:r>
      <w:r w:rsidRPr="00117EEC">
        <w:rPr>
          <w:kern w:val="22"/>
          <w:szCs w:val="22"/>
        </w:rPr>
        <w:t xml:space="preserve"> foster buy-in and uptake, ownership, and sustainability at the local </w:t>
      </w:r>
      <w:proofErr w:type="gramStart"/>
      <w:r w:rsidRPr="00117EEC">
        <w:rPr>
          <w:kern w:val="22"/>
          <w:szCs w:val="22"/>
        </w:rPr>
        <w:t>level;</w:t>
      </w:r>
      <w:proofErr w:type="gramEnd"/>
    </w:p>
    <w:p w14:paraId="46870697"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Programmatic:</w:t>
      </w:r>
      <w:r w:rsidRPr="00117EEC">
        <w:rPr>
          <w:kern w:val="22"/>
          <w:szCs w:val="22"/>
        </w:rPr>
        <w:t xml:space="preserve"> Delivery should be done through sustained long-term engagement and in a holistic and integrated manner, whereby various interventions (activities, projects and other initiatives) unified by an overarching vision and common objectives, are interconnected to achieve larger-scale and sustained impact that is more than the sum of its </w:t>
      </w:r>
      <w:proofErr w:type="gramStart"/>
      <w:r w:rsidRPr="00117EEC">
        <w:rPr>
          <w:kern w:val="22"/>
          <w:szCs w:val="22"/>
        </w:rPr>
        <w:t>components;</w:t>
      </w:r>
      <w:proofErr w:type="gramEnd"/>
    </w:p>
    <w:p w14:paraId="4514A6D2"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 xml:space="preserve">Synergistic: </w:t>
      </w:r>
      <w:r w:rsidRPr="00117EEC">
        <w:rPr>
          <w:kern w:val="22"/>
          <w:szCs w:val="22"/>
        </w:rPr>
        <w:t xml:space="preserve">Initiatives should be implemented in a collaborative, interlinked, complementary and mutually supportive manner to achieve enhanced impact in supporting the implementation of the post-2020 global biodiversity framework at all levels and across conventions, processes and </w:t>
      </w:r>
      <w:proofErr w:type="gramStart"/>
      <w:r w:rsidRPr="00117EEC">
        <w:rPr>
          <w:kern w:val="22"/>
          <w:szCs w:val="22"/>
        </w:rPr>
        <w:t>sectors;</w:t>
      </w:r>
      <w:proofErr w:type="gramEnd"/>
    </w:p>
    <w:p w14:paraId="4450A992"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Multi-stakeholder engagement:</w:t>
      </w:r>
      <w:r w:rsidRPr="00117EEC">
        <w:rPr>
          <w:kern w:val="22"/>
          <w:szCs w:val="22"/>
        </w:rPr>
        <w:t xml:space="preserve"> Initiatives should actively engage relevant societal actors, institutional partners and providers of technical assistance, including (</w:t>
      </w:r>
      <w:proofErr w:type="spellStart"/>
      <w:r w:rsidRPr="00117EEC">
        <w:rPr>
          <w:kern w:val="22"/>
          <w:szCs w:val="22"/>
        </w:rPr>
        <w:t>i</w:t>
      </w:r>
      <w:proofErr w:type="spellEnd"/>
      <w:r w:rsidRPr="00117EEC">
        <w:rPr>
          <w:kern w:val="22"/>
          <w:szCs w:val="22"/>
        </w:rPr>
        <w:t>) </w:t>
      </w:r>
      <w:r w:rsidRPr="00117EEC">
        <w:rPr>
          <w:kern w:val="22"/>
        </w:rPr>
        <w:t>indigenous peoples and local communities and their networks;</w:t>
      </w:r>
      <w:r w:rsidRPr="00117EEC">
        <w:rPr>
          <w:kern w:val="22"/>
          <w:szCs w:val="22"/>
        </w:rPr>
        <w:t xml:space="preserve"> (ii) multidisciplinary research and professional networks;</w:t>
      </w:r>
      <w:r w:rsidRPr="00117EEC">
        <w:rPr>
          <w:kern w:val="22"/>
        </w:rPr>
        <w:t xml:space="preserve"> (iii) civil society, including youth networks;</w:t>
      </w:r>
      <w:r w:rsidRPr="00117EEC">
        <w:rPr>
          <w:kern w:val="22"/>
          <w:szCs w:val="22"/>
        </w:rPr>
        <w:t xml:space="preserve"> (iv) academic and scientific institutions; (v) the private sector; (vi) subnational, national and regional governmental institutions; (vii) national and international non-governmental organizations, including organizations engaging in citizen science; (viii) bilateral and multilateral institutions; and (ix) funding institutions;</w:t>
      </w:r>
    </w:p>
    <w:p w14:paraId="6586135D"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Mutual respect:</w:t>
      </w:r>
      <w:r w:rsidRPr="00117EEC">
        <w:rPr>
          <w:kern w:val="22"/>
          <w:szCs w:val="22"/>
        </w:rPr>
        <w:t xml:space="preserve"> Initiatives should adhere to the principles of mutual respect and equality and mutual benefit, under a human rights approach,</w:t>
      </w:r>
      <w:r w:rsidRPr="00117EEC">
        <w:rPr>
          <w:kern w:val="22"/>
        </w:rPr>
        <w:t xml:space="preserve"> including respect for diverse knowledge systems including the knowledge and experience of practitioners, and of indigenous peoples and local </w:t>
      </w:r>
      <w:proofErr w:type="gramStart"/>
      <w:r w:rsidRPr="00117EEC">
        <w:rPr>
          <w:kern w:val="22"/>
        </w:rPr>
        <w:t>communities</w:t>
      </w:r>
      <w:r w:rsidRPr="00117EEC">
        <w:rPr>
          <w:kern w:val="22"/>
          <w:szCs w:val="22"/>
        </w:rPr>
        <w:t>;</w:t>
      </w:r>
      <w:proofErr w:type="gramEnd"/>
    </w:p>
    <w:p w14:paraId="63A1C201"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Respect for regulatory requirements:</w:t>
      </w:r>
      <w:r w:rsidRPr="00117EEC">
        <w:rPr>
          <w:kern w:val="22"/>
          <w:szCs w:val="22"/>
        </w:rPr>
        <w:t xml:space="preserve"> Initiatives should adhere to appropriate and proportionate safeguards and comply with the legal and regulatory requirements of collaborating </w:t>
      </w:r>
      <w:proofErr w:type="gramStart"/>
      <w:r w:rsidRPr="00117EEC">
        <w:rPr>
          <w:kern w:val="22"/>
          <w:szCs w:val="22"/>
        </w:rPr>
        <w:t>countries;</w:t>
      </w:r>
      <w:proofErr w:type="gramEnd"/>
    </w:p>
    <w:p w14:paraId="4F9C9DCB"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 xml:space="preserve">Continuous learning: </w:t>
      </w:r>
      <w:r w:rsidRPr="00117EEC">
        <w:rPr>
          <w:kern w:val="22"/>
          <w:szCs w:val="22"/>
        </w:rPr>
        <w:t xml:space="preserve">Initiatives should incorporate provisions for continuous education and learning opportunities, including interdisciplinary education in the research and development of new and emerging technologies, as a part of the long-term programmatic approach to strengthen the technical knowledge of the </w:t>
      </w:r>
      <w:proofErr w:type="gramStart"/>
      <w:r w:rsidRPr="00117EEC">
        <w:rPr>
          <w:kern w:val="22"/>
          <w:szCs w:val="22"/>
        </w:rPr>
        <w:t>recipients;</w:t>
      </w:r>
      <w:proofErr w:type="gramEnd"/>
    </w:p>
    <w:p w14:paraId="465E5122"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i/>
          <w:kern w:val="22"/>
          <w:szCs w:val="22"/>
        </w:rPr>
      </w:pPr>
      <w:r w:rsidRPr="00117EEC">
        <w:rPr>
          <w:i/>
          <w:kern w:val="22"/>
          <w:szCs w:val="22"/>
        </w:rPr>
        <w:t xml:space="preserve">Participation: </w:t>
      </w:r>
      <w:r w:rsidRPr="00117EEC">
        <w:rPr>
          <w:kern w:val="22"/>
          <w:szCs w:val="22"/>
        </w:rPr>
        <w:t xml:space="preserve">Initiatives should seek to maximize participatory approaches, recognizing the value of drawing on diverse perspectives, including those from outside the technical and scientific </w:t>
      </w:r>
      <w:proofErr w:type="gramStart"/>
      <w:r w:rsidRPr="00117EEC">
        <w:rPr>
          <w:kern w:val="22"/>
          <w:szCs w:val="22"/>
        </w:rPr>
        <w:t>realm;</w:t>
      </w:r>
      <w:proofErr w:type="gramEnd"/>
    </w:p>
    <w:p w14:paraId="2B5B5DC5"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 xml:space="preserve">Precaution: </w:t>
      </w:r>
      <w:r w:rsidRPr="00117EEC">
        <w:rPr>
          <w:kern w:val="22"/>
          <w:szCs w:val="22"/>
        </w:rPr>
        <w:t xml:space="preserve">Initiatives should operationalize the precautionary approach as set out in the Convention on Biological Diversity and its protocols as a balance against risks arising from new technological </w:t>
      </w:r>
      <w:proofErr w:type="gramStart"/>
      <w:r w:rsidRPr="00117EEC">
        <w:rPr>
          <w:kern w:val="22"/>
          <w:szCs w:val="22"/>
        </w:rPr>
        <w:t>threats;</w:t>
      </w:r>
      <w:proofErr w:type="gramEnd"/>
    </w:p>
    <w:p w14:paraId="6B290EED"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 xml:space="preserve">Free, prior and informed consent: </w:t>
      </w:r>
      <w:r w:rsidRPr="00117EEC">
        <w:rPr>
          <w:kern w:val="22"/>
          <w:szCs w:val="22"/>
        </w:rPr>
        <w:t xml:space="preserve">Initiatives should respect the principle of free, prior and informed consent of indigenous peoples and local communities when considering the introduction, dissemination or use of innovations that may potentially impact their rights, traditional practices and </w:t>
      </w:r>
      <w:proofErr w:type="gramStart"/>
      <w:r w:rsidRPr="00117EEC">
        <w:rPr>
          <w:kern w:val="22"/>
          <w:szCs w:val="22"/>
        </w:rPr>
        <w:t>territories;</w:t>
      </w:r>
      <w:proofErr w:type="gramEnd"/>
    </w:p>
    <w:p w14:paraId="212E9B6D"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 xml:space="preserve">Liability and redress: </w:t>
      </w:r>
      <w:r w:rsidRPr="00117EEC">
        <w:rPr>
          <w:kern w:val="22"/>
          <w:szCs w:val="22"/>
        </w:rPr>
        <w:t xml:space="preserve">Initiatives should </w:t>
      </w:r>
      <w:proofErr w:type="gramStart"/>
      <w:r w:rsidRPr="00117EEC">
        <w:rPr>
          <w:kern w:val="22"/>
          <w:szCs w:val="22"/>
        </w:rPr>
        <w:t>take into account</w:t>
      </w:r>
      <w:proofErr w:type="gramEnd"/>
      <w:r w:rsidRPr="00117EEC">
        <w:rPr>
          <w:kern w:val="22"/>
          <w:szCs w:val="22"/>
        </w:rPr>
        <w:t xml:space="preserve"> the requirement for ensuring liability and redress, as well as options for recall in the event the introduction or use of innovations cause unexpected or unanticipated adverse effects on the conservation and sustainable use of biodiversity.</w:t>
      </w:r>
    </w:p>
    <w:p w14:paraId="140D6BDC" w14:textId="77777777" w:rsidR="00D87A97" w:rsidRPr="00117EEC" w:rsidRDefault="00D87A97" w:rsidP="000E369B">
      <w:pPr>
        <w:pStyle w:val="Heading1"/>
        <w:numPr>
          <w:ilvl w:val="0"/>
          <w:numId w:val="19"/>
        </w:numPr>
        <w:suppressLineNumbers/>
        <w:tabs>
          <w:tab w:val="clear" w:pos="720"/>
        </w:tabs>
        <w:suppressAutoHyphens/>
        <w:kinsoku w:val="0"/>
        <w:overflowPunct w:val="0"/>
        <w:autoSpaceDE w:val="0"/>
        <w:autoSpaceDN w:val="0"/>
        <w:adjustRightInd w:val="0"/>
        <w:snapToGrid w:val="0"/>
        <w:spacing w:before="120"/>
        <w:ind w:left="0" w:firstLine="0"/>
        <w:rPr>
          <w:bCs/>
          <w:snapToGrid w:val="0"/>
          <w:kern w:val="22"/>
        </w:rPr>
      </w:pPr>
      <w:r w:rsidRPr="00117EEC">
        <w:rPr>
          <w:bCs/>
          <w:caps w:val="0"/>
          <w:kern w:val="22"/>
        </w:rPr>
        <w:lastRenderedPageBreak/>
        <w:t>MAIN FOCAL AREAS</w:t>
      </w:r>
    </w:p>
    <w:p w14:paraId="61EF806E"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Technical and scientific cooperation work in support of the post-2020 global biodiversity framework could be organized around the following focal areas:</w:t>
      </w:r>
    </w:p>
    <w:p w14:paraId="3C1EEDED"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snapToGrid/>
          <w:kern w:val="22"/>
        </w:rPr>
      </w:pPr>
      <w:r w:rsidRPr="00117EEC">
        <w:rPr>
          <w:i/>
          <w:kern w:val="22"/>
        </w:rPr>
        <w:t>Science</w:t>
      </w:r>
      <w:r w:rsidRPr="00117EEC">
        <w:rPr>
          <w:kern w:val="22"/>
        </w:rPr>
        <w:t>: Promotion of research cooperation to foster effective generation and use of relevant scientific</w:t>
      </w:r>
      <w:r w:rsidRPr="00117EEC">
        <w:rPr>
          <w:color w:val="000000"/>
          <w:kern w:val="22"/>
        </w:rPr>
        <w:t xml:space="preserve"> and analytical</w:t>
      </w:r>
      <w:r w:rsidRPr="00117EEC">
        <w:rPr>
          <w:kern w:val="22"/>
        </w:rPr>
        <w:t xml:space="preserve"> information and facilitate science-policy dialogue to support evidence-based policies, actions, tools and mechanisms, based on or informed by the best available </w:t>
      </w:r>
      <w:proofErr w:type="gramStart"/>
      <w:r w:rsidRPr="00117EEC">
        <w:rPr>
          <w:kern w:val="22"/>
        </w:rPr>
        <w:t>science;</w:t>
      </w:r>
      <w:proofErr w:type="gramEnd"/>
    </w:p>
    <w:p w14:paraId="099A8181"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Technology</w:t>
      </w:r>
      <w:r w:rsidRPr="00117EEC">
        <w:rPr>
          <w:kern w:val="22"/>
          <w:szCs w:val="22"/>
        </w:rPr>
        <w:t>: Horizon scanning, technology assessment, development, transfer, promotion, monitoring, governance, and use of appropriate technologies,</w:t>
      </w:r>
      <w:r w:rsidRPr="00117EEC">
        <w:rPr>
          <w:kern w:val="22"/>
        </w:rPr>
        <w:t xml:space="preserve"> </w:t>
      </w:r>
      <w:r w:rsidRPr="00117EEC">
        <w:rPr>
          <w:kern w:val="22"/>
          <w:szCs w:val="22"/>
        </w:rPr>
        <w:t xml:space="preserve">including biotechnology, existing know-how of relevant sectors and indigenous and traditional technologies and knowledge, to scale up </w:t>
      </w:r>
      <w:proofErr w:type="gramStart"/>
      <w:r w:rsidRPr="00117EEC">
        <w:rPr>
          <w:kern w:val="22"/>
          <w:szCs w:val="22"/>
        </w:rPr>
        <w:t>solutions;</w:t>
      </w:r>
      <w:proofErr w:type="gramEnd"/>
    </w:p>
    <w:p w14:paraId="0766F4A1"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Innovation:</w:t>
      </w:r>
      <w:r w:rsidRPr="00117EEC">
        <w:rPr>
          <w:kern w:val="22"/>
          <w:szCs w:val="22"/>
        </w:rPr>
        <w:t xml:space="preserve"> Promotion of appropriate, </w:t>
      </w:r>
      <w:proofErr w:type="gramStart"/>
      <w:r w:rsidRPr="00117EEC">
        <w:rPr>
          <w:kern w:val="22"/>
          <w:szCs w:val="22"/>
        </w:rPr>
        <w:t>supportive</w:t>
      </w:r>
      <w:proofErr w:type="gramEnd"/>
      <w:r w:rsidRPr="00117EEC">
        <w:rPr>
          <w:kern w:val="22"/>
          <w:szCs w:val="22"/>
        </w:rPr>
        <w:t xml:space="preserve"> and socially responsible innovation,</w:t>
      </w:r>
      <w:r w:rsidRPr="00117EEC">
        <w:rPr>
          <w:kern w:val="22"/>
        </w:rPr>
        <w:t xml:space="preserve"> </w:t>
      </w:r>
      <w:r w:rsidRPr="00117EEC">
        <w:rPr>
          <w:kern w:val="22"/>
          <w:szCs w:val="22"/>
        </w:rPr>
        <w:t>in line with the needs of people and the environment.</w:t>
      </w:r>
    </w:p>
    <w:p w14:paraId="13C371E6" w14:textId="77777777" w:rsidR="00D87A97" w:rsidRPr="00117EEC" w:rsidRDefault="00D87A97" w:rsidP="000E369B">
      <w:pPr>
        <w:pStyle w:val="Heading1"/>
        <w:numPr>
          <w:ilvl w:val="0"/>
          <w:numId w:val="19"/>
        </w:numPr>
        <w:suppressLineNumbers/>
        <w:tabs>
          <w:tab w:val="clear" w:pos="720"/>
        </w:tabs>
        <w:suppressAutoHyphens/>
        <w:kinsoku w:val="0"/>
        <w:overflowPunct w:val="0"/>
        <w:autoSpaceDE w:val="0"/>
        <w:autoSpaceDN w:val="0"/>
        <w:adjustRightInd w:val="0"/>
        <w:snapToGrid w:val="0"/>
        <w:ind w:left="0" w:firstLine="0"/>
        <w:rPr>
          <w:snapToGrid w:val="0"/>
          <w:kern w:val="22"/>
        </w:rPr>
      </w:pPr>
      <w:r w:rsidRPr="00117EEC">
        <w:rPr>
          <w:caps w:val="0"/>
          <w:kern w:val="22"/>
        </w:rPr>
        <w:t>OPTIONS FOR INSTITUTIONAL MECHANISMS AND MODALITIES</w:t>
      </w:r>
    </w:p>
    <w:p w14:paraId="4BF53AE1"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Enhanced technical and scientific cooperation in support of the post-2020 global biodiversity framework will require an effective governance structure, efficient operational mechanisms, transparent </w:t>
      </w:r>
      <w:proofErr w:type="gramStart"/>
      <w:r w:rsidRPr="00117EEC">
        <w:rPr>
          <w:kern w:val="22"/>
          <w:lang w:val="en-GB"/>
        </w:rPr>
        <w:t>processes</w:t>
      </w:r>
      <w:proofErr w:type="gramEnd"/>
      <w:r w:rsidRPr="00117EEC">
        <w:rPr>
          <w:kern w:val="22"/>
          <w:lang w:val="en-GB"/>
        </w:rPr>
        <w:t xml:space="preserve"> and procedures based on a synergistic approach, and adequate financial and human resources.</w:t>
      </w:r>
    </w:p>
    <w:p w14:paraId="19E097AB"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proofErr w:type="gramStart"/>
      <w:r w:rsidRPr="00117EEC">
        <w:rPr>
          <w:kern w:val="22"/>
          <w:lang w:val="en-GB"/>
        </w:rPr>
        <w:t>With regard to</w:t>
      </w:r>
      <w:proofErr w:type="gramEnd"/>
      <w:r w:rsidRPr="00117EEC">
        <w:rPr>
          <w:kern w:val="22"/>
          <w:lang w:val="en-GB"/>
        </w:rPr>
        <w:t xml:space="preserve"> governance, the Conference of the Parties would provide the overall strategic and policy/political guidance. The Informal Advisory Group on Technical and Scientific Cooperation, whose establishment is to be considered by the Conference of the Parties at its fifteenth meeting pursuant to decision 14/24 B, paragraph 5, would provide advice and recommendations on programmatic and operational matters. The proposed terms of reference of the Informal Advisory Group are presented in annex </w:t>
      </w:r>
      <w:r>
        <w:rPr>
          <w:lang w:val="en-GB"/>
        </w:rPr>
        <w:t>III</w:t>
      </w:r>
      <w:r w:rsidRPr="00117EEC">
        <w:rPr>
          <w:kern w:val="22"/>
          <w:lang w:val="en-GB"/>
        </w:rPr>
        <w:t>.</w:t>
      </w:r>
    </w:p>
    <w:p w14:paraId="58272B00"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Possible options for operational institutional mechanisms to facilitate and enhance technical and scientific cooperation in support of the post-2020 global biodiversity framework could include the following:</w:t>
      </w:r>
    </w:p>
    <w:p w14:paraId="71A97B75"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snapToGrid/>
          <w:kern w:val="22"/>
          <w:szCs w:val="22"/>
        </w:rPr>
      </w:pPr>
      <w:r w:rsidRPr="00117EEC">
        <w:rPr>
          <w:kern w:val="22"/>
          <w:szCs w:val="22"/>
        </w:rPr>
        <w:t xml:space="preserve">A global technical and scientific cooperation support centre autonomous from the Secretariat, working in close collaboration with various technical assistance </w:t>
      </w:r>
      <w:proofErr w:type="gramStart"/>
      <w:r w:rsidRPr="00117EEC">
        <w:rPr>
          <w:kern w:val="22"/>
          <w:szCs w:val="22"/>
        </w:rPr>
        <w:t>providers;</w:t>
      </w:r>
      <w:proofErr w:type="gramEnd"/>
    </w:p>
    <w:p w14:paraId="0DF23D41"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Regional and/or subregional technical and scientific cooperation support centres designated by the Conference of the </w:t>
      </w:r>
      <w:proofErr w:type="gramStart"/>
      <w:r w:rsidRPr="00117EEC">
        <w:rPr>
          <w:kern w:val="22"/>
          <w:szCs w:val="22"/>
        </w:rPr>
        <w:t>Parties;</w:t>
      </w:r>
      <w:proofErr w:type="gramEnd"/>
    </w:p>
    <w:p w14:paraId="2124A2EF"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[Initiatives and programmes implemented/coordinated by the Secretariat of the Convention on Biological Diversity, in collaboration with partners.]</w:t>
      </w:r>
    </w:p>
    <w:p w14:paraId="158B66C5" w14:textId="77777777" w:rsidR="00D87A97" w:rsidRPr="00760D30" w:rsidRDefault="00D87A97" w:rsidP="00D87A97">
      <w:pPr>
        <w:pStyle w:val="Heading2"/>
        <w:suppressLineNumbers/>
        <w:suppressAutoHyphens/>
        <w:kinsoku w:val="0"/>
        <w:overflowPunct w:val="0"/>
        <w:autoSpaceDE w:val="0"/>
        <w:autoSpaceDN w:val="0"/>
        <w:adjustRightInd w:val="0"/>
        <w:snapToGrid w:val="0"/>
        <w:rPr>
          <w:b w:val="0"/>
          <w:iCs w:val="0"/>
          <w:snapToGrid w:val="0"/>
          <w:kern w:val="22"/>
        </w:rPr>
      </w:pPr>
      <w:r w:rsidRPr="00760D30">
        <w:rPr>
          <w:iCs w:val="0"/>
          <w:kern w:val="22"/>
        </w:rPr>
        <w:t>Option A: Global technical and scientific cooperation support centre</w:t>
      </w:r>
    </w:p>
    <w:p w14:paraId="1FF25308"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Under this option, technical and scientific cooperation and technology transfer would be promoted and facilitated by an autonomous global technical </w:t>
      </w:r>
      <w:r w:rsidRPr="00694029">
        <w:rPr>
          <w:kern w:val="22"/>
          <w:lang w:val="en-GB"/>
        </w:rPr>
        <w:t>and scientific cooperation support centre that would be separate from the Secretariat of the Convention on Biological Diversity. This operational entity would be hosted and managed by a reputable international institution designated by the Conference of th</w:t>
      </w:r>
      <w:r w:rsidRPr="00064579">
        <w:rPr>
          <w:kern w:val="22"/>
          <w:lang w:val="en-GB"/>
        </w:rPr>
        <w:t xml:space="preserve">e Parties and could operate in a manner </w:t>
      </w:r>
      <w:proofErr w:type="gramStart"/>
      <w:r w:rsidRPr="00064579">
        <w:rPr>
          <w:kern w:val="22"/>
          <w:lang w:val="en-GB"/>
        </w:rPr>
        <w:t>similar to</w:t>
      </w:r>
      <w:proofErr w:type="gramEnd"/>
      <w:r w:rsidRPr="00064579">
        <w:rPr>
          <w:kern w:val="22"/>
          <w:lang w:val="en-GB"/>
        </w:rPr>
        <w:t xml:space="preserve"> such entities as the Climate Technology Centre and Network (CTCN), an operational arm of the United Nations Framework Convention on Climate Change (UNFCCC) Technology Mechanism and hosted by the United Nat</w:t>
      </w:r>
      <w:r w:rsidRPr="00117EEC">
        <w:rPr>
          <w:kern w:val="22"/>
          <w:lang w:val="en-GB"/>
        </w:rPr>
        <w:t>ions Environment Programme and the United Nations Industrial Development Organization (UNIDO).</w:t>
      </w:r>
    </w:p>
    <w:p w14:paraId="2E682DFA"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Criteria for selecting the host institution for the centre would be considered and approved by the Conference of the Parties at its fifteenth meeting. The Conference of the Parties may, for example, require that any organization or consortium wishing to host such a global support centre should have:</w:t>
      </w:r>
    </w:p>
    <w:p w14:paraId="6DB8A204"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snapToGrid/>
          <w:kern w:val="22"/>
          <w:szCs w:val="22"/>
        </w:rPr>
      </w:pPr>
      <w:r w:rsidRPr="00117EEC">
        <w:rPr>
          <w:kern w:val="22"/>
          <w:szCs w:val="22"/>
        </w:rPr>
        <w:t xml:space="preserve">Demonstrated ability to provide technical advice and support to Parties in planning and implementing country-led projects and/or </w:t>
      </w:r>
      <w:proofErr w:type="gramStart"/>
      <w:r w:rsidRPr="00117EEC">
        <w:rPr>
          <w:kern w:val="22"/>
          <w:szCs w:val="22"/>
        </w:rPr>
        <w:t>programmes;</w:t>
      </w:r>
      <w:proofErr w:type="gramEnd"/>
    </w:p>
    <w:p w14:paraId="5F2C5742"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lastRenderedPageBreak/>
        <w:t xml:space="preserve">Broad experience in the areas of work undertaken by Parties in implementing the Convention on Biological Diversity and its </w:t>
      </w:r>
      <w:proofErr w:type="gramStart"/>
      <w:r w:rsidRPr="00117EEC">
        <w:rPr>
          <w:kern w:val="22"/>
          <w:szCs w:val="22"/>
        </w:rPr>
        <w:t>protocols;</w:t>
      </w:r>
      <w:proofErr w:type="gramEnd"/>
    </w:p>
    <w:p w14:paraId="431C56B8"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rPr>
        <w:t xml:space="preserve">Capacity to mobilize resources for technical scientific cooperation </w:t>
      </w:r>
      <w:proofErr w:type="gramStart"/>
      <w:r w:rsidRPr="00117EEC">
        <w:rPr>
          <w:kern w:val="22"/>
        </w:rPr>
        <w:t>programmes;</w:t>
      </w:r>
      <w:proofErr w:type="gramEnd"/>
    </w:p>
    <w:p w14:paraId="31379F38"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rPr>
      </w:pPr>
      <w:r w:rsidRPr="00117EEC">
        <w:rPr>
          <w:kern w:val="22"/>
        </w:rPr>
        <w:t xml:space="preserve">Appropriate policies, procedures and other institutional mechanisms and demonstrated ability in place to manage multiple complex projects and </w:t>
      </w:r>
      <w:proofErr w:type="gramStart"/>
      <w:r w:rsidRPr="00117EEC">
        <w:rPr>
          <w:kern w:val="22"/>
        </w:rPr>
        <w:t>programmes;</w:t>
      </w:r>
      <w:proofErr w:type="gramEnd"/>
    </w:p>
    <w:p w14:paraId="3DE40109"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Active networks of collaborators, including institutions working at both the global and regional levels on biodiversity-relevant </w:t>
      </w:r>
      <w:proofErr w:type="gramStart"/>
      <w:r w:rsidRPr="00117EEC">
        <w:rPr>
          <w:kern w:val="22"/>
          <w:szCs w:val="22"/>
        </w:rPr>
        <w:t>issues;</w:t>
      </w:r>
      <w:proofErr w:type="gramEnd"/>
    </w:p>
    <w:p w14:paraId="6F087A01"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Experience of working with other biodiversity-related conventions, intergovernmental processes, </w:t>
      </w:r>
      <w:r w:rsidRPr="00117EEC">
        <w:rPr>
          <w:kern w:val="22"/>
        </w:rPr>
        <w:t xml:space="preserve">indigenous peoples and local communities, civil </w:t>
      </w:r>
      <w:proofErr w:type="gramStart"/>
      <w:r w:rsidRPr="00117EEC">
        <w:rPr>
          <w:kern w:val="22"/>
        </w:rPr>
        <w:t>society</w:t>
      </w:r>
      <w:proofErr w:type="gramEnd"/>
      <w:r w:rsidRPr="00117EEC">
        <w:rPr>
          <w:kern w:val="22"/>
        </w:rPr>
        <w:t xml:space="preserve"> and other stakeholders</w:t>
      </w:r>
      <w:r w:rsidRPr="00117EEC">
        <w:rPr>
          <w:kern w:val="22"/>
          <w:szCs w:val="22"/>
        </w:rPr>
        <w:t>.</w:t>
      </w:r>
    </w:p>
    <w:p w14:paraId="333D59FF"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global support centre would have a mandate to mobilize resources to promote and facilitate technical and scientific cooperation and technology transfer in support of the post-2020 global biodiversity framework. It would provide a central “one-stop shop” for Parties to submit their requests for assistance or opportunities for technical and scientific cooperation and support. Its specific proposed functions would include the following:</w:t>
      </w:r>
    </w:p>
    <w:p w14:paraId="53B25930"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snapToGrid/>
          <w:kern w:val="22"/>
          <w:szCs w:val="22"/>
        </w:rPr>
      </w:pPr>
      <w:r w:rsidRPr="00117EEC">
        <w:rPr>
          <w:i/>
          <w:kern w:val="22"/>
          <w:szCs w:val="22"/>
        </w:rPr>
        <w:t>Operate a help desk:</w:t>
      </w:r>
      <w:r w:rsidRPr="00117EEC">
        <w:rPr>
          <w:kern w:val="22"/>
          <w:szCs w:val="22"/>
        </w:rPr>
        <w:t xml:space="preserve"> to provide, at the request of Parties and relevant institutions and stakeholders, including indigenous peoples and local communities, information, advice, and technical support, including in terms of articulating their needs and developing targeted project proposals, in collaboration with a network of institutional partners and providers of technical assistance to harness a broader pool of institutional knowledge and technical </w:t>
      </w:r>
      <w:proofErr w:type="gramStart"/>
      <w:r w:rsidRPr="00117EEC">
        <w:rPr>
          <w:kern w:val="22"/>
          <w:szCs w:val="22"/>
        </w:rPr>
        <w:t>expertise;</w:t>
      </w:r>
      <w:proofErr w:type="gramEnd"/>
    </w:p>
    <w:p w14:paraId="7C146033"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i/>
          <w:kern w:val="22"/>
        </w:rPr>
      </w:pPr>
      <w:r w:rsidRPr="00117EEC">
        <w:rPr>
          <w:i/>
          <w:kern w:val="22"/>
          <w:szCs w:val="22"/>
        </w:rPr>
        <w:t xml:space="preserve">Promote network development and partnership-building </w:t>
      </w:r>
      <w:r w:rsidRPr="00117EEC">
        <w:rPr>
          <w:kern w:val="22"/>
          <w:szCs w:val="22"/>
        </w:rPr>
        <w:t>by</w:t>
      </w:r>
      <w:r w:rsidRPr="00117EEC">
        <w:rPr>
          <w:i/>
          <w:kern w:val="22"/>
          <w:szCs w:val="22"/>
        </w:rPr>
        <w:t>:</w:t>
      </w:r>
    </w:p>
    <w:p w14:paraId="34BB7598"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rPr>
          <w:kern w:val="22"/>
        </w:rPr>
        <w:t xml:space="preserve">Catalysing and strengthening international and regional technical and scientific cooperation networks and partnerships, including regional technology assessment platforms, the Consortium of Scientific Partners on Biodiversity, and </w:t>
      </w:r>
      <w:proofErr w:type="gramStart"/>
      <w:r w:rsidRPr="00117EEC">
        <w:rPr>
          <w:kern w:val="22"/>
        </w:rPr>
        <w:t>others;</w:t>
      </w:r>
      <w:proofErr w:type="gramEnd"/>
    </w:p>
    <w:p w14:paraId="169B25CF"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rPr>
          <w:kern w:val="22"/>
        </w:rPr>
        <w:t xml:space="preserve">Promoting the use of relevant communities of practice, including the NBSAP Forum, the Global ABS Community, the Biodiversity and Ecosystem Services Network (BES-Net), the Sub-Global Assessment Network and </w:t>
      </w:r>
      <w:proofErr w:type="gramStart"/>
      <w:r w:rsidRPr="00117EEC">
        <w:rPr>
          <w:kern w:val="22"/>
        </w:rPr>
        <w:t>others;</w:t>
      </w:r>
      <w:proofErr w:type="gramEnd"/>
    </w:p>
    <w:p w14:paraId="590624A7"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rPr>
          <w:kern w:val="22"/>
        </w:rPr>
        <w:t xml:space="preserve">Promoting the sharing of relevant and appropriate biodiversity research data, including through platforms that facilitate systematization and data backup in an open-source setting, provide adequate protection against exploitation and appropriation, and respect principles of free, prior and informed consent; and developing safeguards against misuse and extractive data mining by or commercial or other data </w:t>
      </w:r>
      <w:proofErr w:type="gramStart"/>
      <w:r w:rsidRPr="00117EEC">
        <w:rPr>
          <w:kern w:val="22"/>
        </w:rPr>
        <w:t>aggregators;</w:t>
      </w:r>
      <w:proofErr w:type="gramEnd"/>
    </w:p>
    <w:p w14:paraId="5BB90C2F"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rPr>
          <w:kern w:val="22"/>
        </w:rPr>
        <w:t>Further improving biodiversity monitoring through cooperation with, inter alia, the Committee on Earth Observation Satellites and the Group on Earth Observations Biodiversity Observation Network (GEO-BON</w:t>
      </w:r>
      <w:proofErr w:type="gramStart"/>
      <w:r w:rsidRPr="00117EEC">
        <w:rPr>
          <w:kern w:val="22"/>
        </w:rPr>
        <w:t>);</w:t>
      </w:r>
      <w:proofErr w:type="gramEnd"/>
    </w:p>
    <w:p w14:paraId="65154808"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rPr>
          <w:kern w:val="22"/>
        </w:rPr>
        <w:t xml:space="preserve">Improving the governance, fair acquisition, coordination, delivery and controlled use of biodiversity-related Earth observation data and related </w:t>
      </w:r>
      <w:proofErr w:type="gramStart"/>
      <w:r w:rsidRPr="00117EEC">
        <w:rPr>
          <w:kern w:val="22"/>
        </w:rPr>
        <w:t>services;</w:t>
      </w:r>
      <w:proofErr w:type="gramEnd"/>
    </w:p>
    <w:p w14:paraId="7C793664"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rPr>
          <w:kern w:val="22"/>
        </w:rPr>
        <w:t>Strengthening long-term field monitoring programmes for biodiversity through cooperation, exchange of experiences, methodology transfer and data-</w:t>
      </w:r>
      <w:proofErr w:type="gramStart"/>
      <w:r w:rsidRPr="00117EEC">
        <w:rPr>
          <w:kern w:val="22"/>
        </w:rPr>
        <w:t>sharing;</w:t>
      </w:r>
      <w:proofErr w:type="gramEnd"/>
    </w:p>
    <w:p w14:paraId="51289236" w14:textId="77777777" w:rsidR="00D87A97" w:rsidRPr="00117EEC" w:rsidRDefault="00D87A97" w:rsidP="000E369B">
      <w:pPr>
        <w:pStyle w:val="ListParagraph"/>
        <w:numPr>
          <w:ilvl w:val="0"/>
          <w:numId w:val="21"/>
        </w:numPr>
        <w:suppressLineNumbers/>
        <w:suppressAutoHyphens/>
        <w:kinsoku w:val="0"/>
        <w:overflowPunct w:val="0"/>
        <w:autoSpaceDE w:val="0"/>
        <w:autoSpaceDN w:val="0"/>
        <w:adjustRightInd w:val="0"/>
        <w:snapToGrid w:val="0"/>
        <w:spacing w:before="60" w:after="60"/>
        <w:contextualSpacing w:val="0"/>
        <w:rPr>
          <w:kern w:val="22"/>
        </w:rPr>
      </w:pPr>
      <w:r w:rsidRPr="00117EEC">
        <w:t xml:space="preserve">Identifying, publicizing and linking centres of </w:t>
      </w:r>
      <w:proofErr w:type="gramStart"/>
      <w:r w:rsidRPr="00117EEC">
        <w:t>expertise;</w:t>
      </w:r>
      <w:proofErr w:type="gramEnd"/>
    </w:p>
    <w:p w14:paraId="1C7E1370"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szCs w:val="22"/>
        </w:rPr>
        <w:t>Facilitate matchmaking:</w:t>
      </w:r>
      <w:r w:rsidRPr="00117EEC">
        <w:rPr>
          <w:kern w:val="22"/>
          <w:szCs w:val="22"/>
        </w:rPr>
        <w:t xml:space="preserve"> to connect requesting Parties and relevant partners selected from among the members of the above-mentioned network of partners and providers, </w:t>
      </w:r>
      <w:proofErr w:type="gramStart"/>
      <w:r w:rsidRPr="00117EEC">
        <w:rPr>
          <w:kern w:val="22"/>
          <w:szCs w:val="22"/>
        </w:rPr>
        <w:t>in order to</w:t>
      </w:r>
      <w:proofErr w:type="gramEnd"/>
      <w:r w:rsidRPr="00117EEC">
        <w:rPr>
          <w:kern w:val="22"/>
          <w:szCs w:val="22"/>
        </w:rPr>
        <w:t xml:space="preserve"> respond to self-identified and self-prioritized needs by:</w:t>
      </w:r>
    </w:p>
    <w:p w14:paraId="2BBC5FCB" w14:textId="77777777" w:rsidR="00D87A97" w:rsidRPr="00117EEC" w:rsidRDefault="00D87A97" w:rsidP="000E369B">
      <w:pPr>
        <w:pStyle w:val="Para1"/>
        <w:numPr>
          <w:ilvl w:val="2"/>
          <w:numId w:val="7"/>
        </w:numPr>
        <w:suppressLineNumbers/>
        <w:tabs>
          <w:tab w:val="left" w:pos="720"/>
        </w:tabs>
        <w:suppressAutoHyphens/>
        <w:kinsoku w:val="0"/>
        <w:overflowPunct w:val="0"/>
        <w:autoSpaceDE w:val="0"/>
        <w:autoSpaceDN w:val="0"/>
        <w:adjustRightInd w:val="0"/>
        <w:spacing w:before="60" w:after="60"/>
        <w:rPr>
          <w:kern w:val="22"/>
        </w:rPr>
      </w:pPr>
      <w:r w:rsidRPr="00117EEC">
        <w:rPr>
          <w:kern w:val="22"/>
        </w:rPr>
        <w:t xml:space="preserve">Providing information and guidance regarding technical and scientific cooperation, with a view to facilitating access to technical expertise and </w:t>
      </w:r>
      <w:proofErr w:type="gramStart"/>
      <w:r w:rsidRPr="00117EEC">
        <w:rPr>
          <w:kern w:val="22"/>
        </w:rPr>
        <w:t>know-how;</w:t>
      </w:r>
      <w:proofErr w:type="gramEnd"/>
    </w:p>
    <w:p w14:paraId="74B3B9BF" w14:textId="77777777" w:rsidR="00D87A97" w:rsidRPr="00117EEC" w:rsidRDefault="00D87A97" w:rsidP="000E369B">
      <w:pPr>
        <w:pStyle w:val="Para1"/>
        <w:numPr>
          <w:ilvl w:val="2"/>
          <w:numId w:val="7"/>
        </w:numPr>
        <w:suppressLineNumbers/>
        <w:tabs>
          <w:tab w:val="left" w:pos="720"/>
        </w:tabs>
        <w:suppressAutoHyphens/>
        <w:kinsoku w:val="0"/>
        <w:overflowPunct w:val="0"/>
        <w:autoSpaceDE w:val="0"/>
        <w:autoSpaceDN w:val="0"/>
        <w:adjustRightInd w:val="0"/>
        <w:spacing w:before="60" w:after="60"/>
        <w:rPr>
          <w:kern w:val="22"/>
        </w:rPr>
      </w:pPr>
      <w:r w:rsidRPr="00117EEC">
        <w:rPr>
          <w:kern w:val="22"/>
        </w:rPr>
        <w:lastRenderedPageBreak/>
        <w:t xml:space="preserve">Mobilizing technical assistance through matchmaking between requesting Parties, based on self-identified needs, and Parties and/or relevant institutions and stakeholders in a position to </w:t>
      </w:r>
      <w:proofErr w:type="gramStart"/>
      <w:r w:rsidRPr="00117EEC">
        <w:rPr>
          <w:kern w:val="22"/>
        </w:rPr>
        <w:t>assist;</w:t>
      </w:r>
      <w:proofErr w:type="gramEnd"/>
    </w:p>
    <w:p w14:paraId="2DE9CDC6" w14:textId="77777777" w:rsidR="00D87A97" w:rsidRPr="00117EEC" w:rsidRDefault="00D87A97" w:rsidP="000E369B">
      <w:pPr>
        <w:pStyle w:val="Para1"/>
        <w:numPr>
          <w:ilvl w:val="2"/>
          <w:numId w:val="7"/>
        </w:numPr>
        <w:suppressLineNumbers/>
        <w:tabs>
          <w:tab w:val="left" w:pos="720"/>
        </w:tabs>
        <w:suppressAutoHyphens/>
        <w:kinsoku w:val="0"/>
        <w:overflowPunct w:val="0"/>
        <w:autoSpaceDE w:val="0"/>
        <w:autoSpaceDN w:val="0"/>
        <w:adjustRightInd w:val="0"/>
        <w:spacing w:before="60" w:after="60"/>
        <w:rPr>
          <w:kern w:val="22"/>
        </w:rPr>
      </w:pPr>
      <w:r w:rsidRPr="00117EEC">
        <w:rPr>
          <w:kern w:val="22"/>
        </w:rPr>
        <w:t xml:space="preserve">Promoting partnerships and joint ventures to accelerate the development and diffusion of appropriate technologies and equitable scalable </w:t>
      </w:r>
      <w:proofErr w:type="gramStart"/>
      <w:r w:rsidRPr="00117EEC">
        <w:rPr>
          <w:kern w:val="22"/>
        </w:rPr>
        <w:t>solutions;</w:t>
      </w:r>
      <w:proofErr w:type="gramEnd"/>
    </w:p>
    <w:p w14:paraId="7D87E24B" w14:textId="77777777" w:rsidR="00D87A97" w:rsidRPr="00117EEC" w:rsidRDefault="00D87A97" w:rsidP="000E369B">
      <w:pPr>
        <w:pStyle w:val="Para1"/>
        <w:numPr>
          <w:ilvl w:val="2"/>
          <w:numId w:val="7"/>
        </w:numPr>
        <w:suppressLineNumbers/>
        <w:tabs>
          <w:tab w:val="left" w:pos="720"/>
        </w:tabs>
        <w:suppressAutoHyphens/>
        <w:kinsoku w:val="0"/>
        <w:overflowPunct w:val="0"/>
        <w:autoSpaceDE w:val="0"/>
        <w:autoSpaceDN w:val="0"/>
        <w:adjustRightInd w:val="0"/>
        <w:spacing w:before="60" w:after="60"/>
        <w:rPr>
          <w:kern w:val="22"/>
        </w:rPr>
      </w:pPr>
      <w:r w:rsidRPr="00117EEC">
        <w:rPr>
          <w:kern w:val="22"/>
        </w:rPr>
        <w:t xml:space="preserve">Promoting the engagement of all sectors, including the private sector, in the development and application of innovative solutions, while ensuring that such engagement does not overshadow, marginalize or take advantage of the actions of the public sector and </w:t>
      </w:r>
      <w:proofErr w:type="gramStart"/>
      <w:r w:rsidRPr="00117EEC">
        <w:rPr>
          <w:kern w:val="22"/>
        </w:rPr>
        <w:t>communities;</w:t>
      </w:r>
      <w:proofErr w:type="gramEnd"/>
    </w:p>
    <w:p w14:paraId="61014E61"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rPr>
      </w:pPr>
      <w:r w:rsidRPr="00117EEC">
        <w:rPr>
          <w:i/>
          <w:kern w:val="22"/>
        </w:rPr>
        <w:t>Provide project</w:t>
      </w:r>
      <w:r w:rsidRPr="00117EEC">
        <w:rPr>
          <w:i/>
        </w:rPr>
        <w:t>, research and development, and technology</w:t>
      </w:r>
      <w:r w:rsidRPr="00117EEC">
        <w:rPr>
          <w:i/>
          <w:kern w:val="22"/>
        </w:rPr>
        <w:t xml:space="preserve"> support services:</w:t>
      </w:r>
      <w:r w:rsidRPr="00117EEC">
        <w:rPr>
          <w:kern w:val="22"/>
        </w:rPr>
        <w:t xml:space="preserve"> to assist with the implementation of technical and scientific cooperation projects </w:t>
      </w:r>
      <w:proofErr w:type="gramStart"/>
      <w:r w:rsidRPr="00117EEC">
        <w:rPr>
          <w:kern w:val="22"/>
        </w:rPr>
        <w:t>in order to</w:t>
      </w:r>
      <w:proofErr w:type="gramEnd"/>
      <w:r w:rsidRPr="00117EEC">
        <w:rPr>
          <w:kern w:val="22"/>
        </w:rPr>
        <w:t>:</w:t>
      </w:r>
    </w:p>
    <w:p w14:paraId="0A28D840"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w:t>
      </w:r>
      <w:proofErr w:type="spellStart"/>
      <w:r w:rsidRPr="00117EEC">
        <w:rPr>
          <w:kern w:val="22"/>
          <w:szCs w:val="22"/>
        </w:rPr>
        <w:t>i</w:t>
      </w:r>
      <w:proofErr w:type="spellEnd"/>
      <w:r w:rsidRPr="00117EEC">
        <w:rPr>
          <w:kern w:val="22"/>
          <w:szCs w:val="22"/>
        </w:rPr>
        <w:t>)</w:t>
      </w:r>
      <w:r w:rsidRPr="00117EEC">
        <w:rPr>
          <w:kern w:val="22"/>
          <w:szCs w:val="22"/>
        </w:rPr>
        <w:tab/>
        <w:t xml:space="preserve">Foster North-South, South-South and triangular partnerships, using a programmatic </w:t>
      </w:r>
      <w:proofErr w:type="gramStart"/>
      <w:r w:rsidRPr="00117EEC">
        <w:rPr>
          <w:kern w:val="22"/>
          <w:szCs w:val="22"/>
        </w:rPr>
        <w:t>approach;</w:t>
      </w:r>
      <w:proofErr w:type="gramEnd"/>
    </w:p>
    <w:p w14:paraId="5BFCD023"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(ii)</w:t>
      </w:r>
      <w:r w:rsidRPr="00117EEC">
        <w:tab/>
      </w:r>
      <w:r w:rsidRPr="00117EEC">
        <w:rPr>
          <w:kern w:val="22"/>
          <w:szCs w:val="22"/>
        </w:rPr>
        <w:t xml:space="preserve">Strengthen the organizational capacities of national and subnational scientific institutions to conduct relevant research by facilitating partnerships with counterpart organizations in other countries, joint research projects, and exchange of experts and </w:t>
      </w:r>
      <w:proofErr w:type="gramStart"/>
      <w:r w:rsidRPr="00117EEC">
        <w:rPr>
          <w:kern w:val="22"/>
          <w:szCs w:val="22"/>
        </w:rPr>
        <w:t>staff;</w:t>
      </w:r>
      <w:proofErr w:type="gramEnd"/>
    </w:p>
    <w:p w14:paraId="0CC9B419"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(iii)</w:t>
      </w:r>
      <w:r w:rsidRPr="00117EEC">
        <w:rPr>
          <w:kern w:val="22"/>
          <w:szCs w:val="22"/>
        </w:rPr>
        <w:tab/>
        <w:t xml:space="preserve">Facilitate the development, transfer and diffusion of technologies, including existing tools and techniques, scalable initiatives, and innovative local </w:t>
      </w:r>
      <w:proofErr w:type="gramStart"/>
      <w:r w:rsidRPr="00117EEC">
        <w:rPr>
          <w:kern w:val="22"/>
          <w:szCs w:val="22"/>
        </w:rPr>
        <w:t>solutions;</w:t>
      </w:r>
      <w:proofErr w:type="gramEnd"/>
    </w:p>
    <w:p w14:paraId="310ECD58"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(iv)</w:t>
      </w:r>
      <w:r w:rsidRPr="00117EEC">
        <w:rPr>
          <w:kern w:val="22"/>
          <w:szCs w:val="22"/>
        </w:rPr>
        <w:tab/>
        <w:t xml:space="preserve">Identifying, mapping and publicizing existing relevant technologies with a view to facilitating their accessibility and </w:t>
      </w:r>
      <w:proofErr w:type="gramStart"/>
      <w:r w:rsidRPr="00117EEC">
        <w:rPr>
          <w:kern w:val="22"/>
          <w:szCs w:val="22"/>
        </w:rPr>
        <w:t>utilization;</w:t>
      </w:r>
      <w:proofErr w:type="gramEnd"/>
    </w:p>
    <w:p w14:paraId="1FE86D88"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(v)</w:t>
      </w:r>
      <w:r w:rsidRPr="00117EEC">
        <w:rPr>
          <w:kern w:val="22"/>
          <w:szCs w:val="22"/>
        </w:rPr>
        <w:tab/>
        <w:t xml:space="preserve">Identifying, mapping and publicizing impactful innovations with a view to facilitating their implementation and scaling </w:t>
      </w:r>
      <w:proofErr w:type="gramStart"/>
      <w:r w:rsidRPr="00117EEC">
        <w:rPr>
          <w:kern w:val="22"/>
          <w:szCs w:val="22"/>
        </w:rPr>
        <w:t>up;</w:t>
      </w:r>
      <w:proofErr w:type="gramEnd"/>
    </w:p>
    <w:p w14:paraId="32BEB59A"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 xml:space="preserve">(vi) </w:t>
      </w:r>
      <w:r w:rsidRPr="00117EEC">
        <w:rPr>
          <w:kern w:val="22"/>
          <w:szCs w:val="22"/>
        </w:rPr>
        <w:tab/>
        <w:t xml:space="preserve">Supporting the establishment or strengthening of technology incubator programmes and accelerator mechanisms to promote and facilitate the development of biodiversity-related innovations and solutions, including locally designed technologies and solutions, and indigenous </w:t>
      </w:r>
      <w:proofErr w:type="gramStart"/>
      <w:r w:rsidRPr="00117EEC">
        <w:rPr>
          <w:kern w:val="22"/>
          <w:szCs w:val="22"/>
        </w:rPr>
        <w:t>technologies;</w:t>
      </w:r>
      <w:proofErr w:type="gramEnd"/>
    </w:p>
    <w:p w14:paraId="59499B74"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 xml:space="preserve">(vi)  </w:t>
      </w:r>
      <w:r w:rsidRPr="00117EEC">
        <w:rPr>
          <w:kern w:val="22"/>
          <w:szCs w:val="22"/>
        </w:rPr>
        <w:tab/>
        <w:t xml:space="preserve">Organizing technology and innovation fairs and expos to showcase cutting-edge technologies and </w:t>
      </w:r>
      <w:proofErr w:type="gramStart"/>
      <w:r w:rsidRPr="00117EEC">
        <w:rPr>
          <w:kern w:val="22"/>
          <w:szCs w:val="22"/>
        </w:rPr>
        <w:t>solutions;</w:t>
      </w:r>
      <w:proofErr w:type="gramEnd"/>
    </w:p>
    <w:p w14:paraId="77DD880E" w14:textId="77777777" w:rsidR="00D87A97" w:rsidRPr="00117EEC" w:rsidRDefault="00D87A97" w:rsidP="00D87A97">
      <w:pPr>
        <w:pStyle w:val="Para1"/>
        <w:numPr>
          <w:ilvl w:val="0"/>
          <w:numId w:val="0"/>
        </w:numPr>
        <w:suppressLineNumbers/>
        <w:tabs>
          <w:tab w:val="left" w:pos="720"/>
        </w:tabs>
        <w:suppressAutoHyphens/>
        <w:kinsoku w:val="0"/>
        <w:overflowPunct w:val="0"/>
        <w:autoSpaceDE w:val="0"/>
        <w:autoSpaceDN w:val="0"/>
        <w:adjustRightInd w:val="0"/>
        <w:spacing w:before="60" w:after="60"/>
        <w:ind w:left="1469" w:hanging="562"/>
        <w:rPr>
          <w:kern w:val="22"/>
          <w:szCs w:val="22"/>
        </w:rPr>
      </w:pPr>
      <w:r w:rsidRPr="00117EEC">
        <w:rPr>
          <w:kern w:val="22"/>
          <w:szCs w:val="22"/>
        </w:rPr>
        <w:t>(vii)</w:t>
      </w:r>
      <w:r w:rsidRPr="00117EEC">
        <w:rPr>
          <w:kern w:val="22"/>
          <w:szCs w:val="22"/>
        </w:rPr>
        <w:tab/>
        <w:t xml:space="preserve">Facilitate access to and utilization of scientific knowledge, information, and data, as well as indigenous and traditional </w:t>
      </w:r>
      <w:proofErr w:type="gramStart"/>
      <w:r w:rsidRPr="00117EEC">
        <w:rPr>
          <w:kern w:val="22"/>
          <w:szCs w:val="22"/>
        </w:rPr>
        <w:t>knowledge;</w:t>
      </w:r>
      <w:proofErr w:type="gramEnd"/>
    </w:p>
    <w:p w14:paraId="08B975E7"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i/>
          <w:kern w:val="22"/>
        </w:rPr>
        <w:t>Facilitate information-sharing</w:t>
      </w:r>
      <w:r w:rsidRPr="00117EEC">
        <w:rPr>
          <w:kern w:val="22"/>
          <w:szCs w:val="22"/>
        </w:rPr>
        <w:t xml:space="preserve"> through the identification and submission to the clearing</w:t>
      </w:r>
      <w:r w:rsidRPr="00117EEC">
        <w:rPr>
          <w:kern w:val="22"/>
          <w:szCs w:val="22"/>
        </w:rPr>
        <w:noBreakHyphen/>
        <w:t xml:space="preserve">house mechanism of relevant information, success stories, exemplary cooperation projects (bright spots), case studies, and best practices, in line with the knowledge management component of the post-2020 global biodiversity </w:t>
      </w:r>
      <w:proofErr w:type="gramStart"/>
      <w:r w:rsidRPr="00117EEC">
        <w:rPr>
          <w:kern w:val="22"/>
          <w:szCs w:val="22"/>
        </w:rPr>
        <w:t>framework,  including</w:t>
      </w:r>
      <w:proofErr w:type="gramEnd"/>
      <w:r w:rsidRPr="00117EEC">
        <w:rPr>
          <w:kern w:val="22"/>
          <w:szCs w:val="22"/>
        </w:rPr>
        <w:t xml:space="preserve"> information on results of technical and scientific research, relevant training and technical assistance programmes, and funding mechanisms;</w:t>
      </w:r>
    </w:p>
    <w:p w14:paraId="4DECD949"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rPr>
      </w:pPr>
      <w:r w:rsidRPr="00117EEC">
        <w:rPr>
          <w:i/>
        </w:rPr>
        <w:t>Promote capacity</w:t>
      </w:r>
      <w:r w:rsidRPr="00117EEC">
        <w:rPr>
          <w:i/>
        </w:rPr>
        <w:noBreakHyphen/>
        <w:t xml:space="preserve">building and development in areas related to technical and scientific cooperation </w:t>
      </w:r>
      <w:r w:rsidRPr="00117EEC">
        <w:t>by:</w:t>
      </w:r>
    </w:p>
    <w:p w14:paraId="1258B278" w14:textId="77777777" w:rsidR="00D87A97" w:rsidRPr="00117EEC" w:rsidRDefault="00D87A97" w:rsidP="000E369B">
      <w:pPr>
        <w:pStyle w:val="ListParagraph"/>
        <w:numPr>
          <w:ilvl w:val="0"/>
          <w:numId w:val="22"/>
        </w:numPr>
        <w:suppressLineNumbers/>
        <w:suppressAutoHyphens/>
        <w:kinsoku w:val="0"/>
        <w:overflowPunct w:val="0"/>
        <w:autoSpaceDE w:val="0"/>
        <w:autoSpaceDN w:val="0"/>
        <w:adjustRightInd w:val="0"/>
        <w:snapToGrid w:val="0"/>
        <w:spacing w:before="60" w:after="60"/>
        <w:ind w:left="1440"/>
        <w:contextualSpacing w:val="0"/>
        <w:rPr>
          <w:kern w:val="22"/>
        </w:rPr>
      </w:pPr>
      <w:r w:rsidRPr="00117EEC">
        <w:rPr>
          <w:kern w:val="22"/>
        </w:rPr>
        <w:t xml:space="preserve">Supporting Parties to develop and implement enabling and synergistic policies, regulatory frameworks, institutional arrangements and incentives to catalyse and scale up </w:t>
      </w:r>
      <w:proofErr w:type="gramStart"/>
      <w:r w:rsidRPr="00117EEC">
        <w:rPr>
          <w:kern w:val="22"/>
        </w:rPr>
        <w:t>innovation;</w:t>
      </w:r>
      <w:proofErr w:type="gramEnd"/>
    </w:p>
    <w:p w14:paraId="6FC35D1D" w14:textId="77777777" w:rsidR="00D87A97" w:rsidRPr="00117EEC" w:rsidRDefault="00D87A97" w:rsidP="000E369B">
      <w:pPr>
        <w:pStyle w:val="ListParagraph"/>
        <w:numPr>
          <w:ilvl w:val="0"/>
          <w:numId w:val="22"/>
        </w:numPr>
        <w:suppressLineNumbers/>
        <w:suppressAutoHyphens/>
        <w:kinsoku w:val="0"/>
        <w:overflowPunct w:val="0"/>
        <w:autoSpaceDE w:val="0"/>
        <w:autoSpaceDN w:val="0"/>
        <w:adjustRightInd w:val="0"/>
        <w:snapToGrid w:val="0"/>
        <w:spacing w:before="60" w:after="60"/>
        <w:ind w:left="1440"/>
        <w:contextualSpacing w:val="0"/>
        <w:rPr>
          <w:kern w:val="22"/>
        </w:rPr>
      </w:pPr>
      <w:r w:rsidRPr="00117EEC">
        <w:rPr>
          <w:kern w:val="22"/>
        </w:rPr>
        <w:t xml:space="preserve">Strengthening the organizational capacities of scientific institutions, including through educational programmes, exchange of experts and mentoring of young </w:t>
      </w:r>
      <w:proofErr w:type="gramStart"/>
      <w:r w:rsidRPr="00117EEC">
        <w:rPr>
          <w:kern w:val="22"/>
        </w:rPr>
        <w:t>scientists;</w:t>
      </w:r>
      <w:proofErr w:type="gramEnd"/>
    </w:p>
    <w:p w14:paraId="34D8123A" w14:textId="77777777" w:rsidR="00D87A97" w:rsidRPr="00117EEC" w:rsidRDefault="00D87A97" w:rsidP="000E369B">
      <w:pPr>
        <w:pStyle w:val="ListParagraph"/>
        <w:numPr>
          <w:ilvl w:val="0"/>
          <w:numId w:val="22"/>
        </w:numPr>
        <w:suppressLineNumbers/>
        <w:suppressAutoHyphens/>
        <w:kinsoku w:val="0"/>
        <w:overflowPunct w:val="0"/>
        <w:autoSpaceDE w:val="0"/>
        <w:autoSpaceDN w:val="0"/>
        <w:adjustRightInd w:val="0"/>
        <w:snapToGrid w:val="0"/>
        <w:spacing w:before="60" w:after="60"/>
        <w:ind w:left="1440"/>
        <w:contextualSpacing w:val="0"/>
        <w:rPr>
          <w:kern w:val="22"/>
        </w:rPr>
      </w:pPr>
      <w:r w:rsidRPr="00117EEC">
        <w:t xml:space="preserve">Facilitating the provision of skills training to develop technical know-how in specialized areas, such as remote sensing, scenario analyses and modelling, valuation of biodiversity and ecosystem functions and services, modern biotechnology, DNA technologies, gene editing, synthetic biology, digital sequence information, status assessments for species and ecosystems, identification of spatial biodiversity priority areas, and </w:t>
      </w:r>
      <w:proofErr w:type="gramStart"/>
      <w:r w:rsidRPr="00117EEC">
        <w:t>others;</w:t>
      </w:r>
      <w:proofErr w:type="gramEnd"/>
    </w:p>
    <w:p w14:paraId="60401C1A" w14:textId="77777777" w:rsidR="00D87A97" w:rsidRPr="00117EEC" w:rsidRDefault="00D87A97" w:rsidP="000E369B">
      <w:pPr>
        <w:pStyle w:val="ListParagraph"/>
        <w:numPr>
          <w:ilvl w:val="0"/>
          <w:numId w:val="22"/>
        </w:numPr>
        <w:suppressLineNumbers/>
        <w:suppressAutoHyphens/>
        <w:kinsoku w:val="0"/>
        <w:overflowPunct w:val="0"/>
        <w:autoSpaceDE w:val="0"/>
        <w:autoSpaceDN w:val="0"/>
        <w:adjustRightInd w:val="0"/>
        <w:snapToGrid w:val="0"/>
        <w:spacing w:before="60" w:after="60"/>
        <w:ind w:left="1440"/>
        <w:contextualSpacing w:val="0"/>
        <w:rPr>
          <w:kern w:val="22"/>
        </w:rPr>
      </w:pPr>
      <w:r w:rsidRPr="00117EEC">
        <w:lastRenderedPageBreak/>
        <w:t xml:space="preserve">Facilitating the provision of guidance material on social and ethical matters related to science and </w:t>
      </w:r>
      <w:proofErr w:type="gramStart"/>
      <w:r w:rsidRPr="00117EEC">
        <w:t>technology;</w:t>
      </w:r>
      <w:proofErr w:type="gramEnd"/>
    </w:p>
    <w:p w14:paraId="1682F3E7"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rPr>
      </w:pPr>
      <w:r w:rsidRPr="00117EEC">
        <w:rPr>
          <w:kern w:val="22"/>
        </w:rPr>
        <w:t>Perform such other activities as may be necessary to carry out its functions.</w:t>
      </w:r>
    </w:p>
    <w:p w14:paraId="38D3B252"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global centre would work under the strategic guidance of the Conference of the Parties and would take into consideration the advice and recommendations of the above-mentioned Informal Advisory Group on Technical and Scientific Cooperation. The centre would submit progress reports on its activities to the Conference of the Parties through the Secretariat of the Convention on Biological Diversity. A schematic illustration of the possible operational framework of the global centre, and its relationship with the Conference of the Parties and other stakeholders, is presented in figure 1 below.</w:t>
      </w:r>
    </w:p>
    <w:p w14:paraId="2C6CBF9E"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global support centre would require dedicated resources for its operations. If this option is selected, the Conference of the Parties may wish to invite the financial mechanism of the Convention and other donors to provide the global centre with funding to enable it to provide Parties with timely support so that they can access relevant technologies, expertise and other technical support required </w:t>
      </w:r>
      <w:proofErr w:type="gramStart"/>
      <w:r w:rsidRPr="00117EEC">
        <w:rPr>
          <w:kern w:val="22"/>
          <w:lang w:val="en-GB"/>
        </w:rPr>
        <w:t>in order to</w:t>
      </w:r>
      <w:proofErr w:type="gramEnd"/>
      <w:r w:rsidRPr="00117EEC">
        <w:rPr>
          <w:kern w:val="22"/>
          <w:lang w:val="en-GB"/>
        </w:rPr>
        <w:t xml:space="preserve"> implement the post-2020 global biodiversity framework effectively.</w:t>
      </w:r>
    </w:p>
    <w:p w14:paraId="62FFE358" w14:textId="77777777" w:rsidR="00D87A97" w:rsidRPr="00760D30" w:rsidRDefault="00D87A97" w:rsidP="00D87A97">
      <w:pPr>
        <w:pStyle w:val="Heading2"/>
        <w:suppressLineNumbers/>
        <w:suppressAutoHyphens/>
        <w:kinsoku w:val="0"/>
        <w:overflowPunct w:val="0"/>
        <w:autoSpaceDE w:val="0"/>
        <w:autoSpaceDN w:val="0"/>
        <w:adjustRightInd w:val="0"/>
        <w:snapToGrid w:val="0"/>
        <w:rPr>
          <w:b w:val="0"/>
          <w:iCs w:val="0"/>
          <w:snapToGrid w:val="0"/>
          <w:kern w:val="22"/>
        </w:rPr>
      </w:pPr>
      <w:r w:rsidRPr="00760D30">
        <w:rPr>
          <w:iCs w:val="0"/>
          <w:kern w:val="22"/>
        </w:rPr>
        <w:t>Option B: Regional and/or subregional technical and scientific cooperation support centres</w:t>
      </w:r>
    </w:p>
    <w:p w14:paraId="0DC183BC"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Under this option, technical and scientific cooperation and </w:t>
      </w:r>
      <w:r w:rsidRPr="00694029">
        <w:rPr>
          <w:kern w:val="22"/>
          <w:lang w:val="en-GB"/>
        </w:rPr>
        <w:t>technology transfer would be promoted and facilitated through regional and/or subregional centres designated by the Conference of the Parties. The regional support centres would be hosted in existing partner institutions that possess relevant expertise and</w:t>
      </w:r>
      <w:r w:rsidRPr="00064579">
        <w:rPr>
          <w:kern w:val="22"/>
          <w:lang w:val="en-GB"/>
        </w:rPr>
        <w:t xml:space="preserve"> institutional capacity to provide technical assistance to countries in the region or subregion, upon request, as well as capacity to mobilize resources for technical scientific cooperation projects and programmes in their respective regions.</w:t>
      </w:r>
    </w:p>
    <w:p w14:paraId="53E771D4" w14:textId="77777777" w:rsidR="00D87A97" w:rsidRPr="006A079E"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Criteria for selecting the host institutions for the centres would be considered and approved by the Conference of the Parties at its fifteenth meeting. The Conference of the Parties may, for example, require </w:t>
      </w:r>
      <w:r w:rsidRPr="006A079E">
        <w:rPr>
          <w:kern w:val="22"/>
          <w:lang w:val="en-GB"/>
        </w:rPr>
        <w:t>that any organization or institution wishing to host such a centre should have:</w:t>
      </w:r>
    </w:p>
    <w:p w14:paraId="7106A422"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snapToGrid/>
          <w:kern w:val="22"/>
          <w:szCs w:val="22"/>
        </w:rPr>
      </w:pPr>
      <w:r w:rsidRPr="00117EEC">
        <w:rPr>
          <w:kern w:val="22"/>
          <w:szCs w:val="22"/>
        </w:rPr>
        <w:t xml:space="preserve">Demonstrated ability to provide technical advice and support to Parties in planning and implementing country-led projects and/or </w:t>
      </w:r>
      <w:proofErr w:type="gramStart"/>
      <w:r w:rsidRPr="00117EEC">
        <w:rPr>
          <w:kern w:val="22"/>
          <w:szCs w:val="22"/>
        </w:rPr>
        <w:t>programmes;</w:t>
      </w:r>
      <w:proofErr w:type="gramEnd"/>
    </w:p>
    <w:p w14:paraId="26D3AF8E"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Broad experience in the areas of work undertaken by Parties in implementing the Convention on Biological Diversity and its </w:t>
      </w:r>
      <w:proofErr w:type="gramStart"/>
      <w:r w:rsidRPr="00117EEC">
        <w:rPr>
          <w:kern w:val="22"/>
          <w:szCs w:val="22"/>
        </w:rPr>
        <w:t>protocols;</w:t>
      </w:r>
      <w:proofErr w:type="gramEnd"/>
    </w:p>
    <w:p w14:paraId="22029029"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rPr>
        <w:t xml:space="preserve">Capacity to mobilize resources for technical scientific cooperation </w:t>
      </w:r>
      <w:proofErr w:type="gramStart"/>
      <w:r w:rsidRPr="00117EEC">
        <w:rPr>
          <w:kern w:val="22"/>
        </w:rPr>
        <w:t>programmes;</w:t>
      </w:r>
      <w:proofErr w:type="gramEnd"/>
    </w:p>
    <w:p w14:paraId="576149DD"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rPr>
      </w:pPr>
      <w:r w:rsidRPr="00117EEC">
        <w:rPr>
          <w:kern w:val="22"/>
        </w:rPr>
        <w:t xml:space="preserve">Appropriate policies, procedures and other institutional mechanisms and demonstrated ability in place to manage multiple complex projects and </w:t>
      </w:r>
      <w:proofErr w:type="gramStart"/>
      <w:r w:rsidRPr="00117EEC">
        <w:rPr>
          <w:kern w:val="22"/>
        </w:rPr>
        <w:t>programmes;</w:t>
      </w:r>
      <w:proofErr w:type="gramEnd"/>
    </w:p>
    <w:p w14:paraId="4A5B7C60"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Active networks of collaborators, including institutions working at regional and subregional levels on biodiversity-relevant </w:t>
      </w:r>
      <w:proofErr w:type="gramStart"/>
      <w:r w:rsidRPr="00117EEC">
        <w:rPr>
          <w:kern w:val="22"/>
          <w:szCs w:val="22"/>
        </w:rPr>
        <w:t>issues;</w:t>
      </w:r>
      <w:proofErr w:type="gramEnd"/>
    </w:p>
    <w:p w14:paraId="32BF4797" w14:textId="77777777" w:rsidR="00D87A97" w:rsidRPr="00117EEC" w:rsidRDefault="00D87A97" w:rsidP="000E369B">
      <w:pPr>
        <w:pStyle w:val="Para1"/>
        <w:numPr>
          <w:ilvl w:val="1"/>
          <w:numId w:val="5"/>
        </w:numPr>
        <w:suppressLineNumbers/>
        <w:tabs>
          <w:tab w:val="clear" w:pos="1080"/>
          <w:tab w:val="num" w:pos="144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Experience of working with other biodiversity-related conventions, intergovernmental processes, </w:t>
      </w:r>
      <w:r w:rsidRPr="00117EEC">
        <w:rPr>
          <w:kern w:val="22"/>
        </w:rPr>
        <w:t xml:space="preserve">indigenous peoples and local communities, civil </w:t>
      </w:r>
      <w:proofErr w:type="gramStart"/>
      <w:r w:rsidRPr="00117EEC">
        <w:rPr>
          <w:kern w:val="22"/>
        </w:rPr>
        <w:t>society</w:t>
      </w:r>
      <w:proofErr w:type="gramEnd"/>
      <w:r w:rsidRPr="00117EEC">
        <w:rPr>
          <w:kern w:val="22"/>
        </w:rPr>
        <w:t xml:space="preserve"> and other stakeholders</w:t>
      </w:r>
      <w:r w:rsidRPr="00117EEC">
        <w:rPr>
          <w:kern w:val="22"/>
          <w:szCs w:val="22"/>
        </w:rPr>
        <w:t>.</w:t>
      </w:r>
    </w:p>
    <w:p w14:paraId="6F2A4817"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regional support centres would carry out functions </w:t>
      </w:r>
      <w:proofErr w:type="gramStart"/>
      <w:r w:rsidRPr="00117EEC">
        <w:rPr>
          <w:kern w:val="22"/>
          <w:lang w:val="en-GB"/>
        </w:rPr>
        <w:t>similar to</w:t>
      </w:r>
      <w:proofErr w:type="gramEnd"/>
      <w:r w:rsidRPr="00117EEC">
        <w:rPr>
          <w:kern w:val="22"/>
          <w:lang w:val="en-GB"/>
        </w:rPr>
        <w:t xml:space="preserve"> those of the global centre as described above but would operate within their respective regions or subregions. Where necessary, they would coordinate with other centres to mobilize all the expertise required to fully support the implementation of the post-2020 global biodiversity framework and address priorities identified in their regions or subregions. They would also collaborate with and support any existing regional technology assessment platforms that engage a range of stakeholders in a participatory approach to horizon scanning, technology assessment, monitoring, capacity</w:t>
      </w:r>
      <w:r w:rsidRPr="00117EEC">
        <w:rPr>
          <w:kern w:val="22"/>
          <w:lang w:val="en-GB"/>
        </w:rPr>
        <w:noBreakHyphen/>
        <w:t>building and development, citizen science and other activities to support responsible research and innovation.</w:t>
      </w:r>
    </w:p>
    <w:p w14:paraId="441C8B33"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centres would work under the strategic guidance of the Conference of the Parties and would take into consideration the relevant guidance and recommendations of the Informal Advisory Group on Technical and Scientific Cooperation. The centres would submit progress reports on their activities to the </w:t>
      </w:r>
      <w:r w:rsidRPr="00117EEC">
        <w:rPr>
          <w:kern w:val="22"/>
          <w:lang w:val="en-GB"/>
        </w:rPr>
        <w:lastRenderedPageBreak/>
        <w:t xml:space="preserve">Conference of the Parties through the Secretariat of the Convention. A schematic illustration of the proposed regionally based institutional mechanism to promote and support technical and scientific cooperation, including the relationship between the above components, the Conference of the </w:t>
      </w:r>
      <w:proofErr w:type="gramStart"/>
      <w:r w:rsidRPr="00117EEC">
        <w:rPr>
          <w:kern w:val="22"/>
          <w:lang w:val="en-GB"/>
        </w:rPr>
        <w:t>Parties</w:t>
      </w:r>
      <w:proofErr w:type="gramEnd"/>
      <w:r w:rsidRPr="00117EEC">
        <w:rPr>
          <w:kern w:val="22"/>
          <w:lang w:val="en-GB"/>
        </w:rPr>
        <w:t xml:space="preserve"> and other stakeholders, is presented in figure 2 below.</w:t>
      </w:r>
    </w:p>
    <w:p w14:paraId="1614EC49"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The regional support centres would require dedicated resources for their operations. If this option is selected, the Conference of the Parties may wish to invite the financial mechanism of the Convention and other donors to provide the regional centres with funding to enable them to provide Parties with timely support so that they can access relevant technologies, expertise and other technical support required </w:t>
      </w:r>
      <w:proofErr w:type="gramStart"/>
      <w:r w:rsidRPr="00117EEC">
        <w:rPr>
          <w:kern w:val="22"/>
          <w:lang w:val="en-GB"/>
        </w:rPr>
        <w:t>in order to</w:t>
      </w:r>
      <w:proofErr w:type="gramEnd"/>
      <w:r w:rsidRPr="00117EEC">
        <w:rPr>
          <w:kern w:val="22"/>
          <w:lang w:val="en-GB"/>
        </w:rPr>
        <w:t xml:space="preserve"> implement the post-2020 global biodiversity framework effectively.</w:t>
      </w:r>
    </w:p>
    <w:p w14:paraId="3BB96E4F" w14:textId="77777777" w:rsidR="00D87A97" w:rsidRPr="00760D30" w:rsidRDefault="00D87A97" w:rsidP="00D87A97">
      <w:pPr>
        <w:pStyle w:val="Heading2"/>
        <w:suppressLineNumbers/>
        <w:suppressAutoHyphens/>
        <w:kinsoku w:val="0"/>
        <w:overflowPunct w:val="0"/>
        <w:autoSpaceDE w:val="0"/>
        <w:autoSpaceDN w:val="0"/>
        <w:adjustRightInd w:val="0"/>
        <w:snapToGrid w:val="0"/>
        <w:spacing w:before="240"/>
        <w:rPr>
          <w:rFonts w:ascii="Times New Roman Bold" w:hAnsi="Times New Roman Bold" w:cs="Times New Roman Bold"/>
          <w:b w:val="0"/>
          <w:iCs w:val="0"/>
          <w:snapToGrid w:val="0"/>
          <w:spacing w:val="-2"/>
          <w:kern w:val="22"/>
        </w:rPr>
      </w:pPr>
      <w:r w:rsidRPr="00760D30">
        <w:rPr>
          <w:rFonts w:ascii="Times New Roman Bold" w:hAnsi="Times New Roman Bold" w:cs="Times New Roman Bold"/>
          <w:iCs w:val="0"/>
          <w:spacing w:val="-2"/>
          <w:kern w:val="22"/>
        </w:rPr>
        <w:t>Option C: Technical and scientific cooperation support through Secretariat-coordinated programmes</w:t>
      </w:r>
    </w:p>
    <w:p w14:paraId="53C9929B" w14:textId="77777777" w:rsidR="00D87A97" w:rsidRPr="00117EEC" w:rsidRDefault="00D87A97" w:rsidP="00D87A97">
      <w:pPr>
        <w:pStyle w:val="CBD-Para"/>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Under this option, technical and scientific cooperation and technology transfer would continue to be promoted and facilitated through programmes coordinated by the Secretariat of the Convention in collaborati</w:t>
      </w:r>
      <w:r w:rsidRPr="00694029">
        <w:rPr>
          <w:kern w:val="22"/>
          <w:lang w:val="en-GB"/>
        </w:rPr>
        <w:t>on with relevant partners and initiatives. Each programme would implement targeted interventions. The Secretariat would submit progress reports to the Conference of the Parties, which would take into consideration the guidance of the Informal Advisory Grou</w:t>
      </w:r>
      <w:r w:rsidRPr="00064579">
        <w:rPr>
          <w:kern w:val="22"/>
          <w:lang w:val="en-GB"/>
        </w:rPr>
        <w:t xml:space="preserve">p on Technical and Scientific Cooperation. The functions of the different programmes would vary </w:t>
      </w:r>
      <w:proofErr w:type="gramStart"/>
      <w:r w:rsidRPr="00064579">
        <w:rPr>
          <w:kern w:val="22"/>
          <w:lang w:val="en-GB"/>
        </w:rPr>
        <w:t>on the basis of</w:t>
      </w:r>
      <w:proofErr w:type="gramEnd"/>
      <w:r w:rsidRPr="00064579">
        <w:rPr>
          <w:kern w:val="22"/>
          <w:lang w:val="en-GB"/>
        </w:rPr>
        <w:t xml:space="preserve"> the priorities and requirements of Parties.</w:t>
      </w:r>
    </w:p>
    <w:p w14:paraId="770A3034"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Secretariat would also continue to promote and facilitate technical and scientific cooperation through partnership agreements and collaborative programmes with various partners and initiatives, including research and academic institutions, United Nations agencies, and international organizations and networks.</w:t>
      </w:r>
    </w:p>
    <w:p w14:paraId="5CE82A4F"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To play the above roles more effectively in support of the post-2020 global biodiversity framework, the Secretariat would require adequate and predictable funding support. The Secretariat’s core budget would need to provide for dedicated staff positions for technical and scientific cooperation, as well as for core activities. At present, the functions related to technical and scientific cooperation are largely performed by project staff funded by the Republic of Korea through the Bio-Bridge Initiative. The current funding commitment for the Bio-Bridge Initiative is scheduled to end in 2020.</w:t>
      </w:r>
    </w:p>
    <w:p w14:paraId="51ABF66F" w14:textId="77777777" w:rsidR="00D87A97" w:rsidRPr="00117EEC" w:rsidRDefault="00D87A97" w:rsidP="000E369B">
      <w:pPr>
        <w:pStyle w:val="Heading1"/>
        <w:numPr>
          <w:ilvl w:val="0"/>
          <w:numId w:val="19"/>
        </w:numPr>
        <w:suppressLineNumbers/>
        <w:tabs>
          <w:tab w:val="clear" w:pos="720"/>
          <w:tab w:val="num" w:pos="360"/>
        </w:tabs>
        <w:suppressAutoHyphens/>
        <w:kinsoku w:val="0"/>
        <w:overflowPunct w:val="0"/>
        <w:autoSpaceDE w:val="0"/>
        <w:autoSpaceDN w:val="0"/>
        <w:adjustRightInd w:val="0"/>
        <w:snapToGrid w:val="0"/>
        <w:spacing w:before="120"/>
        <w:ind w:left="0" w:firstLine="0"/>
        <w:rPr>
          <w:bCs/>
          <w:snapToGrid w:val="0"/>
          <w:kern w:val="22"/>
        </w:rPr>
      </w:pPr>
      <w:r w:rsidRPr="00117EEC">
        <w:rPr>
          <w:bCs/>
          <w:caps w:val="0"/>
          <w:kern w:val="22"/>
        </w:rPr>
        <w:t>ROLE OF THE SECRETARIAT OF THE CONVENTION</w:t>
      </w:r>
    </w:p>
    <w:p w14:paraId="4D19E314"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In line with Article 24 of the Convention, the Secretariat of the Convention will:</w:t>
      </w:r>
    </w:p>
    <w:p w14:paraId="75295F89"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spacing w:before="0"/>
        <w:ind w:left="0" w:firstLine="720"/>
        <w:rPr>
          <w:snapToGrid/>
          <w:kern w:val="22"/>
          <w:szCs w:val="22"/>
        </w:rPr>
      </w:pPr>
      <w:r w:rsidRPr="00117EEC">
        <w:rPr>
          <w:kern w:val="22"/>
          <w:szCs w:val="22"/>
        </w:rPr>
        <w:t xml:space="preserve">Prepare or submit, as appropriate, relevant documents and reports on technical and scientific cooperation and technology transfer (Articles 16-18 of the Convention) for the Conference of Parties and its subsidiary </w:t>
      </w:r>
      <w:proofErr w:type="gramStart"/>
      <w:r w:rsidRPr="00117EEC">
        <w:rPr>
          <w:kern w:val="22"/>
          <w:szCs w:val="22"/>
        </w:rPr>
        <w:t>bodies;</w:t>
      </w:r>
      <w:proofErr w:type="gramEnd"/>
    </w:p>
    <w:p w14:paraId="4F4312D7"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spacing w:before="0"/>
        <w:ind w:left="0" w:firstLine="720"/>
        <w:rPr>
          <w:kern w:val="22"/>
          <w:szCs w:val="22"/>
        </w:rPr>
      </w:pPr>
      <w:r w:rsidRPr="00117EEC">
        <w:rPr>
          <w:kern w:val="22"/>
          <w:szCs w:val="22"/>
        </w:rPr>
        <w:t xml:space="preserve">Compile relevant information related to technical and scientific cooperation and technology transfer in the field of biological diversity and make it available through the clearing-house mechanism, in line with the knowledge management component of the post-2020 global biodiversity </w:t>
      </w:r>
      <w:proofErr w:type="gramStart"/>
      <w:r w:rsidRPr="00117EEC">
        <w:rPr>
          <w:kern w:val="22"/>
          <w:szCs w:val="22"/>
        </w:rPr>
        <w:t>framework;</w:t>
      </w:r>
      <w:proofErr w:type="gramEnd"/>
    </w:p>
    <w:p w14:paraId="5B36968C" w14:textId="77777777" w:rsidR="00D87A97" w:rsidRPr="00760D30"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spacing w:before="0"/>
        <w:ind w:left="0" w:firstLine="720"/>
        <w:rPr>
          <w:rFonts w:eastAsiaTheme="minorEastAsia"/>
          <w:kern w:val="22"/>
          <w:szCs w:val="22"/>
        </w:rPr>
      </w:pPr>
      <w:r w:rsidRPr="00760D30">
        <w:rPr>
          <w:kern w:val="22"/>
          <w:szCs w:val="22"/>
        </w:rPr>
        <w:t xml:space="preserve">Maintain active communication with Parties and stakeholders involved or interested in technical and scientific </w:t>
      </w:r>
      <w:proofErr w:type="gramStart"/>
      <w:r w:rsidRPr="00760D30">
        <w:rPr>
          <w:kern w:val="22"/>
          <w:szCs w:val="22"/>
        </w:rPr>
        <w:t>cooperation;</w:t>
      </w:r>
      <w:proofErr w:type="gramEnd"/>
    </w:p>
    <w:p w14:paraId="583A6DE5"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spacing w:before="0"/>
        <w:ind w:left="0" w:firstLine="720"/>
        <w:rPr>
          <w:kern w:val="22"/>
          <w:szCs w:val="22"/>
        </w:rPr>
      </w:pPr>
      <w:r w:rsidRPr="00117EEC">
        <w:rPr>
          <w:kern w:val="22"/>
          <w:szCs w:val="22"/>
        </w:rPr>
        <w:t>Coordinate, as appropriate, with biodiversity-related conventions, relevant Parties’ agencies, the Consortium of Scientific Partners</w:t>
      </w:r>
      <w:r w:rsidRPr="00760D30">
        <w:rPr>
          <w:kern w:val="22"/>
          <w:szCs w:val="22"/>
        </w:rPr>
        <w:t xml:space="preserve"> on Biodiversity</w:t>
      </w:r>
      <w:r w:rsidRPr="00117EEC">
        <w:rPr>
          <w:kern w:val="22"/>
          <w:szCs w:val="22"/>
        </w:rPr>
        <w:t xml:space="preserve">, the Global Partnership for Business and Biodiversity, and other relevant networks and initiatives with technical and scientific expertise and/or involved in technical and scientific </w:t>
      </w:r>
      <w:proofErr w:type="gramStart"/>
      <w:r w:rsidRPr="00117EEC">
        <w:rPr>
          <w:kern w:val="22"/>
          <w:szCs w:val="22"/>
        </w:rPr>
        <w:t>cooperation;</w:t>
      </w:r>
      <w:proofErr w:type="gramEnd"/>
    </w:p>
    <w:p w14:paraId="5496DFC1"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spacing w:before="0"/>
        <w:ind w:left="0" w:firstLine="720"/>
        <w:rPr>
          <w:kern w:val="22"/>
          <w:szCs w:val="22"/>
        </w:rPr>
      </w:pPr>
      <w:r w:rsidRPr="00117EEC">
        <w:rPr>
          <w:kern w:val="22"/>
          <w:szCs w:val="22"/>
        </w:rPr>
        <w:t xml:space="preserve">Co-organize with partners biodiversity science forums, technology and innovation expos and other events on the margins of international </w:t>
      </w:r>
      <w:proofErr w:type="gramStart"/>
      <w:r w:rsidRPr="00117EEC">
        <w:rPr>
          <w:kern w:val="22"/>
          <w:szCs w:val="22"/>
        </w:rPr>
        <w:t>meetings;</w:t>
      </w:r>
      <w:proofErr w:type="gramEnd"/>
    </w:p>
    <w:p w14:paraId="3B12C8BA" w14:textId="77777777" w:rsidR="00D87A97" w:rsidRPr="00117EEC" w:rsidRDefault="00D87A97" w:rsidP="000E369B">
      <w:pPr>
        <w:pStyle w:val="Para1"/>
        <w:numPr>
          <w:ilvl w:val="1"/>
          <w:numId w:val="5"/>
        </w:numPr>
        <w:suppressLineNumbers/>
        <w:tabs>
          <w:tab w:val="clear" w:pos="1080"/>
          <w:tab w:val="left" w:pos="720"/>
        </w:tabs>
        <w:suppressAutoHyphens/>
        <w:kinsoku w:val="0"/>
        <w:overflowPunct w:val="0"/>
        <w:autoSpaceDE w:val="0"/>
        <w:autoSpaceDN w:val="0"/>
        <w:adjustRightInd w:val="0"/>
        <w:snapToGrid w:val="0"/>
        <w:spacing w:before="0"/>
        <w:ind w:left="0" w:firstLine="720"/>
        <w:rPr>
          <w:kern w:val="22"/>
          <w:szCs w:val="22"/>
        </w:rPr>
      </w:pPr>
      <w:r w:rsidRPr="00117EEC">
        <w:rPr>
          <w:kern w:val="22"/>
          <w:szCs w:val="22"/>
        </w:rPr>
        <w:t>Perform such other activities as may be necessary to carry out its functions</w:t>
      </w:r>
      <w:r w:rsidRPr="00760D30">
        <w:rPr>
          <w:kern w:val="22"/>
          <w:szCs w:val="22"/>
        </w:rPr>
        <w:t>.</w:t>
      </w:r>
    </w:p>
    <w:p w14:paraId="5AAB6AB3" w14:textId="77777777" w:rsidR="00D87A97" w:rsidRPr="00117EEC" w:rsidRDefault="00D87A97" w:rsidP="000E369B">
      <w:pPr>
        <w:pStyle w:val="Heading1"/>
        <w:numPr>
          <w:ilvl w:val="0"/>
          <w:numId w:val="19"/>
        </w:numPr>
        <w:suppressLineNumbers/>
        <w:tabs>
          <w:tab w:val="clear" w:pos="720"/>
          <w:tab w:val="num" w:pos="426"/>
        </w:tabs>
        <w:suppressAutoHyphens/>
        <w:kinsoku w:val="0"/>
        <w:overflowPunct w:val="0"/>
        <w:autoSpaceDE w:val="0"/>
        <w:autoSpaceDN w:val="0"/>
        <w:adjustRightInd w:val="0"/>
        <w:snapToGrid w:val="0"/>
        <w:spacing w:before="120"/>
        <w:ind w:left="0" w:firstLine="0"/>
        <w:rPr>
          <w:bCs/>
          <w:snapToGrid w:val="0"/>
          <w:kern w:val="22"/>
        </w:rPr>
      </w:pPr>
      <w:r w:rsidRPr="00117EEC">
        <w:rPr>
          <w:bCs/>
          <w:caps w:val="0"/>
          <w:kern w:val="22"/>
        </w:rPr>
        <w:lastRenderedPageBreak/>
        <w:t>MONITORING AND REVIEW</w:t>
      </w:r>
    </w:p>
    <w:p w14:paraId="7D293AC7"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The present proposals will be reviewed periodically and, if necessary, updated to ensure their continued relevance and effectiveness in supporting the implementation of the post-2020 global biodiversity framework. A first review will be carried out in 2025 and an independent evaluation will be undertaken in 2030, together with the review of the long-term strategic framework for capacity</w:t>
      </w:r>
      <w:r w:rsidRPr="00117EEC">
        <w:rPr>
          <w:kern w:val="22"/>
          <w:lang w:val="en-GB"/>
        </w:rPr>
        <w:noBreakHyphen/>
        <w:t>building and development and the review of the post-2020 global biodiversity framework. The reviews will be based on the information provided by Parties in their national reports and on voluntary reports and case studies provided by non-government actors to the secretariats of biodiversity-related conventions and processes.</w:t>
      </w:r>
    </w:p>
    <w:p w14:paraId="31C0D7C2" w14:textId="77777777" w:rsidR="00D87A97" w:rsidRPr="007C1C0B"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kern w:val="22"/>
          <w:lang w:val="en-GB"/>
        </w:rPr>
      </w:pPr>
      <w:r w:rsidRPr="00117EEC">
        <w:rPr>
          <w:kern w:val="22"/>
          <w:lang w:val="en-GB"/>
        </w:rPr>
        <w:t xml:space="preserve">Indicators to monitor progress on technical and scientific cooperation and technology transfer, including the utilization of science, </w:t>
      </w:r>
      <w:proofErr w:type="gramStart"/>
      <w:r w:rsidRPr="00117EEC">
        <w:rPr>
          <w:kern w:val="22"/>
          <w:lang w:val="en-GB"/>
        </w:rPr>
        <w:t>technology</w:t>
      </w:r>
      <w:proofErr w:type="gramEnd"/>
      <w:r w:rsidRPr="00117EEC">
        <w:rPr>
          <w:kern w:val="22"/>
          <w:lang w:val="en-GB"/>
        </w:rPr>
        <w:t xml:space="preserve"> and innovation, will be included in the monitoring framework for the post-2020 global biodiversity framework. A complementary set of indicators and a methodology for measuring progress could be prepared with the support of experts and practitioners and made available for use, as appropriate, by government and non-government actors at the subnational, </w:t>
      </w:r>
      <w:proofErr w:type="gramStart"/>
      <w:r w:rsidRPr="00117EEC">
        <w:rPr>
          <w:kern w:val="22"/>
          <w:lang w:val="en-GB"/>
        </w:rPr>
        <w:t>national</w:t>
      </w:r>
      <w:proofErr w:type="gramEnd"/>
      <w:r w:rsidRPr="00117EEC">
        <w:rPr>
          <w:kern w:val="22"/>
          <w:lang w:val="en-GB"/>
        </w:rPr>
        <w:t xml:space="preserve"> and regional levels. The periodic review and update of the proposals will be informed by information generated from the monitoring process, which may be communicated through the Parties’ national reports and the voluntary reports by non-governmental actors.]</w:t>
      </w:r>
      <w:bookmarkStart w:id="47" w:name="_Toc57214912"/>
      <w:bookmarkEnd w:id="46"/>
    </w:p>
    <w:p w14:paraId="4E2203DE" w14:textId="77777777" w:rsidR="00D87A97" w:rsidRPr="007C1C0B" w:rsidRDefault="00D87A97" w:rsidP="00D87A97">
      <w:pPr>
        <w:pStyle w:val="CBD-Para"/>
        <w:keepLines w:val="0"/>
        <w:numPr>
          <w:ilvl w:val="0"/>
          <w:numId w:val="0"/>
        </w:numPr>
        <w:suppressLineNumbers/>
        <w:tabs>
          <w:tab w:val="left" w:pos="720"/>
        </w:tabs>
        <w:suppressAutoHyphens/>
        <w:kinsoku w:val="0"/>
        <w:overflowPunct w:val="0"/>
        <w:autoSpaceDE w:val="0"/>
        <w:autoSpaceDN w:val="0"/>
        <w:adjustRightInd w:val="0"/>
        <w:snapToGrid w:val="0"/>
        <w:rPr>
          <w:snapToGrid w:val="0"/>
          <w:kern w:val="22"/>
          <w:lang w:val="en-GB"/>
        </w:rPr>
      </w:pPr>
      <w:r>
        <w:rPr>
          <w:kern w:val="22"/>
          <w:lang w:val="en-GB"/>
        </w:rPr>
        <w:br w:type="column"/>
      </w:r>
    </w:p>
    <w:p w14:paraId="09FB460D" w14:textId="77777777" w:rsidR="00D87A97" w:rsidRPr="00760D30" w:rsidRDefault="00D87A97" w:rsidP="00D87A97">
      <w:pPr>
        <w:pStyle w:val="CBD-Para"/>
        <w:keepNext/>
        <w:keepLines w:val="0"/>
        <w:numPr>
          <w:ilvl w:val="0"/>
          <w:numId w:val="0"/>
        </w:numPr>
        <w:suppressLineNumbers/>
        <w:tabs>
          <w:tab w:val="left" w:pos="720"/>
        </w:tabs>
        <w:suppressAutoHyphens/>
        <w:kinsoku w:val="0"/>
        <w:overflowPunct w:val="0"/>
        <w:autoSpaceDE w:val="0"/>
        <w:autoSpaceDN w:val="0"/>
        <w:adjustRightInd w:val="0"/>
        <w:snapToGrid w:val="0"/>
        <w:jc w:val="center"/>
        <w:outlineLvl w:val="0"/>
        <w:rPr>
          <w:rFonts w:asciiTheme="majorBidi" w:hAnsiTheme="majorBidi" w:cstheme="majorBidi"/>
          <w:i/>
          <w:iCs/>
          <w:snapToGrid w:val="0"/>
          <w:kern w:val="22"/>
          <w:lang w:val="en-GB"/>
        </w:rPr>
      </w:pPr>
      <w:r w:rsidRPr="00760D30">
        <w:rPr>
          <w:rFonts w:asciiTheme="majorBidi" w:hAnsiTheme="majorBidi" w:cstheme="majorBidi"/>
          <w:i/>
          <w:iCs/>
          <w:snapToGrid w:val="0"/>
          <w:kern w:val="22"/>
          <w:lang w:val="en-GB"/>
        </w:rPr>
        <w:t xml:space="preserve">Annex </w:t>
      </w:r>
      <w:bookmarkEnd w:id="47"/>
      <w:r>
        <w:rPr>
          <w:rFonts w:asciiTheme="majorBidi" w:hAnsiTheme="majorBidi" w:cstheme="majorBidi"/>
          <w:i/>
          <w:iCs/>
          <w:snapToGrid w:val="0"/>
          <w:kern w:val="22"/>
          <w:lang w:val="en-GB"/>
        </w:rPr>
        <w:t>III</w:t>
      </w:r>
    </w:p>
    <w:p w14:paraId="07BB1181" w14:textId="77777777" w:rsidR="00D87A97" w:rsidRPr="00694029" w:rsidRDefault="00D87A97" w:rsidP="00D87A97">
      <w:pPr>
        <w:pStyle w:val="NormalWeb"/>
        <w:keepNext/>
        <w:suppressLineNumbers/>
        <w:suppressAutoHyphens/>
        <w:kinsoku w:val="0"/>
        <w:overflowPunct w:val="0"/>
        <w:adjustRightInd w:val="0"/>
        <w:snapToGrid w:val="0"/>
        <w:spacing w:before="120" w:after="120"/>
        <w:jc w:val="center"/>
        <w:outlineLvl w:val="0"/>
        <w:rPr>
          <w:rFonts w:asciiTheme="majorBidi" w:hAnsiTheme="majorBidi" w:cs="Times New Roman (Headings CS)"/>
          <w:bCs/>
          <w:caps/>
          <w:snapToGrid w:val="0"/>
          <w:kern w:val="22"/>
          <w:sz w:val="22"/>
          <w:lang w:val="en-GB"/>
        </w:rPr>
      </w:pPr>
      <w:bookmarkStart w:id="48" w:name="_Toc57214913"/>
      <w:r w:rsidRPr="00117EEC">
        <w:rPr>
          <w:rFonts w:asciiTheme="majorBidi" w:hAnsiTheme="majorBidi" w:cs="Times New Roman (Headings CS)"/>
          <w:b/>
          <w:bCs/>
          <w:caps/>
          <w:snapToGrid w:val="0"/>
          <w:kern w:val="22"/>
          <w:sz w:val="22"/>
          <w:lang w:val="en-GB"/>
        </w:rPr>
        <w:t>Draft terms of reference of the Informal Advisory Group on Technical and Scientific Cooperation</w:t>
      </w:r>
      <w:bookmarkEnd w:id="48"/>
    </w:p>
    <w:p w14:paraId="2E9B3EDB" w14:textId="77777777" w:rsidR="00D87A97" w:rsidRPr="005678DE" w:rsidRDefault="00D87A97" w:rsidP="00D87A97">
      <w:pPr>
        <w:keepNext/>
        <w:suppressLineNumbers/>
        <w:tabs>
          <w:tab w:val="left" w:pos="426"/>
        </w:tabs>
        <w:suppressAutoHyphens/>
        <w:kinsoku w:val="0"/>
        <w:overflowPunct w:val="0"/>
        <w:autoSpaceDE w:val="0"/>
        <w:autoSpaceDN w:val="0"/>
        <w:adjustRightInd w:val="0"/>
        <w:snapToGrid w:val="0"/>
        <w:spacing w:before="120" w:after="120"/>
        <w:jc w:val="center"/>
        <w:outlineLvl w:val="1"/>
        <w:rPr>
          <w:rFonts w:asciiTheme="majorBidi" w:hAnsiTheme="majorBidi" w:cstheme="majorBidi"/>
          <w:b/>
          <w:snapToGrid w:val="0"/>
          <w:kern w:val="22"/>
          <w:szCs w:val="22"/>
          <w:lang w:eastAsia="en-CA"/>
        </w:rPr>
      </w:pPr>
      <w:bookmarkStart w:id="49" w:name="_Toc57214914"/>
      <w:r w:rsidRPr="000342DB">
        <w:rPr>
          <w:rFonts w:asciiTheme="majorBidi" w:hAnsiTheme="majorBidi" w:cstheme="majorBidi"/>
          <w:b/>
          <w:snapToGrid w:val="0"/>
          <w:kern w:val="22"/>
          <w:szCs w:val="22"/>
          <w:lang w:eastAsia="en-CA"/>
        </w:rPr>
        <w:t>A.</w:t>
      </w:r>
      <w:r w:rsidRPr="000342DB">
        <w:rPr>
          <w:rFonts w:asciiTheme="majorBidi" w:hAnsiTheme="majorBidi" w:cstheme="majorBidi"/>
          <w:b/>
          <w:snapToGrid w:val="0"/>
          <w:kern w:val="22"/>
          <w:szCs w:val="22"/>
          <w:lang w:eastAsia="en-CA"/>
        </w:rPr>
        <w:tab/>
        <w:t>Background</w:t>
      </w:r>
      <w:bookmarkEnd w:id="49"/>
    </w:p>
    <w:p w14:paraId="14C72BDB" w14:textId="77777777" w:rsidR="00D87A97" w:rsidRPr="00760D30"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rPr>
      </w:pPr>
      <w:r w:rsidRPr="00760D30">
        <w:rPr>
          <w:snapToGrid w:val="0"/>
          <w:kern w:val="22"/>
          <w:lang w:val="en-GB"/>
        </w:rPr>
        <w:t>Article 18 of the Convention on Biological Diversity requires Parties to promote international technical and scientific cooperation with other Parties, in particularly developing country Parties, in the field of conservation and sustainable use of biological diversity, where necessary, through appropriate international and national institutions, including by promoting cooperation in human resources development and institution-building, encouraging and developing methods of cooperation for the development and use of relevant technologies (including indigenous and traditional technologies), promoting cooperation in the training of personnel and exchange of experts, and promoting the establishment of joint research programmes and joint ventures for development of relevant technologies. Article 18 also stresses the importance of the clearing-house mechanism for fostering technical and scientific cooperation.</w:t>
      </w:r>
    </w:p>
    <w:p w14:paraId="37EA314C"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lang w:val="en-GB"/>
        </w:rPr>
      </w:pPr>
      <w:r>
        <w:rPr>
          <w:lang w:val="en-GB"/>
        </w:rPr>
        <w:t>[</w:t>
      </w:r>
      <w:r w:rsidRPr="00760D30">
        <w:rPr>
          <w:lang w:val="en-GB"/>
        </w:rPr>
        <w:t xml:space="preserve">Other articles of the Convention, such as Article 15.6 on scientific research based on genetic resources, Article 16 on access to and transfer of technology, Article 17 on exchange of information, and Article 19 on biotechnological research, are of relevance to technical and scientific cooperation. </w:t>
      </w:r>
      <w:r w:rsidRPr="00760D30">
        <w:rPr>
          <w:lang w:val="en-GB" w:eastAsia="zh-CN"/>
        </w:rPr>
        <w:t>Article 19 also requires Parties to provide for the effective participation in research activities, especially developing country Parties, which provide genetic resources for such research</w:t>
      </w:r>
      <w:r>
        <w:rPr>
          <w:lang w:val="en-GB" w:eastAsia="zh-CN"/>
        </w:rPr>
        <w:t>.]</w:t>
      </w:r>
    </w:p>
    <w:p w14:paraId="2E72080D" w14:textId="77777777" w:rsidR="00D87A97" w:rsidRPr="00117EEC" w:rsidRDefault="00D87A97" w:rsidP="00D87A97">
      <w:pPr>
        <w:pStyle w:val="CBD-Para"/>
        <w:keepLines w:val="0"/>
        <w:suppressLineNumbers/>
        <w:tabs>
          <w:tab w:val="left" w:pos="720"/>
        </w:tabs>
        <w:suppressAutoHyphens/>
        <w:kinsoku w:val="0"/>
        <w:overflowPunct w:val="0"/>
        <w:autoSpaceDE w:val="0"/>
        <w:autoSpaceDN w:val="0"/>
        <w:adjustRightInd w:val="0"/>
        <w:snapToGrid w:val="0"/>
        <w:rPr>
          <w:snapToGrid w:val="0"/>
          <w:spacing w:val="-2"/>
          <w:kern w:val="22"/>
          <w:lang w:val="en-GB"/>
        </w:rPr>
      </w:pPr>
      <w:r w:rsidRPr="000342DB">
        <w:rPr>
          <w:snapToGrid w:val="0"/>
          <w:kern w:val="22"/>
          <w:lang w:val="en-GB" w:eastAsia="en-CA"/>
        </w:rPr>
        <w:t>In decisions, VII/29, VIII/12, IX/14, X/15, X/16, XII/2 B, XIII/23 and XII</w:t>
      </w:r>
      <w:r w:rsidRPr="005678DE">
        <w:rPr>
          <w:snapToGrid w:val="0"/>
          <w:kern w:val="22"/>
          <w:lang w:val="en-GB" w:eastAsia="en-CA"/>
        </w:rPr>
        <w:t xml:space="preserve">I/31, the Conference of the Parties </w:t>
      </w:r>
      <w:r w:rsidRPr="00064579">
        <w:rPr>
          <w:snapToGrid w:val="0"/>
          <w:kern w:val="22"/>
          <w:lang w:val="en-GB"/>
        </w:rPr>
        <w:t xml:space="preserve">adopted </w:t>
      </w:r>
      <w:proofErr w:type="gramStart"/>
      <w:r w:rsidRPr="00064579">
        <w:rPr>
          <w:snapToGrid w:val="0"/>
          <w:kern w:val="22"/>
          <w:lang w:val="en-GB"/>
        </w:rPr>
        <w:t>a number of</w:t>
      </w:r>
      <w:proofErr w:type="gramEnd"/>
      <w:r w:rsidRPr="00064579">
        <w:rPr>
          <w:snapToGrid w:val="0"/>
          <w:kern w:val="22"/>
          <w:lang w:val="en-GB"/>
        </w:rPr>
        <w:t xml:space="preserve"> measures and provided guidance on various aspects </w:t>
      </w:r>
      <w:r w:rsidRPr="00117EEC">
        <w:rPr>
          <w:snapToGrid w:val="0"/>
          <w:kern w:val="22"/>
          <w:lang w:val="en-GB" w:eastAsia="en-CA"/>
        </w:rPr>
        <w:t>relating to technical and scientific cooperation and technology transfer.</w:t>
      </w:r>
    </w:p>
    <w:p w14:paraId="67ABB396"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rPr>
      </w:pPr>
      <w:r w:rsidRPr="00117EEC">
        <w:rPr>
          <w:snapToGrid w:val="0"/>
          <w:kern w:val="22"/>
          <w:lang w:val="en-GB" w:eastAsia="en-CA"/>
        </w:rPr>
        <w:t>In decision 1</w:t>
      </w:r>
      <w:r w:rsidRPr="00117EEC">
        <w:rPr>
          <w:rFonts w:eastAsia="Malgun Gothic"/>
          <w:snapToGrid w:val="0"/>
          <w:kern w:val="22"/>
          <w:lang w:val="en-GB"/>
        </w:rPr>
        <w:t xml:space="preserve">4/24 B, the Conference of the Parties </w:t>
      </w:r>
      <w:r w:rsidRPr="00117EEC">
        <w:rPr>
          <w:snapToGrid w:val="0"/>
          <w:kern w:val="22"/>
          <w:lang w:val="en-GB"/>
        </w:rPr>
        <w:t>decided to consider establishing, at its fifteenth meeting, an informal advisory group on technical and scientific cooperation, to be operational at the end of the mandate of the current Informal Advisory Committee to the Clearing-house Mechanism in 2020, to provide the Executive Secretary with advice on practical measures, tools and opportunities to promote technical and scientific cooperation for the effective implementation of the Convention.</w:t>
      </w:r>
    </w:p>
    <w:p w14:paraId="41156BAA" w14:textId="77777777" w:rsidR="00D87A97" w:rsidRPr="00117EEC" w:rsidRDefault="00D87A97" w:rsidP="00D87A97">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eastAsia="en-CA"/>
        </w:rPr>
      </w:pPr>
      <w:bookmarkStart w:id="50" w:name="_Toc57214915"/>
      <w:r w:rsidRPr="00117EEC">
        <w:rPr>
          <w:b/>
          <w:snapToGrid w:val="0"/>
          <w:kern w:val="22"/>
          <w:szCs w:val="22"/>
          <w:lang w:eastAsia="en-CA"/>
        </w:rPr>
        <w:t>B.</w:t>
      </w:r>
      <w:r w:rsidRPr="00117EEC">
        <w:rPr>
          <w:b/>
          <w:snapToGrid w:val="0"/>
          <w:kern w:val="22"/>
          <w:szCs w:val="22"/>
          <w:lang w:eastAsia="en-CA"/>
        </w:rPr>
        <w:tab/>
        <w:t>Purpose</w:t>
      </w:r>
      <w:bookmarkEnd w:id="50"/>
    </w:p>
    <w:p w14:paraId="6DD0415B"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Informal Advisory Group on Technical and Scientific Cooperation will provide advice and guidance to the Executive Secretary of the Convention on Biological Diversity and other relevant bodies and stakeholders on ways and means to promote and facilitate technical and scientific cooperation, technology transfer, capacity building and development, knowledge management, and the clearing-house mechanism in support of the post-2020 global biodiversity framework</w:t>
      </w:r>
      <w:r>
        <w:rPr>
          <w:snapToGrid w:val="0"/>
          <w:kern w:val="22"/>
          <w:lang w:val="en-GB" w:eastAsia="en-CA"/>
        </w:rPr>
        <w:t>,</w:t>
      </w:r>
      <w:r w:rsidRPr="00117EEC">
        <w:rPr>
          <w:lang w:val="en-GB"/>
        </w:rPr>
        <w:t xml:space="preserve"> </w:t>
      </w:r>
      <w:r>
        <w:rPr>
          <w:lang w:val="en-GB" w:eastAsia="en-CA"/>
        </w:rPr>
        <w:t xml:space="preserve">in line with </w:t>
      </w:r>
      <w:r w:rsidRPr="00117EEC">
        <w:rPr>
          <w:lang w:val="en-GB" w:eastAsia="en-CA"/>
        </w:rPr>
        <w:t>the three objectives</w:t>
      </w:r>
      <w:r>
        <w:rPr>
          <w:lang w:val="en-GB" w:eastAsia="en-CA"/>
        </w:rPr>
        <w:t xml:space="preserve"> </w:t>
      </w:r>
      <w:r w:rsidRPr="00117EEC">
        <w:rPr>
          <w:lang w:val="en-GB" w:eastAsia="en-CA"/>
        </w:rPr>
        <w:t>of the Convention, [in a balanced manner]</w:t>
      </w:r>
      <w:r w:rsidRPr="00117EEC">
        <w:rPr>
          <w:snapToGrid w:val="0"/>
          <w:kern w:val="22"/>
          <w:lang w:val="en-GB" w:eastAsia="en-CA"/>
        </w:rPr>
        <w:t xml:space="preserve">. In particular, the Informal Advisory Group will provide advice, </w:t>
      </w:r>
      <w:proofErr w:type="gramStart"/>
      <w:r w:rsidRPr="00117EEC">
        <w:rPr>
          <w:snapToGrid w:val="0"/>
          <w:kern w:val="22"/>
          <w:lang w:val="en-GB" w:eastAsia="en-CA"/>
        </w:rPr>
        <w:t>guidance</w:t>
      </w:r>
      <w:proofErr w:type="gramEnd"/>
      <w:r w:rsidRPr="00117EEC">
        <w:rPr>
          <w:snapToGrid w:val="0"/>
          <w:kern w:val="22"/>
          <w:lang w:val="en-GB" w:eastAsia="en-CA"/>
        </w:rPr>
        <w:t xml:space="preserve"> and recommendations on:</w:t>
      </w:r>
    </w:p>
    <w:p w14:paraId="69682FC6"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snapToGrid/>
          <w:kern w:val="22"/>
          <w:szCs w:val="22"/>
        </w:rPr>
      </w:pPr>
      <w:bookmarkStart w:id="51" w:name="_Hlk15470906"/>
      <w:r w:rsidRPr="00117EEC">
        <w:rPr>
          <w:kern w:val="22"/>
          <w:szCs w:val="22"/>
        </w:rPr>
        <w:t xml:space="preserve">Practical measures and approaches to promote technical and scientific cooperation for the effective implementation of the </w:t>
      </w:r>
      <w:proofErr w:type="gramStart"/>
      <w:r w:rsidRPr="00117EEC">
        <w:rPr>
          <w:kern w:val="22"/>
          <w:szCs w:val="22"/>
        </w:rPr>
        <w:t>Convention;</w:t>
      </w:r>
      <w:proofErr w:type="gramEnd"/>
    </w:p>
    <w:p w14:paraId="5CFDB889"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snapToGrid/>
          <w:kern w:val="22"/>
        </w:rPr>
      </w:pPr>
      <w:r w:rsidRPr="00117EEC">
        <w:t xml:space="preserve">[Measures to address the technological, </w:t>
      </w:r>
      <w:proofErr w:type="gramStart"/>
      <w:r w:rsidRPr="00117EEC">
        <w:t>technical</w:t>
      </w:r>
      <w:proofErr w:type="gramEnd"/>
      <w:r w:rsidRPr="00117EEC">
        <w:t xml:space="preserve"> and institutional capability gaps of developing countries, in accordance with national priorities and circumstances;]</w:t>
      </w:r>
    </w:p>
    <w:p w14:paraId="0C9D5868"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t>Measures to enhance collaboration with other relevant international agreements, processes and organizations with respect to technical and scientific cooperation and technology transfer initiatives</w:t>
      </w:r>
      <w:r w:rsidRPr="00117EEC">
        <w:t>, [especially for developing country Parties</w:t>
      </w:r>
      <w:proofErr w:type="gramStart"/>
      <w:r w:rsidRPr="00117EEC">
        <w:t>]</w:t>
      </w:r>
      <w:r w:rsidRPr="00117EEC">
        <w:rPr>
          <w:kern w:val="22"/>
          <w:szCs w:val="22"/>
        </w:rPr>
        <w:t>;</w:t>
      </w:r>
      <w:proofErr w:type="gramEnd"/>
    </w:p>
    <w:p w14:paraId="0B555232"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t xml:space="preserve">Strategic approaches to addressing the needs and priorities of Parties through programmatic implementation of relevant technical and scientific cooperation initiatives established under the </w:t>
      </w:r>
      <w:proofErr w:type="gramStart"/>
      <w:r w:rsidRPr="00117EEC">
        <w:rPr>
          <w:kern w:val="22"/>
        </w:rPr>
        <w:t>Convention;</w:t>
      </w:r>
      <w:proofErr w:type="gramEnd"/>
    </w:p>
    <w:p w14:paraId="633EF56B"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lastRenderedPageBreak/>
        <w:t>Monitoring the implementation of the strategies on technical and scientific cooperation, capacity building and development</w:t>
      </w:r>
      <w:r w:rsidRPr="00117EEC">
        <w:t xml:space="preserve"> </w:t>
      </w:r>
      <w:r w:rsidRPr="00117EEC">
        <w:rPr>
          <w:kern w:val="22"/>
        </w:rPr>
        <w:t xml:space="preserve">and knowledge management in support of the post-2020 global biodiversity framework to ensure coherence and </w:t>
      </w:r>
      <w:proofErr w:type="gramStart"/>
      <w:r w:rsidRPr="00117EEC">
        <w:rPr>
          <w:kern w:val="22"/>
        </w:rPr>
        <w:t>consistency;</w:t>
      </w:r>
      <w:proofErr w:type="gramEnd"/>
    </w:p>
    <w:p w14:paraId="0159FEFD"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t>Development and implementation of tools and mechanisms for promoting and facilitating technical and scientific cooperation, [</w:t>
      </w:r>
      <w:r w:rsidRPr="00117EEC">
        <w:t xml:space="preserve">distribution of benefits from the access to genetic resources,] </w:t>
      </w:r>
      <w:r w:rsidRPr="00117EEC">
        <w:rPr>
          <w:kern w:val="22"/>
        </w:rPr>
        <w:t>capacity building and development and knowledge management, including science</w:t>
      </w:r>
      <w:r w:rsidRPr="00117EEC">
        <w:t>, [biotechnology] research</w:t>
      </w:r>
      <w:r w:rsidRPr="00117EEC">
        <w:rPr>
          <w:kern w:val="22"/>
        </w:rPr>
        <w:t xml:space="preserve"> and traditional knowledge, </w:t>
      </w:r>
      <w:r w:rsidRPr="00117EEC">
        <w:t>[</w:t>
      </w:r>
      <w:r w:rsidRPr="00117EEC">
        <w:rPr>
          <w:kern w:val="22"/>
        </w:rPr>
        <w:t>systems</w:t>
      </w:r>
      <w:r w:rsidRPr="00117EEC">
        <w:t>], [taking into account the specific needs of developing country Parties] [as well as indigenous peoples and local communities, women and youth</w:t>
      </w:r>
      <w:proofErr w:type="gramStart"/>
      <w:r w:rsidRPr="00117EEC">
        <w:t>]</w:t>
      </w:r>
      <w:r w:rsidRPr="00117EEC">
        <w:rPr>
          <w:kern w:val="22"/>
          <w:szCs w:val="22"/>
        </w:rPr>
        <w:t>;</w:t>
      </w:r>
      <w:proofErr w:type="gramEnd"/>
    </w:p>
    <w:p w14:paraId="7497DFB6"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t xml:space="preserve">Matters relating to the clearing-house mechanism and, in particular, on how to improve its effectiveness as a mechanism for promoting and facilitating technical and scientific cooperation and exchange of </w:t>
      </w:r>
      <w:proofErr w:type="gramStart"/>
      <w:r w:rsidRPr="00117EEC">
        <w:rPr>
          <w:kern w:val="22"/>
        </w:rPr>
        <w:t>information;</w:t>
      </w:r>
      <w:proofErr w:type="gramEnd"/>
    </w:p>
    <w:p w14:paraId="016E44FB"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t>Potential opportunities for mobilizing technical and financial resources to promote and sustain technical and scientific cooperation activities</w:t>
      </w:r>
      <w:r w:rsidRPr="00117EEC">
        <w:t xml:space="preserve"> on a long-term and predictable </w:t>
      </w:r>
      <w:proofErr w:type="gramStart"/>
      <w:r w:rsidRPr="00117EEC">
        <w:t>basis</w:t>
      </w:r>
      <w:r w:rsidRPr="00117EEC">
        <w:rPr>
          <w:kern w:val="22"/>
          <w:szCs w:val="22"/>
        </w:rPr>
        <w:t>;</w:t>
      </w:r>
      <w:bookmarkEnd w:id="51"/>
      <w:proofErr w:type="gramEnd"/>
    </w:p>
    <w:p w14:paraId="7E58F392" w14:textId="77777777" w:rsidR="00D87A97" w:rsidRPr="00117EEC" w:rsidRDefault="00D87A97" w:rsidP="000E369B">
      <w:pPr>
        <w:pStyle w:val="Para1"/>
        <w:numPr>
          <w:ilvl w:val="0"/>
          <w:numId w:val="23"/>
        </w:numPr>
        <w:suppressLineNumbers/>
        <w:tabs>
          <w:tab w:val="left" w:pos="720"/>
        </w:tabs>
        <w:suppressAutoHyphens/>
        <w:kinsoku w:val="0"/>
        <w:overflowPunct w:val="0"/>
        <w:autoSpaceDE w:val="0"/>
        <w:autoSpaceDN w:val="0"/>
        <w:adjustRightInd w:val="0"/>
        <w:snapToGrid w:val="0"/>
        <w:ind w:left="0" w:firstLine="720"/>
        <w:rPr>
          <w:kern w:val="22"/>
        </w:rPr>
      </w:pPr>
      <w:r w:rsidRPr="00117EEC">
        <w:rPr>
          <w:kern w:val="22"/>
        </w:rPr>
        <w:t>Identification, mapping</w:t>
      </w:r>
      <w:r w:rsidRPr="00117EEC">
        <w:t xml:space="preserve"> and promotion</w:t>
      </w:r>
      <w:r w:rsidRPr="00117EEC">
        <w:rPr>
          <w:kern w:val="22"/>
        </w:rPr>
        <w:t xml:space="preserve"> of existing collaboration activities</w:t>
      </w:r>
      <w:r w:rsidRPr="00117EEC">
        <w:t>, [including those related to the most recent technological developments</w:t>
      </w:r>
      <w:proofErr w:type="gramStart"/>
      <w:r w:rsidRPr="00117EEC">
        <w:t>]</w:t>
      </w:r>
      <w:r w:rsidRPr="00117EEC">
        <w:rPr>
          <w:kern w:val="22"/>
          <w:szCs w:val="22"/>
        </w:rPr>
        <w:t>;</w:t>
      </w:r>
      <w:proofErr w:type="gramEnd"/>
    </w:p>
    <w:p w14:paraId="3585368E"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Secretariat of the Convention on Biological Diversity will support the work of the Informal Advisory Group, including through the provision of necessary logistical and secretarial support for its work.</w:t>
      </w:r>
    </w:p>
    <w:p w14:paraId="528AB708" w14:textId="77777777" w:rsidR="00D87A97" w:rsidRPr="00117EEC" w:rsidRDefault="00D87A97" w:rsidP="00D87A97">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eastAsia="en-CA"/>
        </w:rPr>
      </w:pPr>
      <w:bookmarkStart w:id="52" w:name="_Toc57214916"/>
      <w:r w:rsidRPr="00117EEC">
        <w:rPr>
          <w:b/>
          <w:snapToGrid w:val="0"/>
          <w:kern w:val="22"/>
          <w:szCs w:val="22"/>
          <w:lang w:eastAsia="en-CA"/>
        </w:rPr>
        <w:t>C.</w:t>
      </w:r>
      <w:r w:rsidRPr="00117EEC">
        <w:rPr>
          <w:b/>
          <w:snapToGrid w:val="0"/>
          <w:kern w:val="22"/>
          <w:szCs w:val="22"/>
          <w:lang w:eastAsia="en-CA"/>
        </w:rPr>
        <w:tab/>
        <w:t>Membership</w:t>
      </w:r>
      <w:bookmarkEnd w:id="52"/>
    </w:p>
    <w:p w14:paraId="2E9C98C1"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The Informal Advisory Group will be composed of experts nominated by Parties, with due regard to equitable regional representation and gender balance, including experts [nominated </w:t>
      </w:r>
      <w:proofErr w:type="gramStart"/>
      <w:r w:rsidRPr="00117EEC">
        <w:rPr>
          <w:snapToGrid w:val="0"/>
          <w:kern w:val="22"/>
          <w:lang w:val="en-GB" w:eastAsia="en-CA"/>
        </w:rPr>
        <w:t>by][</w:t>
      </w:r>
      <w:proofErr w:type="gramEnd"/>
      <w:r w:rsidRPr="00117EEC">
        <w:rPr>
          <w:snapToGrid w:val="0"/>
          <w:kern w:val="22"/>
          <w:lang w:val="en-GB" w:eastAsia="en-CA"/>
        </w:rPr>
        <w:t>from] indigenous peoples and local communities</w:t>
      </w:r>
      <w:r w:rsidRPr="00117EEC">
        <w:rPr>
          <w:lang w:val="en-GB" w:eastAsia="en-CA"/>
        </w:rPr>
        <w:t>, [women and youth,] [small islands],</w:t>
      </w:r>
      <w:r w:rsidRPr="00117EEC">
        <w:rPr>
          <w:snapToGrid w:val="0"/>
          <w:kern w:val="22"/>
          <w:lang w:val="en-GB" w:eastAsia="en-CA"/>
        </w:rPr>
        <w:t xml:space="preserve"> and relevant organizations. The number of experts from organizations will not exceed the number of experts nominated by Parties. </w:t>
      </w:r>
      <w:r w:rsidRPr="00117EEC">
        <w:rPr>
          <w:lang w:val="en-GB" w:eastAsia="en-CA"/>
        </w:rPr>
        <w:t>The membership will reflect</w:t>
      </w:r>
      <w:r w:rsidRPr="00117EEC">
        <w:rPr>
          <w:color w:val="FF0000"/>
          <w:lang w:val="en-GB" w:eastAsia="en-CA"/>
        </w:rPr>
        <w:t xml:space="preserve"> </w:t>
      </w:r>
      <w:r w:rsidRPr="00117EEC">
        <w:rPr>
          <w:lang w:val="en-GB" w:eastAsia="en-CA"/>
        </w:rPr>
        <w:t xml:space="preserve">a balanced representation of experts on matters regarding the three objectives of the Convention. </w:t>
      </w:r>
      <w:r w:rsidRPr="00117EEC">
        <w:rPr>
          <w:snapToGrid w:val="0"/>
          <w:kern w:val="22"/>
          <w:lang w:val="en-GB" w:eastAsia="en-CA"/>
        </w:rPr>
        <w:t xml:space="preserve">Members will be selected </w:t>
      </w:r>
      <w:proofErr w:type="gramStart"/>
      <w:r w:rsidRPr="00117EEC">
        <w:rPr>
          <w:snapToGrid w:val="0"/>
          <w:kern w:val="22"/>
          <w:lang w:val="en-GB" w:eastAsia="en-CA"/>
        </w:rPr>
        <w:t>on the basis of</w:t>
      </w:r>
      <w:proofErr w:type="gramEnd"/>
      <w:r w:rsidRPr="00117EEC">
        <w:rPr>
          <w:snapToGrid w:val="0"/>
          <w:kern w:val="22"/>
          <w:lang w:val="en-GB" w:eastAsia="en-CA"/>
        </w:rPr>
        <w:t xml:space="preserve"> the following criteria, as evidenced in their curriculum vitae:</w:t>
      </w:r>
    </w:p>
    <w:p w14:paraId="489CFEB4" w14:textId="77777777" w:rsidR="00D87A97" w:rsidRPr="00117EEC" w:rsidRDefault="00D87A97" w:rsidP="000E369B">
      <w:pPr>
        <w:pStyle w:val="Para1"/>
        <w:numPr>
          <w:ilvl w:val="1"/>
          <w:numId w:val="18"/>
        </w:numPr>
        <w:suppressLineNumbers/>
        <w:tabs>
          <w:tab w:val="clear" w:pos="1080"/>
          <w:tab w:val="left" w:pos="720"/>
        </w:tabs>
        <w:suppressAutoHyphens/>
        <w:kinsoku w:val="0"/>
        <w:overflowPunct w:val="0"/>
        <w:autoSpaceDE w:val="0"/>
        <w:autoSpaceDN w:val="0"/>
        <w:adjustRightInd w:val="0"/>
        <w:snapToGrid w:val="0"/>
        <w:ind w:left="0" w:firstLine="720"/>
        <w:rPr>
          <w:snapToGrid/>
          <w:kern w:val="22"/>
          <w:szCs w:val="22"/>
        </w:rPr>
      </w:pPr>
      <w:r w:rsidRPr="00117EEC">
        <w:rPr>
          <w:kern w:val="22"/>
          <w:szCs w:val="22"/>
          <w:lang w:eastAsia="en-CA"/>
        </w:rPr>
        <w:t xml:space="preserve">At </w:t>
      </w:r>
      <w:r w:rsidRPr="00117EEC">
        <w:rPr>
          <w:kern w:val="22"/>
          <w:szCs w:val="22"/>
        </w:rPr>
        <w:t xml:space="preserve">least five years of working experience on technical and scientific issues related to the implementation of the Convention on Biological Diversity and/or other relevant international agreements and </w:t>
      </w:r>
      <w:proofErr w:type="gramStart"/>
      <w:r w:rsidRPr="00117EEC">
        <w:rPr>
          <w:kern w:val="22"/>
          <w:szCs w:val="22"/>
        </w:rPr>
        <w:t>processes;</w:t>
      </w:r>
      <w:proofErr w:type="gramEnd"/>
    </w:p>
    <w:p w14:paraId="49E40A05" w14:textId="77777777" w:rsidR="00D87A97" w:rsidRPr="00117EEC" w:rsidRDefault="00D87A97" w:rsidP="000E369B">
      <w:pPr>
        <w:pStyle w:val="Para1"/>
        <w:numPr>
          <w:ilvl w:val="1"/>
          <w:numId w:val="18"/>
        </w:numPr>
        <w:suppressLineNumbers/>
        <w:tabs>
          <w:tab w:val="clear" w:pos="1080"/>
          <w:tab w:val="left" w:pos="720"/>
        </w:tabs>
        <w:suppressAutoHyphens/>
        <w:kinsoku w:val="0"/>
        <w:overflowPunct w:val="0"/>
        <w:autoSpaceDE w:val="0"/>
        <w:autoSpaceDN w:val="0"/>
        <w:adjustRightInd w:val="0"/>
        <w:snapToGrid w:val="0"/>
        <w:ind w:left="0" w:firstLine="720"/>
        <w:rPr>
          <w:kern w:val="22"/>
          <w:szCs w:val="22"/>
        </w:rPr>
      </w:pPr>
      <w:r w:rsidRPr="00117EEC">
        <w:rPr>
          <w:kern w:val="22"/>
          <w:szCs w:val="22"/>
        </w:rPr>
        <w:t xml:space="preserve">Expertise relevant to technical and scientific cooperation, capacity building and development, and knowledge management and the clearing-house mechanism or similar online information-sharing </w:t>
      </w:r>
      <w:proofErr w:type="gramStart"/>
      <w:r w:rsidRPr="00117EEC">
        <w:rPr>
          <w:kern w:val="22"/>
          <w:szCs w:val="22"/>
        </w:rPr>
        <w:t>platforms;</w:t>
      </w:r>
      <w:proofErr w:type="gramEnd"/>
    </w:p>
    <w:p w14:paraId="4C61385C" w14:textId="77777777" w:rsidR="00D87A97" w:rsidRPr="00117EEC" w:rsidRDefault="00D87A97" w:rsidP="000E369B">
      <w:pPr>
        <w:pStyle w:val="Para1"/>
        <w:numPr>
          <w:ilvl w:val="1"/>
          <w:numId w:val="18"/>
        </w:numPr>
        <w:suppressLineNumbers/>
        <w:tabs>
          <w:tab w:val="clear" w:pos="1080"/>
          <w:tab w:val="left" w:pos="720"/>
        </w:tabs>
        <w:suppressAutoHyphens/>
        <w:kinsoku w:val="0"/>
        <w:overflowPunct w:val="0"/>
        <w:autoSpaceDE w:val="0"/>
        <w:autoSpaceDN w:val="0"/>
        <w:adjustRightInd w:val="0"/>
        <w:snapToGrid w:val="0"/>
        <w:ind w:left="0" w:firstLine="720"/>
        <w:rPr>
          <w:kern w:val="22"/>
          <w:szCs w:val="22"/>
        </w:rPr>
      </w:pPr>
      <w:r w:rsidRPr="00117EEC">
        <w:rPr>
          <w:kern w:val="22"/>
          <w:szCs w:val="22"/>
        </w:rPr>
        <w:t>Demonstrated</w:t>
      </w:r>
      <w:r w:rsidRPr="00117EEC">
        <w:rPr>
          <w:kern w:val="22"/>
          <w:szCs w:val="22"/>
          <w:lang w:eastAsia="en-CA"/>
        </w:rPr>
        <w:t xml:space="preserve"> experience with regional or international cooperation processes and programmes related to biodiversity</w:t>
      </w:r>
      <w:r w:rsidRPr="00117EEC">
        <w:rPr>
          <w:kern w:val="22"/>
          <w:szCs w:val="22"/>
        </w:rPr>
        <w:t xml:space="preserve"> </w:t>
      </w:r>
      <w:r w:rsidRPr="00117EEC">
        <w:rPr>
          <w:kern w:val="22"/>
          <w:szCs w:val="22"/>
          <w:lang w:eastAsia="en-CA"/>
        </w:rPr>
        <w:t>and/or the environment.</w:t>
      </w:r>
    </w:p>
    <w:p w14:paraId="48BBF365"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co-chairs of the Consortium of Scientific Partners on Biodiversity will be invited as ex</w:t>
      </w:r>
      <w:r>
        <w:rPr>
          <w:snapToGrid w:val="0"/>
          <w:kern w:val="22"/>
          <w:lang w:val="en-GB" w:eastAsia="en-CA"/>
        </w:rPr>
        <w:t> </w:t>
      </w:r>
      <w:r w:rsidRPr="00117EEC">
        <w:rPr>
          <w:snapToGrid w:val="0"/>
          <w:kern w:val="22"/>
          <w:lang w:val="en-GB" w:eastAsia="en-CA"/>
        </w:rPr>
        <w:t>officio members.</w:t>
      </w:r>
    </w:p>
    <w:p w14:paraId="6D753897"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Members of the Informal Advisory Group will be selected through a formal nomination process based on the above criteria. The Executive Secretary, in consultation with the co-chairs of the Informal Advisory Group, may invite additional experts knowledgeable in specific issues or thematic areas to be discussed at relevant meetings of the Informal Advisory Group, ensuring a balance of experts on matters related to the Convention. The members will serve in their personal capacity and not as representatives of a government, </w:t>
      </w:r>
      <w:proofErr w:type="gramStart"/>
      <w:r w:rsidRPr="00117EEC">
        <w:rPr>
          <w:snapToGrid w:val="0"/>
          <w:kern w:val="22"/>
          <w:lang w:val="en-GB" w:eastAsia="en-CA"/>
        </w:rPr>
        <w:t>organization</w:t>
      </w:r>
      <w:proofErr w:type="gramEnd"/>
      <w:r w:rsidRPr="00117EEC">
        <w:rPr>
          <w:snapToGrid w:val="0"/>
          <w:kern w:val="22"/>
          <w:lang w:val="en-GB" w:eastAsia="en-CA"/>
        </w:rPr>
        <w:t xml:space="preserve"> or other entity.</w:t>
      </w:r>
    </w:p>
    <w:p w14:paraId="4508DCF6"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Members of the Informal Advisory Group will serve for a term of </w:t>
      </w:r>
      <w:r w:rsidRPr="00117EEC">
        <w:rPr>
          <w:lang w:val="en-GB" w:eastAsia="en-CA"/>
        </w:rPr>
        <w:t>[</w:t>
      </w:r>
      <w:r w:rsidRPr="00117EEC">
        <w:rPr>
          <w:snapToGrid w:val="0"/>
          <w:kern w:val="22"/>
          <w:lang w:val="en-GB" w:eastAsia="en-CA"/>
        </w:rPr>
        <w:t>two]</w:t>
      </w:r>
      <w:r w:rsidRPr="00117EEC">
        <w:rPr>
          <w:lang w:val="en-GB" w:eastAsia="en-CA"/>
        </w:rPr>
        <w:t>[three]</w:t>
      </w:r>
      <w:r w:rsidRPr="00117EEC">
        <w:rPr>
          <w:snapToGrid w:val="0"/>
          <w:kern w:val="22"/>
          <w:lang w:val="en-GB" w:eastAsia="en-CA"/>
        </w:rPr>
        <w:t xml:space="preserve"> years, with a possibility of renewal for one additional [two]</w:t>
      </w:r>
      <w:r w:rsidRPr="00117EEC">
        <w:rPr>
          <w:lang w:val="en-GB" w:eastAsia="en-CA"/>
        </w:rPr>
        <w:t>[three]-</w:t>
      </w:r>
      <w:r w:rsidRPr="00117EEC">
        <w:rPr>
          <w:snapToGrid w:val="0"/>
          <w:kern w:val="22"/>
          <w:lang w:val="en-GB" w:eastAsia="en-CA"/>
        </w:rPr>
        <w:t>year term.</w:t>
      </w:r>
    </w:p>
    <w:p w14:paraId="0011969F" w14:textId="77777777" w:rsidR="00D87A97" w:rsidRPr="00117EEC" w:rsidRDefault="00D87A97" w:rsidP="00D87A97">
      <w:pPr>
        <w:keepNext/>
        <w:suppressLineNumbers/>
        <w:tabs>
          <w:tab w:val="left" w:pos="426"/>
        </w:tabs>
        <w:suppressAutoHyphens/>
        <w:kinsoku w:val="0"/>
        <w:overflowPunct w:val="0"/>
        <w:autoSpaceDE w:val="0"/>
        <w:autoSpaceDN w:val="0"/>
        <w:adjustRightInd w:val="0"/>
        <w:snapToGrid w:val="0"/>
        <w:spacing w:before="120" w:after="120"/>
        <w:jc w:val="center"/>
        <w:outlineLvl w:val="1"/>
        <w:rPr>
          <w:b/>
          <w:snapToGrid w:val="0"/>
          <w:kern w:val="22"/>
          <w:szCs w:val="22"/>
          <w:lang w:eastAsia="en-CA"/>
        </w:rPr>
      </w:pPr>
      <w:bookmarkStart w:id="53" w:name="_Toc57214917"/>
      <w:r w:rsidRPr="00117EEC">
        <w:rPr>
          <w:b/>
          <w:snapToGrid w:val="0"/>
          <w:kern w:val="22"/>
          <w:szCs w:val="22"/>
          <w:lang w:eastAsia="en-CA"/>
        </w:rPr>
        <w:lastRenderedPageBreak/>
        <w:t>D.</w:t>
      </w:r>
      <w:r w:rsidRPr="00117EEC">
        <w:rPr>
          <w:b/>
          <w:snapToGrid w:val="0"/>
          <w:kern w:val="22"/>
          <w:szCs w:val="22"/>
          <w:lang w:eastAsia="en-CA"/>
        </w:rPr>
        <w:tab/>
        <w:t>Modus operandi</w:t>
      </w:r>
      <w:bookmarkEnd w:id="53"/>
    </w:p>
    <w:p w14:paraId="3DCC0FA7"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Informal Advisory Group will meet [face-to-face] at least once per year, subject to the availability of resources, wherever possible in the margins of other meetings. The frequency of meetings may be adjusted by the members as the need arises. [Between the face-to-face sessions,] the Advisory Group may work remotely via electronic means, as appropriate.</w:t>
      </w:r>
    </w:p>
    <w:p w14:paraId="588154DB"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The Informal Advisory Group may, as appropriate, establish subcommittees to support it in addressing specific issues or thematic areas and co-opt relevant experts to assist.</w:t>
      </w:r>
    </w:p>
    <w:p w14:paraId="74A13F34" w14:textId="77777777" w:rsidR="00D87A97" w:rsidRPr="00760D30" w:rsidRDefault="00D87A97" w:rsidP="00D87A97">
      <w:pPr>
        <w:pStyle w:val="CBD-Para"/>
        <w:suppressLineNumbers/>
        <w:tabs>
          <w:tab w:val="left" w:pos="720"/>
        </w:tabs>
        <w:suppressAutoHyphens/>
        <w:kinsoku w:val="0"/>
        <w:overflowPunct w:val="0"/>
        <w:autoSpaceDE w:val="0"/>
        <w:autoSpaceDN w:val="0"/>
        <w:adjustRightInd w:val="0"/>
        <w:snapToGrid w:val="0"/>
        <w:rPr>
          <w:kern w:val="22"/>
          <w:lang w:val="en-GB"/>
        </w:rPr>
      </w:pPr>
      <w:r w:rsidRPr="00760D30">
        <w:rPr>
          <w:kern w:val="22"/>
          <w:lang w:val="en-GB"/>
        </w:rPr>
        <w:t xml:space="preserve">[The </w:t>
      </w:r>
      <w:r w:rsidRPr="00117EEC">
        <w:rPr>
          <w:snapToGrid w:val="0"/>
          <w:kern w:val="22"/>
          <w:lang w:val="en-GB" w:eastAsia="en-CA"/>
        </w:rPr>
        <w:t>Informal</w:t>
      </w:r>
      <w:r w:rsidRPr="00760D30">
        <w:rPr>
          <w:kern w:val="22"/>
          <w:lang w:val="en-GB"/>
        </w:rPr>
        <w:t xml:space="preserve"> Advisory Group will support the Ad Hoc Technical Expert Group on Indicators for the post-2020 global biodiversity framework [in their work in identifying indicators for capacity building and </w:t>
      </w:r>
      <w:proofErr w:type="gramStart"/>
      <w:r w:rsidRPr="00760D30">
        <w:rPr>
          <w:kern w:val="22"/>
          <w:lang w:val="en-GB"/>
        </w:rPr>
        <w:t>development][</w:t>
      </w:r>
      <w:proofErr w:type="gramEnd"/>
      <w:r w:rsidRPr="00760D30">
        <w:rPr>
          <w:kern w:val="22"/>
          <w:lang w:val="en-GB"/>
        </w:rPr>
        <w:t>on the identification of existing capacity, gaps and needs in terms of capacity building and development, technology transfer and financing needs related to the monitoring of the global biodiversity framework.]</w:t>
      </w:r>
    </w:p>
    <w:p w14:paraId="6902B270"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eastAsia="en-CA"/>
        </w:rPr>
      </w:pPr>
      <w:r w:rsidRPr="00117EEC">
        <w:rPr>
          <w:snapToGrid w:val="0"/>
          <w:kern w:val="22"/>
          <w:lang w:val="en-GB" w:eastAsia="en-CA"/>
        </w:rPr>
        <w:t xml:space="preserve">The </w:t>
      </w:r>
      <w:r w:rsidRPr="000342DB">
        <w:rPr>
          <w:snapToGrid w:val="0"/>
          <w:kern w:val="22"/>
          <w:lang w:val="en-GB" w:eastAsia="en-CA"/>
        </w:rPr>
        <w:t>Informal</w:t>
      </w:r>
      <w:r w:rsidRPr="00273667">
        <w:rPr>
          <w:snapToGrid w:val="0"/>
          <w:kern w:val="22"/>
          <w:lang w:val="en-GB" w:eastAsia="en-CA"/>
        </w:rPr>
        <w:t xml:space="preserve"> Advisory Group members shall n</w:t>
      </w:r>
      <w:r w:rsidRPr="0040178C">
        <w:rPr>
          <w:snapToGrid w:val="0"/>
          <w:kern w:val="22"/>
          <w:lang w:val="en-GB" w:eastAsia="en-CA"/>
        </w:rPr>
        <w:t xml:space="preserve">ot receive any honorarium, </w:t>
      </w:r>
      <w:proofErr w:type="gramStart"/>
      <w:r w:rsidRPr="0040178C">
        <w:rPr>
          <w:snapToGrid w:val="0"/>
          <w:kern w:val="22"/>
          <w:lang w:val="en-GB" w:eastAsia="en-CA"/>
        </w:rPr>
        <w:t>fee</w:t>
      </w:r>
      <w:proofErr w:type="gramEnd"/>
      <w:r w:rsidRPr="0040178C">
        <w:rPr>
          <w:snapToGrid w:val="0"/>
          <w:kern w:val="22"/>
          <w:lang w:val="en-GB" w:eastAsia="en-CA"/>
        </w:rPr>
        <w:t xml:space="preserve"> or other remuneration from the United Nations. However, costs for the participation of Advisory Group members nominated by developing country Parties and Parties with economies in transition will be covered, in line with the </w:t>
      </w:r>
      <w:r w:rsidRPr="00064579">
        <w:rPr>
          <w:snapToGrid w:val="0"/>
          <w:kern w:val="22"/>
          <w:lang w:val="en-GB" w:eastAsia="en-CA"/>
        </w:rPr>
        <w:t>rules and regulations of the United Nations.</w:t>
      </w:r>
    </w:p>
    <w:p w14:paraId="278458F7" w14:textId="77777777" w:rsidR="00D87A97" w:rsidRPr="00117EEC"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spacing w:val="-2"/>
          <w:kern w:val="22"/>
          <w:lang w:val="en-GB" w:eastAsia="en-CA"/>
        </w:rPr>
      </w:pPr>
      <w:r w:rsidRPr="00117EEC">
        <w:rPr>
          <w:snapToGrid w:val="0"/>
          <w:spacing w:val="-2"/>
          <w:kern w:val="22"/>
          <w:lang w:val="en-GB" w:eastAsia="en-CA"/>
        </w:rPr>
        <w:t>The Informal Advisory Group will elect two co-chairs and a rapporteur to serve for a [two][three]-year period.</w:t>
      </w:r>
    </w:p>
    <w:p w14:paraId="1B55D340" w14:textId="77777777" w:rsidR="00D87A97" w:rsidRDefault="00D87A97" w:rsidP="000E369B">
      <w:pPr>
        <w:pStyle w:val="CBD-Para"/>
        <w:keepLines w:val="0"/>
        <w:numPr>
          <w:ilvl w:val="0"/>
          <w:numId w:val="17"/>
        </w:numPr>
        <w:suppressLineNumbers/>
        <w:tabs>
          <w:tab w:val="left" w:pos="720"/>
        </w:tabs>
        <w:suppressAutoHyphens/>
        <w:kinsoku w:val="0"/>
        <w:overflowPunct w:val="0"/>
        <w:autoSpaceDE w:val="0"/>
        <w:autoSpaceDN w:val="0"/>
        <w:adjustRightInd w:val="0"/>
        <w:snapToGrid w:val="0"/>
        <w:rPr>
          <w:snapToGrid w:val="0"/>
          <w:kern w:val="22"/>
          <w:lang w:val="en-GB"/>
        </w:rPr>
      </w:pPr>
      <w:r w:rsidRPr="00117EEC">
        <w:rPr>
          <w:snapToGrid w:val="0"/>
          <w:kern w:val="22"/>
          <w:lang w:val="en-GB" w:eastAsia="en-CA"/>
        </w:rPr>
        <w:t>The working language of the Informal Advisory Group will be English.</w:t>
      </w:r>
    </w:p>
    <w:p w14:paraId="4695F7B8" w14:textId="77777777" w:rsidR="00D87A97" w:rsidRDefault="00D87A97" w:rsidP="00D87A97">
      <w:pPr>
        <w:pStyle w:val="CBD-Para"/>
        <w:keepLines w:val="0"/>
        <w:numPr>
          <w:ilvl w:val="0"/>
          <w:numId w:val="0"/>
        </w:numPr>
        <w:suppressLineNumbers/>
        <w:suppressAutoHyphens/>
        <w:kinsoku w:val="0"/>
        <w:overflowPunct w:val="0"/>
        <w:autoSpaceDE w:val="0"/>
        <w:autoSpaceDN w:val="0"/>
        <w:adjustRightInd w:val="0"/>
        <w:snapToGrid w:val="0"/>
        <w:rPr>
          <w:snapToGrid w:val="0"/>
          <w:kern w:val="22"/>
          <w:lang w:val="en-GB" w:eastAsia="en-CA"/>
        </w:rPr>
      </w:pPr>
      <w:r>
        <w:rPr>
          <w:snapToGrid w:val="0"/>
          <w:kern w:val="22"/>
          <w:lang w:val="en-GB" w:eastAsia="en-CA"/>
        </w:rPr>
        <w:br w:type="column"/>
      </w:r>
    </w:p>
    <w:p w14:paraId="024D33E6" w14:textId="77777777" w:rsidR="00D87A97" w:rsidRPr="00760D30" w:rsidRDefault="00D87A97" w:rsidP="00D87A97">
      <w:pPr>
        <w:jc w:val="center"/>
        <w:outlineLvl w:val="0"/>
        <w:rPr>
          <w:i/>
          <w:snapToGrid w:val="0"/>
          <w:kern w:val="22"/>
          <w:szCs w:val="22"/>
        </w:rPr>
      </w:pPr>
      <w:r w:rsidRPr="00760D30">
        <w:rPr>
          <w:i/>
          <w:snapToGrid w:val="0"/>
          <w:kern w:val="22"/>
          <w:szCs w:val="22"/>
        </w:rPr>
        <w:t xml:space="preserve">Annex </w:t>
      </w:r>
      <w:r>
        <w:rPr>
          <w:i/>
          <w:snapToGrid w:val="0"/>
          <w:kern w:val="22"/>
          <w:szCs w:val="22"/>
        </w:rPr>
        <w:t>IV</w:t>
      </w:r>
    </w:p>
    <w:p w14:paraId="66CCC12A" w14:textId="77777777" w:rsidR="00D87A97" w:rsidRPr="00760D30" w:rsidRDefault="00D87A97" w:rsidP="00D87A97">
      <w:pPr>
        <w:jc w:val="center"/>
        <w:rPr>
          <w:iCs/>
          <w:snapToGrid w:val="0"/>
          <w:kern w:val="22"/>
          <w:szCs w:val="22"/>
        </w:rPr>
      </w:pPr>
    </w:p>
    <w:p w14:paraId="581B5475" w14:textId="77777777" w:rsidR="00D87A97" w:rsidRPr="00402CB3" w:rsidRDefault="00D87A97" w:rsidP="00D87A97">
      <w:pPr>
        <w:pStyle w:val="NormalWeb"/>
        <w:keepNext/>
        <w:suppressLineNumbers/>
        <w:suppressAutoHyphens/>
        <w:kinsoku w:val="0"/>
        <w:overflowPunct w:val="0"/>
        <w:adjustRightInd w:val="0"/>
        <w:snapToGrid w:val="0"/>
        <w:spacing w:before="120" w:after="120"/>
        <w:jc w:val="center"/>
        <w:outlineLvl w:val="0"/>
        <w:rPr>
          <w:b/>
          <w:caps/>
          <w:snapToGrid w:val="0"/>
          <w:kern w:val="22"/>
          <w:sz w:val="22"/>
          <w:lang w:val="en-GB"/>
        </w:rPr>
      </w:pPr>
      <w:r w:rsidRPr="00180FAA">
        <w:rPr>
          <w:b/>
          <w:caps/>
          <w:snapToGrid w:val="0"/>
          <w:kern w:val="22"/>
          <w:sz w:val="22"/>
          <w:lang w:val="en-GB"/>
        </w:rPr>
        <w:t>inclusive</w:t>
      </w:r>
      <w:r w:rsidRPr="00402CB3">
        <w:rPr>
          <w:b/>
          <w:caps/>
          <w:snapToGrid w:val="0"/>
          <w:kern w:val="22"/>
          <w:sz w:val="22"/>
          <w:lang w:val="en-GB"/>
        </w:rPr>
        <w:t xml:space="preserve"> process to review and renew technical and scientific cooperation programmes</w:t>
      </w:r>
    </w:p>
    <w:p w14:paraId="2B83E213" w14:textId="77777777" w:rsidR="00D87A97" w:rsidRPr="00117EEC" w:rsidRDefault="00D87A97" w:rsidP="000E369B">
      <w:pPr>
        <w:pStyle w:val="CBD-Para"/>
        <w:keepLines w:val="0"/>
        <w:numPr>
          <w:ilvl w:val="0"/>
          <w:numId w:val="16"/>
        </w:numPr>
        <w:suppressLineNumbers/>
        <w:tabs>
          <w:tab w:val="left" w:pos="720"/>
        </w:tabs>
        <w:suppressAutoHyphens/>
        <w:kinsoku w:val="0"/>
        <w:overflowPunct w:val="0"/>
        <w:autoSpaceDE w:val="0"/>
        <w:autoSpaceDN w:val="0"/>
        <w:adjustRightInd w:val="0"/>
        <w:snapToGrid w:val="0"/>
        <w:spacing w:before="0"/>
        <w:ind w:left="0" w:firstLine="0"/>
        <w:rPr>
          <w:snapToGrid w:val="0"/>
          <w:kern w:val="22"/>
          <w:lang w:val="en-GB"/>
        </w:rPr>
      </w:pPr>
      <w:r w:rsidRPr="00760D30">
        <w:rPr>
          <w:snapToGrid w:val="0"/>
          <w:kern w:val="22"/>
          <w:lang w:val="en-GB"/>
        </w:rPr>
        <w:t xml:space="preserve">In decision </w:t>
      </w:r>
      <w:hyperlink r:id="rId17" w:history="1">
        <w:r w:rsidRPr="00760D30">
          <w:rPr>
            <w:rStyle w:val="Hyperlink"/>
            <w:snapToGrid w:val="0"/>
            <w:kern w:val="22"/>
            <w:sz w:val="22"/>
            <w:lang w:val="en-GB"/>
          </w:rPr>
          <w:t>14/24 B</w:t>
        </w:r>
      </w:hyperlink>
      <w:r w:rsidRPr="00760D30">
        <w:rPr>
          <w:snapToGrid w:val="0"/>
          <w:kern w:val="22"/>
          <w:lang w:val="en-GB"/>
        </w:rPr>
        <w:t>, paragraph 9, the Conference of the Parties requested the Executive Secretary to prepare proposals for an inclusive process to review and renew technical and scientific cooperation programmes in order to support the post-2020 global biodiversity framework, and to submit these proposals for consideration by the Subsidiary Body on Scientific, Technical and Technological Advice and the Subsidiary Body on Implementation at their meetings prior to the fifteenth meeting of the Conference of the Parties. In response, the Executive Secretary developed the present proposal</w:t>
      </w:r>
      <w:r w:rsidRPr="007A2DF3">
        <w:rPr>
          <w:snapToGrid w:val="0"/>
          <w:kern w:val="22"/>
          <w:lang w:val="en-GB"/>
        </w:rPr>
        <w:t>;</w:t>
      </w:r>
      <w:r w:rsidRPr="00760D30">
        <w:rPr>
          <w:snapToGrid w:val="0"/>
          <w:kern w:val="22"/>
          <w:lang w:val="en-GB"/>
        </w:rPr>
        <w:t xml:space="preserve"> further details are provided in CBD/SBI/3/INF/15.</w:t>
      </w:r>
    </w:p>
    <w:p w14:paraId="7D84B702" w14:textId="77777777" w:rsidR="00D87A97" w:rsidRPr="00402CB3" w:rsidRDefault="00D87A97" w:rsidP="000E369B">
      <w:pPr>
        <w:pStyle w:val="CBD-Para"/>
        <w:keepLines w:val="0"/>
        <w:numPr>
          <w:ilvl w:val="0"/>
          <w:numId w:val="16"/>
        </w:numPr>
        <w:suppressLineNumbers/>
        <w:tabs>
          <w:tab w:val="left" w:pos="720"/>
        </w:tabs>
        <w:suppressAutoHyphens/>
        <w:kinsoku w:val="0"/>
        <w:overflowPunct w:val="0"/>
        <w:autoSpaceDE w:val="0"/>
        <w:autoSpaceDN w:val="0"/>
        <w:adjustRightInd w:val="0"/>
        <w:snapToGrid w:val="0"/>
        <w:spacing w:before="0"/>
        <w:ind w:left="0" w:firstLine="0"/>
        <w:rPr>
          <w:snapToGrid w:val="0"/>
        </w:rPr>
      </w:pPr>
      <w:r w:rsidRPr="00760D30">
        <w:rPr>
          <w:snapToGrid w:val="0"/>
          <w:kern w:val="22"/>
          <w:lang w:val="en-GB"/>
        </w:rPr>
        <w:t xml:space="preserve">The review will </w:t>
      </w:r>
      <w:r w:rsidRPr="00760D30">
        <w:rPr>
          <w:iCs/>
          <w:snapToGrid w:val="0"/>
          <w:kern w:val="22"/>
          <w:lang w:val="en-GB"/>
        </w:rPr>
        <w:t xml:space="preserve">be </w:t>
      </w:r>
      <w:r w:rsidRPr="00760D30">
        <w:rPr>
          <w:snapToGrid w:val="0"/>
          <w:kern w:val="22"/>
          <w:lang w:val="en-GB"/>
        </w:rPr>
        <w:t xml:space="preserve">conducted by </w:t>
      </w:r>
      <w:r w:rsidRPr="00760D30">
        <w:rPr>
          <w:snapToGrid w:val="0"/>
          <w:lang w:val="en-GB"/>
        </w:rPr>
        <w:t>a small independent team of experts</w:t>
      </w:r>
      <w:r>
        <w:rPr>
          <w:snapToGrid w:val="0"/>
          <w:lang w:val="en-GB"/>
        </w:rPr>
        <w:t>,</w:t>
      </w:r>
      <w:r w:rsidRPr="00760D30">
        <w:rPr>
          <w:snapToGrid w:val="0"/>
          <w:lang w:val="en-GB"/>
        </w:rPr>
        <w:t xml:space="preserve"> </w:t>
      </w:r>
      <w:r>
        <w:rPr>
          <w:snapToGrid w:val="0"/>
          <w:lang w:val="en-GB"/>
        </w:rPr>
        <w:t xml:space="preserve">with the support </w:t>
      </w:r>
      <w:r w:rsidRPr="00760D30">
        <w:rPr>
          <w:snapToGrid w:val="0"/>
          <w:lang w:val="en-GB"/>
        </w:rPr>
        <w:t>of the Secretariat</w:t>
      </w:r>
      <w:r>
        <w:rPr>
          <w:snapToGrid w:val="0"/>
          <w:lang w:val="en-GB"/>
        </w:rPr>
        <w:t>,</w:t>
      </w:r>
      <w:r w:rsidRPr="00760D30">
        <w:rPr>
          <w:snapToGrid w:val="0"/>
          <w:lang w:val="en-GB"/>
        </w:rPr>
        <w:t xml:space="preserve"> and would provide a comprehensive and inclusive review of relevant technical and scientific cooperation initiatives and programmes and present recommendations for the renewal process for the consideration of Parties. The review process would include a desk review as well as interviews and surveys.</w:t>
      </w:r>
      <w:r w:rsidRPr="00760D30">
        <w:rPr>
          <w:lang w:val="en-GB"/>
        </w:rPr>
        <w:t xml:space="preserve"> </w:t>
      </w:r>
      <w:r w:rsidRPr="00760D30">
        <w:rPr>
          <w:snapToGrid w:val="0"/>
          <w:lang w:val="en-GB"/>
        </w:rPr>
        <w:t xml:space="preserve">The review will </w:t>
      </w:r>
      <w:proofErr w:type="gramStart"/>
      <w:r w:rsidRPr="00760D30">
        <w:rPr>
          <w:snapToGrid w:val="0"/>
          <w:lang w:val="en-GB"/>
        </w:rPr>
        <w:t>take into account</w:t>
      </w:r>
      <w:proofErr w:type="gramEnd"/>
      <w:r w:rsidRPr="00760D30">
        <w:rPr>
          <w:snapToGrid w:val="0"/>
          <w:lang w:val="en-GB"/>
        </w:rPr>
        <w:t xml:space="preserve"> information from Parties, indigenous peoples and local communities, women and youth, non-Parties and other stakeholders on existing programmes and initiatives. They will be asked to provide information on these programmes and initiatives through the capacity building and technical and scientific cooperation sections of the clearing-house mechanism, the Access and Benefit-sharing </w:t>
      </w:r>
      <w:proofErr w:type="gramStart"/>
      <w:r w:rsidRPr="00760D30">
        <w:rPr>
          <w:snapToGrid w:val="0"/>
          <w:lang w:val="en-GB"/>
        </w:rPr>
        <w:t>Clearing-House</w:t>
      </w:r>
      <w:proofErr w:type="gramEnd"/>
      <w:r w:rsidRPr="00760D30">
        <w:rPr>
          <w:snapToGrid w:val="0"/>
          <w:lang w:val="en-GB"/>
        </w:rPr>
        <w:t xml:space="preserve"> and the Biosafety Clearing-House. Engaging an expert review team would allow for a detailed, focused and relatively quick and unbiased assessment.</w:t>
      </w:r>
    </w:p>
    <w:p w14:paraId="676DCC33" w14:textId="77777777" w:rsidR="00D87A97" w:rsidRPr="00064579" w:rsidRDefault="00D87A97" w:rsidP="00D87A97">
      <w:pPr>
        <w:suppressLineNumbers/>
        <w:suppressAutoHyphens/>
        <w:kinsoku w:val="0"/>
        <w:overflowPunct w:val="0"/>
        <w:autoSpaceDE w:val="0"/>
        <w:autoSpaceDN w:val="0"/>
        <w:adjustRightInd w:val="0"/>
        <w:snapToGrid w:val="0"/>
        <w:spacing w:after="120"/>
        <w:rPr>
          <w:iCs/>
          <w:snapToGrid w:val="0"/>
          <w:kern w:val="22"/>
        </w:rPr>
      </w:pPr>
      <w:r w:rsidRPr="00694029">
        <w:rPr>
          <w:iCs/>
          <w:snapToGrid w:val="0"/>
          <w:kern w:val="22"/>
        </w:rPr>
        <w:t>3.</w:t>
      </w:r>
      <w:r w:rsidRPr="00694029">
        <w:rPr>
          <w:iCs/>
          <w:snapToGrid w:val="0"/>
          <w:kern w:val="22"/>
        </w:rPr>
        <w:tab/>
        <w:t>The review and renewal process w</w:t>
      </w:r>
      <w:r w:rsidRPr="004E35D7">
        <w:rPr>
          <w:iCs/>
          <w:snapToGrid w:val="0"/>
          <w:kern w:val="22"/>
        </w:rPr>
        <w:t>ill be aligned with relevant targets and indicators under the post</w:t>
      </w:r>
      <w:r>
        <w:rPr>
          <w:iCs/>
          <w:snapToGrid w:val="0"/>
          <w:kern w:val="22"/>
        </w:rPr>
        <w:noBreakHyphen/>
      </w:r>
      <w:r w:rsidRPr="004E35D7">
        <w:rPr>
          <w:iCs/>
          <w:snapToGrid w:val="0"/>
          <w:kern w:val="22"/>
        </w:rPr>
        <w:t>2020 global biodiversity framework and will be implemented with due consideration for gender and indigenous and traditional knowledge.</w:t>
      </w:r>
    </w:p>
    <w:p w14:paraId="7A3F9FC2" w14:textId="77777777" w:rsidR="00D87A97" w:rsidRPr="00117EEC" w:rsidRDefault="00D87A97" w:rsidP="00D87A97">
      <w:pPr>
        <w:suppressLineNumbers/>
        <w:suppressAutoHyphens/>
        <w:kinsoku w:val="0"/>
        <w:overflowPunct w:val="0"/>
        <w:autoSpaceDE w:val="0"/>
        <w:autoSpaceDN w:val="0"/>
        <w:adjustRightInd w:val="0"/>
        <w:snapToGrid w:val="0"/>
        <w:spacing w:after="120"/>
        <w:rPr>
          <w:rFonts w:ascii="TimesNewRomanPS" w:hAnsi="TimesNewRomanPS"/>
          <w:snapToGrid w:val="0"/>
          <w:kern w:val="22"/>
        </w:rPr>
      </w:pPr>
      <w:r w:rsidRPr="00117EEC">
        <w:rPr>
          <w:iCs/>
          <w:snapToGrid w:val="0"/>
          <w:kern w:val="22"/>
        </w:rPr>
        <w:t>4.</w:t>
      </w:r>
      <w:r w:rsidRPr="00117EEC">
        <w:rPr>
          <w:iCs/>
          <w:snapToGrid w:val="0"/>
          <w:kern w:val="22"/>
        </w:rPr>
        <w:tab/>
      </w:r>
      <w:r w:rsidRPr="00117EEC">
        <w:rPr>
          <w:rFonts w:ascii="TimesNewRomanPS" w:hAnsi="TimesNewRomanPS"/>
          <w:snapToGrid w:val="0"/>
          <w:kern w:val="22"/>
        </w:rPr>
        <w:t>The outcome of the process for the review and renewal of technical and scientific cooperation programmes may include the following elements:</w:t>
      </w:r>
    </w:p>
    <w:p w14:paraId="75E0D082" w14:textId="77777777" w:rsidR="00D87A97" w:rsidRPr="00117EEC" w:rsidRDefault="00D87A97" w:rsidP="000E369B">
      <w:pPr>
        <w:pStyle w:val="Para1"/>
        <w:numPr>
          <w:ilvl w:val="1"/>
          <w:numId w:val="24"/>
        </w:numPr>
        <w:suppressLineNumbers/>
        <w:suppressAutoHyphens/>
        <w:kinsoku w:val="0"/>
        <w:overflowPunct w:val="0"/>
        <w:autoSpaceDE w:val="0"/>
        <w:autoSpaceDN w:val="0"/>
        <w:adjustRightInd w:val="0"/>
        <w:snapToGrid w:val="0"/>
        <w:spacing w:before="0"/>
        <w:ind w:left="0" w:firstLine="720"/>
        <w:rPr>
          <w:snapToGrid/>
          <w:kern w:val="22"/>
        </w:rPr>
      </w:pPr>
      <w:r w:rsidRPr="00117EEC">
        <w:rPr>
          <w:kern w:val="22"/>
        </w:rPr>
        <w:t xml:space="preserve">A summary of </w:t>
      </w:r>
      <w:r w:rsidRPr="00117EEC">
        <w:rPr>
          <w:iCs/>
          <w:kern w:val="22"/>
        </w:rPr>
        <w:t xml:space="preserve">the main findings, including the </w:t>
      </w:r>
      <w:r w:rsidRPr="00117EEC">
        <w:rPr>
          <w:kern w:val="22"/>
        </w:rPr>
        <w:t xml:space="preserve">lessons learned drawn from the </w:t>
      </w:r>
      <w:proofErr w:type="gramStart"/>
      <w:r w:rsidRPr="00117EEC">
        <w:rPr>
          <w:kern w:val="22"/>
        </w:rPr>
        <w:t>review;</w:t>
      </w:r>
      <w:proofErr w:type="gramEnd"/>
    </w:p>
    <w:p w14:paraId="4CABEEF5" w14:textId="77777777" w:rsidR="00D87A97" w:rsidRPr="00117EEC" w:rsidRDefault="00D87A97" w:rsidP="000E369B">
      <w:pPr>
        <w:pStyle w:val="ListParagraph"/>
        <w:numPr>
          <w:ilvl w:val="1"/>
          <w:numId w:val="24"/>
        </w:numPr>
        <w:suppressLineNumbers/>
        <w:suppressAutoHyphens/>
        <w:kinsoku w:val="0"/>
        <w:overflowPunct w:val="0"/>
        <w:autoSpaceDE w:val="0"/>
        <w:autoSpaceDN w:val="0"/>
        <w:adjustRightInd w:val="0"/>
        <w:snapToGrid w:val="0"/>
        <w:spacing w:after="120"/>
        <w:ind w:left="0" w:firstLine="720"/>
        <w:contextualSpacing w:val="0"/>
        <w:rPr>
          <w:snapToGrid w:val="0"/>
          <w:kern w:val="22"/>
        </w:rPr>
      </w:pPr>
      <w:r w:rsidRPr="00117EEC">
        <w:rPr>
          <w:iCs/>
          <w:snapToGrid w:val="0"/>
          <w:kern w:val="22"/>
        </w:rPr>
        <w:t xml:space="preserve">Proposals for possible renewal of the programmes and initiatives (including a </w:t>
      </w:r>
      <w:r w:rsidRPr="00117EEC">
        <w:rPr>
          <w:snapToGrid w:val="0"/>
          <w:kern w:val="22"/>
        </w:rPr>
        <w:t xml:space="preserve">theory of change </w:t>
      </w:r>
      <w:r w:rsidRPr="00117EEC">
        <w:rPr>
          <w:iCs/>
          <w:snapToGrid w:val="0"/>
          <w:kern w:val="22"/>
        </w:rPr>
        <w:t xml:space="preserve">aligned with </w:t>
      </w:r>
      <w:r w:rsidRPr="00117EEC">
        <w:rPr>
          <w:snapToGrid w:val="0"/>
          <w:kern w:val="22"/>
        </w:rPr>
        <w:t>the theory of change for the post-2020 global biodiversity framework</w:t>
      </w:r>
      <w:r w:rsidRPr="00117EEC">
        <w:rPr>
          <w:iCs/>
          <w:snapToGrid w:val="0"/>
          <w:kern w:val="22"/>
        </w:rPr>
        <w:t xml:space="preserve">), and a description of the renewal </w:t>
      </w:r>
      <w:proofErr w:type="gramStart"/>
      <w:r w:rsidRPr="00117EEC">
        <w:rPr>
          <w:iCs/>
          <w:snapToGrid w:val="0"/>
          <w:kern w:val="22"/>
        </w:rPr>
        <w:t>process;</w:t>
      </w:r>
      <w:proofErr w:type="gramEnd"/>
    </w:p>
    <w:p w14:paraId="7AFAFDD9" w14:textId="77777777" w:rsidR="00D87A97" w:rsidRPr="00117EEC" w:rsidRDefault="00D87A97" w:rsidP="000E369B">
      <w:pPr>
        <w:pStyle w:val="Para1"/>
        <w:numPr>
          <w:ilvl w:val="1"/>
          <w:numId w:val="24"/>
        </w:numPr>
        <w:suppressLineNumbers/>
        <w:suppressAutoHyphens/>
        <w:kinsoku w:val="0"/>
        <w:overflowPunct w:val="0"/>
        <w:autoSpaceDE w:val="0"/>
        <w:autoSpaceDN w:val="0"/>
        <w:adjustRightInd w:val="0"/>
        <w:snapToGrid w:val="0"/>
        <w:spacing w:before="0"/>
        <w:ind w:left="0" w:firstLine="720"/>
        <w:rPr>
          <w:snapToGrid/>
          <w:kern w:val="22"/>
        </w:rPr>
      </w:pPr>
      <w:r w:rsidRPr="00117EEC">
        <w:rPr>
          <w:iCs/>
          <w:kern w:val="22"/>
        </w:rPr>
        <w:t>A proposed monitoring, review and reporting framework for the programmes and initiatives, including possible key</w:t>
      </w:r>
      <w:r w:rsidRPr="00117EEC">
        <w:rPr>
          <w:kern w:val="22"/>
        </w:rPr>
        <w:t xml:space="preserve"> performance indicators associated </w:t>
      </w:r>
      <w:r w:rsidRPr="00117EEC">
        <w:rPr>
          <w:iCs/>
          <w:kern w:val="22"/>
        </w:rPr>
        <w:t xml:space="preserve">with the relevant goals and </w:t>
      </w:r>
      <w:r w:rsidRPr="00117EEC">
        <w:rPr>
          <w:kern w:val="22"/>
        </w:rPr>
        <w:t xml:space="preserve">targets of the post-2020 </w:t>
      </w:r>
      <w:r w:rsidRPr="00117EEC">
        <w:rPr>
          <w:iCs/>
          <w:kern w:val="22"/>
        </w:rPr>
        <w:t xml:space="preserve">global biodiversity </w:t>
      </w:r>
      <w:proofErr w:type="gramStart"/>
      <w:r w:rsidRPr="00117EEC">
        <w:rPr>
          <w:iCs/>
          <w:kern w:val="22"/>
        </w:rPr>
        <w:t>framework</w:t>
      </w:r>
      <w:r w:rsidRPr="00117EEC">
        <w:rPr>
          <w:kern w:val="22"/>
        </w:rPr>
        <w:t>;</w:t>
      </w:r>
      <w:proofErr w:type="gramEnd"/>
    </w:p>
    <w:p w14:paraId="09E96DAA" w14:textId="77777777" w:rsidR="00D87A97" w:rsidRPr="00117EEC" w:rsidRDefault="00D87A97" w:rsidP="000E369B">
      <w:pPr>
        <w:pStyle w:val="Para1"/>
        <w:numPr>
          <w:ilvl w:val="1"/>
          <w:numId w:val="24"/>
        </w:numPr>
        <w:suppressLineNumbers/>
        <w:suppressAutoHyphens/>
        <w:kinsoku w:val="0"/>
        <w:overflowPunct w:val="0"/>
        <w:autoSpaceDE w:val="0"/>
        <w:autoSpaceDN w:val="0"/>
        <w:adjustRightInd w:val="0"/>
        <w:snapToGrid w:val="0"/>
        <w:spacing w:before="0"/>
        <w:ind w:left="0" w:firstLine="720"/>
        <w:rPr>
          <w:kern w:val="22"/>
        </w:rPr>
      </w:pPr>
      <w:r w:rsidRPr="00117EEC">
        <w:rPr>
          <w:iCs/>
          <w:kern w:val="22"/>
        </w:rPr>
        <w:t>Estimates of</w:t>
      </w:r>
      <w:r w:rsidRPr="00117EEC">
        <w:rPr>
          <w:kern w:val="22"/>
        </w:rPr>
        <w:t xml:space="preserve"> resource requirements</w:t>
      </w:r>
      <w:r w:rsidRPr="00117EEC">
        <w:rPr>
          <w:iCs/>
          <w:kern w:val="22"/>
        </w:rPr>
        <w:t>,</w:t>
      </w:r>
      <w:r w:rsidRPr="00117EEC">
        <w:rPr>
          <w:kern w:val="22"/>
        </w:rPr>
        <w:t xml:space="preserve"> and an associated resource mobilization strategy</w:t>
      </w:r>
      <w:r w:rsidRPr="00117EEC">
        <w:rPr>
          <w:iCs/>
          <w:kern w:val="22"/>
        </w:rPr>
        <w:t xml:space="preserve">, for the programmes and </w:t>
      </w:r>
      <w:proofErr w:type="gramStart"/>
      <w:r w:rsidRPr="00117EEC">
        <w:rPr>
          <w:iCs/>
          <w:kern w:val="22"/>
        </w:rPr>
        <w:t>initiatives</w:t>
      </w:r>
      <w:r>
        <w:rPr>
          <w:iCs/>
          <w:kern w:val="22"/>
        </w:rPr>
        <w:t>;</w:t>
      </w:r>
      <w:proofErr w:type="gramEnd"/>
    </w:p>
    <w:p w14:paraId="5B20C1BD" w14:textId="77777777" w:rsidR="00D87A97" w:rsidRPr="00117EEC" w:rsidRDefault="00D87A97" w:rsidP="00D87A97">
      <w:pPr>
        <w:suppressLineNumbers/>
        <w:suppressAutoHyphens/>
        <w:kinsoku w:val="0"/>
        <w:overflowPunct w:val="0"/>
        <w:autoSpaceDE w:val="0"/>
        <w:autoSpaceDN w:val="0"/>
        <w:adjustRightInd w:val="0"/>
        <w:snapToGrid w:val="0"/>
        <w:ind w:firstLine="720"/>
        <w:rPr>
          <w:iCs/>
          <w:snapToGrid w:val="0"/>
          <w:kern w:val="22"/>
        </w:rPr>
      </w:pPr>
      <w:r w:rsidRPr="00C31B58">
        <w:rPr>
          <w:iCs/>
          <w:snapToGrid w:val="0"/>
          <w:kern w:val="22"/>
        </w:rPr>
        <w:t>(e)</w:t>
      </w:r>
      <w:r w:rsidRPr="00C31B58">
        <w:rPr>
          <w:iCs/>
          <w:snapToGrid w:val="0"/>
          <w:kern w:val="22"/>
        </w:rPr>
        <w:tab/>
        <w:t xml:space="preserve">Proposals for the criteria and modalities for the selection of entities and organizations to execute the functions as outlined </w:t>
      </w:r>
      <w:r>
        <w:rPr>
          <w:iCs/>
          <w:snapToGrid w:val="0"/>
          <w:kern w:val="22"/>
        </w:rPr>
        <w:t xml:space="preserve">in </w:t>
      </w:r>
      <w:r w:rsidRPr="00C31B58">
        <w:rPr>
          <w:iCs/>
          <w:snapToGrid w:val="0"/>
          <w:kern w:val="22"/>
        </w:rPr>
        <w:t>section IV of annex II.</w:t>
      </w:r>
    </w:p>
    <w:p w14:paraId="12B5453B" w14:textId="77777777" w:rsidR="00D87A97" w:rsidRPr="00760D30" w:rsidRDefault="00D87A97" w:rsidP="00D87A97">
      <w:pPr>
        <w:pStyle w:val="CBD-Para"/>
        <w:keepLines w:val="0"/>
        <w:numPr>
          <w:ilvl w:val="0"/>
          <w:numId w:val="0"/>
        </w:numPr>
        <w:suppressLineNumbers/>
        <w:suppressAutoHyphens/>
        <w:kinsoku w:val="0"/>
        <w:overflowPunct w:val="0"/>
        <w:autoSpaceDE w:val="0"/>
        <w:autoSpaceDN w:val="0"/>
        <w:adjustRightInd w:val="0"/>
        <w:snapToGrid w:val="0"/>
        <w:spacing w:before="0" w:after="0"/>
        <w:jc w:val="center"/>
      </w:pPr>
      <w:r w:rsidRPr="00117EEC">
        <w:rPr>
          <w:snapToGrid w:val="0"/>
          <w:kern w:val="22"/>
        </w:rPr>
        <w:t>__________</w:t>
      </w:r>
    </w:p>
    <w:p w14:paraId="7AE8A864" w14:textId="77777777" w:rsidR="00544B6F" w:rsidRPr="00544B6F" w:rsidRDefault="00544B6F" w:rsidP="00D87A97">
      <w:pPr>
        <w:pStyle w:val="Para1"/>
        <w:numPr>
          <w:ilvl w:val="0"/>
          <w:numId w:val="0"/>
        </w:numPr>
      </w:pPr>
    </w:p>
    <w:sectPr w:rsidR="00544B6F" w:rsidRPr="00544B6F" w:rsidSect="00E60F12">
      <w:headerReference w:type="even" r:id="rId18"/>
      <w:headerReference w:type="default" r:id="rId19"/>
      <w:pgSz w:w="12240" w:h="15840" w:code="1"/>
      <w:pgMar w:top="360" w:right="1440" w:bottom="1138" w:left="1440" w:header="525"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3BF5E" w14:textId="77777777" w:rsidR="001066BE" w:rsidRDefault="001066BE" w:rsidP="00CF1848">
      <w:r>
        <w:separator/>
      </w:r>
    </w:p>
  </w:endnote>
  <w:endnote w:type="continuationSeparator" w:id="0">
    <w:p w14:paraId="5EF003EA" w14:textId="77777777" w:rsidR="001066BE" w:rsidRDefault="001066BE" w:rsidP="00CF1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New Roman (Headings CS)">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BD79" w14:textId="77777777" w:rsidR="001066BE" w:rsidRDefault="001066BE" w:rsidP="00CF1848">
      <w:r>
        <w:separator/>
      </w:r>
    </w:p>
  </w:footnote>
  <w:footnote w:type="continuationSeparator" w:id="0">
    <w:p w14:paraId="0C09C611" w14:textId="77777777" w:rsidR="001066BE" w:rsidRDefault="001066BE" w:rsidP="00CF1848">
      <w:r>
        <w:continuationSeparator/>
      </w:r>
    </w:p>
  </w:footnote>
  <w:footnote w:id="1">
    <w:p w14:paraId="687401CE" w14:textId="2DAD01CB" w:rsidR="00D520FF" w:rsidRPr="00D520FF" w:rsidRDefault="00D520FF" w:rsidP="00D520FF">
      <w:pPr>
        <w:pStyle w:val="FootnoteText"/>
      </w:pPr>
      <w:r>
        <w:rPr>
          <w:rStyle w:val="FootnoteReference"/>
        </w:rPr>
        <w:footnoteRef/>
      </w:r>
      <w:r>
        <w:t xml:space="preserve"> </w:t>
      </w:r>
      <w:r w:rsidRPr="00D520FF">
        <w:t xml:space="preserve">The brackets in </w:t>
      </w:r>
      <w:r w:rsidR="00D51B88">
        <w:t>a</w:t>
      </w:r>
      <w:r w:rsidRPr="00D520FF">
        <w:t>nnex I</w:t>
      </w:r>
      <w:r>
        <w:t>I</w:t>
      </w:r>
      <w:r w:rsidRPr="00D520FF">
        <w:t xml:space="preserve"> are not the result of negotiations but</w:t>
      </w:r>
      <w:r w:rsidR="00677EB7">
        <w:t xml:space="preserve"> are</w:t>
      </w:r>
      <w:r w:rsidRPr="00D520FF">
        <w:t xml:space="preserve"> based on written submissions received from Parties after the first reading </w:t>
      </w:r>
      <w:r w:rsidR="00166124">
        <w:t>under</w:t>
      </w:r>
      <w:r w:rsidR="003C7DC8">
        <w:t xml:space="preserve"> </w:t>
      </w:r>
      <w:r w:rsidR="00E37EDE">
        <w:t xml:space="preserve">agenda </w:t>
      </w:r>
      <w:r w:rsidR="003C7DC8">
        <w:t xml:space="preserve">item 7 </w:t>
      </w:r>
      <w:r w:rsidRPr="00D520FF">
        <w:t>during</w:t>
      </w:r>
      <w:r>
        <w:t xml:space="preserve"> part</w:t>
      </w:r>
      <w:r w:rsidR="00677EB7">
        <w:t xml:space="preserve"> I of the third meeting</w:t>
      </w:r>
      <w:r>
        <w:t xml:space="preserve"> of the</w:t>
      </w:r>
      <w:r w:rsidRPr="00D520FF">
        <w:t xml:space="preserve"> S</w:t>
      </w:r>
      <w:r>
        <w:t xml:space="preserve">ubsidiary </w:t>
      </w:r>
      <w:r w:rsidRPr="00D520FF">
        <w:t>B</w:t>
      </w:r>
      <w:r>
        <w:t xml:space="preserve">ody on </w:t>
      </w:r>
      <w:r w:rsidRPr="00D520FF">
        <w:t>I</w:t>
      </w:r>
      <w:r>
        <w:t>mplementation</w:t>
      </w:r>
      <w:r w:rsidRPr="00D520FF">
        <w:t>.</w:t>
      </w:r>
    </w:p>
  </w:footnote>
  <w:footnote w:id="2">
    <w:p w14:paraId="5E00344A" w14:textId="77777777" w:rsidR="00D87A97" w:rsidRPr="004C415C"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preliminary final report is available as CBD/SBI/3/INF/14; the final report will be issued in due course.</w:t>
      </w:r>
    </w:p>
  </w:footnote>
  <w:footnote w:id="3">
    <w:p w14:paraId="48E2D373" w14:textId="77777777" w:rsidR="00D87A97" w:rsidRPr="004C415C"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w:t>
      </w:r>
      <w:hyperlink r:id="rId1" w:history="1">
        <w:r w:rsidRPr="00D71EDE">
          <w:rPr>
            <w:rStyle w:val="Hyperlink"/>
            <w:snapToGrid w:val="0"/>
            <w:kern w:val="18"/>
            <w:szCs w:val="18"/>
          </w:rPr>
          <w:t>https://www.un.org/pga/75/united-nations-summit-on-biodiversity-summary</w:t>
        </w:r>
      </w:hyperlink>
      <w:r w:rsidRPr="00D71EDE">
        <w:rPr>
          <w:snapToGrid w:val="0"/>
          <w:kern w:val="18"/>
          <w:szCs w:val="18"/>
        </w:rPr>
        <w:t>.</w:t>
      </w:r>
    </w:p>
  </w:footnote>
  <w:footnote w:id="4">
    <w:p w14:paraId="261298CC" w14:textId="08F4104D" w:rsidR="00F44F29" w:rsidRPr="006D7A92" w:rsidRDefault="00F44F29" w:rsidP="006D7A92">
      <w:pPr>
        <w:pStyle w:val="FootnoteText"/>
        <w:ind w:firstLine="0"/>
        <w:rPr>
          <w:lang w:val="en-US"/>
        </w:rPr>
      </w:pPr>
      <w:r>
        <w:rPr>
          <w:rStyle w:val="FootnoteReference"/>
        </w:rPr>
        <w:footnoteRef/>
      </w:r>
      <w:r>
        <w:t xml:space="preserve"> </w:t>
      </w:r>
      <w:r>
        <w:rPr>
          <w:lang w:val="en-US"/>
        </w:rPr>
        <w:t xml:space="preserve">Prepared pursuant to </w:t>
      </w:r>
      <w:r w:rsidR="009F35B1">
        <w:rPr>
          <w:lang w:val="en-US"/>
        </w:rPr>
        <w:t>SBI recommendation 3/3, para. 2.</w:t>
      </w:r>
    </w:p>
  </w:footnote>
  <w:footnote w:id="5">
    <w:p w14:paraId="40D6B114" w14:textId="77777777" w:rsidR="00D87A97" w:rsidRPr="00D71EDE"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long-term strategic framework is further elaborated in document </w:t>
      </w:r>
      <w:hyperlink r:id="rId2" w:history="1">
        <w:r w:rsidRPr="00D71EDE">
          <w:rPr>
            <w:rStyle w:val="Hyperlink"/>
            <w:snapToGrid w:val="0"/>
            <w:kern w:val="18"/>
            <w:szCs w:val="18"/>
          </w:rPr>
          <w:t>CBD/SBI/3/7/Add.1</w:t>
        </w:r>
      </w:hyperlink>
      <w:r w:rsidRPr="00D71EDE">
        <w:rPr>
          <w:snapToGrid w:val="0"/>
          <w:kern w:val="18"/>
          <w:szCs w:val="18"/>
        </w:rPr>
        <w:t>.</w:t>
      </w:r>
    </w:p>
  </w:footnote>
  <w:footnote w:id="6">
    <w:p w14:paraId="07541EFE" w14:textId="77777777" w:rsidR="00D87A97" w:rsidRPr="00D71EDE"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CBD/SBI/3/18.</w:t>
      </w:r>
    </w:p>
  </w:footnote>
  <w:footnote w:id="7">
    <w:p w14:paraId="413597C4" w14:textId="77777777" w:rsidR="00D87A97" w:rsidRPr="00D71EDE"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CBD/SBI/3/16.</w:t>
      </w:r>
    </w:p>
  </w:footnote>
  <w:footnote w:id="8">
    <w:p w14:paraId="32955FFE" w14:textId="77777777" w:rsidR="00F87AF8" w:rsidRPr="00D71EDE" w:rsidRDefault="00F87AF8" w:rsidP="00F87AF8">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Pr>
          <w:rStyle w:val="FootnoteReference"/>
        </w:rPr>
        <w:t>*</w:t>
      </w:r>
      <w:r>
        <w:t xml:space="preserve"> </w:t>
      </w:r>
      <w:r w:rsidRPr="006D7A92">
        <w:rPr>
          <w:snapToGrid w:val="0"/>
          <w:kern w:val="18"/>
          <w:szCs w:val="18"/>
        </w:rPr>
        <w:t>Some</w:t>
      </w:r>
      <w:r w:rsidRPr="00F87AF8">
        <w:rPr>
          <w:snapToGrid w:val="0"/>
          <w:kern w:val="18"/>
          <w:szCs w:val="18"/>
        </w:rPr>
        <w:t xml:space="preserve"> Parties noted that the Conference of the Parties cannot directly invite</w:t>
      </w:r>
      <w:r w:rsidRPr="00F87AF8">
        <w:t xml:space="preserve"> </w:t>
      </w:r>
      <w:r w:rsidRPr="00D85E94">
        <w:rPr>
          <w:snapToGrid w:val="0"/>
          <w:kern w:val="18"/>
          <w:szCs w:val="18"/>
        </w:rPr>
        <w:t>the United Nations Environment Management Group</w:t>
      </w:r>
      <w:r w:rsidRPr="00B32C34">
        <w:rPr>
          <w:snapToGrid w:val="0"/>
          <w:kern w:val="18"/>
          <w:szCs w:val="18"/>
        </w:rPr>
        <w:t xml:space="preserve"> and the Liaison Group of Biodiversity-related Conventions</w:t>
      </w:r>
      <w:r w:rsidRPr="006D7A92">
        <w:rPr>
          <w:snapToGrid w:val="0"/>
          <w:kern w:val="18"/>
          <w:szCs w:val="18"/>
        </w:rPr>
        <w:t xml:space="preserve"> to do something since they are composed of secretariats of other conventions or bodies. It was proposed that the Executive Secretary should invite them instead. If this proposal is accepted, then this paragraph would be deleted here and its content moved to paragraph 19, as a new sub-paragraph 19(f) below.</w:t>
      </w:r>
    </w:p>
    <w:p w14:paraId="7FC4338C" w14:textId="27905849" w:rsidR="00F87AF8" w:rsidRPr="00F87AF8" w:rsidRDefault="00F87AF8">
      <w:pPr>
        <w:pStyle w:val="FootnoteText"/>
      </w:pPr>
    </w:p>
  </w:footnote>
  <w:footnote w:id="9">
    <w:p w14:paraId="2B864EDE" w14:textId="77777777" w:rsidR="00D87A97" w:rsidRPr="00D71EDE"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760D30">
        <w:rPr>
          <w:szCs w:val="18"/>
        </w:rPr>
        <w:t xml:space="preserve"> </w:t>
      </w:r>
      <w:r>
        <w:rPr>
          <w:szCs w:val="18"/>
        </w:rPr>
        <w:t xml:space="preserve">See General Assembly resolution </w:t>
      </w:r>
      <w:hyperlink r:id="rId3" w:history="1">
        <w:r>
          <w:rPr>
            <w:rStyle w:val="Hyperlink"/>
            <w:szCs w:val="18"/>
          </w:rPr>
          <w:t>75/233</w:t>
        </w:r>
      </w:hyperlink>
      <w:r w:rsidRPr="00D71EDE">
        <w:rPr>
          <w:snapToGrid w:val="0"/>
          <w:kern w:val="18"/>
          <w:szCs w:val="18"/>
        </w:rPr>
        <w:t xml:space="preserve"> and </w:t>
      </w:r>
      <w:hyperlink r:id="rId4" w:history="1">
        <w:r w:rsidRPr="00D71EDE">
          <w:rPr>
            <w:rStyle w:val="Hyperlink"/>
            <w:snapToGrid w:val="0"/>
            <w:kern w:val="18"/>
            <w:szCs w:val="18"/>
          </w:rPr>
          <w:t>CEB/2021/HLCP41/CRP.2</w:t>
        </w:r>
      </w:hyperlink>
      <w:r>
        <w:rPr>
          <w:rStyle w:val="Hyperlink"/>
          <w:snapToGrid w:val="0"/>
          <w:kern w:val="18"/>
          <w:szCs w:val="18"/>
        </w:rPr>
        <w:t>.</w:t>
      </w:r>
    </w:p>
  </w:footnote>
  <w:footnote w:id="10">
    <w:p w14:paraId="55A63BE3" w14:textId="1D89CAE8" w:rsidR="00D87A97" w:rsidRPr="005A0091" w:rsidRDefault="00D87A97" w:rsidP="006D7A92">
      <w:pPr>
        <w:pStyle w:val="Footer"/>
        <w:ind w:firstLine="0"/>
        <w:jc w:val="left"/>
      </w:pPr>
      <w:r w:rsidRPr="00D85E94">
        <w:rPr>
          <w:rStyle w:val="FootnoteReference"/>
        </w:rPr>
        <w:t>**</w:t>
      </w:r>
      <w:r w:rsidRPr="00B32C34">
        <w:t xml:space="preserve"> </w:t>
      </w:r>
      <w:r w:rsidRPr="00B32C34">
        <w:rPr>
          <w:sz w:val="18"/>
          <w:szCs w:val="18"/>
        </w:rPr>
        <w:t>This</w:t>
      </w:r>
      <w:r w:rsidRPr="006D7A92">
        <w:rPr>
          <w:sz w:val="18"/>
          <w:szCs w:val="18"/>
        </w:rPr>
        <w:t xml:space="preserve"> sub</w:t>
      </w:r>
      <w:r w:rsidRPr="00C07F07">
        <w:rPr>
          <w:sz w:val="18"/>
          <w:szCs w:val="18"/>
        </w:rPr>
        <w:t>-paragraph would be deleted</w:t>
      </w:r>
      <w:r w:rsidRPr="00C07F07" w:rsidDel="00B63AFF">
        <w:rPr>
          <w:sz w:val="18"/>
          <w:szCs w:val="18"/>
        </w:rPr>
        <w:t xml:space="preserve"> </w:t>
      </w:r>
      <w:r w:rsidRPr="00C07F07">
        <w:rPr>
          <w:sz w:val="18"/>
          <w:szCs w:val="18"/>
        </w:rPr>
        <w:t>if the proposal made with respect to paragraph 16 above is not accepted.</w:t>
      </w:r>
    </w:p>
  </w:footnote>
  <w:footnote w:id="11">
    <w:p w14:paraId="0A1F2629" w14:textId="76C37D8A" w:rsidR="005B7263" w:rsidRPr="00D170DA" w:rsidRDefault="005B7263" w:rsidP="00D170DA">
      <w:pPr>
        <w:pStyle w:val="FootnoteText"/>
        <w:ind w:firstLine="0"/>
        <w:rPr>
          <w:lang w:val="en-US"/>
        </w:rPr>
      </w:pPr>
      <w:r>
        <w:rPr>
          <w:rStyle w:val="FootnoteReference"/>
        </w:rPr>
        <w:footnoteRef/>
      </w:r>
      <w:r>
        <w:t xml:space="preserve"> Target 19 in the first draft of the post-2020 global biodiversity framework (CBD/WG2020/3/3). The number of the target many change as the negotiations proceed.</w:t>
      </w:r>
    </w:p>
  </w:footnote>
  <w:footnote w:id="12">
    <w:p w14:paraId="65546235" w14:textId="77777777" w:rsidR="00D87A97" w:rsidRPr="00760D30" w:rsidRDefault="00D87A97" w:rsidP="00D87A97">
      <w:pPr>
        <w:pStyle w:val="FootnoteText"/>
        <w:ind w:firstLine="0"/>
        <w:jc w:val="left"/>
        <w:rPr>
          <w:szCs w:val="18"/>
        </w:rPr>
      </w:pPr>
      <w:r w:rsidRPr="00760D30">
        <w:rPr>
          <w:rStyle w:val="FootnoteReference"/>
          <w:sz w:val="18"/>
          <w:szCs w:val="18"/>
        </w:rPr>
        <w:footnoteRef/>
      </w:r>
      <w:r w:rsidRPr="00760D30">
        <w:rPr>
          <w:szCs w:val="18"/>
        </w:rPr>
        <w:t xml:space="preserve"> </w:t>
      </w:r>
      <w:r>
        <w:rPr>
          <w:szCs w:val="18"/>
        </w:rPr>
        <w:t xml:space="preserve">See </w:t>
      </w:r>
      <w:r w:rsidRPr="00760D30">
        <w:rPr>
          <w:szCs w:val="18"/>
        </w:rPr>
        <w:t>CBD/SBSTTA/24/INF/28.</w:t>
      </w:r>
    </w:p>
  </w:footnote>
  <w:footnote w:id="13">
    <w:p w14:paraId="714876EC" w14:textId="77777777" w:rsidR="00D87A97" w:rsidRPr="003B0808" w:rsidRDefault="00D87A97" w:rsidP="00D87A97">
      <w:pPr>
        <w:pStyle w:val="FootnoteText"/>
        <w:ind w:firstLine="0"/>
      </w:pPr>
      <w:r>
        <w:rPr>
          <w:rStyle w:val="FootnoteReference"/>
        </w:rPr>
        <w:t>**</w:t>
      </w:r>
      <w:r>
        <w:t xml:space="preserve"> </w:t>
      </w:r>
      <w:r w:rsidRPr="007D4FF6">
        <w:t xml:space="preserve">This </w:t>
      </w:r>
      <w:r>
        <w:t xml:space="preserve">alternative </w:t>
      </w:r>
      <w:r w:rsidRPr="007D4FF6">
        <w:t xml:space="preserve">paragraph </w:t>
      </w:r>
      <w:r>
        <w:t>may</w:t>
      </w:r>
      <w:r w:rsidRPr="007D4FF6">
        <w:t xml:space="preserve"> </w:t>
      </w:r>
      <w:r>
        <w:t>be considered as a fall-back option if the review process cannot be completed before the fifteenth meeting of the Conference of the Parties.</w:t>
      </w:r>
    </w:p>
  </w:footnote>
  <w:footnote w:id="14">
    <w:p w14:paraId="04073C9D" w14:textId="77777777" w:rsidR="00D87A97" w:rsidRPr="00BB532D"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See General Assembly resolution </w:t>
      </w:r>
      <w:hyperlink r:id="rId5" w:history="1">
        <w:r w:rsidRPr="00D71EDE">
          <w:rPr>
            <w:rStyle w:val="Hyperlink"/>
            <w:snapToGrid w:val="0"/>
            <w:kern w:val="18"/>
            <w:szCs w:val="18"/>
          </w:rPr>
          <w:t>70/1</w:t>
        </w:r>
      </w:hyperlink>
      <w:r w:rsidRPr="00D71EDE">
        <w:rPr>
          <w:snapToGrid w:val="0"/>
          <w:kern w:val="18"/>
          <w:szCs w:val="18"/>
        </w:rPr>
        <w:t xml:space="preserve"> of 25 September 2015 entitled “Transforming our world: the 2030 Agenda for Sustainable Development”.</w:t>
      </w:r>
    </w:p>
  </w:footnote>
  <w:footnote w:id="15">
    <w:p w14:paraId="24AD16B3" w14:textId="6D251082" w:rsidR="00D87A97" w:rsidRPr="00D71EDE"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In this framework, government actors include, as appro</w:t>
      </w:r>
      <w:r w:rsidRPr="00BB532D">
        <w:rPr>
          <w:snapToGrid w:val="0"/>
          <w:kern w:val="18"/>
          <w:szCs w:val="18"/>
        </w:rPr>
        <w:t>priate, government institutions at national and subnational levels. The term “non-government actors” includes United Nations organizations and programmes, multilateral environmental agreements, intergovernmental organizations, community organizations</w:t>
      </w:r>
      <w:r w:rsidRPr="00064579">
        <w:rPr>
          <w:snapToGrid w:val="0"/>
          <w:kern w:val="18"/>
          <w:szCs w:val="18"/>
        </w:rPr>
        <w:t>, indi</w:t>
      </w:r>
      <w:r w:rsidRPr="00D71EDE">
        <w:rPr>
          <w:snapToGrid w:val="0"/>
          <w:kern w:val="18"/>
          <w:szCs w:val="18"/>
        </w:rPr>
        <w:t>genous peoples and local communities, academia, faith-based and religious groups, women</w:t>
      </w:r>
      <w:r w:rsidR="00F05816">
        <w:rPr>
          <w:snapToGrid w:val="0"/>
          <w:kern w:val="18"/>
          <w:szCs w:val="18"/>
        </w:rPr>
        <w:t>’s</w:t>
      </w:r>
      <w:r w:rsidRPr="00D71EDE">
        <w:rPr>
          <w:snapToGrid w:val="0"/>
          <w:kern w:val="18"/>
          <w:szCs w:val="18"/>
        </w:rPr>
        <w:t xml:space="preserve"> and youth organizations, non-governmental organizations, media, the scientific community, and private sector entities such as private financial institutions, businesses, industries, insurers, </w:t>
      </w:r>
      <w:proofErr w:type="gramStart"/>
      <w:r w:rsidRPr="00D71EDE">
        <w:rPr>
          <w:snapToGrid w:val="0"/>
          <w:kern w:val="18"/>
          <w:szCs w:val="18"/>
        </w:rPr>
        <w:t>producers</w:t>
      </w:r>
      <w:proofErr w:type="gramEnd"/>
      <w:r w:rsidRPr="00D71EDE">
        <w:rPr>
          <w:snapToGrid w:val="0"/>
          <w:kern w:val="18"/>
          <w:szCs w:val="18"/>
        </w:rPr>
        <w:t xml:space="preserve"> and investors.</w:t>
      </w:r>
    </w:p>
  </w:footnote>
  <w:footnote w:id="16">
    <w:p w14:paraId="1F4C8554" w14:textId="77777777" w:rsidR="00D87A97" w:rsidRPr="00BB532D"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 report of the study is available as information document </w:t>
      </w:r>
      <w:hyperlink r:id="rId6" w:history="1">
        <w:r w:rsidRPr="00D71EDE">
          <w:rPr>
            <w:rStyle w:val="Hyperlink"/>
            <w:snapToGrid w:val="0"/>
            <w:kern w:val="18"/>
            <w:szCs w:val="18"/>
          </w:rPr>
          <w:t>CBD/SBI/3/INF/9</w:t>
        </w:r>
      </w:hyperlink>
      <w:r w:rsidRPr="00D71EDE">
        <w:rPr>
          <w:snapToGrid w:val="0"/>
          <w:kern w:val="18"/>
          <w:szCs w:val="18"/>
        </w:rPr>
        <w:t>.</w:t>
      </w:r>
    </w:p>
  </w:footnote>
  <w:footnote w:id="17">
    <w:p w14:paraId="55A3B91D" w14:textId="77777777" w:rsidR="00D87A97" w:rsidRPr="00BB532D"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Adapted from the definition given in UNDG “</w:t>
      </w:r>
      <w:r w:rsidRPr="00BB532D">
        <w:rPr>
          <w:snapToGrid w:val="0"/>
          <w:kern w:val="18"/>
          <w:szCs w:val="18"/>
        </w:rPr>
        <w:t>Capacity building and development</w:t>
      </w:r>
      <w:r w:rsidRPr="00064579">
        <w:rPr>
          <w:snapToGrid w:val="0"/>
          <w:kern w:val="18"/>
          <w:szCs w:val="18"/>
        </w:rPr>
        <w:t xml:space="preserve">: UNDAF Companion Guidance” 2017 available at </w:t>
      </w:r>
      <w:hyperlink r:id="rId7" w:history="1">
        <w:r w:rsidRPr="00D71EDE">
          <w:rPr>
            <w:rStyle w:val="Hyperlink"/>
            <w:snapToGrid w:val="0"/>
            <w:kern w:val="18"/>
            <w:szCs w:val="18"/>
          </w:rPr>
          <w:t>https://unsdg.un.org/resources/capacity-development-undaf-companion-guidance</w:t>
        </w:r>
      </w:hyperlink>
      <w:r w:rsidRPr="00D71EDE">
        <w:rPr>
          <w:snapToGrid w:val="0"/>
          <w:kern w:val="18"/>
          <w:szCs w:val="18"/>
        </w:rPr>
        <w:t>.</w:t>
      </w:r>
    </w:p>
  </w:footnote>
  <w:footnote w:id="18">
    <w:p w14:paraId="05015FF6" w14:textId="77777777" w:rsidR="00D87A97" w:rsidRPr="00760D30"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760D30">
        <w:rPr>
          <w:snapToGrid w:val="0"/>
          <w:kern w:val="18"/>
          <w:szCs w:val="18"/>
        </w:rPr>
        <w:t xml:space="preserve"> An organization can become a “learning organization” by applying existing internal knowledge and learning from past experiences and lessons with the aim of improving its performance (e.g. see </w:t>
      </w:r>
      <w:hyperlink r:id="rId8" w:history="1">
        <w:r w:rsidRPr="00760D30">
          <w:rPr>
            <w:rStyle w:val="Hyperlink"/>
            <w:snapToGrid w:val="0"/>
            <w:kern w:val="18"/>
            <w:szCs w:val="18"/>
          </w:rPr>
          <w:t>https://warwick.ac.uk/fac/soc/wbs/conf/olkc/archive/olk4/papers/villardi.pdf</w:t>
        </w:r>
      </w:hyperlink>
      <w:r w:rsidRPr="00760D30">
        <w:rPr>
          <w:snapToGrid w:val="0"/>
          <w:kern w:val="18"/>
          <w:szCs w:val="18"/>
        </w:rPr>
        <w:t>).</w:t>
      </w:r>
    </w:p>
  </w:footnote>
  <w:footnote w:id="19">
    <w:p w14:paraId="20CB0C5A" w14:textId="77777777" w:rsidR="00D87A97" w:rsidRPr="00BB532D"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development of this theory of change </w:t>
      </w:r>
      <w:proofErr w:type="gramStart"/>
      <w:r w:rsidRPr="00D71EDE">
        <w:rPr>
          <w:snapToGrid w:val="0"/>
          <w:kern w:val="18"/>
          <w:szCs w:val="18"/>
        </w:rPr>
        <w:t>took into account</w:t>
      </w:r>
      <w:proofErr w:type="gramEnd"/>
      <w:r w:rsidRPr="00D71EDE">
        <w:rPr>
          <w:snapToGrid w:val="0"/>
          <w:kern w:val="18"/>
          <w:szCs w:val="18"/>
        </w:rPr>
        <w:t xml:space="preserve"> the technical guidance provided as part of the United Nations Development Assistance Framework (UNDAF) process: </w:t>
      </w:r>
      <w:hyperlink r:id="rId9" w:history="1">
        <w:r w:rsidRPr="00D71EDE">
          <w:rPr>
            <w:rStyle w:val="Hyperlink"/>
            <w:snapToGrid w:val="0"/>
            <w:kern w:val="18"/>
            <w:szCs w:val="18"/>
          </w:rPr>
          <w:t>https://unsdg.un.org/resources/theory-change-undaf-companion-guidance</w:t>
        </w:r>
      </w:hyperlink>
      <w:r w:rsidRPr="00D71EDE">
        <w:rPr>
          <w:snapToGrid w:val="0"/>
          <w:kern w:val="18"/>
          <w:szCs w:val="18"/>
        </w:rPr>
        <w:t>.</w:t>
      </w:r>
    </w:p>
  </w:footnote>
  <w:footnote w:id="20">
    <w:p w14:paraId="28A5A413" w14:textId="4A39EA04" w:rsidR="00D87A97" w:rsidRPr="00BB532D"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At </w:t>
      </w:r>
      <w:r w:rsidRPr="00D170DA">
        <w:rPr>
          <w:snapToGrid w:val="0"/>
          <w:kern w:val="18"/>
          <w:szCs w:val="18"/>
        </w:rPr>
        <w:t xml:space="preserve">least </w:t>
      </w:r>
      <w:r w:rsidR="00957FBD" w:rsidRPr="00D170DA">
        <w:rPr>
          <w:snapToGrid w:val="0"/>
          <w:kern w:val="18"/>
          <w:szCs w:val="18"/>
        </w:rPr>
        <w:t>30</w:t>
      </w:r>
      <w:r w:rsidRPr="00D170DA">
        <w:rPr>
          <w:snapToGrid w:val="0"/>
          <w:kern w:val="18"/>
          <w:szCs w:val="18"/>
        </w:rPr>
        <w:t xml:space="preserve"> Parties</w:t>
      </w:r>
      <w:r w:rsidRPr="00D71EDE">
        <w:rPr>
          <w:snapToGrid w:val="0"/>
          <w:kern w:val="18"/>
          <w:szCs w:val="18"/>
        </w:rPr>
        <w:t xml:space="preserve"> to the Convention on Biological Diversity have prepared biodiversity </w:t>
      </w:r>
      <w:r w:rsidRPr="00BB532D">
        <w:rPr>
          <w:snapToGrid w:val="0"/>
          <w:kern w:val="18"/>
          <w:szCs w:val="18"/>
        </w:rPr>
        <w:t>capacity building an</w:t>
      </w:r>
      <w:r w:rsidRPr="00064579">
        <w:rPr>
          <w:snapToGrid w:val="0"/>
          <w:kern w:val="18"/>
          <w:szCs w:val="18"/>
        </w:rPr>
        <w:t xml:space="preserve">d development strategies or plans, either as a chapter or section within their NBSAP or as stand-alone documents: </w:t>
      </w:r>
      <w:hyperlink r:id="rId10" w:history="1">
        <w:r w:rsidRPr="00D71EDE">
          <w:rPr>
            <w:rStyle w:val="Hyperlink"/>
            <w:snapToGrid w:val="0"/>
            <w:kern w:val="18"/>
            <w:szCs w:val="18"/>
          </w:rPr>
          <w:t>https://www.cbd.int/cb/plans/</w:t>
        </w:r>
      </w:hyperlink>
      <w:r w:rsidRPr="00D71EDE">
        <w:rPr>
          <w:snapToGrid w:val="0"/>
          <w:kern w:val="18"/>
          <w:szCs w:val="18"/>
        </w:rPr>
        <w:t>.</w:t>
      </w:r>
    </w:p>
  </w:footnote>
  <w:footnote w:id="21">
    <w:p w14:paraId="75943C66" w14:textId="77777777" w:rsidR="00D87A97" w:rsidRPr="00BB532D"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sidRPr="00BB532D">
        <w:rPr>
          <w:snapToGrid w:val="0"/>
          <w:kern w:val="18"/>
          <w:szCs w:val="18"/>
        </w:rPr>
        <w:t>Capacity building and development</w:t>
      </w:r>
      <w:r w:rsidRPr="00064579">
        <w:rPr>
          <w:snapToGrid w:val="0"/>
          <w:kern w:val="18"/>
          <w:szCs w:val="18"/>
        </w:rPr>
        <w:t xml:space="preserve"> is one of the core outcome areas of the United Nations Development Assistance Framework (UNDAF), renamed United Nations Sustainable Development Cooperation Framework by General Assembly resolution 72/279, in a number of countries, as demonstrated by the example of Bhutan (</w:t>
      </w:r>
      <w:hyperlink r:id="rId11" w:history="1">
        <w:r w:rsidRPr="00D71EDE">
          <w:rPr>
            <w:rStyle w:val="Hyperlink"/>
            <w:snapToGrid w:val="0"/>
            <w:kern w:val="18"/>
            <w:szCs w:val="18"/>
          </w:rPr>
          <w:t>https://www.unicef.org/evaldatabase/index_70552.html</w:t>
        </w:r>
      </w:hyperlink>
      <w:r w:rsidRPr="00D71EDE">
        <w:rPr>
          <w:snapToGrid w:val="0"/>
          <w:kern w:val="18"/>
          <w:szCs w:val="18"/>
        </w:rPr>
        <w:t>).</w:t>
      </w:r>
    </w:p>
  </w:footnote>
  <w:footnote w:id="22">
    <w:p w14:paraId="52DE0A8B" w14:textId="77777777" w:rsidR="00D87A97" w:rsidRPr="00D71EDE" w:rsidRDefault="00D87A97" w:rsidP="00D87A97">
      <w:pPr>
        <w:keepLines/>
        <w:suppressLineNumbers/>
        <w:suppressAutoHyphens/>
        <w:kinsoku w:val="0"/>
        <w:overflowPunct w:val="0"/>
        <w:autoSpaceDE w:val="0"/>
        <w:autoSpaceDN w:val="0"/>
        <w:adjustRightInd w:val="0"/>
        <w:snapToGrid w:val="0"/>
        <w:spacing w:after="60"/>
        <w:jc w:val="left"/>
        <w:rPr>
          <w:snapToGrid w:val="0"/>
          <w:kern w:val="18"/>
          <w:sz w:val="18"/>
          <w:szCs w:val="18"/>
        </w:rPr>
      </w:pPr>
      <w:r w:rsidRPr="00D71EDE">
        <w:rPr>
          <w:rStyle w:val="FootnoteReference"/>
          <w:snapToGrid w:val="0"/>
          <w:kern w:val="18"/>
          <w:sz w:val="18"/>
          <w:szCs w:val="18"/>
        </w:rPr>
        <w:footnoteRef/>
      </w:r>
      <w:r w:rsidRPr="00D71EDE">
        <w:rPr>
          <w:snapToGrid w:val="0"/>
          <w:kern w:val="18"/>
          <w:sz w:val="18"/>
          <w:szCs w:val="18"/>
        </w:rPr>
        <w:t xml:space="preserve"> As cited in the UNDP publication </w:t>
      </w:r>
      <w:hyperlink r:id="rId12" w:anchor=":~:text=Incentive%20Systems%3A%20Incentives%2C%20Motivation%2C%20and%20Development%20Performance,-Nov%208%2C%202015&amp;text=It%20is%20possible%20to%20distinguish,environment%22%20of%20any%20given%20system." w:history="1">
        <w:r w:rsidRPr="00D71EDE">
          <w:rPr>
            <w:rStyle w:val="Hyperlink"/>
            <w:snapToGrid w:val="0"/>
            <w:kern w:val="18"/>
            <w:szCs w:val="18"/>
          </w:rPr>
          <w:t>Incentive Systems: Incentives, motivation and development performance</w:t>
        </w:r>
      </w:hyperlink>
      <w:r w:rsidRPr="00760D30">
        <w:rPr>
          <w:snapToGrid w:val="0"/>
          <w:kern w:val="18"/>
          <w:sz w:val="18"/>
          <w:szCs w:val="18"/>
        </w:rPr>
        <w:t>.</w:t>
      </w:r>
    </w:p>
  </w:footnote>
  <w:footnote w:id="23">
    <w:p w14:paraId="2B474925" w14:textId="77777777" w:rsidR="00D87A97" w:rsidRPr="00D71EDE" w:rsidRDefault="00D87A97" w:rsidP="00D87A97">
      <w:pPr>
        <w:pStyle w:val="FootnoteText"/>
        <w:suppressLineNumbers/>
        <w:suppressAutoHyphens/>
        <w:kinsoku w:val="0"/>
        <w:overflowPunct w:val="0"/>
        <w:autoSpaceDE w:val="0"/>
        <w:autoSpaceDN w:val="0"/>
        <w:adjustRightInd w:val="0"/>
        <w:snapToGrid w:val="0"/>
        <w:ind w:firstLine="0"/>
        <w:jc w:val="left"/>
        <w:rPr>
          <w:strike/>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w:t>
      </w:r>
      <w:r w:rsidRPr="00BB532D">
        <w:rPr>
          <w:snapToGrid w:val="0"/>
          <w:kern w:val="18"/>
          <w:szCs w:val="18"/>
        </w:rPr>
        <w:t>[</w:t>
      </w:r>
      <w:r w:rsidRPr="00064579">
        <w:rPr>
          <w:snapToGrid w:val="0"/>
          <w:kern w:val="18"/>
          <w:szCs w:val="18"/>
        </w:rPr>
        <w:t xml:space="preserve">The implementation support committee would provide advice and </w:t>
      </w:r>
      <w:bookmarkStart w:id="29" w:name="_Hlk50335854"/>
      <w:r w:rsidRPr="00064579">
        <w:rPr>
          <w:snapToGrid w:val="0"/>
          <w:kern w:val="18"/>
          <w:szCs w:val="18"/>
        </w:rPr>
        <w:t xml:space="preserve">strategic guidance on </w:t>
      </w:r>
      <w:bookmarkEnd w:id="29"/>
      <w:r w:rsidRPr="00064579">
        <w:rPr>
          <w:snapToGrid w:val="0"/>
          <w:kern w:val="18"/>
          <w:szCs w:val="18"/>
        </w:rPr>
        <w:t xml:space="preserve">all the means of implementation of the post-2020 global biodiversity framework, including </w:t>
      </w:r>
      <w:r w:rsidRPr="00D71EDE">
        <w:rPr>
          <w:snapToGrid w:val="0"/>
          <w:kern w:val="18"/>
          <w:szCs w:val="18"/>
        </w:rPr>
        <w:t>capacity</w:t>
      </w:r>
      <w:r w:rsidRPr="00D71EDE">
        <w:rPr>
          <w:snapToGrid w:val="0"/>
          <w:kern w:val="18"/>
          <w:szCs w:val="18"/>
        </w:rPr>
        <w:noBreakHyphen/>
        <w:t>building and development, technical and scientific cooperation, technology transfer, knowledge management, resource mobilization and others.]</w:t>
      </w:r>
    </w:p>
  </w:footnote>
  <w:footnote w:id="24">
    <w:p w14:paraId="68CDD154" w14:textId="77777777" w:rsidR="00D87A97" w:rsidRPr="00064579" w:rsidRDefault="00D87A97" w:rsidP="00D87A97">
      <w:pPr>
        <w:pStyle w:val="FootnoteText"/>
        <w:suppressLineNumbers/>
        <w:suppressAutoHyphens/>
        <w:kinsoku w:val="0"/>
        <w:overflowPunct w:val="0"/>
        <w:autoSpaceDE w:val="0"/>
        <w:autoSpaceDN w:val="0"/>
        <w:adjustRightInd w:val="0"/>
        <w:snapToGrid w:val="0"/>
        <w:ind w:firstLine="0"/>
        <w:jc w:val="left"/>
        <w:rPr>
          <w:snapToGrid w:val="0"/>
          <w:kern w:val="18"/>
          <w:szCs w:val="18"/>
        </w:rPr>
      </w:pPr>
      <w:r w:rsidRPr="00760D30">
        <w:rPr>
          <w:rStyle w:val="FootnoteReference"/>
          <w:snapToGrid w:val="0"/>
          <w:kern w:val="18"/>
          <w:sz w:val="18"/>
          <w:szCs w:val="18"/>
        </w:rPr>
        <w:footnoteRef/>
      </w:r>
      <w:r w:rsidRPr="00D71EDE">
        <w:rPr>
          <w:snapToGrid w:val="0"/>
          <w:kern w:val="18"/>
          <w:szCs w:val="18"/>
        </w:rPr>
        <w:t xml:space="preserve"> The EMG (</w:t>
      </w:r>
      <w:hyperlink r:id="rId13" w:history="1">
        <w:r w:rsidRPr="00D71EDE">
          <w:rPr>
            <w:rStyle w:val="Hyperlink"/>
            <w:snapToGrid w:val="0"/>
            <w:kern w:val="18"/>
            <w:szCs w:val="18"/>
          </w:rPr>
          <w:t>https://unemg.org/</w:t>
        </w:r>
      </w:hyperlink>
      <w:r w:rsidRPr="00D71EDE">
        <w:rPr>
          <w:snapToGrid w:val="0"/>
          <w:kern w:val="18"/>
          <w:szCs w:val="18"/>
        </w:rPr>
        <w:t>) or BLG (</w:t>
      </w:r>
      <w:hyperlink r:id="rId14" w:history="1">
        <w:r w:rsidRPr="00D71EDE">
          <w:rPr>
            <w:rStyle w:val="Hyperlink"/>
            <w:snapToGrid w:val="0"/>
            <w:kern w:val="18"/>
            <w:szCs w:val="18"/>
          </w:rPr>
          <w:t>www.cbd.int/blg/</w:t>
        </w:r>
      </w:hyperlink>
      <w:r w:rsidRPr="00D71EDE">
        <w:rPr>
          <w:snapToGrid w:val="0"/>
          <w:kern w:val="18"/>
          <w:szCs w:val="18"/>
        </w:rPr>
        <w:t>) could include on the task team senior representatives of relevant organizations, indigenous peoples and local communities, civil society o</w:t>
      </w:r>
      <w:r w:rsidRPr="00064579">
        <w:rPr>
          <w:snapToGrid w:val="0"/>
          <w:kern w:val="18"/>
          <w:szCs w:val="18"/>
        </w:rPr>
        <w:t>rganizations, the private sector, donors and academia.</w:t>
      </w:r>
    </w:p>
  </w:footnote>
  <w:footnote w:id="25">
    <w:p w14:paraId="3AE468E5" w14:textId="3D3F8D26" w:rsidR="00D87A97" w:rsidRPr="00760D30" w:rsidRDefault="00D87A97" w:rsidP="00D87A97">
      <w:pPr>
        <w:pStyle w:val="FootnoteText"/>
        <w:ind w:firstLine="0"/>
        <w:jc w:val="left"/>
        <w:rPr>
          <w:kern w:val="18"/>
          <w:szCs w:val="18"/>
        </w:rPr>
      </w:pPr>
      <w:r w:rsidRPr="00FB0D34">
        <w:rPr>
          <w:rStyle w:val="FootnoteReference"/>
          <w:kern w:val="18"/>
          <w:sz w:val="18"/>
          <w:szCs w:val="18"/>
        </w:rPr>
        <w:t>*</w:t>
      </w:r>
      <w:r w:rsidRPr="00F87AF8">
        <w:rPr>
          <w:kern w:val="18"/>
          <w:szCs w:val="18"/>
        </w:rPr>
        <w:t xml:space="preserve"> </w:t>
      </w:r>
      <w:r w:rsidR="00C45C5B" w:rsidRPr="006D7A92">
        <w:rPr>
          <w:kern w:val="18"/>
          <w:szCs w:val="18"/>
        </w:rPr>
        <w:t xml:space="preserve">Will be updated in </w:t>
      </w:r>
      <w:r w:rsidR="00C77421">
        <w:rPr>
          <w:kern w:val="18"/>
          <w:szCs w:val="18"/>
        </w:rPr>
        <w:t xml:space="preserve">the </w:t>
      </w:r>
      <w:r w:rsidR="00C45C5B" w:rsidRPr="006D7A92">
        <w:rPr>
          <w:kern w:val="18"/>
          <w:szCs w:val="18"/>
        </w:rPr>
        <w:t>light of the outcomes of the</w:t>
      </w:r>
      <w:r w:rsidR="004724A7" w:rsidRPr="006D7A92">
        <w:rPr>
          <w:kern w:val="18"/>
          <w:szCs w:val="18"/>
        </w:rPr>
        <w:t xml:space="preserve"> negotiations </w:t>
      </w:r>
      <w:r w:rsidRPr="006D7A92">
        <w:rPr>
          <w:szCs w:val="18"/>
        </w:rPr>
        <w:t>on resource mobilization</w:t>
      </w:r>
      <w:r w:rsidRPr="006D7A92">
        <w:rPr>
          <w:kern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2483F3DD" w:rsidR="00534681" w:rsidRPr="00134846" w:rsidRDefault="00DC710B" w:rsidP="00534681">
        <w:pPr>
          <w:pStyle w:val="Header"/>
          <w:rPr>
            <w:lang w:val="fr-FR"/>
          </w:rPr>
        </w:pPr>
        <w:r>
          <w:rPr>
            <w:lang w:val="fr-FR"/>
          </w:rPr>
          <w:t>CBD/SBI/REC/3/8</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2</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2C4EC37E" w14:textId="752F2BB7" w:rsidR="009505C9" w:rsidRPr="00134846" w:rsidRDefault="00DC710B" w:rsidP="009505C9">
        <w:pPr>
          <w:pStyle w:val="Header"/>
          <w:jc w:val="right"/>
          <w:rPr>
            <w:lang w:val="fr-FR"/>
          </w:rPr>
        </w:pPr>
        <w:r>
          <w:rPr>
            <w:lang w:val="fr-FR"/>
          </w:rPr>
          <w:t>CBD/SBI/REC/3/8</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F6586C" w:rsidRPr="00134846">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C64D7"/>
    <w:multiLevelType w:val="hybridMultilevel"/>
    <w:tmpl w:val="A88A214E"/>
    <w:lvl w:ilvl="0" w:tplc="DF42636C">
      <w:start w:val="1"/>
      <w:numFmt w:val="lowerLetter"/>
      <w:lvlText w:val="(%1)"/>
      <w:lvlJc w:val="left"/>
      <w:pPr>
        <w:ind w:left="527" w:hanging="360"/>
      </w:pPr>
    </w:lvl>
    <w:lvl w:ilvl="1" w:tplc="04090019">
      <w:start w:val="1"/>
      <w:numFmt w:val="lowerLetter"/>
      <w:lvlText w:val="%2."/>
      <w:lvlJc w:val="left"/>
      <w:pPr>
        <w:ind w:left="1247" w:hanging="360"/>
      </w:pPr>
    </w:lvl>
    <w:lvl w:ilvl="2" w:tplc="0409001B">
      <w:start w:val="1"/>
      <w:numFmt w:val="lowerRoman"/>
      <w:lvlText w:val="%3."/>
      <w:lvlJc w:val="right"/>
      <w:pPr>
        <w:ind w:left="1967" w:hanging="180"/>
      </w:pPr>
    </w:lvl>
    <w:lvl w:ilvl="3" w:tplc="0409000F">
      <w:start w:val="1"/>
      <w:numFmt w:val="decimal"/>
      <w:lvlText w:val="%4."/>
      <w:lvlJc w:val="left"/>
      <w:pPr>
        <w:ind w:left="2687" w:hanging="360"/>
      </w:pPr>
    </w:lvl>
    <w:lvl w:ilvl="4" w:tplc="04090019">
      <w:start w:val="1"/>
      <w:numFmt w:val="lowerLetter"/>
      <w:lvlText w:val="%5."/>
      <w:lvlJc w:val="left"/>
      <w:pPr>
        <w:ind w:left="3407" w:hanging="360"/>
      </w:pPr>
    </w:lvl>
    <w:lvl w:ilvl="5" w:tplc="0409001B">
      <w:start w:val="1"/>
      <w:numFmt w:val="lowerRoman"/>
      <w:lvlText w:val="%6."/>
      <w:lvlJc w:val="right"/>
      <w:pPr>
        <w:ind w:left="4127" w:hanging="180"/>
      </w:pPr>
    </w:lvl>
    <w:lvl w:ilvl="6" w:tplc="0409000F">
      <w:start w:val="1"/>
      <w:numFmt w:val="decimal"/>
      <w:lvlText w:val="%7."/>
      <w:lvlJc w:val="left"/>
      <w:pPr>
        <w:ind w:left="4847" w:hanging="360"/>
      </w:pPr>
    </w:lvl>
    <w:lvl w:ilvl="7" w:tplc="04090019">
      <w:start w:val="1"/>
      <w:numFmt w:val="lowerLetter"/>
      <w:lvlText w:val="%8."/>
      <w:lvlJc w:val="left"/>
      <w:pPr>
        <w:ind w:left="5567" w:hanging="360"/>
      </w:pPr>
    </w:lvl>
    <w:lvl w:ilvl="8" w:tplc="0409001B">
      <w:start w:val="1"/>
      <w:numFmt w:val="lowerRoman"/>
      <w:lvlText w:val="%9."/>
      <w:lvlJc w:val="right"/>
      <w:pPr>
        <w:ind w:left="6287" w:hanging="180"/>
      </w:pPr>
    </w:lvl>
  </w:abstractNum>
  <w:abstractNum w:abstractNumId="1" w15:restartNumberingAfterBreak="0">
    <w:nsid w:val="143C06EE"/>
    <w:multiLevelType w:val="hybridMultilevel"/>
    <w:tmpl w:val="4006AF20"/>
    <w:lvl w:ilvl="0" w:tplc="408CCAA2">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E6D71F3"/>
    <w:multiLevelType w:val="hybridMultilevel"/>
    <w:tmpl w:val="30721080"/>
    <w:lvl w:ilvl="0" w:tplc="20ACBC52">
      <w:start w:val="1"/>
      <w:numFmt w:val="upperRoman"/>
      <w:lvlText w:val="%1."/>
      <w:lvlJc w:val="left"/>
      <w:pPr>
        <w:ind w:left="1800" w:hanging="720"/>
      </w:pPr>
    </w:lvl>
    <w:lvl w:ilvl="1" w:tplc="10090019">
      <w:start w:val="1"/>
      <w:numFmt w:val="lowerLetter"/>
      <w:lvlText w:val="%2."/>
      <w:lvlJc w:val="left"/>
      <w:pPr>
        <w:ind w:left="2160" w:hanging="360"/>
      </w:pPr>
    </w:lvl>
    <w:lvl w:ilvl="2" w:tplc="1009001B">
      <w:start w:val="1"/>
      <w:numFmt w:val="lowerRoman"/>
      <w:lvlText w:val="%3."/>
      <w:lvlJc w:val="right"/>
      <w:pPr>
        <w:ind w:left="2880" w:hanging="180"/>
      </w:pPr>
    </w:lvl>
    <w:lvl w:ilvl="3" w:tplc="1009000F">
      <w:start w:val="1"/>
      <w:numFmt w:val="decimal"/>
      <w:lvlText w:val="%4."/>
      <w:lvlJc w:val="left"/>
      <w:pPr>
        <w:ind w:left="3600" w:hanging="360"/>
      </w:pPr>
    </w:lvl>
    <w:lvl w:ilvl="4" w:tplc="10090019">
      <w:start w:val="1"/>
      <w:numFmt w:val="lowerLetter"/>
      <w:lvlText w:val="%5."/>
      <w:lvlJc w:val="left"/>
      <w:pPr>
        <w:ind w:left="4320" w:hanging="360"/>
      </w:pPr>
    </w:lvl>
    <w:lvl w:ilvl="5" w:tplc="1009001B">
      <w:start w:val="1"/>
      <w:numFmt w:val="lowerRoman"/>
      <w:lvlText w:val="%6."/>
      <w:lvlJc w:val="right"/>
      <w:pPr>
        <w:ind w:left="5040" w:hanging="180"/>
      </w:pPr>
    </w:lvl>
    <w:lvl w:ilvl="6" w:tplc="1009000F">
      <w:start w:val="1"/>
      <w:numFmt w:val="decimal"/>
      <w:lvlText w:val="%7."/>
      <w:lvlJc w:val="left"/>
      <w:pPr>
        <w:ind w:left="5760" w:hanging="360"/>
      </w:pPr>
    </w:lvl>
    <w:lvl w:ilvl="7" w:tplc="10090019">
      <w:start w:val="1"/>
      <w:numFmt w:val="lowerLetter"/>
      <w:lvlText w:val="%8."/>
      <w:lvlJc w:val="left"/>
      <w:pPr>
        <w:ind w:left="6480" w:hanging="360"/>
      </w:pPr>
    </w:lvl>
    <w:lvl w:ilvl="8" w:tplc="1009001B">
      <w:start w:val="1"/>
      <w:numFmt w:val="lowerRoman"/>
      <w:lvlText w:val="%9."/>
      <w:lvlJc w:val="right"/>
      <w:pPr>
        <w:ind w:left="720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30420184"/>
    <w:multiLevelType w:val="hybridMultilevel"/>
    <w:tmpl w:val="FB00B632"/>
    <w:lvl w:ilvl="0" w:tplc="ABA44A26">
      <w:start w:val="1"/>
      <w:numFmt w:val="upperLetter"/>
      <w:lvlText w:val="%1."/>
      <w:lvlJc w:val="left"/>
      <w:pPr>
        <w:ind w:left="720" w:hanging="360"/>
      </w:pPr>
      <w:rPr>
        <w:rFonts w:ascii="Times New Roman" w:hAnsi="Times New Roman" w:cs="Times New Roman" w:hint="default"/>
        <w:b/>
      </w:rPr>
    </w:lvl>
    <w:lvl w:ilvl="1" w:tplc="DFAC8D80">
      <w:start w:val="1"/>
      <w:numFmt w:val="lowerRoman"/>
      <w:lvlText w:val="(%2)"/>
      <w:lvlJc w:val="righ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5" w15:restartNumberingAfterBreak="0">
    <w:nsid w:val="33D06913"/>
    <w:multiLevelType w:val="hybridMultilevel"/>
    <w:tmpl w:val="63D20C7E"/>
    <w:lvl w:ilvl="0" w:tplc="DF708F00">
      <w:start w:val="1"/>
      <w:numFmt w:val="lowerLetter"/>
      <w:lvlText w:val="(%1)"/>
      <w:lvlJc w:val="left"/>
      <w:pPr>
        <w:ind w:left="1440" w:hanging="360"/>
      </w:pPr>
      <w:rPr>
        <w:rFonts w:hint="default"/>
      </w:rPr>
    </w:lvl>
    <w:lvl w:ilvl="1" w:tplc="DF708F0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A410CD"/>
    <w:multiLevelType w:val="hybridMultilevel"/>
    <w:tmpl w:val="7D3AA9DE"/>
    <w:lvl w:ilvl="0" w:tplc="2A9E6110">
      <w:start w:val="1"/>
      <w:numFmt w:val="decimal"/>
      <w:pStyle w:val="CBD-Para"/>
      <w:lvlText w:val="%1."/>
      <w:lvlJc w:val="left"/>
      <w:pPr>
        <w:tabs>
          <w:tab w:val="num" w:pos="720"/>
        </w:tabs>
        <w:ind w:left="0" w:firstLine="0"/>
      </w:pPr>
      <w:rPr>
        <w:b w:val="0"/>
        <w:bCs w:val="0"/>
        <w:i w:val="0"/>
        <w:color w:val="auto"/>
      </w:rPr>
    </w:lvl>
    <w:lvl w:ilvl="1" w:tplc="0B96F580">
      <w:start w:val="1"/>
      <w:numFmt w:val="lowerLetter"/>
      <w:pStyle w:val="CBD-Para-a"/>
      <w:lvlText w:val="(%2)"/>
      <w:lvlJc w:val="left"/>
      <w:pPr>
        <w:tabs>
          <w:tab w:val="num" w:pos="1080"/>
        </w:tabs>
        <w:ind w:left="1080" w:hanging="360"/>
      </w:pPr>
      <w:rPr>
        <w:i w:val="0"/>
        <w:iCs w:val="0"/>
      </w:r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7" w15:restartNumberingAfterBreak="0">
    <w:nsid w:val="43247158"/>
    <w:multiLevelType w:val="hybridMultilevel"/>
    <w:tmpl w:val="424263D0"/>
    <w:lvl w:ilvl="0" w:tplc="B1EACB7C">
      <w:start w:val="1"/>
      <w:numFmt w:val="lowerRoman"/>
      <w:lvlText w:val="(%1)"/>
      <w:lvlJc w:val="left"/>
      <w:pPr>
        <w:ind w:left="1571" w:hanging="720"/>
      </w:pPr>
      <w:rPr>
        <w:rFonts w:ascii="Times New Roman" w:eastAsia="Times New Roman" w:hAnsi="Times New Roman" w:cs="Times New Roman"/>
      </w:rPr>
    </w:lvl>
    <w:lvl w:ilvl="1" w:tplc="10090019">
      <w:start w:val="1"/>
      <w:numFmt w:val="lowerLetter"/>
      <w:lvlText w:val="%2."/>
      <w:lvlJc w:val="left"/>
      <w:pPr>
        <w:ind w:left="1211" w:hanging="360"/>
      </w:pPr>
    </w:lvl>
    <w:lvl w:ilvl="2" w:tplc="1009001B">
      <w:start w:val="1"/>
      <w:numFmt w:val="lowerRoman"/>
      <w:lvlText w:val="%3."/>
      <w:lvlJc w:val="right"/>
      <w:pPr>
        <w:ind w:left="1931" w:hanging="180"/>
      </w:pPr>
    </w:lvl>
    <w:lvl w:ilvl="3" w:tplc="1009000F">
      <w:start w:val="1"/>
      <w:numFmt w:val="decimal"/>
      <w:lvlText w:val="%4."/>
      <w:lvlJc w:val="left"/>
      <w:pPr>
        <w:ind w:left="2651" w:hanging="360"/>
      </w:pPr>
    </w:lvl>
    <w:lvl w:ilvl="4" w:tplc="10090019">
      <w:start w:val="1"/>
      <w:numFmt w:val="lowerLetter"/>
      <w:lvlText w:val="%5."/>
      <w:lvlJc w:val="left"/>
      <w:pPr>
        <w:ind w:left="3371" w:hanging="360"/>
      </w:pPr>
    </w:lvl>
    <w:lvl w:ilvl="5" w:tplc="1009001B">
      <w:start w:val="1"/>
      <w:numFmt w:val="lowerRoman"/>
      <w:lvlText w:val="%6."/>
      <w:lvlJc w:val="right"/>
      <w:pPr>
        <w:ind w:left="4091" w:hanging="180"/>
      </w:pPr>
    </w:lvl>
    <w:lvl w:ilvl="6" w:tplc="1009000F">
      <w:start w:val="1"/>
      <w:numFmt w:val="decimal"/>
      <w:lvlText w:val="%7."/>
      <w:lvlJc w:val="left"/>
      <w:pPr>
        <w:ind w:left="4811" w:hanging="360"/>
      </w:pPr>
    </w:lvl>
    <w:lvl w:ilvl="7" w:tplc="10090019">
      <w:start w:val="1"/>
      <w:numFmt w:val="lowerLetter"/>
      <w:lvlText w:val="%8."/>
      <w:lvlJc w:val="left"/>
      <w:pPr>
        <w:ind w:left="5531" w:hanging="360"/>
      </w:pPr>
    </w:lvl>
    <w:lvl w:ilvl="8" w:tplc="1009001B">
      <w:start w:val="1"/>
      <w:numFmt w:val="lowerRoman"/>
      <w:lvlText w:val="%9."/>
      <w:lvlJc w:val="right"/>
      <w:pPr>
        <w:ind w:left="6251" w:hanging="180"/>
      </w:pPr>
    </w:lvl>
  </w:abstractNum>
  <w:abstractNum w:abstractNumId="8" w15:restartNumberingAfterBreak="0">
    <w:nsid w:val="47205265"/>
    <w:multiLevelType w:val="hybridMultilevel"/>
    <w:tmpl w:val="7DFEEDE6"/>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9" w15:restartNumberingAfterBreak="0">
    <w:nsid w:val="47D33B33"/>
    <w:multiLevelType w:val="hybridMultilevel"/>
    <w:tmpl w:val="AF98D52E"/>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4CC5779C"/>
    <w:multiLevelType w:val="hybridMultilevel"/>
    <w:tmpl w:val="C6BA4FEC"/>
    <w:lvl w:ilvl="0" w:tplc="BF721178">
      <w:start w:val="1"/>
      <w:numFmt w:val="upperRoman"/>
      <w:lvlText w:val="%1."/>
      <w:lvlJc w:val="left"/>
      <w:pPr>
        <w:ind w:left="720" w:hanging="720"/>
      </w:pPr>
      <w:rPr>
        <w:i w:val="0"/>
        <w:iCs/>
      </w:rPr>
    </w:lvl>
    <w:lvl w:ilvl="1" w:tplc="04090019">
      <w:start w:val="1"/>
      <w:numFmt w:val="lowerLetter"/>
      <w:lvlText w:val="%2."/>
      <w:lvlJc w:val="left"/>
      <w:pPr>
        <w:ind w:left="360" w:hanging="360"/>
      </w:pPr>
    </w:lvl>
    <w:lvl w:ilvl="2" w:tplc="0409001B">
      <w:start w:val="1"/>
      <w:numFmt w:val="lowerRoman"/>
      <w:lvlText w:val="%3."/>
      <w:lvlJc w:val="right"/>
      <w:pPr>
        <w:ind w:left="1080" w:hanging="180"/>
      </w:pPr>
    </w:lvl>
    <w:lvl w:ilvl="3" w:tplc="0409000F">
      <w:start w:val="1"/>
      <w:numFmt w:val="decimal"/>
      <w:lvlText w:val="%4."/>
      <w:lvlJc w:val="left"/>
      <w:pPr>
        <w:ind w:left="1800" w:hanging="360"/>
      </w:pPr>
    </w:lvl>
    <w:lvl w:ilvl="4" w:tplc="04090019">
      <w:start w:val="1"/>
      <w:numFmt w:val="lowerLetter"/>
      <w:lvlText w:val="%5."/>
      <w:lvlJc w:val="left"/>
      <w:pPr>
        <w:ind w:left="2520" w:hanging="360"/>
      </w:pPr>
    </w:lvl>
    <w:lvl w:ilvl="5" w:tplc="0409001B">
      <w:start w:val="1"/>
      <w:numFmt w:val="lowerRoman"/>
      <w:lvlText w:val="%6."/>
      <w:lvlJc w:val="right"/>
      <w:pPr>
        <w:ind w:left="3240" w:hanging="180"/>
      </w:pPr>
    </w:lvl>
    <w:lvl w:ilvl="6" w:tplc="0409000F">
      <w:start w:val="1"/>
      <w:numFmt w:val="decimal"/>
      <w:lvlText w:val="%7."/>
      <w:lvlJc w:val="left"/>
      <w:pPr>
        <w:ind w:left="3960" w:hanging="360"/>
      </w:pPr>
    </w:lvl>
    <w:lvl w:ilvl="7" w:tplc="04090019">
      <w:start w:val="1"/>
      <w:numFmt w:val="lowerLetter"/>
      <w:lvlText w:val="%8."/>
      <w:lvlJc w:val="left"/>
      <w:pPr>
        <w:ind w:left="4680" w:hanging="360"/>
      </w:pPr>
    </w:lvl>
    <w:lvl w:ilvl="8" w:tplc="0409001B">
      <w:start w:val="1"/>
      <w:numFmt w:val="lowerRoman"/>
      <w:lvlText w:val="%9."/>
      <w:lvlJc w:val="right"/>
      <w:pPr>
        <w:ind w:left="5400" w:hanging="180"/>
      </w:pPr>
    </w:lvl>
  </w:abstractNum>
  <w:abstractNum w:abstractNumId="12" w15:restartNumberingAfterBreak="0">
    <w:nsid w:val="4DC967F8"/>
    <w:multiLevelType w:val="hybridMultilevel"/>
    <w:tmpl w:val="C1929E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51CD64C2"/>
    <w:multiLevelType w:val="hybridMultilevel"/>
    <w:tmpl w:val="6BA06000"/>
    <w:lvl w:ilvl="0" w:tplc="6E482212">
      <w:start w:val="1"/>
      <w:numFmt w:val="decimal"/>
      <w:lvlText w:val="%1."/>
      <w:lvlJc w:val="left"/>
      <w:pPr>
        <w:tabs>
          <w:tab w:val="num" w:pos="720"/>
        </w:tabs>
        <w:ind w:left="0" w:firstLine="0"/>
      </w:pPr>
      <w:rPr>
        <w:b w:val="0"/>
      </w:rPr>
    </w:lvl>
    <w:lvl w:ilvl="1" w:tplc="336E4C12">
      <w:start w:val="1"/>
      <w:numFmt w:val="lowerLetter"/>
      <w:lvlText w:val="(%2)"/>
      <w:lvlJc w:val="left"/>
      <w:pPr>
        <w:tabs>
          <w:tab w:val="num" w:pos="1080"/>
        </w:tabs>
        <w:ind w:left="1080" w:hanging="360"/>
      </w:pPr>
    </w:lvl>
    <w:lvl w:ilvl="2" w:tplc="07B06256">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5" w15:restartNumberingAfterBreak="0">
    <w:nsid w:val="56245FA1"/>
    <w:multiLevelType w:val="multilevel"/>
    <w:tmpl w:val="C8E6C246"/>
    <w:lvl w:ilvl="0">
      <w:start w:val="1"/>
      <w:numFmt w:val="decimal"/>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56900EE5"/>
    <w:multiLevelType w:val="hybridMultilevel"/>
    <w:tmpl w:val="2E8C1E6A"/>
    <w:lvl w:ilvl="0" w:tplc="10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7" w15:restartNumberingAfterBreak="0">
    <w:nsid w:val="6A42460D"/>
    <w:multiLevelType w:val="hybridMultilevel"/>
    <w:tmpl w:val="B55C0D0E"/>
    <w:lvl w:ilvl="0" w:tplc="325ED172">
      <w:start w:val="1"/>
      <w:numFmt w:val="lowerRoman"/>
      <w:lvlText w:val="(%1)"/>
      <w:lvlJc w:val="left"/>
      <w:pPr>
        <w:ind w:left="1440" w:hanging="720"/>
      </w:pPr>
      <w:rPr>
        <w:rFonts w:ascii="Times New Roman" w:eastAsia="Times New Roman" w:hAnsi="Times New Roman" w:cs="Times New Roman"/>
      </w:rPr>
    </w:lvl>
    <w:lvl w:ilvl="1" w:tplc="10090019">
      <w:start w:val="1"/>
      <w:numFmt w:val="lowerLetter"/>
      <w:lvlText w:val="%2."/>
      <w:lvlJc w:val="left"/>
      <w:pPr>
        <w:ind w:left="1505" w:hanging="360"/>
      </w:pPr>
    </w:lvl>
    <w:lvl w:ilvl="2" w:tplc="1009001B">
      <w:start w:val="1"/>
      <w:numFmt w:val="lowerRoman"/>
      <w:lvlText w:val="%3."/>
      <w:lvlJc w:val="right"/>
      <w:pPr>
        <w:ind w:left="2225" w:hanging="180"/>
      </w:pPr>
    </w:lvl>
    <w:lvl w:ilvl="3" w:tplc="1009000F">
      <w:start w:val="1"/>
      <w:numFmt w:val="decimal"/>
      <w:lvlText w:val="%4."/>
      <w:lvlJc w:val="left"/>
      <w:pPr>
        <w:ind w:left="2945" w:hanging="360"/>
      </w:pPr>
    </w:lvl>
    <w:lvl w:ilvl="4" w:tplc="10090019">
      <w:start w:val="1"/>
      <w:numFmt w:val="lowerLetter"/>
      <w:lvlText w:val="%5."/>
      <w:lvlJc w:val="left"/>
      <w:pPr>
        <w:ind w:left="3665" w:hanging="360"/>
      </w:pPr>
    </w:lvl>
    <w:lvl w:ilvl="5" w:tplc="1009001B">
      <w:start w:val="1"/>
      <w:numFmt w:val="lowerRoman"/>
      <w:lvlText w:val="%6."/>
      <w:lvlJc w:val="right"/>
      <w:pPr>
        <w:ind w:left="4385" w:hanging="180"/>
      </w:pPr>
    </w:lvl>
    <w:lvl w:ilvl="6" w:tplc="1009000F">
      <w:start w:val="1"/>
      <w:numFmt w:val="decimal"/>
      <w:lvlText w:val="%7."/>
      <w:lvlJc w:val="left"/>
      <w:pPr>
        <w:ind w:left="5105" w:hanging="360"/>
      </w:pPr>
    </w:lvl>
    <w:lvl w:ilvl="7" w:tplc="10090019">
      <w:start w:val="1"/>
      <w:numFmt w:val="lowerLetter"/>
      <w:lvlText w:val="%8."/>
      <w:lvlJc w:val="left"/>
      <w:pPr>
        <w:ind w:left="5825" w:hanging="360"/>
      </w:pPr>
    </w:lvl>
    <w:lvl w:ilvl="8" w:tplc="1009001B">
      <w:start w:val="1"/>
      <w:numFmt w:val="lowerRoman"/>
      <w:lvlText w:val="%9."/>
      <w:lvlJc w:val="right"/>
      <w:pPr>
        <w:ind w:left="6545" w:hanging="180"/>
      </w:pPr>
    </w:lvl>
  </w:abstractNum>
  <w:abstractNum w:abstractNumId="18" w15:restartNumberingAfterBreak="0">
    <w:nsid w:val="6D592D10"/>
    <w:multiLevelType w:val="hybridMultilevel"/>
    <w:tmpl w:val="E2AC5D36"/>
    <w:lvl w:ilvl="0" w:tplc="04090015">
      <w:start w:val="1"/>
      <w:numFmt w:val="upperLetter"/>
      <w:lvlText w:val="%1."/>
      <w:lvlJc w:val="left"/>
      <w:pPr>
        <w:ind w:left="720" w:hanging="360"/>
      </w:pPr>
      <w:rPr>
        <w:b/>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8337E44"/>
    <w:multiLevelType w:val="hybridMultilevel"/>
    <w:tmpl w:val="559CB2C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FF22C2D"/>
    <w:multiLevelType w:val="hybridMultilevel"/>
    <w:tmpl w:val="FB24563A"/>
    <w:lvl w:ilvl="0" w:tplc="24B0C41C">
      <w:start w:val="1"/>
      <w:numFmt w:val="low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3"/>
  </w:num>
  <w:num w:numId="2">
    <w:abstractNumId w:val="13"/>
  </w:num>
  <w:num w:numId="3">
    <w:abstractNumId w:val="10"/>
  </w:num>
  <w:num w:numId="4">
    <w:abstractNumId w:val="19"/>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8"/>
  </w:num>
  <w:num w:numId="11">
    <w:abstractNumId w:val="16"/>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num>
  <w:num w:numId="23">
    <w:abstractNumId w:val="0"/>
  </w:num>
  <w:num w:numId="24">
    <w:abstractNumId w:val="5"/>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161D"/>
    <w:rsid w:val="000111C0"/>
    <w:rsid w:val="000229A6"/>
    <w:rsid w:val="0002661E"/>
    <w:rsid w:val="00034A1B"/>
    <w:rsid w:val="000464F0"/>
    <w:rsid w:val="00055488"/>
    <w:rsid w:val="0007171B"/>
    <w:rsid w:val="000925A9"/>
    <w:rsid w:val="000E369B"/>
    <w:rsid w:val="000E673A"/>
    <w:rsid w:val="000F74F5"/>
    <w:rsid w:val="00100C77"/>
    <w:rsid w:val="00105372"/>
    <w:rsid w:val="001066BE"/>
    <w:rsid w:val="001261D1"/>
    <w:rsid w:val="001312AD"/>
    <w:rsid w:val="00131E7A"/>
    <w:rsid w:val="00134846"/>
    <w:rsid w:val="001432B4"/>
    <w:rsid w:val="0015268A"/>
    <w:rsid w:val="00161204"/>
    <w:rsid w:val="00165CF1"/>
    <w:rsid w:val="00166124"/>
    <w:rsid w:val="00172AF6"/>
    <w:rsid w:val="00176CEE"/>
    <w:rsid w:val="00186DD8"/>
    <w:rsid w:val="001B13FE"/>
    <w:rsid w:val="001D68E9"/>
    <w:rsid w:val="001E5BEA"/>
    <w:rsid w:val="00210096"/>
    <w:rsid w:val="00221582"/>
    <w:rsid w:val="00264DCC"/>
    <w:rsid w:val="00266D6B"/>
    <w:rsid w:val="002764CB"/>
    <w:rsid w:val="002836A7"/>
    <w:rsid w:val="0029772B"/>
    <w:rsid w:val="002D455C"/>
    <w:rsid w:val="0030169D"/>
    <w:rsid w:val="00304F9B"/>
    <w:rsid w:val="003060EB"/>
    <w:rsid w:val="00306200"/>
    <w:rsid w:val="0031130E"/>
    <w:rsid w:val="003153EB"/>
    <w:rsid w:val="00321985"/>
    <w:rsid w:val="003219EC"/>
    <w:rsid w:val="00322D2B"/>
    <w:rsid w:val="00330792"/>
    <w:rsid w:val="00343A5D"/>
    <w:rsid w:val="00351205"/>
    <w:rsid w:val="00372F74"/>
    <w:rsid w:val="003B432A"/>
    <w:rsid w:val="003C3378"/>
    <w:rsid w:val="003C7DC8"/>
    <w:rsid w:val="003D0EB7"/>
    <w:rsid w:val="003E2221"/>
    <w:rsid w:val="003E3DC0"/>
    <w:rsid w:val="003E7E47"/>
    <w:rsid w:val="003F7224"/>
    <w:rsid w:val="00417872"/>
    <w:rsid w:val="00427D21"/>
    <w:rsid w:val="00432FBB"/>
    <w:rsid w:val="00453BCD"/>
    <w:rsid w:val="004630EB"/>
    <w:rsid w:val="004644C2"/>
    <w:rsid w:val="00464C7B"/>
    <w:rsid w:val="00465F1B"/>
    <w:rsid w:val="00467F9C"/>
    <w:rsid w:val="004724A7"/>
    <w:rsid w:val="004A04EE"/>
    <w:rsid w:val="004B21E1"/>
    <w:rsid w:val="004E22A3"/>
    <w:rsid w:val="004E6A41"/>
    <w:rsid w:val="00504BFF"/>
    <w:rsid w:val="00520D81"/>
    <w:rsid w:val="0052727F"/>
    <w:rsid w:val="00534681"/>
    <w:rsid w:val="00544B6F"/>
    <w:rsid w:val="00544F94"/>
    <w:rsid w:val="00546693"/>
    <w:rsid w:val="00554253"/>
    <w:rsid w:val="00563442"/>
    <w:rsid w:val="00565B42"/>
    <w:rsid w:val="005729BF"/>
    <w:rsid w:val="00580604"/>
    <w:rsid w:val="00581A06"/>
    <w:rsid w:val="005A035C"/>
    <w:rsid w:val="005B7263"/>
    <w:rsid w:val="005C4CE6"/>
    <w:rsid w:val="005C541F"/>
    <w:rsid w:val="005C5CB7"/>
    <w:rsid w:val="005C63EF"/>
    <w:rsid w:val="006004AA"/>
    <w:rsid w:val="00602B4A"/>
    <w:rsid w:val="006122BA"/>
    <w:rsid w:val="00613C83"/>
    <w:rsid w:val="006203BF"/>
    <w:rsid w:val="00670754"/>
    <w:rsid w:val="00677EB7"/>
    <w:rsid w:val="006909E3"/>
    <w:rsid w:val="006B2290"/>
    <w:rsid w:val="006B70CA"/>
    <w:rsid w:val="006C5D8B"/>
    <w:rsid w:val="006D7A92"/>
    <w:rsid w:val="006E486B"/>
    <w:rsid w:val="006F15A1"/>
    <w:rsid w:val="006F6F64"/>
    <w:rsid w:val="00700EF6"/>
    <w:rsid w:val="00701EAB"/>
    <w:rsid w:val="00702773"/>
    <w:rsid w:val="00705132"/>
    <w:rsid w:val="00712FB4"/>
    <w:rsid w:val="007169F0"/>
    <w:rsid w:val="00717D88"/>
    <w:rsid w:val="00735873"/>
    <w:rsid w:val="0074789C"/>
    <w:rsid w:val="007540B4"/>
    <w:rsid w:val="00765ED5"/>
    <w:rsid w:val="00786056"/>
    <w:rsid w:val="0078614A"/>
    <w:rsid w:val="007942D3"/>
    <w:rsid w:val="007969D2"/>
    <w:rsid w:val="007B2099"/>
    <w:rsid w:val="007B6C09"/>
    <w:rsid w:val="007B7741"/>
    <w:rsid w:val="007D6D60"/>
    <w:rsid w:val="007E09DA"/>
    <w:rsid w:val="007F305C"/>
    <w:rsid w:val="00815C50"/>
    <w:rsid w:val="008178B6"/>
    <w:rsid w:val="00817C1E"/>
    <w:rsid w:val="00841BDF"/>
    <w:rsid w:val="008562C0"/>
    <w:rsid w:val="00865B74"/>
    <w:rsid w:val="00870ABF"/>
    <w:rsid w:val="008974F0"/>
    <w:rsid w:val="008A242B"/>
    <w:rsid w:val="008A42C4"/>
    <w:rsid w:val="008A64C3"/>
    <w:rsid w:val="008B012A"/>
    <w:rsid w:val="008B0CB4"/>
    <w:rsid w:val="008B78FF"/>
    <w:rsid w:val="008C17A3"/>
    <w:rsid w:val="008C278E"/>
    <w:rsid w:val="008C56E3"/>
    <w:rsid w:val="008C5F3C"/>
    <w:rsid w:val="008C68C0"/>
    <w:rsid w:val="008F1F1D"/>
    <w:rsid w:val="0090084A"/>
    <w:rsid w:val="00905A3C"/>
    <w:rsid w:val="009062EE"/>
    <w:rsid w:val="00906E17"/>
    <w:rsid w:val="009104EB"/>
    <w:rsid w:val="0091693C"/>
    <w:rsid w:val="00930BA1"/>
    <w:rsid w:val="0093169E"/>
    <w:rsid w:val="009414A2"/>
    <w:rsid w:val="00947138"/>
    <w:rsid w:val="009505C9"/>
    <w:rsid w:val="00950752"/>
    <w:rsid w:val="0095599F"/>
    <w:rsid w:val="00957FBD"/>
    <w:rsid w:val="00966424"/>
    <w:rsid w:val="00974FFE"/>
    <w:rsid w:val="00975805"/>
    <w:rsid w:val="009C1792"/>
    <w:rsid w:val="009C2DE6"/>
    <w:rsid w:val="009C2F3F"/>
    <w:rsid w:val="009C46F3"/>
    <w:rsid w:val="009E04D7"/>
    <w:rsid w:val="009E19D5"/>
    <w:rsid w:val="009E67F1"/>
    <w:rsid w:val="009F35B1"/>
    <w:rsid w:val="00A21440"/>
    <w:rsid w:val="00A420DB"/>
    <w:rsid w:val="00A4316F"/>
    <w:rsid w:val="00A51C32"/>
    <w:rsid w:val="00A61E99"/>
    <w:rsid w:val="00A86C55"/>
    <w:rsid w:val="00A960AB"/>
    <w:rsid w:val="00A97D94"/>
    <w:rsid w:val="00AA6F92"/>
    <w:rsid w:val="00AB17EE"/>
    <w:rsid w:val="00AB6934"/>
    <w:rsid w:val="00AE4F5D"/>
    <w:rsid w:val="00AF05B7"/>
    <w:rsid w:val="00AF42DE"/>
    <w:rsid w:val="00B32C34"/>
    <w:rsid w:val="00B3369F"/>
    <w:rsid w:val="00B43BAC"/>
    <w:rsid w:val="00B44D57"/>
    <w:rsid w:val="00B94E6C"/>
    <w:rsid w:val="00B95C51"/>
    <w:rsid w:val="00BB1D5F"/>
    <w:rsid w:val="00BB4606"/>
    <w:rsid w:val="00BB5FED"/>
    <w:rsid w:val="00BC6E78"/>
    <w:rsid w:val="00BE7A85"/>
    <w:rsid w:val="00BF025E"/>
    <w:rsid w:val="00C075E7"/>
    <w:rsid w:val="00C21C92"/>
    <w:rsid w:val="00C23D2F"/>
    <w:rsid w:val="00C30013"/>
    <w:rsid w:val="00C32587"/>
    <w:rsid w:val="00C443BD"/>
    <w:rsid w:val="00C451C5"/>
    <w:rsid w:val="00C45C5B"/>
    <w:rsid w:val="00C76F99"/>
    <w:rsid w:val="00C77421"/>
    <w:rsid w:val="00C9161D"/>
    <w:rsid w:val="00CA0C1D"/>
    <w:rsid w:val="00CC48D2"/>
    <w:rsid w:val="00CE09AB"/>
    <w:rsid w:val="00CE163A"/>
    <w:rsid w:val="00CF1848"/>
    <w:rsid w:val="00CF3A1D"/>
    <w:rsid w:val="00D12044"/>
    <w:rsid w:val="00D170DA"/>
    <w:rsid w:val="00D26FB4"/>
    <w:rsid w:val="00D33EFC"/>
    <w:rsid w:val="00D40DBC"/>
    <w:rsid w:val="00D46EB3"/>
    <w:rsid w:val="00D51B88"/>
    <w:rsid w:val="00D520FF"/>
    <w:rsid w:val="00D54C69"/>
    <w:rsid w:val="00D719D7"/>
    <w:rsid w:val="00D74A55"/>
    <w:rsid w:val="00D76A18"/>
    <w:rsid w:val="00D80849"/>
    <w:rsid w:val="00D82E8F"/>
    <w:rsid w:val="00D85E94"/>
    <w:rsid w:val="00D87A97"/>
    <w:rsid w:val="00DA3538"/>
    <w:rsid w:val="00DC1F73"/>
    <w:rsid w:val="00DC52E8"/>
    <w:rsid w:val="00DC710B"/>
    <w:rsid w:val="00DD0698"/>
    <w:rsid w:val="00DD118C"/>
    <w:rsid w:val="00E024C8"/>
    <w:rsid w:val="00E35860"/>
    <w:rsid w:val="00E37EDE"/>
    <w:rsid w:val="00E4609F"/>
    <w:rsid w:val="00E56381"/>
    <w:rsid w:val="00E56AD1"/>
    <w:rsid w:val="00E60F12"/>
    <w:rsid w:val="00E66235"/>
    <w:rsid w:val="00E730B2"/>
    <w:rsid w:val="00E83C24"/>
    <w:rsid w:val="00E84EA8"/>
    <w:rsid w:val="00E9318D"/>
    <w:rsid w:val="00ED33E3"/>
    <w:rsid w:val="00EE773A"/>
    <w:rsid w:val="00F0559A"/>
    <w:rsid w:val="00F05816"/>
    <w:rsid w:val="00F219FB"/>
    <w:rsid w:val="00F4211A"/>
    <w:rsid w:val="00F430B9"/>
    <w:rsid w:val="00F44F29"/>
    <w:rsid w:val="00F52744"/>
    <w:rsid w:val="00F53193"/>
    <w:rsid w:val="00F5357E"/>
    <w:rsid w:val="00F6586C"/>
    <w:rsid w:val="00F87AF8"/>
    <w:rsid w:val="00F94774"/>
    <w:rsid w:val="00FA663B"/>
    <w:rsid w:val="00FB0D34"/>
    <w:rsid w:val="00FB4074"/>
    <w:rsid w:val="00FC53DB"/>
    <w:rsid w:val="00FF0834"/>
    <w:rsid w:val="00FF6D53"/>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344B5DE"/>
  <w15:docId w15:val="{8D861F63-7FA5-421A-A213-5DA999575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uiPriority w:val="99"/>
    <w:rsid w:val="007E09DA"/>
    <w:pPr>
      <w:tabs>
        <w:tab w:val="center" w:pos="4320"/>
        <w:tab w:val="right" w:pos="8640"/>
      </w:tabs>
      <w:ind w:firstLine="720"/>
      <w:jc w:val="right"/>
    </w:pPr>
  </w:style>
  <w:style w:type="character" w:customStyle="1" w:styleId="FooterChar">
    <w:name w:val="Footer Char"/>
    <w:basedOn w:val="DefaultParagraphFont"/>
    <w:link w:val="Footer"/>
    <w:uiPriority w:val="99"/>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qFormat/>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rsid w:val="00427D21"/>
    <w:pPr>
      <w:numPr>
        <w:numId w:val="2"/>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3"/>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4"/>
      </w:numPr>
      <w:spacing w:after="120"/>
    </w:pPr>
    <w:rPr>
      <w:rFonts w:cs="Angsana New"/>
    </w:rPr>
  </w:style>
  <w:style w:type="paragraph" w:styleId="ListParagraph">
    <w:name w:val="List Paragraph"/>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uiPriority w:val="99"/>
    <w:rsid w:val="009104EB"/>
    <w:pPr>
      <w:spacing w:after="160" w:line="240" w:lineRule="exact"/>
      <w:jc w:val="left"/>
    </w:pPr>
    <w:rPr>
      <w:rFonts w:asciiTheme="minorHAnsi" w:eastAsiaTheme="minorEastAsia" w:hAnsiTheme="minorHAnsi" w:cstheme="minorBidi"/>
      <w:vertAlign w:val="superscript"/>
      <w:lang w:val="fr-CA"/>
    </w:rPr>
  </w:style>
  <w:style w:type="paragraph" w:customStyle="1" w:styleId="TableParagraph">
    <w:name w:val="Table Paragraph"/>
    <w:basedOn w:val="Normal"/>
    <w:uiPriority w:val="1"/>
    <w:qFormat/>
    <w:rsid w:val="002836A7"/>
    <w:pPr>
      <w:widowControl w:val="0"/>
      <w:autoSpaceDE w:val="0"/>
      <w:autoSpaceDN w:val="0"/>
      <w:spacing w:before="123"/>
      <w:jc w:val="right"/>
    </w:pPr>
    <w:rPr>
      <w:rFonts w:ascii="Arial" w:eastAsia="Arial" w:hAnsi="Arial" w:cs="Arial"/>
      <w:szCs w:val="22"/>
      <w:lang w:val="en-US"/>
    </w:rPr>
  </w:style>
  <w:style w:type="paragraph" w:styleId="CommentSubject">
    <w:name w:val="annotation subject"/>
    <w:basedOn w:val="CommentText"/>
    <w:next w:val="CommentText"/>
    <w:link w:val="CommentSubjectChar"/>
    <w:uiPriority w:val="99"/>
    <w:semiHidden/>
    <w:unhideWhenUsed/>
    <w:rsid w:val="002836A7"/>
    <w:pPr>
      <w:widowControl w:val="0"/>
      <w:autoSpaceDE w:val="0"/>
      <w:autoSpaceDN w:val="0"/>
      <w:spacing w:after="0" w:line="240" w:lineRule="auto"/>
      <w:jc w:val="left"/>
    </w:pPr>
    <w:rPr>
      <w:rFonts w:ascii="Arial" w:eastAsia="Arial" w:hAnsi="Arial" w:cs="Arial"/>
      <w:b/>
      <w:bCs/>
      <w:sz w:val="20"/>
      <w:szCs w:val="20"/>
      <w:lang w:val="en-US"/>
    </w:rPr>
  </w:style>
  <w:style w:type="character" w:customStyle="1" w:styleId="CommentSubjectChar">
    <w:name w:val="Comment Subject Char"/>
    <w:basedOn w:val="CommentTextChar"/>
    <w:link w:val="CommentSubject"/>
    <w:uiPriority w:val="99"/>
    <w:semiHidden/>
    <w:rsid w:val="002836A7"/>
    <w:rPr>
      <w:rFonts w:ascii="Arial" w:eastAsia="Arial" w:hAnsi="Arial" w:cs="Arial"/>
      <w:b/>
      <w:bCs/>
      <w:sz w:val="20"/>
      <w:szCs w:val="20"/>
      <w:lang w:val="en-US"/>
    </w:rPr>
  </w:style>
  <w:style w:type="character" w:styleId="UnresolvedMention">
    <w:name w:val="Unresolved Mention"/>
    <w:basedOn w:val="DefaultParagraphFont"/>
    <w:uiPriority w:val="99"/>
    <w:semiHidden/>
    <w:unhideWhenUsed/>
    <w:rsid w:val="002836A7"/>
    <w:rPr>
      <w:color w:val="605E5C"/>
      <w:shd w:val="clear" w:color="auto" w:fill="E1DFDD"/>
    </w:rPr>
  </w:style>
  <w:style w:type="paragraph" w:styleId="Revision">
    <w:name w:val="Revision"/>
    <w:hidden/>
    <w:uiPriority w:val="99"/>
    <w:semiHidden/>
    <w:rsid w:val="002836A7"/>
    <w:rPr>
      <w:rFonts w:ascii="Arial" w:eastAsia="Arial" w:hAnsi="Arial" w:cs="Arial"/>
      <w:sz w:val="22"/>
      <w:szCs w:val="22"/>
      <w:lang w:val="en-US"/>
    </w:rPr>
  </w:style>
  <w:style w:type="paragraph" w:styleId="NormalWeb">
    <w:name w:val="Normal (Web)"/>
    <w:basedOn w:val="Normal"/>
    <w:uiPriority w:val="99"/>
    <w:semiHidden/>
    <w:unhideWhenUsed/>
    <w:rsid w:val="002836A7"/>
    <w:pPr>
      <w:widowControl w:val="0"/>
      <w:autoSpaceDE w:val="0"/>
      <w:autoSpaceDN w:val="0"/>
      <w:jc w:val="left"/>
    </w:pPr>
    <w:rPr>
      <w:rFonts w:eastAsia="Arial"/>
      <w:sz w:val="24"/>
      <w:lang w:val="en-US"/>
    </w:rPr>
  </w:style>
  <w:style w:type="table" w:customStyle="1" w:styleId="TableGrid1">
    <w:name w:val="Table Grid1"/>
    <w:basedOn w:val="TableNormal"/>
    <w:next w:val="TableGrid"/>
    <w:uiPriority w:val="59"/>
    <w:rsid w:val="002836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FootnoteReferencenumberFootnoteReferenceSuperscript-EF">
    <w:name w:val="Style Footnote ReferencenumberFootnote Reference Superscript-E F..."/>
    <w:basedOn w:val="FootnoteReference"/>
    <w:rsid w:val="00D87A97"/>
    <w:rPr>
      <w:kern w:val="22"/>
      <w:sz w:val="18"/>
      <w:u w:val="none"/>
      <w:vertAlign w:val="superscript"/>
    </w:rPr>
  </w:style>
  <w:style w:type="character" w:customStyle="1" w:styleId="normaltextrun">
    <w:name w:val="normaltextrun"/>
    <w:basedOn w:val="DefaultParagraphFont"/>
    <w:rsid w:val="00D87A97"/>
  </w:style>
  <w:style w:type="character" w:customStyle="1" w:styleId="eop">
    <w:name w:val="eop"/>
    <w:basedOn w:val="DefaultParagraphFont"/>
    <w:rsid w:val="00D87A97"/>
  </w:style>
  <w:style w:type="character" w:customStyle="1" w:styleId="ListParagraphChar">
    <w:name w:val="List Paragraph Char"/>
    <w:basedOn w:val="DefaultParagraphFont"/>
    <w:link w:val="ListParagraph"/>
    <w:uiPriority w:val="34"/>
    <w:qFormat/>
    <w:locked/>
    <w:rsid w:val="00D87A97"/>
    <w:rPr>
      <w:rFonts w:ascii="Times New Roman" w:eastAsia="Times New Roman" w:hAnsi="Times New Roman" w:cs="Times New Roman"/>
      <w:sz w:val="22"/>
      <w:lang w:val="en-GB"/>
    </w:rPr>
  </w:style>
  <w:style w:type="character" w:customStyle="1" w:styleId="CBD-ParaCharChar">
    <w:name w:val="CBD-Para Char Char"/>
    <w:link w:val="CBD-Para"/>
    <w:uiPriority w:val="99"/>
    <w:locked/>
    <w:rsid w:val="00D87A97"/>
    <w:rPr>
      <w:rFonts w:ascii="Times New Roman" w:eastAsia="Times New Roman" w:hAnsi="Times New Roman" w:cs="Times New Roman"/>
      <w:sz w:val="22"/>
      <w:szCs w:val="22"/>
      <w:lang w:val="en-US"/>
    </w:rPr>
  </w:style>
  <w:style w:type="paragraph" w:customStyle="1" w:styleId="CBD-Para">
    <w:name w:val="CBD-Para"/>
    <w:basedOn w:val="Normal"/>
    <w:link w:val="CBD-ParaCharChar"/>
    <w:uiPriority w:val="99"/>
    <w:rsid w:val="00D87A97"/>
    <w:pPr>
      <w:keepLines/>
      <w:numPr>
        <w:numId w:val="5"/>
      </w:numPr>
      <w:spacing w:before="120" w:after="120"/>
    </w:pPr>
    <w:rPr>
      <w:szCs w:val="22"/>
      <w:lang w:val="en-US"/>
    </w:rPr>
  </w:style>
  <w:style w:type="paragraph" w:customStyle="1" w:styleId="CBD-Para-a">
    <w:name w:val="CBD-Para-a"/>
    <w:basedOn w:val="CBD-Para"/>
    <w:rsid w:val="00D87A97"/>
    <w:pPr>
      <w:numPr>
        <w:ilvl w:val="1"/>
      </w:numPr>
      <w:tabs>
        <w:tab w:val="clear" w:pos="1080"/>
        <w:tab w:val="num" w:pos="1440"/>
      </w:tabs>
      <w:spacing w:before="60" w:after="60"/>
      <w:ind w:left="3552" w:hanging="91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cbd.int/doc/decisions/cop-14/cop-14-dec-24-en.pdf" TargetMode="External"/><Relationship Id="rId2" Type="http://schemas.openxmlformats.org/officeDocument/2006/relationships/customXml" Target="../customXml/item2.xml"/><Relationship Id="rId16" Type="http://schemas.openxmlformats.org/officeDocument/2006/relationships/hyperlink" Target="https://www.cbd.int/doc/decisions/cop-14/cop-14-dec-24-en.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doc/decisions/cop-13/cop-13-dec-23-en.pdf"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arwick.ac.uk/fac/soc/wbs/conf/olkc/archive/olk4/papers/villardi.pdf" TargetMode="External"/><Relationship Id="rId13" Type="http://schemas.openxmlformats.org/officeDocument/2006/relationships/hyperlink" Target="https://unemg.org/" TargetMode="External"/><Relationship Id="rId3" Type="http://schemas.openxmlformats.org/officeDocument/2006/relationships/hyperlink" Target="https://undocs.org/en/A/RES/75/233" TargetMode="External"/><Relationship Id="rId7" Type="http://schemas.openxmlformats.org/officeDocument/2006/relationships/hyperlink" Target="https://unsdg.un.org/resources/capacity-development-undaf-companion-guidance" TargetMode="External"/><Relationship Id="rId12" Type="http://schemas.openxmlformats.org/officeDocument/2006/relationships/hyperlink" Target="https://www.undp.org/content/undp/en/home/librarypage/capacity-building/incentive-systems-incentives-motivation-and-development-performance-.html" TargetMode="External"/><Relationship Id="rId2" Type="http://schemas.openxmlformats.org/officeDocument/2006/relationships/hyperlink" Target="https://www.cbd.int/doc/c/e660/b9bf/9cb474bfb0e1ed9c4fa03cba/sbi-03-07-add1-en.pdf" TargetMode="External"/><Relationship Id="rId1" Type="http://schemas.openxmlformats.org/officeDocument/2006/relationships/hyperlink" Target="https://www.un.org/pga/75/united-nations-summit-on-biodiversity-summary" TargetMode="External"/><Relationship Id="rId6" Type="http://schemas.openxmlformats.org/officeDocument/2006/relationships/hyperlink" Target="https://www.cbd.int/doc/c/0ab8/2d14/07d2c32c7c92ee730c6e3e58/sbi-03-inf-09-en.pdf" TargetMode="External"/><Relationship Id="rId11" Type="http://schemas.openxmlformats.org/officeDocument/2006/relationships/hyperlink" Target="https://www.unicef.org/evaldatabase/index_70552.html" TargetMode="External"/><Relationship Id="rId5" Type="http://schemas.openxmlformats.org/officeDocument/2006/relationships/hyperlink" Target="https://documents-dds-ny.un.org/doc/UNDOC/GEN/N15/291/89/pdf/N1529189.pdf?OpenElement" TargetMode="External"/><Relationship Id="rId10" Type="http://schemas.openxmlformats.org/officeDocument/2006/relationships/hyperlink" Target="https://www.cbd.int/cb/plans/" TargetMode="External"/><Relationship Id="rId4" Type="http://schemas.openxmlformats.org/officeDocument/2006/relationships/hyperlink" Target="https://unemg.org/wp-content/uploads/2021/04/HLCP41-CRP.2-A-common-approach-to-integrating-biodiversity-and-nature-based-solutions_Rev-12-Apr-2021.pdf" TargetMode="External"/><Relationship Id="rId9" Type="http://schemas.openxmlformats.org/officeDocument/2006/relationships/hyperlink" Target="https://unsdg.un.org/resources/theory-change-undaf-companion-guidance" TargetMode="External"/><Relationship Id="rId14" Type="http://schemas.openxmlformats.org/officeDocument/2006/relationships/hyperlink" Target="http://www.cbd.int/bl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31EF7AED56C94AD9A6ED42F91CBE4E6B"/>
        <w:category>
          <w:name w:val="General"/>
          <w:gallery w:val="placeholder"/>
        </w:category>
        <w:types>
          <w:type w:val="bbPlcHdr"/>
        </w:types>
        <w:behaviors>
          <w:behavior w:val="content"/>
        </w:behaviors>
        <w:guid w:val="{52F8E01D-4EDD-417E-A11B-A3423E92C383}"/>
      </w:docPartPr>
      <w:docPartBody>
        <w:p w:rsidR="00077427" w:rsidRDefault="00481607" w:rsidP="00481607">
          <w:pPr>
            <w:pStyle w:val="31EF7AED56C94AD9A6ED42F91CBE4E6B"/>
          </w:pPr>
          <w:r w:rsidRPr="007E02E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imes New Roman (Headings CS)">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TimesNewRomanP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025CF8"/>
    <w:rsid w:val="000641B5"/>
    <w:rsid w:val="00077427"/>
    <w:rsid w:val="000C3AD0"/>
    <w:rsid w:val="0020738D"/>
    <w:rsid w:val="00444DB4"/>
    <w:rsid w:val="0046422C"/>
    <w:rsid w:val="004760CF"/>
    <w:rsid w:val="00481607"/>
    <w:rsid w:val="004E092F"/>
    <w:rsid w:val="00500A2B"/>
    <w:rsid w:val="0058288D"/>
    <w:rsid w:val="00613596"/>
    <w:rsid w:val="00656BC2"/>
    <w:rsid w:val="00665C6B"/>
    <w:rsid w:val="006801B3"/>
    <w:rsid w:val="007C5935"/>
    <w:rsid w:val="00810A55"/>
    <w:rsid w:val="008712C6"/>
    <w:rsid w:val="008C6619"/>
    <w:rsid w:val="008D420E"/>
    <w:rsid w:val="00943B46"/>
    <w:rsid w:val="00982D84"/>
    <w:rsid w:val="0098642F"/>
    <w:rsid w:val="00C52106"/>
    <w:rsid w:val="00C8104B"/>
    <w:rsid w:val="00D31D12"/>
    <w:rsid w:val="00F749E7"/>
    <w:rsid w:val="00FA3FA6"/>
    <w:rsid w:val="00FF276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481607"/>
  </w:style>
  <w:style w:type="paragraph" w:customStyle="1" w:styleId="31EF7AED56C94AD9A6ED42F91CBE4E6B">
    <w:name w:val="31EF7AED56C94AD9A6ED42F91CBE4E6B"/>
    <w:rsid w:val="00481607"/>
    <w:pPr>
      <w:spacing w:after="160" w:line="259" w:lineRule="auto"/>
    </w:pPr>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3" ma:contentTypeDescription="Create a new document." ma:contentTypeScope="" ma:versionID="0cbec3429130dbf57f96936d623afa01">
  <xsd:schema xmlns:xsd="http://www.w3.org/2001/XMLSchema" xmlns:xs="http://www.w3.org/2001/XMLSchema" xmlns:p="http://schemas.microsoft.com/office/2006/metadata/properties" xmlns:ns2="358298e0-1b7e-4ebe-8695-94439b74f0d1" xmlns:ns3="13ad741f-c0db-4e29-b5a6-03b4a1bc18ba" targetNamespace="http://schemas.microsoft.com/office/2006/metadata/properties" ma:root="true" ma:fieldsID="6a9b1958c50a4c3d2da5b19cca1474e0" ns2:_="" ns3:_="">
    <xsd:import namespace="358298e0-1b7e-4ebe-8695-94439b74f0d1"/>
    <xsd:import namespace="13ad741f-c0db-4e29-b5a6-03b4a1bc18b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C57B4241-ACE9-41A1-A6F6-9132EC10C178}">
  <ds:schemaRefs>
    <ds:schemaRef ds:uri="http://schemas.openxmlformats.org/officeDocument/2006/bibliography"/>
  </ds:schemaRefs>
</ds:datastoreItem>
</file>

<file path=customXml/itemProps4.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EDEAB81-8761-4985-92D8-F8A209EBEB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13725</Words>
  <Characters>78235</Characters>
  <Application>Microsoft Office Word</Application>
  <DocSecurity>0</DocSecurity>
  <Lines>651</Lines>
  <Paragraphs>183</Paragraphs>
  <ScaleCrop>false</ScaleCrop>
  <HeadingPairs>
    <vt:vector size="2" baseType="variant">
      <vt:variant>
        <vt:lpstr>Title</vt:lpstr>
      </vt:variant>
      <vt:variant>
        <vt:i4>1</vt:i4>
      </vt:variant>
    </vt:vector>
  </HeadingPairs>
  <TitlesOfParts>
    <vt:vector size="1" baseType="lpstr">
      <vt:lpstr>CAPACITY-BUILDING AND DEVELOPMENT, TECHNICAL AND SCIENTIFIC COOPERATION AND TECHNOLOGY TRANSFER</vt:lpstr>
    </vt:vector>
  </TitlesOfParts>
  <Company>SCBD</Company>
  <LinksUpToDate>false</LinksUpToDate>
  <CharactersWithSpaces>91777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 ADOPTED BY THE SUBSIDIARY BODY ON IMPLEMENTATION</dc:title>
  <dc:subject>CBD/SBI/REC/3/8</dc:subject>
  <dc:creator>SCBD</dc:creator>
  <cp:keywords>Convention on Biological Diversity</cp:keywords>
  <cp:lastModifiedBy>Veronique Lefebvre</cp:lastModifiedBy>
  <cp:revision>4</cp:revision>
  <cp:lastPrinted>2020-01-21T16:56:00Z</cp:lastPrinted>
  <dcterms:created xsi:type="dcterms:W3CDTF">2022-05-11T13:47:00Z</dcterms:created>
  <dcterms:modified xsi:type="dcterms:W3CDTF">2022-05-11T13:51:00Z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ies>
</file>