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871D3E" w14:paraId="07F6750D" w14:textId="77777777" w:rsidTr="009C2DE6">
        <w:trPr>
          <w:trHeight w:val="851"/>
        </w:trPr>
        <w:tc>
          <w:tcPr>
            <w:tcW w:w="976" w:type="dxa"/>
            <w:tcBorders>
              <w:bottom w:val="single" w:sz="12" w:space="0" w:color="auto"/>
            </w:tcBorders>
          </w:tcPr>
          <w:p w14:paraId="1DEFF495" w14:textId="77777777" w:rsidR="00C9161D" w:rsidRPr="00871D3E" w:rsidRDefault="00C9161D" w:rsidP="00321985">
            <w:pPr>
              <w:rPr>
                <w:lang w:val="fr-FR"/>
              </w:rPr>
            </w:pPr>
            <w:r w:rsidRPr="00871D3E">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280C645" w:rsidR="00FA663B" w:rsidRPr="00871D3E" w:rsidRDefault="00871D3E" w:rsidP="00321985">
            <w:pPr>
              <w:rPr>
                <w:lang w:val="fr-FR"/>
              </w:rPr>
            </w:pPr>
            <w:r w:rsidRPr="00871D3E">
              <w:rPr>
                <w:noProof/>
                <w:lang w:val="fr-FR" w:eastAsia="fr-FR"/>
              </w:rPr>
              <w:drawing>
                <wp:inline distT="0" distB="0" distL="0" distR="0" wp14:anchorId="7142FB9D" wp14:editId="31BB98DE">
                  <wp:extent cx="593725" cy="3409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871D3E" w:rsidRDefault="00C9161D" w:rsidP="00C9161D">
            <w:pPr>
              <w:jc w:val="right"/>
              <w:rPr>
                <w:rFonts w:ascii="Arial" w:hAnsi="Arial" w:cs="Arial"/>
                <w:b/>
                <w:sz w:val="32"/>
                <w:szCs w:val="32"/>
                <w:lang w:val="fr-FR"/>
              </w:rPr>
            </w:pPr>
            <w:r w:rsidRPr="00871D3E">
              <w:rPr>
                <w:rFonts w:ascii="Arial" w:hAnsi="Arial" w:cs="Arial"/>
                <w:b/>
                <w:sz w:val="32"/>
                <w:szCs w:val="32"/>
                <w:lang w:val="fr-FR"/>
              </w:rPr>
              <w:t>CBD</w:t>
            </w:r>
          </w:p>
        </w:tc>
      </w:tr>
      <w:tr w:rsidR="00C9161D" w:rsidRPr="00F83A33" w14:paraId="6F751905" w14:textId="77777777" w:rsidTr="00CF1848">
        <w:tc>
          <w:tcPr>
            <w:tcW w:w="6117" w:type="dxa"/>
            <w:gridSpan w:val="2"/>
            <w:tcBorders>
              <w:top w:val="single" w:sz="12" w:space="0" w:color="auto"/>
              <w:bottom w:val="single" w:sz="36" w:space="0" w:color="auto"/>
            </w:tcBorders>
            <w:vAlign w:val="center"/>
          </w:tcPr>
          <w:p w14:paraId="14F52A6C" w14:textId="51B1CD5A" w:rsidR="00C9161D" w:rsidRPr="00871D3E" w:rsidRDefault="00871D3E" w:rsidP="00C9161D">
            <w:pPr>
              <w:rPr>
                <w:lang w:val="fr-FR"/>
              </w:rPr>
            </w:pPr>
            <w:r w:rsidRPr="00871D3E">
              <w:rPr>
                <w:bCs/>
                <w:noProof/>
                <w:szCs w:val="22"/>
                <w:lang w:val="fr-FR" w:eastAsia="fr-FR"/>
              </w:rPr>
              <w:drawing>
                <wp:inline distT="0" distB="0" distL="0" distR="0" wp14:anchorId="2D1FDDC6" wp14:editId="3A8BB3DF">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871D3E" w:rsidRDefault="00C9161D" w:rsidP="00176CEE">
            <w:pPr>
              <w:ind w:left="1215"/>
              <w:rPr>
                <w:szCs w:val="22"/>
                <w:lang w:val="fr-FR"/>
              </w:rPr>
            </w:pPr>
            <w:r w:rsidRPr="00871D3E">
              <w:rPr>
                <w:szCs w:val="22"/>
                <w:lang w:val="fr-FR"/>
              </w:rPr>
              <w:t>Distr.</w:t>
            </w:r>
          </w:p>
          <w:p w14:paraId="0C21C438" w14:textId="4D6E1ABC" w:rsidR="00C9161D" w:rsidRPr="00871D3E" w:rsidRDefault="00F83A33" w:rsidP="00176CEE">
            <w:pPr>
              <w:ind w:left="1215"/>
              <w:rPr>
                <w:szCs w:val="22"/>
                <w:lang w:val="fr-FR"/>
              </w:rPr>
            </w:pPr>
            <w:r>
              <w:rPr>
                <w:caps/>
                <w:szCs w:val="22"/>
                <w:lang w:val="fr-FR"/>
              </w:rPr>
              <w:t>general</w:t>
            </w:r>
            <w:r w:rsidR="00871D3E">
              <w:rPr>
                <w:caps/>
                <w:szCs w:val="22"/>
                <w:lang w:val="fr-FR"/>
              </w:rPr>
              <w:t>e</w:t>
            </w:r>
          </w:p>
          <w:p w14:paraId="06715052" w14:textId="77777777" w:rsidR="00C9161D" w:rsidRPr="00871D3E" w:rsidRDefault="00C9161D" w:rsidP="00176CEE">
            <w:pPr>
              <w:ind w:left="1215"/>
              <w:rPr>
                <w:szCs w:val="22"/>
                <w:lang w:val="fr-FR"/>
              </w:rPr>
            </w:pPr>
          </w:p>
          <w:p w14:paraId="44230134" w14:textId="28DDD65D" w:rsidR="00C9161D" w:rsidRPr="00871D3E" w:rsidRDefault="00F70488"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32BE9" w:rsidRPr="00871D3E">
                  <w:rPr>
                    <w:lang w:val="fr-FR"/>
                  </w:rPr>
                  <w:t>CBD/SBI/</w:t>
                </w:r>
                <w:r w:rsidR="00F83A33">
                  <w:rPr>
                    <w:lang w:val="fr-FR"/>
                  </w:rPr>
                  <w:t>REC/3/9</w:t>
                </w:r>
              </w:sdtContent>
            </w:sdt>
          </w:p>
          <w:p w14:paraId="0DF1F033" w14:textId="3921569A" w:rsidR="00C9161D" w:rsidRPr="00871D3E" w:rsidRDefault="00F83A33" w:rsidP="00176CEE">
            <w:pPr>
              <w:ind w:left="1215"/>
              <w:rPr>
                <w:szCs w:val="22"/>
                <w:lang w:val="fr-FR"/>
              </w:rPr>
            </w:pPr>
            <w:r>
              <w:rPr>
                <w:szCs w:val="22"/>
                <w:lang w:val="fr-FR"/>
              </w:rPr>
              <w:t>28</w:t>
            </w:r>
            <w:r w:rsidR="00C50CAD" w:rsidRPr="00871D3E">
              <w:rPr>
                <w:szCs w:val="22"/>
                <w:lang w:val="fr-FR"/>
              </w:rPr>
              <w:t xml:space="preserve"> </w:t>
            </w:r>
            <w:r w:rsidR="00871D3E">
              <w:rPr>
                <w:szCs w:val="22"/>
                <w:lang w:val="fr-FR"/>
              </w:rPr>
              <w:t>mars</w:t>
            </w:r>
            <w:r w:rsidR="00F6586C" w:rsidRPr="00871D3E">
              <w:rPr>
                <w:szCs w:val="22"/>
                <w:lang w:val="fr-FR"/>
              </w:rPr>
              <w:t xml:space="preserve"> 20</w:t>
            </w:r>
            <w:r w:rsidR="00FF6D53" w:rsidRPr="00871D3E">
              <w:rPr>
                <w:szCs w:val="22"/>
                <w:lang w:val="fr-FR"/>
              </w:rPr>
              <w:t>2</w:t>
            </w:r>
            <w:r w:rsidR="008C56E3" w:rsidRPr="00871D3E">
              <w:rPr>
                <w:szCs w:val="22"/>
                <w:lang w:val="fr-FR"/>
              </w:rPr>
              <w:t>2</w:t>
            </w:r>
          </w:p>
          <w:p w14:paraId="159892DF" w14:textId="77777777" w:rsidR="00C9161D" w:rsidRPr="00871D3E" w:rsidRDefault="00C9161D" w:rsidP="00176CEE">
            <w:pPr>
              <w:ind w:left="1215"/>
              <w:rPr>
                <w:szCs w:val="22"/>
                <w:lang w:val="fr-FR"/>
              </w:rPr>
            </w:pPr>
          </w:p>
          <w:p w14:paraId="44D5A442" w14:textId="77777777" w:rsidR="00871D3E" w:rsidRPr="00871D3E" w:rsidRDefault="00871D3E" w:rsidP="00871D3E">
            <w:pPr>
              <w:ind w:left="1215"/>
              <w:rPr>
                <w:szCs w:val="22"/>
                <w:lang w:val="fr-FR"/>
              </w:rPr>
            </w:pPr>
            <w:r w:rsidRPr="00871D3E">
              <w:rPr>
                <w:szCs w:val="22"/>
                <w:lang w:val="fr-FR"/>
              </w:rPr>
              <w:t>FRANÇAIS</w:t>
            </w:r>
          </w:p>
          <w:p w14:paraId="4BF6094B" w14:textId="77777777" w:rsidR="00C9161D" w:rsidRPr="00871D3E" w:rsidRDefault="00871D3E" w:rsidP="00871D3E">
            <w:pPr>
              <w:ind w:left="1186"/>
              <w:rPr>
                <w:szCs w:val="22"/>
                <w:lang w:val="fr-FR"/>
              </w:rPr>
            </w:pPr>
            <w:r w:rsidRPr="00871D3E">
              <w:rPr>
                <w:szCs w:val="22"/>
                <w:lang w:val="fr-FR"/>
              </w:rPr>
              <w:t xml:space="preserve">ORIGINAL : ANGLAIS </w:t>
            </w:r>
          </w:p>
          <w:p w14:paraId="5AA10CCE" w14:textId="2AA66178" w:rsidR="00871D3E" w:rsidRPr="00871D3E" w:rsidRDefault="00871D3E" w:rsidP="00871D3E">
            <w:pPr>
              <w:ind w:left="1186"/>
              <w:rPr>
                <w:lang w:val="fr-FR"/>
              </w:rPr>
            </w:pPr>
          </w:p>
        </w:tc>
      </w:tr>
    </w:tbl>
    <w:p w14:paraId="2C216D81" w14:textId="77777777" w:rsidR="00871D3E" w:rsidRDefault="009768F1" w:rsidP="009768F1">
      <w:pPr>
        <w:rPr>
          <w:rFonts w:eastAsia="Malgun Gothic"/>
          <w:caps/>
          <w:snapToGrid w:val="0"/>
          <w:kern w:val="22"/>
          <w:szCs w:val="22"/>
          <w:lang w:val="fr-CA"/>
        </w:rPr>
      </w:pPr>
      <w:r w:rsidRPr="00871D3E">
        <w:rPr>
          <w:caps/>
          <w:kern w:val="22"/>
          <w:szCs w:val="22"/>
          <w:lang w:val="fr-FR"/>
        </w:rPr>
        <w:t xml:space="preserve">ORGANE </w:t>
      </w:r>
      <w:r w:rsidRPr="00871D3E">
        <w:rPr>
          <w:rFonts w:eastAsia="Malgun Gothic"/>
          <w:caps/>
          <w:snapToGrid w:val="0"/>
          <w:kern w:val="22"/>
          <w:szCs w:val="22"/>
          <w:lang w:val="fr-CA"/>
        </w:rPr>
        <w:t xml:space="preserve">SUBSIDIAIRE CHARGÉ DE </w:t>
      </w:r>
    </w:p>
    <w:p w14:paraId="2E6551B6" w14:textId="6C552CEB" w:rsidR="009768F1" w:rsidRPr="00871D3E" w:rsidRDefault="00871D3E" w:rsidP="009768F1">
      <w:pPr>
        <w:rPr>
          <w:rFonts w:eastAsia="Malgun Gothic"/>
          <w:caps/>
          <w:snapToGrid w:val="0"/>
          <w:kern w:val="22"/>
          <w:szCs w:val="22"/>
          <w:lang w:val="fr-CA"/>
        </w:rPr>
      </w:pPr>
      <w:r>
        <w:rPr>
          <w:rFonts w:eastAsia="Malgun Gothic"/>
          <w:caps/>
          <w:snapToGrid w:val="0"/>
          <w:kern w:val="22"/>
          <w:szCs w:val="22"/>
          <w:lang w:val="fr-CA"/>
        </w:rPr>
        <w:t xml:space="preserve">   </w:t>
      </w:r>
      <w:r w:rsidR="009768F1" w:rsidRPr="00871D3E">
        <w:rPr>
          <w:rFonts w:eastAsia="Malgun Gothic"/>
          <w:caps/>
          <w:snapToGrid w:val="0"/>
          <w:kern w:val="22"/>
          <w:szCs w:val="22"/>
          <w:lang w:val="fr-CA"/>
        </w:rPr>
        <w:t>L'APPLICATION</w:t>
      </w:r>
    </w:p>
    <w:p w14:paraId="424BB5D8" w14:textId="6C5023DD" w:rsidR="009768F1" w:rsidRPr="00871D3E" w:rsidRDefault="00F83A33" w:rsidP="009768F1">
      <w:pPr>
        <w:rPr>
          <w:snapToGrid w:val="0"/>
          <w:kern w:val="22"/>
          <w:szCs w:val="22"/>
          <w:lang w:val="fr-FR" w:eastAsia="nb-NO"/>
        </w:rPr>
      </w:pPr>
      <w:r>
        <w:rPr>
          <w:snapToGrid w:val="0"/>
          <w:kern w:val="22"/>
          <w:szCs w:val="22"/>
          <w:lang w:val="fr-FR" w:eastAsia="nb-NO"/>
        </w:rPr>
        <w:t xml:space="preserve">Troisième réunion </w:t>
      </w:r>
    </w:p>
    <w:p w14:paraId="34E2D70F" w14:textId="2B410EDE" w:rsidR="00F83A33" w:rsidRDefault="00F83A33" w:rsidP="009768F1">
      <w:pPr>
        <w:rPr>
          <w:snapToGrid w:val="0"/>
          <w:kern w:val="22"/>
          <w:szCs w:val="22"/>
          <w:lang w:val="fr-FR" w:eastAsia="nb-NO"/>
        </w:rPr>
      </w:pPr>
      <w:r>
        <w:rPr>
          <w:snapToGrid w:val="0"/>
          <w:kern w:val="22"/>
          <w:szCs w:val="22"/>
          <w:lang w:val="fr-FR" w:eastAsia="nb-NO"/>
        </w:rPr>
        <w:t>En ligne, 16 mai-13 juin 2021 et</w:t>
      </w:r>
    </w:p>
    <w:p w14:paraId="6D8BE5E6" w14:textId="7D612320" w:rsidR="009768F1" w:rsidRPr="00871D3E" w:rsidRDefault="009768F1" w:rsidP="009768F1">
      <w:pPr>
        <w:rPr>
          <w:snapToGrid w:val="0"/>
          <w:kern w:val="22"/>
          <w:szCs w:val="22"/>
          <w:lang w:val="fr-FR" w:eastAsia="nb-NO"/>
        </w:rPr>
      </w:pPr>
      <w:r w:rsidRPr="00871D3E">
        <w:rPr>
          <w:snapToGrid w:val="0"/>
          <w:kern w:val="22"/>
          <w:szCs w:val="22"/>
          <w:lang w:val="fr-FR" w:eastAsia="nb-NO"/>
        </w:rPr>
        <w:t>Genève, Suisse, 14-29 mars 2022</w:t>
      </w:r>
    </w:p>
    <w:p w14:paraId="62CA6FE4" w14:textId="3D605EDE" w:rsidR="00932645" w:rsidRPr="00AF1822" w:rsidRDefault="009768F1" w:rsidP="00AF1822">
      <w:pPr>
        <w:spacing w:after="360"/>
        <w:rPr>
          <w:lang w:val="fr-FR"/>
        </w:rPr>
      </w:pPr>
      <w:r w:rsidRPr="00871D3E">
        <w:rPr>
          <w:snapToGrid w:val="0"/>
          <w:kern w:val="22"/>
          <w:szCs w:val="22"/>
          <w:lang w:val="fr-FR" w:eastAsia="nb-NO"/>
        </w:rPr>
        <w:t>Point 7 de l'ordre du jour</w:t>
      </w:r>
    </w:p>
    <w:p w14:paraId="22A86C5C" w14:textId="36B17150" w:rsidR="009768F1" w:rsidRPr="00871D3E" w:rsidRDefault="00F70488" w:rsidP="009768F1">
      <w:pPr>
        <w:spacing w:before="120" w:after="240"/>
        <w:jc w:val="center"/>
        <w:rPr>
          <w:rFonts w:ascii="Times New Roman Bold" w:hAnsi="Times New Roman Bold" w:cs="Times New Roman Bold"/>
          <w:b/>
          <w:caps/>
          <w:lang w:val="fr-FR"/>
        </w:rPr>
      </w:pPr>
      <w:sdt>
        <w:sdtPr>
          <w:rPr>
            <w:b/>
            <w:caps/>
            <w:lang w:val="fr-FR"/>
          </w:rPr>
          <w:alias w:val="Title"/>
          <w:tag w:val=""/>
          <w:id w:val="772832786"/>
          <w:placeholder>
            <w:docPart w:val="3160CC4302F7F84C98C9843F576C53FC"/>
          </w:placeholder>
          <w:dataBinding w:prefixMappings="xmlns:ns0='http://purl.org/dc/elements/1.1/' xmlns:ns1='http://schemas.openxmlformats.org/package/2006/metadata/core-properties' " w:xpath="/ns1:coreProperties[1]/ns0:title[1]" w:storeItemID="{6C3C8BC8-F283-45AE-878A-BAB7291924A1}"/>
          <w:text/>
        </w:sdtPr>
        <w:sdtEndPr/>
        <w:sdtContent>
          <w:r w:rsidR="00E6538E" w:rsidRPr="00E6538E">
            <w:rPr>
              <w:b/>
              <w:caps/>
              <w:lang w:val="fr-FR"/>
            </w:rPr>
            <w:t>RECOMMANDATION ADOPTEE PAR L’ORGANE SUBSIDIAIRE CHARGE DE L’APPLICATION</w:t>
          </w:r>
        </w:sdtContent>
      </w:sdt>
    </w:p>
    <w:p w14:paraId="08902ECB" w14:textId="74AEE29F" w:rsidR="009768F1" w:rsidRPr="00871D3E" w:rsidRDefault="00E6538E" w:rsidP="00E6538E">
      <w:pPr>
        <w:pStyle w:val="Style1"/>
        <w:spacing w:after="240"/>
        <w:ind w:left="567" w:hanging="425"/>
        <w:jc w:val="left"/>
        <w:rPr>
          <w:bCs w:val="0"/>
          <w:i w:val="0"/>
          <w:iCs w:val="0"/>
          <w:lang w:val="fr-FR"/>
        </w:rPr>
      </w:pPr>
      <w:r>
        <w:rPr>
          <w:bCs w:val="0"/>
          <w:i w:val="0"/>
          <w:iCs w:val="0"/>
          <w:lang w:val="fr-FR"/>
        </w:rPr>
        <w:t xml:space="preserve">3.9  Evaluation du cadre stratégique pour le renforcement </w:t>
      </w:r>
      <w:r w:rsidR="00F83A33">
        <w:rPr>
          <w:bCs w:val="0"/>
          <w:i w:val="0"/>
          <w:iCs w:val="0"/>
          <w:lang w:val="fr-FR"/>
        </w:rPr>
        <w:t xml:space="preserve">des capacités </w:t>
      </w:r>
      <w:r>
        <w:rPr>
          <w:bCs w:val="0"/>
          <w:i w:val="0"/>
          <w:iCs w:val="0"/>
          <w:lang w:val="fr-FR"/>
        </w:rPr>
        <w:t>et la créa</w:t>
      </w:r>
      <w:r w:rsidR="008E1BD9">
        <w:rPr>
          <w:bCs w:val="0"/>
          <w:i w:val="0"/>
          <w:iCs w:val="0"/>
          <w:lang w:val="fr-FR"/>
        </w:rPr>
        <w:t xml:space="preserve">tion de capacités en appui à l’application </w:t>
      </w:r>
      <w:r w:rsidR="00F83A33">
        <w:rPr>
          <w:bCs w:val="0"/>
          <w:i w:val="0"/>
          <w:iCs w:val="0"/>
          <w:lang w:val="fr-FR"/>
        </w:rPr>
        <w:t>effective du Protocole de Nagoya</w:t>
      </w:r>
    </w:p>
    <w:p w14:paraId="1E5FD8D2" w14:textId="3D1A52D4" w:rsidR="009768F1" w:rsidRPr="00871D3E" w:rsidRDefault="009768F1" w:rsidP="00E6538E">
      <w:pPr>
        <w:pStyle w:val="Para1"/>
        <w:numPr>
          <w:ilvl w:val="0"/>
          <w:numId w:val="0"/>
        </w:numPr>
        <w:spacing w:after="240"/>
        <w:ind w:firstLine="720"/>
        <w:rPr>
          <w:i/>
          <w:iCs/>
          <w:lang w:val="fr-FR"/>
        </w:rPr>
      </w:pPr>
      <w:r w:rsidRPr="00871D3E">
        <w:rPr>
          <w:i/>
          <w:iCs/>
          <w:lang w:val="fr-FR"/>
        </w:rPr>
        <w:t>L'Organe subs</w:t>
      </w:r>
      <w:r w:rsidR="00F83A33">
        <w:rPr>
          <w:i/>
          <w:iCs/>
          <w:lang w:val="fr-FR"/>
        </w:rPr>
        <w:t>idiaire chargé de l'application</w:t>
      </w:r>
    </w:p>
    <w:p w14:paraId="5E0DB72B" w14:textId="37571AEE" w:rsidR="009768F1" w:rsidRPr="00871D3E" w:rsidRDefault="009768F1" w:rsidP="009768F1">
      <w:pPr>
        <w:pStyle w:val="Para1"/>
        <w:numPr>
          <w:ilvl w:val="0"/>
          <w:numId w:val="0"/>
        </w:numPr>
        <w:ind w:firstLine="720"/>
        <w:rPr>
          <w:i/>
          <w:lang w:val="fr-FR"/>
        </w:rPr>
      </w:pPr>
      <w:r w:rsidRPr="00871D3E">
        <w:rPr>
          <w:i/>
          <w:iCs/>
          <w:lang w:val="fr-FR"/>
        </w:rPr>
        <w:t>Recommande</w:t>
      </w:r>
      <w:r w:rsidRPr="00871D3E">
        <w:rPr>
          <w:lang w:val="fr-FR"/>
        </w:rPr>
        <w:t xml:space="preserve"> que la Conférence des Parties siégeant en tant que réunion des Parties au Protocole de Nagoya, à sa quatrièm</w:t>
      </w:r>
      <w:r w:rsidR="00AF1822">
        <w:rPr>
          <w:lang w:val="fr-FR"/>
        </w:rPr>
        <w:t>e réunion, adopte une décision qui serait libellée comme suit</w:t>
      </w:r>
      <w:r w:rsidRPr="00871D3E">
        <w:rPr>
          <w:lang w:val="fr-FR"/>
        </w:rPr>
        <w:t> :</w:t>
      </w:r>
    </w:p>
    <w:p w14:paraId="4F38E661" w14:textId="77777777" w:rsidR="009768F1" w:rsidRPr="00871D3E" w:rsidRDefault="009768F1" w:rsidP="009768F1">
      <w:pPr>
        <w:pStyle w:val="Para1"/>
        <w:numPr>
          <w:ilvl w:val="0"/>
          <w:numId w:val="0"/>
        </w:numPr>
        <w:ind w:firstLine="720"/>
        <w:rPr>
          <w:i/>
          <w:iCs/>
          <w:lang w:val="fr-FR"/>
        </w:rPr>
      </w:pPr>
      <w:r w:rsidRPr="00871D3E">
        <w:rPr>
          <w:i/>
          <w:iCs/>
          <w:lang w:val="fr-FR"/>
        </w:rPr>
        <w:t>La Conférence des Parties siégeant en tant que réunion des Parties au Protocole de Nagoya</w:t>
      </w:r>
    </w:p>
    <w:p w14:paraId="54EAF772" w14:textId="2FEFB2C3" w:rsidR="009768F1" w:rsidRPr="00871D3E" w:rsidRDefault="009768F1" w:rsidP="009768F1">
      <w:pPr>
        <w:pStyle w:val="Para1"/>
        <w:numPr>
          <w:ilvl w:val="1"/>
          <w:numId w:val="63"/>
        </w:numPr>
        <w:suppressLineNumbers/>
        <w:tabs>
          <w:tab w:val="clear" w:pos="1440"/>
        </w:tabs>
        <w:suppressAutoHyphens/>
        <w:rPr>
          <w:rFonts w:eastAsia="Calibri"/>
          <w:kern w:val="22"/>
          <w:lang w:val="fr-FR"/>
        </w:rPr>
      </w:pPr>
      <w:r w:rsidRPr="00871D3E">
        <w:rPr>
          <w:rFonts w:eastAsia="Calibri"/>
          <w:i/>
          <w:iCs/>
          <w:kern w:val="22"/>
          <w:lang w:val="fr-FR"/>
        </w:rPr>
        <w:t>Prend note</w:t>
      </w:r>
      <w:r w:rsidRPr="00871D3E">
        <w:rPr>
          <w:rFonts w:eastAsia="Calibri"/>
          <w:kern w:val="22"/>
          <w:lang w:val="fr-FR"/>
        </w:rPr>
        <w:t xml:space="preserve"> des conclusions et des recommandations de l’évaluation du cadre stratégique pour </w:t>
      </w:r>
      <w:r w:rsidR="00F83A33">
        <w:rPr>
          <w:rFonts w:eastAsia="Calibri"/>
          <w:kern w:val="22"/>
          <w:lang w:val="fr-FR"/>
        </w:rPr>
        <w:t>le renforcement des capacités</w:t>
      </w:r>
      <w:bookmarkStart w:id="0" w:name="_GoBack"/>
      <w:bookmarkEnd w:id="0"/>
      <w:r w:rsidR="00F83A33">
        <w:rPr>
          <w:rFonts w:eastAsia="Calibri"/>
          <w:kern w:val="22"/>
          <w:lang w:val="fr-FR"/>
        </w:rPr>
        <w:t xml:space="preserve"> et la création de capacités</w:t>
      </w:r>
      <w:r w:rsidRPr="00871D3E">
        <w:rPr>
          <w:rFonts w:eastAsia="Calibri"/>
          <w:kern w:val="22"/>
          <w:lang w:val="fr-FR"/>
        </w:rPr>
        <w:t xml:space="preserve"> </w:t>
      </w:r>
      <w:r w:rsidR="008E1BD9">
        <w:rPr>
          <w:rFonts w:eastAsia="Calibri"/>
          <w:kern w:val="22"/>
          <w:lang w:val="fr-FR"/>
        </w:rPr>
        <w:t>en appui à l’application</w:t>
      </w:r>
      <w:r w:rsidRPr="00871D3E">
        <w:rPr>
          <w:rFonts w:eastAsia="Calibri"/>
          <w:kern w:val="22"/>
          <w:lang w:val="fr-FR"/>
        </w:rPr>
        <w:t xml:space="preserve"> effective du Protocole de Nagoya, qui comprend les contributions apportées par le Comité consultatif informel sur le renforcement des</w:t>
      </w:r>
      <w:r w:rsidR="00733A98">
        <w:rPr>
          <w:rFonts w:eastAsia="Calibri"/>
          <w:kern w:val="22"/>
          <w:lang w:val="fr-FR"/>
        </w:rPr>
        <w:t xml:space="preserve"> capacités pour l’application</w:t>
      </w:r>
      <w:r w:rsidRPr="00871D3E">
        <w:rPr>
          <w:rFonts w:eastAsia="Calibri"/>
          <w:kern w:val="22"/>
          <w:lang w:val="fr-FR"/>
        </w:rPr>
        <w:t xml:space="preserve"> du Protocole de Nagoya à sa quatrième réunion</w:t>
      </w:r>
      <w:r w:rsidRPr="00871D3E">
        <w:rPr>
          <w:rStyle w:val="FootnoteReference"/>
          <w:rFonts w:eastAsia="Calibri"/>
          <w:kern w:val="22"/>
          <w:lang w:val="fr-FR"/>
        </w:rPr>
        <w:footnoteReference w:id="1"/>
      </w:r>
      <w:r w:rsidRPr="00871D3E">
        <w:rPr>
          <w:rFonts w:eastAsia="Calibri"/>
          <w:kern w:val="22"/>
          <w:lang w:val="fr-FR"/>
        </w:rPr>
        <w:t>;</w:t>
      </w:r>
    </w:p>
    <w:p w14:paraId="5523B2F2" w14:textId="4D8E59F6" w:rsidR="009768F1" w:rsidRPr="00871D3E" w:rsidRDefault="009768F1" w:rsidP="009768F1">
      <w:pPr>
        <w:pStyle w:val="Para1"/>
        <w:numPr>
          <w:ilvl w:val="1"/>
          <w:numId w:val="63"/>
        </w:numPr>
        <w:suppressLineNumbers/>
        <w:tabs>
          <w:tab w:val="clear" w:pos="1440"/>
        </w:tabs>
        <w:suppressAutoHyphens/>
        <w:rPr>
          <w:rFonts w:eastAsia="Calibri"/>
          <w:kern w:val="22"/>
          <w:lang w:val="fr-FR"/>
        </w:rPr>
      </w:pPr>
      <w:r w:rsidRPr="00871D3E">
        <w:rPr>
          <w:rFonts w:eastAsia="Calibri"/>
          <w:i/>
          <w:kern w:val="22"/>
          <w:lang w:val="fr-FR"/>
        </w:rPr>
        <w:t xml:space="preserve">Accueille avec satisfaction </w:t>
      </w:r>
      <w:r w:rsidRPr="00871D3E">
        <w:rPr>
          <w:rFonts w:eastAsia="Calibri"/>
          <w:kern w:val="22"/>
          <w:lang w:val="fr-FR"/>
        </w:rPr>
        <w:t xml:space="preserve">les recommandations visant à améliorer le cadre stratégique et </w:t>
      </w:r>
      <w:r w:rsidRPr="00871D3E">
        <w:rPr>
          <w:rFonts w:eastAsia="Calibri"/>
          <w:i/>
          <w:iCs/>
          <w:kern w:val="22"/>
          <w:lang w:val="fr-FR"/>
        </w:rPr>
        <w:t>accepte</w:t>
      </w:r>
      <w:r w:rsidRPr="00871D3E">
        <w:rPr>
          <w:rFonts w:eastAsia="Calibri"/>
          <w:kern w:val="22"/>
          <w:lang w:val="fr-FR"/>
        </w:rPr>
        <w:t xml:space="preserve"> de le révis</w:t>
      </w:r>
      <w:r w:rsidR="00AF1822">
        <w:rPr>
          <w:rFonts w:eastAsia="Calibri"/>
          <w:kern w:val="22"/>
          <w:lang w:val="fr-FR"/>
        </w:rPr>
        <w:t>er conformément au c</w:t>
      </w:r>
      <w:r w:rsidRPr="00871D3E">
        <w:rPr>
          <w:rFonts w:eastAsia="Calibri"/>
          <w:kern w:val="22"/>
          <w:lang w:val="fr-FR"/>
        </w:rPr>
        <w:t xml:space="preserve">adre mondial de la biodiversité pour l'après-2020, au cadre stratégique à long terme pour </w:t>
      </w:r>
      <w:r w:rsidR="00F83A33">
        <w:rPr>
          <w:rFonts w:eastAsia="Calibri"/>
          <w:kern w:val="22"/>
          <w:lang w:val="fr-FR"/>
        </w:rPr>
        <w:t>le renforcement des capacités et la création de capacités</w:t>
      </w:r>
      <w:r w:rsidRPr="00871D3E">
        <w:rPr>
          <w:rFonts w:eastAsia="Calibri"/>
          <w:kern w:val="22"/>
          <w:lang w:val="fr-FR"/>
        </w:rPr>
        <w:t xml:space="preserve"> </w:t>
      </w:r>
      <w:r w:rsidR="00F83A33">
        <w:rPr>
          <w:rFonts w:eastAsia="Calibri"/>
          <w:kern w:val="22"/>
          <w:lang w:val="fr-FR"/>
        </w:rPr>
        <w:t>en appui à la</w:t>
      </w:r>
      <w:r w:rsidR="00AF1822">
        <w:rPr>
          <w:rFonts w:eastAsia="Calibri"/>
          <w:kern w:val="22"/>
          <w:lang w:val="fr-FR"/>
        </w:rPr>
        <w:t xml:space="preserve"> mise en œuvre du c</w:t>
      </w:r>
      <w:r w:rsidRPr="00871D3E">
        <w:rPr>
          <w:rFonts w:eastAsia="Calibri"/>
          <w:kern w:val="22"/>
          <w:lang w:val="fr-FR"/>
        </w:rPr>
        <w:t>adre mondial de la biodiversité pour l'après-2020</w:t>
      </w:r>
      <w:r w:rsidRPr="00871D3E">
        <w:rPr>
          <w:rStyle w:val="FootnoteReference"/>
          <w:rFonts w:eastAsia="Calibri"/>
          <w:kern w:val="22"/>
          <w:lang w:val="fr-FR"/>
        </w:rPr>
        <w:footnoteReference w:id="2"/>
      </w:r>
      <w:r w:rsidRPr="00871D3E">
        <w:rPr>
          <w:rFonts w:eastAsia="Calibri"/>
          <w:kern w:val="22"/>
          <w:lang w:val="fr-FR"/>
        </w:rPr>
        <w:t>, et aux conclusions de l'évaluation visé</w:t>
      </w:r>
      <w:r w:rsidR="008D4B62">
        <w:rPr>
          <w:rFonts w:eastAsia="Calibri"/>
          <w:kern w:val="22"/>
          <w:lang w:val="fr-FR"/>
        </w:rPr>
        <w:t>e au paragraphe 1 ci-dessus</w:t>
      </w:r>
      <w:r w:rsidRPr="00871D3E">
        <w:rPr>
          <w:rFonts w:eastAsia="Calibri"/>
          <w:kern w:val="22"/>
          <w:lang w:val="fr-FR"/>
        </w:rPr>
        <w:t>;</w:t>
      </w:r>
    </w:p>
    <w:p w14:paraId="5594C248" w14:textId="303182A5" w:rsidR="009768F1" w:rsidRPr="00871D3E" w:rsidRDefault="009768F1" w:rsidP="009768F1">
      <w:pPr>
        <w:pStyle w:val="Para1"/>
        <w:numPr>
          <w:ilvl w:val="1"/>
          <w:numId w:val="63"/>
        </w:numPr>
        <w:suppressLineNumbers/>
        <w:tabs>
          <w:tab w:val="clear" w:pos="1440"/>
        </w:tabs>
        <w:suppressAutoHyphens/>
        <w:rPr>
          <w:rFonts w:eastAsia="Calibri"/>
          <w:kern w:val="22"/>
          <w:lang w:val="fr-FR"/>
        </w:rPr>
      </w:pPr>
      <w:r w:rsidRPr="00871D3E">
        <w:rPr>
          <w:rFonts w:eastAsia="Calibri"/>
          <w:i/>
          <w:kern w:val="22"/>
          <w:lang w:val="fr-FR"/>
        </w:rPr>
        <w:t>Prend note</w:t>
      </w:r>
      <w:r w:rsidRPr="00871D3E">
        <w:rPr>
          <w:rFonts w:eastAsia="Calibri"/>
          <w:kern w:val="22"/>
          <w:lang w:val="fr-FR"/>
        </w:rPr>
        <w:t xml:space="preserve"> du rapport du Comité consultatif informel sur le renforcement des</w:t>
      </w:r>
      <w:r w:rsidR="00733A98">
        <w:rPr>
          <w:rFonts w:eastAsia="Calibri"/>
          <w:kern w:val="22"/>
          <w:lang w:val="fr-FR"/>
        </w:rPr>
        <w:t xml:space="preserve"> capacités pour l’application</w:t>
      </w:r>
      <w:r w:rsidRPr="00871D3E">
        <w:rPr>
          <w:rFonts w:eastAsia="Calibri"/>
          <w:kern w:val="22"/>
          <w:lang w:val="fr-FR"/>
        </w:rPr>
        <w:t xml:space="preserve"> du Protocole de Nagoya à sa </w:t>
      </w:r>
      <w:r w:rsidR="00AF1822">
        <w:rPr>
          <w:rFonts w:eastAsia="Calibri"/>
          <w:kern w:val="22"/>
          <w:lang w:val="fr-FR"/>
        </w:rPr>
        <w:t>quatrième réunion, qui s’est tenue</w:t>
      </w:r>
      <w:r w:rsidRPr="00871D3E">
        <w:rPr>
          <w:rFonts w:eastAsia="Calibri"/>
          <w:kern w:val="22"/>
          <w:lang w:val="fr-FR"/>
        </w:rPr>
        <w:t xml:space="preserve"> pendant la période intersessions</w:t>
      </w:r>
      <w:r w:rsidRPr="00871D3E">
        <w:rPr>
          <w:rStyle w:val="FootnoteReference"/>
          <w:rFonts w:eastAsia="Calibri"/>
          <w:kern w:val="22"/>
          <w:lang w:val="fr-FR"/>
        </w:rPr>
        <w:footnoteReference w:id="3"/>
      </w:r>
      <w:r w:rsidRPr="00871D3E">
        <w:rPr>
          <w:rFonts w:eastAsia="Calibri"/>
          <w:kern w:val="22"/>
          <w:lang w:val="fr-FR"/>
        </w:rPr>
        <w:t xml:space="preserve">, et </w:t>
      </w:r>
      <w:r w:rsidRPr="00871D3E">
        <w:rPr>
          <w:rFonts w:eastAsia="Calibri"/>
          <w:i/>
          <w:kern w:val="22"/>
          <w:lang w:val="fr-FR"/>
        </w:rPr>
        <w:t>décide</w:t>
      </w:r>
      <w:r w:rsidRPr="00871D3E">
        <w:rPr>
          <w:rFonts w:eastAsia="Calibri"/>
          <w:kern w:val="22"/>
          <w:lang w:val="fr-FR"/>
        </w:rPr>
        <w:t xml:space="preserve"> de prolonger le mandat du Comité consultatif informel jusqu'à la cinquième réunion de la Conférence des Parties siégeant en tant que réunion des Parties au Protocole de Nagoya et d'actualiser son mandat pour y inclure l'appui à la révision et à l'actualisation du cadre stratégique pour </w:t>
      </w:r>
      <w:r w:rsidR="00F83A33">
        <w:rPr>
          <w:rFonts w:eastAsia="Calibri"/>
          <w:kern w:val="22"/>
          <w:lang w:val="fr-FR"/>
        </w:rPr>
        <w:t>le renforcement des capacités et la création de capacités</w:t>
      </w:r>
      <w:r w:rsidRPr="00871D3E">
        <w:rPr>
          <w:rFonts w:eastAsia="Calibri"/>
          <w:kern w:val="22"/>
          <w:lang w:val="fr-FR"/>
        </w:rPr>
        <w:t>;</w:t>
      </w:r>
    </w:p>
    <w:p w14:paraId="46EE323A" w14:textId="74DDD6E4" w:rsidR="009768F1" w:rsidRPr="00871D3E" w:rsidRDefault="009768F1" w:rsidP="009768F1">
      <w:pPr>
        <w:pStyle w:val="Para1"/>
        <w:numPr>
          <w:ilvl w:val="1"/>
          <w:numId w:val="63"/>
        </w:numPr>
        <w:suppressLineNumbers/>
        <w:tabs>
          <w:tab w:val="clear" w:pos="1440"/>
        </w:tabs>
        <w:suppressAutoHyphens/>
        <w:rPr>
          <w:rFonts w:eastAsia="Calibri"/>
          <w:i/>
          <w:kern w:val="22"/>
          <w:lang w:val="fr-FR"/>
        </w:rPr>
      </w:pPr>
      <w:r w:rsidRPr="00871D3E">
        <w:rPr>
          <w:rFonts w:eastAsia="Calibri"/>
          <w:i/>
          <w:iCs/>
          <w:kern w:val="22"/>
          <w:lang w:val="fr-FR"/>
        </w:rPr>
        <w:t xml:space="preserve">Décide </w:t>
      </w:r>
      <w:r w:rsidRPr="00871D3E">
        <w:rPr>
          <w:rFonts w:eastAsia="Calibri"/>
          <w:kern w:val="22"/>
          <w:lang w:val="fr-FR"/>
        </w:rPr>
        <w:t>d'élargir la composition du Comité consultatif informel pour y inclure des représentants du secteur des entreprises, du milie</w:t>
      </w:r>
      <w:r w:rsidR="008D4B62">
        <w:rPr>
          <w:rFonts w:eastAsia="Calibri"/>
          <w:kern w:val="22"/>
          <w:lang w:val="fr-FR"/>
        </w:rPr>
        <w:t>u de la recherche et des jeunes</w:t>
      </w:r>
      <w:r w:rsidRPr="00871D3E">
        <w:rPr>
          <w:rFonts w:eastAsia="Calibri"/>
          <w:kern w:val="22"/>
          <w:lang w:val="fr-FR"/>
        </w:rPr>
        <w:t>;</w:t>
      </w:r>
    </w:p>
    <w:p w14:paraId="3B09AE64" w14:textId="7D89E368" w:rsidR="009768F1" w:rsidRPr="00871D3E" w:rsidRDefault="009768F1" w:rsidP="009768F1">
      <w:pPr>
        <w:pStyle w:val="Para1"/>
        <w:numPr>
          <w:ilvl w:val="1"/>
          <w:numId w:val="63"/>
        </w:numPr>
        <w:suppressLineNumbers/>
        <w:tabs>
          <w:tab w:val="clear" w:pos="1440"/>
        </w:tabs>
        <w:suppressAutoHyphens/>
        <w:rPr>
          <w:rFonts w:eastAsia="Calibri"/>
          <w:kern w:val="22"/>
          <w:lang w:val="fr-FR"/>
        </w:rPr>
      </w:pPr>
      <w:r w:rsidRPr="00871D3E">
        <w:rPr>
          <w:i/>
          <w:kern w:val="22"/>
          <w:lang w:val="fr-FR"/>
        </w:rPr>
        <w:lastRenderedPageBreak/>
        <w:t xml:space="preserve">Décide également </w:t>
      </w:r>
      <w:r w:rsidRPr="00871D3E">
        <w:rPr>
          <w:kern w:val="22"/>
          <w:lang w:val="fr-FR"/>
        </w:rPr>
        <w:t xml:space="preserve">que le Comité consultatif informel se réunira une fois en présentiel, et qu'il mènera des consultations en ligne, selon que de besoin, </w:t>
      </w:r>
      <w:r w:rsidR="00F83A33">
        <w:rPr>
          <w:kern w:val="22"/>
          <w:lang w:val="fr-FR"/>
        </w:rPr>
        <w:t>en appui à la</w:t>
      </w:r>
      <w:r w:rsidRPr="00871D3E">
        <w:rPr>
          <w:kern w:val="22"/>
          <w:lang w:val="fr-FR"/>
        </w:rPr>
        <w:t xml:space="preserve"> révision et à l'actualisation du cadre stratégique pour </w:t>
      </w:r>
      <w:r w:rsidR="00F83A33">
        <w:rPr>
          <w:kern w:val="22"/>
          <w:lang w:val="fr-FR"/>
        </w:rPr>
        <w:t>le renforcement des capacités et la création de capacités</w:t>
      </w:r>
      <w:r w:rsidRPr="00871D3E">
        <w:rPr>
          <w:rFonts w:eastAsia="Calibri"/>
          <w:kern w:val="22"/>
          <w:lang w:val="fr-FR"/>
        </w:rPr>
        <w:t>;</w:t>
      </w:r>
    </w:p>
    <w:p w14:paraId="7D740B90" w14:textId="45DC4AA8" w:rsidR="009768F1" w:rsidRPr="00871D3E" w:rsidRDefault="009768F1" w:rsidP="009768F1">
      <w:pPr>
        <w:pStyle w:val="Para1"/>
        <w:numPr>
          <w:ilvl w:val="1"/>
          <w:numId w:val="63"/>
        </w:numPr>
        <w:suppressLineNumbers/>
        <w:tabs>
          <w:tab w:val="clear" w:pos="1440"/>
        </w:tabs>
        <w:suppressAutoHyphens/>
        <w:rPr>
          <w:rFonts w:eastAsia="Calibri"/>
          <w:kern w:val="22"/>
          <w:lang w:val="fr-FR"/>
        </w:rPr>
      </w:pPr>
      <w:r w:rsidRPr="00871D3E">
        <w:rPr>
          <w:rFonts w:eastAsia="Calibri"/>
          <w:i/>
          <w:iCs/>
          <w:kern w:val="22"/>
          <w:lang w:val="fr-FR"/>
        </w:rPr>
        <w:t>Exhorte</w:t>
      </w:r>
      <w:r w:rsidR="00AF1822">
        <w:rPr>
          <w:rFonts w:eastAsia="Calibri"/>
          <w:kern w:val="22"/>
          <w:lang w:val="fr-FR"/>
        </w:rPr>
        <w:t xml:space="preserve"> les Parties</w:t>
      </w:r>
      <w:r w:rsidRPr="00871D3E">
        <w:rPr>
          <w:rFonts w:eastAsia="Calibri"/>
          <w:kern w:val="22"/>
          <w:lang w:val="fr-FR"/>
        </w:rPr>
        <w:t xml:space="preserve"> et </w:t>
      </w:r>
      <w:r w:rsidRPr="00871D3E">
        <w:rPr>
          <w:rFonts w:eastAsia="Calibri"/>
          <w:i/>
          <w:kern w:val="22"/>
          <w:lang w:val="fr-FR"/>
        </w:rPr>
        <w:t>encourage</w:t>
      </w:r>
      <w:r w:rsidRPr="00871D3E">
        <w:rPr>
          <w:rFonts w:eastAsia="Calibri"/>
          <w:kern w:val="22"/>
          <w:lang w:val="fr-FR"/>
        </w:rPr>
        <w:t xml:space="preserve"> les États non-Parties et les organisations compétentes à :</w:t>
      </w:r>
    </w:p>
    <w:p w14:paraId="67ECA053" w14:textId="2F28F024" w:rsidR="009768F1" w:rsidRPr="00871D3E" w:rsidRDefault="009768F1" w:rsidP="009768F1">
      <w:pPr>
        <w:pStyle w:val="Para1"/>
        <w:numPr>
          <w:ilvl w:val="2"/>
          <w:numId w:val="63"/>
        </w:numPr>
        <w:suppressLineNumbers/>
        <w:suppressAutoHyphens/>
        <w:ind w:left="0" w:firstLine="720"/>
        <w:rPr>
          <w:rFonts w:eastAsia="Calibri"/>
          <w:kern w:val="22"/>
          <w:lang w:val="fr-FR"/>
        </w:rPr>
      </w:pPr>
      <w:r w:rsidRPr="00871D3E">
        <w:rPr>
          <w:rFonts w:eastAsia="Calibri"/>
          <w:kern w:val="22"/>
          <w:lang w:val="fr-FR"/>
        </w:rPr>
        <w:t xml:space="preserve">Intensifier leurs efforts pour renforcer et développer les capacités des pays en développement Parties, en particulier des pays les moins avancés et des petits États insulaires en développement parmi eux, et des Parties à économie en transition, conformément aux dispositions de la Convention et de son Protocole de Nagoya, à appliquer le Protocole de Nagoya, en tenant compte des secteurs prioritaires identifiés dans l'annexe à la présente décision et dans le </w:t>
      </w:r>
      <w:r w:rsidR="008D4B62">
        <w:rPr>
          <w:rFonts w:eastAsia="Calibri"/>
          <w:kern w:val="22"/>
          <w:lang w:val="fr-FR"/>
        </w:rPr>
        <w:t xml:space="preserve">cadre mondial </w:t>
      </w:r>
      <w:r w:rsidR="00AF1822">
        <w:rPr>
          <w:rFonts w:eastAsia="Calibri"/>
          <w:kern w:val="22"/>
          <w:lang w:val="fr-FR"/>
        </w:rPr>
        <w:t xml:space="preserve">de la biodiversité </w:t>
      </w:r>
      <w:r w:rsidR="008D4B62">
        <w:rPr>
          <w:rFonts w:eastAsia="Calibri"/>
          <w:kern w:val="22"/>
          <w:lang w:val="fr-FR"/>
        </w:rPr>
        <w:t>pour l’après-2020</w:t>
      </w:r>
      <w:r w:rsidRPr="00871D3E">
        <w:rPr>
          <w:rFonts w:eastAsia="Calibri"/>
          <w:kern w:val="22"/>
          <w:lang w:val="fr-FR"/>
        </w:rPr>
        <w:t>;</w:t>
      </w:r>
    </w:p>
    <w:p w14:paraId="7BCF8AA8" w14:textId="5D5B7D48" w:rsidR="009768F1" w:rsidRPr="00871D3E" w:rsidRDefault="009768F1" w:rsidP="009768F1">
      <w:pPr>
        <w:pStyle w:val="Para1"/>
        <w:numPr>
          <w:ilvl w:val="2"/>
          <w:numId w:val="63"/>
        </w:numPr>
        <w:suppressLineNumbers/>
        <w:suppressAutoHyphens/>
        <w:ind w:left="0" w:firstLine="720"/>
        <w:rPr>
          <w:rFonts w:eastAsia="Calibri"/>
          <w:kern w:val="22"/>
          <w:lang w:val="fr-FR"/>
        </w:rPr>
      </w:pPr>
      <w:r w:rsidRPr="00871D3E">
        <w:rPr>
          <w:rFonts w:eastAsia="Calibri"/>
          <w:kern w:val="22"/>
          <w:lang w:val="fr-FR"/>
        </w:rPr>
        <w:t>Continuer à mettre à disposition des informations sur les initiatives et ressou</w:t>
      </w:r>
      <w:r w:rsidR="00AF1822">
        <w:rPr>
          <w:rFonts w:eastAsia="Calibri"/>
          <w:kern w:val="22"/>
          <w:lang w:val="fr-FR"/>
        </w:rPr>
        <w:t xml:space="preserve">rces en matière </w:t>
      </w:r>
      <w:r w:rsidRPr="00871D3E">
        <w:rPr>
          <w:rFonts w:eastAsia="Calibri"/>
          <w:kern w:val="22"/>
          <w:lang w:val="fr-FR"/>
        </w:rPr>
        <w:t xml:space="preserve">de renforcement des capacités </w:t>
      </w:r>
      <w:r w:rsidR="00AF1822">
        <w:rPr>
          <w:rFonts w:eastAsia="Calibri"/>
          <w:kern w:val="22"/>
          <w:lang w:val="fr-FR"/>
        </w:rPr>
        <w:t xml:space="preserve">et de création de capacités, </w:t>
      </w:r>
      <w:r w:rsidRPr="00871D3E">
        <w:rPr>
          <w:rFonts w:eastAsia="Calibri"/>
          <w:kern w:val="22"/>
          <w:lang w:val="fr-FR"/>
        </w:rPr>
        <w:t xml:space="preserve">et </w:t>
      </w:r>
      <w:r w:rsidR="00AF1822">
        <w:rPr>
          <w:rFonts w:eastAsia="Calibri"/>
          <w:kern w:val="22"/>
          <w:lang w:val="fr-FR"/>
        </w:rPr>
        <w:t xml:space="preserve">sur </w:t>
      </w:r>
      <w:r w:rsidRPr="00871D3E">
        <w:rPr>
          <w:rFonts w:eastAsia="Calibri"/>
          <w:kern w:val="22"/>
          <w:lang w:val="fr-FR"/>
        </w:rPr>
        <w:t xml:space="preserve">les meilleures pratiques et </w:t>
      </w:r>
      <w:r w:rsidR="00AF1822">
        <w:rPr>
          <w:rFonts w:eastAsia="Calibri"/>
          <w:kern w:val="22"/>
          <w:lang w:val="fr-FR"/>
        </w:rPr>
        <w:t xml:space="preserve">les </w:t>
      </w:r>
      <w:r w:rsidRPr="00871D3E">
        <w:rPr>
          <w:rFonts w:eastAsia="Calibri"/>
          <w:kern w:val="22"/>
          <w:lang w:val="fr-FR"/>
        </w:rPr>
        <w:t xml:space="preserve">enseignements tirés dans le </w:t>
      </w:r>
      <w:r w:rsidR="00AF1822">
        <w:rPr>
          <w:rFonts w:eastAsia="Calibri"/>
          <w:kern w:val="22"/>
          <w:lang w:val="fr-FR"/>
        </w:rPr>
        <w:t xml:space="preserve">cadre du </w:t>
      </w:r>
      <w:r w:rsidRPr="00871D3E">
        <w:rPr>
          <w:rFonts w:eastAsia="Calibri"/>
          <w:kern w:val="22"/>
          <w:lang w:val="fr-FR"/>
        </w:rPr>
        <w:t>Centre d'échange sur l'ac</w:t>
      </w:r>
      <w:r w:rsidR="008D4B62">
        <w:rPr>
          <w:rFonts w:eastAsia="Calibri"/>
          <w:kern w:val="22"/>
          <w:lang w:val="fr-FR"/>
        </w:rPr>
        <w:t>cès et le partage des avantages</w:t>
      </w:r>
      <w:r w:rsidRPr="00871D3E">
        <w:rPr>
          <w:rFonts w:eastAsia="Calibri"/>
          <w:kern w:val="22"/>
          <w:lang w:val="fr-FR"/>
        </w:rPr>
        <w:t>;</w:t>
      </w:r>
    </w:p>
    <w:p w14:paraId="64074E8F" w14:textId="67D86B4E" w:rsidR="009768F1" w:rsidRPr="00871D3E" w:rsidRDefault="009768F1" w:rsidP="009768F1">
      <w:pPr>
        <w:pStyle w:val="Para1"/>
        <w:numPr>
          <w:ilvl w:val="1"/>
          <w:numId w:val="63"/>
        </w:numPr>
        <w:suppressLineNumbers/>
        <w:tabs>
          <w:tab w:val="clear" w:pos="1440"/>
        </w:tabs>
        <w:suppressAutoHyphens/>
        <w:rPr>
          <w:i/>
          <w:kern w:val="22"/>
          <w:lang w:val="fr-FR"/>
        </w:rPr>
      </w:pPr>
      <w:r w:rsidRPr="00871D3E">
        <w:rPr>
          <w:rFonts w:eastAsia="Calibri"/>
          <w:i/>
          <w:iCs/>
          <w:kern w:val="22"/>
          <w:lang w:val="fr-FR"/>
        </w:rPr>
        <w:t>Prie</w:t>
      </w:r>
      <w:r w:rsidRPr="00871D3E">
        <w:rPr>
          <w:rFonts w:eastAsia="Calibri"/>
          <w:kern w:val="22"/>
          <w:lang w:val="fr-FR"/>
        </w:rPr>
        <w:t xml:space="preserve"> la Secrétaire exécutive, en consultation avec les Parties, d'élaborer un cadre stratégique révisé pour </w:t>
      </w:r>
      <w:r w:rsidR="00F83A33">
        <w:rPr>
          <w:rFonts w:eastAsia="Calibri"/>
          <w:kern w:val="22"/>
          <w:lang w:val="fr-FR"/>
        </w:rPr>
        <w:t>le renforcement des capacités et la création de capacités</w:t>
      </w:r>
      <w:r w:rsidRPr="00871D3E">
        <w:rPr>
          <w:rFonts w:eastAsia="Calibri"/>
          <w:kern w:val="22"/>
          <w:lang w:val="fr-FR"/>
        </w:rPr>
        <w:t xml:space="preserve"> </w:t>
      </w:r>
      <w:r w:rsidR="008E1BD9">
        <w:rPr>
          <w:rFonts w:eastAsia="Calibri"/>
          <w:kern w:val="22"/>
          <w:lang w:val="fr-FR"/>
        </w:rPr>
        <w:t>en appui à l’application</w:t>
      </w:r>
      <w:r w:rsidRPr="00871D3E">
        <w:rPr>
          <w:rFonts w:eastAsia="Calibri"/>
          <w:kern w:val="22"/>
          <w:lang w:val="fr-FR"/>
        </w:rPr>
        <w:t xml:space="preserve"> effective du Protoc</w:t>
      </w:r>
      <w:r w:rsidR="00AF1822">
        <w:rPr>
          <w:rFonts w:eastAsia="Calibri"/>
          <w:kern w:val="22"/>
          <w:lang w:val="fr-FR"/>
        </w:rPr>
        <w:t>ole de Nagoya, conformément au c</w:t>
      </w:r>
      <w:r w:rsidRPr="00871D3E">
        <w:rPr>
          <w:rFonts w:eastAsia="Calibri"/>
          <w:kern w:val="22"/>
          <w:lang w:val="fr-FR"/>
        </w:rPr>
        <w:t>adre mondial de la biodiversité pour l'après-2020, au cadre stratégique à long</w:t>
      </w:r>
      <w:r w:rsidR="00AF1822">
        <w:rPr>
          <w:rFonts w:eastAsia="Calibri"/>
          <w:kern w:val="22"/>
          <w:lang w:val="fr-FR"/>
        </w:rPr>
        <w:t xml:space="preserve"> terme pour </w:t>
      </w:r>
      <w:r w:rsidRPr="00871D3E">
        <w:rPr>
          <w:rFonts w:eastAsia="Calibri"/>
          <w:kern w:val="22"/>
          <w:lang w:val="fr-FR"/>
        </w:rPr>
        <w:t xml:space="preserve">le renforcement des capacités </w:t>
      </w:r>
      <w:r w:rsidR="00AF1822">
        <w:rPr>
          <w:rFonts w:eastAsia="Calibri"/>
          <w:kern w:val="22"/>
          <w:lang w:val="fr-FR"/>
        </w:rPr>
        <w:t xml:space="preserve">et la création de capacités </w:t>
      </w:r>
      <w:r w:rsidR="00F83A33">
        <w:rPr>
          <w:rFonts w:eastAsia="Calibri"/>
          <w:kern w:val="22"/>
          <w:lang w:val="fr-FR"/>
        </w:rPr>
        <w:t>en appui à la</w:t>
      </w:r>
      <w:r w:rsidR="00AF1822">
        <w:rPr>
          <w:rFonts w:eastAsia="Calibri"/>
          <w:kern w:val="22"/>
          <w:lang w:val="fr-FR"/>
        </w:rPr>
        <w:t xml:space="preserve"> mise en œuvre du c</w:t>
      </w:r>
      <w:r w:rsidRPr="00871D3E">
        <w:rPr>
          <w:rFonts w:eastAsia="Calibri"/>
          <w:kern w:val="22"/>
          <w:lang w:val="fr-FR"/>
        </w:rPr>
        <w:t>adre mondial de la biodiversité pour l'après-2020 et en tenant compte des c</w:t>
      </w:r>
      <w:r w:rsidR="00AF1822">
        <w:rPr>
          <w:rFonts w:eastAsia="Calibri"/>
          <w:kern w:val="22"/>
          <w:lang w:val="fr-FR"/>
        </w:rPr>
        <w:t xml:space="preserve">onclusions de l'évaluation, pour </w:t>
      </w:r>
      <w:r w:rsidRPr="00871D3E">
        <w:rPr>
          <w:rFonts w:eastAsia="Calibri"/>
          <w:kern w:val="22"/>
          <w:lang w:val="fr-FR"/>
        </w:rPr>
        <w:t>examen par l'Organe subsidiaire chargé de l'application</w:t>
      </w:r>
      <w:r w:rsidR="00AF1822">
        <w:rPr>
          <w:rFonts w:eastAsia="Calibri"/>
          <w:kern w:val="22"/>
          <w:lang w:val="fr-FR"/>
        </w:rPr>
        <w:t xml:space="preserve"> à sa quatrième réunion pour </w:t>
      </w:r>
      <w:r w:rsidRPr="00871D3E">
        <w:rPr>
          <w:rFonts w:eastAsia="Calibri"/>
          <w:kern w:val="22"/>
          <w:lang w:val="fr-FR"/>
        </w:rPr>
        <w:t>adoption par la Conférence des Parties sié</w:t>
      </w:r>
      <w:r w:rsidR="00AF1822">
        <w:rPr>
          <w:rFonts w:eastAsia="Calibri"/>
          <w:kern w:val="22"/>
          <w:lang w:val="fr-FR"/>
        </w:rPr>
        <w:t>geant en tant que r</w:t>
      </w:r>
      <w:r w:rsidRPr="00871D3E">
        <w:rPr>
          <w:rFonts w:eastAsia="Calibri"/>
          <w:kern w:val="22"/>
          <w:lang w:val="fr-FR"/>
        </w:rPr>
        <w:t>éunion des Parties au Protocole de Nagoya à sa cinquième réunion</w:t>
      </w:r>
      <w:r w:rsidRPr="00871D3E">
        <w:rPr>
          <w:kern w:val="22"/>
          <w:lang w:val="fr-FR"/>
        </w:rPr>
        <w:t>.</w:t>
      </w:r>
    </w:p>
    <w:p w14:paraId="075DA3C9" w14:textId="77777777" w:rsidR="009768F1" w:rsidRPr="00871D3E" w:rsidRDefault="009768F1" w:rsidP="009768F1">
      <w:pPr>
        <w:pStyle w:val="ListParagraph"/>
        <w:suppressLineNumbers/>
        <w:suppressAutoHyphens/>
        <w:spacing w:after="120"/>
        <w:ind w:left="0"/>
        <w:jc w:val="center"/>
        <w:rPr>
          <w:i/>
          <w:kern w:val="22"/>
          <w:bdr w:val="none" w:sz="0" w:space="0" w:color="auto" w:frame="1"/>
          <w:lang w:val="fr-FR"/>
        </w:rPr>
      </w:pPr>
      <w:r w:rsidRPr="00871D3E">
        <w:rPr>
          <w:i/>
          <w:kern w:val="22"/>
          <w:bdr w:val="none" w:sz="0" w:space="0" w:color="auto" w:frame="1"/>
          <w:lang w:val="fr-FR"/>
        </w:rPr>
        <w:t>Annexe</w:t>
      </w:r>
    </w:p>
    <w:p w14:paraId="2E6115B6" w14:textId="6BD6C53B" w:rsidR="009768F1" w:rsidRPr="00871D3E" w:rsidRDefault="009768F1" w:rsidP="009768F1">
      <w:pPr>
        <w:pStyle w:val="Heading1"/>
        <w:suppressLineNumbers/>
        <w:tabs>
          <w:tab w:val="clear" w:pos="720"/>
        </w:tabs>
        <w:suppressAutoHyphens/>
        <w:spacing w:before="120"/>
        <w:rPr>
          <w:bdr w:val="none" w:sz="0" w:space="0" w:color="auto" w:frame="1"/>
          <w:lang w:val="fr-FR"/>
        </w:rPr>
      </w:pPr>
      <w:r w:rsidRPr="00871D3E">
        <w:rPr>
          <w:bdr w:val="none" w:sz="0" w:space="0" w:color="auto" w:frame="1"/>
          <w:lang w:val="fr-FR"/>
        </w:rPr>
        <w:t xml:space="preserve">PrioritÉs spÉcifiques pour la poursuite du renforcement des capacitÉs </w:t>
      </w:r>
      <w:r w:rsidR="00AF1822">
        <w:rPr>
          <w:bdr w:val="none" w:sz="0" w:space="0" w:color="auto" w:frame="1"/>
          <w:lang w:val="fr-FR"/>
        </w:rPr>
        <w:t>en appui à l’application</w:t>
      </w:r>
      <w:r w:rsidRPr="00871D3E">
        <w:rPr>
          <w:bdr w:val="none" w:sz="0" w:space="0" w:color="auto" w:frame="1"/>
          <w:lang w:val="fr-FR"/>
        </w:rPr>
        <w:t xml:space="preserve"> du Protocole de Nagoya</w:t>
      </w:r>
    </w:p>
    <w:p w14:paraId="5D8AA9BA" w14:textId="0EBBB64E" w:rsidR="009768F1" w:rsidRPr="00871D3E" w:rsidRDefault="009768F1" w:rsidP="009768F1">
      <w:pPr>
        <w:pStyle w:val="ListParagraph"/>
        <w:suppressLineNumbers/>
        <w:suppressAutoHyphens/>
        <w:spacing w:before="120" w:after="120"/>
        <w:ind w:left="0" w:firstLine="720"/>
        <w:contextualSpacing w:val="0"/>
        <w:rPr>
          <w:kern w:val="22"/>
          <w:bdr w:val="none" w:sz="0" w:space="0" w:color="auto" w:frame="1"/>
          <w:lang w:val="fr-FR"/>
        </w:rPr>
      </w:pPr>
      <w:r w:rsidRPr="00871D3E">
        <w:rPr>
          <w:kern w:val="22"/>
          <w:bdr w:val="none" w:sz="0" w:space="0" w:color="auto" w:frame="1"/>
          <w:lang w:val="fr-FR"/>
        </w:rPr>
        <w:t>Parmi les priorités spécifiques pour la pou</w:t>
      </w:r>
      <w:r w:rsidR="00AF1822">
        <w:rPr>
          <w:kern w:val="22"/>
          <w:bdr w:val="none" w:sz="0" w:space="0" w:color="auto" w:frame="1"/>
          <w:lang w:val="fr-FR"/>
        </w:rPr>
        <w:t xml:space="preserve">rsuite </w:t>
      </w:r>
      <w:r w:rsidRPr="00871D3E">
        <w:rPr>
          <w:kern w:val="22"/>
          <w:bdr w:val="none" w:sz="0" w:space="0" w:color="auto" w:frame="1"/>
          <w:lang w:val="fr-FR"/>
        </w:rPr>
        <w:t xml:space="preserve">du renforcement des capacités </w:t>
      </w:r>
      <w:r w:rsidR="00AF1822">
        <w:rPr>
          <w:kern w:val="22"/>
          <w:bdr w:val="none" w:sz="0" w:space="0" w:color="auto" w:frame="1"/>
          <w:lang w:val="fr-FR"/>
        </w:rPr>
        <w:t xml:space="preserve">et de la création de capacités </w:t>
      </w:r>
      <w:r w:rsidRPr="00871D3E">
        <w:rPr>
          <w:kern w:val="22"/>
          <w:bdr w:val="none" w:sz="0" w:space="0" w:color="auto" w:frame="1"/>
          <w:lang w:val="fr-FR"/>
        </w:rPr>
        <w:t>identifiées lors de l'exercice d’évaluation et d’examen du Protocole de Nagoya figurent :</w:t>
      </w:r>
    </w:p>
    <w:p w14:paraId="2B9E30C5" w14:textId="25C2D78A" w:rsidR="009768F1" w:rsidRPr="00871D3E" w:rsidRDefault="009768F1"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sidRPr="00871D3E">
        <w:rPr>
          <w:kern w:val="22"/>
          <w:lang w:val="fr-FR"/>
        </w:rPr>
        <w:t>L'élaboration d</w:t>
      </w:r>
      <w:r w:rsidR="00AF1822">
        <w:rPr>
          <w:kern w:val="22"/>
          <w:lang w:val="fr-FR"/>
        </w:rPr>
        <w:t>'une législation ou d'une réglementation</w:t>
      </w:r>
      <w:r w:rsidRPr="00871D3E">
        <w:rPr>
          <w:kern w:val="22"/>
          <w:lang w:val="fr-FR"/>
        </w:rPr>
        <w:t xml:space="preserve"> en matière d'accès et de partage des avantages, en tenant compte de l'article 8 du Protocole et</w:t>
      </w:r>
      <w:r w:rsidR="00AF1822">
        <w:rPr>
          <w:kern w:val="22"/>
          <w:lang w:val="fr-FR"/>
        </w:rPr>
        <w:t xml:space="preserve"> de la nécessité de faire en sorte</w:t>
      </w:r>
      <w:r w:rsidRPr="00871D3E">
        <w:rPr>
          <w:kern w:val="22"/>
          <w:lang w:val="fr-FR"/>
        </w:rPr>
        <w:t xml:space="preserve"> que le Protocole et les autres instruments internationaux pertinents soient mis en œuvre de mani</w:t>
      </w:r>
      <w:r w:rsidR="008D4B62">
        <w:rPr>
          <w:kern w:val="22"/>
          <w:lang w:val="fr-FR"/>
        </w:rPr>
        <w:t>ère à se renforcer mutuellement</w:t>
      </w:r>
      <w:r w:rsidRPr="00871D3E">
        <w:rPr>
          <w:kern w:val="22"/>
          <w:lang w:val="fr-FR"/>
        </w:rPr>
        <w:t>;</w:t>
      </w:r>
    </w:p>
    <w:p w14:paraId="6EC1B421" w14:textId="1B126BFC" w:rsidR="009768F1" w:rsidRPr="00871D3E" w:rsidRDefault="009768F1"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sidRPr="00871D3E">
        <w:rPr>
          <w:kern w:val="22"/>
          <w:lang w:val="fr-FR"/>
        </w:rPr>
        <w:t xml:space="preserve">Le </w:t>
      </w:r>
      <w:r w:rsidR="00733A98">
        <w:rPr>
          <w:kern w:val="22"/>
          <w:lang w:val="fr-FR"/>
        </w:rPr>
        <w:t>renforcement de l’application</w:t>
      </w:r>
      <w:r w:rsidRPr="00871D3E">
        <w:rPr>
          <w:kern w:val="22"/>
          <w:lang w:val="fr-FR"/>
        </w:rPr>
        <w:t xml:space="preserve"> des dispositions relatives au respect des lois nationales et des exigences réglementaires sur l'accès et le partage des avantages, [y compris les cadres institutionnels nationaux] [en particulier les dispositions relatives à l'information sur les séquences numériques des ressources génétiques,] le contrôle de l'utilisation des ressources génétiques [et de leurs dérivés], [notamment grâce aux informations sur les séquences numériques des ressources génétiques], y compris la désignation de points de contrôle, ainsi que les dispositions relatives aux [droits de l'homme et à la défense des] peuples autocht</w:t>
      </w:r>
      <w:r w:rsidR="008D4B62">
        <w:rPr>
          <w:kern w:val="22"/>
          <w:lang w:val="fr-FR"/>
        </w:rPr>
        <w:t>ones et des communautés locales</w:t>
      </w:r>
      <w:r w:rsidRPr="00871D3E">
        <w:rPr>
          <w:kern w:val="22"/>
          <w:lang w:val="fr-FR"/>
        </w:rPr>
        <w:t>;</w:t>
      </w:r>
    </w:p>
    <w:p w14:paraId="18284988" w14:textId="206381EE" w:rsidR="009768F1" w:rsidRPr="00871D3E" w:rsidRDefault="00AF1822"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Pr>
          <w:kern w:val="22"/>
          <w:lang w:val="fr-FR"/>
        </w:rPr>
        <w:t>Le soutien à une</w:t>
      </w:r>
      <w:r w:rsidR="009768F1" w:rsidRPr="00871D3E">
        <w:rPr>
          <w:kern w:val="22"/>
          <w:lang w:val="fr-FR"/>
        </w:rPr>
        <w:t xml:space="preserve"> participation pleine et effective des peuples autochtones et des commun</w:t>
      </w:r>
      <w:r w:rsidR="00733A98">
        <w:rPr>
          <w:kern w:val="22"/>
          <w:lang w:val="fr-FR"/>
        </w:rPr>
        <w:t>autés locales à l’application</w:t>
      </w:r>
      <w:r w:rsidR="009768F1" w:rsidRPr="00871D3E">
        <w:rPr>
          <w:kern w:val="22"/>
          <w:lang w:val="fr-FR"/>
        </w:rPr>
        <w:t xml:space="preserve"> du Protocole, y compris en appuyant l'élaboration par les peuples autochtones et communautés locales de protocoles et procédures communautaires, d'exigences minimales pour les conditions convenues d'un commun accord et les clauses contractuelles types concernant le partage des avantages découlant de l'utilisation des connaissances traditionnelles associées aux ressources génétiques, compte ten</w:t>
      </w:r>
      <w:r w:rsidR="008D4B62">
        <w:rPr>
          <w:kern w:val="22"/>
          <w:lang w:val="fr-FR"/>
        </w:rPr>
        <w:t>u de leurs lois coutumières</w:t>
      </w:r>
      <w:r w:rsidR="009768F1" w:rsidRPr="00871D3E">
        <w:rPr>
          <w:kern w:val="22"/>
          <w:lang w:val="fr-FR"/>
        </w:rPr>
        <w:t>;</w:t>
      </w:r>
    </w:p>
    <w:p w14:paraId="5C999D7A" w14:textId="34FA1A49" w:rsidR="009768F1" w:rsidRPr="00871D3E" w:rsidRDefault="009768F1"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sidRPr="00871D3E">
        <w:rPr>
          <w:kern w:val="22"/>
          <w:lang w:val="fr-FR"/>
        </w:rPr>
        <w:t xml:space="preserve">La sensibilisation des parties prenantes et des parties intéressées et l'encouragement de leur participation </w:t>
      </w:r>
      <w:r w:rsidR="00733A98">
        <w:rPr>
          <w:kern w:val="22"/>
          <w:lang w:val="fr-FR"/>
        </w:rPr>
        <w:t>à l’application</w:t>
      </w:r>
      <w:r w:rsidR="008D4B62">
        <w:rPr>
          <w:kern w:val="22"/>
          <w:lang w:val="fr-FR"/>
        </w:rPr>
        <w:t xml:space="preserve"> du Protocole</w:t>
      </w:r>
      <w:r w:rsidRPr="00871D3E">
        <w:rPr>
          <w:kern w:val="22"/>
          <w:lang w:val="fr-FR"/>
        </w:rPr>
        <w:t>;</w:t>
      </w:r>
    </w:p>
    <w:p w14:paraId="0C3B3E92" w14:textId="37819660" w:rsidR="009768F1" w:rsidRPr="00871D3E" w:rsidRDefault="009768F1"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sidRPr="00871D3E">
        <w:rPr>
          <w:kern w:val="22"/>
          <w:bdr w:val="none" w:sz="0" w:space="0" w:color="auto" w:frame="1"/>
          <w:lang w:val="fr-FR"/>
        </w:rPr>
        <w:t>Les besoins</w:t>
      </w:r>
      <w:r w:rsidR="00DC385C">
        <w:rPr>
          <w:kern w:val="22"/>
          <w:bdr w:val="none" w:sz="0" w:space="0" w:color="auto" w:frame="1"/>
          <w:lang w:val="fr-FR"/>
        </w:rPr>
        <w:t xml:space="preserve"> </w:t>
      </w:r>
      <w:r w:rsidRPr="00871D3E">
        <w:rPr>
          <w:kern w:val="22"/>
          <w:bdr w:val="none" w:sz="0" w:space="0" w:color="auto" w:frame="1"/>
          <w:lang w:val="fr-FR"/>
        </w:rPr>
        <w:t>de renforcement des capacités</w:t>
      </w:r>
      <w:r w:rsidR="00AF1822">
        <w:rPr>
          <w:kern w:val="22"/>
          <w:bdr w:val="none" w:sz="0" w:space="0" w:color="auto" w:frame="1"/>
          <w:lang w:val="fr-FR"/>
        </w:rPr>
        <w:t xml:space="preserve"> et de création de capacités</w:t>
      </w:r>
      <w:r w:rsidR="00DC385C">
        <w:rPr>
          <w:kern w:val="22"/>
          <w:bdr w:val="none" w:sz="0" w:space="0" w:color="auto" w:frame="1"/>
          <w:lang w:val="fr-FR"/>
        </w:rPr>
        <w:t xml:space="preserve"> en matière de calcul et de</w:t>
      </w:r>
      <w:r w:rsidR="00732D78">
        <w:rPr>
          <w:kern w:val="22"/>
          <w:bdr w:val="none" w:sz="0" w:space="0" w:color="auto" w:frame="1"/>
          <w:lang w:val="fr-FR"/>
        </w:rPr>
        <w:t xml:space="preserve"> rapports</w:t>
      </w:r>
      <w:r w:rsidR="00DC385C">
        <w:rPr>
          <w:kern w:val="22"/>
          <w:bdr w:val="none" w:sz="0" w:space="0" w:color="auto" w:frame="1"/>
          <w:lang w:val="fr-FR"/>
        </w:rPr>
        <w:t xml:space="preserve"> concernant</w:t>
      </w:r>
      <w:r w:rsidRPr="00871D3E">
        <w:rPr>
          <w:kern w:val="22"/>
          <w:bdr w:val="none" w:sz="0" w:space="0" w:color="auto" w:frame="1"/>
          <w:lang w:val="fr-FR"/>
        </w:rPr>
        <w:t xml:space="preserve"> les avantages monétaires et non monétaires découlant de l'utilis</w:t>
      </w:r>
      <w:r w:rsidR="008D4B62">
        <w:rPr>
          <w:kern w:val="22"/>
          <w:bdr w:val="none" w:sz="0" w:space="0" w:color="auto" w:frame="1"/>
          <w:lang w:val="fr-FR"/>
        </w:rPr>
        <w:t xml:space="preserve">ation des </w:t>
      </w:r>
      <w:r w:rsidR="008D4B62">
        <w:rPr>
          <w:kern w:val="22"/>
          <w:bdr w:val="none" w:sz="0" w:space="0" w:color="auto" w:frame="1"/>
          <w:lang w:val="fr-FR"/>
        </w:rPr>
        <w:lastRenderedPageBreak/>
        <w:t>ressources génétiques</w:t>
      </w:r>
      <w:r w:rsidR="00DC385C">
        <w:rPr>
          <w:kern w:val="22"/>
          <w:bdr w:val="none" w:sz="0" w:space="0" w:color="auto" w:frame="1"/>
          <w:lang w:val="fr-FR"/>
        </w:rPr>
        <w:t xml:space="preserve"> [</w:t>
      </w:r>
      <w:r w:rsidR="00732D78">
        <w:rPr>
          <w:kern w:val="22"/>
          <w:bdr w:val="none" w:sz="0" w:space="0" w:color="auto" w:frame="1"/>
          <w:lang w:val="fr-FR"/>
        </w:rPr>
        <w:t>et d</w:t>
      </w:r>
      <w:r w:rsidR="0083451F">
        <w:rPr>
          <w:kern w:val="22"/>
          <w:bdr w:val="none" w:sz="0" w:space="0" w:color="auto" w:frame="1"/>
          <w:lang w:val="fr-FR"/>
        </w:rPr>
        <w:t>es capacités d’élaboration de</w:t>
      </w:r>
      <w:r w:rsidR="00DC385C">
        <w:rPr>
          <w:kern w:val="22"/>
          <w:bdr w:val="none" w:sz="0" w:space="0" w:color="auto" w:frame="1"/>
          <w:lang w:val="fr-FR"/>
        </w:rPr>
        <w:t xml:space="preserve"> conditions co</w:t>
      </w:r>
      <w:r w:rsidR="0083451F">
        <w:rPr>
          <w:kern w:val="22"/>
          <w:bdr w:val="none" w:sz="0" w:space="0" w:color="auto" w:frame="1"/>
          <w:lang w:val="fr-FR"/>
        </w:rPr>
        <w:t>nclues d’un commun accord et de</w:t>
      </w:r>
      <w:r w:rsidR="00DC385C">
        <w:rPr>
          <w:kern w:val="22"/>
          <w:bdr w:val="none" w:sz="0" w:space="0" w:color="auto" w:frame="1"/>
          <w:lang w:val="fr-FR"/>
        </w:rPr>
        <w:t xml:space="preserve"> clauses contractuelles]</w:t>
      </w:r>
      <w:r w:rsidRPr="00871D3E">
        <w:rPr>
          <w:kern w:val="22"/>
          <w:bdr w:val="none" w:sz="0" w:space="0" w:color="auto" w:frame="1"/>
          <w:lang w:val="fr-FR"/>
        </w:rPr>
        <w:t>;</w:t>
      </w:r>
    </w:p>
    <w:p w14:paraId="0FDC9306" w14:textId="342D563B" w:rsidR="00932645" w:rsidRPr="00871D3E" w:rsidRDefault="00DC385C" w:rsidP="009768F1">
      <w:pPr>
        <w:pStyle w:val="Para1"/>
        <w:numPr>
          <w:ilvl w:val="1"/>
          <w:numId w:val="64"/>
        </w:numPr>
        <w:suppressLineNumbers/>
        <w:pBdr>
          <w:top w:val="nil"/>
          <w:left w:val="nil"/>
          <w:bottom w:val="nil"/>
          <w:right w:val="nil"/>
          <w:between w:val="nil"/>
          <w:bar w:val="nil"/>
        </w:pBdr>
        <w:suppressAutoHyphens/>
        <w:kinsoku w:val="0"/>
        <w:overflowPunct w:val="0"/>
        <w:autoSpaceDE w:val="0"/>
        <w:autoSpaceDN w:val="0"/>
        <w:spacing w:before="0"/>
        <w:ind w:left="0" w:firstLine="720"/>
        <w:rPr>
          <w:kern w:val="22"/>
          <w:lang w:val="fr-FR"/>
        </w:rPr>
      </w:pPr>
      <w:r>
        <w:rPr>
          <w:kern w:val="22"/>
          <w:bdr w:val="none" w:sz="0" w:space="0" w:color="auto" w:frame="1"/>
          <w:lang w:val="fr-FR"/>
        </w:rPr>
        <w:t>Une</w:t>
      </w:r>
      <w:r w:rsidR="00D73E15">
        <w:rPr>
          <w:kern w:val="22"/>
          <w:bdr w:val="none" w:sz="0" w:space="0" w:color="auto" w:frame="1"/>
          <w:lang w:val="fr-FR"/>
        </w:rPr>
        <w:t xml:space="preserve"> communication stratégique a</w:t>
      </w:r>
      <w:r w:rsidR="009768F1" w:rsidRPr="00871D3E">
        <w:rPr>
          <w:kern w:val="22"/>
          <w:bdr w:val="none" w:sz="0" w:space="0" w:color="auto" w:frame="1"/>
          <w:lang w:val="fr-FR"/>
        </w:rPr>
        <w:t>ux niveau</w:t>
      </w:r>
      <w:r>
        <w:rPr>
          <w:kern w:val="22"/>
          <w:bdr w:val="none" w:sz="0" w:space="0" w:color="auto" w:frame="1"/>
          <w:lang w:val="fr-FR"/>
        </w:rPr>
        <w:t>x</w:t>
      </w:r>
      <w:r w:rsidR="009768F1" w:rsidRPr="00871D3E">
        <w:rPr>
          <w:kern w:val="22"/>
          <w:bdr w:val="none" w:sz="0" w:space="0" w:color="auto" w:frame="1"/>
          <w:lang w:val="fr-FR"/>
        </w:rPr>
        <w:t xml:space="preserve"> mondial, régional et national sur l'accès et le partage des avantages</w:t>
      </w:r>
      <w:r>
        <w:rPr>
          <w:kern w:val="22"/>
          <w:bdr w:val="none" w:sz="0" w:space="0" w:color="auto" w:frame="1"/>
          <w:lang w:val="fr-FR"/>
        </w:rPr>
        <w:t>,</w:t>
      </w:r>
      <w:r w:rsidR="009768F1" w:rsidRPr="00871D3E">
        <w:rPr>
          <w:kern w:val="22"/>
          <w:bdr w:val="none" w:sz="0" w:space="0" w:color="auto" w:frame="1"/>
          <w:lang w:val="fr-FR"/>
        </w:rPr>
        <w:t xml:space="preserve"> en tant qu</w:t>
      </w:r>
      <w:r>
        <w:rPr>
          <w:kern w:val="22"/>
          <w:bdr w:val="none" w:sz="0" w:space="0" w:color="auto" w:frame="1"/>
          <w:lang w:val="fr-FR"/>
        </w:rPr>
        <w:t xml:space="preserve">e domaine de renforcement </w:t>
      </w:r>
      <w:r w:rsidR="009768F1" w:rsidRPr="00871D3E">
        <w:rPr>
          <w:kern w:val="22"/>
          <w:bdr w:val="none" w:sz="0" w:space="0" w:color="auto" w:frame="1"/>
          <w:lang w:val="fr-FR"/>
        </w:rPr>
        <w:t>des capacités</w:t>
      </w:r>
      <w:r>
        <w:rPr>
          <w:kern w:val="22"/>
          <w:bdr w:val="none" w:sz="0" w:space="0" w:color="auto" w:frame="1"/>
          <w:lang w:val="fr-FR"/>
        </w:rPr>
        <w:t xml:space="preserve"> et de création de capacités</w:t>
      </w:r>
      <w:r w:rsidR="00932645" w:rsidRPr="00871D3E">
        <w:rPr>
          <w:kern w:val="22"/>
          <w:bdr w:val="none" w:sz="0" w:space="0" w:color="auto" w:frame="1"/>
          <w:lang w:val="fr-FR"/>
        </w:rPr>
        <w:t>.</w:t>
      </w:r>
    </w:p>
    <w:p w14:paraId="26046530" w14:textId="77777777" w:rsidR="003547E3" w:rsidRPr="00871D3E" w:rsidRDefault="003547E3" w:rsidP="003547E3">
      <w:pPr>
        <w:pStyle w:val="Para1"/>
        <w:numPr>
          <w:ilvl w:val="0"/>
          <w:numId w:val="0"/>
        </w:numPr>
        <w:suppressLineNumbers/>
        <w:suppressAutoHyphens/>
        <w:jc w:val="center"/>
        <w:rPr>
          <w:kern w:val="22"/>
          <w:lang w:val="fr-FR"/>
        </w:rPr>
      </w:pPr>
      <w:r w:rsidRPr="00871D3E">
        <w:rPr>
          <w:kern w:val="22"/>
          <w:lang w:val="fr-FR"/>
        </w:rPr>
        <w:t>__________</w:t>
      </w:r>
    </w:p>
    <w:p w14:paraId="7AE8A864" w14:textId="77777777" w:rsidR="00544B6F" w:rsidRPr="00871D3E" w:rsidRDefault="00544B6F" w:rsidP="00932645">
      <w:pPr>
        <w:pStyle w:val="Para1"/>
        <w:numPr>
          <w:ilvl w:val="0"/>
          <w:numId w:val="0"/>
        </w:numPr>
        <w:rPr>
          <w:lang w:val="fr-FR"/>
        </w:rPr>
      </w:pPr>
    </w:p>
    <w:sectPr w:rsidR="00544B6F" w:rsidRPr="00871D3E" w:rsidSect="00E60F12">
      <w:headerReference w:type="even" r:id="rId15"/>
      <w:headerReference w:type="default" r:id="rId16"/>
      <w:pgSz w:w="12240" w:h="15840" w:code="1"/>
      <w:pgMar w:top="360" w:right="1440" w:bottom="1138" w:left="1440" w:header="525"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A529" w14:textId="77777777" w:rsidR="00F70488" w:rsidRDefault="00F70488" w:rsidP="00CF1848">
      <w:r>
        <w:separator/>
      </w:r>
    </w:p>
  </w:endnote>
  <w:endnote w:type="continuationSeparator" w:id="0">
    <w:p w14:paraId="1AC395F1" w14:textId="77777777" w:rsidR="00F70488" w:rsidRDefault="00F7048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47F21" w14:textId="77777777" w:rsidR="00F70488" w:rsidRDefault="00F70488" w:rsidP="00CF1848">
      <w:r>
        <w:separator/>
      </w:r>
    </w:p>
  </w:footnote>
  <w:footnote w:type="continuationSeparator" w:id="0">
    <w:p w14:paraId="2E76EA9F" w14:textId="77777777" w:rsidR="00F70488" w:rsidRDefault="00F70488" w:rsidP="00CF1848">
      <w:r>
        <w:continuationSeparator/>
      </w:r>
    </w:p>
  </w:footnote>
  <w:footnote w:id="1">
    <w:p w14:paraId="30FAD6C0" w14:textId="77777777" w:rsidR="009768F1" w:rsidRPr="00E6538E" w:rsidRDefault="009768F1" w:rsidP="009768F1">
      <w:pPr>
        <w:pStyle w:val="FootnoteText"/>
        <w:suppressLineNumbers/>
        <w:suppressAutoHyphens/>
        <w:ind w:firstLine="0"/>
        <w:jc w:val="left"/>
        <w:rPr>
          <w:kern w:val="18"/>
          <w:szCs w:val="18"/>
          <w:lang w:val="fr-FR"/>
        </w:rPr>
      </w:pPr>
      <w:r>
        <w:rPr>
          <w:rStyle w:val="FootnoteReference"/>
          <w:kern w:val="18"/>
          <w:sz w:val="18"/>
          <w:szCs w:val="18"/>
        </w:rPr>
        <w:footnoteRef/>
      </w:r>
      <w:r w:rsidRPr="00E6538E">
        <w:rPr>
          <w:kern w:val="18"/>
          <w:szCs w:val="18"/>
          <w:lang w:val="fr-FR"/>
        </w:rPr>
        <w:t xml:space="preserve"> CBD/SBI/3/INF/1.</w:t>
      </w:r>
    </w:p>
  </w:footnote>
  <w:footnote w:id="2">
    <w:p w14:paraId="220D3FEB" w14:textId="77777777" w:rsidR="009768F1" w:rsidRPr="00E6538E" w:rsidRDefault="009768F1" w:rsidP="009768F1">
      <w:pPr>
        <w:pStyle w:val="FootnoteText"/>
        <w:suppressLineNumbers/>
        <w:suppressAutoHyphens/>
        <w:ind w:firstLine="0"/>
        <w:jc w:val="left"/>
        <w:rPr>
          <w:kern w:val="18"/>
          <w:szCs w:val="18"/>
          <w:lang w:val="fr-FR"/>
        </w:rPr>
      </w:pPr>
      <w:r>
        <w:rPr>
          <w:rStyle w:val="FootnoteReference"/>
          <w:kern w:val="18"/>
          <w:sz w:val="18"/>
          <w:szCs w:val="18"/>
        </w:rPr>
        <w:footnoteRef/>
      </w:r>
      <w:r w:rsidRPr="00E6538E">
        <w:rPr>
          <w:kern w:val="18"/>
          <w:szCs w:val="18"/>
          <w:lang w:val="fr-FR"/>
        </w:rPr>
        <w:t xml:space="preserve"> Décision 15/--, annexe XX.</w:t>
      </w:r>
    </w:p>
  </w:footnote>
  <w:footnote w:id="3">
    <w:p w14:paraId="7159EEBD" w14:textId="77777777" w:rsidR="009768F1" w:rsidRPr="0016472A" w:rsidRDefault="009768F1" w:rsidP="009768F1">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CBD/NP/CB-IAC/2019/1/4.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487BACE" w:rsidR="00534681" w:rsidRPr="00134846" w:rsidRDefault="00F83A33" w:rsidP="00534681">
        <w:pPr>
          <w:pStyle w:val="Header"/>
          <w:rPr>
            <w:lang w:val="fr-FR"/>
          </w:rPr>
        </w:pPr>
        <w:r>
          <w:rPr>
            <w:lang w:val="fr-FR"/>
          </w:rPr>
          <w:t>CBD/SBI/REC/3/9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73E15">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2102B96" w:rsidR="009505C9" w:rsidRPr="00134846" w:rsidRDefault="00F83A33" w:rsidP="009505C9">
        <w:pPr>
          <w:pStyle w:val="Header"/>
          <w:jc w:val="right"/>
          <w:rPr>
            <w:lang w:val="fr-FR"/>
          </w:rPr>
        </w:pPr>
        <w:r>
          <w:rPr>
            <w:lang w:val="fr-FR"/>
          </w:rPr>
          <w:t>CBD/SBI/REC/3/9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73E15">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289"/>
    <w:multiLevelType w:val="hybridMultilevel"/>
    <w:tmpl w:val="F204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10AC"/>
    <w:multiLevelType w:val="hybridMultilevel"/>
    <w:tmpl w:val="9FCE1CFC"/>
    <w:lvl w:ilvl="0" w:tplc="3FB0B6D4">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36675"/>
    <w:multiLevelType w:val="hybridMultilevel"/>
    <w:tmpl w:val="5644F936"/>
    <w:lvl w:ilvl="0" w:tplc="A336B7D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644C9"/>
    <w:multiLevelType w:val="multilevel"/>
    <w:tmpl w:val="787A4310"/>
    <w:styleLink w:val="Listeactuelle1"/>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0D7E55"/>
    <w:multiLevelType w:val="hybridMultilevel"/>
    <w:tmpl w:val="C966F52A"/>
    <w:lvl w:ilvl="0" w:tplc="10090003">
      <w:start w:val="1"/>
      <w:numFmt w:val="bullet"/>
      <w:lvlText w:val="o"/>
      <w:lvlJc w:val="left"/>
      <w:pPr>
        <w:ind w:left="2479" w:hanging="360"/>
      </w:pPr>
      <w:rPr>
        <w:rFonts w:ascii="Courier New" w:hAnsi="Courier New" w:cs="Courier New" w:hint="default"/>
      </w:rPr>
    </w:lvl>
    <w:lvl w:ilvl="1" w:tplc="10090003" w:tentative="1">
      <w:start w:val="1"/>
      <w:numFmt w:val="bullet"/>
      <w:lvlText w:val="o"/>
      <w:lvlJc w:val="left"/>
      <w:pPr>
        <w:ind w:left="3199" w:hanging="360"/>
      </w:pPr>
      <w:rPr>
        <w:rFonts w:ascii="Courier New" w:hAnsi="Courier New" w:cs="Courier New" w:hint="default"/>
      </w:rPr>
    </w:lvl>
    <w:lvl w:ilvl="2" w:tplc="10090005" w:tentative="1">
      <w:start w:val="1"/>
      <w:numFmt w:val="bullet"/>
      <w:lvlText w:val=""/>
      <w:lvlJc w:val="left"/>
      <w:pPr>
        <w:ind w:left="3919" w:hanging="360"/>
      </w:pPr>
      <w:rPr>
        <w:rFonts w:ascii="Wingdings" w:hAnsi="Wingdings" w:hint="default"/>
      </w:rPr>
    </w:lvl>
    <w:lvl w:ilvl="3" w:tplc="10090001" w:tentative="1">
      <w:start w:val="1"/>
      <w:numFmt w:val="bullet"/>
      <w:lvlText w:val=""/>
      <w:lvlJc w:val="left"/>
      <w:pPr>
        <w:ind w:left="4639" w:hanging="360"/>
      </w:pPr>
      <w:rPr>
        <w:rFonts w:ascii="Symbol" w:hAnsi="Symbol" w:hint="default"/>
      </w:rPr>
    </w:lvl>
    <w:lvl w:ilvl="4" w:tplc="10090003" w:tentative="1">
      <w:start w:val="1"/>
      <w:numFmt w:val="bullet"/>
      <w:lvlText w:val="o"/>
      <w:lvlJc w:val="left"/>
      <w:pPr>
        <w:ind w:left="5359" w:hanging="360"/>
      </w:pPr>
      <w:rPr>
        <w:rFonts w:ascii="Courier New" w:hAnsi="Courier New" w:cs="Courier New" w:hint="default"/>
      </w:rPr>
    </w:lvl>
    <w:lvl w:ilvl="5" w:tplc="10090005" w:tentative="1">
      <w:start w:val="1"/>
      <w:numFmt w:val="bullet"/>
      <w:lvlText w:val=""/>
      <w:lvlJc w:val="left"/>
      <w:pPr>
        <w:ind w:left="6079" w:hanging="360"/>
      </w:pPr>
      <w:rPr>
        <w:rFonts w:ascii="Wingdings" w:hAnsi="Wingdings" w:hint="default"/>
      </w:rPr>
    </w:lvl>
    <w:lvl w:ilvl="6" w:tplc="10090001" w:tentative="1">
      <w:start w:val="1"/>
      <w:numFmt w:val="bullet"/>
      <w:lvlText w:val=""/>
      <w:lvlJc w:val="left"/>
      <w:pPr>
        <w:ind w:left="6799" w:hanging="360"/>
      </w:pPr>
      <w:rPr>
        <w:rFonts w:ascii="Symbol" w:hAnsi="Symbol" w:hint="default"/>
      </w:rPr>
    </w:lvl>
    <w:lvl w:ilvl="7" w:tplc="10090003" w:tentative="1">
      <w:start w:val="1"/>
      <w:numFmt w:val="bullet"/>
      <w:lvlText w:val="o"/>
      <w:lvlJc w:val="left"/>
      <w:pPr>
        <w:ind w:left="7519" w:hanging="360"/>
      </w:pPr>
      <w:rPr>
        <w:rFonts w:ascii="Courier New" w:hAnsi="Courier New" w:cs="Courier New" w:hint="default"/>
      </w:rPr>
    </w:lvl>
    <w:lvl w:ilvl="8" w:tplc="10090005" w:tentative="1">
      <w:start w:val="1"/>
      <w:numFmt w:val="bullet"/>
      <w:lvlText w:val=""/>
      <w:lvlJc w:val="left"/>
      <w:pPr>
        <w:ind w:left="8239" w:hanging="360"/>
      </w:pPr>
      <w:rPr>
        <w:rFonts w:ascii="Wingdings" w:hAnsi="Wingdings" w:hint="default"/>
      </w:rPr>
    </w:lvl>
  </w:abstractNum>
  <w:abstractNum w:abstractNumId="7" w15:restartNumberingAfterBreak="0">
    <w:nsid w:val="11772D19"/>
    <w:multiLevelType w:val="hybridMultilevel"/>
    <w:tmpl w:val="8892BB70"/>
    <w:lvl w:ilvl="0" w:tplc="FFFFFFFF">
      <w:start w:val="1"/>
      <w:numFmt w:val="bullet"/>
      <w:lvlText w:val="o"/>
      <w:lvlJc w:val="left"/>
      <w:pPr>
        <w:ind w:left="2173" w:hanging="360"/>
      </w:pPr>
      <w:rPr>
        <w:rFonts w:ascii="Courier New" w:hAnsi="Courier New" w:hint="default"/>
        <w:b w:val="0"/>
        <w:bCs w:val="0"/>
        <w:i w:val="0"/>
        <w:iCs w:val="0"/>
        <w:w w:val="100"/>
        <w:sz w:val="22"/>
        <w:szCs w:val="22"/>
        <w:lang w:val="en-US" w:eastAsia="en-US" w:bidi="ar-SA"/>
      </w:rPr>
    </w:lvl>
    <w:lvl w:ilvl="1" w:tplc="06E2859A">
      <w:numFmt w:val="bullet"/>
      <w:lvlText w:val="•"/>
      <w:lvlJc w:val="left"/>
      <w:pPr>
        <w:ind w:left="3048" w:hanging="360"/>
      </w:pPr>
      <w:rPr>
        <w:rFonts w:hint="default"/>
        <w:lang w:val="en-US" w:eastAsia="en-US" w:bidi="ar-SA"/>
      </w:rPr>
    </w:lvl>
    <w:lvl w:ilvl="2" w:tplc="DA7C8540">
      <w:numFmt w:val="bullet"/>
      <w:lvlText w:val="•"/>
      <w:lvlJc w:val="left"/>
      <w:pPr>
        <w:ind w:left="3916" w:hanging="360"/>
      </w:pPr>
      <w:rPr>
        <w:rFonts w:hint="default"/>
        <w:lang w:val="en-US" w:eastAsia="en-US" w:bidi="ar-SA"/>
      </w:rPr>
    </w:lvl>
    <w:lvl w:ilvl="3" w:tplc="5F1C3F0A">
      <w:numFmt w:val="bullet"/>
      <w:lvlText w:val="•"/>
      <w:lvlJc w:val="left"/>
      <w:pPr>
        <w:ind w:left="4784" w:hanging="360"/>
      </w:pPr>
      <w:rPr>
        <w:rFonts w:hint="default"/>
        <w:lang w:val="en-US" w:eastAsia="en-US" w:bidi="ar-SA"/>
      </w:rPr>
    </w:lvl>
    <w:lvl w:ilvl="4" w:tplc="E1DC5BE0">
      <w:numFmt w:val="bullet"/>
      <w:lvlText w:val="•"/>
      <w:lvlJc w:val="left"/>
      <w:pPr>
        <w:ind w:left="5652" w:hanging="360"/>
      </w:pPr>
      <w:rPr>
        <w:rFonts w:hint="default"/>
        <w:lang w:val="en-US" w:eastAsia="en-US" w:bidi="ar-SA"/>
      </w:rPr>
    </w:lvl>
    <w:lvl w:ilvl="5" w:tplc="FD728994">
      <w:numFmt w:val="bullet"/>
      <w:lvlText w:val="•"/>
      <w:lvlJc w:val="left"/>
      <w:pPr>
        <w:ind w:left="6520" w:hanging="360"/>
      </w:pPr>
      <w:rPr>
        <w:rFonts w:hint="default"/>
        <w:lang w:val="en-US" w:eastAsia="en-US" w:bidi="ar-SA"/>
      </w:rPr>
    </w:lvl>
    <w:lvl w:ilvl="6" w:tplc="7092EC9A">
      <w:numFmt w:val="bullet"/>
      <w:lvlText w:val="•"/>
      <w:lvlJc w:val="left"/>
      <w:pPr>
        <w:ind w:left="7388" w:hanging="360"/>
      </w:pPr>
      <w:rPr>
        <w:rFonts w:hint="default"/>
        <w:lang w:val="en-US" w:eastAsia="en-US" w:bidi="ar-SA"/>
      </w:rPr>
    </w:lvl>
    <w:lvl w:ilvl="7" w:tplc="7FA454A0">
      <w:numFmt w:val="bullet"/>
      <w:lvlText w:val="•"/>
      <w:lvlJc w:val="left"/>
      <w:pPr>
        <w:ind w:left="8256" w:hanging="360"/>
      </w:pPr>
      <w:rPr>
        <w:rFonts w:hint="default"/>
        <w:lang w:val="en-US" w:eastAsia="en-US" w:bidi="ar-SA"/>
      </w:rPr>
    </w:lvl>
    <w:lvl w:ilvl="8" w:tplc="E4D6875E">
      <w:numFmt w:val="bullet"/>
      <w:lvlText w:val="•"/>
      <w:lvlJc w:val="left"/>
      <w:pPr>
        <w:ind w:left="9124" w:hanging="360"/>
      </w:pPr>
      <w:rPr>
        <w:rFonts w:hint="default"/>
        <w:lang w:val="en-US" w:eastAsia="en-US" w:bidi="ar-SA"/>
      </w:rPr>
    </w:lvl>
  </w:abstractNum>
  <w:abstractNum w:abstractNumId="8" w15:restartNumberingAfterBreak="0">
    <w:nsid w:val="129C2C88"/>
    <w:multiLevelType w:val="hybridMultilevel"/>
    <w:tmpl w:val="3556B542"/>
    <w:lvl w:ilvl="0" w:tplc="3EDCE0F4">
      <w:start w:val="1"/>
      <w:numFmt w:val="lowerRoman"/>
      <w:lvlText w:val="%1)"/>
      <w:lvlJc w:val="left"/>
      <w:pPr>
        <w:ind w:left="1453" w:hanging="308"/>
      </w:pPr>
      <w:rPr>
        <w:rFonts w:ascii="Arial" w:eastAsia="Arial" w:hAnsi="Arial" w:cs="Arial" w:hint="default"/>
        <w:b w:val="0"/>
        <w:bCs w:val="0"/>
        <w:i w:val="0"/>
        <w:iCs w:val="0"/>
        <w:spacing w:val="-2"/>
        <w:w w:val="100"/>
        <w:sz w:val="22"/>
        <w:szCs w:val="22"/>
        <w:lang w:val="en-US" w:eastAsia="en-US" w:bidi="ar-SA"/>
      </w:rPr>
    </w:lvl>
    <w:lvl w:ilvl="1" w:tplc="6ED8E412">
      <w:numFmt w:val="bullet"/>
      <w:lvlText w:val="•"/>
      <w:lvlJc w:val="left"/>
      <w:pPr>
        <w:ind w:left="2400" w:hanging="308"/>
      </w:pPr>
      <w:rPr>
        <w:rFonts w:hint="default"/>
        <w:lang w:val="en-US" w:eastAsia="en-US" w:bidi="ar-SA"/>
      </w:rPr>
    </w:lvl>
    <w:lvl w:ilvl="2" w:tplc="4D8E9194">
      <w:numFmt w:val="bullet"/>
      <w:lvlText w:val="•"/>
      <w:lvlJc w:val="left"/>
      <w:pPr>
        <w:ind w:left="3340" w:hanging="308"/>
      </w:pPr>
      <w:rPr>
        <w:rFonts w:hint="default"/>
        <w:lang w:val="en-US" w:eastAsia="en-US" w:bidi="ar-SA"/>
      </w:rPr>
    </w:lvl>
    <w:lvl w:ilvl="3" w:tplc="68CE3D80">
      <w:numFmt w:val="bullet"/>
      <w:lvlText w:val="•"/>
      <w:lvlJc w:val="left"/>
      <w:pPr>
        <w:ind w:left="4280" w:hanging="308"/>
      </w:pPr>
      <w:rPr>
        <w:rFonts w:hint="default"/>
        <w:lang w:val="en-US" w:eastAsia="en-US" w:bidi="ar-SA"/>
      </w:rPr>
    </w:lvl>
    <w:lvl w:ilvl="4" w:tplc="C8143CE6">
      <w:numFmt w:val="bullet"/>
      <w:lvlText w:val="•"/>
      <w:lvlJc w:val="left"/>
      <w:pPr>
        <w:ind w:left="5220" w:hanging="308"/>
      </w:pPr>
      <w:rPr>
        <w:rFonts w:hint="default"/>
        <w:lang w:val="en-US" w:eastAsia="en-US" w:bidi="ar-SA"/>
      </w:rPr>
    </w:lvl>
    <w:lvl w:ilvl="5" w:tplc="8DE61B56">
      <w:numFmt w:val="bullet"/>
      <w:lvlText w:val="•"/>
      <w:lvlJc w:val="left"/>
      <w:pPr>
        <w:ind w:left="6160" w:hanging="308"/>
      </w:pPr>
      <w:rPr>
        <w:rFonts w:hint="default"/>
        <w:lang w:val="en-US" w:eastAsia="en-US" w:bidi="ar-SA"/>
      </w:rPr>
    </w:lvl>
    <w:lvl w:ilvl="6" w:tplc="34FAA44A">
      <w:numFmt w:val="bullet"/>
      <w:lvlText w:val="•"/>
      <w:lvlJc w:val="left"/>
      <w:pPr>
        <w:ind w:left="7100" w:hanging="308"/>
      </w:pPr>
      <w:rPr>
        <w:rFonts w:hint="default"/>
        <w:lang w:val="en-US" w:eastAsia="en-US" w:bidi="ar-SA"/>
      </w:rPr>
    </w:lvl>
    <w:lvl w:ilvl="7" w:tplc="41F4BEF4">
      <w:numFmt w:val="bullet"/>
      <w:lvlText w:val="•"/>
      <w:lvlJc w:val="left"/>
      <w:pPr>
        <w:ind w:left="8040" w:hanging="308"/>
      </w:pPr>
      <w:rPr>
        <w:rFonts w:hint="default"/>
        <w:lang w:val="en-US" w:eastAsia="en-US" w:bidi="ar-SA"/>
      </w:rPr>
    </w:lvl>
    <w:lvl w:ilvl="8" w:tplc="49F24FA4">
      <w:numFmt w:val="bullet"/>
      <w:lvlText w:val="•"/>
      <w:lvlJc w:val="left"/>
      <w:pPr>
        <w:ind w:left="8980" w:hanging="308"/>
      </w:pPr>
      <w:rPr>
        <w:rFonts w:hint="default"/>
        <w:lang w:val="en-US" w:eastAsia="en-US" w:bidi="ar-SA"/>
      </w:rPr>
    </w:lvl>
  </w:abstractNum>
  <w:abstractNum w:abstractNumId="9" w15:restartNumberingAfterBreak="0">
    <w:nsid w:val="12A33386"/>
    <w:multiLevelType w:val="hybridMultilevel"/>
    <w:tmpl w:val="67884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81B8C"/>
    <w:multiLevelType w:val="hybridMultilevel"/>
    <w:tmpl w:val="CA3E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B5B33DA"/>
    <w:multiLevelType w:val="multilevel"/>
    <w:tmpl w:val="3474C4DE"/>
    <w:styleLink w:val="Listeactuelle2"/>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720" w:firstLine="0"/>
      </w:pPr>
      <w:rPr>
        <w:rFonts w:hAnsi="Arial Unicode MS" w:hint="default"/>
        <w:caps w:val="0"/>
        <w:smallCaps w:val="0"/>
        <w:strike w:val="0"/>
        <w:dstrike w:val="0"/>
        <w:color w:val="000000"/>
        <w:spacing w:val="0"/>
        <w:w w:val="100"/>
        <w:kern w:val="0"/>
        <w:position w:val="0"/>
        <w:highligh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B92592C"/>
    <w:multiLevelType w:val="hybridMultilevel"/>
    <w:tmpl w:val="90E062E0"/>
    <w:lvl w:ilvl="0" w:tplc="1708EBD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A0A14"/>
    <w:multiLevelType w:val="hybridMultilevel"/>
    <w:tmpl w:val="B3987D48"/>
    <w:lvl w:ilvl="0" w:tplc="10090003">
      <w:start w:val="1"/>
      <w:numFmt w:val="bullet"/>
      <w:lvlText w:val="o"/>
      <w:lvlJc w:val="left"/>
      <w:pPr>
        <w:ind w:left="2173" w:hanging="360"/>
      </w:pPr>
      <w:rPr>
        <w:rFonts w:ascii="Courier New" w:hAnsi="Courier New" w:cs="Courier New" w:hint="default"/>
      </w:rPr>
    </w:lvl>
    <w:lvl w:ilvl="1" w:tplc="10090003" w:tentative="1">
      <w:start w:val="1"/>
      <w:numFmt w:val="bullet"/>
      <w:lvlText w:val="o"/>
      <w:lvlJc w:val="left"/>
      <w:pPr>
        <w:ind w:left="2893" w:hanging="360"/>
      </w:pPr>
      <w:rPr>
        <w:rFonts w:ascii="Courier New" w:hAnsi="Courier New" w:cs="Courier New" w:hint="default"/>
      </w:rPr>
    </w:lvl>
    <w:lvl w:ilvl="2" w:tplc="10090005" w:tentative="1">
      <w:start w:val="1"/>
      <w:numFmt w:val="bullet"/>
      <w:lvlText w:val=""/>
      <w:lvlJc w:val="left"/>
      <w:pPr>
        <w:ind w:left="3613" w:hanging="360"/>
      </w:pPr>
      <w:rPr>
        <w:rFonts w:ascii="Wingdings" w:hAnsi="Wingdings" w:hint="default"/>
      </w:rPr>
    </w:lvl>
    <w:lvl w:ilvl="3" w:tplc="10090001" w:tentative="1">
      <w:start w:val="1"/>
      <w:numFmt w:val="bullet"/>
      <w:lvlText w:val=""/>
      <w:lvlJc w:val="left"/>
      <w:pPr>
        <w:ind w:left="4333" w:hanging="360"/>
      </w:pPr>
      <w:rPr>
        <w:rFonts w:ascii="Symbol" w:hAnsi="Symbol" w:hint="default"/>
      </w:rPr>
    </w:lvl>
    <w:lvl w:ilvl="4" w:tplc="10090003" w:tentative="1">
      <w:start w:val="1"/>
      <w:numFmt w:val="bullet"/>
      <w:lvlText w:val="o"/>
      <w:lvlJc w:val="left"/>
      <w:pPr>
        <w:ind w:left="5053" w:hanging="360"/>
      </w:pPr>
      <w:rPr>
        <w:rFonts w:ascii="Courier New" w:hAnsi="Courier New" w:cs="Courier New" w:hint="default"/>
      </w:rPr>
    </w:lvl>
    <w:lvl w:ilvl="5" w:tplc="10090005" w:tentative="1">
      <w:start w:val="1"/>
      <w:numFmt w:val="bullet"/>
      <w:lvlText w:val=""/>
      <w:lvlJc w:val="left"/>
      <w:pPr>
        <w:ind w:left="5773" w:hanging="360"/>
      </w:pPr>
      <w:rPr>
        <w:rFonts w:ascii="Wingdings" w:hAnsi="Wingdings" w:hint="default"/>
      </w:rPr>
    </w:lvl>
    <w:lvl w:ilvl="6" w:tplc="10090001" w:tentative="1">
      <w:start w:val="1"/>
      <w:numFmt w:val="bullet"/>
      <w:lvlText w:val=""/>
      <w:lvlJc w:val="left"/>
      <w:pPr>
        <w:ind w:left="6493" w:hanging="360"/>
      </w:pPr>
      <w:rPr>
        <w:rFonts w:ascii="Symbol" w:hAnsi="Symbol" w:hint="default"/>
      </w:rPr>
    </w:lvl>
    <w:lvl w:ilvl="7" w:tplc="10090003" w:tentative="1">
      <w:start w:val="1"/>
      <w:numFmt w:val="bullet"/>
      <w:lvlText w:val="o"/>
      <w:lvlJc w:val="left"/>
      <w:pPr>
        <w:ind w:left="7213" w:hanging="360"/>
      </w:pPr>
      <w:rPr>
        <w:rFonts w:ascii="Courier New" w:hAnsi="Courier New" w:cs="Courier New" w:hint="default"/>
      </w:rPr>
    </w:lvl>
    <w:lvl w:ilvl="8" w:tplc="10090005" w:tentative="1">
      <w:start w:val="1"/>
      <w:numFmt w:val="bullet"/>
      <w:lvlText w:val=""/>
      <w:lvlJc w:val="left"/>
      <w:pPr>
        <w:ind w:left="7933" w:hanging="360"/>
      </w:pPr>
      <w:rPr>
        <w:rFonts w:ascii="Wingdings" w:hAnsi="Wingdings" w:hint="default"/>
      </w:rPr>
    </w:lvl>
  </w:abstractNum>
  <w:abstractNum w:abstractNumId="15" w15:restartNumberingAfterBreak="0">
    <w:nsid w:val="28D93DEE"/>
    <w:multiLevelType w:val="hybridMultilevel"/>
    <w:tmpl w:val="230604CE"/>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049FC"/>
    <w:multiLevelType w:val="hybridMultilevel"/>
    <w:tmpl w:val="0C4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F480B8B"/>
    <w:multiLevelType w:val="hybridMultilevel"/>
    <w:tmpl w:val="001A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C7A3C"/>
    <w:multiLevelType w:val="hybridMultilevel"/>
    <w:tmpl w:val="C59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97B23"/>
    <w:multiLevelType w:val="hybridMultilevel"/>
    <w:tmpl w:val="18A23C62"/>
    <w:lvl w:ilvl="0" w:tplc="37EA7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84A63"/>
    <w:multiLevelType w:val="hybridMultilevel"/>
    <w:tmpl w:val="5824B092"/>
    <w:lvl w:ilvl="0" w:tplc="1BFCF47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6748D"/>
    <w:multiLevelType w:val="hybridMultilevel"/>
    <w:tmpl w:val="1B90DAB4"/>
    <w:lvl w:ilvl="0" w:tplc="0306347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163DD"/>
    <w:multiLevelType w:val="hybridMultilevel"/>
    <w:tmpl w:val="AF8886FA"/>
    <w:lvl w:ilvl="0" w:tplc="D1BCAD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27A55"/>
    <w:multiLevelType w:val="hybridMultilevel"/>
    <w:tmpl w:val="27540C00"/>
    <w:lvl w:ilvl="0" w:tplc="B0A684E8">
      <w:start w:val="2"/>
      <w:numFmt w:val="lowerLetter"/>
      <w:lvlText w:val="%1."/>
      <w:lvlJc w:val="left"/>
      <w:pPr>
        <w:ind w:left="2172" w:hanging="360"/>
      </w:pPr>
      <w:rPr>
        <w:rFonts w:hint="default"/>
        <w:u w:val="single"/>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5" w15:restartNumberingAfterBreak="0">
    <w:nsid w:val="42A14C4A"/>
    <w:multiLevelType w:val="hybridMultilevel"/>
    <w:tmpl w:val="7590A91A"/>
    <w:lvl w:ilvl="0" w:tplc="9030E3FE">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D0871"/>
    <w:multiLevelType w:val="hybridMultilevel"/>
    <w:tmpl w:val="431ACA90"/>
    <w:lvl w:ilvl="0" w:tplc="A4EA1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55D53EA"/>
    <w:multiLevelType w:val="hybridMultilevel"/>
    <w:tmpl w:val="6318F498"/>
    <w:lvl w:ilvl="0" w:tplc="310CF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C4155"/>
    <w:multiLevelType w:val="hybridMultilevel"/>
    <w:tmpl w:val="0E2CE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F262BA2"/>
    <w:multiLevelType w:val="hybridMultilevel"/>
    <w:tmpl w:val="4A0E74EC"/>
    <w:lvl w:ilvl="0" w:tplc="1E3424CC">
      <w:start w:val="3"/>
      <w:numFmt w:val="lowerRoman"/>
      <w:lvlText w:val="%1."/>
      <w:lvlJc w:val="left"/>
      <w:pPr>
        <w:ind w:left="2730" w:hanging="918"/>
      </w:pPr>
      <w:rPr>
        <w:rFonts w:ascii="Arial" w:eastAsia="Arial" w:hAnsi="Arial" w:cs="Arial" w:hint="default"/>
        <w:b w:val="0"/>
        <w:bCs w:val="0"/>
        <w:i w:val="0"/>
        <w:iCs w:val="0"/>
        <w:spacing w:val="-2"/>
        <w:w w:val="100"/>
        <w:sz w:val="22"/>
        <w:szCs w:val="22"/>
        <w:lang w:val="en-US" w:eastAsia="en-US" w:bidi="ar-SA"/>
      </w:rPr>
    </w:lvl>
    <w:lvl w:ilvl="1" w:tplc="0306347E">
      <w:numFmt w:val="bullet"/>
      <w:lvlText w:val="•"/>
      <w:lvlJc w:val="left"/>
      <w:pPr>
        <w:ind w:left="3552" w:hanging="918"/>
      </w:pPr>
      <w:rPr>
        <w:rFonts w:hint="default"/>
        <w:lang w:val="en-US" w:eastAsia="en-US" w:bidi="ar-SA"/>
      </w:rPr>
    </w:lvl>
    <w:lvl w:ilvl="2" w:tplc="293407AA">
      <w:numFmt w:val="bullet"/>
      <w:lvlText w:val="•"/>
      <w:lvlJc w:val="left"/>
      <w:pPr>
        <w:ind w:left="4364" w:hanging="918"/>
      </w:pPr>
      <w:rPr>
        <w:rFonts w:hint="default"/>
        <w:lang w:val="en-US" w:eastAsia="en-US" w:bidi="ar-SA"/>
      </w:rPr>
    </w:lvl>
    <w:lvl w:ilvl="3" w:tplc="4852DE2C">
      <w:numFmt w:val="bullet"/>
      <w:lvlText w:val="•"/>
      <w:lvlJc w:val="left"/>
      <w:pPr>
        <w:ind w:left="5176" w:hanging="918"/>
      </w:pPr>
      <w:rPr>
        <w:rFonts w:hint="default"/>
        <w:lang w:val="en-US" w:eastAsia="en-US" w:bidi="ar-SA"/>
      </w:rPr>
    </w:lvl>
    <w:lvl w:ilvl="4" w:tplc="FF4252FC">
      <w:numFmt w:val="bullet"/>
      <w:lvlText w:val="•"/>
      <w:lvlJc w:val="left"/>
      <w:pPr>
        <w:ind w:left="5988" w:hanging="918"/>
      </w:pPr>
      <w:rPr>
        <w:rFonts w:hint="default"/>
        <w:lang w:val="en-US" w:eastAsia="en-US" w:bidi="ar-SA"/>
      </w:rPr>
    </w:lvl>
    <w:lvl w:ilvl="5" w:tplc="0A747D26">
      <w:numFmt w:val="bullet"/>
      <w:lvlText w:val="•"/>
      <w:lvlJc w:val="left"/>
      <w:pPr>
        <w:ind w:left="6800" w:hanging="918"/>
      </w:pPr>
      <w:rPr>
        <w:rFonts w:hint="default"/>
        <w:lang w:val="en-US" w:eastAsia="en-US" w:bidi="ar-SA"/>
      </w:rPr>
    </w:lvl>
    <w:lvl w:ilvl="6" w:tplc="AA0E88BE">
      <w:numFmt w:val="bullet"/>
      <w:lvlText w:val="•"/>
      <w:lvlJc w:val="left"/>
      <w:pPr>
        <w:ind w:left="7612" w:hanging="918"/>
      </w:pPr>
      <w:rPr>
        <w:rFonts w:hint="default"/>
        <w:lang w:val="en-US" w:eastAsia="en-US" w:bidi="ar-SA"/>
      </w:rPr>
    </w:lvl>
    <w:lvl w:ilvl="7" w:tplc="6ACEDFBE">
      <w:numFmt w:val="bullet"/>
      <w:lvlText w:val="•"/>
      <w:lvlJc w:val="left"/>
      <w:pPr>
        <w:ind w:left="8424" w:hanging="918"/>
      </w:pPr>
      <w:rPr>
        <w:rFonts w:hint="default"/>
        <w:lang w:val="en-US" w:eastAsia="en-US" w:bidi="ar-SA"/>
      </w:rPr>
    </w:lvl>
    <w:lvl w:ilvl="8" w:tplc="05B06B76">
      <w:numFmt w:val="bullet"/>
      <w:lvlText w:val="•"/>
      <w:lvlJc w:val="left"/>
      <w:pPr>
        <w:ind w:left="9236" w:hanging="918"/>
      </w:pPr>
      <w:rPr>
        <w:rFonts w:hint="default"/>
        <w:lang w:val="en-US" w:eastAsia="en-US" w:bidi="ar-SA"/>
      </w:rPr>
    </w:lvl>
  </w:abstractNum>
  <w:abstractNum w:abstractNumId="33"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38719FD"/>
    <w:multiLevelType w:val="hybridMultilevel"/>
    <w:tmpl w:val="52F278B8"/>
    <w:lvl w:ilvl="0" w:tplc="2EFAB52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E03236"/>
    <w:multiLevelType w:val="multilevel"/>
    <w:tmpl w:val="9AE6089C"/>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FA2B6B"/>
    <w:multiLevelType w:val="hybridMultilevel"/>
    <w:tmpl w:val="AF56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D4629"/>
    <w:multiLevelType w:val="multilevel"/>
    <w:tmpl w:val="93C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297318"/>
    <w:multiLevelType w:val="hybridMultilevel"/>
    <w:tmpl w:val="AF7A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60181"/>
    <w:multiLevelType w:val="hybridMultilevel"/>
    <w:tmpl w:val="24E86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65651A"/>
    <w:multiLevelType w:val="hybridMultilevel"/>
    <w:tmpl w:val="F21A5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A1E73"/>
    <w:multiLevelType w:val="hybridMultilevel"/>
    <w:tmpl w:val="99827BF8"/>
    <w:lvl w:ilvl="0" w:tplc="9030E3FE">
      <w:start w:val="1"/>
      <w:numFmt w:val="lowerLetter"/>
      <w:lvlText w:val="%1."/>
      <w:lvlJc w:val="left"/>
      <w:pPr>
        <w:ind w:left="1880" w:hanging="428"/>
      </w:pPr>
      <w:rPr>
        <w:rFonts w:ascii="Arial" w:eastAsia="Arial" w:hAnsi="Arial" w:cs="Arial"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E5A5D4D"/>
    <w:multiLevelType w:val="hybridMultilevel"/>
    <w:tmpl w:val="8226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D5296E"/>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6" w15:restartNumberingAfterBreak="0">
    <w:nsid w:val="60A32032"/>
    <w:multiLevelType w:val="hybridMultilevel"/>
    <w:tmpl w:val="F072F3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EE46A3"/>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3038B6"/>
    <w:multiLevelType w:val="hybridMultilevel"/>
    <w:tmpl w:val="17A803BE"/>
    <w:lvl w:ilvl="0" w:tplc="49B07D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871A0B"/>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50" w15:restartNumberingAfterBreak="0">
    <w:nsid w:val="6B7B0F45"/>
    <w:multiLevelType w:val="hybridMultilevel"/>
    <w:tmpl w:val="7EBC6B62"/>
    <w:lvl w:ilvl="0" w:tplc="30102D50">
      <w:start w:val="1"/>
      <w:numFmt w:val="decimal"/>
      <w:lvlText w:val="%1."/>
      <w:lvlJc w:val="left"/>
      <w:pPr>
        <w:ind w:left="320" w:hanging="720"/>
      </w:pPr>
      <w:rPr>
        <w:rFonts w:ascii="Times New Roman" w:eastAsia="Times New Roman" w:hAnsi="Times New Roman" w:cs="Times New Roman" w:hint="default"/>
        <w:b w:val="0"/>
        <w:bCs w:val="0"/>
        <w:i w:val="0"/>
        <w:iCs w:val="0"/>
        <w:w w:val="100"/>
        <w:sz w:val="22"/>
        <w:szCs w:val="22"/>
        <w:lang w:val="en-US" w:eastAsia="en-US" w:bidi="ar-SA"/>
      </w:rPr>
    </w:lvl>
    <w:lvl w:ilvl="1" w:tplc="DB18C406">
      <w:start w:val="1"/>
      <w:numFmt w:val="decimal"/>
      <w:lvlText w:val="%2."/>
      <w:lvlJc w:val="left"/>
      <w:pPr>
        <w:ind w:left="1400" w:hanging="360"/>
      </w:pPr>
      <w:rPr>
        <w:rFonts w:hint="default"/>
        <w:spacing w:val="-1"/>
        <w:w w:val="100"/>
        <w:lang w:val="en-US" w:eastAsia="en-US" w:bidi="ar-SA"/>
      </w:rPr>
    </w:lvl>
    <w:lvl w:ilvl="2" w:tplc="9030E3FE">
      <w:start w:val="1"/>
      <w:numFmt w:val="lowerLetter"/>
      <w:lvlText w:val="%3."/>
      <w:lvlJc w:val="left"/>
      <w:pPr>
        <w:ind w:left="1812" w:hanging="360"/>
      </w:pPr>
      <w:rPr>
        <w:rFonts w:ascii="Arial" w:eastAsia="Arial" w:hAnsi="Arial" w:cs="Arial" w:hint="default"/>
        <w:b w:val="0"/>
        <w:bCs w:val="0"/>
        <w:i w:val="0"/>
        <w:iCs w:val="0"/>
        <w:spacing w:val="-1"/>
        <w:w w:val="100"/>
        <w:sz w:val="22"/>
        <w:szCs w:val="22"/>
        <w:lang w:val="en-US" w:eastAsia="en-US" w:bidi="ar-SA"/>
      </w:rPr>
    </w:lvl>
    <w:lvl w:ilvl="3" w:tplc="07E0843A">
      <w:numFmt w:val="bullet"/>
      <w:lvlText w:val="•"/>
      <w:lvlJc w:val="left"/>
      <w:pPr>
        <w:ind w:left="1880" w:hanging="428"/>
      </w:pPr>
      <w:rPr>
        <w:rFonts w:hint="default"/>
        <w:lang w:val="en-US" w:eastAsia="en-US" w:bidi="ar-SA"/>
      </w:rPr>
    </w:lvl>
    <w:lvl w:ilvl="4" w:tplc="3398BCBE">
      <w:numFmt w:val="bullet"/>
      <w:lvlText w:val="•"/>
      <w:lvlJc w:val="left"/>
      <w:pPr>
        <w:ind w:left="3162" w:hanging="428"/>
      </w:pPr>
      <w:rPr>
        <w:rFonts w:hint="default"/>
        <w:lang w:val="en-US" w:eastAsia="en-US" w:bidi="ar-SA"/>
      </w:rPr>
    </w:lvl>
    <w:lvl w:ilvl="5" w:tplc="66CC26F4">
      <w:numFmt w:val="bullet"/>
      <w:lvlText w:val="•"/>
      <w:lvlJc w:val="left"/>
      <w:pPr>
        <w:ind w:left="4445" w:hanging="428"/>
      </w:pPr>
      <w:rPr>
        <w:rFonts w:hint="default"/>
        <w:lang w:val="en-US" w:eastAsia="en-US" w:bidi="ar-SA"/>
      </w:rPr>
    </w:lvl>
    <w:lvl w:ilvl="6" w:tplc="CE96CBA2">
      <w:numFmt w:val="bullet"/>
      <w:lvlText w:val="•"/>
      <w:lvlJc w:val="left"/>
      <w:pPr>
        <w:ind w:left="5728" w:hanging="428"/>
      </w:pPr>
      <w:rPr>
        <w:rFonts w:hint="default"/>
        <w:lang w:val="en-US" w:eastAsia="en-US" w:bidi="ar-SA"/>
      </w:rPr>
    </w:lvl>
    <w:lvl w:ilvl="7" w:tplc="955A456C">
      <w:numFmt w:val="bullet"/>
      <w:lvlText w:val="•"/>
      <w:lvlJc w:val="left"/>
      <w:pPr>
        <w:ind w:left="7011" w:hanging="428"/>
      </w:pPr>
      <w:rPr>
        <w:rFonts w:hint="default"/>
        <w:lang w:val="en-US" w:eastAsia="en-US" w:bidi="ar-SA"/>
      </w:rPr>
    </w:lvl>
    <w:lvl w:ilvl="8" w:tplc="A5B21A76">
      <w:numFmt w:val="bullet"/>
      <w:lvlText w:val="•"/>
      <w:lvlJc w:val="left"/>
      <w:pPr>
        <w:ind w:left="8294" w:hanging="428"/>
      </w:pPr>
      <w:rPr>
        <w:rFonts w:hint="default"/>
        <w:lang w:val="en-US" w:eastAsia="en-US" w:bidi="ar-SA"/>
      </w:rPr>
    </w:lvl>
  </w:abstractNum>
  <w:abstractNum w:abstractNumId="51" w15:restartNumberingAfterBreak="0">
    <w:nsid w:val="6C2F194F"/>
    <w:multiLevelType w:val="hybridMultilevel"/>
    <w:tmpl w:val="18A23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6B594C"/>
    <w:multiLevelType w:val="hybridMultilevel"/>
    <w:tmpl w:val="153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A4048"/>
    <w:multiLevelType w:val="hybridMultilevel"/>
    <w:tmpl w:val="7ED4E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DB194E"/>
    <w:multiLevelType w:val="multilevel"/>
    <w:tmpl w:val="1876B45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058A5"/>
    <w:multiLevelType w:val="hybridMultilevel"/>
    <w:tmpl w:val="4F1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8A3173"/>
    <w:multiLevelType w:val="hybridMultilevel"/>
    <w:tmpl w:val="9AE0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27"/>
  </w:num>
  <w:num w:numId="4">
    <w:abstractNumId w:val="31"/>
  </w:num>
  <w:num w:numId="5">
    <w:abstractNumId w:val="30"/>
  </w:num>
  <w:num w:numId="6">
    <w:abstractNumId w:val="3"/>
  </w:num>
  <w:num w:numId="7">
    <w:abstractNumId w:val="11"/>
  </w:num>
  <w:num w:numId="8">
    <w:abstractNumId w:val="27"/>
    <w:lvlOverride w:ilvl="0">
      <w:startOverride w:val="1"/>
    </w:lvlOverride>
  </w:num>
  <w:num w:numId="9">
    <w:abstractNumId w:val="52"/>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42"/>
  </w:num>
  <w:num w:numId="15">
    <w:abstractNumId w:val="38"/>
  </w:num>
  <w:num w:numId="16">
    <w:abstractNumId w:val="4"/>
  </w:num>
  <w:num w:numId="17">
    <w:abstractNumId w:val="54"/>
  </w:num>
  <w:num w:numId="18">
    <w:abstractNumId w:val="57"/>
  </w:num>
  <w:num w:numId="19">
    <w:abstractNumId w:val="47"/>
  </w:num>
  <w:num w:numId="20">
    <w:abstractNumId w:val="7"/>
  </w:num>
  <w:num w:numId="21">
    <w:abstractNumId w:val="32"/>
  </w:num>
  <w:num w:numId="22">
    <w:abstractNumId w:val="8"/>
  </w:num>
  <w:num w:numId="23">
    <w:abstractNumId w:val="45"/>
  </w:num>
  <w:num w:numId="24">
    <w:abstractNumId w:val="50"/>
  </w:num>
  <w:num w:numId="25">
    <w:abstractNumId w:val="6"/>
  </w:num>
  <w:num w:numId="26">
    <w:abstractNumId w:val="14"/>
  </w:num>
  <w:num w:numId="27">
    <w:abstractNumId w:val="43"/>
  </w:num>
  <w:num w:numId="28">
    <w:abstractNumId w:val="49"/>
  </w:num>
  <w:num w:numId="29">
    <w:abstractNumId w:val="37"/>
  </w:num>
  <w:num w:numId="30">
    <w:abstractNumId w:val="23"/>
  </w:num>
  <w:num w:numId="31">
    <w:abstractNumId w:val="24"/>
  </w:num>
  <w:num w:numId="32">
    <w:abstractNumId w:val="21"/>
  </w:num>
  <w:num w:numId="33">
    <w:abstractNumId w:val="53"/>
  </w:num>
  <w:num w:numId="34">
    <w:abstractNumId w:val="44"/>
  </w:num>
  <w:num w:numId="35">
    <w:abstractNumId w:val="25"/>
  </w:num>
  <w:num w:numId="36">
    <w:abstractNumId w:val="34"/>
  </w:num>
  <w:num w:numId="37">
    <w:abstractNumId w:val="48"/>
  </w:num>
  <w:num w:numId="38">
    <w:abstractNumId w:val="13"/>
  </w:num>
  <w:num w:numId="39">
    <w:abstractNumId w:val="28"/>
  </w:num>
  <w:num w:numId="40">
    <w:abstractNumId w:val="40"/>
  </w:num>
  <w:num w:numId="41">
    <w:abstractNumId w:val="26"/>
  </w:num>
  <w:num w:numId="42">
    <w:abstractNumId w:val="9"/>
  </w:num>
  <w:num w:numId="43">
    <w:abstractNumId w:val="15"/>
  </w:num>
  <w:num w:numId="44">
    <w:abstractNumId w:val="41"/>
  </w:num>
  <w:num w:numId="45">
    <w:abstractNumId w:val="58"/>
  </w:num>
  <w:num w:numId="46">
    <w:abstractNumId w:val="39"/>
  </w:num>
  <w:num w:numId="47">
    <w:abstractNumId w:val="19"/>
  </w:num>
  <w:num w:numId="48">
    <w:abstractNumId w:val="59"/>
  </w:num>
  <w:num w:numId="49">
    <w:abstractNumId w:val="2"/>
  </w:num>
  <w:num w:numId="50">
    <w:abstractNumId w:val="10"/>
  </w:num>
  <w:num w:numId="51">
    <w:abstractNumId w:val="29"/>
  </w:num>
  <w:num w:numId="52">
    <w:abstractNumId w:val="55"/>
  </w:num>
  <w:num w:numId="53">
    <w:abstractNumId w:val="22"/>
  </w:num>
  <w:num w:numId="54">
    <w:abstractNumId w:val="20"/>
  </w:num>
  <w:num w:numId="55">
    <w:abstractNumId w:val="46"/>
  </w:num>
  <w:num w:numId="56">
    <w:abstractNumId w:val="51"/>
  </w:num>
  <w:num w:numId="57">
    <w:abstractNumId w:val="33"/>
  </w:num>
  <w:num w:numId="58">
    <w:abstractNumId w:val="18"/>
  </w:num>
  <w:num w:numId="59">
    <w:abstractNumId w:val="16"/>
  </w:num>
  <w:num w:numId="60">
    <w:abstractNumId w:val="36"/>
  </w:num>
  <w:num w:numId="61">
    <w:abstractNumId w:val="0"/>
  </w:num>
  <w:num w:numId="62">
    <w:abstractNumId w:val="1"/>
  </w:num>
  <w:num w:numId="63">
    <w:abstractNumId w:val="56"/>
  </w:num>
  <w:num w:numId="64">
    <w:abstractNumId w:val="35"/>
  </w:num>
  <w:num w:numId="6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num>
  <w:num w:numId="67">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1E10"/>
    <w:rsid w:val="00032BE9"/>
    <w:rsid w:val="00055488"/>
    <w:rsid w:val="0007171B"/>
    <w:rsid w:val="000925A9"/>
    <w:rsid w:val="000A1FD7"/>
    <w:rsid w:val="000D1F9F"/>
    <w:rsid w:val="000E673A"/>
    <w:rsid w:val="000F74F5"/>
    <w:rsid w:val="00105372"/>
    <w:rsid w:val="001312AD"/>
    <w:rsid w:val="00131E7A"/>
    <w:rsid w:val="00134846"/>
    <w:rsid w:val="00165CF1"/>
    <w:rsid w:val="00172133"/>
    <w:rsid w:val="00172AF6"/>
    <w:rsid w:val="00176CEE"/>
    <w:rsid w:val="00186DD8"/>
    <w:rsid w:val="001A3DD9"/>
    <w:rsid w:val="001B13FE"/>
    <w:rsid w:val="001D68E9"/>
    <w:rsid w:val="001E3235"/>
    <w:rsid w:val="001F314F"/>
    <w:rsid w:val="00210096"/>
    <w:rsid w:val="00274420"/>
    <w:rsid w:val="002836A7"/>
    <w:rsid w:val="00283936"/>
    <w:rsid w:val="002A3D6A"/>
    <w:rsid w:val="002C27CF"/>
    <w:rsid w:val="0030169D"/>
    <w:rsid w:val="00304F9B"/>
    <w:rsid w:val="003060EB"/>
    <w:rsid w:val="00306200"/>
    <w:rsid w:val="003153EB"/>
    <w:rsid w:val="00321985"/>
    <w:rsid w:val="003219EC"/>
    <w:rsid w:val="00351205"/>
    <w:rsid w:val="003547E3"/>
    <w:rsid w:val="00364749"/>
    <w:rsid w:val="00372F74"/>
    <w:rsid w:val="00382F37"/>
    <w:rsid w:val="003D6FCA"/>
    <w:rsid w:val="003E2221"/>
    <w:rsid w:val="003E3DC0"/>
    <w:rsid w:val="003E7DA8"/>
    <w:rsid w:val="003F1937"/>
    <w:rsid w:val="003F7224"/>
    <w:rsid w:val="00427D21"/>
    <w:rsid w:val="00453BCD"/>
    <w:rsid w:val="004644C2"/>
    <w:rsid w:val="00467F9C"/>
    <w:rsid w:val="004A1C92"/>
    <w:rsid w:val="004B348B"/>
    <w:rsid w:val="004C761B"/>
    <w:rsid w:val="00504BFF"/>
    <w:rsid w:val="0053018A"/>
    <w:rsid w:val="00534681"/>
    <w:rsid w:val="00544B6F"/>
    <w:rsid w:val="00546693"/>
    <w:rsid w:val="00554253"/>
    <w:rsid w:val="00563442"/>
    <w:rsid w:val="00565B42"/>
    <w:rsid w:val="00581AFF"/>
    <w:rsid w:val="005914A1"/>
    <w:rsid w:val="005A035C"/>
    <w:rsid w:val="005B088B"/>
    <w:rsid w:val="005C165C"/>
    <w:rsid w:val="005C4CE6"/>
    <w:rsid w:val="005C541F"/>
    <w:rsid w:val="005E110C"/>
    <w:rsid w:val="006004AA"/>
    <w:rsid w:val="006122BA"/>
    <w:rsid w:val="006646E5"/>
    <w:rsid w:val="006B2290"/>
    <w:rsid w:val="006B70CA"/>
    <w:rsid w:val="006C5D8B"/>
    <w:rsid w:val="006F6F64"/>
    <w:rsid w:val="0070575E"/>
    <w:rsid w:val="00717D88"/>
    <w:rsid w:val="00732D78"/>
    <w:rsid w:val="00733A98"/>
    <w:rsid w:val="0074789C"/>
    <w:rsid w:val="00786056"/>
    <w:rsid w:val="0078614A"/>
    <w:rsid w:val="007942D3"/>
    <w:rsid w:val="007B2099"/>
    <w:rsid w:val="007B6C09"/>
    <w:rsid w:val="007B7741"/>
    <w:rsid w:val="007E09DA"/>
    <w:rsid w:val="007F305C"/>
    <w:rsid w:val="008178B6"/>
    <w:rsid w:val="0083451F"/>
    <w:rsid w:val="00865B74"/>
    <w:rsid w:val="00871D3E"/>
    <w:rsid w:val="008974F0"/>
    <w:rsid w:val="008A242B"/>
    <w:rsid w:val="008B012A"/>
    <w:rsid w:val="008B78FF"/>
    <w:rsid w:val="008C56E3"/>
    <w:rsid w:val="008C68C0"/>
    <w:rsid w:val="008D4B62"/>
    <w:rsid w:val="008E1BD9"/>
    <w:rsid w:val="0090084A"/>
    <w:rsid w:val="00905A3C"/>
    <w:rsid w:val="00906E17"/>
    <w:rsid w:val="009104EB"/>
    <w:rsid w:val="00930BA1"/>
    <w:rsid w:val="0093169E"/>
    <w:rsid w:val="00932645"/>
    <w:rsid w:val="009505C9"/>
    <w:rsid w:val="00950752"/>
    <w:rsid w:val="00966424"/>
    <w:rsid w:val="009768F1"/>
    <w:rsid w:val="00982B5A"/>
    <w:rsid w:val="009940A3"/>
    <w:rsid w:val="009B3A3B"/>
    <w:rsid w:val="009C2DE6"/>
    <w:rsid w:val="009E19D5"/>
    <w:rsid w:val="00A43233"/>
    <w:rsid w:val="00A57D6A"/>
    <w:rsid w:val="00A86C55"/>
    <w:rsid w:val="00AA6F92"/>
    <w:rsid w:val="00AB6934"/>
    <w:rsid w:val="00AF1822"/>
    <w:rsid w:val="00AF42DE"/>
    <w:rsid w:val="00B3369F"/>
    <w:rsid w:val="00B43BAC"/>
    <w:rsid w:val="00B55A14"/>
    <w:rsid w:val="00B91B48"/>
    <w:rsid w:val="00B94E6C"/>
    <w:rsid w:val="00BB10BA"/>
    <w:rsid w:val="00BB1D5F"/>
    <w:rsid w:val="00BB4606"/>
    <w:rsid w:val="00BB5FED"/>
    <w:rsid w:val="00BC6E78"/>
    <w:rsid w:val="00BD0D1A"/>
    <w:rsid w:val="00BE7A85"/>
    <w:rsid w:val="00C22708"/>
    <w:rsid w:val="00C23D2F"/>
    <w:rsid w:val="00C335AC"/>
    <w:rsid w:val="00C443BD"/>
    <w:rsid w:val="00C451C5"/>
    <w:rsid w:val="00C50CAD"/>
    <w:rsid w:val="00C5665B"/>
    <w:rsid w:val="00C9161D"/>
    <w:rsid w:val="00CA0C1D"/>
    <w:rsid w:val="00CE163A"/>
    <w:rsid w:val="00CF1848"/>
    <w:rsid w:val="00D12044"/>
    <w:rsid w:val="00D33EFC"/>
    <w:rsid w:val="00D40DBC"/>
    <w:rsid w:val="00D73E15"/>
    <w:rsid w:val="00D74A55"/>
    <w:rsid w:val="00D76A18"/>
    <w:rsid w:val="00D80849"/>
    <w:rsid w:val="00D82E8F"/>
    <w:rsid w:val="00DC385C"/>
    <w:rsid w:val="00DC70D6"/>
    <w:rsid w:val="00DD118C"/>
    <w:rsid w:val="00DE3A3B"/>
    <w:rsid w:val="00E4609F"/>
    <w:rsid w:val="00E60F12"/>
    <w:rsid w:val="00E6538E"/>
    <w:rsid w:val="00E66235"/>
    <w:rsid w:val="00E73A60"/>
    <w:rsid w:val="00E83C24"/>
    <w:rsid w:val="00E9318D"/>
    <w:rsid w:val="00EC5691"/>
    <w:rsid w:val="00F0559A"/>
    <w:rsid w:val="00F05AD8"/>
    <w:rsid w:val="00F53193"/>
    <w:rsid w:val="00F5357E"/>
    <w:rsid w:val="00F6586C"/>
    <w:rsid w:val="00F70488"/>
    <w:rsid w:val="00F83A33"/>
    <w:rsid w:val="00F94774"/>
    <w:rsid w:val="00FA663B"/>
    <w:rsid w:val="00FC53DB"/>
    <w:rsid w:val="00FE2F07"/>
    <w:rsid w:val="00FE6BE6"/>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uiPriority w:val="1"/>
    <w:qFormat/>
    <w:rsid w:val="007E09DA"/>
    <w:pPr>
      <w:spacing w:before="120" w:after="120"/>
      <w:ind w:firstLine="720"/>
    </w:pPr>
    <w:rPr>
      <w:iCs/>
    </w:rPr>
  </w:style>
  <w:style w:type="character" w:customStyle="1" w:styleId="BodyTextChar">
    <w:name w:val="Body Text Char"/>
    <w:basedOn w:val="DefaultParagraphFont"/>
    <w:link w:val="BodyText"/>
    <w:uiPriority w:val="1"/>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CommentSubject">
    <w:name w:val="annotation subject"/>
    <w:basedOn w:val="CommentText"/>
    <w:next w:val="CommentText"/>
    <w:link w:val="CommentSubjectCh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CommentSubjectChar">
    <w:name w:val="Comment Subject Char"/>
    <w:basedOn w:val="CommentTextChar"/>
    <w:link w:val="CommentSubject"/>
    <w:uiPriority w:val="99"/>
    <w:semiHidden/>
    <w:rsid w:val="002836A7"/>
    <w:rPr>
      <w:rFonts w:ascii="Arial" w:eastAsia="Arial" w:hAnsi="Arial" w:cs="Arial"/>
      <w:b/>
      <w:bCs/>
      <w:sz w:val="20"/>
      <w:szCs w:val="20"/>
      <w:lang w:val="en-US"/>
    </w:rPr>
  </w:style>
  <w:style w:type="character" w:customStyle="1" w:styleId="UnresolvedMention">
    <w:name w:val="Unresolved Mention"/>
    <w:basedOn w:val="DefaultParagraphFont"/>
    <w:uiPriority w:val="99"/>
    <w:semiHidden/>
    <w:unhideWhenUsed/>
    <w:rsid w:val="002836A7"/>
    <w:rPr>
      <w:color w:val="605E5C"/>
      <w:shd w:val="clear" w:color="auto" w:fill="E1DFDD"/>
    </w:rPr>
  </w:style>
  <w:style w:type="paragraph" w:styleId="Revisio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eNormal"/>
    <w:next w:val="TableGrid"/>
    <w:uiPriority w:val="59"/>
    <w:rsid w:val="0028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32645"/>
    <w:rPr>
      <w:rFonts w:ascii="Times New Roman" w:eastAsia="Times New Roman" w:hAnsi="Times New Roman" w:cs="Times New Roman"/>
      <w:sz w:val="22"/>
      <w:lang w:val="en-GB"/>
    </w:rPr>
  </w:style>
  <w:style w:type="numbering" w:customStyle="1" w:styleId="Listeactuelle1">
    <w:name w:val="Liste actuelle1"/>
    <w:uiPriority w:val="99"/>
    <w:rsid w:val="00B55A14"/>
    <w:pPr>
      <w:numPr>
        <w:numId w:val="66"/>
      </w:numPr>
    </w:pPr>
  </w:style>
  <w:style w:type="numbering" w:customStyle="1" w:styleId="Listeactuelle2">
    <w:name w:val="Liste actuelle2"/>
    <w:uiPriority w:val="99"/>
    <w:rsid w:val="00B55A14"/>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99493">
      <w:bodyDiv w:val="1"/>
      <w:marLeft w:val="0"/>
      <w:marRight w:val="0"/>
      <w:marTop w:val="0"/>
      <w:marBottom w:val="0"/>
      <w:divBdr>
        <w:top w:val="none" w:sz="0" w:space="0" w:color="auto"/>
        <w:left w:val="none" w:sz="0" w:space="0" w:color="auto"/>
        <w:bottom w:val="none" w:sz="0" w:space="0" w:color="auto"/>
        <w:right w:val="none" w:sz="0" w:space="0" w:color="auto"/>
      </w:divBdr>
    </w:div>
    <w:div w:id="1517226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160CC4302F7F84C98C9843F576C53FC"/>
        <w:category>
          <w:name w:val="Général"/>
          <w:gallery w:val="placeholder"/>
        </w:category>
        <w:types>
          <w:type w:val="bbPlcHdr"/>
        </w:types>
        <w:behaviors>
          <w:behavior w:val="content"/>
        </w:behaviors>
        <w:guid w:val="{2C9FAEA8-31C2-D248-9D55-FB03A9BEF856}"/>
      </w:docPartPr>
      <w:docPartBody>
        <w:p w:rsidR="002932D0" w:rsidRDefault="00CB0A9B" w:rsidP="00CB0A9B">
          <w:pPr>
            <w:pStyle w:val="3160CC4302F7F84C98C9843F576C53FC"/>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641B5"/>
    <w:rsid w:val="000B0BF5"/>
    <w:rsid w:val="000C3AD0"/>
    <w:rsid w:val="0020738D"/>
    <w:rsid w:val="002932D0"/>
    <w:rsid w:val="0041361C"/>
    <w:rsid w:val="0046422C"/>
    <w:rsid w:val="004760CF"/>
    <w:rsid w:val="00485F47"/>
    <w:rsid w:val="004E092F"/>
    <w:rsid w:val="00500A2B"/>
    <w:rsid w:val="0058288D"/>
    <w:rsid w:val="00665C6B"/>
    <w:rsid w:val="006801B3"/>
    <w:rsid w:val="007347D4"/>
    <w:rsid w:val="00766790"/>
    <w:rsid w:val="007758F7"/>
    <w:rsid w:val="00810A55"/>
    <w:rsid w:val="008C6619"/>
    <w:rsid w:val="008D420E"/>
    <w:rsid w:val="0098642F"/>
    <w:rsid w:val="009B19C4"/>
    <w:rsid w:val="00B72A44"/>
    <w:rsid w:val="00C52106"/>
    <w:rsid w:val="00C8104B"/>
    <w:rsid w:val="00CB0A9B"/>
    <w:rsid w:val="00D31D12"/>
    <w:rsid w:val="00F71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0A9B"/>
    <w:rPr>
      <w:color w:val="808080"/>
    </w:rPr>
  </w:style>
  <w:style w:type="paragraph" w:customStyle="1" w:styleId="3160CC4302F7F84C98C9843F576C53FC">
    <w:name w:val="3160CC4302F7F84C98C9843F576C53FC"/>
    <w:rsid w:val="00CB0A9B"/>
    <w:pPr>
      <w:spacing w:after="0" w:line="240" w:lineRule="auto"/>
    </w:pPr>
    <w:rPr>
      <w:sz w:val="24"/>
      <w:szCs w:val="24"/>
      <w:lang w:val="fr-FR" w:eastAsia="zh-CN"/>
    </w:rPr>
  </w:style>
  <w:style w:type="paragraph" w:customStyle="1" w:styleId="8B2EE4C08FBB9E4A93D39261BEFD8812">
    <w:name w:val="8B2EE4C08FBB9E4A93D39261BEFD8812"/>
    <w:rsid w:val="00CB0A9B"/>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BA57B58-F5F9-4A82-9D18-4FB8E9AB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1042</Words>
  <Characters>5734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ADOPTEE PAR L’ORGANE SUBSIDIAIRE CHARGE DE L’APPLICATION</vt:lpstr>
      <vt:lpstr>EVALUATION OF THE STRATEGIC FRAMEWORK FOR CAPACITY-BUILDING AND DEVELOPMENT TO SUPPORT THE EFFECTIVE IMPLEMENTATION OF THE NAGOYA PROTOCOL</vt:lpstr>
    </vt:vector>
  </TitlesOfParts>
  <Company>SCBD</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L’ORGANE SUBSIDIAIRE CHARGE DE L’APPLICATION</dc:title>
  <dc:subject>CBD/SBI/REC/3/9</dc:subject>
  <dc:creator>SCBD</dc:creator>
  <cp:keywords>Convention on Biological Diversity</cp:keywords>
  <cp:lastModifiedBy>Finn Kinley</cp:lastModifiedBy>
  <cp:revision>13</cp:revision>
  <cp:lastPrinted>2022-03-23T13:24:00Z</cp:lastPrinted>
  <dcterms:created xsi:type="dcterms:W3CDTF">2022-03-23T14:49:00Z</dcterms:created>
  <dcterms:modified xsi:type="dcterms:W3CDTF">2022-05-06T02:27:00Z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