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6732F" w:rsidRPr="00525E52" w14:paraId="13C41E38" w14:textId="77777777" w:rsidTr="00257E62">
        <w:trPr>
          <w:trHeight w:val="851"/>
        </w:trPr>
        <w:tc>
          <w:tcPr>
            <w:tcW w:w="976" w:type="dxa"/>
            <w:tcBorders>
              <w:bottom w:val="single" w:sz="12" w:space="0" w:color="auto"/>
            </w:tcBorders>
          </w:tcPr>
          <w:p w14:paraId="046B2183" w14:textId="77777777" w:rsidR="00B6732F" w:rsidRPr="00525E52" w:rsidRDefault="00B6732F" w:rsidP="00257E62">
            <w:pPr>
              <w:rPr>
                <w:lang w:val="fr-FR"/>
              </w:rPr>
            </w:pPr>
            <w:bookmarkStart w:id="0" w:name="Meeting"/>
            <w:r w:rsidRPr="00525E52">
              <w:rPr>
                <w:noProof/>
                <w:lang w:val="fr-FR" w:eastAsia="fr-FR"/>
              </w:rPr>
              <w:drawing>
                <wp:inline distT="0" distB="0" distL="0" distR="0" wp14:anchorId="0C476E85" wp14:editId="2B679865">
                  <wp:extent cx="476494" cy="403200"/>
                  <wp:effectExtent l="0" t="0" r="6350" b="3810"/>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CF143AF" w14:textId="77777777" w:rsidR="00B6732F" w:rsidRPr="00525E52" w:rsidRDefault="00B6732F" w:rsidP="00257E62">
            <w:pPr>
              <w:rPr>
                <w:lang w:val="fr-FR"/>
              </w:rPr>
            </w:pPr>
            <w:r w:rsidRPr="00525E52">
              <w:rPr>
                <w:noProof/>
                <w:lang w:val="fr-FR" w:eastAsia="fr-FR"/>
              </w:rPr>
              <w:drawing>
                <wp:inline distT="0" distB="0" distL="0" distR="0" wp14:anchorId="404E1762" wp14:editId="0EE3E964">
                  <wp:extent cx="593725" cy="34099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EBE40AD" w14:textId="77777777" w:rsidR="00B6732F" w:rsidRPr="00525E52" w:rsidRDefault="00B6732F" w:rsidP="00257E62">
            <w:pPr>
              <w:jc w:val="right"/>
              <w:rPr>
                <w:rFonts w:ascii="Arial" w:hAnsi="Arial" w:cs="Arial"/>
                <w:b/>
                <w:sz w:val="32"/>
                <w:szCs w:val="32"/>
                <w:lang w:val="fr-FR"/>
              </w:rPr>
            </w:pPr>
            <w:r w:rsidRPr="00525E52">
              <w:rPr>
                <w:rFonts w:ascii="Arial" w:hAnsi="Arial" w:cs="Arial"/>
                <w:b/>
                <w:sz w:val="32"/>
                <w:szCs w:val="32"/>
                <w:lang w:val="fr-FR"/>
              </w:rPr>
              <w:t>CBD</w:t>
            </w:r>
          </w:p>
        </w:tc>
      </w:tr>
      <w:tr w:rsidR="00B6732F" w:rsidRPr="00E017C1" w14:paraId="125AE8CD" w14:textId="77777777" w:rsidTr="00257E62">
        <w:tc>
          <w:tcPr>
            <w:tcW w:w="6117" w:type="dxa"/>
            <w:gridSpan w:val="2"/>
            <w:tcBorders>
              <w:top w:val="single" w:sz="12" w:space="0" w:color="auto"/>
              <w:bottom w:val="single" w:sz="36" w:space="0" w:color="auto"/>
            </w:tcBorders>
            <w:vAlign w:val="center"/>
          </w:tcPr>
          <w:p w14:paraId="65C7F713" w14:textId="77777777" w:rsidR="00B6732F" w:rsidRPr="00525E52" w:rsidRDefault="00B6732F" w:rsidP="00257E62">
            <w:pPr>
              <w:rPr>
                <w:lang w:val="fr-FR"/>
              </w:rPr>
            </w:pPr>
            <w:r w:rsidRPr="00525E52">
              <w:rPr>
                <w:bCs/>
                <w:noProof/>
                <w:szCs w:val="22"/>
                <w:lang w:val="fr-FR" w:eastAsia="fr-FR"/>
              </w:rPr>
              <w:drawing>
                <wp:inline distT="0" distB="0" distL="0" distR="0" wp14:anchorId="587D4C30" wp14:editId="59E0A361">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35E7E9A" w14:textId="77777777" w:rsidR="00B6732F" w:rsidRPr="00525E52" w:rsidRDefault="00B6732F" w:rsidP="00257E62">
            <w:pPr>
              <w:ind w:left="1215"/>
              <w:rPr>
                <w:rFonts w:asciiTheme="majorBidi" w:hAnsiTheme="majorBidi" w:cstheme="majorBidi"/>
                <w:szCs w:val="22"/>
                <w:lang w:val="fr-FR"/>
              </w:rPr>
            </w:pPr>
            <w:r w:rsidRPr="00525E52">
              <w:rPr>
                <w:rFonts w:asciiTheme="majorBidi" w:hAnsiTheme="majorBidi" w:cstheme="majorBidi"/>
                <w:szCs w:val="22"/>
                <w:lang w:val="fr-FR"/>
              </w:rPr>
              <w:t>Distr.</w:t>
            </w:r>
          </w:p>
          <w:p w14:paraId="1B2BA699" w14:textId="660EACD6" w:rsidR="00B6732F" w:rsidRPr="00525E52" w:rsidRDefault="00E017C1" w:rsidP="00257E62">
            <w:pPr>
              <w:ind w:left="1215"/>
              <w:rPr>
                <w:rFonts w:asciiTheme="majorBidi" w:hAnsiTheme="majorBidi" w:cstheme="majorBidi"/>
                <w:szCs w:val="22"/>
                <w:lang w:val="fr-FR"/>
              </w:rPr>
            </w:pPr>
            <w:r>
              <w:rPr>
                <w:rFonts w:asciiTheme="majorBidi" w:hAnsiTheme="majorBidi" w:cstheme="majorBidi"/>
                <w:caps/>
                <w:szCs w:val="22"/>
                <w:lang w:val="fr-FR"/>
              </w:rPr>
              <w:t>general</w:t>
            </w:r>
            <w:r w:rsidR="00B6732F" w:rsidRPr="00525E52">
              <w:rPr>
                <w:rFonts w:asciiTheme="majorBidi" w:hAnsiTheme="majorBidi" w:cstheme="majorBidi"/>
                <w:caps/>
                <w:szCs w:val="22"/>
                <w:lang w:val="fr-FR"/>
              </w:rPr>
              <w:t>E</w:t>
            </w:r>
          </w:p>
          <w:p w14:paraId="74A30E73" w14:textId="77777777" w:rsidR="00B6732F" w:rsidRPr="00525E52" w:rsidRDefault="00B6732F" w:rsidP="00257E62">
            <w:pPr>
              <w:ind w:left="1215"/>
              <w:rPr>
                <w:rFonts w:asciiTheme="majorBidi" w:hAnsiTheme="majorBidi" w:cstheme="majorBidi"/>
                <w:szCs w:val="22"/>
                <w:lang w:val="fr-FR"/>
              </w:rPr>
            </w:pPr>
          </w:p>
          <w:p w14:paraId="2E6E4DEF" w14:textId="256A926D" w:rsidR="00B6732F" w:rsidRPr="00525E52" w:rsidRDefault="005F7577" w:rsidP="00257E62">
            <w:pPr>
              <w:ind w:left="1215"/>
              <w:rPr>
                <w:rFonts w:asciiTheme="majorBidi" w:hAnsiTheme="majorBidi" w:cstheme="majorBidi"/>
                <w:szCs w:val="22"/>
                <w:lang w:val="fr-FR"/>
              </w:rPr>
            </w:pPr>
            <w:sdt>
              <w:sdtPr>
                <w:rPr>
                  <w:rFonts w:asciiTheme="majorBidi" w:hAnsiTheme="majorBidi" w:cstheme="majorBidi"/>
                  <w:szCs w:val="22"/>
                  <w:lang w:val="fr-FR"/>
                </w:rPr>
                <w:alias w:val="Subject"/>
                <w:tag w:val=""/>
                <w:id w:val="2137136483"/>
                <w:placeholder>
                  <w:docPart w:val="62A71311D92E4DC1AACA8B35FEFC45DC"/>
                </w:placeholder>
                <w:dataBinding w:prefixMappings="xmlns:ns0='http://purl.org/dc/elements/1.1/' xmlns:ns1='http://schemas.openxmlformats.org/package/2006/metadata/core-properties' " w:xpath="/ns1:coreProperties[1]/ns0:subject[1]" w:storeItemID="{6C3C8BC8-F283-45AE-878A-BAB7291924A1}"/>
                <w:text/>
              </w:sdtPr>
              <w:sdtEndPr/>
              <w:sdtContent>
                <w:r w:rsidR="00B6732F" w:rsidRPr="00525E52">
                  <w:rPr>
                    <w:rFonts w:asciiTheme="majorBidi" w:hAnsiTheme="majorBidi" w:cstheme="majorBidi"/>
                    <w:szCs w:val="22"/>
                    <w:lang w:val="fr-FR"/>
                  </w:rPr>
                  <w:t>CBD/SBI/</w:t>
                </w:r>
                <w:r w:rsidR="00E017C1">
                  <w:rPr>
                    <w:rFonts w:asciiTheme="majorBidi" w:hAnsiTheme="majorBidi" w:cstheme="majorBidi"/>
                    <w:szCs w:val="22"/>
                    <w:lang w:val="fr-FR"/>
                  </w:rPr>
                  <w:t>REC/3/10</w:t>
                </w:r>
              </w:sdtContent>
            </w:sdt>
          </w:p>
          <w:p w14:paraId="58B0A2EA" w14:textId="77777777" w:rsidR="00B6732F" w:rsidRPr="00525E52" w:rsidRDefault="00B6732F" w:rsidP="00257E62">
            <w:pPr>
              <w:ind w:left="1215"/>
              <w:rPr>
                <w:rFonts w:asciiTheme="majorBidi" w:hAnsiTheme="majorBidi" w:cstheme="majorBidi"/>
                <w:szCs w:val="22"/>
                <w:lang w:val="fr-FR"/>
              </w:rPr>
            </w:pPr>
            <w:r w:rsidRPr="00525E52">
              <w:rPr>
                <w:rFonts w:asciiTheme="majorBidi" w:hAnsiTheme="majorBidi" w:cstheme="majorBidi"/>
                <w:szCs w:val="22"/>
                <w:lang w:val="fr-FR"/>
              </w:rPr>
              <w:t>28 mars 2022</w:t>
            </w:r>
          </w:p>
          <w:p w14:paraId="0B66C3BA" w14:textId="77777777" w:rsidR="00B6732F" w:rsidRPr="00525E52" w:rsidRDefault="00B6732F" w:rsidP="00257E62">
            <w:pPr>
              <w:ind w:left="1215"/>
              <w:rPr>
                <w:rFonts w:asciiTheme="majorBidi" w:hAnsiTheme="majorBidi" w:cstheme="majorBidi"/>
                <w:szCs w:val="22"/>
                <w:lang w:val="fr-FR"/>
              </w:rPr>
            </w:pPr>
          </w:p>
          <w:p w14:paraId="006F6C73" w14:textId="77777777" w:rsidR="00B6732F" w:rsidRPr="00525E52" w:rsidRDefault="00B6732F" w:rsidP="00257E62">
            <w:pPr>
              <w:ind w:left="1215"/>
              <w:rPr>
                <w:rFonts w:asciiTheme="majorBidi" w:hAnsiTheme="majorBidi" w:cstheme="majorBidi"/>
                <w:szCs w:val="22"/>
                <w:lang w:val="fr-FR"/>
              </w:rPr>
            </w:pPr>
            <w:r w:rsidRPr="00525E52">
              <w:rPr>
                <w:rFonts w:asciiTheme="majorBidi" w:hAnsiTheme="majorBidi" w:cstheme="majorBidi"/>
                <w:szCs w:val="22"/>
                <w:lang w:val="fr-FR"/>
              </w:rPr>
              <w:t>FRANÇAIS</w:t>
            </w:r>
            <w:r w:rsidRPr="00525E52">
              <w:rPr>
                <w:rFonts w:asciiTheme="majorBidi" w:hAnsiTheme="majorBidi" w:cstheme="majorBidi"/>
                <w:szCs w:val="22"/>
                <w:lang w:val="fr-FR"/>
              </w:rPr>
              <w:br/>
              <w:t>ORIGINAL : ANGLAIS</w:t>
            </w:r>
          </w:p>
          <w:p w14:paraId="4DA01BE4" w14:textId="77777777" w:rsidR="00B6732F" w:rsidRPr="00525E52" w:rsidRDefault="00B6732F" w:rsidP="00257E62">
            <w:pPr>
              <w:rPr>
                <w:lang w:val="fr-FR"/>
              </w:rPr>
            </w:pPr>
          </w:p>
        </w:tc>
      </w:tr>
    </w:tbl>
    <w:p w14:paraId="745598CA" w14:textId="44A1BFC9" w:rsidR="004E0BE4" w:rsidRPr="00525E52" w:rsidRDefault="00B6732F" w:rsidP="004E0BE4">
      <w:pPr>
        <w:pStyle w:val="meetingname"/>
        <w:ind w:right="4398"/>
        <w:jc w:val="left"/>
        <w:rPr>
          <w:snapToGrid w:val="0"/>
          <w:kern w:val="22"/>
          <w:lang w:val="fr-FR"/>
        </w:rPr>
      </w:pPr>
      <w:r w:rsidRPr="00525E52">
        <w:rPr>
          <w:kern w:val="22"/>
          <w:lang w:val="fr-FR"/>
        </w:rPr>
        <w:t>ORGANE SUBSIDIAIRE CHARGÉ DE L’APPLICATION</w:t>
      </w:r>
      <w:bookmarkEnd w:id="0"/>
    </w:p>
    <w:p w14:paraId="12D367B6" w14:textId="23ED1948" w:rsidR="004E0BE4" w:rsidRDefault="004E0BE4" w:rsidP="004E0BE4">
      <w:pPr>
        <w:ind w:left="284" w:hanging="284"/>
        <w:jc w:val="left"/>
        <w:rPr>
          <w:snapToGrid w:val="0"/>
          <w:kern w:val="22"/>
          <w:szCs w:val="22"/>
          <w:lang w:val="fr-FR" w:eastAsia="nb-NO"/>
        </w:rPr>
      </w:pPr>
      <w:r w:rsidRPr="00525E52">
        <w:rPr>
          <w:snapToGrid w:val="0"/>
          <w:kern w:val="22"/>
          <w:szCs w:val="22"/>
          <w:lang w:val="fr-FR" w:eastAsia="nb-NO"/>
        </w:rPr>
        <w:t>Troisième réunion</w:t>
      </w:r>
    </w:p>
    <w:p w14:paraId="59EF9E2B" w14:textId="3258F608" w:rsidR="00E017C1" w:rsidRPr="00525E52" w:rsidRDefault="00E017C1" w:rsidP="004E0BE4">
      <w:pPr>
        <w:ind w:left="284" w:hanging="284"/>
        <w:jc w:val="left"/>
        <w:rPr>
          <w:snapToGrid w:val="0"/>
          <w:kern w:val="22"/>
          <w:szCs w:val="22"/>
          <w:lang w:val="fr-FR" w:eastAsia="nb-NO"/>
        </w:rPr>
      </w:pPr>
      <w:r>
        <w:rPr>
          <w:snapToGrid w:val="0"/>
          <w:kern w:val="22"/>
          <w:szCs w:val="22"/>
          <w:lang w:val="fr-FR" w:eastAsia="nb-NO"/>
        </w:rPr>
        <w:t>En ligne, 16 mai-13 juin 2021 et</w:t>
      </w:r>
    </w:p>
    <w:p w14:paraId="533E5B00" w14:textId="392106B8" w:rsidR="004E0BE4" w:rsidRPr="00525E52" w:rsidRDefault="00B6732F" w:rsidP="004E0BE4">
      <w:pPr>
        <w:ind w:left="284" w:hanging="284"/>
        <w:jc w:val="left"/>
        <w:rPr>
          <w:snapToGrid w:val="0"/>
          <w:kern w:val="22"/>
          <w:szCs w:val="22"/>
          <w:lang w:val="fr-FR" w:eastAsia="nb-NO"/>
        </w:rPr>
      </w:pPr>
      <w:r w:rsidRPr="00525E52">
        <w:rPr>
          <w:snapToGrid w:val="0"/>
          <w:kern w:val="22"/>
          <w:szCs w:val="22"/>
          <w:lang w:val="fr-FR" w:eastAsia="nb-NO"/>
        </w:rPr>
        <w:t>Genève</w:t>
      </w:r>
      <w:r w:rsidR="004E0BE4" w:rsidRPr="00525E52">
        <w:rPr>
          <w:snapToGrid w:val="0"/>
          <w:kern w:val="22"/>
          <w:szCs w:val="22"/>
          <w:lang w:val="fr-FR" w:eastAsia="nb-NO"/>
        </w:rPr>
        <w:t xml:space="preserve">, </w:t>
      </w:r>
      <w:r w:rsidRPr="00525E52">
        <w:rPr>
          <w:snapToGrid w:val="0"/>
          <w:kern w:val="22"/>
          <w:szCs w:val="22"/>
          <w:lang w:val="fr-FR" w:eastAsia="nb-NO"/>
        </w:rPr>
        <w:t>Suisse, 14</w:t>
      </w:r>
      <w:r w:rsidR="004E0BE4" w:rsidRPr="00525E52">
        <w:rPr>
          <w:snapToGrid w:val="0"/>
          <w:kern w:val="22"/>
          <w:szCs w:val="22"/>
          <w:lang w:val="fr-FR" w:eastAsia="nb-NO"/>
        </w:rPr>
        <w:t xml:space="preserve"> -</w:t>
      </w:r>
      <w:r w:rsidRPr="00525E52">
        <w:rPr>
          <w:snapToGrid w:val="0"/>
          <w:kern w:val="22"/>
          <w:szCs w:val="22"/>
          <w:lang w:val="fr-FR" w:eastAsia="nb-NO"/>
        </w:rPr>
        <w:t>29 mars</w:t>
      </w:r>
      <w:r w:rsidR="004E0BE4" w:rsidRPr="00525E52">
        <w:rPr>
          <w:snapToGrid w:val="0"/>
          <w:kern w:val="22"/>
          <w:szCs w:val="22"/>
          <w:lang w:val="fr-FR" w:eastAsia="nb-NO"/>
        </w:rPr>
        <w:t xml:space="preserve"> 202</w:t>
      </w:r>
      <w:r w:rsidRPr="00525E52">
        <w:rPr>
          <w:snapToGrid w:val="0"/>
          <w:kern w:val="22"/>
          <w:szCs w:val="22"/>
          <w:lang w:val="fr-FR" w:eastAsia="nb-NO"/>
        </w:rPr>
        <w:t>2</w:t>
      </w:r>
    </w:p>
    <w:p w14:paraId="5ECF7635" w14:textId="08E78439" w:rsidR="00C9161D" w:rsidRPr="00525E52" w:rsidRDefault="004E0BE4" w:rsidP="009B6057">
      <w:pPr>
        <w:spacing w:after="120"/>
        <w:rPr>
          <w:lang w:val="fr-FR"/>
        </w:rPr>
      </w:pPr>
      <w:r w:rsidRPr="00525E52">
        <w:rPr>
          <w:snapToGrid w:val="0"/>
          <w:kern w:val="22"/>
          <w:szCs w:val="22"/>
          <w:lang w:val="fr-FR"/>
        </w:rPr>
        <w:t>Point</w:t>
      </w:r>
      <w:r w:rsidR="00134846" w:rsidRPr="00525E52">
        <w:rPr>
          <w:snapToGrid w:val="0"/>
          <w:kern w:val="22"/>
          <w:szCs w:val="22"/>
          <w:lang w:val="fr-FR"/>
        </w:rPr>
        <w:t xml:space="preserve"> </w:t>
      </w:r>
      <w:r w:rsidR="00207B96" w:rsidRPr="00525E52">
        <w:rPr>
          <w:snapToGrid w:val="0"/>
          <w:kern w:val="22"/>
          <w:szCs w:val="22"/>
          <w:lang w:val="fr-FR"/>
        </w:rPr>
        <w:t>7</w:t>
      </w:r>
      <w:r w:rsidRPr="00525E52">
        <w:rPr>
          <w:snapToGrid w:val="0"/>
          <w:kern w:val="22"/>
          <w:szCs w:val="22"/>
          <w:lang w:val="fr-FR"/>
        </w:rPr>
        <w:t xml:space="preserve"> de l’ordre du jour </w:t>
      </w:r>
    </w:p>
    <w:p w14:paraId="57F6B7A1" w14:textId="5240CBB3" w:rsidR="00C9161D" w:rsidRPr="00525E52" w:rsidRDefault="005F7577" w:rsidP="00AC6F94">
      <w:pPr>
        <w:spacing w:before="240" w:after="240"/>
        <w:jc w:val="center"/>
        <w:rPr>
          <w:rFonts w:cs="Times New Roman Bold"/>
          <w:b/>
          <w:caps/>
          <w:lang w:val="fr-FR"/>
        </w:rPr>
      </w:pPr>
      <w:sdt>
        <w:sdtPr>
          <w:rPr>
            <w:b/>
            <w:caps/>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F512D" w:rsidRPr="002F512D">
            <w:rPr>
              <w:b/>
              <w:caps/>
              <w:lang w:val="fr-FR"/>
            </w:rPr>
            <w:t xml:space="preserve">RECOMMANDATION ADOPTEE PAR L’ORGANE SUBSIDIAIRE CHARGE DE L’APPLICATION </w:t>
          </w:r>
        </w:sdtContent>
      </w:sdt>
      <w:r w:rsidR="00105372" w:rsidRPr="00525E52">
        <w:rPr>
          <w:rFonts w:cs="Times New Roman Bold"/>
          <w:b/>
          <w:caps/>
          <w:lang w:val="fr-FR"/>
        </w:rPr>
        <w:t xml:space="preserve"> </w:t>
      </w:r>
    </w:p>
    <w:p w14:paraId="2EEF764E" w14:textId="4DDE179B" w:rsidR="00F6586C" w:rsidRPr="00525E52" w:rsidRDefault="002F512D" w:rsidP="00013385">
      <w:pPr>
        <w:pStyle w:val="Style1"/>
        <w:tabs>
          <w:tab w:val="clear" w:pos="720"/>
        </w:tabs>
        <w:spacing w:after="240"/>
        <w:rPr>
          <w:bCs w:val="0"/>
          <w:i w:val="0"/>
          <w:iCs w:val="0"/>
          <w:lang w:val="fr-FR"/>
        </w:rPr>
      </w:pPr>
      <w:r>
        <w:rPr>
          <w:bCs w:val="0"/>
          <w:i w:val="0"/>
          <w:iCs w:val="0"/>
          <w:lang w:val="fr-FR"/>
        </w:rPr>
        <w:t>3.10.</w:t>
      </w:r>
      <w:r>
        <w:rPr>
          <w:bCs w:val="0"/>
          <w:i w:val="0"/>
          <w:iCs w:val="0"/>
          <w:lang w:val="fr-FR"/>
        </w:rPr>
        <w:tab/>
        <w:t>La gestion des connaissances et le</w:t>
      </w:r>
      <w:r w:rsidR="00013385">
        <w:rPr>
          <w:bCs w:val="0"/>
          <w:i w:val="0"/>
          <w:iCs w:val="0"/>
          <w:lang w:val="fr-FR"/>
        </w:rPr>
        <w:t xml:space="preserve"> Centre d’échange</w:t>
      </w:r>
    </w:p>
    <w:p w14:paraId="5D4AC3A3" w14:textId="77777777" w:rsidR="00B6732F" w:rsidRPr="00525E52" w:rsidRDefault="004E0BE4" w:rsidP="00B6732F">
      <w:pPr>
        <w:pStyle w:val="Para1"/>
        <w:suppressLineNumbers/>
        <w:suppressAutoHyphens/>
        <w:kinsoku w:val="0"/>
        <w:overflowPunct w:val="0"/>
        <w:autoSpaceDE w:val="0"/>
        <w:autoSpaceDN w:val="0"/>
        <w:adjustRightInd w:val="0"/>
        <w:snapToGrid w:val="0"/>
        <w:ind w:firstLine="720"/>
        <w:rPr>
          <w:i/>
          <w:iCs/>
          <w:kern w:val="22"/>
          <w:lang w:val="fr-FR"/>
        </w:rPr>
      </w:pPr>
      <w:r w:rsidRPr="00525E52">
        <w:rPr>
          <w:i/>
          <w:iCs/>
          <w:kern w:val="22"/>
          <w:lang w:val="fr-FR"/>
        </w:rPr>
        <w:t>L</w:t>
      </w:r>
      <w:r w:rsidR="00085AAC" w:rsidRPr="00525E52">
        <w:rPr>
          <w:i/>
          <w:iCs/>
          <w:kern w:val="22"/>
          <w:lang w:val="fr-FR"/>
        </w:rPr>
        <w:t>’Organe subsidiaire chargé de l’application</w:t>
      </w:r>
      <w:r w:rsidRPr="00525E52">
        <w:rPr>
          <w:i/>
          <w:iCs/>
          <w:kern w:val="22"/>
          <w:lang w:val="fr-FR"/>
        </w:rPr>
        <w:t xml:space="preserve"> </w:t>
      </w:r>
    </w:p>
    <w:p w14:paraId="34A3409D" w14:textId="14702205" w:rsidR="00B6732F" w:rsidRPr="00525E52" w:rsidRDefault="00B6732F" w:rsidP="00B6732F">
      <w:pPr>
        <w:pStyle w:val="Para1"/>
        <w:suppressLineNumbers/>
        <w:suppressAutoHyphens/>
        <w:kinsoku w:val="0"/>
        <w:overflowPunct w:val="0"/>
        <w:autoSpaceDE w:val="0"/>
        <w:autoSpaceDN w:val="0"/>
        <w:adjustRightInd w:val="0"/>
        <w:snapToGrid w:val="0"/>
        <w:ind w:firstLine="720"/>
        <w:rPr>
          <w:kern w:val="22"/>
          <w:lang w:val="fr-FR"/>
        </w:rPr>
      </w:pPr>
      <w:r w:rsidRPr="00525E52">
        <w:rPr>
          <w:kern w:val="22"/>
          <w:lang w:val="fr-FR"/>
        </w:rPr>
        <w:t>1.</w:t>
      </w:r>
      <w:r w:rsidRPr="00525E52">
        <w:rPr>
          <w:kern w:val="22"/>
          <w:lang w:val="fr-FR"/>
        </w:rPr>
        <w:tab/>
      </w:r>
      <w:r w:rsidR="00AA234F" w:rsidRPr="00525E52">
        <w:rPr>
          <w:i/>
          <w:iCs/>
          <w:kern w:val="22"/>
          <w:lang w:val="fr-FR"/>
        </w:rPr>
        <w:t xml:space="preserve">Recommande </w:t>
      </w:r>
      <w:r w:rsidR="00AA234F" w:rsidRPr="00525E52">
        <w:rPr>
          <w:kern w:val="22"/>
          <w:lang w:val="fr-FR"/>
        </w:rPr>
        <w:t>que les résultats de la deuxième partie de sa troisième réunion sur la gestion des connais</w:t>
      </w:r>
      <w:r w:rsidR="00013385">
        <w:rPr>
          <w:kern w:val="22"/>
          <w:lang w:val="fr-FR"/>
        </w:rPr>
        <w:t xml:space="preserve">sances soient mis à disposition, pour </w:t>
      </w:r>
      <w:r w:rsidR="0006422D" w:rsidRPr="00525E52">
        <w:rPr>
          <w:kern w:val="22"/>
          <w:lang w:val="fr-FR"/>
        </w:rPr>
        <w:t>examen par le</w:t>
      </w:r>
      <w:r w:rsidR="00AA234F" w:rsidRPr="00525E52">
        <w:rPr>
          <w:kern w:val="22"/>
          <w:lang w:val="fr-FR"/>
        </w:rPr>
        <w:t xml:space="preserve"> Groupe de travail à composition non limitée sur le cadre mondial de la biodiversité pour l’après-2020 </w:t>
      </w:r>
      <w:r w:rsidR="0006422D" w:rsidRPr="00525E52">
        <w:rPr>
          <w:kern w:val="22"/>
          <w:lang w:val="fr-FR"/>
        </w:rPr>
        <w:t>l</w:t>
      </w:r>
      <w:r w:rsidR="00AA234F" w:rsidRPr="00525E52">
        <w:rPr>
          <w:kern w:val="22"/>
          <w:lang w:val="fr-FR"/>
        </w:rPr>
        <w:t>orsqu'il poursuivra ses travaux en vue de l'élaboration de la version finale du cadre mondial de la</w:t>
      </w:r>
      <w:r w:rsidR="00013385">
        <w:rPr>
          <w:kern w:val="22"/>
          <w:lang w:val="fr-FR"/>
        </w:rPr>
        <w:t xml:space="preserve"> biodiversité pour l’après-2020</w:t>
      </w:r>
      <w:r w:rsidRPr="00525E52">
        <w:rPr>
          <w:kern w:val="22"/>
          <w:lang w:val="fr-FR"/>
        </w:rPr>
        <w:t>;</w:t>
      </w:r>
    </w:p>
    <w:p w14:paraId="4EC032AC" w14:textId="1480BD6D" w:rsidR="00085AAC" w:rsidRPr="00525E52" w:rsidRDefault="00B6732F" w:rsidP="00B6732F">
      <w:pPr>
        <w:pStyle w:val="Para1"/>
        <w:suppressLineNumbers/>
        <w:tabs>
          <w:tab w:val="num" w:pos="0"/>
        </w:tabs>
        <w:suppressAutoHyphens/>
        <w:kinsoku w:val="0"/>
        <w:overflowPunct w:val="0"/>
        <w:autoSpaceDE w:val="0"/>
        <w:autoSpaceDN w:val="0"/>
        <w:adjustRightInd w:val="0"/>
        <w:snapToGrid w:val="0"/>
        <w:ind w:firstLine="709"/>
        <w:rPr>
          <w:rFonts w:eastAsiaTheme="minorEastAsia"/>
          <w:kern w:val="22"/>
          <w:lang w:val="fr-FR"/>
        </w:rPr>
      </w:pPr>
      <w:r w:rsidRPr="00525E52">
        <w:rPr>
          <w:kern w:val="22"/>
          <w:lang w:val="fr-FR"/>
        </w:rPr>
        <w:t>2.</w:t>
      </w:r>
      <w:r w:rsidRPr="00525E52">
        <w:rPr>
          <w:i/>
          <w:iCs/>
          <w:kern w:val="22"/>
          <w:lang w:val="fr-FR"/>
        </w:rPr>
        <w:tab/>
      </w:r>
      <w:r w:rsidR="00AA234F" w:rsidRPr="00525E52">
        <w:rPr>
          <w:i/>
          <w:kern w:val="22"/>
          <w:lang w:val="fr-FR"/>
        </w:rPr>
        <w:t>R</w:t>
      </w:r>
      <w:r w:rsidR="00085AAC" w:rsidRPr="00525E52">
        <w:rPr>
          <w:i/>
          <w:kern w:val="22"/>
          <w:lang w:val="fr-FR"/>
        </w:rPr>
        <w:t>ecommand</w:t>
      </w:r>
      <w:r w:rsidR="004E0BE4" w:rsidRPr="00525E52">
        <w:rPr>
          <w:i/>
          <w:kern w:val="22"/>
          <w:lang w:val="fr-FR"/>
        </w:rPr>
        <w:t>e</w:t>
      </w:r>
      <w:r w:rsidR="00AA234F" w:rsidRPr="00525E52">
        <w:rPr>
          <w:i/>
          <w:kern w:val="22"/>
          <w:lang w:val="fr-FR"/>
        </w:rPr>
        <w:t xml:space="preserve"> également</w:t>
      </w:r>
      <w:r w:rsidR="004E0BE4" w:rsidRPr="00525E52">
        <w:rPr>
          <w:kern w:val="22"/>
          <w:lang w:val="fr-FR"/>
        </w:rPr>
        <w:t xml:space="preserve"> que </w:t>
      </w:r>
      <w:r w:rsidR="00085AAC" w:rsidRPr="00525E52">
        <w:rPr>
          <w:kern w:val="22"/>
          <w:lang w:val="fr-FR"/>
        </w:rPr>
        <w:t>la Conférence des Parties</w:t>
      </w:r>
      <w:r w:rsidR="004E0BE4" w:rsidRPr="00525E52">
        <w:rPr>
          <w:kern w:val="22"/>
          <w:lang w:val="fr-FR"/>
        </w:rPr>
        <w:t xml:space="preserve"> </w:t>
      </w:r>
      <w:r w:rsidR="00085AAC" w:rsidRPr="00525E52">
        <w:rPr>
          <w:kern w:val="22"/>
          <w:lang w:val="fr-FR"/>
        </w:rPr>
        <w:t>adopt</w:t>
      </w:r>
      <w:r w:rsidR="004E0BE4" w:rsidRPr="00525E52">
        <w:rPr>
          <w:kern w:val="22"/>
          <w:lang w:val="fr-FR"/>
        </w:rPr>
        <w:t>e</w:t>
      </w:r>
      <w:r w:rsidR="00085AAC" w:rsidRPr="00525E52">
        <w:rPr>
          <w:kern w:val="22"/>
          <w:lang w:val="fr-FR"/>
        </w:rPr>
        <w:t xml:space="preserve"> une décision libellée comme suit</w:t>
      </w:r>
      <w:r w:rsidR="00AA234F" w:rsidRPr="00525E52">
        <w:rPr>
          <w:kern w:val="22"/>
          <w:lang w:val="fr-FR"/>
        </w:rPr>
        <w:t> </w:t>
      </w:r>
      <w:r w:rsidR="00085AAC" w:rsidRPr="00525E52">
        <w:rPr>
          <w:kern w:val="22"/>
          <w:lang w:val="fr-FR"/>
        </w:rPr>
        <w:t>:</w:t>
      </w:r>
    </w:p>
    <w:p w14:paraId="3E64CEBF" w14:textId="77777777" w:rsidR="00085AAC" w:rsidRPr="00525E52" w:rsidRDefault="00085AAC" w:rsidP="00085AAC">
      <w:pPr>
        <w:keepNext/>
        <w:suppressLineNumbers/>
        <w:suppressAutoHyphens/>
        <w:kinsoku w:val="0"/>
        <w:overflowPunct w:val="0"/>
        <w:autoSpaceDE w:val="0"/>
        <w:autoSpaceDN w:val="0"/>
        <w:adjustRightInd w:val="0"/>
        <w:snapToGrid w:val="0"/>
        <w:spacing w:before="120" w:after="120"/>
        <w:ind w:firstLine="720"/>
        <w:rPr>
          <w:i/>
          <w:iCs/>
          <w:snapToGrid w:val="0"/>
          <w:kern w:val="22"/>
          <w:lang w:val="fr-FR"/>
        </w:rPr>
      </w:pPr>
      <w:r w:rsidRPr="00525E52">
        <w:rPr>
          <w:i/>
          <w:iCs/>
          <w:snapToGrid w:val="0"/>
          <w:kern w:val="22"/>
          <w:lang w:val="fr-FR"/>
        </w:rPr>
        <w:t>La Conférence des Parties,</w:t>
      </w:r>
    </w:p>
    <w:p w14:paraId="3C5C3C32" w14:textId="7DACEB46" w:rsidR="00085AAC" w:rsidRPr="00525E52" w:rsidRDefault="00085AAC" w:rsidP="00085AAC">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525E52">
        <w:rPr>
          <w:i/>
          <w:snapToGrid w:val="0"/>
          <w:kern w:val="22"/>
          <w:szCs w:val="22"/>
          <w:lang w:val="fr-FR"/>
        </w:rPr>
        <w:t>Rappelant</w:t>
      </w:r>
      <w:r w:rsidRPr="00525E52">
        <w:rPr>
          <w:snapToGrid w:val="0"/>
          <w:kern w:val="22"/>
          <w:szCs w:val="22"/>
          <w:lang w:val="fr-FR"/>
        </w:rPr>
        <w:t xml:space="preserve"> les décisions </w:t>
      </w:r>
      <w:hyperlink r:id="rId15" w:history="1">
        <w:r w:rsidRPr="00525E52">
          <w:rPr>
            <w:rStyle w:val="Hyperlink"/>
            <w:snapToGrid w:val="0"/>
            <w:kern w:val="22"/>
            <w:sz w:val="22"/>
            <w:szCs w:val="22"/>
            <w:lang w:val="fr-FR"/>
          </w:rPr>
          <w:t>14/25</w:t>
        </w:r>
      </w:hyperlink>
      <w:r w:rsidRPr="00525E52">
        <w:rPr>
          <w:snapToGrid w:val="0"/>
          <w:kern w:val="22"/>
          <w:szCs w:val="22"/>
          <w:lang w:val="fr-FR"/>
        </w:rPr>
        <w:t xml:space="preserve">, </w:t>
      </w:r>
      <w:hyperlink r:id="rId16" w:history="1">
        <w:r w:rsidRPr="00525E52">
          <w:rPr>
            <w:rStyle w:val="Hyperlink"/>
            <w:snapToGrid w:val="0"/>
            <w:kern w:val="22"/>
            <w:sz w:val="22"/>
            <w:szCs w:val="22"/>
            <w:lang w:val="fr-FR"/>
          </w:rPr>
          <w:t>XIII/23</w:t>
        </w:r>
      </w:hyperlink>
      <w:r w:rsidRPr="00525E52">
        <w:rPr>
          <w:snapToGrid w:val="0"/>
          <w:kern w:val="22"/>
          <w:szCs w:val="22"/>
          <w:lang w:val="fr-FR"/>
        </w:rPr>
        <w:t xml:space="preserve"> B, </w:t>
      </w:r>
      <w:r w:rsidR="00AA234F" w:rsidRPr="00525E52">
        <w:rPr>
          <w:snapToGrid w:val="0"/>
          <w:kern w:val="22"/>
          <w:szCs w:val="22"/>
          <w:lang w:val="fr-FR"/>
        </w:rPr>
        <w:t xml:space="preserve">[XIII/18,] </w:t>
      </w:r>
      <w:hyperlink r:id="rId17" w:history="1">
        <w:r w:rsidRPr="00525E52">
          <w:rPr>
            <w:rStyle w:val="Hyperlink"/>
            <w:snapToGrid w:val="0"/>
            <w:kern w:val="22"/>
            <w:sz w:val="22"/>
            <w:szCs w:val="22"/>
            <w:lang w:val="fr-FR"/>
          </w:rPr>
          <w:t>XII/2</w:t>
        </w:r>
      </w:hyperlink>
      <w:r w:rsidRPr="00525E52">
        <w:rPr>
          <w:snapToGrid w:val="0"/>
          <w:kern w:val="22"/>
          <w:szCs w:val="22"/>
          <w:lang w:val="fr-FR"/>
        </w:rPr>
        <w:t xml:space="preserve"> B et </w:t>
      </w:r>
      <w:hyperlink r:id="rId18" w:history="1">
        <w:r w:rsidRPr="00525E52">
          <w:rPr>
            <w:rStyle w:val="Hyperlink"/>
            <w:snapToGrid w:val="0"/>
            <w:kern w:val="22"/>
            <w:sz w:val="22"/>
            <w:szCs w:val="22"/>
            <w:lang w:val="fr-FR"/>
          </w:rPr>
          <w:t>XI/2</w:t>
        </w:r>
      </w:hyperlink>
      <w:r w:rsidRPr="00525E52">
        <w:rPr>
          <w:snapToGrid w:val="0"/>
          <w:kern w:val="22"/>
          <w:szCs w:val="22"/>
          <w:lang w:val="fr-FR"/>
        </w:rPr>
        <w:t>,</w:t>
      </w:r>
    </w:p>
    <w:p w14:paraId="397E1697" w14:textId="5CB8ED33" w:rsidR="00085AAC" w:rsidRPr="00525E52" w:rsidRDefault="00085AAC" w:rsidP="00085AAC">
      <w:pPr>
        <w:suppressLineNumbers/>
        <w:suppressAutoHyphens/>
        <w:kinsoku w:val="0"/>
        <w:overflowPunct w:val="0"/>
        <w:autoSpaceDE w:val="0"/>
        <w:autoSpaceDN w:val="0"/>
        <w:adjustRightInd w:val="0"/>
        <w:snapToGrid w:val="0"/>
        <w:spacing w:before="120" w:after="120"/>
        <w:ind w:firstLine="720"/>
        <w:rPr>
          <w:snapToGrid w:val="0"/>
          <w:kern w:val="22"/>
          <w:szCs w:val="22"/>
          <w:lang w:val="fr-FR"/>
        </w:rPr>
      </w:pPr>
      <w:r w:rsidRPr="00525E52">
        <w:rPr>
          <w:i/>
          <w:snapToGrid w:val="0"/>
          <w:kern w:val="22"/>
          <w:szCs w:val="22"/>
          <w:lang w:val="fr-FR"/>
        </w:rPr>
        <w:t>Rappelant aussi</w:t>
      </w:r>
      <w:r w:rsidR="00013385">
        <w:rPr>
          <w:snapToGrid w:val="0"/>
          <w:kern w:val="22"/>
          <w:szCs w:val="22"/>
          <w:lang w:val="fr-FR"/>
        </w:rPr>
        <w:t xml:space="preserve"> le programme de travail du C</w:t>
      </w:r>
      <w:r w:rsidRPr="00525E52">
        <w:rPr>
          <w:snapToGrid w:val="0"/>
          <w:kern w:val="22"/>
          <w:szCs w:val="22"/>
          <w:lang w:val="fr-FR"/>
        </w:rPr>
        <w:t>entre d’échange en appui au Plan stratégique pour la diversité biologique 2011-2020,</w:t>
      </w:r>
      <w:r w:rsidRPr="00525E52">
        <w:rPr>
          <w:rStyle w:val="FootnoteReference"/>
          <w:snapToGrid w:val="0"/>
          <w:kern w:val="22"/>
          <w:szCs w:val="22"/>
          <w:lang w:val="fr-FR"/>
        </w:rPr>
        <w:footnoteReference w:id="2"/>
      </w:r>
    </w:p>
    <w:p w14:paraId="3535832F" w14:textId="6722E0FA" w:rsidR="00085AAC" w:rsidRPr="00525E52" w:rsidRDefault="00085AAC" w:rsidP="00A06E90">
      <w:pPr>
        <w:suppressLineNumbers/>
        <w:suppressAutoHyphens/>
        <w:kinsoku w:val="0"/>
        <w:overflowPunct w:val="0"/>
        <w:autoSpaceDE w:val="0"/>
        <w:autoSpaceDN w:val="0"/>
        <w:adjustRightInd w:val="0"/>
        <w:snapToGrid w:val="0"/>
        <w:spacing w:before="120" w:after="120"/>
        <w:ind w:firstLine="720"/>
        <w:rPr>
          <w:iCs/>
          <w:snapToGrid w:val="0"/>
          <w:kern w:val="22"/>
          <w:lang w:val="fr-FR"/>
        </w:rPr>
      </w:pPr>
      <w:r w:rsidRPr="00525E52">
        <w:rPr>
          <w:i/>
          <w:snapToGrid w:val="0"/>
          <w:kern w:val="22"/>
          <w:lang w:val="fr-FR"/>
        </w:rPr>
        <w:t>Soulignant</w:t>
      </w:r>
      <w:r w:rsidRPr="00525E52">
        <w:rPr>
          <w:iCs/>
          <w:snapToGrid w:val="0"/>
          <w:kern w:val="22"/>
          <w:lang w:val="fr-FR"/>
        </w:rPr>
        <w:t xml:space="preserve"> l’importance cruciale d’un accès facile et rapide à des données, des informations et des connaissances de</w:t>
      </w:r>
      <w:r w:rsidR="00013385">
        <w:rPr>
          <w:iCs/>
          <w:snapToGrid w:val="0"/>
          <w:kern w:val="22"/>
          <w:lang w:val="fr-FR"/>
        </w:rPr>
        <w:t xml:space="preserve"> haute qualité, pour appuyer la</w:t>
      </w:r>
      <w:r w:rsidRPr="00525E52">
        <w:rPr>
          <w:iCs/>
          <w:snapToGrid w:val="0"/>
          <w:kern w:val="22"/>
          <w:lang w:val="fr-FR"/>
        </w:rPr>
        <w:t xml:space="preserve"> mise en œuvre </w:t>
      </w:r>
      <w:r w:rsidR="00013385">
        <w:rPr>
          <w:iCs/>
          <w:snapToGrid w:val="0"/>
          <w:kern w:val="22"/>
          <w:lang w:val="fr-FR"/>
        </w:rPr>
        <w:t>effectiv</w:t>
      </w:r>
      <w:r w:rsidR="00AB2B32" w:rsidRPr="00525E52">
        <w:rPr>
          <w:iCs/>
          <w:snapToGrid w:val="0"/>
          <w:kern w:val="22"/>
          <w:lang w:val="fr-FR"/>
        </w:rPr>
        <w:t>e</w:t>
      </w:r>
      <w:r w:rsidRPr="00525E52">
        <w:rPr>
          <w:iCs/>
          <w:snapToGrid w:val="0"/>
          <w:kern w:val="22"/>
          <w:lang w:val="fr-FR"/>
        </w:rPr>
        <w:t xml:space="preserve"> du cadre mondial de la biodiversité pour l’après-2020,</w:t>
      </w:r>
    </w:p>
    <w:p w14:paraId="60F6843B" w14:textId="665A1FFE" w:rsidR="00085AAC" w:rsidRPr="00525E52" w:rsidRDefault="002C1863" w:rsidP="002C1863">
      <w:pPr>
        <w:pStyle w:val="Para1"/>
        <w:suppressLineNumbers/>
        <w:suppressAutoHyphens/>
        <w:kinsoku w:val="0"/>
        <w:overflowPunct w:val="0"/>
        <w:autoSpaceDE w:val="0"/>
        <w:autoSpaceDN w:val="0"/>
        <w:adjustRightInd w:val="0"/>
        <w:snapToGrid w:val="0"/>
        <w:ind w:firstLine="709"/>
        <w:rPr>
          <w:rFonts w:eastAsiaTheme="minorEastAsia"/>
          <w:kern w:val="22"/>
          <w:lang w:val="fr-FR"/>
        </w:rPr>
      </w:pPr>
      <w:r w:rsidRPr="002F512D">
        <w:rPr>
          <w:iCs/>
          <w:kern w:val="22"/>
          <w:lang w:val="fr-FR"/>
        </w:rPr>
        <w:t>[</w:t>
      </w:r>
      <w:r>
        <w:rPr>
          <w:iCs/>
          <w:kern w:val="22"/>
          <w:lang w:val="fr-FR"/>
        </w:rPr>
        <w:t xml:space="preserve">1. </w:t>
      </w:r>
      <w:r w:rsidRPr="00525E52">
        <w:rPr>
          <w:i/>
          <w:iCs/>
          <w:kern w:val="22"/>
          <w:lang w:val="fr-FR"/>
        </w:rPr>
        <w:t xml:space="preserve"> </w:t>
      </w:r>
      <w:r>
        <w:rPr>
          <w:i/>
          <w:iCs/>
          <w:kern w:val="22"/>
          <w:lang w:val="fr-FR"/>
        </w:rPr>
        <w:tab/>
      </w:r>
      <w:r w:rsidR="00E17C35" w:rsidRPr="00525E52">
        <w:rPr>
          <w:i/>
          <w:iCs/>
          <w:kern w:val="22"/>
          <w:lang w:val="fr-FR"/>
        </w:rPr>
        <w:t>[</w:t>
      </w:r>
      <w:r w:rsidR="00085AAC" w:rsidRPr="00525E52">
        <w:rPr>
          <w:i/>
          <w:iCs/>
          <w:kern w:val="22"/>
          <w:lang w:val="fr-FR"/>
        </w:rPr>
        <w:t>Accueille avec satisfaction</w:t>
      </w:r>
      <w:r w:rsidR="00E17C35" w:rsidRPr="00525E52">
        <w:rPr>
          <w:i/>
          <w:iCs/>
          <w:kern w:val="22"/>
          <w:lang w:val="fr-FR"/>
        </w:rPr>
        <w:t>][Adopte][Prend note de]</w:t>
      </w:r>
      <w:r w:rsidR="00085AAC" w:rsidRPr="00525E52">
        <w:rPr>
          <w:kern w:val="22"/>
          <w:lang w:val="fr-FR"/>
        </w:rPr>
        <w:t xml:space="preserve"> </w:t>
      </w:r>
      <w:r w:rsidR="00B320F6">
        <w:rPr>
          <w:kern w:val="22"/>
          <w:lang w:val="fr-FR"/>
        </w:rPr>
        <w:t xml:space="preserve">la composante sur la gestion des connaissances </w:t>
      </w:r>
      <w:r w:rsidR="00013385">
        <w:rPr>
          <w:kern w:val="22"/>
          <w:lang w:val="fr-FR"/>
        </w:rPr>
        <w:t>dans le</w:t>
      </w:r>
      <w:r w:rsidR="00085AAC" w:rsidRPr="00525E52">
        <w:rPr>
          <w:kern w:val="22"/>
          <w:lang w:val="fr-FR"/>
        </w:rPr>
        <w:t xml:space="preserve"> cadre mondial de la biodiversité pour l’après-2020</w:t>
      </w:r>
      <w:r w:rsidR="00013385">
        <w:rPr>
          <w:kern w:val="22"/>
          <w:lang w:val="fr-FR"/>
        </w:rPr>
        <w:t>, qui figure</w:t>
      </w:r>
      <w:r w:rsidR="00085AAC" w:rsidRPr="00525E52">
        <w:rPr>
          <w:kern w:val="22"/>
          <w:lang w:val="fr-FR"/>
        </w:rPr>
        <w:t xml:space="preserve"> dans</w:t>
      </w:r>
      <w:r w:rsidR="00E17C35" w:rsidRPr="00525E52">
        <w:rPr>
          <w:kern w:val="22"/>
          <w:lang w:val="fr-FR"/>
        </w:rPr>
        <w:t xml:space="preserve"> l’annexe ci-dessous</w:t>
      </w:r>
      <w:r w:rsidR="00E17C35" w:rsidRPr="00525E52">
        <w:rPr>
          <w:rStyle w:val="FootnoteReference"/>
          <w:kern w:val="22"/>
          <w:lang w:val="fr-FR"/>
        </w:rPr>
        <w:footnoteReference w:id="3"/>
      </w:r>
      <w:r w:rsidR="002F512D">
        <w:rPr>
          <w:kern w:val="22"/>
          <w:lang w:val="fr-FR"/>
        </w:rPr>
        <w:t>;</w:t>
      </w:r>
      <w:r w:rsidR="00E17C35" w:rsidRPr="00525E52">
        <w:rPr>
          <w:kern w:val="22"/>
          <w:lang w:val="fr-FR"/>
        </w:rPr>
        <w:t>]</w:t>
      </w:r>
      <w:r w:rsidR="00AA234F" w:rsidRPr="00525E52">
        <w:rPr>
          <w:kern w:val="22"/>
          <w:lang w:val="fr-FR"/>
        </w:rPr>
        <w:t> </w:t>
      </w:r>
    </w:p>
    <w:p w14:paraId="53669EB5" w14:textId="77777777" w:rsidR="002C1863" w:rsidRDefault="00E17C35" w:rsidP="002C1863">
      <w:pPr>
        <w:pStyle w:val="Para1"/>
        <w:numPr>
          <w:ilvl w:val="0"/>
          <w:numId w:val="7"/>
        </w:numPr>
        <w:suppressLineNumbers/>
        <w:suppressAutoHyphens/>
        <w:kinsoku w:val="0"/>
        <w:overflowPunct w:val="0"/>
        <w:autoSpaceDE w:val="0"/>
        <w:autoSpaceDN w:val="0"/>
        <w:adjustRightInd w:val="0"/>
        <w:snapToGrid w:val="0"/>
        <w:ind w:firstLine="709"/>
        <w:rPr>
          <w:kern w:val="22"/>
          <w:lang w:val="fr-FR"/>
        </w:rPr>
      </w:pPr>
      <w:r w:rsidRPr="00525E52">
        <w:rPr>
          <w:i/>
          <w:iCs/>
          <w:kern w:val="22"/>
          <w:lang w:val="fr-FR"/>
        </w:rPr>
        <w:t>Exhorte</w:t>
      </w:r>
      <w:r w:rsidR="00085AAC" w:rsidRPr="00525E52">
        <w:rPr>
          <w:kern w:val="22"/>
          <w:lang w:val="fr-FR"/>
        </w:rPr>
        <w:t xml:space="preserve"> les </w:t>
      </w:r>
      <w:r w:rsidRPr="00525E52">
        <w:rPr>
          <w:kern w:val="22"/>
          <w:lang w:val="fr-FR"/>
        </w:rPr>
        <w:t xml:space="preserve">Parties </w:t>
      </w:r>
      <w:r w:rsidR="0006422D" w:rsidRPr="00525E52">
        <w:rPr>
          <w:kern w:val="22"/>
          <w:lang w:val="fr-FR"/>
        </w:rPr>
        <w:t xml:space="preserve">[selon leurs capacités] </w:t>
      </w:r>
      <w:r w:rsidRPr="00525E52">
        <w:rPr>
          <w:kern w:val="22"/>
          <w:lang w:val="fr-FR"/>
        </w:rPr>
        <w:t>et</w:t>
      </w:r>
      <w:r w:rsidRPr="00525E52">
        <w:rPr>
          <w:i/>
          <w:kern w:val="22"/>
          <w:lang w:val="fr-FR"/>
        </w:rPr>
        <w:t xml:space="preserve"> </w:t>
      </w:r>
      <w:r w:rsidRPr="00013385">
        <w:rPr>
          <w:kern w:val="22"/>
          <w:lang w:val="fr-FR"/>
        </w:rPr>
        <w:t>invite</w:t>
      </w:r>
      <w:r w:rsidR="00085AAC" w:rsidRPr="00525E52">
        <w:rPr>
          <w:kern w:val="22"/>
          <w:lang w:val="fr-FR"/>
        </w:rPr>
        <w:t xml:space="preserve"> les autres gouvernements, les conventions relatives à la diversité biologique et les organisations compétentes</w:t>
      </w:r>
      <w:r w:rsidRPr="00525E52">
        <w:rPr>
          <w:kern w:val="22"/>
          <w:lang w:val="fr-FR"/>
        </w:rPr>
        <w:t>, y compris les acteurs, communautés et institutions locaux,</w:t>
      </w:r>
      <w:r w:rsidR="00085AAC" w:rsidRPr="00525E52">
        <w:rPr>
          <w:kern w:val="22"/>
          <w:lang w:val="fr-FR"/>
        </w:rPr>
        <w:t xml:space="preserve"> à mettre en œuvre les mesures stratégiques énoncées dans </w:t>
      </w:r>
      <w:r w:rsidR="002F512D">
        <w:rPr>
          <w:kern w:val="22"/>
          <w:lang w:val="fr-FR"/>
        </w:rPr>
        <w:t>l’élément</w:t>
      </w:r>
      <w:r w:rsidR="00C648C4" w:rsidRPr="00525E52">
        <w:rPr>
          <w:kern w:val="22"/>
          <w:lang w:val="fr-FR"/>
        </w:rPr>
        <w:t xml:space="preserve"> sur la gestion des connaissances</w:t>
      </w:r>
      <w:r w:rsidRPr="00525E52">
        <w:rPr>
          <w:kern w:val="22"/>
          <w:lang w:val="fr-FR"/>
        </w:rPr>
        <w:t xml:space="preserve">, de façon complémentaire au cadre stratégique à long terme pour le renforcement des </w:t>
      </w:r>
      <w:r w:rsidRPr="00525E52">
        <w:rPr>
          <w:kern w:val="22"/>
          <w:lang w:val="fr-FR"/>
        </w:rPr>
        <w:lastRenderedPageBreak/>
        <w:t>capacités et aux propositions pour renforcer la coopération technique et scientifique</w:t>
      </w:r>
      <w:r w:rsidR="00085AAC" w:rsidRPr="00525E52">
        <w:rPr>
          <w:kern w:val="22"/>
          <w:lang w:val="fr-FR"/>
        </w:rPr>
        <w:t xml:space="preserve">, </w:t>
      </w:r>
      <w:r w:rsidRPr="00525E52">
        <w:rPr>
          <w:kern w:val="22"/>
          <w:lang w:val="fr-FR"/>
        </w:rPr>
        <w:t>afin d’</w:t>
      </w:r>
      <w:r w:rsidR="00085AAC" w:rsidRPr="00525E52">
        <w:rPr>
          <w:kern w:val="22"/>
          <w:lang w:val="fr-FR"/>
        </w:rPr>
        <w:t>améliorer la</w:t>
      </w:r>
      <w:r w:rsidR="00085AAC" w:rsidRPr="00525E52">
        <w:rPr>
          <w:rFonts w:eastAsia="Malgun Gothic"/>
          <w:kern w:val="22"/>
          <w:lang w:val="fr-FR"/>
        </w:rPr>
        <w:t xml:space="preserve"> production, la collecte, l’organisation, l’accès facile et rapide, et l’utilisation </w:t>
      </w:r>
      <w:r w:rsidR="00AB2B32" w:rsidRPr="00525E52">
        <w:rPr>
          <w:rFonts w:eastAsia="Malgun Gothic"/>
          <w:kern w:val="22"/>
          <w:lang w:val="fr-FR"/>
        </w:rPr>
        <w:t>efficace</w:t>
      </w:r>
      <w:r w:rsidR="00085AAC" w:rsidRPr="00525E52">
        <w:rPr>
          <w:rFonts w:eastAsia="Malgun Gothic"/>
          <w:kern w:val="22"/>
          <w:lang w:val="fr-FR"/>
        </w:rPr>
        <w:t xml:space="preserve"> des données, des informations et des connaissances</w:t>
      </w:r>
      <w:r w:rsidR="00013385">
        <w:rPr>
          <w:rFonts w:eastAsia="Malgun Gothic"/>
          <w:kern w:val="22"/>
          <w:lang w:val="fr-FR"/>
        </w:rPr>
        <w:t>,</w:t>
      </w:r>
      <w:r w:rsidRPr="00525E52">
        <w:rPr>
          <w:rFonts w:eastAsia="Malgun Gothic"/>
          <w:kern w:val="22"/>
          <w:lang w:val="fr-FR"/>
        </w:rPr>
        <w:t xml:space="preserve"> pour appuyer </w:t>
      </w:r>
      <w:r w:rsidRPr="00525E52">
        <w:rPr>
          <w:kern w:val="22"/>
          <w:lang w:val="fr-FR"/>
        </w:rPr>
        <w:t>la</w:t>
      </w:r>
      <w:r w:rsidR="00085AAC" w:rsidRPr="00525E52">
        <w:rPr>
          <w:kern w:val="22"/>
          <w:lang w:val="fr-FR"/>
        </w:rPr>
        <w:t xml:space="preserve"> mise en œuvre </w:t>
      </w:r>
      <w:r w:rsidR="00013385">
        <w:rPr>
          <w:kern w:val="22"/>
          <w:lang w:val="fr-FR"/>
        </w:rPr>
        <w:t>effectiv</w:t>
      </w:r>
      <w:r w:rsidR="00AB2B32" w:rsidRPr="00525E52">
        <w:rPr>
          <w:kern w:val="22"/>
          <w:lang w:val="fr-FR"/>
        </w:rPr>
        <w:t>e</w:t>
      </w:r>
      <w:r w:rsidR="00085AAC" w:rsidRPr="00525E52">
        <w:rPr>
          <w:kern w:val="22"/>
          <w:lang w:val="fr-FR"/>
        </w:rPr>
        <w:t xml:space="preserve"> du cadre mondial de la biodiversité pour l’après-2020 et des stratégies et plans d’action nationaux pour la diversité biologique;</w:t>
      </w:r>
    </w:p>
    <w:p w14:paraId="46F58377" w14:textId="0EE68775" w:rsidR="00085AAC" w:rsidRPr="002C1863" w:rsidRDefault="002C1863" w:rsidP="002C1863">
      <w:pPr>
        <w:pStyle w:val="Para1"/>
        <w:suppressLineNumbers/>
        <w:suppressAutoHyphens/>
        <w:kinsoku w:val="0"/>
        <w:overflowPunct w:val="0"/>
        <w:autoSpaceDE w:val="0"/>
        <w:autoSpaceDN w:val="0"/>
        <w:adjustRightInd w:val="0"/>
        <w:snapToGrid w:val="0"/>
        <w:ind w:firstLine="709"/>
        <w:rPr>
          <w:kern w:val="22"/>
          <w:lang w:val="fr-FR"/>
        </w:rPr>
      </w:pPr>
      <w:r w:rsidRPr="002F512D">
        <w:rPr>
          <w:iCs/>
          <w:kern w:val="22"/>
          <w:lang w:val="fr-FR"/>
        </w:rPr>
        <w:t>[</w:t>
      </w:r>
      <w:r>
        <w:rPr>
          <w:iCs/>
          <w:kern w:val="22"/>
          <w:lang w:val="fr-FR"/>
        </w:rPr>
        <w:t xml:space="preserve">3. </w:t>
      </w:r>
      <w:r>
        <w:rPr>
          <w:iCs/>
          <w:kern w:val="22"/>
          <w:lang w:val="fr-FR"/>
        </w:rPr>
        <w:tab/>
      </w:r>
      <w:r w:rsidR="00E17C35" w:rsidRPr="002C1863">
        <w:rPr>
          <w:i/>
          <w:iCs/>
          <w:kern w:val="22"/>
          <w:lang w:val="fr-FR"/>
        </w:rPr>
        <w:t>Exhort</w:t>
      </w:r>
      <w:r w:rsidR="00085AAC" w:rsidRPr="002C1863">
        <w:rPr>
          <w:i/>
          <w:iCs/>
          <w:kern w:val="22"/>
          <w:lang w:val="fr-FR"/>
        </w:rPr>
        <w:t>e</w:t>
      </w:r>
      <w:r w:rsidR="00085AAC" w:rsidRPr="002C1863">
        <w:rPr>
          <w:kern w:val="22"/>
          <w:lang w:val="fr-FR"/>
        </w:rPr>
        <w:t xml:space="preserve"> les </w:t>
      </w:r>
      <w:r w:rsidR="00E17C35" w:rsidRPr="002C1863">
        <w:rPr>
          <w:kern w:val="22"/>
          <w:lang w:val="fr-FR"/>
        </w:rPr>
        <w:t xml:space="preserve">Parties et invite </w:t>
      </w:r>
      <w:r w:rsidR="00085AAC" w:rsidRPr="002C1863">
        <w:rPr>
          <w:kern w:val="22"/>
          <w:lang w:val="fr-FR"/>
        </w:rPr>
        <w:t>les autres gouvernement</w:t>
      </w:r>
      <w:r w:rsidR="00E17C35" w:rsidRPr="002C1863">
        <w:rPr>
          <w:kern w:val="22"/>
          <w:lang w:val="fr-FR"/>
        </w:rPr>
        <w:t xml:space="preserve">s </w:t>
      </w:r>
      <w:r w:rsidR="00085AAC" w:rsidRPr="002C1863">
        <w:rPr>
          <w:kern w:val="22"/>
          <w:lang w:val="fr-FR"/>
        </w:rPr>
        <w:t>et les organisations compétentes qui sont en mesure de le faire à fournir des ressources financières, techniques et humaines, afin de permettre aux pays en développement Parties et aux Parties à économie en transition d’appliquer les mesures stratégiques</w:t>
      </w:r>
      <w:r w:rsidR="00E17C35" w:rsidRPr="002C1863">
        <w:rPr>
          <w:kern w:val="22"/>
          <w:lang w:val="fr-FR"/>
        </w:rPr>
        <w:t xml:space="preserve"> décrit</w:t>
      </w:r>
      <w:r w:rsidR="00085AAC" w:rsidRPr="002C1863">
        <w:rPr>
          <w:kern w:val="22"/>
          <w:lang w:val="fr-FR"/>
        </w:rPr>
        <w:t xml:space="preserve">es dans </w:t>
      </w:r>
      <w:r w:rsidR="002F512D" w:rsidRPr="002C1863">
        <w:rPr>
          <w:kern w:val="22"/>
          <w:lang w:val="fr-FR"/>
        </w:rPr>
        <w:t>l’élément</w:t>
      </w:r>
      <w:r w:rsidR="00C648C4" w:rsidRPr="002C1863">
        <w:rPr>
          <w:kern w:val="22"/>
          <w:lang w:val="fr-FR"/>
        </w:rPr>
        <w:t xml:space="preserve"> sur la gestion des connaissances</w:t>
      </w:r>
      <w:r w:rsidR="00085AAC" w:rsidRPr="002C1863">
        <w:rPr>
          <w:kern w:val="22"/>
          <w:lang w:val="fr-FR"/>
        </w:rPr>
        <w:t xml:space="preserve">, </w:t>
      </w:r>
      <w:r w:rsidR="00E17C35" w:rsidRPr="002C1863">
        <w:rPr>
          <w:kern w:val="22"/>
          <w:lang w:val="fr-FR"/>
        </w:rPr>
        <w:t>comme élément important pour la</w:t>
      </w:r>
      <w:r w:rsidR="00085AAC" w:rsidRPr="002C1863">
        <w:rPr>
          <w:kern w:val="22"/>
          <w:lang w:val="fr-FR"/>
        </w:rPr>
        <w:t xml:space="preserve"> mise en œuvre </w:t>
      </w:r>
      <w:r w:rsidR="00013385" w:rsidRPr="002C1863">
        <w:rPr>
          <w:kern w:val="22"/>
          <w:lang w:val="fr-FR"/>
        </w:rPr>
        <w:t>effectiv</w:t>
      </w:r>
      <w:r w:rsidR="00AB2B32" w:rsidRPr="002C1863">
        <w:rPr>
          <w:kern w:val="22"/>
          <w:lang w:val="fr-FR"/>
        </w:rPr>
        <w:t>e</w:t>
      </w:r>
      <w:r w:rsidR="00085AAC" w:rsidRPr="002C1863">
        <w:rPr>
          <w:kern w:val="22"/>
          <w:lang w:val="fr-FR"/>
        </w:rPr>
        <w:t xml:space="preserve"> du cadre mondial de la biodiversité pour l’apr</w:t>
      </w:r>
      <w:r w:rsidR="002F512D" w:rsidRPr="002C1863">
        <w:rPr>
          <w:kern w:val="22"/>
          <w:lang w:val="fr-FR"/>
        </w:rPr>
        <w:t>ès-2020 et des stratégies et</w:t>
      </w:r>
      <w:r w:rsidR="00085AAC" w:rsidRPr="002C1863">
        <w:rPr>
          <w:kern w:val="22"/>
          <w:lang w:val="fr-FR"/>
        </w:rPr>
        <w:t xml:space="preserve"> plans d’action nationaux pour la diversité biologique</w:t>
      </w:r>
      <w:r w:rsidR="002F512D" w:rsidRPr="002C1863">
        <w:rPr>
          <w:kern w:val="22"/>
          <w:lang w:val="fr-FR"/>
        </w:rPr>
        <w:t>;</w:t>
      </w:r>
      <w:r w:rsidR="00273799" w:rsidRPr="002C1863">
        <w:rPr>
          <w:kern w:val="22"/>
          <w:lang w:val="fr-FR"/>
        </w:rPr>
        <w:t>]</w:t>
      </w:r>
      <w:r w:rsidR="00DC0EB0" w:rsidRPr="002C1863">
        <w:rPr>
          <w:kern w:val="22"/>
          <w:lang w:val="fr-FR"/>
        </w:rPr>
        <w:t> </w:t>
      </w:r>
    </w:p>
    <w:p w14:paraId="53C13DAD" w14:textId="36AED154" w:rsidR="00085AAC" w:rsidRPr="00525E52" w:rsidRDefault="00085AAC" w:rsidP="002C1863">
      <w:pPr>
        <w:pStyle w:val="Para1"/>
        <w:numPr>
          <w:ilvl w:val="0"/>
          <w:numId w:val="29"/>
        </w:numPr>
        <w:suppressLineNumbers/>
        <w:suppressAutoHyphens/>
        <w:kinsoku w:val="0"/>
        <w:overflowPunct w:val="0"/>
        <w:autoSpaceDE w:val="0"/>
        <w:autoSpaceDN w:val="0"/>
        <w:adjustRightInd w:val="0"/>
        <w:snapToGrid w:val="0"/>
        <w:ind w:firstLine="709"/>
        <w:rPr>
          <w:kern w:val="22"/>
          <w:lang w:val="fr-FR"/>
        </w:rPr>
      </w:pPr>
      <w:r w:rsidRPr="00525E52">
        <w:rPr>
          <w:i/>
          <w:iCs/>
          <w:kern w:val="22"/>
          <w:lang w:val="fr-FR"/>
        </w:rPr>
        <w:t xml:space="preserve">Invite </w:t>
      </w:r>
      <w:r w:rsidR="00DC0EB0" w:rsidRPr="00525E52">
        <w:rPr>
          <w:kern w:val="22"/>
          <w:lang w:val="fr-FR"/>
        </w:rPr>
        <w:t>[</w:t>
      </w:r>
      <w:r w:rsidR="00404EE4" w:rsidRPr="00525E52">
        <w:rPr>
          <w:kern w:val="22"/>
          <w:lang w:val="fr-FR"/>
        </w:rPr>
        <w:t xml:space="preserve">les </w:t>
      </w:r>
      <w:r w:rsidR="00DC0EB0" w:rsidRPr="00525E52">
        <w:rPr>
          <w:kern w:val="22"/>
          <w:lang w:val="fr-FR"/>
        </w:rPr>
        <w:t>conventions relatives à la diversité biologique</w:t>
      </w:r>
      <w:r w:rsidR="00013385">
        <w:rPr>
          <w:kern w:val="22"/>
          <w:lang w:val="fr-FR"/>
        </w:rPr>
        <w:t>,</w:t>
      </w:r>
      <w:r w:rsidR="00DC0EB0" w:rsidRPr="00525E52">
        <w:rPr>
          <w:kern w:val="22"/>
          <w:lang w:val="fr-FR"/>
        </w:rPr>
        <w:t xml:space="preserve">] </w:t>
      </w:r>
      <w:r w:rsidR="00404EE4" w:rsidRPr="00525E52">
        <w:rPr>
          <w:kern w:val="22"/>
          <w:lang w:val="fr-FR"/>
        </w:rPr>
        <w:t xml:space="preserve">les </w:t>
      </w:r>
      <w:r w:rsidRPr="00525E52">
        <w:rPr>
          <w:kern w:val="22"/>
          <w:lang w:val="fr-FR"/>
        </w:rPr>
        <w:t xml:space="preserve">organisations, les réseaux, les processus et les initiatives </w:t>
      </w:r>
      <w:r w:rsidR="00273799" w:rsidRPr="00525E52">
        <w:rPr>
          <w:kern w:val="22"/>
          <w:lang w:val="fr-FR"/>
        </w:rPr>
        <w:t>qui soutiennent</w:t>
      </w:r>
      <w:r w:rsidRPr="00525E52">
        <w:rPr>
          <w:kern w:val="22"/>
          <w:lang w:val="fr-FR"/>
        </w:rPr>
        <w:t xml:space="preserve"> la production, la découverte, la capture, la gestion et l’utilisation des données, informations</w:t>
      </w:r>
      <w:r w:rsidR="00273799" w:rsidRPr="00525E52">
        <w:rPr>
          <w:kern w:val="22"/>
          <w:lang w:val="fr-FR"/>
        </w:rPr>
        <w:t xml:space="preserve"> et</w:t>
      </w:r>
      <w:r w:rsidRPr="00525E52">
        <w:rPr>
          <w:kern w:val="22"/>
          <w:lang w:val="fr-FR"/>
        </w:rPr>
        <w:t xml:space="preserve"> connaissances relatives à la biodiversité, à </w:t>
      </w:r>
      <w:r w:rsidR="00273799" w:rsidRPr="00525E52">
        <w:rPr>
          <w:kern w:val="22"/>
          <w:lang w:val="fr-FR"/>
        </w:rPr>
        <w:t>contribuer à la création d’</w:t>
      </w:r>
      <w:r w:rsidRPr="00525E52">
        <w:rPr>
          <w:kern w:val="22"/>
          <w:lang w:val="fr-FR"/>
        </w:rPr>
        <w:t>un réseau mondial de connaissances sur la biodiversité</w:t>
      </w:r>
      <w:r w:rsidR="00C648C4" w:rsidRPr="00525E52">
        <w:rPr>
          <w:kern w:val="22"/>
          <w:lang w:val="fr-FR"/>
        </w:rPr>
        <w:t xml:space="preserve">, </w:t>
      </w:r>
      <w:r w:rsidR="00404EE4" w:rsidRPr="00525E52">
        <w:rPr>
          <w:kern w:val="22"/>
          <w:lang w:val="fr-FR"/>
        </w:rPr>
        <w:t>[</w:t>
      </w:r>
      <w:r w:rsidR="00C648C4" w:rsidRPr="00525E52">
        <w:rPr>
          <w:kern w:val="22"/>
          <w:lang w:val="fr-FR"/>
        </w:rPr>
        <w:t>par le biais</w:t>
      </w:r>
      <w:r w:rsidR="00273799" w:rsidRPr="00525E52">
        <w:rPr>
          <w:kern w:val="22"/>
          <w:lang w:val="fr-FR"/>
        </w:rPr>
        <w:t xml:space="preserve"> du</w:t>
      </w:r>
      <w:r w:rsidR="00404EE4" w:rsidRPr="00525E52">
        <w:rPr>
          <w:kern w:val="22"/>
          <w:lang w:val="fr-FR"/>
        </w:rPr>
        <w:t>]</w:t>
      </w:r>
      <w:r w:rsidR="00273799" w:rsidRPr="00525E52">
        <w:rPr>
          <w:kern w:val="22"/>
          <w:lang w:val="fr-FR"/>
        </w:rPr>
        <w:t xml:space="preserve"> </w:t>
      </w:r>
      <w:r w:rsidR="00404EE4" w:rsidRPr="00525E52">
        <w:rPr>
          <w:kern w:val="22"/>
          <w:lang w:val="fr-FR"/>
        </w:rPr>
        <w:t xml:space="preserve">[y compris le] </w:t>
      </w:r>
      <w:r w:rsidR="00273799" w:rsidRPr="00525E52">
        <w:rPr>
          <w:kern w:val="22"/>
          <w:lang w:val="fr-FR"/>
        </w:rPr>
        <w:t xml:space="preserve">Centre d’échange de la Convention et basé sur les </w:t>
      </w:r>
      <w:r w:rsidR="00404EE4" w:rsidRPr="00525E52">
        <w:rPr>
          <w:kern w:val="22"/>
          <w:lang w:val="fr-FR"/>
        </w:rPr>
        <w:t>[réseaux</w:t>
      </w:r>
      <w:r w:rsidR="00013385">
        <w:rPr>
          <w:kern w:val="22"/>
          <w:lang w:val="fr-FR"/>
        </w:rPr>
        <w:t>,</w:t>
      </w:r>
      <w:r w:rsidR="00404EE4" w:rsidRPr="00525E52">
        <w:rPr>
          <w:kern w:val="22"/>
          <w:lang w:val="fr-FR"/>
        </w:rPr>
        <w:t xml:space="preserve">] </w:t>
      </w:r>
      <w:r w:rsidR="00273799" w:rsidRPr="00525E52">
        <w:rPr>
          <w:kern w:val="22"/>
          <w:lang w:val="fr-FR"/>
        </w:rPr>
        <w:t>organisations, initiatives et processus de gestion des connaissances existants,</w:t>
      </w:r>
      <w:r w:rsidRPr="00525E52">
        <w:rPr>
          <w:kern w:val="22"/>
          <w:lang w:val="fr-FR"/>
        </w:rPr>
        <w:t xml:space="preserve"> afin de promouvoir</w:t>
      </w:r>
      <w:r w:rsidR="00273799" w:rsidRPr="00525E52">
        <w:rPr>
          <w:kern w:val="22"/>
          <w:lang w:val="fr-FR"/>
        </w:rPr>
        <w:t xml:space="preserve"> et de</w:t>
      </w:r>
      <w:r w:rsidRPr="00525E52">
        <w:rPr>
          <w:kern w:val="22"/>
          <w:lang w:val="fr-FR"/>
        </w:rPr>
        <w:t xml:space="preserve"> faciliter, entre autres, la coordination, la collaboration, </w:t>
      </w:r>
      <w:r w:rsidR="00273799" w:rsidRPr="00525E52">
        <w:rPr>
          <w:kern w:val="22"/>
          <w:lang w:val="fr-FR"/>
        </w:rPr>
        <w:t>le rapprochement et la création de</w:t>
      </w:r>
      <w:r w:rsidRPr="00525E52">
        <w:rPr>
          <w:kern w:val="22"/>
          <w:lang w:val="fr-FR"/>
        </w:rPr>
        <w:t xml:space="preserve"> réseaux</w:t>
      </w:r>
      <w:r w:rsidR="00273799" w:rsidRPr="00525E52">
        <w:rPr>
          <w:kern w:val="22"/>
          <w:lang w:val="fr-FR"/>
        </w:rPr>
        <w:t xml:space="preserve"> entre eux</w:t>
      </w:r>
      <w:r w:rsidRPr="00525E52">
        <w:rPr>
          <w:kern w:val="22"/>
          <w:lang w:val="fr-FR"/>
        </w:rPr>
        <w:t>, en vue de</w:t>
      </w:r>
      <w:r w:rsidR="00273799" w:rsidRPr="00525E52">
        <w:rPr>
          <w:kern w:val="22"/>
          <w:lang w:val="fr-FR"/>
        </w:rPr>
        <w:t xml:space="preserve"> favorise</w:t>
      </w:r>
      <w:r w:rsidRPr="00525E52">
        <w:rPr>
          <w:kern w:val="22"/>
          <w:lang w:val="fr-FR"/>
        </w:rPr>
        <w:t>r la disponibilité et l’accessibilité des données, informations et connaissances sur la biodiversité, aux fins de la planification, l’élaboration de politiques générales et la prise de décisions, la mise en œuvre, le suivi, l’établissement des rapports et l’examen concernant la biodiversité;</w:t>
      </w:r>
    </w:p>
    <w:p w14:paraId="749A8B6A" w14:textId="6BA14779" w:rsidR="00F10897" w:rsidRPr="00525E52" w:rsidRDefault="00B047F2" w:rsidP="002C1863">
      <w:pPr>
        <w:pStyle w:val="Para1"/>
        <w:numPr>
          <w:ilvl w:val="0"/>
          <w:numId w:val="29"/>
        </w:numPr>
        <w:suppressLineNumbers/>
        <w:suppressAutoHyphens/>
        <w:kinsoku w:val="0"/>
        <w:overflowPunct w:val="0"/>
        <w:autoSpaceDE w:val="0"/>
        <w:autoSpaceDN w:val="0"/>
        <w:adjustRightInd w:val="0"/>
        <w:snapToGrid w:val="0"/>
        <w:ind w:firstLine="720"/>
        <w:rPr>
          <w:kern w:val="22"/>
          <w:lang w:val="fr-FR"/>
        </w:rPr>
      </w:pPr>
      <w:r w:rsidRPr="00525E52">
        <w:rPr>
          <w:i/>
          <w:kern w:val="22"/>
          <w:lang w:val="fr-FR"/>
        </w:rPr>
        <w:t xml:space="preserve">Prend </w:t>
      </w:r>
      <w:r w:rsidR="00F10897" w:rsidRPr="00525E52">
        <w:rPr>
          <w:i/>
          <w:kern w:val="22"/>
          <w:lang w:val="fr-FR"/>
        </w:rPr>
        <w:t>note</w:t>
      </w:r>
      <w:r w:rsidR="00F55BF0" w:rsidRPr="00525E52">
        <w:rPr>
          <w:kern w:val="22"/>
          <w:lang w:val="fr-FR"/>
        </w:rPr>
        <w:t xml:space="preserve"> des résultats et des principaux messages des réunions en ligne du cinquième Forum scientifique et politique pour la biodiversité</w:t>
      </w:r>
      <w:r w:rsidRPr="00525E52">
        <w:rPr>
          <w:kern w:val="22"/>
          <w:lang w:val="fr-FR"/>
        </w:rPr>
        <w:t xml:space="preserve"> et </w:t>
      </w:r>
      <w:r w:rsidR="00F55BF0" w:rsidRPr="00525E52">
        <w:rPr>
          <w:kern w:val="22"/>
          <w:lang w:val="fr-FR"/>
        </w:rPr>
        <w:t>de la huitième Conférence i</w:t>
      </w:r>
      <w:r w:rsidR="00F10897" w:rsidRPr="00525E52">
        <w:rPr>
          <w:kern w:val="22"/>
          <w:lang w:val="fr-FR"/>
        </w:rPr>
        <w:t>nternational</w:t>
      </w:r>
      <w:r w:rsidR="00F55BF0" w:rsidRPr="00525E52">
        <w:rPr>
          <w:kern w:val="22"/>
          <w:lang w:val="fr-FR"/>
        </w:rPr>
        <w:t>e sur la science du développement durable, en particulie</w:t>
      </w:r>
      <w:r w:rsidR="00F10897" w:rsidRPr="00525E52">
        <w:rPr>
          <w:kern w:val="22"/>
          <w:lang w:val="fr-FR"/>
        </w:rPr>
        <w:t xml:space="preserve">r </w:t>
      </w:r>
      <w:r w:rsidR="00F55BF0" w:rsidRPr="00525E52">
        <w:rPr>
          <w:kern w:val="22"/>
          <w:lang w:val="fr-FR"/>
        </w:rPr>
        <w:t>la Table ronde concernant le suivi et les données sur la biodiversité;</w:t>
      </w:r>
    </w:p>
    <w:p w14:paraId="59B39578" w14:textId="253FE37F" w:rsidR="00F10897" w:rsidRPr="00525E52" w:rsidRDefault="00B047F2" w:rsidP="002C1863">
      <w:pPr>
        <w:pStyle w:val="Para1"/>
        <w:numPr>
          <w:ilvl w:val="0"/>
          <w:numId w:val="29"/>
        </w:numPr>
        <w:suppressLineNumbers/>
        <w:suppressAutoHyphens/>
        <w:kinsoku w:val="0"/>
        <w:overflowPunct w:val="0"/>
        <w:autoSpaceDE w:val="0"/>
        <w:autoSpaceDN w:val="0"/>
        <w:adjustRightInd w:val="0"/>
        <w:snapToGrid w:val="0"/>
        <w:ind w:firstLine="720"/>
        <w:rPr>
          <w:kern w:val="22"/>
          <w:lang w:val="fr-FR"/>
        </w:rPr>
      </w:pPr>
      <w:r w:rsidRPr="00525E52">
        <w:rPr>
          <w:i/>
          <w:kern w:val="22"/>
          <w:lang w:val="fr-FR"/>
        </w:rPr>
        <w:t>Exhorte</w:t>
      </w:r>
      <w:r w:rsidR="00F10897" w:rsidRPr="00525E52">
        <w:rPr>
          <w:i/>
          <w:kern w:val="22"/>
          <w:lang w:val="fr-FR"/>
        </w:rPr>
        <w:t xml:space="preserve"> </w:t>
      </w:r>
      <w:r w:rsidRPr="00525E52">
        <w:rPr>
          <w:kern w:val="22"/>
          <w:lang w:val="fr-FR"/>
        </w:rPr>
        <w:t>les Parties et</w:t>
      </w:r>
      <w:r w:rsidR="00F10897" w:rsidRPr="00525E52">
        <w:rPr>
          <w:kern w:val="22"/>
          <w:lang w:val="fr-FR"/>
        </w:rPr>
        <w:t xml:space="preserve"> </w:t>
      </w:r>
      <w:r w:rsidRPr="00013385">
        <w:rPr>
          <w:kern w:val="22"/>
          <w:lang w:val="fr-FR"/>
        </w:rPr>
        <w:t>invite</w:t>
      </w:r>
      <w:r w:rsidR="00F10897" w:rsidRPr="00013385">
        <w:rPr>
          <w:kern w:val="22"/>
          <w:lang w:val="fr-FR"/>
        </w:rPr>
        <w:t xml:space="preserve"> </w:t>
      </w:r>
      <w:r w:rsidRPr="00525E52">
        <w:rPr>
          <w:kern w:val="22"/>
          <w:lang w:val="fr-FR"/>
        </w:rPr>
        <w:t>les autres gouvernements et les organisations compétentes</w:t>
      </w:r>
      <w:r w:rsidR="00BF3E7B" w:rsidRPr="00525E52">
        <w:rPr>
          <w:kern w:val="22"/>
          <w:lang w:val="fr-FR"/>
        </w:rPr>
        <w:t xml:space="preserve"> à </w:t>
      </w:r>
      <w:r w:rsidR="005D2AE7" w:rsidRPr="00525E52">
        <w:rPr>
          <w:kern w:val="22"/>
          <w:lang w:val="fr-FR"/>
        </w:rPr>
        <w:t xml:space="preserve">[appuyer et] </w:t>
      </w:r>
      <w:r w:rsidR="00BF3E7B" w:rsidRPr="00525E52">
        <w:rPr>
          <w:kern w:val="22"/>
          <w:lang w:val="fr-FR"/>
        </w:rPr>
        <w:t xml:space="preserve">créer </w:t>
      </w:r>
      <w:r w:rsidR="003C1B2F" w:rsidRPr="00525E52">
        <w:rPr>
          <w:kern w:val="22"/>
          <w:lang w:val="fr-FR"/>
        </w:rPr>
        <w:t xml:space="preserve">[, selon qu’il convient,] </w:t>
      </w:r>
      <w:r w:rsidR="00BF3E7B" w:rsidRPr="00525E52">
        <w:rPr>
          <w:kern w:val="22"/>
          <w:lang w:val="fr-FR"/>
        </w:rPr>
        <w:t xml:space="preserve">des réseaux d’observation et des systèmes d’information sur la biodiversité </w:t>
      </w:r>
      <w:r w:rsidR="003C1B2F" w:rsidRPr="00525E52">
        <w:rPr>
          <w:kern w:val="22"/>
          <w:lang w:val="fr-FR"/>
        </w:rPr>
        <w:t>[efficaces] [</w:t>
      </w:r>
      <w:r w:rsidR="00BF3E7B" w:rsidRPr="00525E52">
        <w:rPr>
          <w:kern w:val="22"/>
          <w:lang w:val="fr-FR"/>
        </w:rPr>
        <w:t>disposant de ressources suffisantes</w:t>
      </w:r>
      <w:r w:rsidR="003C1B2F" w:rsidRPr="00525E52">
        <w:rPr>
          <w:kern w:val="22"/>
          <w:lang w:val="fr-FR"/>
        </w:rPr>
        <w:t>]</w:t>
      </w:r>
      <w:r w:rsidR="00BF3E7B" w:rsidRPr="00525E52">
        <w:rPr>
          <w:kern w:val="22"/>
          <w:lang w:val="fr-FR"/>
        </w:rPr>
        <w:t xml:space="preserve">, </w:t>
      </w:r>
      <w:r w:rsidR="003C1B2F" w:rsidRPr="00525E52">
        <w:rPr>
          <w:kern w:val="22"/>
          <w:lang w:val="fr-FR"/>
        </w:rPr>
        <w:t xml:space="preserve">[et d’autres réseaux d’observation et systèmes d’information connexes] </w:t>
      </w:r>
      <w:r w:rsidR="00BF3E7B" w:rsidRPr="00525E52">
        <w:rPr>
          <w:kern w:val="22"/>
          <w:lang w:val="fr-FR"/>
        </w:rPr>
        <w:t>appuyés par des politiques de partage des données, des activités de renforcement des capacités et des orientations connexes, afin de sous-tendre la production des</w:t>
      </w:r>
      <w:r w:rsidR="00F10897" w:rsidRPr="00525E52">
        <w:rPr>
          <w:kern w:val="22"/>
          <w:lang w:val="fr-FR"/>
        </w:rPr>
        <w:t xml:space="preserve"> information</w:t>
      </w:r>
      <w:r w:rsidR="00BF3E7B" w:rsidRPr="00525E52">
        <w:rPr>
          <w:kern w:val="22"/>
          <w:lang w:val="fr-FR"/>
        </w:rPr>
        <w:t>s requises pour réaliser et suivre les</w:t>
      </w:r>
      <w:r w:rsidR="00F10897" w:rsidRPr="00525E52">
        <w:rPr>
          <w:kern w:val="22"/>
          <w:lang w:val="fr-FR"/>
        </w:rPr>
        <w:t xml:space="preserve"> </w:t>
      </w:r>
      <w:r w:rsidR="00BF3E7B" w:rsidRPr="00525E52">
        <w:rPr>
          <w:kern w:val="22"/>
          <w:lang w:val="fr-FR"/>
        </w:rPr>
        <w:t>objectifs et les cibles du cadre mondial de la biodiversité pour l’après-2020</w:t>
      </w:r>
      <w:r w:rsidR="00F10897" w:rsidRPr="00525E52">
        <w:rPr>
          <w:kern w:val="22"/>
          <w:lang w:val="fr-FR"/>
        </w:rPr>
        <w:t>;</w:t>
      </w:r>
    </w:p>
    <w:p w14:paraId="78CFC0D1" w14:textId="7D245156" w:rsidR="00F10897" w:rsidRPr="00525E52" w:rsidRDefault="003C1B2F" w:rsidP="002C1863">
      <w:pPr>
        <w:pStyle w:val="Para1"/>
        <w:numPr>
          <w:ilvl w:val="0"/>
          <w:numId w:val="29"/>
        </w:numPr>
        <w:suppressLineNumbers/>
        <w:suppressAutoHyphens/>
        <w:kinsoku w:val="0"/>
        <w:overflowPunct w:val="0"/>
        <w:autoSpaceDE w:val="0"/>
        <w:autoSpaceDN w:val="0"/>
        <w:adjustRightInd w:val="0"/>
        <w:snapToGrid w:val="0"/>
        <w:ind w:firstLine="720"/>
        <w:rPr>
          <w:kern w:val="22"/>
          <w:lang w:val="fr-FR"/>
        </w:rPr>
      </w:pPr>
      <w:r w:rsidRPr="00525E52">
        <w:rPr>
          <w:i/>
          <w:kern w:val="22"/>
          <w:lang w:val="fr-FR"/>
        </w:rPr>
        <w:t>[Prend note] [</w:t>
      </w:r>
      <w:r w:rsidR="00D94A04" w:rsidRPr="00525E52">
        <w:rPr>
          <w:i/>
          <w:kern w:val="22"/>
          <w:lang w:val="fr-FR"/>
        </w:rPr>
        <w:t>Se félicite</w:t>
      </w:r>
      <w:r w:rsidRPr="00525E52">
        <w:rPr>
          <w:i/>
          <w:kern w:val="22"/>
          <w:lang w:val="fr-FR"/>
        </w:rPr>
        <w:t>]</w:t>
      </w:r>
      <w:r w:rsidR="00D94A04" w:rsidRPr="00525E52">
        <w:rPr>
          <w:kern w:val="22"/>
          <w:lang w:val="fr-FR"/>
        </w:rPr>
        <w:t xml:space="preserve"> de l’</w:t>
      </w:r>
      <w:r w:rsidR="00F10897" w:rsidRPr="00525E52">
        <w:rPr>
          <w:kern w:val="22"/>
          <w:lang w:val="fr-FR"/>
        </w:rPr>
        <w:t xml:space="preserve">Initiative </w:t>
      </w:r>
      <w:r w:rsidR="00D94A04" w:rsidRPr="00525E52">
        <w:rPr>
          <w:kern w:val="22"/>
          <w:lang w:val="fr-FR"/>
        </w:rPr>
        <w:t xml:space="preserve">du Centre mondial de surveillance continue de la conservation de la nature du </w:t>
      </w:r>
      <w:r w:rsidR="00F10897" w:rsidRPr="00525E52">
        <w:rPr>
          <w:kern w:val="22"/>
          <w:lang w:val="fr-FR"/>
        </w:rPr>
        <w:t xml:space="preserve">Programme </w:t>
      </w:r>
      <w:r w:rsidR="00D94A04" w:rsidRPr="00525E52">
        <w:rPr>
          <w:kern w:val="22"/>
          <w:lang w:val="fr-FR"/>
        </w:rPr>
        <w:t>des Nations Unies pour l’environnement</w:t>
      </w:r>
      <w:r w:rsidR="00C648C4" w:rsidRPr="00525E52">
        <w:rPr>
          <w:kern w:val="22"/>
          <w:lang w:val="fr-FR"/>
        </w:rPr>
        <w:t xml:space="preserve"> (</w:t>
      </w:r>
      <w:r w:rsidR="00F10897" w:rsidRPr="00525E52">
        <w:rPr>
          <w:kern w:val="22"/>
          <w:lang w:val="fr-FR"/>
        </w:rPr>
        <w:t>P</w:t>
      </w:r>
      <w:r w:rsidR="00C648C4" w:rsidRPr="00525E52">
        <w:rPr>
          <w:kern w:val="22"/>
          <w:lang w:val="fr-FR"/>
        </w:rPr>
        <w:t>NUE</w:t>
      </w:r>
      <w:r w:rsidR="00F10897" w:rsidRPr="00525E52">
        <w:rPr>
          <w:kern w:val="22"/>
          <w:lang w:val="fr-FR"/>
        </w:rPr>
        <w:t>-WCMC)</w:t>
      </w:r>
      <w:r w:rsidR="00B047F2" w:rsidRPr="00525E52">
        <w:rPr>
          <w:kern w:val="22"/>
          <w:lang w:val="fr-FR"/>
        </w:rPr>
        <w:t xml:space="preserve"> et </w:t>
      </w:r>
      <w:r w:rsidR="00D94A04" w:rsidRPr="00525E52">
        <w:rPr>
          <w:kern w:val="22"/>
          <w:lang w:val="fr-FR"/>
        </w:rPr>
        <w:t>de la</w:t>
      </w:r>
      <w:r w:rsidR="00F10897" w:rsidRPr="00525E52">
        <w:rPr>
          <w:kern w:val="22"/>
          <w:lang w:val="fr-FR"/>
        </w:rPr>
        <w:t xml:space="preserve"> Commission</w:t>
      </w:r>
      <w:r w:rsidR="00D94A04" w:rsidRPr="00525E52">
        <w:rPr>
          <w:kern w:val="22"/>
          <w:lang w:val="fr-FR"/>
        </w:rPr>
        <w:t xml:space="preserve"> européenne, visant à mettre en place un Centre mondial de connaissances sur la</w:t>
      </w:r>
      <w:r w:rsidR="00F10897" w:rsidRPr="00525E52">
        <w:rPr>
          <w:kern w:val="22"/>
          <w:lang w:val="fr-FR"/>
        </w:rPr>
        <w:t xml:space="preserve"> </w:t>
      </w:r>
      <w:r w:rsidR="00D94A04" w:rsidRPr="00525E52">
        <w:rPr>
          <w:kern w:val="22"/>
          <w:lang w:val="fr-FR"/>
        </w:rPr>
        <w:t>biodiversité</w:t>
      </w:r>
      <w:r w:rsidR="00F10897" w:rsidRPr="00525E52">
        <w:rPr>
          <w:rStyle w:val="FootnoteReference"/>
          <w:kern w:val="22"/>
          <w:lang w:val="fr-FR"/>
        </w:rPr>
        <w:footnoteReference w:id="4"/>
      </w:r>
      <w:r w:rsidR="00D94A04" w:rsidRPr="00525E52">
        <w:rPr>
          <w:kern w:val="22"/>
          <w:lang w:val="fr-FR"/>
        </w:rPr>
        <w:t xml:space="preserve">, notamment pour </w:t>
      </w:r>
      <w:r w:rsidR="00013385">
        <w:rPr>
          <w:kern w:val="22"/>
          <w:lang w:val="fr-FR"/>
        </w:rPr>
        <w:t>assurer le suivi d</w:t>
      </w:r>
      <w:r w:rsidR="00D94A04" w:rsidRPr="00525E52">
        <w:rPr>
          <w:kern w:val="22"/>
          <w:lang w:val="fr-FR"/>
        </w:rPr>
        <w:t>es progrès accomplis dans la réalisation des objectifs et des cibles</w:t>
      </w:r>
      <w:r w:rsidR="000F1B45" w:rsidRPr="00525E52">
        <w:rPr>
          <w:kern w:val="22"/>
          <w:lang w:val="fr-FR"/>
        </w:rPr>
        <w:t xml:space="preserve">[, en coordination avec les Parties intéressées et les organisations intergouvernementales régionales, parallèlement à un processus de transfert de technologies et de capacités aux pays en développement Parties,] et </w:t>
      </w:r>
      <w:r w:rsidR="000F1B45" w:rsidRPr="00440F70">
        <w:rPr>
          <w:iCs/>
          <w:kern w:val="22"/>
          <w:lang w:val="fr-FR"/>
        </w:rPr>
        <w:t>invite</w:t>
      </w:r>
      <w:r w:rsidR="000F1B45" w:rsidRPr="00440F70">
        <w:rPr>
          <w:kern w:val="22"/>
          <w:lang w:val="fr-FR"/>
        </w:rPr>
        <w:t xml:space="preserve"> </w:t>
      </w:r>
      <w:r w:rsidR="000F1B45" w:rsidRPr="00525E52">
        <w:rPr>
          <w:kern w:val="22"/>
          <w:lang w:val="fr-FR"/>
        </w:rPr>
        <w:t>[les Parties intéressées et le Centre mondial de connaissances sur la biodiversité à soutenir la mise en œuvre du cadre mondial de la biodiversité pour l’après-2020, selon qu'il convient, en particulier [pour les pays en développement Parties et toute autre Partie] [les Parties ayant besoin d'un appui],</w:t>
      </w:r>
      <w:r w:rsidR="00440F70">
        <w:rPr>
          <w:kern w:val="22"/>
          <w:lang w:val="fr-FR"/>
        </w:rPr>
        <w:t xml:space="preserve"> et] </w:t>
      </w:r>
      <w:r w:rsidR="000F1B45" w:rsidRPr="00525E52">
        <w:rPr>
          <w:kern w:val="22"/>
          <w:lang w:val="fr-FR"/>
        </w:rPr>
        <w:t>les parties prenantes à contribuer au développement plus poussé de ce Centre mondial de co</w:t>
      </w:r>
      <w:r w:rsidR="00440F70">
        <w:rPr>
          <w:kern w:val="22"/>
          <w:lang w:val="fr-FR"/>
        </w:rPr>
        <w:t>nnaissances sur la biodiversité</w:t>
      </w:r>
      <w:r w:rsidR="00F10897" w:rsidRPr="00525E52">
        <w:rPr>
          <w:kern w:val="22"/>
          <w:lang w:val="fr-FR"/>
        </w:rPr>
        <w:t>;</w:t>
      </w:r>
    </w:p>
    <w:p w14:paraId="33B2685E" w14:textId="75513997" w:rsidR="00F10897" w:rsidRPr="00525E52" w:rsidRDefault="000F1B45" w:rsidP="002C1863">
      <w:pPr>
        <w:pStyle w:val="Para1"/>
        <w:numPr>
          <w:ilvl w:val="0"/>
          <w:numId w:val="29"/>
        </w:numPr>
        <w:suppressLineNumbers/>
        <w:suppressAutoHyphens/>
        <w:kinsoku w:val="0"/>
        <w:overflowPunct w:val="0"/>
        <w:autoSpaceDE w:val="0"/>
        <w:autoSpaceDN w:val="0"/>
        <w:adjustRightInd w:val="0"/>
        <w:snapToGrid w:val="0"/>
        <w:ind w:firstLine="720"/>
        <w:rPr>
          <w:kern w:val="22"/>
          <w:lang w:val="fr-FR"/>
        </w:rPr>
      </w:pPr>
      <w:r w:rsidRPr="00525E52">
        <w:rPr>
          <w:i/>
          <w:kern w:val="22"/>
          <w:lang w:val="fr-FR"/>
        </w:rPr>
        <w:t>[Prend note]</w:t>
      </w:r>
      <w:r w:rsidR="00DD33DD" w:rsidRPr="00525E52">
        <w:rPr>
          <w:i/>
          <w:kern w:val="22"/>
          <w:lang w:val="fr-FR"/>
        </w:rPr>
        <w:t xml:space="preserve"> [</w:t>
      </w:r>
      <w:r w:rsidR="00D94A04" w:rsidRPr="00525E52">
        <w:rPr>
          <w:i/>
          <w:kern w:val="22"/>
          <w:lang w:val="fr-FR"/>
        </w:rPr>
        <w:t>Se félicite</w:t>
      </w:r>
      <w:r w:rsidR="00DD33DD" w:rsidRPr="00525E52">
        <w:rPr>
          <w:i/>
          <w:kern w:val="22"/>
          <w:lang w:val="fr-FR"/>
        </w:rPr>
        <w:t>]</w:t>
      </w:r>
      <w:r w:rsidR="00D94A04" w:rsidRPr="00525E52">
        <w:rPr>
          <w:kern w:val="22"/>
          <w:lang w:val="fr-FR"/>
        </w:rPr>
        <w:t xml:space="preserve"> de l’initiative Data4Nature</w:t>
      </w:r>
      <w:r w:rsidR="00F10897" w:rsidRPr="00525E52">
        <w:rPr>
          <w:rStyle w:val="FootnoteReference"/>
          <w:kern w:val="22"/>
          <w:lang w:val="fr-FR"/>
        </w:rPr>
        <w:footnoteReference w:id="5"/>
      </w:r>
      <w:r w:rsidR="00D94A04" w:rsidRPr="00525E52">
        <w:rPr>
          <w:kern w:val="22"/>
          <w:lang w:val="fr-FR"/>
        </w:rPr>
        <w:t xml:space="preserve"> et, par conséquent,</w:t>
      </w:r>
      <w:r w:rsidR="00F10897" w:rsidRPr="00525E52">
        <w:rPr>
          <w:kern w:val="22"/>
          <w:lang w:val="fr-FR"/>
        </w:rPr>
        <w:t xml:space="preserve"> </w:t>
      </w:r>
      <w:r w:rsidR="00D94A04" w:rsidRPr="00440F70">
        <w:rPr>
          <w:kern w:val="22"/>
          <w:lang w:val="fr-FR"/>
        </w:rPr>
        <w:t>invite</w:t>
      </w:r>
      <w:r w:rsidR="00F10897" w:rsidRPr="00440F70">
        <w:rPr>
          <w:kern w:val="22"/>
          <w:lang w:val="fr-FR"/>
        </w:rPr>
        <w:t xml:space="preserve"> </w:t>
      </w:r>
      <w:r w:rsidR="00D94A04" w:rsidRPr="00525E52">
        <w:rPr>
          <w:kern w:val="22"/>
          <w:lang w:val="fr-FR"/>
        </w:rPr>
        <w:t xml:space="preserve">les </w:t>
      </w:r>
      <w:r w:rsidR="00F10897" w:rsidRPr="00525E52">
        <w:rPr>
          <w:kern w:val="22"/>
          <w:lang w:val="fr-FR"/>
        </w:rPr>
        <w:t xml:space="preserve">Parties, </w:t>
      </w:r>
      <w:r w:rsidR="00D94A04" w:rsidRPr="00525E52">
        <w:rPr>
          <w:kern w:val="22"/>
          <w:lang w:val="fr-FR"/>
        </w:rPr>
        <w:t xml:space="preserve">les </w:t>
      </w:r>
      <w:r w:rsidR="00F10897" w:rsidRPr="00525E52">
        <w:rPr>
          <w:kern w:val="22"/>
          <w:lang w:val="fr-FR"/>
        </w:rPr>
        <w:t xml:space="preserve">non-Parties, </w:t>
      </w:r>
      <w:r w:rsidR="00D94A04" w:rsidRPr="00525E52">
        <w:rPr>
          <w:kern w:val="22"/>
          <w:lang w:val="fr-FR"/>
        </w:rPr>
        <w:t xml:space="preserve">les organismes de financement, les banques de développement et les autres parties prenantes concernées à prendre en compte la biodiversité dans la réalisation des évaluations de l’impact </w:t>
      </w:r>
      <w:r w:rsidR="00F10897" w:rsidRPr="00525E52">
        <w:rPr>
          <w:kern w:val="22"/>
          <w:lang w:val="fr-FR"/>
        </w:rPr>
        <w:t>environ</w:t>
      </w:r>
      <w:r w:rsidR="00D94A04" w:rsidRPr="00525E52">
        <w:rPr>
          <w:kern w:val="22"/>
          <w:lang w:val="fr-FR"/>
        </w:rPr>
        <w:t>ne</w:t>
      </w:r>
      <w:r w:rsidR="00F10897" w:rsidRPr="00525E52">
        <w:rPr>
          <w:kern w:val="22"/>
          <w:lang w:val="fr-FR"/>
        </w:rPr>
        <w:t>mental</w:t>
      </w:r>
      <w:r w:rsidR="00B047F2" w:rsidRPr="00525E52">
        <w:rPr>
          <w:kern w:val="22"/>
          <w:lang w:val="fr-FR"/>
        </w:rPr>
        <w:t xml:space="preserve"> et </w:t>
      </w:r>
      <w:r w:rsidR="00F10897" w:rsidRPr="00525E52">
        <w:rPr>
          <w:kern w:val="22"/>
          <w:lang w:val="fr-FR"/>
        </w:rPr>
        <w:t>social</w:t>
      </w:r>
      <w:r w:rsidR="00D94A04" w:rsidRPr="00525E52">
        <w:rPr>
          <w:kern w:val="22"/>
          <w:lang w:val="fr-FR"/>
        </w:rPr>
        <w:t>, et à partager les données sur la biodiversité provenant des évaluations par le biais du Système mondial d’information sur la biodiversité</w:t>
      </w:r>
      <w:r w:rsidR="00F10897" w:rsidRPr="00525E52">
        <w:rPr>
          <w:kern w:val="22"/>
          <w:lang w:val="fr-FR"/>
        </w:rPr>
        <w:t>;</w:t>
      </w:r>
    </w:p>
    <w:p w14:paraId="0E715545" w14:textId="5840778B" w:rsidR="00F10897" w:rsidRPr="00525E52" w:rsidRDefault="002A2F16" w:rsidP="002C1863">
      <w:pPr>
        <w:pStyle w:val="Para1"/>
        <w:numPr>
          <w:ilvl w:val="0"/>
          <w:numId w:val="29"/>
        </w:numPr>
        <w:suppressLineNumbers/>
        <w:suppressAutoHyphens/>
        <w:kinsoku w:val="0"/>
        <w:overflowPunct w:val="0"/>
        <w:autoSpaceDE w:val="0"/>
        <w:autoSpaceDN w:val="0"/>
        <w:adjustRightInd w:val="0"/>
        <w:snapToGrid w:val="0"/>
        <w:ind w:firstLine="720"/>
        <w:rPr>
          <w:kern w:val="22"/>
          <w:lang w:val="fr-FR"/>
        </w:rPr>
      </w:pPr>
      <w:r w:rsidRPr="00525E52">
        <w:rPr>
          <w:i/>
          <w:kern w:val="22"/>
          <w:lang w:val="fr-FR"/>
        </w:rPr>
        <w:lastRenderedPageBreak/>
        <w:t>[Prend note] [</w:t>
      </w:r>
      <w:r w:rsidR="00D94A04" w:rsidRPr="00525E52">
        <w:rPr>
          <w:i/>
          <w:kern w:val="22"/>
          <w:lang w:val="fr-FR"/>
        </w:rPr>
        <w:t>Se félicite</w:t>
      </w:r>
      <w:r w:rsidRPr="00525E52">
        <w:rPr>
          <w:i/>
          <w:kern w:val="22"/>
          <w:lang w:val="fr-FR"/>
        </w:rPr>
        <w:t>]</w:t>
      </w:r>
      <w:r w:rsidR="00D94A04" w:rsidRPr="00525E52">
        <w:rPr>
          <w:kern w:val="22"/>
          <w:lang w:val="fr-FR"/>
        </w:rPr>
        <w:t xml:space="preserve"> du partenariat mondial </w:t>
      </w:r>
      <w:r w:rsidR="00F10897" w:rsidRPr="00525E52">
        <w:rPr>
          <w:kern w:val="22"/>
          <w:lang w:val="fr-FR"/>
        </w:rPr>
        <w:t>PANORAMA</w:t>
      </w:r>
      <w:r w:rsidR="00440F70">
        <w:rPr>
          <w:kern w:val="22"/>
          <w:lang w:val="fr-FR"/>
        </w:rPr>
        <w:t xml:space="preserve"> </w:t>
      </w:r>
      <w:r w:rsidR="00F10897" w:rsidRPr="00525E52">
        <w:rPr>
          <w:kern w:val="22"/>
          <w:lang w:val="fr-FR"/>
        </w:rPr>
        <w:t>:</w:t>
      </w:r>
      <w:r w:rsidR="00C648C4" w:rsidRPr="00525E52">
        <w:rPr>
          <w:kern w:val="22"/>
          <w:lang w:val="fr-FR"/>
        </w:rPr>
        <w:t xml:space="preserve"> Solutions pour une planète saine</w:t>
      </w:r>
      <w:r w:rsidR="00F10897" w:rsidRPr="00525E52">
        <w:rPr>
          <w:rStyle w:val="FootnoteReference"/>
          <w:kern w:val="22"/>
          <w:lang w:val="fr-FR"/>
        </w:rPr>
        <w:footnoteReference w:id="6"/>
      </w:r>
      <w:r w:rsidR="00D31BBE" w:rsidRPr="00525E52">
        <w:rPr>
          <w:kern w:val="22"/>
          <w:lang w:val="fr-FR"/>
        </w:rPr>
        <w:t>,</w:t>
      </w:r>
      <w:r w:rsidR="00F10897" w:rsidRPr="00525E52">
        <w:rPr>
          <w:kern w:val="22"/>
          <w:lang w:val="fr-FR"/>
        </w:rPr>
        <w:t xml:space="preserve"> </w:t>
      </w:r>
      <w:r w:rsidR="00D94A04" w:rsidRPr="00525E52">
        <w:rPr>
          <w:kern w:val="22"/>
          <w:lang w:val="fr-FR"/>
        </w:rPr>
        <w:t xml:space="preserve">qui soutient la mise en œuvre au moyen de la production, la gestion et le partage des connaissances pour assurer l’efficacité de la planification, l’élaboration de politiques générales, la prise de </w:t>
      </w:r>
      <w:r w:rsidR="00264ACA" w:rsidRPr="00525E52">
        <w:rPr>
          <w:kern w:val="22"/>
          <w:lang w:val="fr-FR"/>
        </w:rPr>
        <w:t>dé</w:t>
      </w:r>
      <w:r w:rsidR="00D94A04" w:rsidRPr="00525E52">
        <w:rPr>
          <w:kern w:val="22"/>
          <w:lang w:val="fr-FR"/>
        </w:rPr>
        <w:t xml:space="preserve">cisions, la mise en </w:t>
      </w:r>
      <w:r w:rsidR="00264ACA" w:rsidRPr="00525E52">
        <w:rPr>
          <w:kern w:val="22"/>
          <w:lang w:val="fr-FR"/>
        </w:rPr>
        <w:t>œuvre</w:t>
      </w:r>
      <w:r w:rsidR="00D94A04" w:rsidRPr="00525E52">
        <w:rPr>
          <w:kern w:val="22"/>
          <w:lang w:val="fr-FR"/>
        </w:rPr>
        <w:t>, la transparence</w:t>
      </w:r>
      <w:r w:rsidR="00B047F2" w:rsidRPr="00525E52">
        <w:rPr>
          <w:kern w:val="22"/>
          <w:lang w:val="fr-FR"/>
        </w:rPr>
        <w:t xml:space="preserve"> et </w:t>
      </w:r>
      <w:r w:rsidR="00D94A04" w:rsidRPr="00525E52">
        <w:rPr>
          <w:kern w:val="22"/>
          <w:lang w:val="fr-FR"/>
        </w:rPr>
        <w:t>la responsa</w:t>
      </w:r>
      <w:r w:rsidR="00264ACA" w:rsidRPr="00525E52">
        <w:rPr>
          <w:kern w:val="22"/>
          <w:lang w:val="fr-FR"/>
        </w:rPr>
        <w:t xml:space="preserve">bilité en ce qui concerne </w:t>
      </w:r>
      <w:r w:rsidR="00D94A04" w:rsidRPr="00525E52">
        <w:rPr>
          <w:kern w:val="22"/>
          <w:lang w:val="fr-FR"/>
        </w:rPr>
        <w:t>la biodiversité;</w:t>
      </w:r>
    </w:p>
    <w:p w14:paraId="02EA05CA" w14:textId="33EA93E9" w:rsidR="00610370" w:rsidRPr="00525E52" w:rsidRDefault="002C1863" w:rsidP="002C1863">
      <w:pPr>
        <w:pStyle w:val="Para1"/>
        <w:suppressLineNumbers/>
        <w:suppressAutoHyphens/>
        <w:kinsoku w:val="0"/>
        <w:overflowPunct w:val="0"/>
        <w:autoSpaceDE w:val="0"/>
        <w:autoSpaceDN w:val="0"/>
        <w:adjustRightInd w:val="0"/>
        <w:snapToGrid w:val="0"/>
        <w:ind w:firstLine="709"/>
        <w:rPr>
          <w:kern w:val="22"/>
          <w:lang w:val="fr-FR"/>
        </w:rPr>
      </w:pPr>
      <w:r w:rsidRPr="002F512D">
        <w:rPr>
          <w:iCs/>
          <w:kern w:val="22"/>
          <w:lang w:val="fr-FR"/>
        </w:rPr>
        <w:t>[</w:t>
      </w:r>
      <w:r>
        <w:rPr>
          <w:iCs/>
          <w:kern w:val="22"/>
          <w:lang w:val="fr-FR"/>
        </w:rPr>
        <w:t>10.</w:t>
      </w:r>
      <w:r>
        <w:rPr>
          <w:iCs/>
          <w:kern w:val="22"/>
          <w:lang w:val="fr-FR"/>
        </w:rPr>
        <w:tab/>
      </w:r>
      <w:r w:rsidR="00610370" w:rsidRPr="00525E52">
        <w:rPr>
          <w:i/>
          <w:iCs/>
          <w:kern w:val="22"/>
          <w:lang w:val="fr-FR"/>
        </w:rPr>
        <w:t>Se félicite</w:t>
      </w:r>
      <w:r w:rsidR="00610370" w:rsidRPr="00525E52">
        <w:rPr>
          <w:kern w:val="22"/>
          <w:lang w:val="fr-FR"/>
        </w:rPr>
        <w:t xml:space="preserve"> de la création de l'Observatoire régional de l'Amazonie (ARO) des Organisations du Traité de coopération amazonienne (ACTO), qui comprend des informations et des données pour la conservation et l'utilisation durable de la biodiversité, et </w:t>
      </w:r>
      <w:r w:rsidR="00610370" w:rsidRPr="00440F70">
        <w:rPr>
          <w:iCs/>
          <w:kern w:val="22"/>
          <w:lang w:val="fr-FR"/>
        </w:rPr>
        <w:t>invite</w:t>
      </w:r>
      <w:r w:rsidR="00610370" w:rsidRPr="00525E52">
        <w:rPr>
          <w:kern w:val="22"/>
          <w:lang w:val="fr-FR"/>
        </w:rPr>
        <w:t xml:space="preserve"> les donateurs et les organisations multilatérales à fournir une coopération internationale visant à renforcer ces initiatives ainsi que d'autres plateform</w:t>
      </w:r>
      <w:r w:rsidR="002F512D">
        <w:rPr>
          <w:kern w:val="22"/>
          <w:lang w:val="fr-FR"/>
        </w:rPr>
        <w:t>es de connaissances pertinentes</w:t>
      </w:r>
      <w:r w:rsidR="00610370" w:rsidRPr="00525E52">
        <w:rPr>
          <w:kern w:val="22"/>
          <w:lang w:val="fr-FR"/>
        </w:rPr>
        <w:t>;]</w:t>
      </w:r>
    </w:p>
    <w:p w14:paraId="376800B2" w14:textId="2DE727DC" w:rsidR="00085AAC" w:rsidRPr="00525E52" w:rsidRDefault="00085AAC" w:rsidP="002C1863">
      <w:pPr>
        <w:pStyle w:val="Para1"/>
        <w:numPr>
          <w:ilvl w:val="0"/>
          <w:numId w:val="30"/>
        </w:numPr>
        <w:suppressLineNumbers/>
        <w:suppressAutoHyphens/>
        <w:kinsoku w:val="0"/>
        <w:overflowPunct w:val="0"/>
        <w:autoSpaceDE w:val="0"/>
        <w:autoSpaceDN w:val="0"/>
        <w:adjustRightInd w:val="0"/>
        <w:snapToGrid w:val="0"/>
        <w:ind w:firstLine="709"/>
        <w:rPr>
          <w:kern w:val="22"/>
          <w:lang w:val="fr-FR"/>
        </w:rPr>
      </w:pPr>
      <w:r w:rsidRPr="00525E52">
        <w:rPr>
          <w:i/>
          <w:iCs/>
          <w:kern w:val="22"/>
          <w:lang w:val="fr-FR"/>
        </w:rPr>
        <w:t xml:space="preserve">Prend note </w:t>
      </w:r>
      <w:r w:rsidRPr="00525E52">
        <w:rPr>
          <w:kern w:val="22"/>
          <w:lang w:val="fr-FR"/>
        </w:rPr>
        <w:t>des progrès accomplis dans la mise en œu</w:t>
      </w:r>
      <w:r w:rsidR="00440F70">
        <w:rPr>
          <w:kern w:val="22"/>
          <w:lang w:val="fr-FR"/>
        </w:rPr>
        <w:t>vre du programme de travail du C</w:t>
      </w:r>
      <w:r w:rsidRPr="00525E52">
        <w:rPr>
          <w:kern w:val="22"/>
          <w:lang w:val="fr-FR"/>
        </w:rPr>
        <w:t>entre d’échange en appui au Plan stratégique pour la diversité biologique 2011-2020</w:t>
      </w:r>
      <w:r w:rsidR="00F10897" w:rsidRPr="00525E52">
        <w:rPr>
          <w:kern w:val="22"/>
          <w:vertAlign w:val="superscript"/>
          <w:lang w:val="fr-FR"/>
        </w:rPr>
        <w:t>1</w:t>
      </w:r>
      <w:r w:rsidRPr="00525E52">
        <w:rPr>
          <w:kern w:val="22"/>
          <w:lang w:val="fr-FR"/>
        </w:rPr>
        <w:t>, ainsi que du projet d’élément</w:t>
      </w:r>
      <w:r w:rsidR="00440F70">
        <w:rPr>
          <w:kern w:val="22"/>
          <w:lang w:val="fr-FR"/>
        </w:rPr>
        <w:t>s d’un programme de travail du C</w:t>
      </w:r>
      <w:r w:rsidRPr="00525E52">
        <w:rPr>
          <w:kern w:val="22"/>
          <w:lang w:val="fr-FR"/>
        </w:rPr>
        <w:t>entre d’échange pour l’après-2020, contenu dans la note de la Secr</w:t>
      </w:r>
      <w:r w:rsidR="00D31BBE" w:rsidRPr="00525E52">
        <w:rPr>
          <w:kern w:val="22"/>
          <w:lang w:val="fr-FR"/>
        </w:rPr>
        <w:t>étaire exécutive</w:t>
      </w:r>
      <w:r w:rsidRPr="00525E52">
        <w:rPr>
          <w:rStyle w:val="FootnoteReference"/>
          <w:kern w:val="22"/>
          <w:lang w:val="fr-FR"/>
        </w:rPr>
        <w:footnoteReference w:id="7"/>
      </w:r>
      <w:r w:rsidR="00D31BBE" w:rsidRPr="00525E52">
        <w:rPr>
          <w:kern w:val="22"/>
          <w:lang w:val="fr-FR"/>
        </w:rPr>
        <w:t>;</w:t>
      </w:r>
    </w:p>
    <w:p w14:paraId="2BEF8741" w14:textId="312743D2" w:rsidR="00085AAC" w:rsidRPr="00525E52" w:rsidRDefault="00264ACA" w:rsidP="002C1863">
      <w:pPr>
        <w:pStyle w:val="Para1"/>
        <w:numPr>
          <w:ilvl w:val="0"/>
          <w:numId w:val="30"/>
        </w:numPr>
        <w:suppressLineNumbers/>
        <w:suppressAutoHyphens/>
        <w:kinsoku w:val="0"/>
        <w:overflowPunct w:val="0"/>
        <w:autoSpaceDE w:val="0"/>
        <w:autoSpaceDN w:val="0"/>
        <w:adjustRightInd w:val="0"/>
        <w:snapToGrid w:val="0"/>
        <w:ind w:firstLine="720"/>
        <w:rPr>
          <w:kern w:val="22"/>
          <w:lang w:val="fr-FR"/>
        </w:rPr>
      </w:pPr>
      <w:r w:rsidRPr="00525E52">
        <w:rPr>
          <w:i/>
          <w:iCs/>
          <w:kern w:val="22"/>
          <w:lang w:val="fr-FR"/>
        </w:rPr>
        <w:t>Décide</w:t>
      </w:r>
      <w:r w:rsidRPr="00525E52">
        <w:rPr>
          <w:kern w:val="22"/>
          <w:lang w:val="fr-FR"/>
        </w:rPr>
        <w:t xml:space="preserve"> de prolonger le</w:t>
      </w:r>
      <w:r w:rsidR="00440F70">
        <w:rPr>
          <w:kern w:val="22"/>
          <w:lang w:val="fr-FR"/>
        </w:rPr>
        <w:t xml:space="preserve"> programme de travail du C</w:t>
      </w:r>
      <w:r w:rsidR="00085AAC" w:rsidRPr="00525E52">
        <w:rPr>
          <w:kern w:val="22"/>
          <w:lang w:val="fr-FR"/>
        </w:rPr>
        <w:t>entre d’échange pour la période</w:t>
      </w:r>
      <w:r w:rsidRPr="00525E52">
        <w:rPr>
          <w:kern w:val="22"/>
          <w:lang w:val="fr-FR"/>
        </w:rPr>
        <w:t xml:space="preserve"> 2021-2030 et de le mettre à jour conformément au cadre mondial de la biodiversité pour l’après-2020 et aux décisions pertinentes </w:t>
      </w:r>
      <w:r w:rsidR="00314B33" w:rsidRPr="00525E52">
        <w:rPr>
          <w:kern w:val="22"/>
          <w:lang w:val="fr-FR"/>
        </w:rPr>
        <w:t>[de la Conférence des Parties</w:t>
      </w:r>
      <w:r w:rsidR="00C8608C" w:rsidRPr="00525E52">
        <w:rPr>
          <w:kern w:val="22"/>
          <w:lang w:val="fr-FR"/>
        </w:rPr>
        <w:t>] [</w:t>
      </w:r>
      <w:r w:rsidRPr="00525E52">
        <w:rPr>
          <w:kern w:val="22"/>
          <w:lang w:val="fr-FR"/>
        </w:rPr>
        <w:t>de sa prochaine réunion</w:t>
      </w:r>
      <w:r w:rsidR="00C8608C" w:rsidRPr="00525E52">
        <w:rPr>
          <w:kern w:val="22"/>
          <w:lang w:val="fr-FR"/>
        </w:rPr>
        <w:t>]</w:t>
      </w:r>
      <w:r w:rsidRPr="00525E52">
        <w:rPr>
          <w:kern w:val="22"/>
          <w:lang w:val="fr-FR"/>
        </w:rPr>
        <w:t>, à</w:t>
      </w:r>
      <w:r w:rsidR="00085AAC" w:rsidRPr="00525E52">
        <w:rPr>
          <w:kern w:val="22"/>
          <w:lang w:val="fr-FR"/>
        </w:rPr>
        <w:t xml:space="preserve"> </w:t>
      </w:r>
      <w:r w:rsidR="00B320F6">
        <w:rPr>
          <w:kern w:val="22"/>
          <w:lang w:val="fr-FR"/>
        </w:rPr>
        <w:t xml:space="preserve">la composante sur la gestion des connaissances </w:t>
      </w:r>
      <w:r w:rsidR="00440F70">
        <w:rPr>
          <w:kern w:val="22"/>
          <w:lang w:val="fr-FR"/>
        </w:rPr>
        <w:t xml:space="preserve">dans le </w:t>
      </w:r>
      <w:r w:rsidR="00085AAC" w:rsidRPr="00525E52">
        <w:rPr>
          <w:kern w:val="22"/>
          <w:lang w:val="fr-FR"/>
        </w:rPr>
        <w:t xml:space="preserve">cadre mondial de la biodiversité pour l’après-2020, </w:t>
      </w:r>
      <w:r w:rsidRPr="00525E52">
        <w:rPr>
          <w:kern w:val="22"/>
          <w:lang w:val="fr-FR"/>
        </w:rPr>
        <w:t>au</w:t>
      </w:r>
      <w:r w:rsidR="00085AAC" w:rsidRPr="00525E52">
        <w:rPr>
          <w:kern w:val="22"/>
          <w:lang w:val="fr-FR"/>
        </w:rPr>
        <w:t xml:space="preserve"> cadre stratégique à long terme pour le renforcement des capacités, </w:t>
      </w:r>
      <w:r w:rsidRPr="00525E52">
        <w:rPr>
          <w:kern w:val="22"/>
          <w:lang w:val="fr-FR"/>
        </w:rPr>
        <w:t xml:space="preserve">[à la stratégie de mobilisation des ressources] </w:t>
      </w:r>
      <w:r w:rsidR="00085AAC" w:rsidRPr="00525E52">
        <w:rPr>
          <w:kern w:val="22"/>
          <w:lang w:val="fr-FR"/>
        </w:rPr>
        <w:t xml:space="preserve">et </w:t>
      </w:r>
      <w:r w:rsidRPr="00525E52">
        <w:rPr>
          <w:kern w:val="22"/>
          <w:lang w:val="fr-FR"/>
        </w:rPr>
        <w:t>au mécanisme amélioré de</w:t>
      </w:r>
      <w:r w:rsidR="00085AAC" w:rsidRPr="00525E52">
        <w:rPr>
          <w:kern w:val="22"/>
          <w:lang w:val="fr-FR"/>
        </w:rPr>
        <w:t xml:space="preserve"> planification, </w:t>
      </w:r>
      <w:r w:rsidRPr="00525E52">
        <w:rPr>
          <w:kern w:val="22"/>
          <w:lang w:val="fr-FR"/>
        </w:rPr>
        <w:t>d</w:t>
      </w:r>
      <w:r w:rsidR="00085AAC" w:rsidRPr="00525E52">
        <w:rPr>
          <w:kern w:val="22"/>
          <w:lang w:val="fr-FR"/>
        </w:rPr>
        <w:t xml:space="preserve">’établissement des rapports et </w:t>
      </w:r>
      <w:r w:rsidRPr="00525E52">
        <w:rPr>
          <w:kern w:val="22"/>
          <w:lang w:val="fr-FR"/>
        </w:rPr>
        <w:t>d’examen [, ainsi qu’aux propositions pour renforcer la coopération technique et scientifique]</w:t>
      </w:r>
      <w:r w:rsidR="00085AAC" w:rsidRPr="00525E52">
        <w:rPr>
          <w:kern w:val="22"/>
          <w:lang w:val="fr-FR"/>
        </w:rPr>
        <w:t>;</w:t>
      </w:r>
    </w:p>
    <w:p w14:paraId="1F24933F" w14:textId="76A8544E" w:rsidR="00085AAC" w:rsidRPr="00525E52" w:rsidRDefault="00085AAC" w:rsidP="002C1863">
      <w:pPr>
        <w:pStyle w:val="Para1"/>
        <w:numPr>
          <w:ilvl w:val="0"/>
          <w:numId w:val="30"/>
        </w:numPr>
        <w:suppressLineNumbers/>
        <w:suppressAutoHyphens/>
        <w:kinsoku w:val="0"/>
        <w:overflowPunct w:val="0"/>
        <w:autoSpaceDE w:val="0"/>
        <w:autoSpaceDN w:val="0"/>
        <w:adjustRightInd w:val="0"/>
        <w:snapToGrid w:val="0"/>
        <w:ind w:firstLine="720"/>
        <w:rPr>
          <w:kern w:val="22"/>
          <w:lang w:val="fr-FR"/>
        </w:rPr>
      </w:pPr>
      <w:r w:rsidRPr="00525E52">
        <w:rPr>
          <w:i/>
          <w:iCs/>
          <w:kern w:val="22"/>
          <w:lang w:val="fr-FR"/>
        </w:rPr>
        <w:t xml:space="preserve">Prie </w:t>
      </w:r>
      <w:r w:rsidRPr="00525E52">
        <w:rPr>
          <w:kern w:val="22"/>
          <w:lang w:val="fr-FR"/>
        </w:rPr>
        <w:t xml:space="preserve">le </w:t>
      </w:r>
      <w:r w:rsidR="00264ACA" w:rsidRPr="00525E52">
        <w:rPr>
          <w:kern w:val="22"/>
          <w:lang w:val="fr-FR"/>
        </w:rPr>
        <w:t>Groupe</w:t>
      </w:r>
      <w:r w:rsidRPr="00525E52">
        <w:rPr>
          <w:kern w:val="22"/>
          <w:lang w:val="fr-FR"/>
        </w:rPr>
        <w:t xml:space="preserve"> consultatif informel sur la coopération technique et scientifique</w:t>
      </w:r>
      <w:r w:rsidRPr="00525E52">
        <w:rPr>
          <w:rStyle w:val="FootnoteReference"/>
          <w:kern w:val="22"/>
          <w:lang w:val="fr-FR"/>
        </w:rPr>
        <w:footnoteReference w:id="8"/>
      </w:r>
      <w:r w:rsidR="00D31BBE" w:rsidRPr="00525E52">
        <w:rPr>
          <w:kern w:val="22"/>
          <w:lang w:val="fr-FR"/>
        </w:rPr>
        <w:t>,</w:t>
      </w:r>
      <w:r w:rsidRPr="00525E52">
        <w:rPr>
          <w:kern w:val="22"/>
          <w:lang w:val="fr-FR"/>
        </w:rPr>
        <w:t xml:space="preserve"> dans le cadre de son mandat, de fournir des avis à la Secrétaire exécutive au sujet de l’élaboration et de la mise en œu</w:t>
      </w:r>
      <w:r w:rsidR="00440F70">
        <w:rPr>
          <w:kern w:val="22"/>
          <w:lang w:val="fr-FR"/>
        </w:rPr>
        <w:t>vre du programme de travail du C</w:t>
      </w:r>
      <w:r w:rsidRPr="00525E52">
        <w:rPr>
          <w:kern w:val="22"/>
          <w:lang w:val="fr-FR"/>
        </w:rPr>
        <w:t>entre d’échange en appui au cadre mondial de la biodiversité pour l’après-2020;</w:t>
      </w:r>
    </w:p>
    <w:p w14:paraId="59318810" w14:textId="06FC288C" w:rsidR="00085AAC" w:rsidRPr="00525E52" w:rsidRDefault="00264ACA" w:rsidP="002C1863">
      <w:pPr>
        <w:pStyle w:val="Para1"/>
        <w:numPr>
          <w:ilvl w:val="0"/>
          <w:numId w:val="30"/>
        </w:numPr>
        <w:suppressLineNumbers/>
        <w:suppressAutoHyphens/>
        <w:kinsoku w:val="0"/>
        <w:overflowPunct w:val="0"/>
        <w:autoSpaceDE w:val="0"/>
        <w:autoSpaceDN w:val="0"/>
        <w:adjustRightInd w:val="0"/>
        <w:snapToGrid w:val="0"/>
        <w:ind w:firstLine="720"/>
        <w:rPr>
          <w:kern w:val="22"/>
          <w:lang w:val="fr-FR"/>
        </w:rPr>
      </w:pPr>
      <w:r w:rsidRPr="00525E52">
        <w:rPr>
          <w:i/>
          <w:iCs/>
          <w:kern w:val="22"/>
          <w:lang w:val="fr-FR"/>
        </w:rPr>
        <w:t>Exhort</w:t>
      </w:r>
      <w:r w:rsidR="00085AAC" w:rsidRPr="00525E52">
        <w:rPr>
          <w:i/>
          <w:iCs/>
          <w:kern w:val="22"/>
          <w:lang w:val="fr-FR"/>
        </w:rPr>
        <w:t>e</w:t>
      </w:r>
      <w:r w:rsidR="00085AAC" w:rsidRPr="00525E52">
        <w:rPr>
          <w:kern w:val="22"/>
          <w:lang w:val="fr-FR"/>
        </w:rPr>
        <w:t xml:space="preserve"> les Parti</w:t>
      </w:r>
      <w:r w:rsidRPr="00525E52">
        <w:rPr>
          <w:kern w:val="22"/>
          <w:lang w:val="fr-FR"/>
        </w:rPr>
        <w:t>es et</w:t>
      </w:r>
      <w:r w:rsidRPr="00440F70">
        <w:rPr>
          <w:kern w:val="22"/>
          <w:lang w:val="fr-FR"/>
        </w:rPr>
        <w:t xml:space="preserve"> invite</w:t>
      </w:r>
      <w:r w:rsidR="00085AAC" w:rsidRPr="00525E52">
        <w:rPr>
          <w:i/>
          <w:kern w:val="22"/>
          <w:lang w:val="fr-FR"/>
        </w:rPr>
        <w:t xml:space="preserve"> </w:t>
      </w:r>
      <w:r w:rsidR="00085AAC" w:rsidRPr="00525E52">
        <w:rPr>
          <w:kern w:val="22"/>
          <w:lang w:val="fr-FR"/>
        </w:rPr>
        <w:t>les autres gouvernements et les organisations compétentes, selon qu’il convient, à continuer de fournir des ressources financières, techniques et humaines pour permettre aux pays en développement Parties et aux Parties à économie en transition d’améliorer leurs centres d’échange nationaux, et pour les aider à mettre en place ou à mettre à jour les sites Internet de leurs centres d’échange en utilisant l’outil Bioland</w:t>
      </w:r>
      <w:r w:rsidR="002F512D" w:rsidRPr="002F512D">
        <w:rPr>
          <w:kern w:val="22"/>
          <w:lang w:val="fr-FR"/>
        </w:rPr>
        <w:t>[</w:t>
      </w:r>
      <w:r w:rsidRPr="00525E52">
        <w:rPr>
          <w:kern w:val="22"/>
          <w:lang w:val="fr-FR"/>
        </w:rPr>
        <w:t>, selon qu’il convient et selon leurs priorités et leurs circonstances nationales</w:t>
      </w:r>
      <w:r w:rsidR="002F512D">
        <w:rPr>
          <w:kern w:val="22"/>
          <w:lang w:val="fr-FR"/>
        </w:rPr>
        <w:t>]</w:t>
      </w:r>
      <w:r w:rsidR="00085AAC" w:rsidRPr="00525E52">
        <w:rPr>
          <w:kern w:val="22"/>
          <w:lang w:val="fr-FR"/>
        </w:rPr>
        <w:t>;</w:t>
      </w:r>
    </w:p>
    <w:p w14:paraId="5C3DC625" w14:textId="6A10A08F" w:rsidR="00085AAC" w:rsidRPr="00525E52" w:rsidRDefault="00085AAC" w:rsidP="002C1863">
      <w:pPr>
        <w:pStyle w:val="Para1"/>
        <w:keepNext/>
        <w:numPr>
          <w:ilvl w:val="0"/>
          <w:numId w:val="30"/>
        </w:numPr>
        <w:suppressLineNumbers/>
        <w:suppressAutoHyphens/>
        <w:kinsoku w:val="0"/>
        <w:overflowPunct w:val="0"/>
        <w:autoSpaceDE w:val="0"/>
        <w:autoSpaceDN w:val="0"/>
        <w:adjustRightInd w:val="0"/>
        <w:snapToGrid w:val="0"/>
        <w:ind w:firstLine="720"/>
        <w:rPr>
          <w:kern w:val="22"/>
          <w:lang w:val="fr-FR"/>
        </w:rPr>
      </w:pPr>
      <w:r w:rsidRPr="00525E52">
        <w:rPr>
          <w:i/>
          <w:iCs/>
          <w:kern w:val="22"/>
          <w:lang w:val="fr-FR"/>
        </w:rPr>
        <w:t xml:space="preserve">Prie </w:t>
      </w:r>
      <w:r w:rsidRPr="00525E52">
        <w:rPr>
          <w:kern w:val="22"/>
          <w:lang w:val="fr-FR"/>
        </w:rPr>
        <w:t>la Secrétaire exécutive, dans la limite des ressources disponibles, de</w:t>
      </w:r>
      <w:r w:rsidR="00524E79" w:rsidRPr="00525E52">
        <w:rPr>
          <w:kern w:val="22"/>
          <w:lang w:val="fr-FR"/>
        </w:rPr>
        <w:t> </w:t>
      </w:r>
      <w:r w:rsidRPr="00525E52">
        <w:rPr>
          <w:kern w:val="22"/>
          <w:lang w:val="fr-FR"/>
        </w:rPr>
        <w:t>:</w:t>
      </w:r>
    </w:p>
    <w:p w14:paraId="48E76EB4" w14:textId="17DA9237" w:rsidR="00085AAC" w:rsidRDefault="002C1863" w:rsidP="002C1863">
      <w:pPr>
        <w:pStyle w:val="ListParagraph"/>
        <w:suppressLineNumbers/>
        <w:suppressAutoHyphens/>
        <w:kinsoku w:val="0"/>
        <w:overflowPunct w:val="0"/>
        <w:autoSpaceDE w:val="0"/>
        <w:autoSpaceDN w:val="0"/>
        <w:adjustRightInd w:val="0"/>
        <w:snapToGrid w:val="0"/>
        <w:spacing w:before="120" w:after="120"/>
        <w:ind w:left="0" w:firstLine="709"/>
        <w:rPr>
          <w:snapToGrid w:val="0"/>
          <w:kern w:val="22"/>
          <w:lang w:val="fr-FR"/>
        </w:rPr>
      </w:pPr>
      <w:r>
        <w:rPr>
          <w:snapToGrid w:val="0"/>
          <w:kern w:val="22"/>
          <w:lang w:val="fr-FR"/>
        </w:rPr>
        <w:t xml:space="preserve">[a) </w:t>
      </w:r>
      <w:r>
        <w:rPr>
          <w:snapToGrid w:val="0"/>
          <w:kern w:val="22"/>
          <w:lang w:val="fr-FR"/>
        </w:rPr>
        <w:tab/>
      </w:r>
      <w:r w:rsidR="00264ACA" w:rsidRPr="002C1863">
        <w:rPr>
          <w:snapToGrid w:val="0"/>
          <w:kern w:val="22"/>
          <w:lang w:val="fr-FR"/>
        </w:rPr>
        <w:t>[</w:t>
      </w:r>
      <w:r w:rsidR="00524E79" w:rsidRPr="002C1863">
        <w:rPr>
          <w:snapToGrid w:val="0"/>
          <w:kern w:val="22"/>
          <w:lang w:val="fr-FR"/>
        </w:rPr>
        <w:t>Soutenir][</w:t>
      </w:r>
      <w:r w:rsidR="00085AAC" w:rsidRPr="002C1863">
        <w:rPr>
          <w:snapToGrid w:val="0"/>
          <w:kern w:val="22"/>
          <w:lang w:val="fr-FR"/>
        </w:rPr>
        <w:t>Faciliter, en collaboration</w:t>
      </w:r>
      <w:r w:rsidR="00264ACA" w:rsidRPr="002C1863">
        <w:rPr>
          <w:snapToGrid w:val="0"/>
          <w:kern w:val="22"/>
          <w:lang w:val="fr-FR"/>
        </w:rPr>
        <w:t xml:space="preserve"> avec</w:t>
      </w:r>
      <w:r w:rsidR="002F512D" w:rsidRPr="002C1863">
        <w:rPr>
          <w:snapToGrid w:val="0"/>
          <w:kern w:val="22"/>
          <w:lang w:val="fr-FR"/>
        </w:rPr>
        <w:t>]</w:t>
      </w:r>
      <w:r w:rsidR="00264ACA" w:rsidRPr="002C1863">
        <w:rPr>
          <w:snapToGrid w:val="0"/>
          <w:kern w:val="22"/>
          <w:lang w:val="fr-FR"/>
        </w:rPr>
        <w:t xml:space="preserve"> les Parties et les</w:t>
      </w:r>
      <w:r w:rsidR="00085AAC" w:rsidRPr="002C1863">
        <w:rPr>
          <w:snapToGrid w:val="0"/>
          <w:kern w:val="22"/>
          <w:lang w:val="fr-FR"/>
        </w:rPr>
        <w:t xml:space="preserve"> organisations partenaire</w:t>
      </w:r>
      <w:r w:rsidR="00440F70" w:rsidRPr="002C1863">
        <w:rPr>
          <w:snapToGrid w:val="0"/>
          <w:kern w:val="22"/>
          <w:lang w:val="fr-FR"/>
        </w:rPr>
        <w:t>s</w:t>
      </w:r>
      <w:r w:rsidR="00085AAC" w:rsidRPr="002C1863">
        <w:rPr>
          <w:snapToGrid w:val="0"/>
          <w:kern w:val="22"/>
          <w:lang w:val="fr-FR"/>
        </w:rPr>
        <w:t xml:space="preserve">, la mise en œuvre </w:t>
      </w:r>
      <w:r w:rsidR="002F512D" w:rsidRPr="002C1863">
        <w:rPr>
          <w:snapToGrid w:val="0"/>
          <w:kern w:val="22"/>
          <w:lang w:val="fr-FR"/>
        </w:rPr>
        <w:t>[</w:t>
      </w:r>
      <w:r w:rsidR="00264ACA" w:rsidRPr="002C1863">
        <w:rPr>
          <w:snapToGrid w:val="0"/>
          <w:kern w:val="22"/>
          <w:lang w:val="fr-FR"/>
        </w:rPr>
        <w:t>au niveau national</w:t>
      </w:r>
      <w:r w:rsidR="002F512D" w:rsidRPr="002C1863">
        <w:rPr>
          <w:snapToGrid w:val="0"/>
          <w:kern w:val="22"/>
          <w:lang w:val="fr-FR"/>
        </w:rPr>
        <w:t>]</w:t>
      </w:r>
      <w:r w:rsidR="00264ACA" w:rsidRPr="002C1863">
        <w:rPr>
          <w:snapToGrid w:val="0"/>
          <w:kern w:val="22"/>
          <w:lang w:val="fr-FR"/>
        </w:rPr>
        <w:t xml:space="preserve"> </w:t>
      </w:r>
      <w:r w:rsidR="00085AAC" w:rsidRPr="002C1863">
        <w:rPr>
          <w:snapToGrid w:val="0"/>
          <w:kern w:val="22"/>
          <w:lang w:val="fr-FR"/>
        </w:rPr>
        <w:t xml:space="preserve">de </w:t>
      </w:r>
      <w:r w:rsidR="00B320F6" w:rsidRPr="002C1863">
        <w:rPr>
          <w:snapToGrid w:val="0"/>
          <w:kern w:val="22"/>
          <w:lang w:val="fr-FR"/>
        </w:rPr>
        <w:t xml:space="preserve">la composante sur la gestion des connaissances </w:t>
      </w:r>
      <w:r w:rsidR="00440F70" w:rsidRPr="002C1863">
        <w:rPr>
          <w:snapToGrid w:val="0"/>
          <w:kern w:val="22"/>
          <w:lang w:val="fr-FR"/>
        </w:rPr>
        <w:t>dans le</w:t>
      </w:r>
      <w:r w:rsidR="00085AAC" w:rsidRPr="002C1863">
        <w:rPr>
          <w:snapToGrid w:val="0"/>
          <w:kern w:val="22"/>
          <w:lang w:val="fr-FR"/>
        </w:rPr>
        <w:t xml:space="preserve"> cadre mondial de la biodiversité pour l’après-2020</w:t>
      </w:r>
      <w:r w:rsidR="002F512D" w:rsidRPr="002C1863">
        <w:rPr>
          <w:snapToGrid w:val="0"/>
          <w:kern w:val="22"/>
          <w:lang w:val="fr-FR"/>
        </w:rPr>
        <w:t>;</w:t>
      </w:r>
      <w:r w:rsidR="00FB7BBB" w:rsidRPr="002C1863">
        <w:rPr>
          <w:snapToGrid w:val="0"/>
          <w:kern w:val="22"/>
          <w:lang w:val="fr-FR"/>
        </w:rPr>
        <w:t>]</w:t>
      </w:r>
    </w:p>
    <w:p w14:paraId="27792A58" w14:textId="77777777" w:rsidR="002C1863" w:rsidRPr="002C1863" w:rsidRDefault="002C1863" w:rsidP="002C1863">
      <w:pPr>
        <w:pStyle w:val="ListParagraph"/>
        <w:suppressLineNumbers/>
        <w:suppressAutoHyphens/>
        <w:kinsoku w:val="0"/>
        <w:overflowPunct w:val="0"/>
        <w:autoSpaceDE w:val="0"/>
        <w:autoSpaceDN w:val="0"/>
        <w:adjustRightInd w:val="0"/>
        <w:snapToGrid w:val="0"/>
        <w:spacing w:before="120" w:after="120"/>
        <w:ind w:left="0" w:firstLine="709"/>
        <w:rPr>
          <w:snapToGrid w:val="0"/>
          <w:kern w:val="22"/>
          <w:sz w:val="16"/>
          <w:szCs w:val="16"/>
          <w:lang w:val="fr-FR"/>
        </w:rPr>
      </w:pPr>
    </w:p>
    <w:p w14:paraId="718ED37E" w14:textId="5F494FD6" w:rsidR="00085AAC" w:rsidRPr="002C1863" w:rsidRDefault="00085AAC" w:rsidP="002C1863">
      <w:pPr>
        <w:pStyle w:val="ListParagraph"/>
        <w:numPr>
          <w:ilvl w:val="0"/>
          <w:numId w:val="33"/>
        </w:numPr>
        <w:suppressLineNumbers/>
        <w:suppressAutoHyphens/>
        <w:kinsoku w:val="0"/>
        <w:overflowPunct w:val="0"/>
        <w:autoSpaceDE w:val="0"/>
        <w:autoSpaceDN w:val="0"/>
        <w:adjustRightInd w:val="0"/>
        <w:snapToGrid w:val="0"/>
        <w:spacing w:before="360" w:after="120"/>
        <w:ind w:left="0" w:firstLine="709"/>
        <w:rPr>
          <w:snapToGrid w:val="0"/>
          <w:kern w:val="22"/>
          <w:lang w:val="fr-FR"/>
        </w:rPr>
      </w:pPr>
      <w:r w:rsidRPr="002C1863">
        <w:rPr>
          <w:snapToGrid w:val="0"/>
          <w:kern w:val="22"/>
          <w:lang w:val="fr-FR"/>
        </w:rPr>
        <w:t xml:space="preserve">Continuer à </w:t>
      </w:r>
      <w:r w:rsidR="009C7A89" w:rsidRPr="002C1863">
        <w:rPr>
          <w:snapToGrid w:val="0"/>
          <w:kern w:val="22"/>
          <w:lang w:val="fr-FR"/>
        </w:rPr>
        <w:t>[</w:t>
      </w:r>
      <w:r w:rsidRPr="002C1863">
        <w:rPr>
          <w:snapToGrid w:val="0"/>
          <w:kern w:val="22"/>
          <w:lang w:val="fr-FR"/>
        </w:rPr>
        <w:t>appuyer</w:t>
      </w:r>
      <w:r w:rsidR="009C7A89" w:rsidRPr="002C1863">
        <w:rPr>
          <w:snapToGrid w:val="0"/>
          <w:kern w:val="22"/>
          <w:lang w:val="fr-FR"/>
        </w:rPr>
        <w:t>][faciliter]</w:t>
      </w:r>
      <w:r w:rsidRPr="002C1863">
        <w:rPr>
          <w:snapToGrid w:val="0"/>
          <w:kern w:val="22"/>
          <w:lang w:val="fr-FR"/>
        </w:rPr>
        <w:t xml:space="preserve"> les initiatives des Parties visant à mettre en place, à assurer le maintien et à développer plus avant leurs centres d’échange nationaux, y compris au moyen de</w:t>
      </w:r>
      <w:r w:rsidR="00D966B2" w:rsidRPr="002C1863">
        <w:rPr>
          <w:snapToGrid w:val="0"/>
          <w:kern w:val="22"/>
          <w:lang w:val="fr-FR"/>
        </w:rPr>
        <w:t> </w:t>
      </w:r>
      <w:r w:rsidRPr="002C1863">
        <w:rPr>
          <w:snapToGrid w:val="0"/>
          <w:kern w:val="22"/>
          <w:lang w:val="fr-FR"/>
        </w:rPr>
        <w:t>:</w:t>
      </w:r>
    </w:p>
    <w:p w14:paraId="0F547C64" w14:textId="55C1D9EE" w:rsidR="00085AAC" w:rsidRPr="00525E52" w:rsidRDefault="00085AAC" w:rsidP="002C1863">
      <w:pPr>
        <w:pStyle w:val="ListParagraph"/>
        <w:numPr>
          <w:ilvl w:val="2"/>
          <w:numId w:val="30"/>
        </w:numPr>
        <w:suppressLineNumbers/>
        <w:suppressAutoHyphens/>
        <w:kinsoku w:val="0"/>
        <w:overflowPunct w:val="0"/>
        <w:autoSpaceDE w:val="0"/>
        <w:autoSpaceDN w:val="0"/>
        <w:adjustRightInd w:val="0"/>
        <w:snapToGrid w:val="0"/>
        <w:spacing w:before="120" w:after="120"/>
        <w:ind w:left="2088"/>
        <w:contextualSpacing w:val="0"/>
        <w:rPr>
          <w:snapToGrid w:val="0"/>
          <w:kern w:val="22"/>
          <w:lang w:val="fr-FR"/>
        </w:rPr>
      </w:pPr>
      <w:r w:rsidRPr="00525E52">
        <w:rPr>
          <w:snapToGrid w:val="0"/>
          <w:kern w:val="22"/>
          <w:lang w:val="fr-FR"/>
        </w:rPr>
        <w:t>L’élaboration plus poussée de l’outil Bioland, pour répondre aux besoins des Parties et des utilisateurs, et pour tenir compte des avancées technologiques;</w:t>
      </w:r>
    </w:p>
    <w:p w14:paraId="3734C64B" w14:textId="08D255DB" w:rsidR="00085AAC" w:rsidRPr="00525E52" w:rsidRDefault="00085AAC" w:rsidP="002C1863">
      <w:pPr>
        <w:pStyle w:val="ListParagraph"/>
        <w:numPr>
          <w:ilvl w:val="2"/>
          <w:numId w:val="30"/>
        </w:numPr>
        <w:suppressLineNumbers/>
        <w:suppressAutoHyphens/>
        <w:kinsoku w:val="0"/>
        <w:overflowPunct w:val="0"/>
        <w:autoSpaceDE w:val="0"/>
        <w:autoSpaceDN w:val="0"/>
        <w:adjustRightInd w:val="0"/>
        <w:snapToGrid w:val="0"/>
        <w:spacing w:before="120" w:after="120"/>
        <w:ind w:left="2088"/>
        <w:contextualSpacing w:val="0"/>
        <w:rPr>
          <w:snapToGrid w:val="0"/>
          <w:kern w:val="22"/>
          <w:lang w:val="fr-FR"/>
        </w:rPr>
      </w:pPr>
      <w:r w:rsidRPr="00525E52">
        <w:rPr>
          <w:snapToGrid w:val="0"/>
          <w:kern w:val="22"/>
          <w:lang w:val="fr-FR"/>
        </w:rPr>
        <w:t>L’élaboration d’un matériel de formation et d’orientation sur l’utilisation de l’outil Bioland</w:t>
      </w:r>
      <w:r w:rsidR="00FB7BBB" w:rsidRPr="00525E52">
        <w:rPr>
          <w:snapToGrid w:val="0"/>
          <w:kern w:val="22"/>
          <w:lang w:val="fr-FR"/>
        </w:rPr>
        <w:t>, en collaboration avec les Parties et les utilisateurs</w:t>
      </w:r>
      <w:r w:rsidRPr="00525E52">
        <w:rPr>
          <w:snapToGrid w:val="0"/>
          <w:kern w:val="22"/>
          <w:lang w:val="fr-FR"/>
        </w:rPr>
        <w:t>;</w:t>
      </w:r>
    </w:p>
    <w:p w14:paraId="7EA80D66" w14:textId="76CDB8C6" w:rsidR="00085AAC" w:rsidRPr="00525E52" w:rsidRDefault="00085AAC" w:rsidP="002C1863">
      <w:pPr>
        <w:pStyle w:val="ListParagraph"/>
        <w:numPr>
          <w:ilvl w:val="2"/>
          <w:numId w:val="30"/>
        </w:numPr>
        <w:suppressLineNumbers/>
        <w:suppressAutoHyphens/>
        <w:kinsoku w:val="0"/>
        <w:overflowPunct w:val="0"/>
        <w:autoSpaceDE w:val="0"/>
        <w:autoSpaceDN w:val="0"/>
        <w:adjustRightInd w:val="0"/>
        <w:snapToGrid w:val="0"/>
        <w:spacing w:before="120" w:after="120"/>
        <w:ind w:left="2088"/>
        <w:contextualSpacing w:val="0"/>
        <w:rPr>
          <w:snapToGrid w:val="0"/>
          <w:kern w:val="22"/>
          <w:lang w:val="fr-FR"/>
        </w:rPr>
      </w:pPr>
      <w:r w:rsidRPr="00525E52">
        <w:rPr>
          <w:snapToGrid w:val="0"/>
          <w:kern w:val="22"/>
          <w:lang w:val="fr-FR"/>
        </w:rPr>
        <w:t xml:space="preserve">L’élaboration d’orientations pour les correspondants nationaux du </w:t>
      </w:r>
      <w:r w:rsidR="00C648C4" w:rsidRPr="00525E52">
        <w:rPr>
          <w:snapToGrid w:val="0"/>
          <w:kern w:val="22"/>
          <w:lang w:val="fr-FR"/>
        </w:rPr>
        <w:t>C</w:t>
      </w:r>
      <w:r w:rsidRPr="00525E52">
        <w:rPr>
          <w:snapToGrid w:val="0"/>
          <w:kern w:val="22"/>
          <w:lang w:val="fr-FR"/>
        </w:rPr>
        <w:t xml:space="preserve">entre d’échange, concernant </w:t>
      </w:r>
      <w:r w:rsidR="00FB7BBB" w:rsidRPr="00525E52">
        <w:rPr>
          <w:snapToGrid w:val="0"/>
          <w:kern w:val="22"/>
          <w:lang w:val="fr-FR"/>
        </w:rPr>
        <w:t>la coordination des activités relatives au</w:t>
      </w:r>
      <w:r w:rsidRPr="00525E52">
        <w:rPr>
          <w:snapToGrid w:val="0"/>
          <w:kern w:val="22"/>
          <w:lang w:val="fr-FR"/>
        </w:rPr>
        <w:t xml:space="preserve"> </w:t>
      </w:r>
      <w:r w:rsidR="00C648C4" w:rsidRPr="00525E52">
        <w:rPr>
          <w:snapToGrid w:val="0"/>
          <w:kern w:val="22"/>
          <w:lang w:val="fr-FR"/>
        </w:rPr>
        <w:t>C</w:t>
      </w:r>
      <w:r w:rsidRPr="00525E52">
        <w:rPr>
          <w:snapToGrid w:val="0"/>
          <w:kern w:val="22"/>
          <w:lang w:val="fr-FR"/>
        </w:rPr>
        <w:t xml:space="preserve">entre d’échange au niveau national, afin d’appuyer la mise en œuvre </w:t>
      </w:r>
      <w:r w:rsidR="00440F70">
        <w:rPr>
          <w:snapToGrid w:val="0"/>
          <w:kern w:val="22"/>
          <w:lang w:val="fr-FR"/>
        </w:rPr>
        <w:t>effectiv</w:t>
      </w:r>
      <w:r w:rsidR="00AB2B32" w:rsidRPr="00525E52">
        <w:rPr>
          <w:snapToGrid w:val="0"/>
          <w:kern w:val="22"/>
          <w:lang w:val="fr-FR"/>
        </w:rPr>
        <w:t>e</w:t>
      </w:r>
      <w:r w:rsidRPr="00525E52">
        <w:rPr>
          <w:snapToGrid w:val="0"/>
          <w:kern w:val="22"/>
          <w:lang w:val="fr-FR"/>
        </w:rPr>
        <w:t xml:space="preserve"> des stratégies et plans d’action nationaux pour la diversité biologique;</w:t>
      </w:r>
    </w:p>
    <w:p w14:paraId="10170050" w14:textId="4D367E96" w:rsidR="00085AAC" w:rsidRPr="00525E52" w:rsidRDefault="00085AAC" w:rsidP="002C1863">
      <w:pPr>
        <w:pStyle w:val="ListParagraph"/>
        <w:numPr>
          <w:ilvl w:val="2"/>
          <w:numId w:val="30"/>
        </w:numPr>
        <w:suppressLineNumbers/>
        <w:suppressAutoHyphens/>
        <w:kinsoku w:val="0"/>
        <w:overflowPunct w:val="0"/>
        <w:autoSpaceDE w:val="0"/>
        <w:autoSpaceDN w:val="0"/>
        <w:adjustRightInd w:val="0"/>
        <w:snapToGrid w:val="0"/>
        <w:spacing w:before="120" w:after="120"/>
        <w:ind w:left="2088"/>
        <w:contextualSpacing w:val="0"/>
        <w:rPr>
          <w:snapToGrid w:val="0"/>
          <w:kern w:val="22"/>
          <w:lang w:val="fr-FR"/>
        </w:rPr>
      </w:pPr>
      <w:r w:rsidRPr="00525E52">
        <w:rPr>
          <w:snapToGrid w:val="0"/>
          <w:kern w:val="22"/>
          <w:lang w:val="fr-FR"/>
        </w:rPr>
        <w:lastRenderedPageBreak/>
        <w:t>L’élaboration d’instances Bioland pour les Parties qui n’ont pas encore mis en place un site Internet pour leur centre d’échange national, en utilisant les informations fournies dans les pages de profil des pays sur le site Internet de la Convention, aux fins de leur examen et leur élaboration plus poussés;</w:t>
      </w:r>
    </w:p>
    <w:p w14:paraId="5D73B316" w14:textId="1927C3F7" w:rsidR="00085AAC" w:rsidRPr="00525E52" w:rsidRDefault="00FB7BBB" w:rsidP="002C1863">
      <w:pPr>
        <w:pStyle w:val="ListParagraph"/>
        <w:numPr>
          <w:ilvl w:val="2"/>
          <w:numId w:val="30"/>
        </w:numPr>
        <w:suppressLineNumbers/>
        <w:suppressAutoHyphens/>
        <w:kinsoku w:val="0"/>
        <w:overflowPunct w:val="0"/>
        <w:autoSpaceDE w:val="0"/>
        <w:autoSpaceDN w:val="0"/>
        <w:adjustRightInd w:val="0"/>
        <w:snapToGrid w:val="0"/>
        <w:spacing w:before="120" w:after="120"/>
        <w:ind w:left="2088"/>
        <w:contextualSpacing w:val="0"/>
        <w:rPr>
          <w:snapToGrid w:val="0"/>
          <w:kern w:val="22"/>
          <w:lang w:val="fr-FR"/>
        </w:rPr>
      </w:pPr>
      <w:r w:rsidRPr="00525E52">
        <w:rPr>
          <w:snapToGrid w:val="0"/>
          <w:kern w:val="22"/>
          <w:lang w:val="fr-FR"/>
        </w:rPr>
        <w:t>Le maintien du prix des meilleurs</w:t>
      </w:r>
      <w:r w:rsidR="00085AAC" w:rsidRPr="00525E52">
        <w:rPr>
          <w:snapToGrid w:val="0"/>
          <w:kern w:val="22"/>
          <w:lang w:val="fr-FR"/>
        </w:rPr>
        <w:t xml:space="preserve"> centres d’échange nationaux jusqu’en 2030</w:t>
      </w:r>
      <w:r w:rsidR="00D966B2" w:rsidRPr="00525E52">
        <w:rPr>
          <w:snapToGrid w:val="0"/>
          <w:kern w:val="22"/>
          <w:lang w:val="fr-FR"/>
        </w:rPr>
        <w:t>.</w:t>
      </w:r>
    </w:p>
    <w:p w14:paraId="3AAA2B69" w14:textId="71479BF3" w:rsidR="00085AAC" w:rsidRPr="00525E52" w:rsidRDefault="00085AAC" w:rsidP="002C1863">
      <w:pPr>
        <w:pStyle w:val="ListParagraph"/>
        <w:numPr>
          <w:ilvl w:val="0"/>
          <w:numId w:val="33"/>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lang w:val="fr-FR"/>
        </w:rPr>
      </w:pPr>
      <w:r w:rsidRPr="00525E52">
        <w:rPr>
          <w:snapToGrid w:val="0"/>
          <w:kern w:val="22"/>
          <w:lang w:val="fr-FR"/>
        </w:rPr>
        <w:t>Développer plus avant le centre d’échange central afin de favoriser et de faciliter la coopération technique et scientifique, la gestion des connaissances, la communication et l’amélioration des processus de planification, de mise en œuvre, de suivi, d’établissement des rapports et d’examen;</w:t>
      </w:r>
    </w:p>
    <w:p w14:paraId="2D501B82" w14:textId="43EF34B3" w:rsidR="00085AAC" w:rsidRPr="002C1863" w:rsidRDefault="00085AAC" w:rsidP="002C1863">
      <w:pPr>
        <w:pStyle w:val="ListParagraph"/>
        <w:numPr>
          <w:ilvl w:val="0"/>
          <w:numId w:val="33"/>
        </w:numPr>
        <w:suppressLineNumbers/>
        <w:suppressAutoHyphens/>
        <w:kinsoku w:val="0"/>
        <w:overflowPunct w:val="0"/>
        <w:autoSpaceDE w:val="0"/>
        <w:autoSpaceDN w:val="0"/>
        <w:adjustRightInd w:val="0"/>
        <w:snapToGrid w:val="0"/>
        <w:spacing w:before="120" w:after="120"/>
        <w:ind w:left="0" w:firstLine="709"/>
        <w:rPr>
          <w:snapToGrid w:val="0"/>
          <w:kern w:val="22"/>
          <w:lang w:val="fr-FR"/>
        </w:rPr>
      </w:pPr>
      <w:r w:rsidRPr="002C1863">
        <w:rPr>
          <w:snapToGrid w:val="0"/>
          <w:kern w:val="22"/>
          <w:lang w:val="fr-FR"/>
        </w:rPr>
        <w:t>Poursuivre la collaboration avec les initiatives, les organisations et les réseaux pertinents qui contribuent à la production, la capture, la gestion et l’utilis</w:t>
      </w:r>
      <w:r w:rsidR="00FB7BBB" w:rsidRPr="002C1863">
        <w:rPr>
          <w:snapToGrid w:val="0"/>
          <w:kern w:val="22"/>
          <w:lang w:val="fr-FR"/>
        </w:rPr>
        <w:t xml:space="preserve">ation efficace des données, </w:t>
      </w:r>
      <w:r w:rsidRPr="002C1863">
        <w:rPr>
          <w:snapToGrid w:val="0"/>
          <w:kern w:val="22"/>
          <w:lang w:val="fr-FR"/>
        </w:rPr>
        <w:t>informations</w:t>
      </w:r>
      <w:r w:rsidR="00FB7BBB" w:rsidRPr="002C1863">
        <w:rPr>
          <w:snapToGrid w:val="0"/>
          <w:kern w:val="22"/>
          <w:lang w:val="fr-FR"/>
        </w:rPr>
        <w:t xml:space="preserve"> et</w:t>
      </w:r>
      <w:r w:rsidRPr="002C1863">
        <w:rPr>
          <w:snapToGrid w:val="0"/>
          <w:kern w:val="22"/>
          <w:lang w:val="fr-FR"/>
        </w:rPr>
        <w:t xml:space="preserve"> connaissances relatives à la biodiversité</w:t>
      </w:r>
      <w:r w:rsidR="00FB7BBB" w:rsidRPr="002C1863">
        <w:rPr>
          <w:snapToGrid w:val="0"/>
          <w:kern w:val="22"/>
          <w:lang w:val="fr-FR"/>
        </w:rPr>
        <w:t>, tels que</w:t>
      </w:r>
      <w:r w:rsidR="00F10897" w:rsidRPr="002C1863">
        <w:rPr>
          <w:snapToGrid w:val="0"/>
          <w:kern w:val="22"/>
          <w:lang w:val="fr-FR"/>
        </w:rPr>
        <w:t xml:space="preserve"> </w:t>
      </w:r>
      <w:r w:rsidR="00F55BF0" w:rsidRPr="002C1863">
        <w:rPr>
          <w:snapToGrid w:val="0"/>
          <w:kern w:val="22"/>
          <w:lang w:val="fr-FR"/>
        </w:rPr>
        <w:t xml:space="preserve">le </w:t>
      </w:r>
      <w:r w:rsidR="00F55BF0" w:rsidRPr="002C1863">
        <w:rPr>
          <w:kern w:val="22"/>
          <w:lang w:val="fr-FR"/>
        </w:rPr>
        <w:t>Centre mondial de surveillance continue de la conservation de la nature du Programme des Nations Unies</w:t>
      </w:r>
      <w:r w:rsidR="00440F70" w:rsidRPr="002C1863">
        <w:rPr>
          <w:kern w:val="22"/>
          <w:lang w:val="fr-FR"/>
        </w:rPr>
        <w:t xml:space="preserve"> pour l’environnement</w:t>
      </w:r>
      <w:r w:rsidR="00F10897" w:rsidRPr="002C1863">
        <w:rPr>
          <w:snapToGrid w:val="0"/>
          <w:kern w:val="22"/>
          <w:lang w:val="fr-FR"/>
        </w:rPr>
        <w:t xml:space="preserve">, </w:t>
      </w:r>
      <w:r w:rsidR="00F55BF0" w:rsidRPr="002C1863">
        <w:rPr>
          <w:snapToGrid w:val="0"/>
          <w:kern w:val="22"/>
          <w:lang w:val="fr-FR"/>
        </w:rPr>
        <w:t>le Système mondial d’information sur la biodiversité, le</w:t>
      </w:r>
      <w:r w:rsidR="00F10897" w:rsidRPr="002C1863">
        <w:rPr>
          <w:snapToGrid w:val="0"/>
          <w:kern w:val="22"/>
          <w:lang w:val="fr-FR"/>
        </w:rPr>
        <w:t xml:space="preserve"> </w:t>
      </w:r>
      <w:r w:rsidR="007B5C72" w:rsidRPr="002C1863">
        <w:rPr>
          <w:snapToGrid w:val="0"/>
          <w:kern w:val="22"/>
          <w:lang w:val="fr-FR"/>
        </w:rPr>
        <w:t xml:space="preserve">Réseau d’observation de la biodiversité du </w:t>
      </w:r>
      <w:r w:rsidR="00F10897" w:rsidRPr="002C1863">
        <w:rPr>
          <w:snapToGrid w:val="0"/>
          <w:kern w:val="22"/>
          <w:lang w:val="fr-FR"/>
        </w:rPr>
        <w:t>Group</w:t>
      </w:r>
      <w:r w:rsidR="007B5C72" w:rsidRPr="002C1863">
        <w:rPr>
          <w:snapToGrid w:val="0"/>
          <w:kern w:val="22"/>
          <w:lang w:val="fr-FR"/>
        </w:rPr>
        <w:t>e sur l’observation de la Terre</w:t>
      </w:r>
      <w:r w:rsidR="00F55BF0" w:rsidRPr="002C1863">
        <w:rPr>
          <w:snapToGrid w:val="0"/>
          <w:kern w:val="22"/>
          <w:lang w:val="fr-FR"/>
        </w:rPr>
        <w:t>, l’Union internationale pour la conservation de la nature, la Plateforme i</w:t>
      </w:r>
      <w:r w:rsidR="00F10897" w:rsidRPr="002C1863">
        <w:rPr>
          <w:snapToGrid w:val="0"/>
          <w:kern w:val="22"/>
          <w:lang w:val="fr-FR"/>
        </w:rPr>
        <w:t>ntergo</w:t>
      </w:r>
      <w:r w:rsidR="00F55BF0" w:rsidRPr="002C1863">
        <w:rPr>
          <w:snapToGrid w:val="0"/>
          <w:kern w:val="22"/>
          <w:lang w:val="fr-FR"/>
        </w:rPr>
        <w:t>u</w:t>
      </w:r>
      <w:r w:rsidR="00F10897" w:rsidRPr="002C1863">
        <w:rPr>
          <w:snapToGrid w:val="0"/>
          <w:kern w:val="22"/>
          <w:lang w:val="fr-FR"/>
        </w:rPr>
        <w:t>vern</w:t>
      </w:r>
      <w:r w:rsidR="00F55BF0" w:rsidRPr="002C1863">
        <w:rPr>
          <w:snapToGrid w:val="0"/>
          <w:kern w:val="22"/>
          <w:lang w:val="fr-FR"/>
        </w:rPr>
        <w:t>e</w:t>
      </w:r>
      <w:r w:rsidR="00F10897" w:rsidRPr="002C1863">
        <w:rPr>
          <w:snapToGrid w:val="0"/>
          <w:kern w:val="22"/>
          <w:lang w:val="fr-FR"/>
        </w:rPr>
        <w:t>mental</w:t>
      </w:r>
      <w:r w:rsidR="00F55BF0" w:rsidRPr="002C1863">
        <w:rPr>
          <w:snapToGrid w:val="0"/>
          <w:kern w:val="22"/>
          <w:lang w:val="fr-FR"/>
        </w:rPr>
        <w:t>e scientifique et politique sur la biodiversité</w:t>
      </w:r>
      <w:r w:rsidR="00B047F2" w:rsidRPr="002C1863">
        <w:rPr>
          <w:snapToGrid w:val="0"/>
          <w:kern w:val="22"/>
          <w:lang w:val="fr-FR"/>
        </w:rPr>
        <w:t xml:space="preserve"> et </w:t>
      </w:r>
      <w:r w:rsidR="00F55BF0" w:rsidRPr="002C1863">
        <w:rPr>
          <w:snapToGrid w:val="0"/>
          <w:kern w:val="22"/>
          <w:lang w:val="fr-FR"/>
        </w:rPr>
        <w:t>les s</w:t>
      </w:r>
      <w:r w:rsidR="00F10897" w:rsidRPr="002C1863">
        <w:rPr>
          <w:snapToGrid w:val="0"/>
          <w:kern w:val="22"/>
          <w:lang w:val="fr-FR"/>
        </w:rPr>
        <w:t>ervices</w:t>
      </w:r>
      <w:r w:rsidR="00F55BF0" w:rsidRPr="002C1863">
        <w:rPr>
          <w:snapToGrid w:val="0"/>
          <w:kern w:val="22"/>
          <w:lang w:val="fr-FR"/>
        </w:rPr>
        <w:t xml:space="preserve"> écosystémiques, </w:t>
      </w:r>
      <w:r w:rsidRPr="002C1863">
        <w:rPr>
          <w:snapToGrid w:val="0"/>
          <w:kern w:val="22"/>
          <w:lang w:val="fr-FR"/>
        </w:rPr>
        <w:t>le Portail d’information sur les accords multilatéraux sur l’environnement (InforMEA)</w:t>
      </w:r>
      <w:r w:rsidR="00B047F2" w:rsidRPr="002C1863">
        <w:rPr>
          <w:snapToGrid w:val="0"/>
          <w:kern w:val="22"/>
          <w:lang w:val="fr-FR"/>
        </w:rPr>
        <w:t xml:space="preserve"> et </w:t>
      </w:r>
      <w:r w:rsidR="00F55BF0" w:rsidRPr="002C1863">
        <w:rPr>
          <w:snapToGrid w:val="0"/>
          <w:kern w:val="22"/>
          <w:lang w:val="fr-FR"/>
        </w:rPr>
        <w:t>l’Ou</w:t>
      </w:r>
      <w:r w:rsidR="00D43EE9" w:rsidRPr="002C1863">
        <w:rPr>
          <w:snapToGrid w:val="0"/>
          <w:kern w:val="22"/>
          <w:lang w:val="fr-FR"/>
        </w:rPr>
        <w:t>til de communication</w:t>
      </w:r>
      <w:r w:rsidR="00F55BF0" w:rsidRPr="002C1863">
        <w:rPr>
          <w:snapToGrid w:val="0"/>
          <w:kern w:val="22"/>
          <w:lang w:val="fr-FR"/>
        </w:rPr>
        <w:t xml:space="preserve"> des données en ligne</w:t>
      </w:r>
      <w:r w:rsidR="00F10897" w:rsidRPr="002C1863">
        <w:rPr>
          <w:snapToGrid w:val="0"/>
          <w:kern w:val="22"/>
          <w:lang w:val="fr-FR"/>
        </w:rPr>
        <w:t xml:space="preserve"> (DaRT</w:t>
      </w:r>
      <w:r w:rsidR="00F55BF0" w:rsidRPr="002C1863">
        <w:rPr>
          <w:snapToGrid w:val="0"/>
          <w:kern w:val="22"/>
          <w:lang w:val="fr-FR"/>
        </w:rPr>
        <w:t>)</w:t>
      </w:r>
      <w:r w:rsidRPr="002C1863">
        <w:rPr>
          <w:snapToGrid w:val="0"/>
          <w:kern w:val="22"/>
          <w:lang w:val="fr-FR"/>
        </w:rPr>
        <w:t>;</w:t>
      </w:r>
    </w:p>
    <w:p w14:paraId="753C2530" w14:textId="1F72F6DB" w:rsidR="00085AAC" w:rsidRPr="002C1863" w:rsidRDefault="002C1863" w:rsidP="009E0F5F">
      <w:pPr>
        <w:suppressLineNumbers/>
        <w:suppressAutoHyphens/>
        <w:kinsoku w:val="0"/>
        <w:overflowPunct w:val="0"/>
        <w:autoSpaceDE w:val="0"/>
        <w:autoSpaceDN w:val="0"/>
        <w:adjustRightInd w:val="0"/>
        <w:snapToGrid w:val="0"/>
        <w:spacing w:before="120" w:after="120"/>
        <w:ind w:firstLine="709"/>
        <w:rPr>
          <w:snapToGrid w:val="0"/>
          <w:kern w:val="22"/>
          <w:lang w:val="fr-FR"/>
        </w:rPr>
      </w:pPr>
      <w:r>
        <w:rPr>
          <w:snapToGrid w:val="0"/>
          <w:kern w:val="22"/>
          <w:lang w:val="fr-FR"/>
        </w:rPr>
        <w:t xml:space="preserve">e) </w:t>
      </w:r>
      <w:r w:rsidR="009E0F5F">
        <w:rPr>
          <w:snapToGrid w:val="0"/>
          <w:kern w:val="22"/>
          <w:lang w:val="fr-FR"/>
        </w:rPr>
        <w:tab/>
      </w:r>
      <w:r w:rsidR="006B50B4" w:rsidRPr="002C1863">
        <w:rPr>
          <w:snapToGrid w:val="0"/>
          <w:kern w:val="22"/>
          <w:lang w:val="fr-FR"/>
        </w:rPr>
        <w:t>[</w:t>
      </w:r>
      <w:r w:rsidR="00085AAC" w:rsidRPr="002C1863">
        <w:rPr>
          <w:snapToGrid w:val="0"/>
          <w:kern w:val="22"/>
          <w:lang w:val="fr-FR"/>
        </w:rPr>
        <w:t>Exploiter les</w:t>
      </w:r>
      <w:r w:rsidR="006B50B4" w:rsidRPr="002C1863">
        <w:rPr>
          <w:snapToGrid w:val="0"/>
          <w:kern w:val="22"/>
          <w:lang w:val="fr-FR"/>
        </w:rPr>
        <w:t>]</w:t>
      </w:r>
      <w:r w:rsidR="00085AAC" w:rsidRPr="002C1863">
        <w:rPr>
          <w:snapToGrid w:val="0"/>
          <w:kern w:val="22"/>
          <w:lang w:val="fr-FR"/>
        </w:rPr>
        <w:t xml:space="preserve"> </w:t>
      </w:r>
      <w:r w:rsidR="006B50B4" w:rsidRPr="002C1863">
        <w:rPr>
          <w:snapToGrid w:val="0"/>
          <w:kern w:val="22"/>
          <w:lang w:val="fr-FR"/>
        </w:rPr>
        <w:t>[E</w:t>
      </w:r>
      <w:r w:rsidR="00CC6870" w:rsidRPr="002C1863">
        <w:rPr>
          <w:snapToGrid w:val="0"/>
          <w:kern w:val="22"/>
          <w:lang w:val="fr-FR"/>
        </w:rPr>
        <w:t xml:space="preserve">ncourager l’utilisation des] </w:t>
      </w:r>
      <w:r w:rsidR="00085AAC" w:rsidRPr="002C1863">
        <w:rPr>
          <w:snapToGrid w:val="0"/>
          <w:kern w:val="22"/>
          <w:lang w:val="fr-FR"/>
        </w:rPr>
        <w:t>technologies numériq</w:t>
      </w:r>
      <w:r w:rsidR="007B5C72" w:rsidRPr="002C1863">
        <w:rPr>
          <w:snapToGrid w:val="0"/>
          <w:kern w:val="22"/>
          <w:lang w:val="fr-FR"/>
        </w:rPr>
        <w:t xml:space="preserve">ues pertinentes afin d’aider, entre autres, les Parties </w:t>
      </w:r>
      <w:r w:rsidR="00CC6870" w:rsidRPr="002C1863">
        <w:rPr>
          <w:snapToGrid w:val="0"/>
          <w:kern w:val="22"/>
          <w:lang w:val="fr-FR"/>
        </w:rPr>
        <w:t xml:space="preserve">[et les organisations </w:t>
      </w:r>
      <w:r w:rsidR="00DD4FD3" w:rsidRPr="002C1863">
        <w:rPr>
          <w:snapToGrid w:val="0"/>
          <w:kern w:val="22"/>
          <w:lang w:val="fr-FR"/>
        </w:rPr>
        <w:t>intergouvernementales</w:t>
      </w:r>
      <w:r w:rsidR="00CC6870" w:rsidRPr="002C1863">
        <w:rPr>
          <w:snapToGrid w:val="0"/>
          <w:kern w:val="22"/>
          <w:lang w:val="fr-FR"/>
        </w:rPr>
        <w:t xml:space="preserve"> régionales] </w:t>
      </w:r>
      <w:r w:rsidR="007B5C72" w:rsidRPr="002C1863">
        <w:rPr>
          <w:snapToGrid w:val="0"/>
          <w:kern w:val="22"/>
          <w:lang w:val="fr-FR"/>
        </w:rPr>
        <w:t>à améliorer les capacités nationales en matière de</w:t>
      </w:r>
      <w:r w:rsidR="00085AAC" w:rsidRPr="002C1863">
        <w:rPr>
          <w:snapToGrid w:val="0"/>
          <w:kern w:val="22"/>
          <w:lang w:val="fr-FR"/>
        </w:rPr>
        <w:t xml:space="preserve"> découverte, c</w:t>
      </w:r>
      <w:r w:rsidR="007B5C72" w:rsidRPr="002C1863">
        <w:rPr>
          <w:snapToGrid w:val="0"/>
          <w:kern w:val="22"/>
          <w:lang w:val="fr-FR"/>
        </w:rPr>
        <w:t xml:space="preserve">ollecte, analyse, </w:t>
      </w:r>
      <w:r w:rsidR="00085AAC" w:rsidRPr="002C1863">
        <w:rPr>
          <w:snapToGrid w:val="0"/>
          <w:kern w:val="22"/>
          <w:lang w:val="fr-FR"/>
        </w:rPr>
        <w:t>agrégatio</w:t>
      </w:r>
      <w:r w:rsidR="007B5C72" w:rsidRPr="002C1863">
        <w:rPr>
          <w:snapToGrid w:val="0"/>
          <w:kern w:val="22"/>
          <w:lang w:val="fr-FR"/>
        </w:rPr>
        <w:t xml:space="preserve">n, </w:t>
      </w:r>
      <w:r w:rsidR="00085AAC" w:rsidRPr="002C1863">
        <w:rPr>
          <w:snapToGrid w:val="0"/>
          <w:kern w:val="22"/>
          <w:lang w:val="fr-FR"/>
        </w:rPr>
        <w:t xml:space="preserve">stockage, accessibilité, </w:t>
      </w:r>
      <w:r w:rsidR="007B5C72" w:rsidRPr="002C1863">
        <w:rPr>
          <w:snapToGrid w:val="0"/>
          <w:kern w:val="22"/>
          <w:lang w:val="fr-FR"/>
        </w:rPr>
        <w:t xml:space="preserve">facilité de recherche, </w:t>
      </w:r>
      <w:r w:rsidR="00085AAC" w:rsidRPr="002C1863">
        <w:rPr>
          <w:snapToGrid w:val="0"/>
          <w:kern w:val="22"/>
          <w:lang w:val="fr-FR"/>
        </w:rPr>
        <w:t xml:space="preserve">visualisation et partage des données, </w:t>
      </w:r>
      <w:r w:rsidR="007B5C72" w:rsidRPr="002C1863">
        <w:rPr>
          <w:snapToGrid w:val="0"/>
          <w:kern w:val="22"/>
          <w:lang w:val="fr-FR"/>
        </w:rPr>
        <w:t xml:space="preserve">des </w:t>
      </w:r>
      <w:r w:rsidR="00085AAC" w:rsidRPr="002C1863">
        <w:rPr>
          <w:snapToGrid w:val="0"/>
          <w:kern w:val="22"/>
          <w:lang w:val="fr-FR"/>
        </w:rPr>
        <w:t>informations</w:t>
      </w:r>
      <w:r w:rsidR="007B5C72" w:rsidRPr="002C1863">
        <w:rPr>
          <w:snapToGrid w:val="0"/>
          <w:kern w:val="22"/>
          <w:lang w:val="fr-FR"/>
        </w:rPr>
        <w:t xml:space="preserve"> et</w:t>
      </w:r>
      <w:r w:rsidR="00085AAC" w:rsidRPr="002C1863">
        <w:rPr>
          <w:snapToGrid w:val="0"/>
          <w:kern w:val="22"/>
          <w:lang w:val="fr-FR"/>
        </w:rPr>
        <w:t xml:space="preserve"> </w:t>
      </w:r>
      <w:r w:rsidR="007B5C72" w:rsidRPr="002C1863">
        <w:rPr>
          <w:snapToGrid w:val="0"/>
          <w:kern w:val="22"/>
          <w:lang w:val="fr-FR"/>
        </w:rPr>
        <w:t xml:space="preserve">des </w:t>
      </w:r>
      <w:r w:rsidR="00085AAC" w:rsidRPr="002C1863">
        <w:rPr>
          <w:snapToGrid w:val="0"/>
          <w:kern w:val="22"/>
          <w:lang w:val="fr-FR"/>
        </w:rPr>
        <w:t>connaissances relatives à la biodiversité</w:t>
      </w:r>
      <w:r w:rsidR="007B5C72" w:rsidRPr="002C1863">
        <w:rPr>
          <w:snapToGrid w:val="0"/>
          <w:kern w:val="22"/>
          <w:lang w:val="fr-FR"/>
        </w:rPr>
        <w:t>, selon qu’il convient</w:t>
      </w:r>
      <w:r w:rsidR="00085AAC" w:rsidRPr="002C1863">
        <w:rPr>
          <w:snapToGrid w:val="0"/>
          <w:kern w:val="22"/>
          <w:lang w:val="fr-FR"/>
        </w:rPr>
        <w:t>;</w:t>
      </w:r>
    </w:p>
    <w:p w14:paraId="452C750B" w14:textId="6139838E" w:rsidR="00F10897" w:rsidRPr="00525E52" w:rsidRDefault="007B5C72" w:rsidP="009E0F5F">
      <w:pPr>
        <w:pStyle w:val="ListParagraph"/>
        <w:numPr>
          <w:ilvl w:val="0"/>
          <w:numId w:val="34"/>
        </w:numPr>
        <w:suppressLineNumbers/>
        <w:suppressAutoHyphens/>
        <w:kinsoku w:val="0"/>
        <w:overflowPunct w:val="0"/>
        <w:autoSpaceDE w:val="0"/>
        <w:autoSpaceDN w:val="0"/>
        <w:adjustRightInd w:val="0"/>
        <w:snapToGrid w:val="0"/>
        <w:spacing w:before="120" w:after="120"/>
        <w:ind w:left="0" w:firstLine="709"/>
        <w:contextualSpacing w:val="0"/>
        <w:rPr>
          <w:snapToGrid w:val="0"/>
          <w:kern w:val="22"/>
          <w:lang w:val="fr-FR"/>
        </w:rPr>
      </w:pPr>
      <w:r w:rsidRPr="00525E52">
        <w:rPr>
          <w:snapToGrid w:val="0"/>
          <w:kern w:val="22"/>
          <w:lang w:val="fr-FR"/>
        </w:rPr>
        <w:t>Pré</w:t>
      </w:r>
      <w:r w:rsidR="00F10897" w:rsidRPr="00525E52">
        <w:rPr>
          <w:snapToGrid w:val="0"/>
          <w:kern w:val="22"/>
          <w:lang w:val="fr-FR"/>
        </w:rPr>
        <w:t>pare</w:t>
      </w:r>
      <w:r w:rsidRPr="00525E52">
        <w:rPr>
          <w:snapToGrid w:val="0"/>
          <w:kern w:val="22"/>
          <w:lang w:val="fr-FR"/>
        </w:rPr>
        <w:t>r, e</w:t>
      </w:r>
      <w:r w:rsidR="00F10897" w:rsidRPr="00525E52">
        <w:rPr>
          <w:snapToGrid w:val="0"/>
          <w:kern w:val="22"/>
          <w:lang w:val="fr-FR"/>
        </w:rPr>
        <w:t>n collabora</w:t>
      </w:r>
      <w:r w:rsidRPr="00525E52">
        <w:rPr>
          <w:snapToGrid w:val="0"/>
          <w:kern w:val="22"/>
          <w:lang w:val="fr-FR"/>
        </w:rPr>
        <w:t xml:space="preserve">tion avec le </w:t>
      </w:r>
      <w:r w:rsidR="00F10897" w:rsidRPr="00525E52">
        <w:rPr>
          <w:snapToGrid w:val="0"/>
          <w:kern w:val="22"/>
          <w:lang w:val="fr-FR"/>
        </w:rPr>
        <w:t>Group</w:t>
      </w:r>
      <w:r w:rsidRPr="00525E52">
        <w:rPr>
          <w:snapToGrid w:val="0"/>
          <w:kern w:val="22"/>
          <w:lang w:val="fr-FR"/>
        </w:rPr>
        <w:t>e consultatif informel sur la coopération technique</w:t>
      </w:r>
      <w:r w:rsidR="00B047F2" w:rsidRPr="00525E52">
        <w:rPr>
          <w:snapToGrid w:val="0"/>
          <w:kern w:val="22"/>
          <w:lang w:val="fr-FR"/>
        </w:rPr>
        <w:t xml:space="preserve"> et </w:t>
      </w:r>
      <w:r w:rsidRPr="00525E52">
        <w:rPr>
          <w:snapToGrid w:val="0"/>
          <w:kern w:val="22"/>
          <w:lang w:val="fr-FR"/>
        </w:rPr>
        <w:t>scientifique</w:t>
      </w:r>
      <w:r w:rsidR="00F10897" w:rsidRPr="00525E52">
        <w:rPr>
          <w:rStyle w:val="FootnoteReference"/>
          <w:snapToGrid w:val="0"/>
          <w:kern w:val="22"/>
          <w:lang w:val="fr-FR"/>
        </w:rPr>
        <w:footnoteReference w:id="9"/>
      </w:r>
      <w:r w:rsidRPr="00525E52">
        <w:rPr>
          <w:snapToGrid w:val="0"/>
          <w:kern w:val="22"/>
          <w:lang w:val="fr-FR"/>
        </w:rPr>
        <w:t xml:space="preserve">, une proposition concernant un </w:t>
      </w:r>
      <w:r w:rsidR="00F10897" w:rsidRPr="00525E52">
        <w:rPr>
          <w:snapToGrid w:val="0"/>
          <w:kern w:val="22"/>
          <w:lang w:val="fr-FR"/>
        </w:rPr>
        <w:t>programme</w:t>
      </w:r>
      <w:r w:rsidR="006B50B4">
        <w:rPr>
          <w:snapToGrid w:val="0"/>
          <w:kern w:val="22"/>
          <w:lang w:val="fr-FR"/>
        </w:rPr>
        <w:t xml:space="preserve"> de travail actualisé pour le C</w:t>
      </w:r>
      <w:r w:rsidRPr="00525E52">
        <w:rPr>
          <w:snapToGrid w:val="0"/>
          <w:kern w:val="22"/>
          <w:lang w:val="fr-FR"/>
        </w:rPr>
        <w:t>entre d’échange</w:t>
      </w:r>
      <w:r w:rsidR="00F10897" w:rsidRPr="00525E52">
        <w:rPr>
          <w:snapToGrid w:val="0"/>
          <w:kern w:val="22"/>
          <w:lang w:val="fr-FR"/>
        </w:rPr>
        <w:t xml:space="preserve">, </w:t>
      </w:r>
      <w:r w:rsidRPr="00525E52">
        <w:rPr>
          <w:snapToGrid w:val="0"/>
          <w:kern w:val="22"/>
          <w:lang w:val="fr-FR"/>
        </w:rPr>
        <w:t xml:space="preserve">compatible avec le </w:t>
      </w:r>
      <w:r w:rsidR="00BF3E7B" w:rsidRPr="00525E52">
        <w:rPr>
          <w:snapToGrid w:val="0"/>
          <w:kern w:val="22"/>
          <w:lang w:val="fr-FR"/>
        </w:rPr>
        <w:t>cadre mondial de la biodiversité</w:t>
      </w:r>
      <w:r w:rsidRPr="00525E52">
        <w:rPr>
          <w:snapToGrid w:val="0"/>
          <w:kern w:val="22"/>
          <w:lang w:val="fr-FR"/>
        </w:rPr>
        <w:t xml:space="preserve"> pour l’après-2020 et les dé</w:t>
      </w:r>
      <w:r w:rsidR="00F10897" w:rsidRPr="00525E52">
        <w:rPr>
          <w:snapToGrid w:val="0"/>
          <w:kern w:val="22"/>
          <w:lang w:val="fr-FR"/>
        </w:rPr>
        <w:t>cisions</w:t>
      </w:r>
      <w:r w:rsidRPr="00525E52">
        <w:rPr>
          <w:snapToGrid w:val="0"/>
          <w:kern w:val="22"/>
          <w:lang w:val="fr-FR"/>
        </w:rPr>
        <w:t xml:space="preserve"> pertinentes</w:t>
      </w:r>
      <w:r w:rsidR="00F10897" w:rsidRPr="00525E52">
        <w:rPr>
          <w:snapToGrid w:val="0"/>
          <w:kern w:val="22"/>
          <w:lang w:val="fr-FR"/>
        </w:rPr>
        <w:t>,</w:t>
      </w:r>
      <w:r w:rsidR="00B047F2" w:rsidRPr="00525E52">
        <w:rPr>
          <w:snapToGrid w:val="0"/>
          <w:kern w:val="22"/>
          <w:lang w:val="fr-FR"/>
        </w:rPr>
        <w:t xml:space="preserve"> et </w:t>
      </w:r>
      <w:r w:rsidRPr="00525E52">
        <w:rPr>
          <w:snapToGrid w:val="0"/>
          <w:kern w:val="22"/>
          <w:lang w:val="fr-FR"/>
        </w:rPr>
        <w:t xml:space="preserve">transmettre cette proposition, pour examen par l’Organe </w:t>
      </w:r>
      <w:r w:rsidR="00F10897" w:rsidRPr="00525E52">
        <w:rPr>
          <w:snapToGrid w:val="0"/>
          <w:kern w:val="22"/>
          <w:lang w:val="fr-FR"/>
        </w:rPr>
        <w:t>sub</w:t>
      </w:r>
      <w:r w:rsidRPr="00525E52">
        <w:rPr>
          <w:snapToGrid w:val="0"/>
          <w:kern w:val="22"/>
          <w:lang w:val="fr-FR"/>
        </w:rPr>
        <w:t>sidiaire chargé de l’application à sa quatrième réunion, et pour approbation par la Conférence des</w:t>
      </w:r>
      <w:r w:rsidR="00F10897" w:rsidRPr="00525E52">
        <w:rPr>
          <w:snapToGrid w:val="0"/>
          <w:kern w:val="22"/>
          <w:lang w:val="fr-FR"/>
        </w:rPr>
        <w:t xml:space="preserve"> </w:t>
      </w:r>
      <w:r w:rsidRPr="00525E52">
        <w:rPr>
          <w:snapToGrid w:val="0"/>
          <w:kern w:val="22"/>
          <w:lang w:val="fr-FR"/>
        </w:rPr>
        <w:t>Parties à sa seizième réunion;</w:t>
      </w:r>
    </w:p>
    <w:p w14:paraId="040F01AE" w14:textId="137EA436" w:rsidR="00085AAC" w:rsidRPr="0025395B" w:rsidRDefault="00085AAC" w:rsidP="0025395B">
      <w:pPr>
        <w:pStyle w:val="ListParagraph"/>
        <w:numPr>
          <w:ilvl w:val="0"/>
          <w:numId w:val="34"/>
        </w:numPr>
        <w:suppressLineNumbers/>
        <w:suppressAutoHyphens/>
        <w:kinsoku w:val="0"/>
        <w:overflowPunct w:val="0"/>
        <w:autoSpaceDE w:val="0"/>
        <w:autoSpaceDN w:val="0"/>
        <w:adjustRightInd w:val="0"/>
        <w:snapToGrid w:val="0"/>
        <w:spacing w:before="120" w:after="120"/>
        <w:ind w:left="0" w:firstLine="709"/>
        <w:rPr>
          <w:snapToGrid w:val="0"/>
          <w:kern w:val="22"/>
          <w:lang w:val="fr-FR"/>
        </w:rPr>
      </w:pPr>
      <w:r w:rsidRPr="002C1863">
        <w:rPr>
          <w:snapToGrid w:val="0"/>
          <w:kern w:val="22"/>
          <w:lang w:val="fr-FR"/>
        </w:rPr>
        <w:t>Remettre un premier rapport d’activité sur les activités susmentionnées, pour examen par l’Organe subsidiaire chargé de l’application à sa quatrième réunion.</w:t>
      </w:r>
    </w:p>
    <w:p w14:paraId="3093D971" w14:textId="77777777" w:rsidR="00B3369F" w:rsidRPr="00525E52" w:rsidRDefault="00B3369F" w:rsidP="00C9161D">
      <w:pPr>
        <w:rPr>
          <w:lang w:val="fr-FR"/>
        </w:rPr>
      </w:pPr>
    </w:p>
    <w:p w14:paraId="650D26A7" w14:textId="713DE2A4" w:rsidR="76874745" w:rsidRPr="00525E52" w:rsidRDefault="009C2CE4" w:rsidP="00E45866">
      <w:pPr>
        <w:keepNext/>
        <w:jc w:val="center"/>
        <w:rPr>
          <w:i/>
          <w:iCs/>
          <w:szCs w:val="22"/>
          <w:lang w:val="fr-FR"/>
        </w:rPr>
      </w:pPr>
      <w:r w:rsidRPr="00525E52">
        <w:rPr>
          <w:i/>
          <w:iCs/>
          <w:szCs w:val="22"/>
          <w:lang w:val="fr-FR"/>
        </w:rPr>
        <w:t>Annex</w:t>
      </w:r>
      <w:r w:rsidR="00753D21" w:rsidRPr="00525E52">
        <w:rPr>
          <w:i/>
          <w:iCs/>
          <w:szCs w:val="22"/>
          <w:lang w:val="fr-FR"/>
        </w:rPr>
        <w:t>e</w:t>
      </w:r>
      <w:r w:rsidR="005E2148" w:rsidRPr="00525E52">
        <w:rPr>
          <w:rStyle w:val="FootnoteReference"/>
          <w:szCs w:val="22"/>
          <w:lang w:val="fr-FR"/>
        </w:rPr>
        <w:footnoteReference w:id="10"/>
      </w:r>
    </w:p>
    <w:p w14:paraId="6D7C8AF3" w14:textId="04095D33" w:rsidR="00C55A3F" w:rsidRPr="00525E52" w:rsidRDefault="0046182A" w:rsidP="00E80CEA">
      <w:pPr>
        <w:keepNext/>
        <w:suppressLineNumbers/>
        <w:suppressAutoHyphens/>
        <w:kinsoku w:val="0"/>
        <w:overflowPunct w:val="0"/>
        <w:autoSpaceDE w:val="0"/>
        <w:autoSpaceDN w:val="0"/>
        <w:spacing w:before="120" w:after="120"/>
        <w:ind w:left="288"/>
        <w:jc w:val="center"/>
        <w:rPr>
          <w:rFonts w:asciiTheme="majorBidi" w:hAnsiTheme="majorBidi" w:cstheme="majorBidi"/>
          <w:b/>
          <w:caps/>
          <w:kern w:val="22"/>
          <w:szCs w:val="22"/>
          <w:lang w:val="fr-FR" w:eastAsia="ko-KR"/>
        </w:rPr>
      </w:pPr>
      <w:r w:rsidRPr="00525E52">
        <w:rPr>
          <w:rFonts w:asciiTheme="majorBidi" w:hAnsiTheme="majorBidi" w:cstheme="majorBidi"/>
          <w:b/>
          <w:caps/>
          <w:kern w:val="22"/>
          <w:szCs w:val="22"/>
          <w:lang w:val="fr-FR" w:eastAsia="ko-KR"/>
        </w:rPr>
        <w:t>[</w:t>
      </w:r>
      <w:r w:rsidR="00D32356">
        <w:rPr>
          <w:rFonts w:asciiTheme="majorBidi" w:hAnsiTheme="majorBidi" w:cstheme="majorBidi"/>
          <w:b/>
          <w:caps/>
          <w:kern w:val="22"/>
          <w:szCs w:val="22"/>
          <w:lang w:val="fr-FR" w:eastAsia="ko-KR"/>
        </w:rPr>
        <w:t>composante</w:t>
      </w:r>
      <w:r w:rsidR="00C648C4" w:rsidRPr="00525E52">
        <w:rPr>
          <w:rFonts w:asciiTheme="majorBidi" w:hAnsiTheme="majorBidi" w:cstheme="majorBidi"/>
          <w:b/>
          <w:caps/>
          <w:kern w:val="22"/>
          <w:szCs w:val="22"/>
          <w:lang w:val="fr-FR" w:eastAsia="ko-KR"/>
        </w:rPr>
        <w:t xml:space="preserve"> sur la gestion des connaissances</w:t>
      </w:r>
      <w:r w:rsidR="006B50B4">
        <w:rPr>
          <w:rFonts w:asciiTheme="majorBidi" w:hAnsiTheme="majorBidi" w:cstheme="majorBidi"/>
          <w:b/>
          <w:caps/>
          <w:kern w:val="22"/>
          <w:szCs w:val="22"/>
          <w:lang w:val="fr-FR" w:eastAsia="ko-KR"/>
        </w:rPr>
        <w:t xml:space="preserve"> dans le</w:t>
      </w:r>
      <w:r w:rsidR="00753D21" w:rsidRPr="00525E52">
        <w:rPr>
          <w:rFonts w:asciiTheme="majorBidi" w:hAnsiTheme="majorBidi" w:cstheme="majorBidi"/>
          <w:b/>
          <w:caps/>
          <w:kern w:val="22"/>
          <w:szCs w:val="22"/>
          <w:lang w:val="fr-FR" w:eastAsia="ko-KR"/>
        </w:rPr>
        <w:t xml:space="preserve"> </w:t>
      </w:r>
      <w:r w:rsidR="00BF3E7B" w:rsidRPr="00525E52">
        <w:rPr>
          <w:rFonts w:asciiTheme="majorBidi" w:hAnsiTheme="majorBidi" w:cstheme="majorBidi"/>
          <w:b/>
          <w:caps/>
          <w:kern w:val="22"/>
          <w:szCs w:val="22"/>
          <w:lang w:val="fr-FR" w:eastAsia="ko-KR"/>
        </w:rPr>
        <w:t>CADRE MONDIAL DE LA BIODIVERSITÉ</w:t>
      </w:r>
      <w:r w:rsidR="00753D21" w:rsidRPr="00525E52">
        <w:rPr>
          <w:rFonts w:asciiTheme="majorBidi" w:hAnsiTheme="majorBidi" w:cstheme="majorBidi"/>
          <w:b/>
          <w:caps/>
          <w:kern w:val="22"/>
          <w:szCs w:val="22"/>
          <w:lang w:val="fr-FR" w:eastAsia="ko-KR"/>
        </w:rPr>
        <w:t xml:space="preserve"> pour l’aprÈs-2020</w:t>
      </w:r>
    </w:p>
    <w:p w14:paraId="2F2E4354" w14:textId="77777777" w:rsidR="008C525E" w:rsidRPr="00525E52" w:rsidRDefault="008C525E" w:rsidP="00E80CEA">
      <w:pPr>
        <w:keepNext/>
        <w:suppressLineNumbers/>
        <w:suppressAutoHyphens/>
        <w:kinsoku w:val="0"/>
        <w:overflowPunct w:val="0"/>
        <w:autoSpaceDE w:val="0"/>
        <w:autoSpaceDN w:val="0"/>
        <w:spacing w:before="120" w:after="120"/>
        <w:ind w:left="288"/>
        <w:jc w:val="center"/>
        <w:rPr>
          <w:rFonts w:asciiTheme="majorBidi" w:hAnsiTheme="majorBidi" w:cstheme="majorBidi"/>
          <w:b/>
          <w:caps/>
          <w:kern w:val="22"/>
          <w:szCs w:val="22"/>
          <w:lang w:val="fr-FR" w:eastAsia="ko-KR"/>
        </w:rPr>
      </w:pPr>
    </w:p>
    <w:p w14:paraId="2FCCA431" w14:textId="77777777" w:rsidR="00C55A3F" w:rsidRPr="00525E52" w:rsidRDefault="00C55A3F" w:rsidP="00561C79">
      <w:pPr>
        <w:pStyle w:val="Heading1"/>
        <w:numPr>
          <w:ilvl w:val="0"/>
          <w:numId w:val="5"/>
        </w:numPr>
        <w:suppressLineNumbers/>
        <w:tabs>
          <w:tab w:val="clear" w:pos="720"/>
          <w:tab w:val="left" w:pos="284"/>
        </w:tabs>
        <w:suppressAutoHyphens/>
        <w:spacing w:before="120"/>
        <w:ind w:left="0" w:firstLine="0"/>
        <w:rPr>
          <w:rFonts w:asciiTheme="majorBidi" w:hAnsiTheme="majorBidi" w:cstheme="majorBidi"/>
          <w:kern w:val="22"/>
          <w:lang w:val="fr-FR"/>
        </w:rPr>
      </w:pPr>
      <w:r w:rsidRPr="00525E52">
        <w:rPr>
          <w:rFonts w:asciiTheme="majorBidi" w:hAnsiTheme="majorBidi" w:cstheme="majorBidi"/>
          <w:kern w:val="22"/>
          <w:lang w:val="fr-FR"/>
        </w:rPr>
        <w:t>Introduction</w:t>
      </w:r>
    </w:p>
    <w:p w14:paraId="33D28DED" w14:textId="23D3233D"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 xml:space="preserve">Dans la décision </w:t>
      </w:r>
      <w:hyperlink r:id="rId19" w:history="1">
        <w:r w:rsidRPr="00525E52">
          <w:rPr>
            <w:rStyle w:val="Hyperlink"/>
            <w:kern w:val="22"/>
            <w:sz w:val="22"/>
            <w:szCs w:val="22"/>
            <w:lang w:val="fr-FR"/>
          </w:rPr>
          <w:t>14/25</w:t>
        </w:r>
      </w:hyperlink>
      <w:r w:rsidRPr="00525E52">
        <w:rPr>
          <w:kern w:val="22"/>
          <w:szCs w:val="22"/>
          <w:lang w:val="fr-FR"/>
        </w:rPr>
        <w:t>, la Conférence des Parties a demandé à la Secrétaire exécutive de mettre au p</w:t>
      </w:r>
      <w:r w:rsidR="00E826B0" w:rsidRPr="00525E52">
        <w:rPr>
          <w:kern w:val="22"/>
          <w:szCs w:val="22"/>
          <w:lang w:val="fr-FR"/>
        </w:rPr>
        <w:t xml:space="preserve">oint, en </w:t>
      </w:r>
      <w:r w:rsidR="006B50B4">
        <w:rPr>
          <w:kern w:val="22"/>
          <w:szCs w:val="22"/>
          <w:lang w:val="fr-FR"/>
        </w:rPr>
        <w:t>consultation avec les c</w:t>
      </w:r>
      <w:r w:rsidRPr="00525E52">
        <w:rPr>
          <w:kern w:val="22"/>
          <w:szCs w:val="22"/>
          <w:lang w:val="fr-FR"/>
        </w:rPr>
        <w:t>omités consultatifs inf</w:t>
      </w:r>
      <w:r w:rsidR="00D32356">
        <w:rPr>
          <w:kern w:val="22"/>
          <w:szCs w:val="22"/>
          <w:lang w:val="fr-FR"/>
        </w:rPr>
        <w:t>ormels du Centre d'échange de la Convention sur la diversité biologique</w:t>
      </w:r>
      <w:r w:rsidRPr="00525E52">
        <w:rPr>
          <w:kern w:val="22"/>
          <w:szCs w:val="22"/>
          <w:lang w:val="fr-FR"/>
        </w:rPr>
        <w:t>, du Centre d'échange pour la prévention des risques biotechnologiques et du Centre d'échange pour l'accès et le partage des avantages, un</w:t>
      </w:r>
      <w:r w:rsidR="00C648C4" w:rsidRPr="00525E52">
        <w:rPr>
          <w:kern w:val="22"/>
          <w:szCs w:val="22"/>
          <w:lang w:val="fr-FR"/>
        </w:rPr>
        <w:t>e composante sur la gestion des connaissances</w:t>
      </w:r>
      <w:r w:rsidRPr="00525E52">
        <w:rPr>
          <w:kern w:val="22"/>
          <w:szCs w:val="22"/>
          <w:lang w:val="fr-FR"/>
        </w:rPr>
        <w:t xml:space="preserve"> dans le cadre du processus préparatoire du cadre mondial de la biodiversité pour l’après-2020.</w:t>
      </w:r>
    </w:p>
    <w:p w14:paraId="2F9B7ED0" w14:textId="2DC05FC7"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lastRenderedPageBreak/>
        <w:t>Diverses dispositions et décisions des conventions et processus liés à la biodiversité reconnaissent l'importance cruciale de la gestion de l'information et des connaissances pour la réalisation de leurs objectifs</w:t>
      </w:r>
      <w:r w:rsidRPr="00525E52">
        <w:rPr>
          <w:rStyle w:val="FootnoteReference"/>
          <w:kern w:val="22"/>
          <w:szCs w:val="22"/>
          <w:lang w:val="fr-FR"/>
        </w:rPr>
        <w:footnoteReference w:id="11"/>
      </w:r>
      <w:r w:rsidRPr="00525E52">
        <w:rPr>
          <w:kern w:val="22"/>
          <w:szCs w:val="22"/>
          <w:lang w:val="fr-FR"/>
        </w:rPr>
        <w:t>. Le P</w:t>
      </w:r>
      <w:r w:rsidR="00C648C4" w:rsidRPr="00525E52">
        <w:rPr>
          <w:kern w:val="22"/>
          <w:szCs w:val="22"/>
          <w:lang w:val="fr-FR"/>
        </w:rPr>
        <w:t>l</w:t>
      </w:r>
      <w:r w:rsidRPr="00525E52">
        <w:rPr>
          <w:kern w:val="22"/>
          <w:szCs w:val="22"/>
          <w:lang w:val="fr-FR"/>
        </w:rPr>
        <w:t>an stratégique pour la diversité biologique 2011-2020 comprend le but stratégique E : renforcer la mise en œuvre au moyen d’une planification participative, de la gestion des connaissances et du renforcement des capacités</w:t>
      </w:r>
      <w:r w:rsidRPr="00525E52">
        <w:rPr>
          <w:rStyle w:val="FootnoteReference"/>
          <w:kern w:val="22"/>
          <w:szCs w:val="22"/>
          <w:lang w:val="fr-FR"/>
        </w:rPr>
        <w:footnoteReference w:id="12"/>
      </w:r>
      <w:r w:rsidRPr="00525E52">
        <w:rPr>
          <w:kern w:val="22"/>
          <w:szCs w:val="22"/>
          <w:lang w:val="fr-FR"/>
        </w:rPr>
        <w:t>. Celui-ci inclut également l’Objectif 19 selon laquelle «</w:t>
      </w:r>
      <w:r w:rsidRPr="008261DC">
        <w:rPr>
          <w:kern w:val="22"/>
          <w:szCs w:val="22"/>
          <w:lang w:val="fr-FR"/>
        </w:rPr>
        <w:t xml:space="preserve"> d’ici à 2020, les connaissances, la base scientifique et les technologies associées à la diversité biologique, ses valeurs, son fonctionnement, son état et ses tendances, et les conséquences de son appauvrissement, sont améliorées, largement partagées et transférées, et appliquées. »</w:t>
      </w:r>
    </w:p>
    <w:p w14:paraId="7B5CB080" w14:textId="77777777"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 xml:space="preserve">Le Plan stratégique pour la diversité biologique 2011-2020 a reconnu que la réalisation de ses buts stratégiques et de ses objectifs nécessiterait des mécanismes de soutien renforcés : la production, l'utilisation et le partage des connaissances. Le Plan a également noté que, collectivement, les Parties et les parties prenantes disposent d'une grande expérience, de cas de bonnes pratiques, d'outils et de conseils et qu'il existe d'autres informations utiles au-delà de cette communauté. Le Plan stratégique a donc appelé à la création d'un réseau de connaissances sur la biodiversité comprenant une base de données et un réseau de praticiens, afin de rassembler ces connaissances et cette expérience et de les rendre disponibles par le biais d’un mécanisme d’échange. </w:t>
      </w:r>
    </w:p>
    <w:p w14:paraId="2DEC0E85" w14:textId="2B47426A"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 xml:space="preserve">La cinquième édition des </w:t>
      </w:r>
      <w:r w:rsidRPr="00525E52">
        <w:rPr>
          <w:i/>
          <w:iCs/>
          <w:kern w:val="22"/>
          <w:szCs w:val="22"/>
          <w:lang w:val="fr-FR"/>
        </w:rPr>
        <w:t xml:space="preserve">Perspectives mondiales de la diversité biologique </w:t>
      </w:r>
      <w:r w:rsidRPr="00525E52">
        <w:rPr>
          <w:kern w:val="22"/>
          <w:szCs w:val="22"/>
          <w:lang w:val="fr-FR"/>
        </w:rPr>
        <w:t>a constaté que des progrès importants ont été réalisés depuis 2010 dans la production, le partage et l'évaluation des connaissances, des informations et des données sur la biodiversité, l'agrégation de données de grande taille, les progrès de la modélisation et de l'intelligence artificielle ouvrant ainsi de nouvelles possibilités pour une meilleure compréhension de la biosphère. Toutefois, des déséquilibres majeurs subsistent en ce qui concerne la localisation et l'orientation taxonomique des études et du suivi. Il existe également des lacunes dans l'information sur les conséquences de la perte de biodiversité pour les populations et l'application des connaissances sur la biodiversité dans l</w:t>
      </w:r>
      <w:r w:rsidR="004771A6">
        <w:rPr>
          <w:kern w:val="22"/>
          <w:szCs w:val="22"/>
          <w:lang w:val="fr-FR"/>
        </w:rPr>
        <w:t>a prise de décision est limitée</w:t>
      </w:r>
      <w:r w:rsidRPr="00525E52">
        <w:rPr>
          <w:rStyle w:val="FootnoteReference"/>
          <w:kern w:val="22"/>
          <w:szCs w:val="22"/>
          <w:lang w:val="fr-FR"/>
        </w:rPr>
        <w:footnoteReference w:id="13"/>
      </w:r>
      <w:r w:rsidR="004771A6">
        <w:rPr>
          <w:kern w:val="22"/>
          <w:szCs w:val="22"/>
          <w:lang w:val="fr-FR"/>
        </w:rPr>
        <w:t>.</w:t>
      </w:r>
      <w:r w:rsidRPr="00525E52">
        <w:rPr>
          <w:kern w:val="22"/>
          <w:szCs w:val="22"/>
          <w:lang w:val="fr-FR"/>
        </w:rPr>
        <w:t xml:space="preserve"> </w:t>
      </w:r>
    </w:p>
    <w:p w14:paraId="53F5CD12" w14:textId="77777777"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Au cours des réunions du Groupe de travail à composition non limitée sur le cadre mondial de la biodiversité pour l’après-2020 et des consultations régionales et thématiques associées, la gestion des connaissances a été identifiée comme l'un des moyens essentiels pour la mise en œuvre réussie du cadre mondial de la biodiversité pour l’après-2020, au même titre que la mobilisation des ressources, le renforcement des capacités, la coopération technique et scientifique ainsi que la communication.</w:t>
      </w:r>
    </w:p>
    <w:p w14:paraId="17C913B1" w14:textId="76EB7471"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 xml:space="preserve">Le présent document expose les éléments de </w:t>
      </w:r>
      <w:r w:rsidR="004771A6">
        <w:rPr>
          <w:kern w:val="22"/>
          <w:szCs w:val="22"/>
          <w:lang w:val="fr-FR"/>
        </w:rPr>
        <w:t xml:space="preserve">la composante </w:t>
      </w:r>
      <w:r w:rsidR="00C648C4" w:rsidRPr="00525E52">
        <w:rPr>
          <w:kern w:val="22"/>
          <w:szCs w:val="22"/>
          <w:lang w:val="fr-FR"/>
        </w:rPr>
        <w:t>sur la gestion</w:t>
      </w:r>
      <w:r w:rsidR="004771A6">
        <w:rPr>
          <w:kern w:val="22"/>
          <w:szCs w:val="22"/>
          <w:lang w:val="fr-FR"/>
        </w:rPr>
        <w:t xml:space="preserve"> des connaissances dans le</w:t>
      </w:r>
      <w:r w:rsidRPr="00525E52">
        <w:rPr>
          <w:kern w:val="22"/>
          <w:szCs w:val="22"/>
          <w:lang w:val="fr-FR"/>
        </w:rPr>
        <w:t xml:space="preserve"> cadre mondial de la biodiversité pour l'après-2020 et les stratégies possibles pour la rendre opérationnelle. La section II fournit une introduction et un cadre conceptuel pour </w:t>
      </w:r>
      <w:r w:rsidR="002F512D">
        <w:rPr>
          <w:kern w:val="22"/>
          <w:szCs w:val="22"/>
          <w:lang w:val="fr-FR"/>
        </w:rPr>
        <w:t>l’élément</w:t>
      </w:r>
      <w:r w:rsidR="00C648C4" w:rsidRPr="00525E52">
        <w:rPr>
          <w:kern w:val="22"/>
          <w:szCs w:val="22"/>
          <w:lang w:val="fr-FR"/>
        </w:rPr>
        <w:t xml:space="preserve"> sur la gestion</w:t>
      </w:r>
      <w:r w:rsidRPr="00525E52">
        <w:rPr>
          <w:kern w:val="22"/>
          <w:szCs w:val="22"/>
          <w:lang w:val="fr-FR"/>
        </w:rPr>
        <w:t xml:space="preserve"> des connaissances, la section III décrit la justification, les objectifs et l'impa</w:t>
      </w:r>
      <w:r w:rsidR="00B320F6">
        <w:rPr>
          <w:kern w:val="22"/>
          <w:szCs w:val="22"/>
          <w:lang w:val="fr-FR"/>
        </w:rPr>
        <w:t>ct attendu de cette composante,</w:t>
      </w:r>
      <w:r w:rsidRPr="00525E52">
        <w:rPr>
          <w:kern w:val="22"/>
          <w:szCs w:val="22"/>
          <w:lang w:val="fr-FR"/>
        </w:rPr>
        <w:t xml:space="preserve"> la section IV présente des stratégies pour améliorer la gestion des connaissances à l'appui du cadre mondial de la biodiversité pour l’après-2020 et enfin, la section V décrit les options possibles pour un cadre de mise en œuvre.</w:t>
      </w:r>
    </w:p>
    <w:p w14:paraId="18053336" w14:textId="722CE770" w:rsidR="00753D21" w:rsidRPr="00525E52" w:rsidRDefault="005676C9" w:rsidP="00561C79">
      <w:pPr>
        <w:pStyle w:val="Heading2"/>
        <w:keepNext w:val="0"/>
        <w:numPr>
          <w:ilvl w:val="0"/>
          <w:numId w:val="8"/>
        </w:numPr>
        <w:suppressLineNumbers/>
        <w:tabs>
          <w:tab w:val="clear" w:pos="720"/>
        </w:tabs>
        <w:suppressAutoHyphens/>
        <w:spacing w:before="0" w:after="0"/>
        <w:rPr>
          <w:kern w:val="22"/>
          <w:lang w:val="fr-FR"/>
        </w:rPr>
      </w:pPr>
      <w:r>
        <w:rPr>
          <w:kern w:val="22"/>
          <w:lang w:val="fr-FR"/>
        </w:rPr>
        <w:t>Fondement</w:t>
      </w:r>
      <w:r w:rsidR="00753D21" w:rsidRPr="00525E52">
        <w:rPr>
          <w:kern w:val="22"/>
          <w:lang w:val="fr-FR"/>
        </w:rPr>
        <w:t xml:space="preserve"> de </w:t>
      </w:r>
      <w:r w:rsidR="004771A6">
        <w:rPr>
          <w:kern w:val="22"/>
          <w:lang w:val="fr-FR"/>
        </w:rPr>
        <w:t>la composante</w:t>
      </w:r>
      <w:r w:rsidR="00C648C4" w:rsidRPr="00525E52">
        <w:rPr>
          <w:kern w:val="22"/>
          <w:lang w:val="fr-FR"/>
        </w:rPr>
        <w:t xml:space="preserve"> sur la gestion</w:t>
      </w:r>
      <w:r w:rsidR="00753D21" w:rsidRPr="00525E52">
        <w:rPr>
          <w:kern w:val="22"/>
          <w:lang w:val="fr-FR"/>
        </w:rPr>
        <w:t xml:space="preserve"> des connaissances </w:t>
      </w:r>
    </w:p>
    <w:p w14:paraId="1A8A6427" w14:textId="019D1B7F"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La gestion des connaissances est l'un des principaux moyens stratégiques de mise en œuvre qui sous-tendra la réalisation des buts stratégiques et objectifs du cadre mondial de la biodiversité pour l'après-2020. Afin de faire face à une planification, une formulation des politiques, une prise de décision et une mise en œuvre efficaces, il est essentiel de pouvoir accéder facilement et en temps utile aux données pertinentes, aux informations et connaissances disponibles et adaptées à la biodiv</w:t>
      </w:r>
      <w:r w:rsidR="00B320F6">
        <w:rPr>
          <w:kern w:val="22"/>
          <w:szCs w:val="22"/>
          <w:lang w:val="fr-FR"/>
        </w:rPr>
        <w:t>ersité. Toutefois, de nombreux g</w:t>
      </w:r>
      <w:r w:rsidRPr="00525E52">
        <w:rPr>
          <w:kern w:val="22"/>
          <w:szCs w:val="22"/>
          <w:lang w:val="fr-FR"/>
        </w:rPr>
        <w:t xml:space="preserve">ouvernements et organisations sont encore confrontés à plusieurs défis pour mettre en œuvre des processus </w:t>
      </w:r>
      <w:r w:rsidRPr="00525E52">
        <w:rPr>
          <w:kern w:val="22"/>
          <w:szCs w:val="22"/>
          <w:lang w:val="fr-FR"/>
        </w:rPr>
        <w:lastRenderedPageBreak/>
        <w:t xml:space="preserve">et des initiatives efficaces de gestion des connaissances. Dans de nombreux pays, en particulier dans les pays en développement et les pays à économie </w:t>
      </w:r>
      <w:r w:rsidR="00B320F6">
        <w:rPr>
          <w:kern w:val="22"/>
          <w:szCs w:val="22"/>
          <w:lang w:val="fr-FR"/>
        </w:rPr>
        <w:t xml:space="preserve">en transition, les données, informations et </w:t>
      </w:r>
      <w:r w:rsidRPr="00525E52">
        <w:rPr>
          <w:kern w:val="22"/>
          <w:szCs w:val="22"/>
          <w:lang w:val="fr-FR"/>
        </w:rPr>
        <w:t>connaissances sur la biodiversité dont ont besoin les décideurs politiques, les praticiens, les peuples autochtones et les communautés locales, ainsi que les scientifiques, sont limitées. En outre, une grande partie de ce qui est disponible est fragmentée, difficile à trouver ou inaccessible.</w:t>
      </w:r>
    </w:p>
    <w:p w14:paraId="4A30F539" w14:textId="09334F77"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Une réunion d'experts convoquée par la Cambridge Conservation Initiative à Cambridge, au Royaume-Uni, du 10 au 12 avril 2018, en vue de faire progresser la compréhension de la nécessité de fonder l'élaboration du cadre mondial de la biodiversité pour l'après-2020 sur les éléments disponibles, a noté notammen</w:t>
      </w:r>
      <w:r w:rsidR="00B320F6">
        <w:rPr>
          <w:kern w:val="22"/>
          <w:szCs w:val="22"/>
          <w:lang w:val="fr-FR"/>
        </w:rPr>
        <w:t xml:space="preserve">t qu'il existe des données, informations et </w:t>
      </w:r>
      <w:r w:rsidRPr="00525E52">
        <w:rPr>
          <w:kern w:val="22"/>
          <w:szCs w:val="22"/>
          <w:lang w:val="fr-FR"/>
        </w:rPr>
        <w:t>connaissances importantes, mais qu'elles ne sont souvent pas faciles d’accès à ceux qui pourraient les utiliser à bon escient. Parmi les raisons de cette situation, on peut citer les journaux payants, la confidentialité ou simplement le fait de ne pas savoir qu'ils existent ou de ne pas savoir comment les utiliser. Les participants ont souligné la nécessité de faciliter la « découverte » de données, d'informations et de connaissances pertinentes de toutes sources et d'en faciliter l'utilisation. Ils ont également souligné l'intérêt potentiel de développer une stratégie de production de connaissances ou de recherche pour identifier clairement les connaissances nécessaires pour soutenir la mise en œuvre du cadre mondial de la biodiversité pour l’après-2020. Enfin, les experts ont souligné la nécessité d'inclure des éléments de preuve provenant de différents systèmes de connaissances, et en particulier des systèmes de connaissances traditionnelles, dans toute stratégie de production de connaissances ou de recherche si l'on veut qu'elle soit efficace</w:t>
      </w:r>
      <w:r w:rsidRPr="00525E52">
        <w:rPr>
          <w:rStyle w:val="FootnoteReference"/>
          <w:kern w:val="22"/>
          <w:lang w:val="fr-FR"/>
        </w:rPr>
        <w:footnoteReference w:id="14"/>
      </w:r>
      <w:r w:rsidR="00B320F6">
        <w:rPr>
          <w:kern w:val="22"/>
          <w:szCs w:val="22"/>
          <w:lang w:val="fr-FR"/>
        </w:rPr>
        <w:t>.</w:t>
      </w:r>
    </w:p>
    <w:p w14:paraId="533C695E" w14:textId="07567416" w:rsidR="00753D21" w:rsidRPr="00525E52" w:rsidRDefault="00B320F6" w:rsidP="00561C79">
      <w:pPr>
        <w:pStyle w:val="Para1"/>
        <w:numPr>
          <w:ilvl w:val="0"/>
          <w:numId w:val="6"/>
        </w:numPr>
        <w:suppressLineNumbers/>
        <w:tabs>
          <w:tab w:val="clear" w:pos="360"/>
        </w:tabs>
        <w:suppressAutoHyphens/>
        <w:rPr>
          <w:kern w:val="22"/>
          <w:szCs w:val="22"/>
          <w:lang w:val="fr-FR"/>
        </w:rPr>
      </w:pPr>
      <w:r>
        <w:rPr>
          <w:kern w:val="22"/>
          <w:szCs w:val="22"/>
          <w:lang w:val="fr-FR"/>
        </w:rPr>
        <w:t>La composante</w:t>
      </w:r>
      <w:r w:rsidR="00C648C4" w:rsidRPr="00525E52">
        <w:rPr>
          <w:kern w:val="22"/>
          <w:szCs w:val="22"/>
          <w:lang w:val="fr-FR"/>
        </w:rPr>
        <w:t xml:space="preserve"> sur la gestion</w:t>
      </w:r>
      <w:r w:rsidR="00753D21" w:rsidRPr="00525E52">
        <w:rPr>
          <w:kern w:val="22"/>
          <w:szCs w:val="22"/>
          <w:lang w:val="fr-FR"/>
        </w:rPr>
        <w:t xml:space="preserve"> des connaissances vise à résoudre certains des problèmes susmentionnés, notamment les obstacles qui empêchent l'utilisation efficace des données, informations et connaissances existantes en matière de biodiversité, en tirant parti des initiatives et réseaux existants de gestion des connaissances relatives à la biodiversité, en comblant les lacunes qui empêchent leur pleine utilisation et en renforçant la coordination et la collaboration entre eux. De tels efforts exigent de reconnaître et d'optimiser les contributions des diverses institutions gouvernementales et non gouvernementales, des organisations régionales et internationales, des chercheurs, des praticiens et des autres parties prenantes impliquées dans la gestion des connaissances sur la biodiversité.</w:t>
      </w:r>
    </w:p>
    <w:p w14:paraId="4FA316EF" w14:textId="741F2F50" w:rsidR="00753D21" w:rsidRPr="00525E52" w:rsidRDefault="00753D21" w:rsidP="00561C79">
      <w:pPr>
        <w:pStyle w:val="Heading2"/>
        <w:numPr>
          <w:ilvl w:val="0"/>
          <w:numId w:val="8"/>
        </w:numPr>
        <w:suppressLineNumbers/>
        <w:tabs>
          <w:tab w:val="clear" w:pos="720"/>
        </w:tabs>
        <w:suppressAutoHyphens/>
        <w:ind w:left="714" w:hanging="357"/>
        <w:rPr>
          <w:kern w:val="22"/>
          <w:lang w:val="fr-FR"/>
        </w:rPr>
      </w:pPr>
      <w:r w:rsidRPr="00525E52">
        <w:rPr>
          <w:kern w:val="22"/>
          <w:lang w:val="fr-FR"/>
        </w:rPr>
        <w:t xml:space="preserve">Portée de </w:t>
      </w:r>
      <w:r w:rsidR="00B320F6">
        <w:rPr>
          <w:kern w:val="22"/>
          <w:lang w:val="fr-FR"/>
        </w:rPr>
        <w:t>la composante</w:t>
      </w:r>
      <w:r w:rsidR="00C648C4" w:rsidRPr="00525E52">
        <w:rPr>
          <w:kern w:val="22"/>
          <w:lang w:val="fr-FR"/>
        </w:rPr>
        <w:t xml:space="preserve"> sur la gestion</w:t>
      </w:r>
      <w:r w:rsidRPr="00525E52">
        <w:rPr>
          <w:kern w:val="22"/>
          <w:lang w:val="fr-FR"/>
        </w:rPr>
        <w:t xml:space="preserve"> des connaissances</w:t>
      </w:r>
    </w:p>
    <w:p w14:paraId="3EB3BC38" w14:textId="77777777"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Dans le contexte de cette composante, la gestion des connaissances englobe une série de processus, de stratégies et de pratiques par lesquels les connaissances, les informations et les données relatives à la biodiversité sont générées, découvertes et collectées, organisées/conservées, stockées, partagées et utilisées/appliquées pour atteindre les objectifs et les résultats liés à la biodiversité. Ces objectifs peuvent comprendre l'élaboration de politiques, la prise de décisions, la planification et la mise en œuvre en connaissance, l'apprentissage organisationnel continu par la collecte et le partage des meilleures pratiques ainsi que des enseignements tirés des évènements passés afin d'informer ou d'améliorer les évènements futurs.</w:t>
      </w:r>
    </w:p>
    <w:p w14:paraId="104891AE" w14:textId="4006A573" w:rsidR="00753D21" w:rsidRPr="00525E52" w:rsidRDefault="00B320F6" w:rsidP="00561C79">
      <w:pPr>
        <w:pStyle w:val="Para1"/>
        <w:numPr>
          <w:ilvl w:val="0"/>
          <w:numId w:val="6"/>
        </w:numPr>
        <w:suppressLineNumbers/>
        <w:tabs>
          <w:tab w:val="clear" w:pos="360"/>
        </w:tabs>
        <w:suppressAutoHyphens/>
        <w:rPr>
          <w:kern w:val="22"/>
          <w:szCs w:val="22"/>
          <w:lang w:val="fr-FR"/>
        </w:rPr>
      </w:pPr>
      <w:r>
        <w:rPr>
          <w:rFonts w:eastAsia="Malgun Gothic"/>
          <w:kern w:val="22"/>
          <w:lang w:val="fr-FR"/>
        </w:rPr>
        <w:t xml:space="preserve">La composante sur la gestion des connaissances </w:t>
      </w:r>
      <w:r w:rsidR="00753D21" w:rsidRPr="00525E52">
        <w:rPr>
          <w:rFonts w:eastAsia="Malgun Gothic"/>
          <w:kern w:val="22"/>
          <w:lang w:val="fr-FR"/>
        </w:rPr>
        <w:t>utilise les descriptions de travail suivant</w:t>
      </w:r>
      <w:r w:rsidR="009729E1" w:rsidRPr="00525E52">
        <w:rPr>
          <w:rFonts w:eastAsia="Malgun Gothic"/>
          <w:kern w:val="22"/>
          <w:lang w:val="fr-FR"/>
        </w:rPr>
        <w:t>e</w:t>
      </w:r>
      <w:r w:rsidR="00753D21" w:rsidRPr="00525E52">
        <w:rPr>
          <w:rFonts w:eastAsia="Malgun Gothic"/>
          <w:kern w:val="22"/>
          <w:lang w:val="fr-FR"/>
        </w:rPr>
        <w:t>s basées sur la chaîne</w:t>
      </w:r>
      <w:r w:rsidR="00753D21" w:rsidRPr="00525E52">
        <w:rPr>
          <w:rStyle w:val="FootnoteReference"/>
          <w:rFonts w:eastAsia="Malgun Gothic"/>
          <w:kern w:val="22"/>
          <w:lang w:val="fr-FR"/>
        </w:rPr>
        <w:footnoteReference w:id="15"/>
      </w:r>
      <w:r w:rsidR="00753D21" w:rsidRPr="00525E52">
        <w:rPr>
          <w:rFonts w:eastAsia="Malgun Gothic"/>
          <w:kern w:val="22"/>
          <w:lang w:val="fr-FR"/>
        </w:rPr>
        <w:t xml:space="preserve"> des données, </w:t>
      </w:r>
      <w:r w:rsidR="00E826B0" w:rsidRPr="00525E52">
        <w:rPr>
          <w:rFonts w:eastAsia="Malgun Gothic"/>
          <w:kern w:val="22"/>
          <w:lang w:val="fr-FR"/>
        </w:rPr>
        <w:t xml:space="preserve">des </w:t>
      </w:r>
      <w:r w:rsidR="00753D21" w:rsidRPr="00525E52">
        <w:rPr>
          <w:rFonts w:eastAsia="Malgun Gothic"/>
          <w:kern w:val="22"/>
          <w:lang w:val="fr-FR"/>
        </w:rPr>
        <w:t>informations, des connaissances et de la sagesse (DIKW) (voir la Figure 1 ci-dessous) :</w:t>
      </w:r>
    </w:p>
    <w:p w14:paraId="4B0971D0" w14:textId="6B670061" w:rsidR="00753D21" w:rsidRPr="00525E52" w:rsidRDefault="00753D21" w:rsidP="00AF0C38">
      <w:pPr>
        <w:pStyle w:val="Para1"/>
        <w:numPr>
          <w:ilvl w:val="1"/>
          <w:numId w:val="6"/>
        </w:numPr>
        <w:suppressLineNumbers/>
        <w:suppressAutoHyphens/>
        <w:ind w:left="0" w:firstLine="720"/>
        <w:rPr>
          <w:kern w:val="22"/>
          <w:szCs w:val="22"/>
          <w:lang w:val="fr-FR"/>
        </w:rPr>
      </w:pPr>
      <w:r w:rsidRPr="00525E52">
        <w:rPr>
          <w:kern w:val="22"/>
          <w:szCs w:val="22"/>
          <w:lang w:val="fr-FR"/>
        </w:rPr>
        <w:t xml:space="preserve">Les données sont des chiffres bruts, des faits ou des produits d'observations qui n'ont souvent aucune signification en soi tant qu'ils ne sont pas organisés, traités et interprétés; </w:t>
      </w:r>
    </w:p>
    <w:p w14:paraId="44601BD8" w14:textId="6531B563" w:rsidR="00753D21" w:rsidRPr="00525E52" w:rsidRDefault="00753D21" w:rsidP="00AF0C38">
      <w:pPr>
        <w:pStyle w:val="Para1"/>
        <w:numPr>
          <w:ilvl w:val="1"/>
          <w:numId w:val="6"/>
        </w:numPr>
        <w:suppressLineNumbers/>
        <w:suppressAutoHyphens/>
        <w:ind w:left="0" w:firstLine="720"/>
        <w:rPr>
          <w:kern w:val="22"/>
          <w:szCs w:val="22"/>
          <w:lang w:val="fr-FR"/>
        </w:rPr>
      </w:pPr>
      <w:r w:rsidRPr="00525E52">
        <w:rPr>
          <w:kern w:val="22"/>
          <w:szCs w:val="22"/>
          <w:lang w:val="fr-FR"/>
        </w:rPr>
        <w:t>Les informations peuvent être qualifiées de données organisées, structurées, traitées et contextualisées, ce qui les rend significatives, utiles et pertinentes pour une finalité ou un contexte sp</w:t>
      </w:r>
      <w:r w:rsidR="00B320F6">
        <w:rPr>
          <w:kern w:val="22"/>
          <w:szCs w:val="22"/>
          <w:lang w:val="fr-FR"/>
        </w:rPr>
        <w:t>écifique</w:t>
      </w:r>
      <w:r w:rsidRPr="00525E52">
        <w:rPr>
          <w:kern w:val="22"/>
          <w:szCs w:val="22"/>
          <w:lang w:val="fr-FR"/>
        </w:rPr>
        <w:t>;</w:t>
      </w:r>
    </w:p>
    <w:p w14:paraId="3618FACC" w14:textId="3F088BB4" w:rsidR="00753D21" w:rsidRPr="00525E52" w:rsidRDefault="00753D21" w:rsidP="00AF0C38">
      <w:pPr>
        <w:pStyle w:val="Para1"/>
        <w:numPr>
          <w:ilvl w:val="1"/>
          <w:numId w:val="6"/>
        </w:numPr>
        <w:suppressLineNumbers/>
        <w:suppressAutoHyphens/>
        <w:ind w:left="0" w:firstLine="720"/>
        <w:rPr>
          <w:kern w:val="22"/>
          <w:szCs w:val="22"/>
          <w:lang w:val="fr-FR"/>
        </w:rPr>
      </w:pPr>
      <w:r w:rsidRPr="00525E52">
        <w:rPr>
          <w:kern w:val="22"/>
          <w:szCs w:val="22"/>
          <w:lang w:val="fr-FR"/>
        </w:rPr>
        <w:t xml:space="preserve">La connaissance désigne les informations qui sont transformées par un traitement cognitif, une réflexion et une application aboutissant à une prise de conscience ou à une compréhension par des </w:t>
      </w:r>
      <w:r w:rsidRPr="00525E52">
        <w:rPr>
          <w:kern w:val="22"/>
          <w:szCs w:val="22"/>
          <w:lang w:val="fr-FR"/>
        </w:rPr>
        <w:lastRenderedPageBreak/>
        <w:t>individus ou des communautés dans un but spécifique ou dans un contexte donné. La connaissance peut être acquise par l'apprentissage, l'expérience ou la pratique;</w:t>
      </w:r>
    </w:p>
    <w:p w14:paraId="775A28F7" w14:textId="2660B6AD" w:rsidR="00753D21" w:rsidRPr="00525E52" w:rsidRDefault="00753D21" w:rsidP="003226E4">
      <w:pPr>
        <w:pStyle w:val="Para1"/>
        <w:numPr>
          <w:ilvl w:val="1"/>
          <w:numId w:val="6"/>
        </w:numPr>
        <w:suppressLineNumbers/>
        <w:suppressAutoHyphens/>
        <w:ind w:left="0" w:firstLine="720"/>
        <w:rPr>
          <w:kern w:val="22"/>
          <w:szCs w:val="22"/>
          <w:lang w:val="fr-FR"/>
        </w:rPr>
      </w:pPr>
      <w:r w:rsidRPr="00525E52">
        <w:rPr>
          <w:kern w:val="22"/>
          <w:lang w:val="fr-FR"/>
        </w:rPr>
        <w:t>La sagesse</w:t>
      </w:r>
      <w:r w:rsidR="00E826B0" w:rsidRPr="00525E52">
        <w:rPr>
          <w:kern w:val="22"/>
          <w:lang w:val="fr-FR"/>
        </w:rPr>
        <w:t xml:space="preserve"> se rapporte à l’intuition et </w:t>
      </w:r>
      <w:r w:rsidRPr="00525E52">
        <w:rPr>
          <w:kern w:val="22"/>
          <w:lang w:val="fr-FR"/>
        </w:rPr>
        <w:t>la perspicacité humaines</w:t>
      </w:r>
      <w:r w:rsidR="00E826B0" w:rsidRPr="00525E52">
        <w:rPr>
          <w:kern w:val="22"/>
          <w:lang w:val="fr-FR"/>
        </w:rPr>
        <w:t>,</w:t>
      </w:r>
      <w:r w:rsidRPr="00525E52">
        <w:rPr>
          <w:kern w:val="22"/>
          <w:lang w:val="fr-FR"/>
        </w:rPr>
        <w:t xml:space="preserve"> basées sur l’application répétée des connaissances ainsi que sur les années d’expérience. La sagesse est souvent codifiée en croyances, traditions, philosophies et principes. Une grande partie de la connaissance traditionnelle des peuples autochtones et des communautés locales pourraient être considérées comme de la « sagesse ». </w:t>
      </w:r>
    </w:p>
    <w:p w14:paraId="58E28929" w14:textId="77777777" w:rsidR="00753D21" w:rsidRPr="00525E52" w:rsidRDefault="00753D21" w:rsidP="00FD46C2">
      <w:pPr>
        <w:pStyle w:val="Para1"/>
        <w:suppressLineNumbers/>
        <w:suppressAutoHyphens/>
        <w:spacing w:before="240" w:after="240"/>
        <w:jc w:val="center"/>
        <w:rPr>
          <w:b/>
          <w:bCs/>
          <w:kern w:val="22"/>
          <w:szCs w:val="22"/>
          <w:lang w:val="fr-FR"/>
        </w:rPr>
      </w:pPr>
      <w:r w:rsidRPr="00525E52">
        <w:rPr>
          <w:b/>
          <w:bCs/>
          <w:kern w:val="22"/>
          <w:lang w:val="fr-FR"/>
        </w:rPr>
        <w:t>Figure. La chaîne de valeur DIKW</w:t>
      </w:r>
    </w:p>
    <w:p w14:paraId="05B4C66F" w14:textId="77777777" w:rsidR="00753D21" w:rsidRPr="00525E52" w:rsidRDefault="00753D21" w:rsidP="00753D21">
      <w:pPr>
        <w:pStyle w:val="CBD-Para"/>
        <w:keepLines w:val="0"/>
        <w:widowControl w:val="0"/>
        <w:numPr>
          <w:ilvl w:val="0"/>
          <w:numId w:val="0"/>
        </w:numPr>
        <w:spacing w:before="240" w:after="240"/>
        <w:jc w:val="center"/>
        <w:rPr>
          <w:i/>
          <w:iCs/>
          <w:kern w:val="22"/>
          <w:lang w:val="fr-FR"/>
        </w:rPr>
      </w:pPr>
      <w:r w:rsidRPr="00525E52">
        <w:rPr>
          <w:noProof/>
          <w:kern w:val="22"/>
          <w:lang w:val="fr-FR" w:eastAsia="fr-FR"/>
        </w:rPr>
        <w:drawing>
          <wp:inline distT="0" distB="0" distL="0" distR="0" wp14:anchorId="037EFA51" wp14:editId="4432A96A">
            <wp:extent cx="5409635" cy="32207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a:stretch>
                      <a:fillRect/>
                    </a:stretch>
                  </pic:blipFill>
                  <pic:spPr bwMode="auto">
                    <a:xfrm>
                      <a:off x="0" y="0"/>
                      <a:ext cx="5611128" cy="3340682"/>
                    </a:xfrm>
                    <a:prstGeom prst="rect">
                      <a:avLst/>
                    </a:prstGeom>
                    <a:noFill/>
                    <a:ln>
                      <a:noFill/>
                    </a:ln>
                  </pic:spPr>
                </pic:pic>
              </a:graphicData>
            </a:graphic>
          </wp:inline>
        </w:drawing>
      </w:r>
    </w:p>
    <w:p w14:paraId="600D1EEB" w14:textId="5DF47084" w:rsidR="00E826B0" w:rsidRPr="00E017C1" w:rsidRDefault="00E826B0" w:rsidP="00E826B0">
      <w:pPr>
        <w:rPr>
          <w:lang w:val="en-AU"/>
        </w:rPr>
      </w:pPr>
      <w:r w:rsidRPr="00E017C1">
        <w:rPr>
          <w:i/>
          <w:kern w:val="22"/>
          <w:lang w:val="en-AU"/>
        </w:rPr>
        <w:t>Source</w:t>
      </w:r>
      <w:r w:rsidRPr="00E017C1">
        <w:rPr>
          <w:kern w:val="22"/>
          <w:lang w:val="en-AU"/>
        </w:rPr>
        <w:t xml:space="preserve">: </w:t>
      </w:r>
      <w:r w:rsidRPr="00E017C1">
        <w:rPr>
          <w:rStyle w:val="al-author-name-more"/>
          <w:szCs w:val="22"/>
          <w:lang w:val="en-AU"/>
        </w:rPr>
        <w:t xml:space="preserve">Luis O. Tedeschi, </w:t>
      </w:r>
      <w:r w:rsidRPr="00E017C1">
        <w:rPr>
          <w:szCs w:val="22"/>
          <w:lang w:val="en-AU"/>
        </w:rPr>
        <w:t>ASN-ASAS Symposium: Future of Data Analytics in Nutrition: Mathematical mode</w:t>
      </w:r>
      <w:r w:rsidR="00F70D03" w:rsidRPr="00E017C1">
        <w:rPr>
          <w:szCs w:val="22"/>
          <w:lang w:val="en-AU"/>
        </w:rPr>
        <w:t>l</w:t>
      </w:r>
      <w:r w:rsidRPr="00E017C1">
        <w:rPr>
          <w:szCs w:val="22"/>
          <w:lang w:val="en-AU"/>
        </w:rPr>
        <w:t xml:space="preserve">ling in ruminant nutrition: approaches and paradigms, extant models, and thoughts for upcoming predictive analytics. </w:t>
      </w:r>
      <w:r w:rsidRPr="00E017C1">
        <w:rPr>
          <w:i/>
          <w:iCs/>
          <w:szCs w:val="22"/>
          <w:lang w:val="en-AU"/>
        </w:rPr>
        <w:t>Journal of Animal Science</w:t>
      </w:r>
      <w:r w:rsidRPr="00E017C1">
        <w:rPr>
          <w:szCs w:val="22"/>
          <w:lang w:val="en-AU"/>
        </w:rPr>
        <w:t xml:space="preserve">, </w:t>
      </w:r>
      <w:r w:rsidRPr="00E017C1">
        <w:rPr>
          <w:lang w:val="en-AU"/>
        </w:rPr>
        <w:t>v</w:t>
      </w:r>
      <w:r w:rsidRPr="00E017C1">
        <w:rPr>
          <w:szCs w:val="22"/>
          <w:lang w:val="en-AU"/>
        </w:rPr>
        <w:t>ol</w:t>
      </w:r>
      <w:r w:rsidRPr="00E017C1">
        <w:rPr>
          <w:lang w:val="en-AU"/>
        </w:rPr>
        <w:t>,</w:t>
      </w:r>
      <w:r w:rsidRPr="00E017C1">
        <w:rPr>
          <w:szCs w:val="22"/>
          <w:lang w:val="en-AU"/>
        </w:rPr>
        <w:t xml:space="preserve"> 97, Issue 5, May 2019, </w:t>
      </w:r>
      <w:r w:rsidRPr="00E017C1">
        <w:rPr>
          <w:lang w:val="en-AU"/>
        </w:rPr>
        <w:t>pp. </w:t>
      </w:r>
      <w:r w:rsidRPr="00E017C1">
        <w:rPr>
          <w:szCs w:val="22"/>
          <w:lang w:val="en-AU"/>
        </w:rPr>
        <w:t xml:space="preserve">1921–1944, </w:t>
      </w:r>
      <w:hyperlink r:id="rId21" w:history="1">
        <w:r w:rsidRPr="00E017C1">
          <w:rPr>
            <w:color w:val="0000FF"/>
            <w:szCs w:val="22"/>
            <w:u w:val="single"/>
            <w:lang w:val="en-AU"/>
          </w:rPr>
          <w:t>https://doi.org/10.1093/jas/skz092</w:t>
        </w:r>
      </w:hyperlink>
      <w:r w:rsidRPr="00E017C1">
        <w:rPr>
          <w:lang w:val="en-AU"/>
        </w:rPr>
        <w:t>.</w:t>
      </w:r>
    </w:p>
    <w:p w14:paraId="7267F81B" w14:textId="77777777" w:rsidR="00E826B0" w:rsidRPr="00E017C1" w:rsidRDefault="00E826B0" w:rsidP="00E826B0">
      <w:pPr>
        <w:rPr>
          <w:szCs w:val="22"/>
          <w:lang w:val="en-AU"/>
        </w:rPr>
      </w:pPr>
    </w:p>
    <w:p w14:paraId="7C6EEB8B" w14:textId="632DB35D"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 xml:space="preserve">D’après les définitions ci-dessus, il est clair que </w:t>
      </w:r>
      <w:r w:rsidR="00B320F6">
        <w:rPr>
          <w:kern w:val="22"/>
          <w:szCs w:val="22"/>
          <w:lang w:val="fr-FR"/>
        </w:rPr>
        <w:t>la composante</w:t>
      </w:r>
      <w:r w:rsidR="00C648C4" w:rsidRPr="00525E52">
        <w:rPr>
          <w:kern w:val="22"/>
          <w:szCs w:val="22"/>
          <w:lang w:val="fr-FR"/>
        </w:rPr>
        <w:t xml:space="preserve"> sur la gestion</w:t>
      </w:r>
      <w:r w:rsidRPr="00525E52">
        <w:rPr>
          <w:kern w:val="22"/>
          <w:szCs w:val="22"/>
          <w:lang w:val="fr-FR"/>
        </w:rPr>
        <w:t xml:space="preserve"> des connaissances englobe la gestion des données, la gestion de l'information et d'autres disciplines et pratiques connexes telles que la gestion des dossiers, la gestion des documents ainsi que la gestion des contenus. Bien que ces termes soient parfois utilisés de manière interchangeable, il est important de reconnaître que dans le contexte de cette composante, toutes ces activités sont des éléments constitutifs qui contribuent aux différentes étapes du cycle de gestion des connaissances.</w:t>
      </w:r>
    </w:p>
    <w:p w14:paraId="464F3593" w14:textId="311F50C4" w:rsidR="00753D21" w:rsidRPr="00525E52" w:rsidRDefault="00B320F6" w:rsidP="00561C79">
      <w:pPr>
        <w:pStyle w:val="Para1"/>
        <w:numPr>
          <w:ilvl w:val="0"/>
          <w:numId w:val="6"/>
        </w:numPr>
        <w:suppressLineNumbers/>
        <w:tabs>
          <w:tab w:val="clear" w:pos="360"/>
        </w:tabs>
        <w:suppressAutoHyphens/>
        <w:rPr>
          <w:kern w:val="22"/>
          <w:szCs w:val="22"/>
          <w:lang w:val="fr-FR"/>
        </w:rPr>
      </w:pPr>
      <w:r>
        <w:rPr>
          <w:kern w:val="22"/>
          <w:szCs w:val="22"/>
          <w:lang w:val="fr-FR"/>
        </w:rPr>
        <w:t xml:space="preserve">La composante sur la gestion des connaissances </w:t>
      </w:r>
      <w:r w:rsidR="00753D21" w:rsidRPr="00525E52">
        <w:rPr>
          <w:kern w:val="22"/>
          <w:szCs w:val="22"/>
          <w:lang w:val="fr-FR"/>
        </w:rPr>
        <w:t xml:space="preserve">complète les stratégies et les mécanismes déjà en place ou en cours d'élaboration pour soutenir la mise en œuvre du cadre mondial de la biodiversité pour l’après-2020. Il s'agit notamment du cadre pour une stratégie de communication mondiale, du cadre stratégique à long terme pour le développement </w:t>
      </w:r>
      <w:r w:rsidR="003202A9" w:rsidRPr="00525E52">
        <w:rPr>
          <w:kern w:val="22"/>
          <w:szCs w:val="22"/>
          <w:lang w:val="fr-FR"/>
        </w:rPr>
        <w:t xml:space="preserve">et le renforcement </w:t>
      </w:r>
      <w:r w:rsidR="00753D21" w:rsidRPr="00525E52">
        <w:rPr>
          <w:kern w:val="22"/>
          <w:szCs w:val="22"/>
          <w:lang w:val="fr-FR"/>
        </w:rPr>
        <w:t>des capacités, des propositions visant à renforcer la coopération technique et scientifique à l'appui du cadre mondial de la biodiversité pour l’après-2020 et des mécanismes de compte rendu, d'évaluation et de réexamen de la mise en œuvre.</w:t>
      </w:r>
    </w:p>
    <w:p w14:paraId="67C71F8B" w14:textId="77777777" w:rsidR="00753D21" w:rsidRPr="00525E52" w:rsidRDefault="00753D21" w:rsidP="00561C79">
      <w:pPr>
        <w:pStyle w:val="Para1"/>
        <w:numPr>
          <w:ilvl w:val="0"/>
          <w:numId w:val="6"/>
        </w:numPr>
        <w:suppressLineNumbers/>
        <w:tabs>
          <w:tab w:val="clear" w:pos="360"/>
          <w:tab w:val="num" w:pos="720"/>
        </w:tabs>
        <w:suppressAutoHyphens/>
        <w:rPr>
          <w:kern w:val="22"/>
          <w:szCs w:val="22"/>
          <w:lang w:val="fr-FR"/>
        </w:rPr>
      </w:pPr>
      <w:r w:rsidRPr="00525E52">
        <w:rPr>
          <w:kern w:val="22"/>
          <w:szCs w:val="22"/>
          <w:lang w:val="fr-FR"/>
        </w:rPr>
        <w:t xml:space="preserve">Cette composante couvre divers types de données, d'informations et de connaissances pertinentes pour la conservation et l'utilisation durable de la diversité biologique, allant des données et informations scientifiques, techniques, technologiques, juridiques et politiques aux informations et connaissances liées à la mise en œuvre, y compris des études de cas sur les expériences, les meilleures pratiques et les </w:t>
      </w:r>
      <w:r w:rsidRPr="00525E52">
        <w:rPr>
          <w:kern w:val="22"/>
          <w:szCs w:val="22"/>
          <w:lang w:val="fr-FR"/>
        </w:rPr>
        <w:lastRenderedPageBreak/>
        <w:t>enseignements tirés de l'élaboration et de la mise en œuvre des politiques, plans et programmes nationaux relatifs à la biodiversité. Elle comprend également les décisions, les recommandations et la documentation officielle créées par les conventions relatives à la biodiversité, les autres conventions de Rio et les processus connexes.</w:t>
      </w:r>
    </w:p>
    <w:p w14:paraId="5D11FAD9" w14:textId="6DBCDF56" w:rsidR="00753D21" w:rsidRPr="00525E52" w:rsidRDefault="00B320F6" w:rsidP="00561C79">
      <w:pPr>
        <w:pStyle w:val="Para1"/>
        <w:numPr>
          <w:ilvl w:val="0"/>
          <w:numId w:val="6"/>
        </w:numPr>
        <w:suppressLineNumbers/>
        <w:tabs>
          <w:tab w:val="clear" w:pos="360"/>
          <w:tab w:val="num" w:pos="720"/>
        </w:tabs>
        <w:suppressAutoHyphens/>
        <w:rPr>
          <w:kern w:val="22"/>
          <w:szCs w:val="22"/>
          <w:lang w:val="fr-FR"/>
        </w:rPr>
      </w:pPr>
      <w:r>
        <w:rPr>
          <w:kern w:val="22"/>
          <w:lang w:val="fr-FR"/>
        </w:rPr>
        <w:t xml:space="preserve">La composante sur la gestion des connaissances </w:t>
      </w:r>
      <w:r w:rsidR="00753D21" w:rsidRPr="00525E52">
        <w:rPr>
          <w:kern w:val="22"/>
          <w:lang w:val="fr-FR"/>
        </w:rPr>
        <w:t>vise à améliorer l'interopérabilité, l'accessibilité et l'utilisation des systèmes, outils et mécanismes de gestion des informations et des connaissances pertinentes pour soutenir le cadre mondial de la biodiversité pour l’après-2020. Ces derniers comprennent, mais pas exclusivement, des systèmes des conventions relatives à la biodivers</w:t>
      </w:r>
      <w:r w:rsidR="00257E62">
        <w:rPr>
          <w:kern w:val="22"/>
          <w:lang w:val="fr-FR"/>
        </w:rPr>
        <w:t>ité, y compris le C</w:t>
      </w:r>
      <w:r w:rsidR="00753D21" w:rsidRPr="00525E52">
        <w:rPr>
          <w:kern w:val="22"/>
          <w:lang w:val="fr-FR"/>
        </w:rPr>
        <w:t>entre d’échange de la Convention sur la diversité biologique, le Centre d'échange pour la prévention des risques biotechnologiques et le Centre d'échange pour l'accès et le partage des avantages ainsi que le Service d'information des sites Ramsar et la base de données commerciales de la CITES</w:t>
      </w:r>
      <w:r w:rsidR="00753D21" w:rsidRPr="00525E52">
        <w:rPr>
          <w:rStyle w:val="FootnoteReference"/>
          <w:kern w:val="22"/>
          <w:lang w:val="fr-FR"/>
        </w:rPr>
        <w:footnoteReference w:id="16"/>
      </w:r>
      <w:r w:rsidR="00257E62">
        <w:rPr>
          <w:kern w:val="22"/>
          <w:lang w:val="fr-FR"/>
        </w:rPr>
        <w:t>.</w:t>
      </w:r>
      <w:r w:rsidR="00753D21" w:rsidRPr="00525E52">
        <w:rPr>
          <w:kern w:val="22"/>
          <w:lang w:val="fr-FR"/>
        </w:rPr>
        <w:t xml:space="preserve"> Nous pouvons également citer le portail d'information des Nations unies sur les Accords environnementaux multilatéraux (InforMEA)</w:t>
      </w:r>
      <w:r w:rsidR="00753D21" w:rsidRPr="00525E52">
        <w:rPr>
          <w:rStyle w:val="FootnoteReference"/>
          <w:kern w:val="22"/>
          <w:lang w:val="fr-FR"/>
        </w:rPr>
        <w:footnoteReference w:id="17"/>
      </w:r>
      <w:r w:rsidR="00753D21" w:rsidRPr="00525E52">
        <w:rPr>
          <w:kern w:val="22"/>
          <w:lang w:val="fr-FR"/>
        </w:rPr>
        <w:t>, l'Union internationale pour la conservation de la nature (UICN)</w:t>
      </w:r>
      <w:r w:rsidR="00753D21" w:rsidRPr="00525E52">
        <w:rPr>
          <w:rStyle w:val="FootnoteReference"/>
          <w:kern w:val="22"/>
          <w:lang w:val="fr-FR"/>
        </w:rPr>
        <w:footnoteReference w:id="18"/>
      </w:r>
      <w:r w:rsidR="00753D21" w:rsidRPr="00525E52">
        <w:rPr>
          <w:kern w:val="22"/>
          <w:lang w:val="fr-FR"/>
        </w:rPr>
        <w:t>, le laboratoire des Nations unies sur la biodiversité</w:t>
      </w:r>
      <w:r w:rsidR="00753D21" w:rsidRPr="00525E52">
        <w:rPr>
          <w:rStyle w:val="FootnoteReference"/>
          <w:kern w:val="22"/>
          <w:lang w:val="fr-FR"/>
        </w:rPr>
        <w:footnoteReference w:id="19"/>
      </w:r>
      <w:r w:rsidR="00753D21" w:rsidRPr="00525E52">
        <w:rPr>
          <w:kern w:val="22"/>
          <w:lang w:val="fr-FR"/>
        </w:rPr>
        <w:t>, la base de données mondiale sur les aires protégées (WDPA), la base de données mondiale sur l'efficacité de la gestion des aires protégées (GDPAME), le registre des aires du patrimoine autochtone et communautaire (registre APAC)</w:t>
      </w:r>
      <w:r w:rsidR="00753D21" w:rsidRPr="00525E52">
        <w:rPr>
          <w:rStyle w:val="FootnoteReference"/>
          <w:kern w:val="22"/>
          <w:lang w:val="fr-FR"/>
        </w:rPr>
        <w:footnoteReference w:id="20"/>
      </w:r>
      <w:r w:rsidR="00753D21" w:rsidRPr="00525E52">
        <w:rPr>
          <w:kern w:val="22"/>
          <w:lang w:val="fr-FR"/>
        </w:rPr>
        <w:t>, etc.</w:t>
      </w:r>
      <w:r w:rsidR="00753D21" w:rsidRPr="00525E52">
        <w:rPr>
          <w:rStyle w:val="FootnoteReference"/>
          <w:kern w:val="22"/>
          <w:lang w:val="fr-FR"/>
        </w:rPr>
        <w:footnoteReference w:id="21"/>
      </w:r>
    </w:p>
    <w:p w14:paraId="15D1517E" w14:textId="01D0C854" w:rsidR="00753D21" w:rsidRPr="00525E52" w:rsidRDefault="00B320F6" w:rsidP="00561C79">
      <w:pPr>
        <w:pStyle w:val="Para1"/>
        <w:numPr>
          <w:ilvl w:val="0"/>
          <w:numId w:val="6"/>
        </w:numPr>
        <w:suppressLineNumbers/>
        <w:tabs>
          <w:tab w:val="clear" w:pos="360"/>
          <w:tab w:val="num" w:pos="720"/>
        </w:tabs>
        <w:suppressAutoHyphens/>
        <w:rPr>
          <w:kern w:val="22"/>
          <w:szCs w:val="22"/>
          <w:lang w:val="fr-FR"/>
        </w:rPr>
      </w:pPr>
      <w:r>
        <w:rPr>
          <w:kern w:val="22"/>
          <w:lang w:val="fr-FR"/>
        </w:rPr>
        <w:t xml:space="preserve">La composante sur la gestion des connaissances </w:t>
      </w:r>
      <w:r w:rsidR="00753D21" w:rsidRPr="00525E52">
        <w:rPr>
          <w:kern w:val="22"/>
          <w:lang w:val="fr-FR"/>
        </w:rPr>
        <w:t>propose également des actions visant à favoriser la coordination, la collaboration et la complémentarité entre diverses initiatives et institutions soutenant la production, la saisie, la gestion et l'utilisation de données, d'informations et de connaissances relatives à la biodiversité et à encourager les fournisseurs de données mondiales à soutenir les acteurs nationaux et les systèmes statistiques nationaux, qui sont essentiels au suivi national. Nous retrouvons : le Centre de surveillance de la conservation mondiale de la nature du Programme des Nations unies pour l'environnement, le groupe de travail sur les connaissances et les données de la Plateforme intergouvernementale scientifique et politique sur la biodiversité et les services écosystémiques (IPBES), le Programme de collaboration des Nations unies sur la réduction des émissions liées à la déforestation et à la dégradation des forêts (ONU REDD), le Fonds mondial d'information sur la biodiversité (GBIF), l’Encyclopédie de la Vie (EOL), l'initiative internationale Barcode of Life (iBOL), le Groupe sur l’observation de la Terre et du Réseau pour l’observation de la biodiversité (GEO-BON), l'observatoire numérique des aires protégées (DOPA), l'outil de communication des données</w:t>
      </w:r>
      <w:r w:rsidR="00257E62">
        <w:rPr>
          <w:kern w:val="22"/>
          <w:lang w:val="fr-FR"/>
        </w:rPr>
        <w:t xml:space="preserve"> en ligne</w:t>
      </w:r>
      <w:r w:rsidR="00753D21" w:rsidRPr="00525E52">
        <w:rPr>
          <w:kern w:val="22"/>
          <w:lang w:val="fr-FR"/>
        </w:rPr>
        <w:t xml:space="preserve"> (DaRT), le centre de connaissances de la Convention des Nations unies sur la </w:t>
      </w:r>
      <w:r w:rsidR="00F70D03" w:rsidRPr="00525E52">
        <w:rPr>
          <w:kern w:val="22"/>
          <w:lang w:val="fr-FR"/>
        </w:rPr>
        <w:t xml:space="preserve">lutte contre la désertification, </w:t>
      </w:r>
      <w:r w:rsidR="00753D21" w:rsidRPr="00525E52">
        <w:rPr>
          <w:kern w:val="22"/>
          <w:lang w:val="fr-FR"/>
        </w:rPr>
        <w:t>ainsi que le c</w:t>
      </w:r>
      <w:r w:rsidR="00F70D03" w:rsidRPr="00525E52">
        <w:rPr>
          <w:kern w:val="22"/>
          <w:lang w:val="fr-FR"/>
        </w:rPr>
        <w:t>entre de données ouvert sur l</w:t>
      </w:r>
      <w:r w:rsidR="00753D21" w:rsidRPr="00525E52">
        <w:rPr>
          <w:kern w:val="22"/>
          <w:lang w:val="fr-FR"/>
        </w:rPr>
        <w:t>es Objectifs de développement durable (SDG)</w:t>
      </w:r>
      <w:r w:rsidR="00F70D03" w:rsidRPr="00525E52">
        <w:rPr>
          <w:kern w:val="22"/>
          <w:lang w:val="fr-FR"/>
        </w:rPr>
        <w:t xml:space="preserve"> de la D</w:t>
      </w:r>
      <w:r w:rsidR="00C41D06" w:rsidRPr="00525E52">
        <w:rPr>
          <w:kern w:val="22"/>
          <w:lang w:val="fr-FR"/>
        </w:rPr>
        <w:t>ivision de statistique</w:t>
      </w:r>
      <w:r w:rsidR="00F70D03" w:rsidRPr="00525E52">
        <w:rPr>
          <w:kern w:val="22"/>
          <w:lang w:val="fr-FR"/>
        </w:rPr>
        <w:t xml:space="preserve"> des Nations Unies</w:t>
      </w:r>
      <w:r w:rsidR="00753D21" w:rsidRPr="00525E52">
        <w:rPr>
          <w:kern w:val="22"/>
          <w:lang w:val="fr-FR"/>
        </w:rPr>
        <w:t>. Ces initiatives et institutions, ainsi que d'autres, sont décrites dans le document d'information CBD/SBI/3/INF/13.</w:t>
      </w:r>
    </w:p>
    <w:p w14:paraId="1A300F84" w14:textId="46DFB0EF" w:rsidR="00753D21" w:rsidRPr="00525E52" w:rsidRDefault="00753D21" w:rsidP="00561C79">
      <w:pPr>
        <w:pStyle w:val="Heading2"/>
        <w:numPr>
          <w:ilvl w:val="0"/>
          <w:numId w:val="8"/>
        </w:numPr>
        <w:suppressLineNumbers/>
        <w:tabs>
          <w:tab w:val="clear" w:pos="720"/>
        </w:tabs>
        <w:suppressAutoHyphens/>
        <w:ind w:left="714" w:hanging="357"/>
        <w:rPr>
          <w:kern w:val="22"/>
          <w:lang w:val="fr-FR"/>
        </w:rPr>
      </w:pPr>
      <w:r w:rsidRPr="00525E52">
        <w:rPr>
          <w:kern w:val="22"/>
          <w:lang w:val="fr-FR"/>
        </w:rPr>
        <w:t xml:space="preserve">Piliers de </w:t>
      </w:r>
      <w:r w:rsidR="002F512D">
        <w:rPr>
          <w:kern w:val="22"/>
          <w:lang w:val="fr-FR"/>
        </w:rPr>
        <w:t>l’élément</w:t>
      </w:r>
      <w:r w:rsidR="00C648C4" w:rsidRPr="00525E52">
        <w:rPr>
          <w:kern w:val="22"/>
          <w:lang w:val="fr-FR"/>
        </w:rPr>
        <w:t xml:space="preserve"> sur la gestion des connaissances</w:t>
      </w:r>
    </w:p>
    <w:p w14:paraId="40CFEC08" w14:textId="7A611651" w:rsidR="00753D21" w:rsidRPr="00525E52" w:rsidRDefault="00B320F6" w:rsidP="00561C79">
      <w:pPr>
        <w:pStyle w:val="Para1"/>
        <w:numPr>
          <w:ilvl w:val="0"/>
          <w:numId w:val="6"/>
        </w:numPr>
        <w:suppressLineNumbers/>
        <w:tabs>
          <w:tab w:val="clear" w:pos="360"/>
          <w:tab w:val="num" w:pos="720"/>
        </w:tabs>
        <w:suppressAutoHyphens/>
        <w:rPr>
          <w:kern w:val="22"/>
          <w:szCs w:val="22"/>
          <w:lang w:val="fr-FR"/>
        </w:rPr>
      </w:pPr>
      <w:r>
        <w:rPr>
          <w:kern w:val="22"/>
          <w:lang w:val="fr-FR"/>
        </w:rPr>
        <w:t xml:space="preserve">La composante sur la gestion des connaissances </w:t>
      </w:r>
      <w:r w:rsidR="00753D21" w:rsidRPr="00525E52">
        <w:rPr>
          <w:kern w:val="22"/>
          <w:lang w:val="fr-FR"/>
        </w:rPr>
        <w:t>comprend quatre piliers :</w:t>
      </w:r>
    </w:p>
    <w:p w14:paraId="039EC7C6" w14:textId="41A1E926" w:rsidR="00753D21" w:rsidRPr="00525E52" w:rsidRDefault="00753D21" w:rsidP="00561C79">
      <w:pPr>
        <w:pStyle w:val="Para1"/>
        <w:numPr>
          <w:ilvl w:val="1"/>
          <w:numId w:val="6"/>
        </w:numPr>
        <w:suppressLineNumbers/>
        <w:suppressAutoHyphens/>
        <w:rPr>
          <w:color w:val="000000" w:themeColor="text1"/>
          <w:kern w:val="22"/>
          <w:lang w:val="fr-FR"/>
        </w:rPr>
      </w:pPr>
      <w:r w:rsidRPr="00525E52">
        <w:rPr>
          <w:i/>
          <w:iCs/>
          <w:color w:val="000000" w:themeColor="text1"/>
          <w:kern w:val="22"/>
          <w:lang w:val="fr-FR"/>
        </w:rPr>
        <w:t>Les gens</w:t>
      </w:r>
      <w:r w:rsidRPr="00525E52">
        <w:rPr>
          <w:color w:val="000000" w:themeColor="text1"/>
          <w:kern w:val="22"/>
          <w:lang w:val="fr-FR"/>
        </w:rPr>
        <w:t xml:space="preserve"> : Il s'agit de divers acteurs (créateurs, gardiens, gestionnaires, conservateurs et utilisateurs des connaissances sur la biodiversité), ceux-ci forment la base de </w:t>
      </w:r>
      <w:r w:rsidR="002F512D">
        <w:rPr>
          <w:color w:val="000000" w:themeColor="text1"/>
          <w:kern w:val="22"/>
          <w:lang w:val="fr-FR"/>
        </w:rPr>
        <w:t>l’élément</w:t>
      </w:r>
      <w:r w:rsidR="00C648C4" w:rsidRPr="00525E52">
        <w:rPr>
          <w:color w:val="000000" w:themeColor="text1"/>
          <w:kern w:val="22"/>
          <w:lang w:val="fr-FR"/>
        </w:rPr>
        <w:t xml:space="preserve"> sur la gestion des connaissances</w:t>
      </w:r>
      <w:r w:rsidRPr="00525E52">
        <w:rPr>
          <w:color w:val="000000" w:themeColor="text1"/>
          <w:kern w:val="22"/>
          <w:lang w:val="fr-FR"/>
        </w:rPr>
        <w:t xml:space="preserve">. Leurs rôles, responsabilités et attentes doivent être clarifiés. Il est </w:t>
      </w:r>
      <w:r w:rsidRPr="00525E52">
        <w:rPr>
          <w:color w:val="000000" w:themeColor="text1"/>
          <w:kern w:val="22"/>
          <w:lang w:val="fr-FR"/>
        </w:rPr>
        <w:lastRenderedPageBreak/>
        <w:t xml:space="preserve">également important de promouvoir et d'entretenir une culture de partage des connaissances et de reconnaître et de récompenser les champions de la connaissance;  </w:t>
      </w:r>
    </w:p>
    <w:p w14:paraId="7D62BABD" w14:textId="1BB15B36" w:rsidR="00753D21" w:rsidRPr="00525E52" w:rsidRDefault="00753D21" w:rsidP="00561C79">
      <w:pPr>
        <w:pStyle w:val="Para1"/>
        <w:numPr>
          <w:ilvl w:val="1"/>
          <w:numId w:val="6"/>
        </w:numPr>
        <w:suppressLineNumbers/>
        <w:suppressAutoHyphens/>
        <w:rPr>
          <w:color w:val="000000" w:themeColor="text1"/>
          <w:kern w:val="22"/>
          <w:lang w:val="fr-FR"/>
        </w:rPr>
      </w:pPr>
      <w:r w:rsidRPr="00525E52">
        <w:rPr>
          <w:i/>
          <w:iCs/>
          <w:color w:val="000000" w:themeColor="text1"/>
          <w:kern w:val="22"/>
          <w:lang w:val="fr-FR"/>
        </w:rPr>
        <w:t>Processus</w:t>
      </w:r>
      <w:r w:rsidRPr="00525E52">
        <w:rPr>
          <w:color w:val="000000" w:themeColor="text1"/>
          <w:kern w:val="22"/>
          <w:lang w:val="fr-FR"/>
        </w:rPr>
        <w:t xml:space="preserve"> : Cela comprend les processus, les procédures et les politiques qui guident la production, la saisie, la gestion, le partage et l'utilisation des connaissances. Cela implique également une vision, un leadership, une supervision, un alignement de la gestion des connaissances sur les objectifs et la mise à disposi</w:t>
      </w:r>
      <w:r w:rsidR="00257E62">
        <w:rPr>
          <w:color w:val="000000" w:themeColor="text1"/>
          <w:kern w:val="22"/>
          <w:lang w:val="fr-FR"/>
        </w:rPr>
        <w:t>tion des ressources nécessaires</w:t>
      </w:r>
      <w:r w:rsidRPr="00525E52">
        <w:rPr>
          <w:color w:val="000000" w:themeColor="text1"/>
          <w:kern w:val="22"/>
          <w:lang w:val="fr-FR"/>
        </w:rPr>
        <w:t xml:space="preserve">;  </w:t>
      </w:r>
    </w:p>
    <w:p w14:paraId="4FA2CD42" w14:textId="1CFB87B3" w:rsidR="00753D21" w:rsidRPr="00525E52" w:rsidRDefault="00753D21" w:rsidP="00561C79">
      <w:pPr>
        <w:pStyle w:val="Para1"/>
        <w:numPr>
          <w:ilvl w:val="1"/>
          <w:numId w:val="6"/>
        </w:numPr>
        <w:suppressLineNumbers/>
        <w:suppressAutoHyphens/>
        <w:rPr>
          <w:color w:val="000000" w:themeColor="text1"/>
          <w:kern w:val="22"/>
          <w:lang w:val="fr-FR"/>
        </w:rPr>
      </w:pPr>
      <w:r w:rsidRPr="00525E52">
        <w:rPr>
          <w:i/>
          <w:iCs/>
          <w:color w:val="000000" w:themeColor="text1"/>
          <w:kern w:val="22"/>
          <w:lang w:val="fr-FR"/>
        </w:rPr>
        <w:t>La technologie</w:t>
      </w:r>
      <w:r w:rsidRPr="00525E52">
        <w:rPr>
          <w:color w:val="000000" w:themeColor="text1"/>
          <w:kern w:val="22"/>
          <w:lang w:val="fr-FR"/>
        </w:rPr>
        <w:t> : joue un rôle clé dans l’exécution et le soutien des services de gestion des connaissances. Cela comprend les outils, systèmes</w:t>
      </w:r>
      <w:r w:rsidRPr="00525E52">
        <w:rPr>
          <w:rStyle w:val="FootnoteReference"/>
          <w:color w:val="000000" w:themeColor="text1"/>
          <w:kern w:val="22"/>
          <w:lang w:val="fr-FR"/>
        </w:rPr>
        <w:footnoteReference w:id="22"/>
      </w:r>
      <w:r w:rsidRPr="00525E52">
        <w:rPr>
          <w:color w:val="000000" w:themeColor="text1"/>
          <w:kern w:val="22"/>
          <w:lang w:val="fr-FR"/>
        </w:rPr>
        <w:t xml:space="preserve"> et plateformes technologiques qui permettent aux acteurs concernés (les gens) de collecter, analyser, organiser, stocker, récupérer et partager les connai</w:t>
      </w:r>
      <w:r w:rsidR="00257E62">
        <w:rPr>
          <w:color w:val="000000" w:themeColor="text1"/>
          <w:kern w:val="22"/>
          <w:lang w:val="fr-FR"/>
        </w:rPr>
        <w:t>ssances liées à la biodiversité</w:t>
      </w:r>
      <w:r w:rsidRPr="00525E52">
        <w:rPr>
          <w:color w:val="000000" w:themeColor="text1"/>
          <w:kern w:val="22"/>
          <w:lang w:val="fr-FR"/>
        </w:rPr>
        <w:t>;</w:t>
      </w:r>
    </w:p>
    <w:p w14:paraId="33A94CB2" w14:textId="77777777" w:rsidR="00753D21" w:rsidRPr="00525E52" w:rsidRDefault="00753D21" w:rsidP="00561C79">
      <w:pPr>
        <w:pStyle w:val="Para1"/>
        <w:numPr>
          <w:ilvl w:val="1"/>
          <w:numId w:val="6"/>
        </w:numPr>
        <w:suppressLineNumbers/>
        <w:suppressAutoHyphens/>
        <w:rPr>
          <w:color w:val="000000"/>
          <w:kern w:val="22"/>
          <w:lang w:val="fr-FR"/>
        </w:rPr>
      </w:pPr>
      <w:r w:rsidRPr="00525E52">
        <w:rPr>
          <w:i/>
          <w:iCs/>
          <w:color w:val="000000" w:themeColor="text1"/>
          <w:kern w:val="22"/>
          <w:lang w:val="fr-FR"/>
        </w:rPr>
        <w:t>Contenu</w:t>
      </w:r>
      <w:r w:rsidRPr="00525E52">
        <w:rPr>
          <w:color w:val="000000" w:themeColor="text1"/>
          <w:kern w:val="22"/>
          <w:lang w:val="fr-FR"/>
        </w:rPr>
        <w:t xml:space="preserve"> : Il s'agit de la portée du contenu des connaissances sur la biodiversité et de la manière dont il est géré - la taxonomie et les métadonnées, les outils et les modèles, ainsi que l'analyse et la validation (pour l'assurance qualité), le catalogage, le marquage et l'indexation, la numérisation et l'organisation des ressources d'information et de connaissances pour faciliter la recherche et la récupération.</w:t>
      </w:r>
    </w:p>
    <w:p w14:paraId="00F01BD7" w14:textId="3C489603"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 xml:space="preserve">Les quatre piliers ci-dessus sont interdépendants et doivent être abordés de manière équilibrée et complémentaire. La gestion des connaissances ne sera pas efficace si seuls les aspects technologiques sont abordés et non les aspects liés aux processus et aux personnes. </w:t>
      </w:r>
      <w:r w:rsidR="00B320F6">
        <w:rPr>
          <w:kern w:val="22"/>
          <w:szCs w:val="22"/>
          <w:lang w:val="fr-FR"/>
        </w:rPr>
        <w:t xml:space="preserve">La composante sur la gestion des connaissances </w:t>
      </w:r>
      <w:r w:rsidRPr="00525E52">
        <w:rPr>
          <w:kern w:val="22"/>
          <w:szCs w:val="22"/>
          <w:lang w:val="fr-FR"/>
        </w:rPr>
        <w:t>sera étroitement liée aux systèmes d'information sur la surveillance de la biodiversité et au mécanisme amélioré de planification, de notification et d'examen du cadre mondial de la biodiversité pour l’après-2020 afin de faciliter la réalisation des objectifs. Il favorisera également une approche systémique globale, comprenant des données brutes, telles que les données satellitaires et la science citoyenne, des données traitées et géospatiales, telles que les cartes de l'occupation des sols, les algorithmes nécessaires au traitement des données, les données d'indicateurs, les analyses et les aperçus prédictifs ainsi que les publications.</w:t>
      </w:r>
    </w:p>
    <w:p w14:paraId="1668AC0C" w14:textId="77777777" w:rsidR="00753D21" w:rsidRPr="00525E52" w:rsidRDefault="00753D21" w:rsidP="00753D21">
      <w:pPr>
        <w:pStyle w:val="Heading1"/>
        <w:suppressLineNumbers/>
        <w:tabs>
          <w:tab w:val="clear" w:pos="720"/>
          <w:tab w:val="left" w:pos="426"/>
        </w:tabs>
        <w:suppressAutoHyphens/>
        <w:spacing w:before="120"/>
        <w:rPr>
          <w:bCs/>
          <w:kern w:val="22"/>
          <w:lang w:val="fr-FR"/>
        </w:rPr>
      </w:pPr>
      <w:r w:rsidRPr="00525E52">
        <w:rPr>
          <w:bCs/>
          <w:kern w:val="22"/>
          <w:lang w:val="fr-FR"/>
        </w:rPr>
        <w:t>II.</w:t>
      </w:r>
      <w:r w:rsidRPr="00525E52">
        <w:rPr>
          <w:bCs/>
          <w:kern w:val="22"/>
          <w:lang w:val="fr-FR"/>
        </w:rPr>
        <w:tab/>
        <w:t xml:space="preserve">les objectifs et les rÉsultats attendus </w:t>
      </w:r>
    </w:p>
    <w:p w14:paraId="489D10E4" w14:textId="08281E42" w:rsidR="00753D21" w:rsidRPr="00525E52" w:rsidRDefault="00753D21" w:rsidP="00561C79">
      <w:pPr>
        <w:pStyle w:val="Para1"/>
        <w:numPr>
          <w:ilvl w:val="0"/>
          <w:numId w:val="6"/>
        </w:numPr>
        <w:suppressLineNumbers/>
        <w:tabs>
          <w:tab w:val="clear" w:pos="360"/>
          <w:tab w:val="num" w:pos="720"/>
        </w:tabs>
        <w:suppressAutoHyphens/>
        <w:rPr>
          <w:kern w:val="22"/>
          <w:szCs w:val="22"/>
          <w:lang w:val="fr-FR"/>
        </w:rPr>
      </w:pPr>
      <w:r w:rsidRPr="00525E52">
        <w:rPr>
          <w:kern w:val="22"/>
          <w:szCs w:val="22"/>
          <w:lang w:val="fr-FR"/>
        </w:rPr>
        <w:t xml:space="preserve">Ce volet de </w:t>
      </w:r>
      <w:r w:rsidR="002F512D">
        <w:rPr>
          <w:kern w:val="22"/>
          <w:szCs w:val="22"/>
          <w:lang w:val="fr-FR"/>
        </w:rPr>
        <w:t>l’élément</w:t>
      </w:r>
      <w:r w:rsidRPr="00525E52">
        <w:rPr>
          <w:kern w:val="22"/>
          <w:szCs w:val="22"/>
          <w:lang w:val="fr-FR"/>
        </w:rPr>
        <w:t xml:space="preserve"> des </w:t>
      </w:r>
      <w:r w:rsidR="00257E62">
        <w:rPr>
          <w:kern w:val="22"/>
          <w:szCs w:val="22"/>
          <w:lang w:val="fr-FR"/>
        </w:rPr>
        <w:t>connaissances est destiné à orient</w:t>
      </w:r>
      <w:r w:rsidRPr="00525E52">
        <w:rPr>
          <w:kern w:val="22"/>
          <w:szCs w:val="22"/>
          <w:lang w:val="fr-FR"/>
        </w:rPr>
        <w:t>er la gestion des connaissances par la communauté de la biodiversité à l'appui du cadre mondial de la biodiversité pour l'après-2020. Les actions proposées seront mises en œuvre et coordonnées, le cas échéant, par des acteurs gouvernementaux et non gouvernementaux, y compris les Parties aux conventions et processus liés à la biodiversité, les secrétariats des Conventions, les organisations partenaires et d'autres parties prenantes. Cette composante vise à améliorer le partage des données, des informations et des connaissances entre les conventions et les organisations liées à la biodiversité.</w:t>
      </w:r>
    </w:p>
    <w:p w14:paraId="4C9DD993" w14:textId="30BE6FD3" w:rsidR="00753D21" w:rsidRPr="00525E52" w:rsidRDefault="00753D21" w:rsidP="00561C79">
      <w:pPr>
        <w:pStyle w:val="Para1"/>
        <w:numPr>
          <w:ilvl w:val="0"/>
          <w:numId w:val="6"/>
        </w:numPr>
        <w:suppressLineNumbers/>
        <w:tabs>
          <w:tab w:val="clear" w:pos="360"/>
          <w:tab w:val="num" w:pos="720"/>
        </w:tabs>
        <w:suppressAutoHyphens/>
        <w:rPr>
          <w:kern w:val="22"/>
          <w:szCs w:val="22"/>
          <w:lang w:val="fr-FR"/>
        </w:rPr>
      </w:pPr>
      <w:r w:rsidRPr="00525E52">
        <w:rPr>
          <w:kern w:val="22"/>
          <w:lang w:val="fr-FR"/>
        </w:rPr>
        <w:t xml:space="preserve">L'objectif général est de faciliter et de soutenir la mise en œuvre </w:t>
      </w:r>
      <w:r w:rsidR="00257E62">
        <w:rPr>
          <w:kern w:val="22"/>
          <w:lang w:val="fr-FR"/>
        </w:rPr>
        <w:t>effectiv</w:t>
      </w:r>
      <w:r w:rsidR="00AB2B32" w:rsidRPr="00525E52">
        <w:rPr>
          <w:kern w:val="22"/>
          <w:lang w:val="fr-FR"/>
        </w:rPr>
        <w:t>e</w:t>
      </w:r>
      <w:r w:rsidRPr="00525E52">
        <w:rPr>
          <w:kern w:val="22"/>
          <w:lang w:val="fr-FR"/>
        </w:rPr>
        <w:t xml:space="preserve"> du cadre mondial de la biodiversité pour l’après-2020 en améliorant la production, la collecte, l'organisation, le partage et l'utilisation des données, des informations et des connaissances pertinentes par la communauté mondiale. Pour ce faire, il faudrait créer une culture de partage des connaissances et favoriser les réseaux de collaboration et les communautés de pratique en ligne. Il faudrait également analyser, partager et exploiter les expériences et les enseignements tirés de diverses initiatives de gestion des connaissances en matière de biodiversité. En outre, la planification nationale et le suivi des plans et engagements nationaux sont essentiels pour identifier les domaines dans lesquels des actions sont nécessaires. </w:t>
      </w:r>
      <w:r w:rsidR="00B320F6">
        <w:rPr>
          <w:kern w:val="22"/>
          <w:lang w:val="fr-FR"/>
        </w:rPr>
        <w:t xml:space="preserve">La composante sur la gestion des connaissances </w:t>
      </w:r>
      <w:r w:rsidRPr="00525E52">
        <w:rPr>
          <w:kern w:val="22"/>
          <w:lang w:val="fr-FR"/>
        </w:rPr>
        <w:t>devrait contribuer directement au suivi du cadre mondial de la biodiversité pour l’après-2020 et garantir que les données et les indicateurs soient au centre des rapports nationaux.</w:t>
      </w:r>
    </w:p>
    <w:p w14:paraId="5EB0BD5C" w14:textId="77777777" w:rsidR="00753D21" w:rsidRPr="00525E52" w:rsidRDefault="00753D21" w:rsidP="00561C79">
      <w:pPr>
        <w:pStyle w:val="Heading2"/>
        <w:numPr>
          <w:ilvl w:val="0"/>
          <w:numId w:val="9"/>
        </w:numPr>
        <w:suppressLineNumbers/>
        <w:tabs>
          <w:tab w:val="clear" w:pos="720"/>
        </w:tabs>
        <w:suppressAutoHyphens/>
        <w:ind w:left="714" w:hanging="357"/>
        <w:rPr>
          <w:kern w:val="22"/>
          <w:lang w:val="fr-FR"/>
        </w:rPr>
      </w:pPr>
      <w:r w:rsidRPr="00525E52">
        <w:rPr>
          <w:kern w:val="22"/>
          <w:lang w:val="fr-FR"/>
        </w:rPr>
        <w:lastRenderedPageBreak/>
        <w:t xml:space="preserve">Objectifs spécifiques </w:t>
      </w:r>
    </w:p>
    <w:p w14:paraId="3D5D4DE9" w14:textId="5A31F34E" w:rsidR="00753D21" w:rsidRPr="00525E52" w:rsidRDefault="00753D21" w:rsidP="00561C79">
      <w:pPr>
        <w:pStyle w:val="Para1"/>
        <w:numPr>
          <w:ilvl w:val="0"/>
          <w:numId w:val="6"/>
        </w:numPr>
        <w:suppressLineNumbers/>
        <w:tabs>
          <w:tab w:val="clear" w:pos="360"/>
          <w:tab w:val="num" w:pos="720"/>
        </w:tabs>
        <w:suppressAutoHyphens/>
        <w:rPr>
          <w:kern w:val="22"/>
          <w:lang w:val="fr-FR"/>
        </w:rPr>
      </w:pPr>
      <w:r w:rsidRPr="00525E52">
        <w:rPr>
          <w:kern w:val="22"/>
          <w:lang w:val="fr-FR"/>
        </w:rPr>
        <w:t xml:space="preserve">Les objectifs spécifiques de </w:t>
      </w:r>
      <w:r w:rsidR="00B320F6">
        <w:rPr>
          <w:kern w:val="22"/>
          <w:lang w:val="fr-FR"/>
        </w:rPr>
        <w:t xml:space="preserve">la composante sur la gestion des connaissances </w:t>
      </w:r>
      <w:r w:rsidRPr="00525E52">
        <w:rPr>
          <w:kern w:val="22"/>
          <w:lang w:val="fr-FR"/>
        </w:rPr>
        <w:t>sont de permettre aux acteurs gouvernementaux et non gouvernementaux de disposer facilement et rapidement des données, des informations et des connaissances de qualité pour faire leur travail et également de permettre aux fournisseurs d'informations sur la biodiversité de collaborer, de partager et d'exploiter ensemble les informations sur diverses plateformes, traités et processus connexes en :</w:t>
      </w:r>
    </w:p>
    <w:p w14:paraId="3F82B52B" w14:textId="70A9D8D0" w:rsidR="00753D21" w:rsidRPr="00525E52" w:rsidRDefault="00753D21" w:rsidP="005676C9">
      <w:pPr>
        <w:pStyle w:val="CBD-Para-a"/>
        <w:numPr>
          <w:ilvl w:val="1"/>
          <w:numId w:val="25"/>
        </w:numPr>
        <w:tabs>
          <w:tab w:val="clear" w:pos="1080"/>
          <w:tab w:val="clear" w:pos="2160"/>
          <w:tab w:val="num" w:pos="720"/>
        </w:tabs>
        <w:ind w:left="0" w:firstLine="709"/>
        <w:rPr>
          <w:kern w:val="22"/>
          <w:lang w:val="fr-FR"/>
        </w:rPr>
      </w:pPr>
      <w:r w:rsidRPr="00525E52">
        <w:rPr>
          <w:kern w:val="22"/>
          <w:lang w:val="fr-FR"/>
        </w:rPr>
        <w:t>Créant des environnements et des mécanismes favorables à l'amélioration de la production, de la gestion, du partage et de l'utilisation des données, des informations et des connaissan</w:t>
      </w:r>
      <w:r w:rsidR="00257E62">
        <w:rPr>
          <w:kern w:val="22"/>
          <w:lang w:val="fr-FR"/>
        </w:rPr>
        <w:t>ces relatives à la biodiversité</w:t>
      </w:r>
      <w:r w:rsidRPr="00525E52">
        <w:rPr>
          <w:kern w:val="22"/>
          <w:lang w:val="fr-FR"/>
        </w:rPr>
        <w:t>;</w:t>
      </w:r>
    </w:p>
    <w:p w14:paraId="146CFE14" w14:textId="0AA9A51C" w:rsidR="00753D21" w:rsidRPr="00525E52" w:rsidRDefault="00753D21" w:rsidP="005676C9">
      <w:pPr>
        <w:pStyle w:val="CBD-Para-a"/>
        <w:numPr>
          <w:ilvl w:val="1"/>
          <w:numId w:val="25"/>
        </w:numPr>
        <w:tabs>
          <w:tab w:val="clear" w:pos="1080"/>
          <w:tab w:val="clear" w:pos="2160"/>
          <w:tab w:val="num" w:pos="720"/>
        </w:tabs>
        <w:ind w:left="0" w:firstLine="709"/>
        <w:rPr>
          <w:kern w:val="22"/>
          <w:lang w:val="fr-FR"/>
        </w:rPr>
      </w:pPr>
      <w:r w:rsidRPr="00525E52">
        <w:rPr>
          <w:kern w:val="22"/>
          <w:lang w:val="fr-FR"/>
        </w:rPr>
        <w:t>Exploitant les systèmes, initiatives et réseaux pertinents existants de gestion des connaissances sur la biodiversité par le biais de processus multiparti</w:t>
      </w:r>
      <w:r w:rsidR="00257E62">
        <w:rPr>
          <w:kern w:val="22"/>
          <w:lang w:val="fr-FR"/>
        </w:rPr>
        <w:t>tes coordonnés et collaboratifs</w:t>
      </w:r>
      <w:r w:rsidRPr="00525E52">
        <w:rPr>
          <w:kern w:val="22"/>
          <w:lang w:val="fr-FR"/>
        </w:rPr>
        <w:t>;</w:t>
      </w:r>
    </w:p>
    <w:p w14:paraId="345BF55F" w14:textId="2A2DDCC8" w:rsidR="00753D21" w:rsidRPr="00525E52" w:rsidRDefault="00753D21" w:rsidP="005676C9">
      <w:pPr>
        <w:pStyle w:val="CBD-Para-a"/>
        <w:numPr>
          <w:ilvl w:val="1"/>
          <w:numId w:val="25"/>
        </w:numPr>
        <w:tabs>
          <w:tab w:val="clear" w:pos="1080"/>
          <w:tab w:val="clear" w:pos="2160"/>
          <w:tab w:val="num" w:pos="720"/>
        </w:tabs>
        <w:ind w:left="0" w:firstLine="709"/>
        <w:rPr>
          <w:kern w:val="22"/>
          <w:lang w:val="fr-FR"/>
        </w:rPr>
      </w:pPr>
      <w:r w:rsidRPr="00525E52">
        <w:rPr>
          <w:kern w:val="22"/>
          <w:lang w:val="fr-FR"/>
        </w:rPr>
        <w:t>Améliorant la possibilité de découvrir et d'accéder aux données, informations et connaissances relatives à la biodiversit</w:t>
      </w:r>
      <w:r w:rsidR="00257E62">
        <w:rPr>
          <w:kern w:val="22"/>
          <w:lang w:val="fr-FR"/>
        </w:rPr>
        <w:t>é à partir de sources multiples</w:t>
      </w:r>
      <w:r w:rsidRPr="00525E52">
        <w:rPr>
          <w:kern w:val="22"/>
          <w:lang w:val="fr-FR"/>
        </w:rPr>
        <w:t>;</w:t>
      </w:r>
    </w:p>
    <w:p w14:paraId="46E10884" w14:textId="701D18C4" w:rsidR="00753D21" w:rsidRPr="00525E52" w:rsidRDefault="00753D21" w:rsidP="005676C9">
      <w:pPr>
        <w:pStyle w:val="CBD-Para-a"/>
        <w:numPr>
          <w:ilvl w:val="1"/>
          <w:numId w:val="25"/>
        </w:numPr>
        <w:tabs>
          <w:tab w:val="clear" w:pos="1080"/>
          <w:tab w:val="clear" w:pos="2160"/>
          <w:tab w:val="num" w:pos="720"/>
        </w:tabs>
        <w:ind w:left="0" w:firstLine="709"/>
        <w:rPr>
          <w:kern w:val="22"/>
          <w:lang w:val="fr-FR"/>
        </w:rPr>
      </w:pPr>
      <w:r w:rsidRPr="00525E52">
        <w:rPr>
          <w:kern w:val="22"/>
          <w:lang w:val="fr-FR"/>
        </w:rPr>
        <w:t>Encourageant et permettre aux parties prenantes concernées de participer aux processus et aux réseaux de partage des co</w:t>
      </w:r>
      <w:r w:rsidR="00257E62">
        <w:rPr>
          <w:kern w:val="22"/>
          <w:lang w:val="fr-FR"/>
        </w:rPr>
        <w:t>nnaissances sur la biodiversité</w:t>
      </w:r>
      <w:r w:rsidRPr="00525E52">
        <w:rPr>
          <w:kern w:val="22"/>
          <w:lang w:val="fr-FR"/>
        </w:rPr>
        <w:t>;</w:t>
      </w:r>
    </w:p>
    <w:p w14:paraId="421082F9" w14:textId="2B8FB4F3" w:rsidR="00753D21" w:rsidRPr="00525E52" w:rsidRDefault="00753D21" w:rsidP="005676C9">
      <w:pPr>
        <w:pStyle w:val="CBD-Para-a"/>
        <w:numPr>
          <w:ilvl w:val="1"/>
          <w:numId w:val="25"/>
        </w:numPr>
        <w:tabs>
          <w:tab w:val="clear" w:pos="1080"/>
          <w:tab w:val="clear" w:pos="2160"/>
          <w:tab w:val="num" w:pos="720"/>
        </w:tabs>
        <w:ind w:left="0" w:firstLine="709"/>
        <w:rPr>
          <w:kern w:val="22"/>
          <w:lang w:val="fr-FR"/>
        </w:rPr>
      </w:pPr>
      <w:r w:rsidRPr="00525E52">
        <w:rPr>
          <w:kern w:val="22"/>
          <w:lang w:val="fr-FR"/>
        </w:rPr>
        <w:t xml:space="preserve">Renforçant les capacités des parties prenantes concernées à accéder aux données, informations et connaissances existantes en matière de biodiversité aux niveaux national, régional et </w:t>
      </w:r>
      <w:r w:rsidR="00257E62">
        <w:rPr>
          <w:kern w:val="22"/>
          <w:lang w:val="fr-FR"/>
        </w:rPr>
        <w:t>international et à les utiliser</w:t>
      </w:r>
      <w:r w:rsidRPr="00525E52">
        <w:rPr>
          <w:kern w:val="22"/>
          <w:lang w:val="fr-FR"/>
        </w:rPr>
        <w:t>;</w:t>
      </w:r>
    </w:p>
    <w:p w14:paraId="0E7D6E31" w14:textId="600A23A2" w:rsidR="00753D21" w:rsidRPr="00525E52" w:rsidRDefault="00753D21" w:rsidP="005676C9">
      <w:pPr>
        <w:pStyle w:val="CBD-Para-a"/>
        <w:numPr>
          <w:ilvl w:val="1"/>
          <w:numId w:val="25"/>
        </w:numPr>
        <w:tabs>
          <w:tab w:val="clear" w:pos="1080"/>
          <w:tab w:val="clear" w:pos="2160"/>
          <w:tab w:val="num" w:pos="720"/>
        </w:tabs>
        <w:ind w:left="0" w:firstLine="709"/>
        <w:rPr>
          <w:kern w:val="22"/>
          <w:lang w:val="fr-FR"/>
        </w:rPr>
      </w:pPr>
      <w:r w:rsidRPr="00525E52">
        <w:rPr>
          <w:kern w:val="22"/>
          <w:lang w:val="fr-FR"/>
        </w:rPr>
        <w:t>Fac</w:t>
      </w:r>
      <w:r w:rsidR="00257E62">
        <w:rPr>
          <w:kern w:val="22"/>
          <w:lang w:val="fr-FR"/>
        </w:rPr>
        <w:t>iliter le suivi et l'évaluation</w:t>
      </w:r>
      <w:r w:rsidRPr="00525E52">
        <w:rPr>
          <w:kern w:val="22"/>
          <w:lang w:val="fr-FR"/>
        </w:rPr>
        <w:t>;</w:t>
      </w:r>
    </w:p>
    <w:p w14:paraId="7CF8F835" w14:textId="7F8EA0A9" w:rsidR="00753D21" w:rsidRPr="00525E52" w:rsidRDefault="00753D21" w:rsidP="005676C9">
      <w:pPr>
        <w:pStyle w:val="CBD-Para-a"/>
        <w:keepLines w:val="0"/>
        <w:numPr>
          <w:ilvl w:val="1"/>
          <w:numId w:val="25"/>
        </w:numPr>
        <w:tabs>
          <w:tab w:val="clear" w:pos="1080"/>
          <w:tab w:val="clear" w:pos="2160"/>
          <w:tab w:val="num" w:pos="720"/>
        </w:tabs>
        <w:ind w:left="0" w:firstLine="709"/>
        <w:rPr>
          <w:kern w:val="22"/>
          <w:lang w:val="fr-FR"/>
        </w:rPr>
      </w:pPr>
      <w:r w:rsidRPr="00525E52">
        <w:rPr>
          <w:kern w:val="22"/>
          <w:lang w:val="fr-FR"/>
        </w:rPr>
        <w:t xml:space="preserve">Promouvoir le partage des données et les dialogues aux niveaux national et mondial, ainsi que les données ouvertes, les métadonnées </w:t>
      </w:r>
      <w:r w:rsidR="00257E62">
        <w:rPr>
          <w:kern w:val="22"/>
          <w:lang w:val="fr-FR"/>
        </w:rPr>
        <w:t>ouvertes et l'assurance qualité</w:t>
      </w:r>
      <w:r w:rsidRPr="00525E52">
        <w:rPr>
          <w:kern w:val="22"/>
          <w:lang w:val="fr-FR"/>
        </w:rPr>
        <w:t xml:space="preserve">; </w:t>
      </w:r>
    </w:p>
    <w:p w14:paraId="7657021C" w14:textId="77777777" w:rsidR="00753D21" w:rsidRPr="00525E52" w:rsidRDefault="00753D21" w:rsidP="005676C9">
      <w:pPr>
        <w:pStyle w:val="CBD-Para-a"/>
        <w:keepLines w:val="0"/>
        <w:numPr>
          <w:ilvl w:val="1"/>
          <w:numId w:val="25"/>
        </w:numPr>
        <w:tabs>
          <w:tab w:val="clear" w:pos="1080"/>
          <w:tab w:val="clear" w:pos="2160"/>
          <w:tab w:val="num" w:pos="720"/>
        </w:tabs>
        <w:ind w:left="0" w:firstLine="709"/>
        <w:rPr>
          <w:kern w:val="22"/>
          <w:lang w:val="fr-FR"/>
        </w:rPr>
      </w:pPr>
      <w:r w:rsidRPr="00525E52">
        <w:rPr>
          <w:kern w:val="22"/>
          <w:lang w:val="fr-FR"/>
        </w:rPr>
        <w:t>Renforcer les synergies entre les conventions relatives à la biodiversité afin de faciliter une meilleure coordination des rapports nationaux.</w:t>
      </w:r>
    </w:p>
    <w:p w14:paraId="02F8EBEE" w14:textId="082BFD7D" w:rsidR="00753D21" w:rsidRPr="00525E52" w:rsidRDefault="00753D21" w:rsidP="00561C79">
      <w:pPr>
        <w:pStyle w:val="Para1"/>
        <w:numPr>
          <w:ilvl w:val="0"/>
          <w:numId w:val="6"/>
        </w:numPr>
        <w:suppressLineNumbers/>
        <w:tabs>
          <w:tab w:val="clear" w:pos="360"/>
          <w:tab w:val="num" w:pos="720"/>
        </w:tabs>
        <w:suppressAutoHyphens/>
        <w:rPr>
          <w:kern w:val="22"/>
          <w:szCs w:val="22"/>
          <w:lang w:val="fr-FR"/>
        </w:rPr>
      </w:pPr>
      <w:r w:rsidRPr="00525E52">
        <w:rPr>
          <w:rStyle w:val="CommentReference"/>
          <w:snapToGrid/>
          <w:kern w:val="22"/>
          <w:sz w:val="22"/>
          <w:szCs w:val="22"/>
          <w:lang w:val="fr-FR"/>
        </w:rPr>
        <w:t xml:space="preserve">Ces objectifs sont complémentaires de ceux énoncés dans le cadre stratégique à long terme pour le développement </w:t>
      </w:r>
      <w:r w:rsidR="00EB7094" w:rsidRPr="00525E52">
        <w:rPr>
          <w:rStyle w:val="CommentReference"/>
          <w:snapToGrid/>
          <w:kern w:val="22"/>
          <w:sz w:val="22"/>
          <w:szCs w:val="22"/>
          <w:lang w:val="fr-FR"/>
        </w:rPr>
        <w:t>et le renforcement d</w:t>
      </w:r>
      <w:r w:rsidRPr="00525E52">
        <w:rPr>
          <w:rStyle w:val="CommentReference"/>
          <w:snapToGrid/>
          <w:kern w:val="22"/>
          <w:sz w:val="22"/>
          <w:szCs w:val="22"/>
          <w:lang w:val="fr-FR"/>
        </w:rPr>
        <w:t>es capacités (CBD/SBI/3/7/Add.1), dans les propositions visant à renforcer la coopération technique et scientifique (CBD/SBI/3/7/Add.2) et dans les propositions pour un mécanisme amélioré de planification, de notification et d'examen du cadre mondial de la biodiversité pour l’après-2020 (CBD/SBI/3/11).</w:t>
      </w:r>
    </w:p>
    <w:p w14:paraId="227FB166" w14:textId="77777777" w:rsidR="00753D21" w:rsidRPr="00525E52" w:rsidRDefault="00753D21" w:rsidP="00561C79">
      <w:pPr>
        <w:pStyle w:val="Heading2"/>
        <w:numPr>
          <w:ilvl w:val="0"/>
          <w:numId w:val="9"/>
        </w:numPr>
        <w:suppressLineNumbers/>
        <w:tabs>
          <w:tab w:val="clear" w:pos="720"/>
        </w:tabs>
        <w:suppressAutoHyphens/>
        <w:ind w:left="714" w:hanging="357"/>
        <w:rPr>
          <w:kern w:val="22"/>
          <w:lang w:val="fr-FR"/>
        </w:rPr>
      </w:pPr>
      <w:r w:rsidRPr="00525E52">
        <w:rPr>
          <w:kern w:val="22"/>
          <w:lang w:val="fr-FR"/>
        </w:rPr>
        <w:t xml:space="preserve">Résultats et étapes attendus </w:t>
      </w:r>
    </w:p>
    <w:p w14:paraId="17C568C8" w14:textId="24057EDC" w:rsidR="00753D21" w:rsidRPr="00525E52" w:rsidRDefault="00753D21" w:rsidP="00561C79">
      <w:pPr>
        <w:pStyle w:val="Para1"/>
        <w:numPr>
          <w:ilvl w:val="0"/>
          <w:numId w:val="6"/>
        </w:numPr>
        <w:suppressLineNumbers/>
        <w:tabs>
          <w:tab w:val="clear" w:pos="360"/>
          <w:tab w:val="num" w:pos="720"/>
        </w:tabs>
        <w:suppressAutoHyphens/>
        <w:rPr>
          <w:kern w:val="22"/>
          <w:lang w:val="fr-FR"/>
        </w:rPr>
      </w:pPr>
      <w:r w:rsidRPr="00525E52">
        <w:rPr>
          <w:kern w:val="22"/>
          <w:lang w:val="fr-FR"/>
        </w:rPr>
        <w:t xml:space="preserve">La mise en œuvre de </w:t>
      </w:r>
      <w:r w:rsidR="00B320F6">
        <w:rPr>
          <w:kern w:val="22"/>
          <w:lang w:val="fr-FR"/>
        </w:rPr>
        <w:t xml:space="preserve">la composante sur la gestion des connaissances </w:t>
      </w:r>
      <w:r w:rsidRPr="00525E52">
        <w:rPr>
          <w:kern w:val="22"/>
          <w:lang w:val="fr-FR"/>
        </w:rPr>
        <w:t>devrait aboutir à :</w:t>
      </w:r>
    </w:p>
    <w:p w14:paraId="0B517928" w14:textId="7CA5A6DE" w:rsidR="00753D21" w:rsidRPr="00525E52" w:rsidRDefault="00753D21" w:rsidP="005676C9">
      <w:pPr>
        <w:pStyle w:val="CBD-Para-a"/>
        <w:numPr>
          <w:ilvl w:val="1"/>
          <w:numId w:val="26"/>
        </w:numPr>
        <w:tabs>
          <w:tab w:val="clear" w:pos="1080"/>
          <w:tab w:val="clear" w:pos="2160"/>
          <w:tab w:val="num" w:pos="720"/>
        </w:tabs>
        <w:ind w:left="0" w:firstLine="709"/>
        <w:rPr>
          <w:kern w:val="22"/>
          <w:lang w:val="fr-FR"/>
        </w:rPr>
      </w:pPr>
      <w:r w:rsidRPr="00525E52">
        <w:rPr>
          <w:kern w:val="22"/>
          <w:lang w:val="fr-FR"/>
        </w:rPr>
        <w:t>La disponibilité et l’accessibilité accrues des données, informations et connaissances</w:t>
      </w:r>
      <w:r w:rsidR="00257E62">
        <w:rPr>
          <w:kern w:val="22"/>
          <w:lang w:val="fr-FR"/>
        </w:rPr>
        <w:t xml:space="preserve"> pertinentes à tous les niveaux</w:t>
      </w:r>
      <w:r w:rsidRPr="00525E52">
        <w:rPr>
          <w:kern w:val="22"/>
          <w:lang w:val="fr-FR"/>
        </w:rPr>
        <w:t>;</w:t>
      </w:r>
    </w:p>
    <w:p w14:paraId="4FA1A55C" w14:textId="5B053A49" w:rsidR="00753D21" w:rsidRPr="00525E52" w:rsidRDefault="00753D21" w:rsidP="005676C9">
      <w:pPr>
        <w:pStyle w:val="CBD-Para-a"/>
        <w:numPr>
          <w:ilvl w:val="1"/>
          <w:numId w:val="26"/>
        </w:numPr>
        <w:tabs>
          <w:tab w:val="clear" w:pos="1080"/>
          <w:tab w:val="clear" w:pos="2160"/>
          <w:tab w:val="num" w:pos="720"/>
        </w:tabs>
        <w:ind w:left="0" w:firstLine="709"/>
        <w:rPr>
          <w:kern w:val="22"/>
          <w:lang w:val="fr-FR"/>
        </w:rPr>
      </w:pPr>
      <w:r w:rsidRPr="00525E52">
        <w:rPr>
          <w:kern w:val="22"/>
          <w:lang w:val="fr-FR"/>
        </w:rPr>
        <w:t>L’adoption et l’utilisation accrues des données, des informations et des connaissances pour soutenir la mise en œuvre du cadre mondial de la</w:t>
      </w:r>
      <w:r w:rsidR="00257E62">
        <w:rPr>
          <w:kern w:val="22"/>
          <w:lang w:val="fr-FR"/>
        </w:rPr>
        <w:t xml:space="preserve"> biodiversité pour l'après-2020</w:t>
      </w:r>
      <w:r w:rsidRPr="00525E52">
        <w:rPr>
          <w:kern w:val="22"/>
          <w:lang w:val="fr-FR"/>
        </w:rPr>
        <w:t>;</w:t>
      </w:r>
    </w:p>
    <w:p w14:paraId="07518C3F" w14:textId="15B86F4D" w:rsidR="00753D21" w:rsidRPr="00525E52" w:rsidRDefault="00753D21" w:rsidP="005676C9">
      <w:pPr>
        <w:pStyle w:val="CBD-Para-a"/>
        <w:numPr>
          <w:ilvl w:val="1"/>
          <w:numId w:val="26"/>
        </w:numPr>
        <w:tabs>
          <w:tab w:val="clear" w:pos="1080"/>
          <w:tab w:val="clear" w:pos="2160"/>
          <w:tab w:val="num" w:pos="720"/>
        </w:tabs>
        <w:ind w:left="0" w:firstLine="709"/>
        <w:rPr>
          <w:kern w:val="22"/>
          <w:lang w:val="fr-FR"/>
        </w:rPr>
      </w:pPr>
      <w:r w:rsidRPr="00525E52">
        <w:rPr>
          <w:kern w:val="22"/>
          <w:lang w:val="fr-FR"/>
        </w:rPr>
        <w:t xml:space="preserve">Le renforcement de la capacité des </w:t>
      </w:r>
      <w:r w:rsidR="00B320F6">
        <w:rPr>
          <w:kern w:val="22"/>
          <w:lang w:val="fr-FR"/>
        </w:rPr>
        <w:t>gouvernements</w:t>
      </w:r>
      <w:r w:rsidRPr="00525E52">
        <w:rPr>
          <w:kern w:val="22"/>
          <w:lang w:val="fr-FR"/>
        </w:rPr>
        <w:t xml:space="preserve"> et des parties prenantes concernées à saisir, gérer et utiliser les données, les informations et les connaissan</w:t>
      </w:r>
      <w:r w:rsidR="00257E62">
        <w:rPr>
          <w:kern w:val="22"/>
          <w:lang w:val="fr-FR"/>
        </w:rPr>
        <w:t>ces relatives à la biodiversité</w:t>
      </w:r>
      <w:r w:rsidRPr="00525E52">
        <w:rPr>
          <w:kern w:val="22"/>
          <w:lang w:val="fr-FR"/>
        </w:rPr>
        <w:t>;</w:t>
      </w:r>
    </w:p>
    <w:p w14:paraId="5E7E0DD9" w14:textId="1609CE73" w:rsidR="00753D21" w:rsidRPr="00525E52" w:rsidRDefault="00753D21" w:rsidP="005676C9">
      <w:pPr>
        <w:pStyle w:val="CBD-Para-a"/>
        <w:numPr>
          <w:ilvl w:val="1"/>
          <w:numId w:val="26"/>
        </w:numPr>
        <w:tabs>
          <w:tab w:val="clear" w:pos="1080"/>
          <w:tab w:val="clear" w:pos="2160"/>
          <w:tab w:val="num" w:pos="720"/>
        </w:tabs>
        <w:ind w:left="0" w:firstLine="709"/>
        <w:rPr>
          <w:kern w:val="22"/>
          <w:lang w:val="fr-FR"/>
        </w:rPr>
      </w:pPr>
      <w:r w:rsidRPr="00525E52">
        <w:rPr>
          <w:kern w:val="22"/>
          <w:lang w:val="fr-FR"/>
        </w:rPr>
        <w:t xml:space="preserve">La capacité accrue des </w:t>
      </w:r>
      <w:r w:rsidR="00B320F6">
        <w:rPr>
          <w:kern w:val="22"/>
          <w:lang w:val="fr-FR"/>
        </w:rPr>
        <w:t>gouvernements</w:t>
      </w:r>
      <w:r w:rsidRPr="00525E52">
        <w:rPr>
          <w:kern w:val="22"/>
          <w:lang w:val="fr-FR"/>
        </w:rPr>
        <w:t xml:space="preserve"> et des parties prenantes à saisir, gérer et utiliser les données relatives à la biodiversité, à l’i</w:t>
      </w:r>
      <w:r w:rsidR="00257E62">
        <w:rPr>
          <w:kern w:val="22"/>
          <w:lang w:val="fr-FR"/>
        </w:rPr>
        <w:t>nformation et aux connaissances</w:t>
      </w:r>
      <w:r w:rsidRPr="00525E52">
        <w:rPr>
          <w:kern w:val="22"/>
          <w:lang w:val="fr-FR"/>
        </w:rPr>
        <w:t>;</w:t>
      </w:r>
    </w:p>
    <w:p w14:paraId="24E62A2E" w14:textId="26413D5E" w:rsidR="00753D21" w:rsidRPr="00525E52" w:rsidRDefault="00753D21" w:rsidP="005676C9">
      <w:pPr>
        <w:pStyle w:val="CBD-Para-a"/>
        <w:numPr>
          <w:ilvl w:val="1"/>
          <w:numId w:val="26"/>
        </w:numPr>
        <w:tabs>
          <w:tab w:val="clear" w:pos="1080"/>
          <w:tab w:val="clear" w:pos="2160"/>
          <w:tab w:val="num" w:pos="720"/>
        </w:tabs>
        <w:ind w:left="0" w:firstLine="709"/>
        <w:rPr>
          <w:kern w:val="22"/>
          <w:lang w:val="fr-FR"/>
        </w:rPr>
      </w:pPr>
      <w:r w:rsidRPr="00525E52">
        <w:rPr>
          <w:kern w:val="22"/>
          <w:lang w:val="fr-FR"/>
        </w:rPr>
        <w:t>L’amélioration de l'accès en temps réel aux données et aux informations pour la planification et les rapports nationaux dans le cadre des conventions relatives à la biodiversité et pour les examens mondiaux, y comp</w:t>
      </w:r>
      <w:r w:rsidR="00257E62">
        <w:rPr>
          <w:kern w:val="22"/>
          <w:lang w:val="fr-FR"/>
        </w:rPr>
        <w:t>ris dans le contexte de l'IPBES</w:t>
      </w:r>
      <w:r w:rsidRPr="00525E52">
        <w:rPr>
          <w:kern w:val="22"/>
          <w:lang w:val="fr-FR"/>
        </w:rPr>
        <w:t>;</w:t>
      </w:r>
    </w:p>
    <w:p w14:paraId="2CECF337" w14:textId="77777777" w:rsidR="00753D21" w:rsidRPr="00525E52" w:rsidRDefault="00753D21" w:rsidP="005676C9">
      <w:pPr>
        <w:pStyle w:val="CBD-Para-a"/>
        <w:numPr>
          <w:ilvl w:val="1"/>
          <w:numId w:val="26"/>
        </w:numPr>
        <w:tabs>
          <w:tab w:val="clear" w:pos="1080"/>
          <w:tab w:val="clear" w:pos="2160"/>
          <w:tab w:val="num" w:pos="720"/>
        </w:tabs>
        <w:ind w:left="0" w:firstLine="709"/>
        <w:rPr>
          <w:kern w:val="22"/>
          <w:lang w:val="fr-FR"/>
        </w:rPr>
      </w:pPr>
      <w:r w:rsidRPr="00525E52">
        <w:rPr>
          <w:kern w:val="22"/>
          <w:lang w:val="fr-FR"/>
        </w:rPr>
        <w:t>Un partage accru des informations entre les conventions et les organisations liées à la biodiversité.</w:t>
      </w:r>
    </w:p>
    <w:p w14:paraId="193B49EB" w14:textId="240E77CC" w:rsidR="00753D21" w:rsidRPr="00525E52" w:rsidRDefault="00753D21" w:rsidP="00561C79">
      <w:pPr>
        <w:pStyle w:val="Para1"/>
        <w:numPr>
          <w:ilvl w:val="0"/>
          <w:numId w:val="6"/>
        </w:numPr>
        <w:suppressLineNumbers/>
        <w:tabs>
          <w:tab w:val="clear" w:pos="360"/>
          <w:tab w:val="num" w:pos="720"/>
        </w:tabs>
        <w:suppressAutoHyphens/>
        <w:rPr>
          <w:kern w:val="22"/>
          <w:lang w:val="fr-FR"/>
        </w:rPr>
      </w:pPr>
      <w:r w:rsidRPr="00525E52">
        <w:rPr>
          <w:kern w:val="22"/>
          <w:szCs w:val="22"/>
          <w:lang w:val="fr-FR"/>
        </w:rPr>
        <w:t xml:space="preserve">Enfin, les améliorations susmentionnées devraient permettre aux </w:t>
      </w:r>
      <w:r w:rsidR="00B320F6">
        <w:rPr>
          <w:kern w:val="22"/>
          <w:szCs w:val="22"/>
          <w:lang w:val="fr-FR"/>
        </w:rPr>
        <w:t>gouvernements</w:t>
      </w:r>
      <w:r w:rsidRPr="00525E52">
        <w:rPr>
          <w:kern w:val="22"/>
          <w:szCs w:val="22"/>
          <w:lang w:val="fr-FR"/>
        </w:rPr>
        <w:t>, aux peuples autochtones et aux communautés locales, ainsi qu'à toutes les parties prenantes, le cas échéant, à :</w:t>
      </w:r>
    </w:p>
    <w:p w14:paraId="128F740C" w14:textId="29A0749E" w:rsidR="00753D21" w:rsidRPr="00525E52" w:rsidRDefault="00753D21" w:rsidP="005676C9">
      <w:pPr>
        <w:pStyle w:val="CBD-Para-a"/>
        <w:keepLines w:val="0"/>
        <w:numPr>
          <w:ilvl w:val="0"/>
          <w:numId w:val="27"/>
        </w:numPr>
        <w:tabs>
          <w:tab w:val="clear" w:pos="1080"/>
          <w:tab w:val="clear" w:pos="2160"/>
          <w:tab w:val="num" w:pos="720"/>
        </w:tabs>
        <w:ind w:left="0" w:firstLine="709"/>
        <w:rPr>
          <w:kern w:val="22"/>
          <w:lang w:val="fr-FR"/>
        </w:rPr>
      </w:pPr>
      <w:r w:rsidRPr="00525E52">
        <w:rPr>
          <w:kern w:val="22"/>
          <w:lang w:val="fr-FR"/>
        </w:rPr>
        <w:lastRenderedPageBreak/>
        <w:t>Améliorer la mise en œuvre et la prise de décision grâce à une utilisation plus efficace des données, des informations e</w:t>
      </w:r>
      <w:r w:rsidR="00257E62">
        <w:rPr>
          <w:kern w:val="22"/>
          <w:lang w:val="fr-FR"/>
        </w:rPr>
        <w:t>t des connaissances disponibles</w:t>
      </w:r>
      <w:r w:rsidRPr="00525E52">
        <w:rPr>
          <w:kern w:val="22"/>
          <w:lang w:val="fr-FR"/>
        </w:rPr>
        <w:t>;</w:t>
      </w:r>
    </w:p>
    <w:p w14:paraId="2463A243" w14:textId="1323DEEC" w:rsidR="00753D21" w:rsidRPr="00525E52" w:rsidRDefault="00753D21" w:rsidP="005676C9">
      <w:pPr>
        <w:pStyle w:val="CBD-Para-a"/>
        <w:keepLines w:val="0"/>
        <w:numPr>
          <w:ilvl w:val="0"/>
          <w:numId w:val="27"/>
        </w:numPr>
        <w:tabs>
          <w:tab w:val="clear" w:pos="1080"/>
          <w:tab w:val="clear" w:pos="2160"/>
          <w:tab w:val="num" w:pos="720"/>
        </w:tabs>
        <w:ind w:left="0" w:firstLine="709"/>
        <w:rPr>
          <w:kern w:val="22"/>
          <w:lang w:val="fr-FR"/>
        </w:rPr>
      </w:pPr>
      <w:r w:rsidRPr="00525E52">
        <w:rPr>
          <w:kern w:val="22"/>
          <w:lang w:val="fr-FR"/>
        </w:rPr>
        <w:t>Accroître l'efficacité en accédant aux travaux antérieurs et en les exploitant plutôt qu'en les répétant, et en tirant des le</w:t>
      </w:r>
      <w:r w:rsidR="00257E62">
        <w:rPr>
          <w:kern w:val="22"/>
          <w:lang w:val="fr-FR"/>
        </w:rPr>
        <w:t>çons des expériences des autres</w:t>
      </w:r>
      <w:r w:rsidRPr="00525E52">
        <w:rPr>
          <w:kern w:val="22"/>
          <w:lang w:val="fr-FR"/>
        </w:rPr>
        <w:t>;</w:t>
      </w:r>
    </w:p>
    <w:p w14:paraId="1D54BD22" w14:textId="443CCBFA" w:rsidR="00753D21" w:rsidRPr="00525E52" w:rsidRDefault="00753D21" w:rsidP="005676C9">
      <w:pPr>
        <w:pStyle w:val="CBD-Para-a"/>
        <w:keepLines w:val="0"/>
        <w:numPr>
          <w:ilvl w:val="0"/>
          <w:numId w:val="27"/>
        </w:numPr>
        <w:tabs>
          <w:tab w:val="clear" w:pos="1080"/>
          <w:tab w:val="clear" w:pos="2160"/>
          <w:tab w:val="num" w:pos="720"/>
        </w:tabs>
        <w:ind w:left="0" w:firstLine="709"/>
        <w:rPr>
          <w:kern w:val="22"/>
          <w:lang w:val="fr-FR"/>
        </w:rPr>
      </w:pPr>
      <w:r w:rsidRPr="00525E52">
        <w:rPr>
          <w:kern w:val="22"/>
          <w:lang w:val="fr-FR"/>
        </w:rPr>
        <w:t>Réduire les inefficacités dans la prestation de services en obtenant les informations nécessaires en temps utile ou en réduisant le temps pass</w:t>
      </w:r>
      <w:r w:rsidR="00257E62">
        <w:rPr>
          <w:kern w:val="22"/>
          <w:lang w:val="fr-FR"/>
        </w:rPr>
        <w:t>é à rechercher des informations</w:t>
      </w:r>
      <w:r w:rsidRPr="00525E52">
        <w:rPr>
          <w:kern w:val="22"/>
          <w:lang w:val="fr-FR"/>
        </w:rPr>
        <w:t>;</w:t>
      </w:r>
    </w:p>
    <w:p w14:paraId="56E87E31" w14:textId="5DB6E5C6" w:rsidR="00753D21" w:rsidRPr="00525E52" w:rsidRDefault="00753D21" w:rsidP="005676C9">
      <w:pPr>
        <w:pStyle w:val="CBD-Para-a"/>
        <w:keepLines w:val="0"/>
        <w:numPr>
          <w:ilvl w:val="0"/>
          <w:numId w:val="27"/>
        </w:numPr>
        <w:tabs>
          <w:tab w:val="clear" w:pos="1080"/>
          <w:tab w:val="clear" w:pos="2160"/>
          <w:tab w:val="num" w:pos="720"/>
        </w:tabs>
        <w:ind w:left="0" w:firstLine="709"/>
        <w:rPr>
          <w:kern w:val="22"/>
          <w:lang w:val="fr-FR"/>
        </w:rPr>
      </w:pPr>
      <w:r w:rsidRPr="00525E52">
        <w:rPr>
          <w:kern w:val="22"/>
          <w:lang w:val="fr-FR"/>
        </w:rPr>
        <w:t>Améliorer la communication et le développement professionnel et organisationnel en augmentant l'apprentissage au sein des gou</w:t>
      </w:r>
      <w:r w:rsidR="00257E62">
        <w:rPr>
          <w:kern w:val="22"/>
          <w:lang w:val="fr-FR"/>
        </w:rPr>
        <w:t>vernements et des organisations</w:t>
      </w:r>
      <w:r w:rsidRPr="00525E52">
        <w:rPr>
          <w:kern w:val="22"/>
          <w:lang w:val="fr-FR"/>
        </w:rPr>
        <w:t>;</w:t>
      </w:r>
    </w:p>
    <w:p w14:paraId="303E0A86" w14:textId="77777777" w:rsidR="00753D21" w:rsidRPr="00525E52" w:rsidRDefault="00753D21" w:rsidP="005676C9">
      <w:pPr>
        <w:pStyle w:val="CBD-Para-a"/>
        <w:keepLines w:val="0"/>
        <w:numPr>
          <w:ilvl w:val="0"/>
          <w:numId w:val="27"/>
        </w:numPr>
        <w:tabs>
          <w:tab w:val="clear" w:pos="1080"/>
          <w:tab w:val="clear" w:pos="2160"/>
          <w:tab w:val="num" w:pos="720"/>
        </w:tabs>
        <w:ind w:left="0" w:firstLine="709"/>
        <w:rPr>
          <w:kern w:val="22"/>
          <w:lang w:val="fr-FR"/>
        </w:rPr>
      </w:pPr>
      <w:r w:rsidRPr="00525E52">
        <w:rPr>
          <w:kern w:val="22"/>
          <w:lang w:val="fr-FR"/>
        </w:rPr>
        <w:t>Faciliter l'innovation en tirant parti des ressources de connaissances existantes pour créer de nouveaux produits.</w:t>
      </w:r>
    </w:p>
    <w:p w14:paraId="57267FA9" w14:textId="77777777" w:rsidR="00753D21" w:rsidRPr="00525E52" w:rsidRDefault="00753D21" w:rsidP="00257E62">
      <w:pPr>
        <w:pStyle w:val="Heading1"/>
        <w:suppressLineNumbers/>
        <w:tabs>
          <w:tab w:val="clear" w:pos="720"/>
          <w:tab w:val="left" w:pos="426"/>
        </w:tabs>
        <w:suppressAutoHyphens/>
        <w:spacing w:before="120"/>
        <w:ind w:left="709" w:hanging="567"/>
        <w:jc w:val="left"/>
        <w:rPr>
          <w:bCs/>
          <w:kern w:val="22"/>
          <w:lang w:val="fr-FR"/>
        </w:rPr>
      </w:pPr>
      <w:r w:rsidRPr="00525E52">
        <w:rPr>
          <w:bCs/>
          <w:kern w:val="22"/>
          <w:lang w:val="fr-FR"/>
        </w:rPr>
        <w:t>iii.</w:t>
      </w:r>
      <w:r w:rsidRPr="00525E52">
        <w:rPr>
          <w:bCs/>
          <w:kern w:val="22"/>
          <w:lang w:val="fr-FR"/>
        </w:rPr>
        <w:tab/>
      </w:r>
      <w:r w:rsidRPr="00525E52">
        <w:rPr>
          <w:bCs/>
          <w:kern w:val="22"/>
          <w:lang w:val="fr-FR"/>
        </w:rPr>
        <w:tab/>
      </w:r>
      <w:r w:rsidRPr="00525E52">
        <w:rPr>
          <w:rFonts w:ascii="Times" w:hAnsi="Times"/>
          <w:bCs/>
          <w:kern w:val="22"/>
          <w:lang w:val="fr-FR"/>
        </w:rPr>
        <w:t>stratÉgies pour amÉliorer la gestion des connaissances sur la biodiversitÉ</w:t>
      </w:r>
    </w:p>
    <w:p w14:paraId="7AFC4D15" w14:textId="66B173C8" w:rsidR="00753D21" w:rsidRPr="00525E52" w:rsidRDefault="00753D21" w:rsidP="00561C79">
      <w:pPr>
        <w:pStyle w:val="Para1"/>
        <w:numPr>
          <w:ilvl w:val="0"/>
          <w:numId w:val="6"/>
        </w:numPr>
        <w:suppressLineNumbers/>
        <w:tabs>
          <w:tab w:val="clear" w:pos="360"/>
          <w:tab w:val="num" w:pos="720"/>
        </w:tabs>
        <w:suppressAutoHyphens/>
        <w:rPr>
          <w:kern w:val="22"/>
          <w:szCs w:val="22"/>
          <w:lang w:val="fr-FR"/>
        </w:rPr>
      </w:pPr>
      <w:r w:rsidRPr="00525E52">
        <w:rPr>
          <w:rFonts w:eastAsia="Malgun Gothic"/>
          <w:kern w:val="22"/>
          <w:lang w:val="fr-FR"/>
        </w:rPr>
        <w:t>Cette section décrit les grandes catégories de stratégies que doivent entreprendre les Parties, les organisations concernées et les secrétariats des conventions, selon le cas, pour améliorer les étapes suivantes du cycle de gestion des connaissances à l'appui du cadre mondial de la biodiversité pour l'après-2020. Les principales actions stratégiques spécifiques destinées à faciliter la mise en œuvre de cette composante, y compris les calendriers proposés et une liste indicative des principaux responsables de la mise en œuvre des différentes actions, sont présentées à l'annexe I. Les actions stratégiques proposées sont regroupées selon les étapes suivantes du cycle de gestion des connaissances : productio</w:t>
      </w:r>
      <w:r w:rsidR="00257E62">
        <w:rPr>
          <w:rFonts w:eastAsia="Malgun Gothic"/>
          <w:kern w:val="22"/>
          <w:lang w:val="fr-FR"/>
        </w:rPr>
        <w:t>n et synthèse des connaissances</w:t>
      </w:r>
      <w:r w:rsidRPr="00525E52">
        <w:rPr>
          <w:rFonts w:eastAsia="Malgun Gothic"/>
          <w:kern w:val="22"/>
          <w:lang w:val="fr-FR"/>
        </w:rPr>
        <w:t>; découvert</w:t>
      </w:r>
      <w:r w:rsidR="00257E62">
        <w:rPr>
          <w:rFonts w:eastAsia="Malgun Gothic"/>
          <w:kern w:val="22"/>
          <w:lang w:val="fr-FR"/>
        </w:rPr>
        <w:t>e et collecte des connaissances</w:t>
      </w:r>
      <w:r w:rsidRPr="00525E52">
        <w:rPr>
          <w:rFonts w:eastAsia="Malgun Gothic"/>
          <w:kern w:val="22"/>
          <w:lang w:val="fr-FR"/>
        </w:rPr>
        <w:t>; organisati</w:t>
      </w:r>
      <w:r w:rsidR="00257E62">
        <w:rPr>
          <w:rFonts w:eastAsia="Malgun Gothic"/>
          <w:kern w:val="22"/>
          <w:lang w:val="fr-FR"/>
        </w:rPr>
        <w:t>on et partage des connaissances</w:t>
      </w:r>
      <w:r w:rsidRPr="00525E52">
        <w:rPr>
          <w:rFonts w:eastAsia="Malgun Gothic"/>
          <w:kern w:val="22"/>
          <w:lang w:val="fr-FR"/>
        </w:rPr>
        <w:t>; utilisatio</w:t>
      </w:r>
      <w:r w:rsidR="00257E62">
        <w:rPr>
          <w:rFonts w:eastAsia="Malgun Gothic"/>
          <w:kern w:val="22"/>
          <w:lang w:val="fr-FR"/>
        </w:rPr>
        <w:t>n/application des connaissances</w:t>
      </w:r>
      <w:r w:rsidRPr="00525E52">
        <w:rPr>
          <w:rFonts w:eastAsia="Malgun Gothic"/>
          <w:kern w:val="22"/>
          <w:lang w:val="fr-FR"/>
        </w:rPr>
        <w:t>; et audit et examen des connaissances afin d'identifier les lacunes en matière de connaissances et d'améliorer la planification et l’établissement des priorités au niveau national, tout en tenant compte des priorités mondiales.</w:t>
      </w:r>
      <w:r w:rsidRPr="00525E52">
        <w:rPr>
          <w:kern w:val="22"/>
          <w:lang w:val="fr-FR"/>
        </w:rPr>
        <w:t xml:space="preserve"> </w:t>
      </w:r>
    </w:p>
    <w:p w14:paraId="3C2624E7" w14:textId="77777777" w:rsidR="00753D21" w:rsidRPr="00525E52" w:rsidRDefault="00753D21" w:rsidP="00561C79">
      <w:pPr>
        <w:pStyle w:val="Heading2"/>
        <w:numPr>
          <w:ilvl w:val="0"/>
          <w:numId w:val="10"/>
        </w:numPr>
        <w:suppressLineNumbers/>
        <w:tabs>
          <w:tab w:val="clear" w:pos="720"/>
        </w:tabs>
        <w:suppressAutoHyphens/>
        <w:ind w:left="714" w:hanging="357"/>
        <w:rPr>
          <w:kern w:val="22"/>
          <w:lang w:val="fr-FR"/>
        </w:rPr>
      </w:pPr>
      <w:r w:rsidRPr="00525E52">
        <w:rPr>
          <w:kern w:val="22"/>
          <w:lang w:val="fr-FR"/>
        </w:rPr>
        <w:t>Promouvoir la production et la synthèse des connaissances</w:t>
      </w:r>
    </w:p>
    <w:p w14:paraId="1E627894" w14:textId="2FC52455"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lang w:val="fr-FR"/>
        </w:rPr>
        <w:t xml:space="preserve">La production et la synthèse des connaissances englobent la création et l'avancement de nouvelles connaissances et la constitution d'une base de données probantes, principalement par le biais de la recherche et d'initiatives universitaires, ainsi que l'analyse des informations fournies par les </w:t>
      </w:r>
      <w:r w:rsidR="00B320F6">
        <w:rPr>
          <w:kern w:val="22"/>
          <w:lang w:val="fr-FR"/>
        </w:rPr>
        <w:t>gouvernements</w:t>
      </w:r>
      <w:r w:rsidRPr="00525E52">
        <w:rPr>
          <w:kern w:val="22"/>
          <w:lang w:val="fr-FR"/>
        </w:rPr>
        <w:t>, les organisations concernées et d'autres sources. Parmi les exemples d'organisations et de processus contribuant à la production et à la synthèse d'informations et de connaissances liées à la biodiversité, on peut citer les instituts de recherche universitaires, GEO-BON, IPBES,</w:t>
      </w:r>
      <w:r w:rsidRPr="00525E52">
        <w:rPr>
          <w:rStyle w:val="FootnoteReference"/>
          <w:kern w:val="22"/>
          <w:lang w:val="fr-FR"/>
        </w:rPr>
        <w:footnoteReference w:id="23"/>
      </w:r>
      <w:r w:rsidRPr="00525E52">
        <w:rPr>
          <w:kern w:val="22"/>
          <w:lang w:val="fr-FR"/>
        </w:rPr>
        <w:t xml:space="preserve"> les évaluations mondiales de l'Organisation des Nations unies pour l'alimentation et l'agriculture (FAO), le PNUE-WCMC, etc.</w:t>
      </w:r>
    </w:p>
    <w:p w14:paraId="42B88442" w14:textId="77777777" w:rsidR="00753D21" w:rsidRPr="00525E52" w:rsidRDefault="00753D21" w:rsidP="00561C79">
      <w:pPr>
        <w:pStyle w:val="Heading2"/>
        <w:numPr>
          <w:ilvl w:val="0"/>
          <w:numId w:val="10"/>
        </w:numPr>
        <w:suppressLineNumbers/>
        <w:tabs>
          <w:tab w:val="clear" w:pos="720"/>
        </w:tabs>
        <w:suppressAutoHyphens/>
        <w:ind w:left="714" w:hanging="357"/>
        <w:rPr>
          <w:kern w:val="22"/>
          <w:lang w:val="fr-FR"/>
        </w:rPr>
      </w:pPr>
      <w:r w:rsidRPr="00525E52">
        <w:rPr>
          <w:kern w:val="22"/>
          <w:lang w:val="fr-FR"/>
        </w:rPr>
        <w:t>Faciliter la découverte et la collecte des connaissances</w:t>
      </w:r>
    </w:p>
    <w:p w14:paraId="3BB69E2F" w14:textId="77777777"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lang w:val="fr-FR"/>
        </w:rPr>
        <w:t>La découverte et la collecte de connaissances sont un élément essentiel de cette composante</w:t>
      </w:r>
      <w:r w:rsidRPr="00525E52">
        <w:rPr>
          <w:rStyle w:val="FootnoteReference"/>
          <w:kern w:val="22"/>
          <w:lang w:val="fr-FR"/>
        </w:rPr>
        <w:footnoteReference w:id="24"/>
      </w:r>
      <w:r w:rsidRPr="00525E52">
        <w:rPr>
          <w:kern w:val="22"/>
          <w:lang w:val="fr-FR"/>
        </w:rPr>
        <w:t>.  À mesure que la production de connaissances augmente et que des quantités massives de données, d'informations et de connaissances sont stockées dans des bibliothèques et des bases de données numériques dans le monde entier, il devient difficile de les identifier et d'y accéder. Il est nécessaire de comprendre l'étendue de ce qui est collecté dans l'ensemble des sources et de garder une trace des sources pertinentes. Certaines de ces sources sont accessibles au public, tandis que d'autres sont gérées comme des ressources payantes et/ou privées. Un certain nombre d'efforts sont en cours pour identifier et compiler les sources existantes de données, d'informations et de connaissances sur la biodiversité, y compris celles identifiées dans les recueils du PNUE-WCMC mentionnés ci-dessus. Ces efforts doivent être élargis et développés pour soutenir le cadre mondial de la biodiversité pour l’après-2020.</w:t>
      </w:r>
    </w:p>
    <w:p w14:paraId="67DF527B" w14:textId="77777777" w:rsidR="00753D21" w:rsidRPr="00525E52" w:rsidRDefault="00753D21" w:rsidP="00561C79">
      <w:pPr>
        <w:pStyle w:val="Heading2"/>
        <w:numPr>
          <w:ilvl w:val="0"/>
          <w:numId w:val="10"/>
        </w:numPr>
        <w:suppressLineNumbers/>
        <w:tabs>
          <w:tab w:val="clear" w:pos="720"/>
        </w:tabs>
        <w:suppressAutoHyphens/>
        <w:ind w:left="714" w:hanging="357"/>
        <w:rPr>
          <w:kern w:val="22"/>
          <w:lang w:val="fr-FR"/>
        </w:rPr>
      </w:pPr>
      <w:r w:rsidRPr="00525E52">
        <w:rPr>
          <w:kern w:val="22"/>
          <w:lang w:val="fr-FR"/>
        </w:rPr>
        <w:lastRenderedPageBreak/>
        <w:t>Améliorer l’organisation et le partage des connaissances</w:t>
      </w:r>
    </w:p>
    <w:p w14:paraId="7D6C179D" w14:textId="77777777"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Les connaissances générées ou collectées doivent être organisées, cataloguées et cartographiées à l'aide de métadonnées et de descripteurs appropriés pour faciliter la recherche, l'accessibilité et l'extraction. Des acteurs clés tels que GBIF, GEO-BON, InforMEA et PNUE-WCMC ont développé des normes qui peuvent être élaborées et partagées davantage. Il est possible d'améliorer l'accès à l'information en assurant un marquage complet des métadonnées, y compris le marquage par sujet des objets de connaissance. L'utilisation cohérente d'une terminologie partagée augmente la facilité de recherche, tout comme l'indexation en texte intégral. L'amélioration de l'interopérabilité des systèmes de recherche, la normalisation et l'utilisation de descripteurs communs permettront de mieux trouver les informations.</w:t>
      </w:r>
    </w:p>
    <w:p w14:paraId="36D2E78F" w14:textId="20697DBF"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Bien qu'il existe de nombreuses collections de données, d'informations et de connaissances sur la biodiversité, il reste difficile de les trouver et de les partager. En outre, toutes les informations ne sont pas mises à disposition en libre accès, ce qui rend leur accès et leur utilisation difficiles pour toutes les parties prenantes, et plus particulièrement pour celles des pays en développement. Il faudrait davantage du travail pour permettre aux utilisateurs de trouver et d'accéder plus facilement aux informations et aux connaissances disponibles dans des formats compréhensibles. Ce dernier objectif pourrait être atteint en tirant parti des technologies modernes pour améliorer l'intégration des données, des informations et des connaissances et la visualisation des résultats de recherche. Conformément aux normes internationales et aux meilleures pratiques, les secrétariats des conventions relatives à la bio</w:t>
      </w:r>
      <w:r w:rsidR="009729E1" w:rsidRPr="00525E52">
        <w:rPr>
          <w:kern w:val="22"/>
          <w:szCs w:val="22"/>
          <w:lang w:val="fr-FR"/>
        </w:rPr>
        <w:t>diversité ont élaboré plusieur</w:t>
      </w:r>
      <w:r w:rsidRPr="00525E52">
        <w:rPr>
          <w:kern w:val="22"/>
          <w:szCs w:val="22"/>
          <w:lang w:val="fr-FR"/>
        </w:rPr>
        <w:t>s « </w:t>
      </w:r>
      <w:r w:rsidR="009729E1" w:rsidRPr="00525E52">
        <w:rPr>
          <w:kern w:val="22"/>
          <w:szCs w:val="22"/>
          <w:lang w:val="fr-FR"/>
        </w:rPr>
        <w:t xml:space="preserve">modèles </w:t>
      </w:r>
      <w:r w:rsidRPr="00525E52">
        <w:rPr>
          <w:kern w:val="22"/>
          <w:szCs w:val="22"/>
          <w:lang w:val="fr-FR"/>
        </w:rPr>
        <w:t>communs » qui sont utilisés pour décrire les informations fréquemment recueillies.</w:t>
      </w:r>
    </w:p>
    <w:p w14:paraId="540A26CC" w14:textId="77777777" w:rsidR="00753D21" w:rsidRPr="00525E52" w:rsidRDefault="00753D21" w:rsidP="00561C79">
      <w:pPr>
        <w:pStyle w:val="Heading2"/>
        <w:numPr>
          <w:ilvl w:val="0"/>
          <w:numId w:val="10"/>
        </w:numPr>
        <w:suppressLineNumbers/>
        <w:tabs>
          <w:tab w:val="clear" w:pos="720"/>
        </w:tabs>
        <w:suppressAutoHyphens/>
        <w:spacing w:after="0"/>
        <w:ind w:left="714" w:hanging="357"/>
        <w:rPr>
          <w:kern w:val="22"/>
          <w:lang w:val="fr-FR"/>
        </w:rPr>
      </w:pPr>
      <w:r w:rsidRPr="00525E52">
        <w:rPr>
          <w:kern w:val="22"/>
          <w:lang w:val="fr-FR"/>
        </w:rPr>
        <w:t>Promouvoir l’utilisation et l’application efficace des connaissances</w:t>
      </w:r>
    </w:p>
    <w:p w14:paraId="247F55C0" w14:textId="28856CFC"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 xml:space="preserve">Comme indiqué ci-dessus, les </w:t>
      </w:r>
      <w:r w:rsidR="00B320F6">
        <w:rPr>
          <w:kern w:val="22"/>
          <w:szCs w:val="22"/>
          <w:lang w:val="fr-FR"/>
        </w:rPr>
        <w:t>gouvernements</w:t>
      </w:r>
      <w:r w:rsidRPr="00525E52">
        <w:rPr>
          <w:kern w:val="22"/>
          <w:szCs w:val="22"/>
          <w:lang w:val="fr-FR"/>
        </w:rPr>
        <w:t>, les organisations et les autres parties prenantes disposent collectivement d'une grande quantité de données, d'informations et de connaissances sur la biodiversité stockées dans des bases de données, des bibliothèques et d'autres recueils. Cependant, cette richesse de données n'a de valeur que si elle est partagée et utilisée efficacement pour soutenir la planification de la biodiversité, l'élaboration des politiques, la prise de décision, la mise en œuvre, le suivi, l'examen et les processus de notification.</w:t>
      </w:r>
    </w:p>
    <w:p w14:paraId="440960F8" w14:textId="77777777" w:rsidR="00753D21" w:rsidRPr="00525E52" w:rsidRDefault="00753D21" w:rsidP="00561C79">
      <w:pPr>
        <w:pStyle w:val="Para1"/>
        <w:numPr>
          <w:ilvl w:val="0"/>
          <w:numId w:val="6"/>
        </w:numPr>
        <w:suppressLineNumbers/>
        <w:tabs>
          <w:tab w:val="clear" w:pos="360"/>
        </w:tabs>
        <w:suppressAutoHyphens/>
        <w:rPr>
          <w:kern w:val="22"/>
          <w:szCs w:val="22"/>
          <w:lang w:val="fr-FR"/>
        </w:rPr>
      </w:pPr>
      <w:r w:rsidRPr="00525E52">
        <w:rPr>
          <w:kern w:val="22"/>
          <w:szCs w:val="22"/>
          <w:lang w:val="fr-FR"/>
        </w:rPr>
        <w:t>Diverses initiatives, telles que l'IPBES et le projet Connect, ont permis de progresser dans l'aide apportée aux gouvernements et aux parties prenantes pour intégrer les données sur la biodiversité dans le processus décisionnel. L’objectif du projet Connect est d'assurer que la biodiversité est bien prise en compte lors de la prise de décision dans les différents secteurs gouvernementaux en améliorant l'accès des décideurs du développement aux informations sur la biodiversité et leur utilisation, et en intégrant les informations sur la biodiversité dans les processus décisionnels nationaux en matière de développement. De telles initiatives doivent promouvoir la contextualisation et l'utilisation des connaissances existantes en matière d'information pour soutenir la politique, la planification, la prise de décision, la mise en œuvre, le suivi et la présentation de rapports.</w:t>
      </w:r>
    </w:p>
    <w:p w14:paraId="36D9E91B" w14:textId="77777777" w:rsidR="00753D21" w:rsidRPr="00525E52" w:rsidRDefault="00753D21" w:rsidP="00561C79">
      <w:pPr>
        <w:pStyle w:val="Heading2"/>
        <w:numPr>
          <w:ilvl w:val="0"/>
          <w:numId w:val="10"/>
        </w:numPr>
        <w:suppressLineNumbers/>
        <w:tabs>
          <w:tab w:val="clear" w:pos="720"/>
        </w:tabs>
        <w:suppressAutoHyphens/>
        <w:ind w:left="714" w:hanging="357"/>
        <w:rPr>
          <w:kern w:val="22"/>
          <w:lang w:val="fr-FR"/>
        </w:rPr>
      </w:pPr>
      <w:r w:rsidRPr="00525E52">
        <w:rPr>
          <w:kern w:val="22"/>
          <w:lang w:val="fr-FR"/>
        </w:rPr>
        <w:t>Réalisation d’audits et d’examens des connaissances</w:t>
      </w:r>
    </w:p>
    <w:p w14:paraId="60D07092" w14:textId="0724352E" w:rsidR="00753D21" w:rsidRPr="00525E52" w:rsidRDefault="00753D21" w:rsidP="005676C9">
      <w:pPr>
        <w:pStyle w:val="Para1"/>
        <w:numPr>
          <w:ilvl w:val="0"/>
          <w:numId w:val="6"/>
        </w:numPr>
        <w:suppressLineNumbers/>
        <w:tabs>
          <w:tab w:val="clear" w:pos="360"/>
        </w:tabs>
        <w:suppressAutoHyphens/>
        <w:spacing w:after="240"/>
        <w:rPr>
          <w:kern w:val="22"/>
          <w:szCs w:val="22"/>
          <w:lang w:val="fr-FR"/>
        </w:rPr>
      </w:pPr>
      <w:r w:rsidRPr="00525E52">
        <w:rPr>
          <w:kern w:val="22"/>
          <w:lang w:val="fr-FR"/>
        </w:rPr>
        <w:t xml:space="preserve">Des audits et des examens des connaissances seront menés périodiquement pour évaluer la manière dont </w:t>
      </w:r>
      <w:r w:rsidR="00B320F6">
        <w:rPr>
          <w:kern w:val="22"/>
          <w:lang w:val="fr-FR"/>
        </w:rPr>
        <w:t xml:space="preserve">la composante sur la gestion des connaissances </w:t>
      </w:r>
      <w:r w:rsidRPr="00525E52">
        <w:rPr>
          <w:kern w:val="22"/>
          <w:lang w:val="fr-FR"/>
        </w:rPr>
        <w:t>contribue à la réalisation des buts stratégiques et objectifs du cadre mondial de la biodiversité pour l’après après-2020, pour identifier les lacunes en matière de connaissances et améliorer la planification et l’établissement des priorités au niveau national, tout en tenant compte des priorités mondiales. Différentes méthodes, notamment l'analyse des forces, faiblesses, opportunités et menaces (SWOT), seront utilisées, le cas échéant.</w:t>
      </w:r>
    </w:p>
    <w:p w14:paraId="377B80FC" w14:textId="4C307D97" w:rsidR="00753D21" w:rsidRPr="00525E52" w:rsidRDefault="00753D21" w:rsidP="00753D21">
      <w:pPr>
        <w:pStyle w:val="Heading1"/>
        <w:suppressLineNumbers/>
        <w:suppressAutoHyphens/>
        <w:spacing w:before="120"/>
        <w:rPr>
          <w:rFonts w:ascii="Times" w:hAnsi="Times"/>
          <w:bCs/>
          <w:kern w:val="22"/>
          <w:lang w:val="fr-FR"/>
        </w:rPr>
      </w:pPr>
      <w:r w:rsidRPr="00525E52">
        <w:rPr>
          <w:rFonts w:ascii="Times" w:hAnsi="Times"/>
          <w:bCs/>
          <w:kern w:val="22"/>
          <w:lang w:val="fr-FR"/>
        </w:rPr>
        <w:t>IV.</w:t>
      </w:r>
      <w:r w:rsidRPr="00525E52">
        <w:rPr>
          <w:rFonts w:ascii="Times" w:hAnsi="Times"/>
          <w:bCs/>
          <w:kern w:val="22"/>
          <w:lang w:val="fr-FR"/>
        </w:rPr>
        <w:tab/>
        <w:t xml:space="preserve">Mise en œuvre de </w:t>
      </w:r>
      <w:r w:rsidR="00B320F6">
        <w:rPr>
          <w:rFonts w:ascii="Times" w:hAnsi="Times"/>
          <w:bCs/>
          <w:kern w:val="22"/>
          <w:lang w:val="fr-FR"/>
        </w:rPr>
        <w:t>la composante</w:t>
      </w:r>
      <w:r w:rsidR="00C648C4" w:rsidRPr="00525E52">
        <w:rPr>
          <w:rFonts w:ascii="Times" w:hAnsi="Times"/>
          <w:bCs/>
          <w:kern w:val="22"/>
          <w:lang w:val="fr-FR"/>
        </w:rPr>
        <w:t xml:space="preserve"> sur la gestion des connaissances</w:t>
      </w:r>
    </w:p>
    <w:p w14:paraId="18100543" w14:textId="619BA70E" w:rsidR="00753D21" w:rsidRPr="00525E52" w:rsidRDefault="00B320F6" w:rsidP="00561C79">
      <w:pPr>
        <w:pStyle w:val="Para1"/>
        <w:numPr>
          <w:ilvl w:val="0"/>
          <w:numId w:val="6"/>
        </w:numPr>
        <w:suppressLineNumbers/>
        <w:tabs>
          <w:tab w:val="clear" w:pos="360"/>
          <w:tab w:val="num" w:pos="720"/>
        </w:tabs>
        <w:suppressAutoHyphens/>
        <w:rPr>
          <w:kern w:val="22"/>
          <w:szCs w:val="22"/>
          <w:lang w:val="fr-FR"/>
        </w:rPr>
      </w:pPr>
      <w:r>
        <w:rPr>
          <w:kern w:val="22"/>
          <w:lang w:val="fr-FR"/>
        </w:rPr>
        <w:t xml:space="preserve">La composante sur la gestion des connaissances </w:t>
      </w:r>
      <w:r w:rsidR="00753D21" w:rsidRPr="00525E52">
        <w:rPr>
          <w:kern w:val="22"/>
          <w:lang w:val="fr-FR"/>
        </w:rPr>
        <w:t xml:space="preserve">sera mise en œuvre par les </w:t>
      </w:r>
      <w:r>
        <w:rPr>
          <w:kern w:val="22"/>
          <w:lang w:val="fr-FR"/>
        </w:rPr>
        <w:t>gouvernements</w:t>
      </w:r>
      <w:r w:rsidR="00753D21" w:rsidRPr="00525E52">
        <w:rPr>
          <w:kern w:val="22"/>
          <w:lang w:val="fr-FR"/>
        </w:rPr>
        <w:t xml:space="preserve"> et les parties prenantes concernées conformément à leurs priorités stratégiques pour mettre en œuvre le cadre mondial de la biodiversité pour l'après-2020. Les actions possibles pour faciliter la mise en œuvre de cette composante sont présentées à dans l'annexe II. Elles s'appuient sur les actions clés visant à renforcer les synergies et la coopération entre les conventions relatives à la biodiversité et les organisations internationales </w:t>
      </w:r>
      <w:r w:rsidR="00753D21" w:rsidRPr="00525E52">
        <w:rPr>
          <w:kern w:val="22"/>
          <w:lang w:val="fr-FR"/>
        </w:rPr>
        <w:lastRenderedPageBreak/>
        <w:t xml:space="preserve">dans le domaine de la gestion de l'information et des connaissances, identifiées dans la décision </w:t>
      </w:r>
      <w:hyperlink r:id="rId22" w:history="1">
        <w:r w:rsidR="00753D21" w:rsidRPr="00525E52">
          <w:rPr>
            <w:rStyle w:val="Hyperlink"/>
            <w:kern w:val="22"/>
            <w:sz w:val="22"/>
            <w:lang w:val="fr-FR"/>
          </w:rPr>
          <w:t>XIII/24</w:t>
        </w:r>
      </w:hyperlink>
      <w:r w:rsidR="00753D21" w:rsidRPr="00525E52">
        <w:rPr>
          <w:kern w:val="22"/>
          <w:lang w:val="fr-FR"/>
        </w:rPr>
        <w:t xml:space="preserve">. Ces actions seront mises en œuvre de manière à compléter le cadre stratégique à long terme pour le développement </w:t>
      </w:r>
      <w:r w:rsidR="00287924" w:rsidRPr="00525E52">
        <w:rPr>
          <w:kern w:val="22"/>
          <w:lang w:val="fr-FR"/>
        </w:rPr>
        <w:t xml:space="preserve">et le renforcement </w:t>
      </w:r>
      <w:r w:rsidR="00753D21" w:rsidRPr="00525E52">
        <w:rPr>
          <w:kern w:val="22"/>
          <w:lang w:val="fr-FR"/>
        </w:rPr>
        <w:t>des capacités, les propositions visant à renforcer la coopération technique et scientifique, le cadre pour une stratégie de communication mondiale, la stratégie en matière de données pour le secrétariat de la Convention sur la diversité biologique et le mécanisme amélioré de planification, de notification et d'examen du cadre mondial de la biodiversité pour l’après-2020.</w:t>
      </w:r>
    </w:p>
    <w:p w14:paraId="39A69A48" w14:textId="08D83059" w:rsidR="00753D21" w:rsidRPr="00525E52" w:rsidRDefault="00753D21" w:rsidP="00561C79">
      <w:pPr>
        <w:pStyle w:val="Para1"/>
        <w:numPr>
          <w:ilvl w:val="0"/>
          <w:numId w:val="6"/>
        </w:numPr>
        <w:suppressLineNumbers/>
        <w:tabs>
          <w:tab w:val="clear" w:pos="360"/>
          <w:tab w:val="num" w:pos="720"/>
        </w:tabs>
        <w:suppressAutoHyphens/>
        <w:rPr>
          <w:kern w:val="22"/>
          <w:szCs w:val="22"/>
          <w:lang w:val="fr-FR"/>
        </w:rPr>
      </w:pPr>
      <w:r w:rsidRPr="00525E52">
        <w:rPr>
          <w:kern w:val="22"/>
          <w:lang w:val="fr-FR"/>
        </w:rPr>
        <w:t xml:space="preserve">L'amélioration de la gestion des connaissances nécessitera une collaboration, une coopération et une coordination efficaces entre les </w:t>
      </w:r>
      <w:r w:rsidR="00B320F6">
        <w:rPr>
          <w:kern w:val="22"/>
          <w:lang w:val="fr-FR"/>
        </w:rPr>
        <w:t>gouvernements</w:t>
      </w:r>
      <w:r w:rsidRPr="00525E52">
        <w:rPr>
          <w:kern w:val="22"/>
          <w:lang w:val="fr-FR"/>
        </w:rPr>
        <w:t xml:space="preserve"> et les organisations pertinentes en ce qui concerne les données, les informations et les processus de connaissances sur la biodiversité. Elle peut également nécessiter la contribution et le soutien des organismes et mécanismes institutionnels pertinents aux </w:t>
      </w:r>
      <w:r w:rsidR="00B320F6">
        <w:rPr>
          <w:kern w:val="22"/>
          <w:lang w:val="fr-FR"/>
        </w:rPr>
        <w:t>gouvernements</w:t>
      </w:r>
      <w:r w:rsidRPr="00525E52">
        <w:rPr>
          <w:kern w:val="22"/>
          <w:lang w:val="fr-FR"/>
        </w:rPr>
        <w:t xml:space="preserve"> et aux autres acteurs clés (notamment les créateurs, gestionnaires, courtiers, praticiens et utilisateurs des connaissances) concernés. Ce soutien pourrait être fourni, le cas échéant, par :</w:t>
      </w:r>
    </w:p>
    <w:p w14:paraId="477985D0" w14:textId="71234495" w:rsidR="00753D21" w:rsidRPr="00525E52" w:rsidRDefault="00753D21" w:rsidP="005676C9">
      <w:pPr>
        <w:pStyle w:val="CBD-Para-a"/>
        <w:keepLines w:val="0"/>
        <w:numPr>
          <w:ilvl w:val="0"/>
          <w:numId w:val="28"/>
        </w:numPr>
        <w:tabs>
          <w:tab w:val="clear" w:pos="1080"/>
          <w:tab w:val="clear" w:pos="2160"/>
          <w:tab w:val="num" w:pos="720"/>
        </w:tabs>
        <w:ind w:left="0" w:firstLine="709"/>
        <w:rPr>
          <w:kern w:val="22"/>
          <w:lang w:val="fr-FR"/>
        </w:rPr>
      </w:pPr>
      <w:r w:rsidRPr="00525E52">
        <w:rPr>
          <w:kern w:val="22"/>
          <w:lang w:val="fr-FR"/>
        </w:rPr>
        <w:t xml:space="preserve">Les comités consultatifs existants, tels que le comité directeur de l'initiative de gestion de l'information et des connaissances sur les </w:t>
      </w:r>
      <w:r w:rsidR="002F512D">
        <w:rPr>
          <w:kern w:val="22"/>
          <w:lang w:val="fr-FR"/>
        </w:rPr>
        <w:t>accords multilatéraux sur l’environnement</w:t>
      </w:r>
      <w:r w:rsidRPr="00525E52">
        <w:rPr>
          <w:kern w:val="22"/>
          <w:lang w:val="fr-FR"/>
        </w:rPr>
        <w:t xml:space="preserve">, dirigée par le </w:t>
      </w:r>
      <w:r w:rsidR="002F512D">
        <w:rPr>
          <w:kern w:val="22"/>
          <w:lang w:val="fr-FR"/>
        </w:rPr>
        <w:t>Programme des Nations U</w:t>
      </w:r>
      <w:r w:rsidR="00EB691D">
        <w:rPr>
          <w:kern w:val="22"/>
          <w:lang w:val="fr-FR"/>
        </w:rPr>
        <w:t>nies po</w:t>
      </w:r>
      <w:r w:rsidR="002F512D">
        <w:rPr>
          <w:kern w:val="22"/>
          <w:lang w:val="fr-FR"/>
        </w:rPr>
        <w:t>ur l’environnement (PNUE)</w:t>
      </w:r>
      <w:r w:rsidRPr="00525E52">
        <w:rPr>
          <w:kern w:val="22"/>
          <w:lang w:val="fr-FR"/>
        </w:rPr>
        <w:t>;</w:t>
      </w:r>
    </w:p>
    <w:p w14:paraId="1C0F453F" w14:textId="47A3D152" w:rsidR="00753D21" w:rsidRPr="00525E52" w:rsidRDefault="00753D21" w:rsidP="005676C9">
      <w:pPr>
        <w:pStyle w:val="CBD-Para-a"/>
        <w:keepLines w:val="0"/>
        <w:numPr>
          <w:ilvl w:val="0"/>
          <w:numId w:val="28"/>
        </w:numPr>
        <w:tabs>
          <w:tab w:val="clear" w:pos="1080"/>
          <w:tab w:val="clear" w:pos="2160"/>
          <w:tab w:val="num" w:pos="720"/>
        </w:tabs>
        <w:ind w:left="0" w:firstLine="709"/>
        <w:rPr>
          <w:kern w:val="22"/>
          <w:lang w:val="fr-FR"/>
        </w:rPr>
      </w:pPr>
      <w:r w:rsidRPr="00525E52">
        <w:rPr>
          <w:kern w:val="22"/>
          <w:lang w:val="fr-FR"/>
        </w:rPr>
        <w:t>Des groupes consultatifs, tels que le groupe consultatif informel sur la coopération technique et scientifique</w:t>
      </w:r>
      <w:r w:rsidRPr="00525E52">
        <w:rPr>
          <w:rStyle w:val="FootnoteReference"/>
          <w:kern w:val="22"/>
          <w:lang w:val="fr-FR"/>
        </w:rPr>
        <w:footnoteReference w:id="25"/>
      </w:r>
      <w:r w:rsidRPr="00525E52">
        <w:rPr>
          <w:kern w:val="22"/>
          <w:lang w:val="fr-FR"/>
        </w:rPr>
        <w:t xml:space="preserve"> qui doit être créé en vertu de la décision </w:t>
      </w:r>
      <w:hyperlink r:id="rId23" w:history="1">
        <w:r w:rsidRPr="00525E52">
          <w:rPr>
            <w:rStyle w:val="Hyperlink"/>
            <w:kern w:val="22"/>
            <w:sz w:val="22"/>
            <w:lang w:val="fr-FR"/>
          </w:rPr>
          <w:t>14/24 B</w:t>
        </w:r>
      </w:hyperlink>
      <w:r w:rsidR="00257E62">
        <w:rPr>
          <w:kern w:val="22"/>
          <w:lang w:val="fr-FR"/>
        </w:rPr>
        <w:t>, paragraphe 5</w:t>
      </w:r>
      <w:r w:rsidRPr="00525E52">
        <w:rPr>
          <w:kern w:val="22"/>
          <w:lang w:val="fr-FR"/>
        </w:rPr>
        <w:t>;</w:t>
      </w:r>
    </w:p>
    <w:p w14:paraId="10E03CB5" w14:textId="513EE150" w:rsidR="00753D21" w:rsidRPr="00525E52" w:rsidRDefault="00753D21" w:rsidP="005676C9">
      <w:pPr>
        <w:pStyle w:val="CBD-Para-a"/>
        <w:keepLines w:val="0"/>
        <w:numPr>
          <w:ilvl w:val="0"/>
          <w:numId w:val="28"/>
        </w:numPr>
        <w:tabs>
          <w:tab w:val="clear" w:pos="1080"/>
          <w:tab w:val="clear" w:pos="2160"/>
          <w:tab w:val="num" w:pos="720"/>
        </w:tabs>
        <w:ind w:left="0" w:firstLine="709"/>
        <w:rPr>
          <w:kern w:val="22"/>
          <w:lang w:val="fr-FR"/>
        </w:rPr>
      </w:pPr>
      <w:r w:rsidRPr="00525E52">
        <w:rPr>
          <w:kern w:val="22"/>
          <w:lang w:val="fr-FR"/>
        </w:rPr>
        <w:t>Des réseaux informels, tels que l'Alliance pour la connaissance sur la biodiversité</w:t>
      </w:r>
      <w:r w:rsidRPr="00525E52">
        <w:rPr>
          <w:rStyle w:val="FootnoteReference"/>
          <w:kern w:val="22"/>
          <w:lang w:val="fr-FR"/>
        </w:rPr>
        <w:footnoteReference w:id="26"/>
      </w:r>
      <w:r w:rsidRPr="00525E52">
        <w:rPr>
          <w:kern w:val="22"/>
          <w:lang w:val="fr-FR"/>
        </w:rPr>
        <w:t>, qui rassemble les parties prenantes travaillant sur la collecte, la conservation ou le partage de données, d'informations et de co</w:t>
      </w:r>
      <w:r w:rsidR="00257E62">
        <w:rPr>
          <w:kern w:val="22"/>
          <w:lang w:val="fr-FR"/>
        </w:rPr>
        <w:t>nnaissances sur la biodiversité</w:t>
      </w:r>
      <w:r w:rsidRPr="00525E52">
        <w:rPr>
          <w:kern w:val="22"/>
          <w:lang w:val="fr-FR"/>
        </w:rPr>
        <w:t>;</w:t>
      </w:r>
    </w:p>
    <w:p w14:paraId="0585B5C9" w14:textId="36BFEA40" w:rsidR="00753D21" w:rsidRPr="00525E52" w:rsidRDefault="00753D21" w:rsidP="005676C9">
      <w:pPr>
        <w:pStyle w:val="CBD-Para-a"/>
        <w:keepLines w:val="0"/>
        <w:numPr>
          <w:ilvl w:val="0"/>
          <w:numId w:val="28"/>
        </w:numPr>
        <w:tabs>
          <w:tab w:val="clear" w:pos="1080"/>
          <w:tab w:val="clear" w:pos="2160"/>
          <w:tab w:val="num" w:pos="720"/>
        </w:tabs>
        <w:ind w:left="0" w:firstLine="709"/>
        <w:rPr>
          <w:kern w:val="22"/>
          <w:lang w:val="fr-FR"/>
        </w:rPr>
      </w:pPr>
      <w:r w:rsidRPr="00525E52">
        <w:rPr>
          <w:kern w:val="22"/>
          <w:lang w:val="fr-FR"/>
        </w:rPr>
        <w:t>Le partenariat élargi sur les indicateurs de biodiversité (BIP), qui comprendra un plus grand nombre d'utilisateurs et favorisera la collaboration avec la Commissio</w:t>
      </w:r>
      <w:r w:rsidR="00257E62">
        <w:rPr>
          <w:kern w:val="22"/>
          <w:lang w:val="fr-FR"/>
        </w:rPr>
        <w:t>n statistique des Nations unies</w:t>
      </w:r>
      <w:r w:rsidRPr="00525E52">
        <w:rPr>
          <w:kern w:val="22"/>
          <w:lang w:val="fr-FR"/>
        </w:rPr>
        <w:t>;</w:t>
      </w:r>
    </w:p>
    <w:p w14:paraId="759BA52D" w14:textId="77777777" w:rsidR="00753D21" w:rsidRPr="00525E52" w:rsidRDefault="00753D21" w:rsidP="005676C9">
      <w:pPr>
        <w:pStyle w:val="CBD-Para-a"/>
        <w:keepLines w:val="0"/>
        <w:numPr>
          <w:ilvl w:val="0"/>
          <w:numId w:val="28"/>
        </w:numPr>
        <w:tabs>
          <w:tab w:val="clear" w:pos="1080"/>
          <w:tab w:val="clear" w:pos="2160"/>
          <w:tab w:val="num" w:pos="720"/>
        </w:tabs>
        <w:ind w:left="0" w:firstLine="709"/>
        <w:rPr>
          <w:kern w:val="22"/>
          <w:lang w:val="fr-FR"/>
        </w:rPr>
      </w:pPr>
      <w:r w:rsidRPr="00525E52">
        <w:rPr>
          <w:kern w:val="22"/>
          <w:lang w:val="fr-FR"/>
        </w:rPr>
        <w:t>Une coalition ou un partenariat informel impliquant des organisations pertinentes, telles que le PNUE, le Programme des Nations unies pour le développement (PNUD), le Système mondial d’information sur la biodiversité (GBIF) et GEO-BON.</w:t>
      </w:r>
    </w:p>
    <w:p w14:paraId="6F1CA249" w14:textId="3208F3F8" w:rsidR="00753D21" w:rsidRPr="00525E52" w:rsidRDefault="00753D21" w:rsidP="00561C79">
      <w:pPr>
        <w:pStyle w:val="Para1"/>
        <w:numPr>
          <w:ilvl w:val="0"/>
          <w:numId w:val="6"/>
        </w:numPr>
        <w:suppressLineNumbers/>
        <w:tabs>
          <w:tab w:val="clear" w:pos="360"/>
          <w:tab w:val="num" w:pos="720"/>
        </w:tabs>
        <w:suppressAutoHyphens/>
        <w:rPr>
          <w:kern w:val="22"/>
          <w:szCs w:val="22"/>
          <w:lang w:val="fr-FR"/>
        </w:rPr>
      </w:pPr>
      <w:r w:rsidRPr="00525E52">
        <w:rPr>
          <w:kern w:val="22"/>
          <w:szCs w:val="22"/>
          <w:lang w:val="fr-FR"/>
        </w:rPr>
        <w:t>Les organisations, initiatives et processus pertinents de gestion des connaissances seront mis à profit pour s</w:t>
      </w:r>
      <w:r w:rsidR="00B320F6">
        <w:rPr>
          <w:kern w:val="22"/>
          <w:szCs w:val="22"/>
          <w:lang w:val="fr-FR"/>
        </w:rPr>
        <w:t>outenir la mise en œuvre effectiv</w:t>
      </w:r>
      <w:r w:rsidRPr="00525E52">
        <w:rPr>
          <w:kern w:val="22"/>
          <w:szCs w:val="22"/>
          <w:lang w:val="fr-FR"/>
        </w:rPr>
        <w:t xml:space="preserve">e de </w:t>
      </w:r>
      <w:r w:rsidR="00B320F6">
        <w:rPr>
          <w:kern w:val="22"/>
          <w:szCs w:val="22"/>
          <w:lang w:val="fr-FR"/>
        </w:rPr>
        <w:t>la composante sur la gestion des connaissances dans le</w:t>
      </w:r>
      <w:r w:rsidRPr="00525E52">
        <w:rPr>
          <w:kern w:val="22"/>
          <w:szCs w:val="22"/>
          <w:lang w:val="fr-FR"/>
        </w:rPr>
        <w:t xml:space="preserve"> cadre mondial de la biodiversité pour l'après-2020. Une base de données interactive en ligne de ces organisations, initiatives et processus sera créée pour favoriser la coordination, la collaboration et la complémentarité dans la production, la collecte, la gestion, le partage et l'utilisation des données, informations et connaissances relatives à la biodiversité.</w:t>
      </w:r>
    </w:p>
    <w:p w14:paraId="388ABCF0" w14:textId="77777777" w:rsidR="00753D21" w:rsidRPr="00525E52" w:rsidRDefault="00753D21" w:rsidP="00753D21">
      <w:pPr>
        <w:pStyle w:val="Heading1"/>
        <w:suppressLineNumbers/>
        <w:tabs>
          <w:tab w:val="clear" w:pos="720"/>
        </w:tabs>
        <w:suppressAutoHyphens/>
        <w:kinsoku w:val="0"/>
        <w:overflowPunct w:val="0"/>
        <w:autoSpaceDE w:val="0"/>
        <w:autoSpaceDN w:val="0"/>
        <w:spacing w:before="120"/>
        <w:ind w:left="720"/>
        <w:rPr>
          <w:kern w:val="22"/>
          <w:lang w:val="fr-FR"/>
        </w:rPr>
      </w:pPr>
      <w:r w:rsidRPr="00525E52">
        <w:rPr>
          <w:kern w:val="22"/>
          <w:lang w:val="fr-FR"/>
        </w:rPr>
        <w:t>V.</w:t>
      </w:r>
      <w:r w:rsidRPr="00525E52">
        <w:rPr>
          <w:kern w:val="22"/>
          <w:lang w:val="fr-FR"/>
        </w:rPr>
        <w:tab/>
        <w:t xml:space="preserve">Le SUIVI ET L’EXAMEN </w:t>
      </w:r>
    </w:p>
    <w:p w14:paraId="3D7F04C0" w14:textId="6096AAE1" w:rsidR="00753D21" w:rsidRPr="00525E52" w:rsidRDefault="001348D5" w:rsidP="00561C79">
      <w:pPr>
        <w:pStyle w:val="Para1"/>
        <w:numPr>
          <w:ilvl w:val="0"/>
          <w:numId w:val="6"/>
        </w:numPr>
        <w:suppressLineNumbers/>
        <w:tabs>
          <w:tab w:val="clear" w:pos="360"/>
          <w:tab w:val="num" w:pos="720"/>
        </w:tabs>
        <w:suppressAutoHyphens/>
        <w:rPr>
          <w:kern w:val="22"/>
          <w:szCs w:val="22"/>
          <w:lang w:val="fr-FR"/>
        </w:rPr>
        <w:sectPr w:rsidR="00753D21" w:rsidRPr="00525E52" w:rsidSect="00257E62">
          <w:headerReference w:type="even" r:id="rId24"/>
          <w:headerReference w:type="default" r:id="rId25"/>
          <w:pgSz w:w="12240" w:h="15840"/>
          <w:pgMar w:top="567" w:right="1389" w:bottom="1134" w:left="1389" w:header="565" w:footer="709" w:gutter="0"/>
          <w:cols w:space="708"/>
          <w:titlePg/>
          <w:docGrid w:linePitch="360"/>
        </w:sectPr>
      </w:pPr>
      <w:r>
        <w:rPr>
          <w:kern w:val="22"/>
          <w:lang w:val="fr-FR"/>
        </w:rPr>
        <w:t>La mise en</w:t>
      </w:r>
      <w:r w:rsidR="00753D21" w:rsidRPr="00525E52">
        <w:rPr>
          <w:kern w:val="22"/>
          <w:lang w:val="fr-FR"/>
        </w:rPr>
        <w:t xml:space="preserve"> œuvre de </w:t>
      </w:r>
      <w:r w:rsidR="00B320F6">
        <w:rPr>
          <w:kern w:val="22"/>
          <w:lang w:val="fr-FR"/>
        </w:rPr>
        <w:t xml:space="preserve">la composante sur la gestion des connaissances </w:t>
      </w:r>
      <w:r w:rsidR="00753D21" w:rsidRPr="00525E52">
        <w:rPr>
          <w:kern w:val="22"/>
          <w:lang w:val="fr-FR"/>
        </w:rPr>
        <w:t>sera suivie à l'aide des informations fournies par les Parties dans leurs rapports nationaux et par les organisations par le biais d</w:t>
      </w:r>
      <w:r w:rsidR="00625E81">
        <w:rPr>
          <w:kern w:val="22"/>
          <w:lang w:val="fr-FR"/>
        </w:rPr>
        <w:t xml:space="preserve">e leurs communications facultatives </w:t>
      </w:r>
      <w:r w:rsidR="00753D21" w:rsidRPr="00525E52">
        <w:rPr>
          <w:kern w:val="22"/>
          <w:lang w:val="fr-FR"/>
        </w:rPr>
        <w:t xml:space="preserve">aux secrétariats des conventions relatives à la biodiversité. </w:t>
      </w:r>
      <w:r>
        <w:rPr>
          <w:kern w:val="22"/>
          <w:lang w:val="fr-FR"/>
        </w:rPr>
        <w:t xml:space="preserve">Un indicateur principal pour la </w:t>
      </w:r>
      <w:r w:rsidR="00753D21" w:rsidRPr="00525E52">
        <w:rPr>
          <w:kern w:val="22"/>
          <w:lang w:val="fr-FR"/>
        </w:rPr>
        <w:t>gestion des connaissances s</w:t>
      </w:r>
      <w:r w:rsidR="005676C9">
        <w:rPr>
          <w:kern w:val="22"/>
          <w:lang w:val="fr-FR"/>
        </w:rPr>
        <w:t xml:space="preserve">era inclus </w:t>
      </w:r>
      <w:r w:rsidR="00753D21" w:rsidRPr="00525E52">
        <w:rPr>
          <w:kern w:val="22"/>
          <w:lang w:val="fr-FR"/>
        </w:rPr>
        <w:t>dans le cadre de suivi du cadre mondial de la biodiversité pour l’après-2020, ainsi qu’un ensemble complémentaire d'indicateurs que les acteurs gouvernement</w:t>
      </w:r>
      <w:bookmarkStart w:id="1" w:name="_GoBack"/>
      <w:bookmarkEnd w:id="1"/>
      <w:r w:rsidR="00753D21" w:rsidRPr="00525E52">
        <w:rPr>
          <w:kern w:val="22"/>
          <w:lang w:val="fr-FR"/>
        </w:rPr>
        <w:t xml:space="preserve">aux et non gouvernementaux peuvent également adapter et utiliser pour suivre, évaluer et rendre compte des résultats et de l'impact de leurs efforts de gestion des connaissances aux niveaux national et régional sera élaboré par le Secrétariat en collaboration avec des experts et des praticiens des Parties et des organisations pertinentes. Les informations générées par le processus de suivi serviront à l'examen et à la mise à jour de </w:t>
      </w:r>
      <w:r w:rsidR="002F512D">
        <w:rPr>
          <w:kern w:val="22"/>
          <w:lang w:val="fr-FR"/>
        </w:rPr>
        <w:t>l’élément</w:t>
      </w:r>
      <w:r w:rsidR="00C648C4" w:rsidRPr="00525E52">
        <w:rPr>
          <w:kern w:val="22"/>
          <w:lang w:val="fr-FR"/>
        </w:rPr>
        <w:t xml:space="preserve"> sur la gestion des connaissances</w:t>
      </w:r>
      <w:r w:rsidR="00753D21" w:rsidRPr="00525E52">
        <w:rPr>
          <w:kern w:val="22"/>
          <w:lang w:val="fr-FR"/>
        </w:rPr>
        <w:t>, le cas échéant, en 2030.</w:t>
      </w:r>
      <w:r w:rsidR="00C41D06" w:rsidRPr="00525E52">
        <w:rPr>
          <w:kern w:val="22"/>
          <w:lang w:val="fr-FR"/>
        </w:rPr>
        <w:t>]</w:t>
      </w:r>
    </w:p>
    <w:p w14:paraId="4CE6111E" w14:textId="752AABB4" w:rsidR="00753D21" w:rsidRPr="00525E52" w:rsidRDefault="00753D21" w:rsidP="00753D21">
      <w:pPr>
        <w:keepNext/>
        <w:spacing w:after="120"/>
        <w:jc w:val="center"/>
        <w:rPr>
          <w:rFonts w:asciiTheme="majorBidi" w:hAnsiTheme="majorBidi" w:cstheme="majorBidi"/>
          <w:i/>
          <w:iCs/>
          <w:kern w:val="22"/>
          <w:lang w:val="fr-FR"/>
        </w:rPr>
      </w:pPr>
      <w:r w:rsidRPr="00525E52">
        <w:rPr>
          <w:rFonts w:asciiTheme="majorBidi" w:hAnsiTheme="majorBidi" w:cstheme="majorBidi"/>
          <w:i/>
          <w:iCs/>
          <w:kern w:val="22"/>
          <w:lang w:val="fr-FR"/>
        </w:rPr>
        <w:lastRenderedPageBreak/>
        <w:t>A</w:t>
      </w:r>
      <w:r w:rsidR="00C41D06" w:rsidRPr="00525E52">
        <w:rPr>
          <w:rFonts w:asciiTheme="majorBidi" w:hAnsiTheme="majorBidi" w:cstheme="majorBidi"/>
          <w:i/>
          <w:iCs/>
          <w:kern w:val="22"/>
          <w:lang w:val="fr-FR"/>
        </w:rPr>
        <w:t>ppendice</w:t>
      </w:r>
      <w:r w:rsidRPr="00525E52">
        <w:rPr>
          <w:rFonts w:asciiTheme="majorBidi" w:hAnsiTheme="majorBidi" w:cstheme="majorBidi"/>
          <w:i/>
          <w:iCs/>
          <w:kern w:val="22"/>
          <w:lang w:val="fr-FR"/>
        </w:rPr>
        <w:t xml:space="preserve"> I</w:t>
      </w:r>
    </w:p>
    <w:p w14:paraId="312B7DCC" w14:textId="38C08D1B" w:rsidR="00753D21" w:rsidRPr="00525E52" w:rsidRDefault="00C7538D" w:rsidP="00753D21">
      <w:pPr>
        <w:keepNext/>
        <w:ind w:left="1440" w:right="1181"/>
        <w:jc w:val="center"/>
        <w:rPr>
          <w:rFonts w:asciiTheme="majorBidi" w:hAnsiTheme="majorBidi" w:cstheme="majorBidi"/>
          <w:b/>
          <w:bCs/>
          <w:kern w:val="22"/>
          <w:lang w:val="fr-FR"/>
        </w:rPr>
      </w:pPr>
      <w:r w:rsidRPr="00525E52">
        <w:rPr>
          <w:rFonts w:asciiTheme="majorBidi" w:hAnsiTheme="majorBidi" w:cstheme="majorBidi"/>
          <w:b/>
          <w:bCs/>
          <w:kern w:val="22"/>
          <w:lang w:val="fr-FR"/>
        </w:rPr>
        <w:t xml:space="preserve">MESURES STRATÉGIQUES POUR </w:t>
      </w:r>
      <w:r w:rsidR="00753D21" w:rsidRPr="00525E52">
        <w:rPr>
          <w:rFonts w:asciiTheme="majorBidi" w:hAnsiTheme="majorBidi" w:cstheme="majorBidi"/>
          <w:b/>
          <w:bCs/>
          <w:kern w:val="22"/>
          <w:lang w:val="fr-FR"/>
        </w:rPr>
        <w:t>AMÉLIORER LA G</w:t>
      </w:r>
      <w:r w:rsidRPr="00525E52">
        <w:rPr>
          <w:rFonts w:asciiTheme="majorBidi" w:hAnsiTheme="majorBidi" w:cstheme="majorBidi"/>
          <w:b/>
          <w:bCs/>
          <w:kern w:val="22"/>
          <w:lang w:val="fr-FR"/>
        </w:rPr>
        <w:t xml:space="preserve">ESTION DES </w:t>
      </w:r>
      <w:r w:rsidR="00257E62">
        <w:rPr>
          <w:rFonts w:asciiTheme="majorBidi" w:hAnsiTheme="majorBidi" w:cstheme="majorBidi"/>
          <w:b/>
          <w:bCs/>
          <w:kern w:val="22"/>
          <w:lang w:val="fr-FR"/>
        </w:rPr>
        <w:t>CONNAISSANCES POUR ASSURER LA MISE EN ŒUVRE EFFECTIV</w:t>
      </w:r>
      <w:r w:rsidR="00753D21" w:rsidRPr="00525E52">
        <w:rPr>
          <w:rFonts w:asciiTheme="majorBidi" w:hAnsiTheme="majorBidi" w:cstheme="majorBidi"/>
          <w:b/>
          <w:bCs/>
          <w:kern w:val="22"/>
          <w:lang w:val="fr-FR"/>
        </w:rPr>
        <w:t>E DU CADRE MONDIAL DE LA BIODIVERSITÉ POUR L’APRÈS-2020</w:t>
      </w:r>
    </w:p>
    <w:p w14:paraId="6C85C30A" w14:textId="77777777" w:rsidR="00753D21" w:rsidRPr="00525E52" w:rsidRDefault="00753D21" w:rsidP="00753D21">
      <w:pPr>
        <w:keepNext/>
        <w:rPr>
          <w:rFonts w:asciiTheme="majorBidi" w:hAnsiTheme="majorBidi" w:cstheme="majorBidi"/>
          <w:b/>
          <w:bCs/>
          <w:kern w:val="22"/>
          <w:lang w:val="fr-FR"/>
        </w:rPr>
      </w:pPr>
    </w:p>
    <w:tbl>
      <w:tblPr>
        <w:tblpPr w:leftFromText="180" w:rightFromText="180" w:vertAnchor="text" w:tblpX="-460" w:tblpY="1"/>
        <w:tblOverlap w:val="neve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5086"/>
        <w:gridCol w:w="1336"/>
        <w:gridCol w:w="1500"/>
      </w:tblGrid>
      <w:tr w:rsidR="00753D21" w:rsidRPr="00525E52" w14:paraId="79A26788" w14:textId="77777777" w:rsidTr="00257E62">
        <w:tc>
          <w:tcPr>
            <w:tcW w:w="708" w:type="pct"/>
            <w:tcBorders>
              <w:bottom w:val="nil"/>
            </w:tcBorders>
            <w:shd w:val="clear" w:color="auto" w:fill="auto"/>
            <w:vAlign w:val="center"/>
          </w:tcPr>
          <w:p w14:paraId="62983EDB" w14:textId="77777777" w:rsidR="00753D21" w:rsidRPr="00525E52" w:rsidRDefault="00753D21" w:rsidP="00257E62">
            <w:pPr>
              <w:keepNext/>
              <w:spacing w:before="60" w:after="60"/>
              <w:jc w:val="center"/>
              <w:rPr>
                <w:rFonts w:ascii="Times New Roman Bold" w:eastAsia="MS Mincho" w:hAnsi="Times New Roman Bold" w:cs="Times New Roman Bold"/>
                <w:b/>
                <w:snapToGrid w:val="0"/>
                <w:spacing w:val="-12"/>
                <w:kern w:val="22"/>
                <w:sz w:val="21"/>
                <w:szCs w:val="21"/>
                <w:lang w:val="fr-FR"/>
              </w:rPr>
            </w:pPr>
            <w:r w:rsidRPr="00525E52">
              <w:rPr>
                <w:rFonts w:ascii="Times New Roman Bold" w:eastAsia="MS Mincho" w:hAnsi="Times New Roman Bold" w:cs="Times New Roman Bold"/>
                <w:b/>
                <w:snapToGrid w:val="0"/>
                <w:spacing w:val="-12"/>
                <w:kern w:val="22"/>
                <w:sz w:val="21"/>
                <w:szCs w:val="21"/>
                <w:lang w:val="fr-FR"/>
              </w:rPr>
              <w:t xml:space="preserve">Domaine stratégique </w:t>
            </w:r>
          </w:p>
        </w:tc>
        <w:tc>
          <w:tcPr>
            <w:tcW w:w="3177" w:type="pct"/>
            <w:tcBorders>
              <w:bottom w:val="nil"/>
            </w:tcBorders>
            <w:shd w:val="clear" w:color="auto" w:fill="auto"/>
            <w:vAlign w:val="center"/>
          </w:tcPr>
          <w:p w14:paraId="05B04AE1" w14:textId="77777777" w:rsidR="00753D21" w:rsidRPr="00525E52" w:rsidRDefault="00753D21" w:rsidP="00257E62">
            <w:pPr>
              <w:keepNext/>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 xml:space="preserve">Action stratégique </w:t>
            </w:r>
          </w:p>
        </w:tc>
        <w:tc>
          <w:tcPr>
            <w:tcW w:w="556" w:type="pct"/>
            <w:tcBorders>
              <w:bottom w:val="nil"/>
            </w:tcBorders>
          </w:tcPr>
          <w:p w14:paraId="57353BC1" w14:textId="77777777" w:rsidR="00753D21" w:rsidRPr="00525E52" w:rsidRDefault="00753D21" w:rsidP="00257E62">
            <w:pPr>
              <w:keepNext/>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Calendrier</w:t>
            </w:r>
            <w:r w:rsidRPr="00525E52">
              <w:rPr>
                <w:rStyle w:val="FootnoteReference"/>
                <w:rFonts w:eastAsia="MS Mincho"/>
                <w:b/>
                <w:snapToGrid w:val="0"/>
                <w:kern w:val="22"/>
                <w:szCs w:val="21"/>
                <w:lang w:val="fr-FR"/>
              </w:rPr>
              <w:footnoteReference w:id="27"/>
            </w:r>
          </w:p>
        </w:tc>
        <w:tc>
          <w:tcPr>
            <w:tcW w:w="559" w:type="pct"/>
            <w:tcBorders>
              <w:bottom w:val="nil"/>
            </w:tcBorders>
            <w:shd w:val="clear" w:color="auto" w:fill="auto"/>
            <w:vAlign w:val="center"/>
          </w:tcPr>
          <w:p w14:paraId="304246C9" w14:textId="77777777" w:rsidR="00753D21" w:rsidRPr="00525E52" w:rsidRDefault="00753D21" w:rsidP="00257E62">
            <w:pPr>
              <w:keepNext/>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Contributeurs potentiels</w:t>
            </w:r>
            <w:r w:rsidRPr="00525E52">
              <w:rPr>
                <w:rStyle w:val="FootnoteReference"/>
                <w:rFonts w:eastAsia="MS Mincho"/>
                <w:b/>
                <w:snapToGrid w:val="0"/>
                <w:kern w:val="22"/>
                <w:szCs w:val="21"/>
                <w:lang w:val="fr-FR"/>
              </w:rPr>
              <w:footnoteReference w:id="28"/>
            </w:r>
          </w:p>
        </w:tc>
      </w:tr>
      <w:tr w:rsidR="00753D21" w:rsidRPr="002C1863" w14:paraId="10AB690A" w14:textId="77777777" w:rsidTr="00257E62">
        <w:tc>
          <w:tcPr>
            <w:tcW w:w="708" w:type="pct"/>
            <w:vMerge w:val="restart"/>
            <w:shd w:val="clear" w:color="auto" w:fill="auto"/>
          </w:tcPr>
          <w:p w14:paraId="666AB66E" w14:textId="77777777" w:rsidR="00753D21" w:rsidRPr="00525E52" w:rsidRDefault="00753D21" w:rsidP="00561C79">
            <w:pPr>
              <w:pStyle w:val="ListParagraph"/>
              <w:keepNext/>
              <w:numPr>
                <w:ilvl w:val="0"/>
                <w:numId w:val="18"/>
              </w:numPr>
              <w:ind w:left="430" w:hanging="430"/>
              <w:jc w:val="left"/>
              <w:rPr>
                <w:rFonts w:ascii="Times New Roman Bold" w:eastAsia="MS Mincho" w:hAnsi="Times New Roman Bold" w:cs="Times New Roman Bold"/>
                <w:b/>
                <w:snapToGrid w:val="0"/>
                <w:spacing w:val="-12"/>
                <w:kern w:val="22"/>
                <w:sz w:val="21"/>
                <w:szCs w:val="21"/>
                <w:lang w:val="fr-FR"/>
              </w:rPr>
            </w:pPr>
            <w:r w:rsidRPr="00525E52">
              <w:rPr>
                <w:rFonts w:asciiTheme="majorBidi" w:eastAsia="MS Mincho" w:hAnsiTheme="majorBidi" w:cstheme="majorBidi"/>
                <w:bCs/>
                <w:snapToGrid w:val="0"/>
                <w:kern w:val="22"/>
                <w:sz w:val="21"/>
                <w:szCs w:val="21"/>
                <w:lang w:val="fr-FR"/>
              </w:rPr>
              <w:t>Promouvoir la production et la synthèse des connaissances</w:t>
            </w:r>
          </w:p>
        </w:tc>
        <w:tc>
          <w:tcPr>
            <w:tcW w:w="3177" w:type="pct"/>
            <w:tcBorders>
              <w:bottom w:val="nil"/>
            </w:tcBorders>
            <w:shd w:val="clear" w:color="auto" w:fill="auto"/>
          </w:tcPr>
          <w:p w14:paraId="26E574B3" w14:textId="77777777" w:rsidR="00753D21" w:rsidRPr="00525E52" w:rsidRDefault="00753D21" w:rsidP="00561C79">
            <w:pPr>
              <w:pStyle w:val="ListParagraph"/>
              <w:keepNext/>
              <w:numPr>
                <w:ilvl w:val="0"/>
                <w:numId w:val="17"/>
              </w:numPr>
              <w:spacing w:after="60"/>
              <w:jc w:val="left"/>
              <w:rPr>
                <w:rFonts w:eastAsia="MS Mincho"/>
                <w:bCs/>
                <w:snapToGrid w:val="0"/>
                <w:kern w:val="22"/>
                <w:sz w:val="21"/>
                <w:szCs w:val="21"/>
                <w:lang w:val="fr-FR"/>
              </w:rPr>
            </w:pPr>
            <w:r w:rsidRPr="00525E52">
              <w:rPr>
                <w:rFonts w:eastAsia="MS Mincho"/>
                <w:bCs/>
                <w:snapToGrid w:val="0"/>
                <w:kern w:val="22"/>
                <w:sz w:val="21"/>
                <w:szCs w:val="21"/>
                <w:lang w:val="fr-FR"/>
              </w:rPr>
              <w:t>Identification des lacunes dans les connaissances sur la biodiversité et des options pour y remédier</w:t>
            </w:r>
          </w:p>
        </w:tc>
        <w:tc>
          <w:tcPr>
            <w:tcW w:w="556" w:type="pct"/>
            <w:tcBorders>
              <w:bottom w:val="nil"/>
            </w:tcBorders>
          </w:tcPr>
          <w:p w14:paraId="4BBACF98" w14:textId="77777777" w:rsidR="00753D21" w:rsidRPr="00525E52" w:rsidRDefault="00753D21" w:rsidP="00257E62">
            <w:pPr>
              <w:keepNext/>
              <w:jc w:val="center"/>
              <w:rPr>
                <w:rFonts w:eastAsia="MS Mincho"/>
                <w:bCs/>
                <w:snapToGrid w:val="0"/>
                <w:kern w:val="22"/>
                <w:sz w:val="21"/>
                <w:szCs w:val="21"/>
                <w:lang w:val="fr-FR"/>
              </w:rPr>
            </w:pPr>
          </w:p>
        </w:tc>
        <w:tc>
          <w:tcPr>
            <w:tcW w:w="559" w:type="pct"/>
            <w:tcBorders>
              <w:bottom w:val="nil"/>
            </w:tcBorders>
            <w:shd w:val="clear" w:color="auto" w:fill="auto"/>
          </w:tcPr>
          <w:p w14:paraId="58BAC885" w14:textId="77777777" w:rsidR="00753D21" w:rsidRPr="00525E52" w:rsidRDefault="00753D21" w:rsidP="00257E62">
            <w:pPr>
              <w:keepNext/>
              <w:jc w:val="left"/>
              <w:rPr>
                <w:rFonts w:eastAsia="MS Mincho"/>
                <w:bCs/>
                <w:snapToGrid w:val="0"/>
                <w:kern w:val="22"/>
                <w:sz w:val="21"/>
                <w:szCs w:val="21"/>
                <w:lang w:val="fr-FR"/>
              </w:rPr>
            </w:pPr>
          </w:p>
        </w:tc>
      </w:tr>
      <w:tr w:rsidR="00753D21" w:rsidRPr="002C1863" w14:paraId="37AD55ED" w14:textId="77777777" w:rsidTr="00257E62">
        <w:tc>
          <w:tcPr>
            <w:tcW w:w="708" w:type="pct"/>
            <w:vMerge/>
            <w:shd w:val="clear" w:color="auto" w:fill="auto"/>
          </w:tcPr>
          <w:p w14:paraId="1AE96C7E" w14:textId="77777777" w:rsidR="00753D21" w:rsidRPr="00525E52" w:rsidRDefault="00753D21" w:rsidP="00257E62">
            <w:pPr>
              <w:keepNext/>
              <w:jc w:val="center"/>
              <w:rPr>
                <w:rFonts w:ascii="Times New Roman Bold" w:eastAsia="MS Mincho" w:hAnsi="Times New Roman Bold" w:cs="Times New Roman Bold"/>
                <w:b/>
                <w:snapToGrid w:val="0"/>
                <w:spacing w:val="-12"/>
                <w:kern w:val="22"/>
                <w:sz w:val="21"/>
                <w:szCs w:val="21"/>
                <w:lang w:val="fr-FR"/>
              </w:rPr>
            </w:pPr>
          </w:p>
        </w:tc>
        <w:tc>
          <w:tcPr>
            <w:tcW w:w="3177" w:type="pct"/>
            <w:tcBorders>
              <w:bottom w:val="nil"/>
            </w:tcBorders>
            <w:shd w:val="clear" w:color="auto" w:fill="auto"/>
          </w:tcPr>
          <w:p w14:paraId="07F3D8AC" w14:textId="77777777" w:rsidR="00753D21" w:rsidRPr="00525E52" w:rsidRDefault="00753D21" w:rsidP="00561C79">
            <w:pPr>
              <w:pStyle w:val="ListParagraph"/>
              <w:keepNext/>
              <w:numPr>
                <w:ilvl w:val="0"/>
                <w:numId w:val="17"/>
              </w:numPr>
              <w:spacing w:after="60"/>
              <w:jc w:val="left"/>
              <w:rPr>
                <w:rFonts w:eastAsia="MS Mincho"/>
                <w:bCs/>
                <w:snapToGrid w:val="0"/>
                <w:kern w:val="22"/>
                <w:sz w:val="21"/>
                <w:szCs w:val="21"/>
                <w:lang w:val="fr-FR"/>
              </w:rPr>
            </w:pPr>
            <w:r w:rsidRPr="00525E52">
              <w:rPr>
                <w:rFonts w:eastAsia="MS Mincho"/>
                <w:bCs/>
                <w:snapToGrid w:val="0"/>
                <w:kern w:val="22"/>
                <w:sz w:val="21"/>
                <w:szCs w:val="21"/>
                <w:lang w:val="fr-FR"/>
              </w:rPr>
              <w:t>Développement de la collaboration entre les organisations et les institutions pour promouvoir la production de connaissances</w:t>
            </w:r>
          </w:p>
        </w:tc>
        <w:tc>
          <w:tcPr>
            <w:tcW w:w="556" w:type="pct"/>
            <w:tcBorders>
              <w:bottom w:val="nil"/>
            </w:tcBorders>
          </w:tcPr>
          <w:p w14:paraId="30CBE91F" w14:textId="77777777" w:rsidR="00753D21" w:rsidRPr="00525E52" w:rsidRDefault="00753D21" w:rsidP="00257E62">
            <w:pPr>
              <w:keepNext/>
              <w:jc w:val="center"/>
              <w:rPr>
                <w:rFonts w:asciiTheme="majorBidi" w:eastAsia="MS Mincho" w:hAnsiTheme="majorBidi" w:cstheme="majorBidi"/>
                <w:bCs/>
                <w:snapToGrid w:val="0"/>
                <w:kern w:val="22"/>
                <w:sz w:val="21"/>
                <w:szCs w:val="21"/>
                <w:lang w:val="fr-FR"/>
              </w:rPr>
            </w:pPr>
          </w:p>
        </w:tc>
        <w:tc>
          <w:tcPr>
            <w:tcW w:w="559" w:type="pct"/>
            <w:tcBorders>
              <w:bottom w:val="nil"/>
            </w:tcBorders>
            <w:shd w:val="clear" w:color="auto" w:fill="auto"/>
          </w:tcPr>
          <w:p w14:paraId="19BB0B4D" w14:textId="77777777" w:rsidR="00753D21" w:rsidRPr="00525E52" w:rsidRDefault="00753D21" w:rsidP="00257E62">
            <w:pPr>
              <w:keepNext/>
              <w:jc w:val="left"/>
              <w:rPr>
                <w:rFonts w:eastAsia="MS Mincho"/>
                <w:b/>
                <w:snapToGrid w:val="0"/>
                <w:kern w:val="22"/>
                <w:sz w:val="21"/>
                <w:szCs w:val="21"/>
                <w:lang w:val="fr-FR"/>
              </w:rPr>
            </w:pPr>
          </w:p>
        </w:tc>
      </w:tr>
      <w:tr w:rsidR="00753D21" w:rsidRPr="002C1863" w14:paraId="121C3BAA" w14:textId="77777777" w:rsidTr="00257E62">
        <w:tc>
          <w:tcPr>
            <w:tcW w:w="708" w:type="pct"/>
            <w:vMerge/>
            <w:shd w:val="clear" w:color="auto" w:fill="auto"/>
          </w:tcPr>
          <w:p w14:paraId="0FC62D7B" w14:textId="77777777" w:rsidR="00753D21" w:rsidRPr="00525E52" w:rsidRDefault="00753D21" w:rsidP="00257E62">
            <w:pPr>
              <w:keepNext/>
              <w:jc w:val="center"/>
              <w:rPr>
                <w:rFonts w:ascii="Times New Roman Bold" w:eastAsia="MS Mincho" w:hAnsi="Times New Roman Bold" w:cs="Times New Roman Bold"/>
                <w:b/>
                <w:snapToGrid w:val="0"/>
                <w:spacing w:val="-12"/>
                <w:kern w:val="22"/>
                <w:sz w:val="21"/>
                <w:szCs w:val="21"/>
                <w:lang w:val="fr-FR"/>
              </w:rPr>
            </w:pPr>
          </w:p>
        </w:tc>
        <w:tc>
          <w:tcPr>
            <w:tcW w:w="3177" w:type="pct"/>
            <w:tcBorders>
              <w:bottom w:val="nil"/>
            </w:tcBorders>
            <w:shd w:val="clear" w:color="auto" w:fill="auto"/>
          </w:tcPr>
          <w:p w14:paraId="40CB8CFE" w14:textId="77777777" w:rsidR="00753D21" w:rsidRPr="00525E52" w:rsidRDefault="00753D21" w:rsidP="00561C79">
            <w:pPr>
              <w:pStyle w:val="ListParagraph"/>
              <w:keepNext/>
              <w:numPr>
                <w:ilvl w:val="0"/>
                <w:numId w:val="17"/>
              </w:numPr>
              <w:spacing w:after="60"/>
              <w:jc w:val="left"/>
              <w:rPr>
                <w:rFonts w:eastAsia="MS Mincho"/>
                <w:bCs/>
                <w:snapToGrid w:val="0"/>
                <w:kern w:val="22"/>
                <w:sz w:val="21"/>
                <w:szCs w:val="21"/>
                <w:lang w:val="fr-FR"/>
              </w:rPr>
            </w:pPr>
            <w:r w:rsidRPr="00525E52">
              <w:rPr>
                <w:rFonts w:eastAsia="MS Mincho"/>
                <w:bCs/>
                <w:snapToGrid w:val="0"/>
                <w:kern w:val="22"/>
                <w:sz w:val="21"/>
                <w:szCs w:val="21"/>
                <w:lang w:val="fr-FR"/>
              </w:rPr>
              <w:t>Renforcer la sensibilisation des communautés de recherche et universitaires pertinentes et d'autres institutions afin de les encourager à partager les données, les informations et les connaissances pertinentes en matière de recherche</w:t>
            </w:r>
          </w:p>
        </w:tc>
        <w:tc>
          <w:tcPr>
            <w:tcW w:w="556" w:type="pct"/>
            <w:tcBorders>
              <w:bottom w:val="nil"/>
            </w:tcBorders>
          </w:tcPr>
          <w:p w14:paraId="5BECC6C9" w14:textId="77777777" w:rsidR="00753D21" w:rsidRPr="00525E52" w:rsidRDefault="00753D21" w:rsidP="00257E62">
            <w:pPr>
              <w:keepNext/>
              <w:jc w:val="center"/>
              <w:rPr>
                <w:rFonts w:asciiTheme="majorBidi" w:eastAsia="MS Mincho" w:hAnsiTheme="majorBidi" w:cstheme="majorBidi"/>
                <w:bCs/>
                <w:snapToGrid w:val="0"/>
                <w:kern w:val="22"/>
                <w:sz w:val="21"/>
                <w:szCs w:val="21"/>
                <w:lang w:val="fr-FR"/>
              </w:rPr>
            </w:pPr>
          </w:p>
        </w:tc>
        <w:tc>
          <w:tcPr>
            <w:tcW w:w="559" w:type="pct"/>
            <w:tcBorders>
              <w:bottom w:val="nil"/>
            </w:tcBorders>
            <w:shd w:val="clear" w:color="auto" w:fill="auto"/>
          </w:tcPr>
          <w:p w14:paraId="2592F70C" w14:textId="77777777" w:rsidR="00753D21" w:rsidRPr="00525E52" w:rsidRDefault="00753D21" w:rsidP="00257E62">
            <w:pPr>
              <w:keepNext/>
              <w:jc w:val="left"/>
              <w:rPr>
                <w:rFonts w:eastAsia="MS Mincho"/>
                <w:b/>
                <w:snapToGrid w:val="0"/>
                <w:kern w:val="22"/>
                <w:sz w:val="21"/>
                <w:szCs w:val="21"/>
                <w:lang w:val="fr-FR"/>
              </w:rPr>
            </w:pPr>
          </w:p>
        </w:tc>
      </w:tr>
      <w:tr w:rsidR="00753D21" w:rsidRPr="002C1863" w14:paraId="4C8C7518" w14:textId="77777777" w:rsidTr="00257E62">
        <w:tc>
          <w:tcPr>
            <w:tcW w:w="708" w:type="pct"/>
            <w:vMerge/>
            <w:shd w:val="clear" w:color="auto" w:fill="auto"/>
          </w:tcPr>
          <w:p w14:paraId="602993FD" w14:textId="77777777" w:rsidR="00753D21" w:rsidRPr="00525E52" w:rsidRDefault="00753D21" w:rsidP="00257E62">
            <w:pPr>
              <w:keepNext/>
              <w:jc w:val="center"/>
              <w:rPr>
                <w:rFonts w:ascii="Times New Roman Bold" w:eastAsia="MS Mincho" w:hAnsi="Times New Roman Bold" w:cs="Times New Roman Bold"/>
                <w:b/>
                <w:snapToGrid w:val="0"/>
                <w:spacing w:val="-12"/>
                <w:kern w:val="22"/>
                <w:sz w:val="21"/>
                <w:szCs w:val="21"/>
                <w:lang w:val="fr-FR"/>
              </w:rPr>
            </w:pPr>
          </w:p>
        </w:tc>
        <w:tc>
          <w:tcPr>
            <w:tcW w:w="3177" w:type="pct"/>
            <w:tcBorders>
              <w:bottom w:val="nil"/>
            </w:tcBorders>
            <w:shd w:val="clear" w:color="auto" w:fill="auto"/>
          </w:tcPr>
          <w:p w14:paraId="361F49B2" w14:textId="77777777" w:rsidR="00753D21" w:rsidRPr="00525E52" w:rsidRDefault="00753D21" w:rsidP="00561C79">
            <w:pPr>
              <w:pStyle w:val="ListParagraph"/>
              <w:keepNext/>
              <w:numPr>
                <w:ilvl w:val="0"/>
                <w:numId w:val="17"/>
              </w:numPr>
              <w:spacing w:after="6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Développer les capacités locales et nationales de production de connaissances par la science citoyenne en encourageant la collecte de données, d'informations et de connaissances au niveau local</w:t>
            </w:r>
          </w:p>
        </w:tc>
        <w:tc>
          <w:tcPr>
            <w:tcW w:w="556" w:type="pct"/>
            <w:tcBorders>
              <w:bottom w:val="nil"/>
            </w:tcBorders>
          </w:tcPr>
          <w:p w14:paraId="695B0402" w14:textId="77777777" w:rsidR="00753D21" w:rsidRPr="00525E52" w:rsidRDefault="00753D21" w:rsidP="00257E62">
            <w:pPr>
              <w:keepNext/>
              <w:jc w:val="center"/>
              <w:rPr>
                <w:rFonts w:asciiTheme="majorBidi" w:eastAsia="MS Mincho" w:hAnsiTheme="majorBidi" w:cstheme="majorBidi"/>
                <w:bCs/>
                <w:snapToGrid w:val="0"/>
                <w:kern w:val="22"/>
                <w:sz w:val="21"/>
                <w:szCs w:val="21"/>
                <w:lang w:val="fr-FR"/>
              </w:rPr>
            </w:pPr>
          </w:p>
        </w:tc>
        <w:tc>
          <w:tcPr>
            <w:tcW w:w="559" w:type="pct"/>
            <w:tcBorders>
              <w:bottom w:val="nil"/>
            </w:tcBorders>
            <w:shd w:val="clear" w:color="auto" w:fill="auto"/>
          </w:tcPr>
          <w:p w14:paraId="63B5B277" w14:textId="77777777" w:rsidR="00753D21" w:rsidRPr="00525E52" w:rsidRDefault="00753D21" w:rsidP="00257E62">
            <w:pPr>
              <w:keepNext/>
              <w:jc w:val="left"/>
              <w:rPr>
                <w:rFonts w:asciiTheme="majorBidi" w:eastAsia="MS Mincho" w:hAnsiTheme="majorBidi" w:cstheme="majorBidi"/>
                <w:bCs/>
                <w:snapToGrid w:val="0"/>
                <w:kern w:val="22"/>
                <w:sz w:val="21"/>
                <w:szCs w:val="21"/>
                <w:lang w:val="fr-FR"/>
              </w:rPr>
            </w:pPr>
          </w:p>
        </w:tc>
      </w:tr>
      <w:tr w:rsidR="00753D21" w:rsidRPr="002C1863" w14:paraId="2E5B216C" w14:textId="77777777" w:rsidTr="00257E62">
        <w:tc>
          <w:tcPr>
            <w:tcW w:w="708" w:type="pct"/>
            <w:vMerge/>
            <w:tcBorders>
              <w:bottom w:val="single" w:sz="4" w:space="0" w:color="auto"/>
            </w:tcBorders>
            <w:shd w:val="clear" w:color="auto" w:fill="auto"/>
          </w:tcPr>
          <w:p w14:paraId="4374E8D8" w14:textId="77777777" w:rsidR="00753D21" w:rsidRPr="00525E52" w:rsidRDefault="00753D21" w:rsidP="00257E62">
            <w:pPr>
              <w:keepNext/>
              <w:jc w:val="center"/>
              <w:rPr>
                <w:rFonts w:ascii="Times New Roman Bold" w:eastAsia="MS Mincho" w:hAnsi="Times New Roman Bold" w:cs="Times New Roman Bold"/>
                <w:b/>
                <w:snapToGrid w:val="0"/>
                <w:spacing w:val="-12"/>
                <w:kern w:val="22"/>
                <w:sz w:val="21"/>
                <w:szCs w:val="21"/>
                <w:lang w:val="fr-FR"/>
              </w:rPr>
            </w:pPr>
          </w:p>
        </w:tc>
        <w:tc>
          <w:tcPr>
            <w:tcW w:w="3177" w:type="pct"/>
            <w:tcBorders>
              <w:bottom w:val="single" w:sz="4" w:space="0" w:color="auto"/>
            </w:tcBorders>
            <w:shd w:val="clear" w:color="auto" w:fill="auto"/>
          </w:tcPr>
          <w:p w14:paraId="7715791D" w14:textId="77777777" w:rsidR="00753D21" w:rsidRPr="00525E52" w:rsidRDefault="00753D21" w:rsidP="00561C79">
            <w:pPr>
              <w:pStyle w:val="ListParagraph"/>
              <w:keepNext/>
              <w:numPr>
                <w:ilvl w:val="0"/>
                <w:numId w:val="17"/>
              </w:numPr>
              <w:spacing w:after="60"/>
              <w:jc w:val="left"/>
              <w:rPr>
                <w:rFonts w:asciiTheme="majorBidi" w:eastAsia="MS Mincho" w:hAnsiTheme="majorBidi" w:cstheme="majorBidi"/>
                <w:bCs/>
                <w:snapToGrid w:val="0"/>
                <w:kern w:val="22"/>
                <w:sz w:val="21"/>
                <w:szCs w:val="21"/>
                <w:lang w:val="fr-FR"/>
              </w:rPr>
            </w:pPr>
            <w:r w:rsidRPr="00525E52">
              <w:rPr>
                <w:lang w:val="fr-FR"/>
              </w:rPr>
              <w:t>L</w:t>
            </w:r>
            <w:r w:rsidRPr="00525E52">
              <w:rPr>
                <w:rFonts w:asciiTheme="majorBidi" w:eastAsia="MS Mincho" w:hAnsiTheme="majorBidi" w:cstheme="majorBidi"/>
                <w:bCs/>
                <w:snapToGrid w:val="0"/>
                <w:kern w:val="22"/>
                <w:sz w:val="21"/>
                <w:szCs w:val="21"/>
                <w:lang w:val="fr-FR"/>
              </w:rPr>
              <w:t>'amélioration de l'utilisation de tous les types de données importantes, y compris la télédétection et l'IdO, ainsi que la garantie de normes et de partage des données</w:t>
            </w:r>
          </w:p>
        </w:tc>
        <w:tc>
          <w:tcPr>
            <w:tcW w:w="556" w:type="pct"/>
            <w:tcBorders>
              <w:bottom w:val="single" w:sz="4" w:space="0" w:color="auto"/>
            </w:tcBorders>
          </w:tcPr>
          <w:p w14:paraId="0DD434CA" w14:textId="77777777" w:rsidR="00753D21" w:rsidRPr="00525E52" w:rsidRDefault="00753D21" w:rsidP="00257E62">
            <w:pPr>
              <w:keepNext/>
              <w:jc w:val="center"/>
              <w:rPr>
                <w:rFonts w:asciiTheme="majorBidi" w:eastAsia="MS Mincho" w:hAnsiTheme="majorBidi" w:cstheme="majorBidi"/>
                <w:bCs/>
                <w:snapToGrid w:val="0"/>
                <w:kern w:val="22"/>
                <w:sz w:val="21"/>
                <w:szCs w:val="21"/>
                <w:lang w:val="fr-FR"/>
              </w:rPr>
            </w:pPr>
          </w:p>
        </w:tc>
        <w:tc>
          <w:tcPr>
            <w:tcW w:w="559" w:type="pct"/>
            <w:tcBorders>
              <w:bottom w:val="single" w:sz="4" w:space="0" w:color="auto"/>
            </w:tcBorders>
            <w:shd w:val="clear" w:color="auto" w:fill="auto"/>
          </w:tcPr>
          <w:p w14:paraId="20F9E88D" w14:textId="77777777" w:rsidR="00753D21" w:rsidRPr="00525E52" w:rsidRDefault="00753D21" w:rsidP="00257E62">
            <w:pPr>
              <w:keepNext/>
              <w:jc w:val="left"/>
              <w:rPr>
                <w:rFonts w:asciiTheme="majorBidi" w:eastAsia="MS Mincho" w:hAnsiTheme="majorBidi" w:cstheme="majorBidi"/>
                <w:bCs/>
                <w:snapToGrid w:val="0"/>
                <w:kern w:val="22"/>
                <w:sz w:val="21"/>
                <w:szCs w:val="21"/>
                <w:lang w:val="fr-FR"/>
              </w:rPr>
            </w:pPr>
          </w:p>
        </w:tc>
      </w:tr>
      <w:tr w:rsidR="00753D21" w:rsidRPr="002C1863" w14:paraId="769D71D2" w14:textId="77777777" w:rsidTr="00257E62">
        <w:tc>
          <w:tcPr>
            <w:tcW w:w="708" w:type="pct"/>
            <w:vMerge w:val="restart"/>
            <w:tcBorders>
              <w:top w:val="single" w:sz="4" w:space="0" w:color="auto"/>
              <w:left w:val="single" w:sz="4" w:space="0" w:color="auto"/>
              <w:bottom w:val="single" w:sz="4" w:space="0" w:color="auto"/>
              <w:right w:val="single" w:sz="4" w:space="0" w:color="auto"/>
            </w:tcBorders>
            <w:shd w:val="clear" w:color="auto" w:fill="auto"/>
          </w:tcPr>
          <w:p w14:paraId="791DE88C" w14:textId="77777777" w:rsidR="00753D21" w:rsidRPr="00525E52" w:rsidRDefault="00753D21" w:rsidP="00561C79">
            <w:pPr>
              <w:pStyle w:val="ListParagraph"/>
              <w:keepNext/>
              <w:numPr>
                <w:ilvl w:val="0"/>
                <w:numId w:val="18"/>
              </w:numPr>
              <w:ind w:left="430" w:hanging="430"/>
              <w:jc w:val="left"/>
              <w:rPr>
                <w:rFonts w:ascii="Times New Roman Bold" w:eastAsia="MS Mincho" w:hAnsi="Times New Roman Bold" w:cs="Times New Roman Bold"/>
                <w:b/>
                <w:snapToGrid w:val="0"/>
                <w:spacing w:val="-12"/>
                <w:kern w:val="22"/>
                <w:sz w:val="21"/>
                <w:szCs w:val="21"/>
                <w:lang w:val="fr-FR"/>
              </w:rPr>
            </w:pPr>
            <w:r w:rsidRPr="00525E52">
              <w:rPr>
                <w:rFonts w:asciiTheme="majorBidi" w:eastAsia="MS Mincho" w:hAnsiTheme="majorBidi" w:cstheme="majorBidi"/>
                <w:bCs/>
                <w:snapToGrid w:val="0"/>
                <w:kern w:val="22"/>
                <w:sz w:val="21"/>
                <w:szCs w:val="21"/>
                <w:lang w:val="fr-FR"/>
              </w:rPr>
              <w:t>Faciliter la découverte et la collecte de connaissances</w:t>
            </w:r>
          </w:p>
        </w:tc>
        <w:tc>
          <w:tcPr>
            <w:tcW w:w="3177" w:type="pct"/>
            <w:tcBorders>
              <w:top w:val="single" w:sz="4" w:space="0" w:color="auto"/>
              <w:left w:val="single" w:sz="4" w:space="0" w:color="auto"/>
              <w:bottom w:val="single" w:sz="4" w:space="0" w:color="auto"/>
              <w:right w:val="single" w:sz="4" w:space="0" w:color="auto"/>
            </w:tcBorders>
            <w:shd w:val="clear" w:color="auto" w:fill="auto"/>
          </w:tcPr>
          <w:p w14:paraId="0B6F4B88" w14:textId="77777777" w:rsidR="00753D21" w:rsidRPr="00525E52" w:rsidRDefault="00753D21" w:rsidP="00561C79">
            <w:pPr>
              <w:pStyle w:val="ListParagraph"/>
              <w:keepNext/>
              <w:numPr>
                <w:ilvl w:val="0"/>
                <w:numId w:val="19"/>
              </w:numPr>
              <w:spacing w:after="60"/>
              <w:ind w:left="350"/>
              <w:jc w:val="left"/>
              <w:rPr>
                <w:rFonts w:asciiTheme="majorBidi" w:eastAsia="MS Mincho" w:hAnsiTheme="majorBidi" w:cstheme="majorBidi"/>
                <w:bCs/>
                <w:snapToGrid w:val="0"/>
                <w:kern w:val="22"/>
                <w:sz w:val="21"/>
                <w:szCs w:val="21"/>
                <w:lang w:val="fr-FR"/>
              </w:rPr>
            </w:pPr>
            <w:r w:rsidRPr="00525E52">
              <w:rPr>
                <w:rFonts w:asciiTheme="majorBidi" w:hAnsiTheme="majorBidi" w:cstheme="majorBidi"/>
                <w:kern w:val="22"/>
                <w:sz w:val="21"/>
                <w:szCs w:val="21"/>
                <w:lang w:val="fr-FR"/>
              </w:rPr>
              <w:t>Développement ou amélioration d'outils en ligne permettant d'identifier et de recueillir des informations et des connaissances provenant de diverses sources de manière interactive, en temps réel et de façon simple à utiliser</w:t>
            </w:r>
            <w:r w:rsidRPr="00525E52">
              <w:rPr>
                <w:rStyle w:val="FootnoteReference"/>
                <w:rFonts w:asciiTheme="majorBidi" w:hAnsiTheme="majorBidi" w:cstheme="majorBidi"/>
                <w:kern w:val="22"/>
                <w:szCs w:val="21"/>
                <w:lang w:val="fr-FR"/>
              </w:rPr>
              <w:footnoteReference w:id="29"/>
            </w:r>
          </w:p>
        </w:tc>
        <w:tc>
          <w:tcPr>
            <w:tcW w:w="556" w:type="pct"/>
            <w:tcBorders>
              <w:top w:val="single" w:sz="4" w:space="0" w:color="auto"/>
              <w:left w:val="single" w:sz="4" w:space="0" w:color="auto"/>
              <w:bottom w:val="single" w:sz="4" w:space="0" w:color="auto"/>
              <w:right w:val="single" w:sz="4" w:space="0" w:color="auto"/>
            </w:tcBorders>
          </w:tcPr>
          <w:p w14:paraId="47B15FDF" w14:textId="77777777" w:rsidR="00753D21" w:rsidRPr="00525E52" w:rsidRDefault="00753D21" w:rsidP="00257E62">
            <w:pPr>
              <w:keepNext/>
              <w:jc w:val="center"/>
              <w:rPr>
                <w:rFonts w:asciiTheme="majorBidi" w:eastAsia="MS Mincho" w:hAnsiTheme="majorBidi" w:cstheme="majorBidi"/>
                <w:bCs/>
                <w:snapToGrid w:val="0"/>
                <w:kern w:val="22"/>
                <w:sz w:val="21"/>
                <w:szCs w:val="21"/>
                <w:lang w:val="fr-F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7AB7C214" w14:textId="77777777" w:rsidR="00753D21" w:rsidRPr="00525E52" w:rsidRDefault="00753D21" w:rsidP="00257E62">
            <w:pPr>
              <w:keepNext/>
              <w:jc w:val="left"/>
              <w:rPr>
                <w:rFonts w:asciiTheme="majorBidi" w:eastAsia="MS Mincho" w:hAnsiTheme="majorBidi" w:cstheme="majorBidi"/>
                <w:bCs/>
                <w:snapToGrid w:val="0"/>
                <w:kern w:val="22"/>
                <w:sz w:val="21"/>
                <w:szCs w:val="21"/>
                <w:lang w:val="fr-FR"/>
              </w:rPr>
            </w:pPr>
          </w:p>
        </w:tc>
      </w:tr>
      <w:tr w:rsidR="00753D21" w:rsidRPr="002C1863" w14:paraId="0B180837" w14:textId="77777777" w:rsidTr="00257E62">
        <w:tc>
          <w:tcPr>
            <w:tcW w:w="708" w:type="pct"/>
            <w:vMerge/>
            <w:tcBorders>
              <w:top w:val="single" w:sz="4" w:space="0" w:color="auto"/>
              <w:left w:val="single" w:sz="4" w:space="0" w:color="auto"/>
              <w:bottom w:val="single" w:sz="4" w:space="0" w:color="auto"/>
              <w:right w:val="single" w:sz="4" w:space="0" w:color="auto"/>
            </w:tcBorders>
            <w:shd w:val="clear" w:color="auto" w:fill="auto"/>
          </w:tcPr>
          <w:p w14:paraId="11248F89" w14:textId="77777777" w:rsidR="00753D21" w:rsidRPr="00525E52" w:rsidRDefault="00753D21" w:rsidP="00257E62">
            <w:pPr>
              <w:keepNext/>
              <w:jc w:val="center"/>
              <w:rPr>
                <w:rFonts w:ascii="Times New Roman Bold" w:eastAsia="MS Mincho" w:hAnsi="Times New Roman Bold" w:cs="Times New Roman Bold"/>
                <w:b/>
                <w:snapToGrid w:val="0"/>
                <w:spacing w:val="-12"/>
                <w:kern w:val="22"/>
                <w:sz w:val="21"/>
                <w:szCs w:val="21"/>
                <w:lang w:val="fr-FR"/>
              </w:rPr>
            </w:pPr>
          </w:p>
        </w:tc>
        <w:tc>
          <w:tcPr>
            <w:tcW w:w="3177" w:type="pct"/>
            <w:tcBorders>
              <w:top w:val="single" w:sz="4" w:space="0" w:color="auto"/>
              <w:left w:val="single" w:sz="4" w:space="0" w:color="auto"/>
              <w:bottom w:val="single" w:sz="4" w:space="0" w:color="auto"/>
              <w:right w:val="single" w:sz="4" w:space="0" w:color="auto"/>
            </w:tcBorders>
            <w:shd w:val="clear" w:color="auto" w:fill="auto"/>
          </w:tcPr>
          <w:p w14:paraId="42A33331" w14:textId="77777777" w:rsidR="00753D21" w:rsidRPr="00525E52" w:rsidRDefault="00753D21" w:rsidP="00561C79">
            <w:pPr>
              <w:pStyle w:val="ListParagraph"/>
              <w:keepNext/>
              <w:numPr>
                <w:ilvl w:val="0"/>
                <w:numId w:val="19"/>
              </w:numPr>
              <w:spacing w:after="60"/>
              <w:ind w:left="35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Promotion des outils et techniques de découverte des connaissances, y compris l'exploration des données et les outils d'apprentissage automatique, le cas échéant</w:t>
            </w:r>
          </w:p>
        </w:tc>
        <w:tc>
          <w:tcPr>
            <w:tcW w:w="556" w:type="pct"/>
            <w:tcBorders>
              <w:top w:val="single" w:sz="4" w:space="0" w:color="auto"/>
              <w:left w:val="single" w:sz="4" w:space="0" w:color="auto"/>
              <w:bottom w:val="single" w:sz="4" w:space="0" w:color="auto"/>
              <w:right w:val="single" w:sz="4" w:space="0" w:color="auto"/>
            </w:tcBorders>
          </w:tcPr>
          <w:p w14:paraId="09EFB007" w14:textId="77777777" w:rsidR="00753D21" w:rsidRPr="00525E52" w:rsidRDefault="00753D21" w:rsidP="00257E62">
            <w:pPr>
              <w:keepNext/>
              <w:jc w:val="center"/>
              <w:rPr>
                <w:rFonts w:asciiTheme="majorBidi" w:eastAsia="MS Mincho" w:hAnsiTheme="majorBidi" w:cstheme="majorBidi"/>
                <w:bCs/>
                <w:snapToGrid w:val="0"/>
                <w:kern w:val="22"/>
                <w:sz w:val="21"/>
                <w:szCs w:val="21"/>
                <w:lang w:val="fr-F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4B40AC1F" w14:textId="77777777" w:rsidR="00753D21" w:rsidRPr="00525E52" w:rsidRDefault="00753D21" w:rsidP="00257E62">
            <w:pPr>
              <w:keepNext/>
              <w:jc w:val="left"/>
              <w:rPr>
                <w:rFonts w:asciiTheme="majorBidi" w:eastAsia="MS Mincho" w:hAnsiTheme="majorBidi" w:cstheme="majorBidi"/>
                <w:bCs/>
                <w:snapToGrid w:val="0"/>
                <w:kern w:val="22"/>
                <w:sz w:val="21"/>
                <w:szCs w:val="21"/>
                <w:lang w:val="fr-FR"/>
              </w:rPr>
            </w:pPr>
          </w:p>
        </w:tc>
      </w:tr>
      <w:tr w:rsidR="00753D21" w:rsidRPr="002C1863" w14:paraId="028D2094" w14:textId="77777777" w:rsidTr="00257E62">
        <w:tc>
          <w:tcPr>
            <w:tcW w:w="708" w:type="pct"/>
            <w:vMerge/>
            <w:tcBorders>
              <w:top w:val="single" w:sz="4" w:space="0" w:color="auto"/>
              <w:left w:val="single" w:sz="4" w:space="0" w:color="auto"/>
              <w:bottom w:val="single" w:sz="4" w:space="0" w:color="auto"/>
              <w:right w:val="single" w:sz="4" w:space="0" w:color="auto"/>
            </w:tcBorders>
            <w:shd w:val="clear" w:color="auto" w:fill="auto"/>
          </w:tcPr>
          <w:p w14:paraId="33FFEF7C" w14:textId="77777777" w:rsidR="00753D21" w:rsidRPr="00525E52" w:rsidRDefault="00753D21" w:rsidP="00257E62">
            <w:pPr>
              <w:keepNext/>
              <w:jc w:val="center"/>
              <w:rPr>
                <w:rFonts w:ascii="Times New Roman Bold" w:eastAsia="MS Mincho" w:hAnsi="Times New Roman Bold" w:cs="Times New Roman Bold"/>
                <w:b/>
                <w:snapToGrid w:val="0"/>
                <w:spacing w:val="-12"/>
                <w:kern w:val="22"/>
                <w:sz w:val="21"/>
                <w:szCs w:val="21"/>
                <w:lang w:val="fr-FR"/>
              </w:rPr>
            </w:pPr>
          </w:p>
        </w:tc>
        <w:tc>
          <w:tcPr>
            <w:tcW w:w="3177" w:type="pct"/>
            <w:tcBorders>
              <w:top w:val="single" w:sz="4" w:space="0" w:color="auto"/>
              <w:left w:val="single" w:sz="4" w:space="0" w:color="auto"/>
              <w:bottom w:val="single" w:sz="4" w:space="0" w:color="auto"/>
              <w:right w:val="single" w:sz="4" w:space="0" w:color="auto"/>
            </w:tcBorders>
            <w:shd w:val="clear" w:color="auto" w:fill="auto"/>
          </w:tcPr>
          <w:p w14:paraId="7C934927" w14:textId="58380BDE" w:rsidR="00753D21" w:rsidRPr="00525E52" w:rsidRDefault="00753D21" w:rsidP="00561C79">
            <w:pPr>
              <w:pStyle w:val="ListParagraph"/>
              <w:keepNext/>
              <w:numPr>
                <w:ilvl w:val="0"/>
                <w:numId w:val="19"/>
              </w:numPr>
              <w:spacing w:after="60"/>
              <w:ind w:left="350"/>
              <w:jc w:val="left"/>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La participation</w:t>
            </w:r>
            <w:r w:rsidR="00257E62">
              <w:rPr>
                <w:rFonts w:asciiTheme="majorBidi" w:hAnsiTheme="majorBidi" w:cstheme="majorBidi"/>
                <w:kern w:val="22"/>
                <w:sz w:val="21"/>
                <w:szCs w:val="21"/>
                <w:lang w:val="fr-FR"/>
              </w:rPr>
              <w:t xml:space="preserve"> des parties prenantes concerné</w:t>
            </w:r>
            <w:r w:rsidRPr="00525E52">
              <w:rPr>
                <w:rFonts w:asciiTheme="majorBidi" w:hAnsiTheme="majorBidi" w:cstheme="majorBidi"/>
                <w:kern w:val="22"/>
                <w:sz w:val="21"/>
                <w:szCs w:val="21"/>
                <w:lang w:val="fr-FR"/>
              </w:rPr>
              <w:t>es, notamment les créateurs, les courtiers et les utilisateurs de connaissances dans les organismes d'exécution, les organisations de conservation, les institutions universitaires et autres aux niveaux national et infranational, à la création et à la collecte de connaissances</w:t>
            </w:r>
          </w:p>
        </w:tc>
        <w:tc>
          <w:tcPr>
            <w:tcW w:w="556" w:type="pct"/>
            <w:tcBorders>
              <w:top w:val="single" w:sz="4" w:space="0" w:color="auto"/>
              <w:left w:val="single" w:sz="4" w:space="0" w:color="auto"/>
              <w:bottom w:val="single" w:sz="4" w:space="0" w:color="auto"/>
              <w:right w:val="single" w:sz="4" w:space="0" w:color="auto"/>
            </w:tcBorders>
          </w:tcPr>
          <w:p w14:paraId="396A4698" w14:textId="77777777" w:rsidR="00753D21" w:rsidRPr="00525E52" w:rsidRDefault="00753D21" w:rsidP="00257E62">
            <w:pPr>
              <w:keepNext/>
              <w:jc w:val="center"/>
              <w:rPr>
                <w:rFonts w:asciiTheme="majorBidi" w:eastAsia="MS Mincho" w:hAnsiTheme="majorBidi" w:cstheme="majorBidi"/>
                <w:bCs/>
                <w:snapToGrid w:val="0"/>
                <w:kern w:val="22"/>
                <w:sz w:val="21"/>
                <w:szCs w:val="21"/>
                <w:lang w:val="fr-F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3D22FE93" w14:textId="77777777" w:rsidR="00753D21" w:rsidRPr="00525E52" w:rsidRDefault="00753D21" w:rsidP="00257E62">
            <w:pPr>
              <w:keepNext/>
              <w:jc w:val="left"/>
              <w:rPr>
                <w:rFonts w:asciiTheme="majorBidi" w:eastAsia="MS Mincho" w:hAnsiTheme="majorBidi" w:cstheme="majorBidi"/>
                <w:bCs/>
                <w:snapToGrid w:val="0"/>
                <w:kern w:val="22"/>
                <w:sz w:val="21"/>
                <w:szCs w:val="21"/>
                <w:lang w:val="fr-FR"/>
              </w:rPr>
            </w:pPr>
          </w:p>
        </w:tc>
      </w:tr>
      <w:tr w:rsidR="00753D21" w:rsidRPr="002C1863" w14:paraId="4E28F50E" w14:textId="77777777" w:rsidTr="00257E62">
        <w:tc>
          <w:tcPr>
            <w:tcW w:w="708" w:type="pct"/>
            <w:vMerge/>
            <w:tcBorders>
              <w:top w:val="single" w:sz="4" w:space="0" w:color="auto"/>
              <w:left w:val="single" w:sz="4" w:space="0" w:color="auto"/>
              <w:bottom w:val="single" w:sz="4" w:space="0" w:color="auto"/>
              <w:right w:val="single" w:sz="4" w:space="0" w:color="auto"/>
            </w:tcBorders>
            <w:shd w:val="clear" w:color="auto" w:fill="auto"/>
          </w:tcPr>
          <w:p w14:paraId="7B2772B4" w14:textId="77777777" w:rsidR="00753D21" w:rsidRPr="00525E52" w:rsidRDefault="00753D21" w:rsidP="00257E62">
            <w:pPr>
              <w:widowControl w:val="0"/>
              <w:jc w:val="center"/>
              <w:rPr>
                <w:rFonts w:ascii="Times New Roman Bold" w:eastAsia="MS Mincho" w:hAnsi="Times New Roman Bold" w:cs="Times New Roman Bold"/>
                <w:b/>
                <w:snapToGrid w:val="0"/>
                <w:spacing w:val="-12"/>
                <w:kern w:val="22"/>
                <w:sz w:val="21"/>
                <w:szCs w:val="21"/>
                <w:lang w:val="fr-FR"/>
              </w:rPr>
            </w:pPr>
          </w:p>
        </w:tc>
        <w:tc>
          <w:tcPr>
            <w:tcW w:w="3177" w:type="pct"/>
            <w:tcBorders>
              <w:top w:val="single" w:sz="4" w:space="0" w:color="auto"/>
              <w:left w:val="single" w:sz="4" w:space="0" w:color="auto"/>
              <w:bottom w:val="single" w:sz="4" w:space="0" w:color="auto"/>
              <w:right w:val="single" w:sz="4" w:space="0" w:color="auto"/>
            </w:tcBorders>
            <w:shd w:val="clear" w:color="auto" w:fill="auto"/>
          </w:tcPr>
          <w:p w14:paraId="3368524A" w14:textId="77777777" w:rsidR="00753D21" w:rsidRPr="00525E52" w:rsidRDefault="00753D21" w:rsidP="00561C79">
            <w:pPr>
              <w:pStyle w:val="ListParagraph"/>
              <w:widowControl w:val="0"/>
              <w:numPr>
                <w:ilvl w:val="0"/>
                <w:numId w:val="19"/>
              </w:numPr>
              <w:spacing w:after="60"/>
              <w:ind w:left="346"/>
              <w:jc w:val="left"/>
              <w:rPr>
                <w:kern w:val="22"/>
                <w:sz w:val="21"/>
                <w:szCs w:val="21"/>
                <w:lang w:val="fr-FR"/>
              </w:rPr>
            </w:pPr>
            <w:r w:rsidRPr="00525E52">
              <w:rPr>
                <w:kern w:val="22"/>
                <w:sz w:val="21"/>
                <w:szCs w:val="21"/>
                <w:lang w:val="fr-FR"/>
              </w:rPr>
              <w:t xml:space="preserve">Identification, collecte et partage, lorsqu'ils sont autorisés, des connaissances traditionnelles des </w:t>
            </w:r>
            <w:r w:rsidRPr="00525E52">
              <w:rPr>
                <w:kern w:val="22"/>
                <w:sz w:val="21"/>
                <w:szCs w:val="21"/>
                <w:lang w:val="fr-FR"/>
              </w:rPr>
              <w:lastRenderedPageBreak/>
              <w:t>peuples autochtones et des communautés locales ainsi que des connaissances des femmes, d'une manière appropriée et avec une mention claire de la source</w:t>
            </w:r>
            <w:r w:rsidRPr="00525E52">
              <w:rPr>
                <w:rStyle w:val="FootnoteReference"/>
                <w:kern w:val="22"/>
                <w:szCs w:val="21"/>
                <w:lang w:val="fr-FR"/>
              </w:rPr>
              <w:footnoteReference w:id="30"/>
            </w:r>
          </w:p>
        </w:tc>
        <w:tc>
          <w:tcPr>
            <w:tcW w:w="556" w:type="pct"/>
            <w:tcBorders>
              <w:top w:val="single" w:sz="4" w:space="0" w:color="auto"/>
              <w:left w:val="single" w:sz="4" w:space="0" w:color="auto"/>
              <w:bottom w:val="single" w:sz="4" w:space="0" w:color="auto"/>
              <w:right w:val="single" w:sz="4" w:space="0" w:color="auto"/>
            </w:tcBorders>
          </w:tcPr>
          <w:p w14:paraId="4429A4D8" w14:textId="77777777" w:rsidR="00753D21" w:rsidRPr="00525E52" w:rsidRDefault="00753D21" w:rsidP="00257E62">
            <w:pPr>
              <w:widowControl w:val="0"/>
              <w:jc w:val="center"/>
              <w:rPr>
                <w:rFonts w:asciiTheme="majorBidi" w:eastAsia="MS Mincho" w:hAnsiTheme="majorBidi" w:cstheme="majorBidi"/>
                <w:bCs/>
                <w:snapToGrid w:val="0"/>
                <w:kern w:val="22"/>
                <w:sz w:val="21"/>
                <w:szCs w:val="21"/>
                <w:lang w:val="fr-FR"/>
              </w:rPr>
            </w:pPr>
          </w:p>
        </w:tc>
        <w:tc>
          <w:tcPr>
            <w:tcW w:w="559" w:type="pct"/>
            <w:tcBorders>
              <w:top w:val="single" w:sz="4" w:space="0" w:color="auto"/>
              <w:left w:val="single" w:sz="4" w:space="0" w:color="auto"/>
              <w:bottom w:val="single" w:sz="4" w:space="0" w:color="auto"/>
              <w:right w:val="single" w:sz="4" w:space="0" w:color="auto"/>
            </w:tcBorders>
            <w:shd w:val="clear" w:color="auto" w:fill="auto"/>
          </w:tcPr>
          <w:p w14:paraId="0CA5C2A5"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319A581D" w14:textId="77777777" w:rsidTr="00257E62">
        <w:tc>
          <w:tcPr>
            <w:tcW w:w="708" w:type="pct"/>
            <w:vMerge w:val="restart"/>
            <w:tcBorders>
              <w:top w:val="single" w:sz="4" w:space="0" w:color="auto"/>
            </w:tcBorders>
            <w:shd w:val="clear" w:color="auto" w:fill="auto"/>
          </w:tcPr>
          <w:p w14:paraId="144DEE02" w14:textId="77777777" w:rsidR="00753D21" w:rsidRPr="00525E52" w:rsidRDefault="00753D21" w:rsidP="00561C79">
            <w:pPr>
              <w:pStyle w:val="ListParagraph"/>
              <w:widowControl w:val="0"/>
              <w:numPr>
                <w:ilvl w:val="0"/>
                <w:numId w:val="18"/>
              </w:numPr>
              <w:ind w:left="430" w:hanging="43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Améliorer l'organisation et le partage des connaissances</w:t>
            </w:r>
          </w:p>
        </w:tc>
        <w:tc>
          <w:tcPr>
            <w:tcW w:w="3177" w:type="pct"/>
            <w:tcBorders>
              <w:top w:val="single" w:sz="4" w:space="0" w:color="auto"/>
            </w:tcBorders>
          </w:tcPr>
          <w:p w14:paraId="0CB086FD" w14:textId="77777777" w:rsidR="00753D21" w:rsidRPr="00525E52" w:rsidRDefault="00753D21" w:rsidP="00561C79">
            <w:pPr>
              <w:pStyle w:val="ListParagraph"/>
              <w:widowControl w:val="0"/>
              <w:numPr>
                <w:ilvl w:val="0"/>
                <w:numId w:val="20"/>
              </w:numPr>
              <w:spacing w:after="60"/>
              <w:jc w:val="left"/>
              <w:rPr>
                <w:rFonts w:asciiTheme="majorBidi" w:eastAsia="MS Mincho" w:hAnsiTheme="majorBidi" w:cstheme="majorBidi"/>
                <w:bCs/>
                <w:snapToGrid w:val="0"/>
                <w:kern w:val="22"/>
                <w:sz w:val="21"/>
                <w:szCs w:val="21"/>
                <w:lang w:val="fr-FR"/>
              </w:rPr>
            </w:pPr>
            <w:r w:rsidRPr="00525E52">
              <w:rPr>
                <w:kern w:val="22"/>
                <w:sz w:val="21"/>
                <w:szCs w:val="21"/>
                <w:lang w:val="fr-FR"/>
              </w:rPr>
              <w:t>Amélioration continue de la qualité des métadonnées, du marquage et de la cartographie des objets de connaissance issus des conventions relatives à la biodiversité par l'intermédiaire d'InforMEA et d'autres sources afin de permettre une plus grande facilité de recherche</w:t>
            </w:r>
          </w:p>
        </w:tc>
        <w:tc>
          <w:tcPr>
            <w:tcW w:w="556" w:type="pct"/>
            <w:tcBorders>
              <w:top w:val="single" w:sz="4" w:space="0" w:color="auto"/>
            </w:tcBorders>
          </w:tcPr>
          <w:p w14:paraId="6B375D97" w14:textId="77777777" w:rsidR="00753D21" w:rsidRPr="00525E52" w:rsidRDefault="00753D21" w:rsidP="00257E62">
            <w:pPr>
              <w:widowControl w:val="0"/>
              <w:jc w:val="center"/>
              <w:rPr>
                <w:rFonts w:asciiTheme="majorBidi" w:eastAsia="MS Mincho" w:hAnsiTheme="majorBidi" w:cstheme="majorBidi"/>
                <w:bCs/>
                <w:snapToGrid w:val="0"/>
                <w:kern w:val="22"/>
                <w:sz w:val="21"/>
                <w:szCs w:val="21"/>
                <w:lang w:val="fr-FR"/>
              </w:rPr>
            </w:pPr>
          </w:p>
        </w:tc>
        <w:tc>
          <w:tcPr>
            <w:tcW w:w="559" w:type="pct"/>
            <w:tcBorders>
              <w:top w:val="single" w:sz="4" w:space="0" w:color="auto"/>
            </w:tcBorders>
            <w:shd w:val="clear" w:color="auto" w:fill="auto"/>
          </w:tcPr>
          <w:p w14:paraId="460E6736"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4A8450BF" w14:textId="77777777" w:rsidTr="00257E62">
        <w:tc>
          <w:tcPr>
            <w:tcW w:w="708" w:type="pct"/>
            <w:vMerge/>
            <w:shd w:val="clear" w:color="auto" w:fill="auto"/>
          </w:tcPr>
          <w:p w14:paraId="09330DAE"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06A08815" w14:textId="77777777" w:rsidR="00753D21" w:rsidRPr="00525E52" w:rsidRDefault="00753D21" w:rsidP="00561C79">
            <w:pPr>
              <w:pStyle w:val="ListParagraph"/>
              <w:widowControl w:val="0"/>
              <w:numPr>
                <w:ilvl w:val="0"/>
                <w:numId w:val="20"/>
              </w:numPr>
              <w:spacing w:after="60"/>
              <w:jc w:val="left"/>
              <w:rPr>
                <w:rFonts w:asciiTheme="majorBidi" w:eastAsia="MS Mincho" w:hAnsiTheme="majorBidi" w:cstheme="majorBidi"/>
                <w:bCs/>
                <w:snapToGrid w:val="0"/>
                <w:kern w:val="22"/>
                <w:sz w:val="21"/>
                <w:szCs w:val="21"/>
                <w:lang w:val="fr-FR"/>
              </w:rPr>
            </w:pPr>
            <w:r w:rsidRPr="00525E52">
              <w:rPr>
                <w:kern w:val="22"/>
                <w:sz w:val="21"/>
                <w:szCs w:val="21"/>
                <w:lang w:val="fr-FR"/>
              </w:rPr>
              <w:t>Élaboration, diffusion et promotion de normes pour la qualité des métadonnées et le marquage des ressources d'information et de connaissances sur la biodiversité afin de garantir la qualité et la compatibilité</w:t>
            </w:r>
          </w:p>
        </w:tc>
        <w:tc>
          <w:tcPr>
            <w:tcW w:w="556" w:type="pct"/>
          </w:tcPr>
          <w:p w14:paraId="57914620" w14:textId="77777777" w:rsidR="00753D21" w:rsidRPr="00525E52" w:rsidRDefault="00753D21" w:rsidP="00257E62">
            <w:pPr>
              <w:widowControl w:val="0"/>
              <w:jc w:val="center"/>
              <w:rPr>
                <w:rFonts w:asciiTheme="majorBidi" w:eastAsia="MS Mincho" w:hAnsiTheme="majorBidi" w:cstheme="majorBidi"/>
                <w:bCs/>
                <w:snapToGrid w:val="0"/>
                <w:kern w:val="22"/>
                <w:sz w:val="21"/>
                <w:szCs w:val="21"/>
                <w:lang w:val="fr-FR"/>
              </w:rPr>
            </w:pPr>
          </w:p>
        </w:tc>
        <w:tc>
          <w:tcPr>
            <w:tcW w:w="559" w:type="pct"/>
            <w:shd w:val="clear" w:color="auto" w:fill="auto"/>
          </w:tcPr>
          <w:p w14:paraId="7B3C11D0"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618C1B78" w14:textId="77777777" w:rsidTr="00257E62">
        <w:tc>
          <w:tcPr>
            <w:tcW w:w="708" w:type="pct"/>
            <w:vMerge/>
            <w:shd w:val="clear" w:color="auto" w:fill="auto"/>
          </w:tcPr>
          <w:p w14:paraId="511A96B6"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0414B078" w14:textId="77777777" w:rsidR="00753D21" w:rsidRPr="00525E52" w:rsidRDefault="00753D21" w:rsidP="00561C79">
            <w:pPr>
              <w:pStyle w:val="ListParagraph"/>
              <w:widowControl w:val="0"/>
              <w:numPr>
                <w:ilvl w:val="0"/>
                <w:numId w:val="20"/>
              </w:numPr>
              <w:spacing w:after="6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Amélioration de l'interopérabilité des systèmes d'information et de connaissance des conventions relatives à la biodiversité et des autres fournisseurs d'informations dans l'ensemble de la communauté de la biodiversité</w:t>
            </w:r>
          </w:p>
        </w:tc>
        <w:tc>
          <w:tcPr>
            <w:tcW w:w="556" w:type="pct"/>
          </w:tcPr>
          <w:p w14:paraId="28C291BC"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4B5D9E3B"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7B178B91" w14:textId="77777777" w:rsidTr="00257E62">
        <w:tc>
          <w:tcPr>
            <w:tcW w:w="708" w:type="pct"/>
            <w:vMerge/>
            <w:shd w:val="clear" w:color="auto" w:fill="auto"/>
          </w:tcPr>
          <w:p w14:paraId="5706A2DC"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34A2AAB7" w14:textId="77777777" w:rsidR="00753D21" w:rsidRPr="00525E52" w:rsidRDefault="00753D21" w:rsidP="00561C79">
            <w:pPr>
              <w:pStyle w:val="ListParagraph"/>
              <w:widowControl w:val="0"/>
              <w:numPr>
                <w:ilvl w:val="0"/>
                <w:numId w:val="20"/>
              </w:numPr>
              <w:spacing w:after="60"/>
              <w:jc w:val="left"/>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 xml:space="preserve">Promotion de la diffusion et du développement de modules de formation en bio-informatique et en métadonnées descriptives, en liaison avec les projets et plans de développement des capacités existantes aux niveaux international, national et infranational, visant à accroître les compétences correspondantes </w:t>
            </w:r>
          </w:p>
        </w:tc>
        <w:tc>
          <w:tcPr>
            <w:tcW w:w="556" w:type="pct"/>
          </w:tcPr>
          <w:p w14:paraId="5F7BEB52"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2FFF9583"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4B481118" w14:textId="77777777" w:rsidTr="00257E62">
        <w:tc>
          <w:tcPr>
            <w:tcW w:w="708" w:type="pct"/>
            <w:vMerge/>
            <w:shd w:val="clear" w:color="auto" w:fill="auto"/>
          </w:tcPr>
          <w:p w14:paraId="515236BB"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5A0A83EA" w14:textId="2FE96E40" w:rsidR="00753D21" w:rsidRPr="00525E52" w:rsidRDefault="00753D21" w:rsidP="00561C79">
            <w:pPr>
              <w:pStyle w:val="ListParagraph"/>
              <w:widowControl w:val="0"/>
              <w:numPr>
                <w:ilvl w:val="0"/>
                <w:numId w:val="20"/>
              </w:numPr>
              <w:spacing w:after="60"/>
              <w:jc w:val="left"/>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Pr</w:t>
            </w:r>
            <w:r w:rsidR="00257E62">
              <w:rPr>
                <w:rFonts w:asciiTheme="majorBidi" w:hAnsiTheme="majorBidi" w:cstheme="majorBidi"/>
                <w:kern w:val="22"/>
                <w:sz w:val="21"/>
                <w:szCs w:val="21"/>
                <w:lang w:val="fr-FR"/>
              </w:rPr>
              <w:t>omotion d'orientations facultativ</w:t>
            </w:r>
            <w:r w:rsidRPr="00525E52">
              <w:rPr>
                <w:rFonts w:asciiTheme="majorBidi" w:hAnsiTheme="majorBidi" w:cstheme="majorBidi"/>
                <w:kern w:val="22"/>
                <w:sz w:val="21"/>
                <w:szCs w:val="21"/>
                <w:lang w:val="fr-FR"/>
              </w:rPr>
              <w:t>es pour améliorer l'accessibilité aux données, informations et connaissances sur la biodiversité</w:t>
            </w:r>
          </w:p>
        </w:tc>
        <w:tc>
          <w:tcPr>
            <w:tcW w:w="556" w:type="pct"/>
          </w:tcPr>
          <w:p w14:paraId="60739BFF"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4E34665E"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6A5A895E" w14:textId="77777777" w:rsidTr="00257E62">
        <w:tc>
          <w:tcPr>
            <w:tcW w:w="708" w:type="pct"/>
            <w:vMerge/>
            <w:shd w:val="clear" w:color="auto" w:fill="auto"/>
          </w:tcPr>
          <w:p w14:paraId="26C4A39B"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60C53BA3" w14:textId="2F1C00C0" w:rsidR="00753D21" w:rsidRPr="00525E52" w:rsidRDefault="00753D21" w:rsidP="00561C79">
            <w:pPr>
              <w:pStyle w:val="ListParagraph"/>
              <w:widowControl w:val="0"/>
              <w:numPr>
                <w:ilvl w:val="0"/>
                <w:numId w:val="20"/>
              </w:numPr>
              <w:spacing w:after="60"/>
              <w:jc w:val="left"/>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 xml:space="preserve">Renforcer la capacité des </w:t>
            </w:r>
            <w:r w:rsidR="00B320F6">
              <w:rPr>
                <w:rFonts w:asciiTheme="majorBidi" w:hAnsiTheme="majorBidi" w:cstheme="majorBidi"/>
                <w:kern w:val="22"/>
                <w:sz w:val="21"/>
                <w:szCs w:val="21"/>
                <w:lang w:val="fr-FR"/>
              </w:rPr>
              <w:t>gouvernements</w:t>
            </w:r>
            <w:r w:rsidRPr="00525E52">
              <w:rPr>
                <w:rFonts w:asciiTheme="majorBidi" w:hAnsiTheme="majorBidi" w:cstheme="majorBidi"/>
                <w:kern w:val="22"/>
                <w:sz w:val="21"/>
                <w:szCs w:val="21"/>
                <w:lang w:val="fr-FR"/>
              </w:rPr>
              <w:t xml:space="preserve"> afin de gérer et partager efficacement les informations et les connaissances entre les conventions, notamment en utilisant des outils tels que le Data Reporting Tool (DaRT) et en adoptant des approches cohérentes et synergiques</w:t>
            </w:r>
          </w:p>
        </w:tc>
        <w:tc>
          <w:tcPr>
            <w:tcW w:w="556" w:type="pct"/>
          </w:tcPr>
          <w:p w14:paraId="098DBD40"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1DA1FC58"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489F472C" w14:textId="77777777" w:rsidTr="00257E62">
        <w:tc>
          <w:tcPr>
            <w:tcW w:w="708" w:type="pct"/>
            <w:vMerge/>
            <w:shd w:val="clear" w:color="auto" w:fill="auto"/>
          </w:tcPr>
          <w:p w14:paraId="2E54CD57"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0656558E" w14:textId="77777777" w:rsidR="00753D21" w:rsidRPr="00525E52" w:rsidRDefault="00753D21" w:rsidP="00561C79">
            <w:pPr>
              <w:pStyle w:val="ListParagraph"/>
              <w:widowControl w:val="0"/>
              <w:numPr>
                <w:ilvl w:val="0"/>
                <w:numId w:val="20"/>
              </w:numPr>
              <w:spacing w:after="60"/>
              <w:jc w:val="left"/>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Mise au point de données d'observation de la biodiversité plus modulables qui permettent à la fois l'agrégation non biaisée des données nationales et la désagrégation des données mondiales en utilisant des normes communes</w:t>
            </w:r>
          </w:p>
        </w:tc>
        <w:tc>
          <w:tcPr>
            <w:tcW w:w="556" w:type="pct"/>
          </w:tcPr>
          <w:p w14:paraId="391CDEFC"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23A33E71"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789A82B7" w14:textId="77777777" w:rsidTr="00257E62">
        <w:tc>
          <w:tcPr>
            <w:tcW w:w="708" w:type="pct"/>
            <w:vMerge/>
            <w:shd w:val="clear" w:color="auto" w:fill="auto"/>
          </w:tcPr>
          <w:p w14:paraId="217A3FD3"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69EF3726" w14:textId="77777777" w:rsidR="00753D21" w:rsidRPr="00525E52" w:rsidRDefault="00753D21" w:rsidP="00561C79">
            <w:pPr>
              <w:pStyle w:val="ListParagraph"/>
              <w:widowControl w:val="0"/>
              <w:numPr>
                <w:ilvl w:val="0"/>
                <w:numId w:val="20"/>
              </w:numPr>
              <w:spacing w:after="6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Fournir des orientations aux gouvernements et aux acteurs non gouvernementaux sur la manière d'encourager l'engagement des différents acteurs dans la gestion des connaissances, en particulier pour développer une meilleure culture de partage et d'application des connaissances</w:t>
            </w:r>
          </w:p>
        </w:tc>
        <w:tc>
          <w:tcPr>
            <w:tcW w:w="556" w:type="pct"/>
          </w:tcPr>
          <w:p w14:paraId="1923A12C"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06EACBD6"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722CE31F" w14:textId="77777777" w:rsidTr="00257E62">
        <w:tc>
          <w:tcPr>
            <w:tcW w:w="708" w:type="pct"/>
            <w:vMerge w:val="restart"/>
            <w:shd w:val="clear" w:color="auto" w:fill="auto"/>
          </w:tcPr>
          <w:p w14:paraId="5A95AC9A" w14:textId="77777777" w:rsidR="00753D21" w:rsidRPr="00525E52" w:rsidRDefault="00753D21" w:rsidP="00561C79">
            <w:pPr>
              <w:pStyle w:val="ListParagraph"/>
              <w:widowControl w:val="0"/>
              <w:numPr>
                <w:ilvl w:val="0"/>
                <w:numId w:val="18"/>
              </w:numPr>
              <w:ind w:left="430" w:hanging="43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Promouvoir l'utilisation </w:t>
            </w:r>
            <w:r w:rsidRPr="00525E52">
              <w:rPr>
                <w:rFonts w:asciiTheme="majorBidi" w:eastAsia="MS Mincho" w:hAnsiTheme="majorBidi" w:cstheme="majorBidi"/>
                <w:bCs/>
                <w:snapToGrid w:val="0"/>
                <w:kern w:val="22"/>
                <w:sz w:val="21"/>
                <w:szCs w:val="21"/>
                <w:lang w:val="fr-FR"/>
              </w:rPr>
              <w:lastRenderedPageBreak/>
              <w:t>efficace des connaissances</w:t>
            </w:r>
          </w:p>
        </w:tc>
        <w:tc>
          <w:tcPr>
            <w:tcW w:w="3177" w:type="pct"/>
          </w:tcPr>
          <w:p w14:paraId="3B0B6F2E" w14:textId="77777777" w:rsidR="00753D21" w:rsidRPr="00525E52" w:rsidRDefault="00753D21" w:rsidP="00561C79">
            <w:pPr>
              <w:pStyle w:val="ListParagraph"/>
              <w:widowControl w:val="0"/>
              <w:numPr>
                <w:ilvl w:val="0"/>
                <w:numId w:val="24"/>
              </w:numPr>
              <w:spacing w:after="60"/>
              <w:ind w:left="31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lastRenderedPageBreak/>
              <w:t xml:space="preserve">Élaboration d'une stratégie de gestion du changement, y compris la communication et le marketing, pour </w:t>
            </w:r>
            <w:r w:rsidRPr="00525E52">
              <w:rPr>
                <w:rFonts w:asciiTheme="majorBidi" w:eastAsia="MS Mincho" w:hAnsiTheme="majorBidi" w:cstheme="majorBidi"/>
                <w:bCs/>
                <w:snapToGrid w:val="0"/>
                <w:kern w:val="22"/>
                <w:sz w:val="21"/>
                <w:szCs w:val="21"/>
                <w:lang w:val="fr-FR"/>
              </w:rPr>
              <w:lastRenderedPageBreak/>
              <w:t>accroître l'adoption, l'utilisation et l'application des données, informations et connaissances existantes en matière de biodiversité</w:t>
            </w:r>
          </w:p>
        </w:tc>
        <w:tc>
          <w:tcPr>
            <w:tcW w:w="556" w:type="pct"/>
          </w:tcPr>
          <w:p w14:paraId="40B50C61"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7CA8C8D1"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2CC7D58F" w14:textId="77777777" w:rsidTr="00257E62">
        <w:tc>
          <w:tcPr>
            <w:tcW w:w="708" w:type="pct"/>
            <w:vMerge/>
            <w:shd w:val="clear" w:color="auto" w:fill="auto"/>
          </w:tcPr>
          <w:p w14:paraId="3F121D5D"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34FD516D" w14:textId="77777777" w:rsidR="00753D21" w:rsidRPr="00525E52" w:rsidRDefault="00753D21" w:rsidP="00561C79">
            <w:pPr>
              <w:pStyle w:val="ListParagraph"/>
              <w:widowControl w:val="0"/>
              <w:numPr>
                <w:ilvl w:val="0"/>
                <w:numId w:val="24"/>
              </w:numPr>
              <w:spacing w:after="60"/>
              <w:ind w:left="31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Promotion et facilitation du partage d'expériences dans l'utilisation des informations et des connaissances, y compris par le biais de communautés de pratique</w:t>
            </w:r>
          </w:p>
        </w:tc>
        <w:tc>
          <w:tcPr>
            <w:tcW w:w="556" w:type="pct"/>
          </w:tcPr>
          <w:p w14:paraId="752997DD"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57B3EE3F"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5B4AA144" w14:textId="77777777" w:rsidTr="00257E62">
        <w:tc>
          <w:tcPr>
            <w:tcW w:w="708" w:type="pct"/>
            <w:vMerge/>
            <w:shd w:val="clear" w:color="auto" w:fill="auto"/>
          </w:tcPr>
          <w:p w14:paraId="09588D4B"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25312E85" w14:textId="77777777" w:rsidR="00753D21" w:rsidRPr="00525E52" w:rsidRDefault="00753D21" w:rsidP="00561C79">
            <w:pPr>
              <w:pStyle w:val="ListParagraph"/>
              <w:widowControl w:val="0"/>
              <w:numPr>
                <w:ilvl w:val="0"/>
                <w:numId w:val="24"/>
              </w:numPr>
              <w:spacing w:after="60"/>
              <w:ind w:left="31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L'engagement d'un plus grand nombre de parties prenantes dans l'utilisation de nouveaux outils de partage des connaissances, y compris les médias sociaux</w:t>
            </w:r>
          </w:p>
        </w:tc>
        <w:tc>
          <w:tcPr>
            <w:tcW w:w="556" w:type="pct"/>
          </w:tcPr>
          <w:p w14:paraId="6AD2679A"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24DD5D22"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151ACFBE" w14:textId="77777777" w:rsidTr="00257E62">
        <w:tc>
          <w:tcPr>
            <w:tcW w:w="708" w:type="pct"/>
            <w:vMerge/>
            <w:shd w:val="clear" w:color="auto" w:fill="auto"/>
          </w:tcPr>
          <w:p w14:paraId="59198538"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4318952D" w14:textId="77777777" w:rsidR="00753D21" w:rsidRPr="00525E52" w:rsidRDefault="00753D21" w:rsidP="00561C79">
            <w:pPr>
              <w:pStyle w:val="ListParagraph"/>
              <w:widowControl w:val="0"/>
              <w:numPr>
                <w:ilvl w:val="0"/>
                <w:numId w:val="24"/>
              </w:numPr>
              <w:spacing w:after="60"/>
              <w:ind w:left="31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Création de mécanismes et d'initiatives visant à faciliter le dialogue permanent entre la communauté des chercheurs et des responsables politiques, des décideurs et des praticiens</w:t>
            </w:r>
          </w:p>
        </w:tc>
        <w:tc>
          <w:tcPr>
            <w:tcW w:w="556" w:type="pct"/>
          </w:tcPr>
          <w:p w14:paraId="211FC567"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5AE4C307"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6EAB48CF" w14:textId="77777777" w:rsidTr="00257E62">
        <w:tc>
          <w:tcPr>
            <w:tcW w:w="708" w:type="pct"/>
            <w:vMerge/>
            <w:shd w:val="clear" w:color="auto" w:fill="auto"/>
          </w:tcPr>
          <w:p w14:paraId="40A06A97"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6525F008" w14:textId="77777777" w:rsidR="00753D21" w:rsidRPr="00525E52" w:rsidRDefault="00753D21" w:rsidP="00561C79">
            <w:pPr>
              <w:pStyle w:val="ListParagraph"/>
              <w:widowControl w:val="0"/>
              <w:numPr>
                <w:ilvl w:val="0"/>
                <w:numId w:val="24"/>
              </w:numPr>
              <w:spacing w:after="60"/>
              <w:ind w:left="31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Établissement de liens entre les réseaux scientifiques et citoyens et les experts en communication pour permettre la traduction des résultats scientifiques en outils de connaissance </w:t>
            </w:r>
          </w:p>
        </w:tc>
        <w:tc>
          <w:tcPr>
            <w:tcW w:w="556" w:type="pct"/>
          </w:tcPr>
          <w:p w14:paraId="7B764030"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0289771D"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6283AAFD" w14:textId="77777777" w:rsidTr="00257E62">
        <w:tc>
          <w:tcPr>
            <w:tcW w:w="708" w:type="pct"/>
            <w:vMerge/>
            <w:shd w:val="clear" w:color="auto" w:fill="auto"/>
          </w:tcPr>
          <w:p w14:paraId="3C150CA9"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0E9389B0" w14:textId="77777777" w:rsidR="00753D21" w:rsidRPr="00525E52" w:rsidRDefault="00753D21" w:rsidP="00561C79">
            <w:pPr>
              <w:pStyle w:val="ListParagraph"/>
              <w:widowControl w:val="0"/>
              <w:numPr>
                <w:ilvl w:val="0"/>
                <w:numId w:val="24"/>
              </w:numPr>
              <w:spacing w:after="60"/>
              <w:ind w:left="31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Promotion et facilitation de l'utilisation des données, des informations et des connaissances sur la biodiversité dans les processus de planification d'autres secteurs et de manière intersectorielle au sein des gouvernements </w:t>
            </w:r>
          </w:p>
        </w:tc>
        <w:tc>
          <w:tcPr>
            <w:tcW w:w="556" w:type="pct"/>
          </w:tcPr>
          <w:p w14:paraId="4D15D3B1" w14:textId="77777777" w:rsidR="00753D21" w:rsidRPr="00525E52" w:rsidRDefault="00753D21" w:rsidP="00257E62">
            <w:pPr>
              <w:widowControl w:val="0"/>
              <w:jc w:val="center"/>
              <w:rPr>
                <w:rFonts w:asciiTheme="majorBidi" w:hAnsiTheme="majorBidi" w:cstheme="majorBidi"/>
                <w:kern w:val="22"/>
                <w:sz w:val="21"/>
                <w:szCs w:val="21"/>
                <w:lang w:val="fr-FR"/>
              </w:rPr>
            </w:pPr>
          </w:p>
        </w:tc>
        <w:tc>
          <w:tcPr>
            <w:tcW w:w="559" w:type="pct"/>
            <w:shd w:val="clear" w:color="auto" w:fill="auto"/>
          </w:tcPr>
          <w:p w14:paraId="59671453"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20A81619" w14:textId="77777777" w:rsidTr="00257E62">
        <w:trPr>
          <w:trHeight w:val="470"/>
        </w:trPr>
        <w:tc>
          <w:tcPr>
            <w:tcW w:w="708" w:type="pct"/>
            <w:vMerge w:val="restart"/>
            <w:shd w:val="clear" w:color="auto" w:fill="auto"/>
          </w:tcPr>
          <w:p w14:paraId="704388E5" w14:textId="33C6AE6D" w:rsidR="00753D21" w:rsidRPr="00525E52" w:rsidRDefault="006376DD" w:rsidP="00561C79">
            <w:pPr>
              <w:pStyle w:val="ListParagraph"/>
              <w:widowControl w:val="0"/>
              <w:numPr>
                <w:ilvl w:val="0"/>
                <w:numId w:val="18"/>
              </w:numPr>
              <w:ind w:left="430" w:hanging="430"/>
              <w:jc w:val="left"/>
              <w:rPr>
                <w:rFonts w:asciiTheme="majorBidi" w:eastAsia="MS Mincho" w:hAnsiTheme="majorBidi" w:cstheme="majorBidi"/>
                <w:bCs/>
                <w:snapToGrid w:val="0"/>
                <w:kern w:val="22"/>
                <w:sz w:val="21"/>
                <w:szCs w:val="21"/>
                <w:lang w:val="fr-FR"/>
              </w:rPr>
            </w:pPr>
            <w:r>
              <w:rPr>
                <w:rFonts w:asciiTheme="majorBidi" w:eastAsia="MS Mincho" w:hAnsiTheme="majorBidi" w:cstheme="majorBidi"/>
                <w:bCs/>
                <w:snapToGrid w:val="0"/>
                <w:kern w:val="22"/>
                <w:sz w:val="21"/>
                <w:szCs w:val="21"/>
                <w:lang w:val="fr-FR"/>
              </w:rPr>
              <w:t>Réalisation d'audits et d’</w:t>
            </w:r>
            <w:r w:rsidR="00753D21" w:rsidRPr="00525E52">
              <w:rPr>
                <w:rFonts w:asciiTheme="majorBidi" w:eastAsia="MS Mincho" w:hAnsiTheme="majorBidi" w:cstheme="majorBidi"/>
                <w:bCs/>
                <w:snapToGrid w:val="0"/>
                <w:kern w:val="22"/>
                <w:sz w:val="21"/>
                <w:szCs w:val="21"/>
                <w:lang w:val="fr-FR"/>
              </w:rPr>
              <w:t>examens des connaissances</w:t>
            </w:r>
          </w:p>
        </w:tc>
        <w:tc>
          <w:tcPr>
            <w:tcW w:w="3177" w:type="pct"/>
          </w:tcPr>
          <w:p w14:paraId="69E7A2FD" w14:textId="77777777" w:rsidR="00753D21" w:rsidRPr="00525E52" w:rsidRDefault="00753D21" w:rsidP="00561C79">
            <w:pPr>
              <w:pStyle w:val="ListParagraph"/>
              <w:widowControl w:val="0"/>
              <w:numPr>
                <w:ilvl w:val="0"/>
                <w:numId w:val="21"/>
              </w:numPr>
              <w:spacing w:after="6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En réalisant périodiquement des enquêtes sur la gestion des connaissances pour évaluer, entre autres, les types d'informations et de connaissances qu'ils recherchent le plus fréquemment, la facilité d'accès aux informations dont ils ont besoin, les lacunes existantes en matière de connaissances, le niveau de partage des connaissances et les canaux qu'ils préfèrent</w:t>
            </w:r>
          </w:p>
        </w:tc>
        <w:tc>
          <w:tcPr>
            <w:tcW w:w="556" w:type="pct"/>
          </w:tcPr>
          <w:p w14:paraId="7664B007" w14:textId="77777777" w:rsidR="00753D21" w:rsidRPr="00525E52" w:rsidRDefault="00753D21" w:rsidP="00257E62">
            <w:pPr>
              <w:widowControl w:val="0"/>
              <w:jc w:val="center"/>
              <w:rPr>
                <w:rFonts w:asciiTheme="majorBidi" w:eastAsia="MS Mincho" w:hAnsiTheme="majorBidi" w:cstheme="majorBidi"/>
                <w:bCs/>
                <w:snapToGrid w:val="0"/>
                <w:kern w:val="22"/>
                <w:sz w:val="21"/>
                <w:szCs w:val="21"/>
                <w:lang w:val="fr-FR"/>
              </w:rPr>
            </w:pPr>
          </w:p>
        </w:tc>
        <w:tc>
          <w:tcPr>
            <w:tcW w:w="559" w:type="pct"/>
            <w:shd w:val="clear" w:color="auto" w:fill="auto"/>
          </w:tcPr>
          <w:p w14:paraId="0FC200DF"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46E31F19" w14:textId="77777777" w:rsidTr="00257E62">
        <w:trPr>
          <w:trHeight w:val="296"/>
        </w:trPr>
        <w:tc>
          <w:tcPr>
            <w:tcW w:w="708" w:type="pct"/>
            <w:vMerge/>
            <w:shd w:val="clear" w:color="auto" w:fill="auto"/>
          </w:tcPr>
          <w:p w14:paraId="6B648190"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09CB7245" w14:textId="77777777" w:rsidR="00753D21" w:rsidRPr="00525E52" w:rsidRDefault="00753D21" w:rsidP="00561C79">
            <w:pPr>
              <w:pStyle w:val="ListParagraph"/>
              <w:widowControl w:val="0"/>
              <w:numPr>
                <w:ilvl w:val="0"/>
                <w:numId w:val="21"/>
              </w:numPr>
              <w:spacing w:after="6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Analyse des principales lacunes en matière de connaissances et identification des options permettant d'y remédier</w:t>
            </w:r>
          </w:p>
        </w:tc>
        <w:tc>
          <w:tcPr>
            <w:tcW w:w="556" w:type="pct"/>
          </w:tcPr>
          <w:p w14:paraId="5CEB6568" w14:textId="77777777" w:rsidR="00753D21" w:rsidRPr="00525E52" w:rsidRDefault="00753D21" w:rsidP="00257E62">
            <w:pPr>
              <w:widowControl w:val="0"/>
              <w:jc w:val="center"/>
              <w:rPr>
                <w:rFonts w:asciiTheme="majorBidi" w:eastAsia="MS Mincho" w:hAnsiTheme="majorBidi" w:cstheme="majorBidi"/>
                <w:bCs/>
                <w:snapToGrid w:val="0"/>
                <w:kern w:val="22"/>
                <w:sz w:val="21"/>
                <w:szCs w:val="21"/>
                <w:lang w:val="fr-FR"/>
              </w:rPr>
            </w:pPr>
          </w:p>
        </w:tc>
        <w:tc>
          <w:tcPr>
            <w:tcW w:w="559" w:type="pct"/>
            <w:shd w:val="clear" w:color="auto" w:fill="auto"/>
          </w:tcPr>
          <w:p w14:paraId="4D9E244B"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70592F57" w14:textId="77777777" w:rsidTr="00257E62">
        <w:tc>
          <w:tcPr>
            <w:tcW w:w="708" w:type="pct"/>
            <w:vMerge/>
            <w:shd w:val="clear" w:color="auto" w:fill="auto"/>
          </w:tcPr>
          <w:p w14:paraId="122CD15C"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177" w:type="pct"/>
          </w:tcPr>
          <w:p w14:paraId="5C6870A4" w14:textId="7FD65334" w:rsidR="00753D21" w:rsidRPr="00525E52" w:rsidRDefault="00753D21" w:rsidP="00561C79">
            <w:pPr>
              <w:pStyle w:val="ListParagraph"/>
              <w:widowControl w:val="0"/>
              <w:numPr>
                <w:ilvl w:val="0"/>
                <w:numId w:val="21"/>
              </w:numPr>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Examen complet de </w:t>
            </w:r>
            <w:r w:rsidR="002F512D">
              <w:rPr>
                <w:rFonts w:asciiTheme="majorBidi" w:eastAsia="MS Mincho" w:hAnsiTheme="majorBidi" w:cstheme="majorBidi"/>
                <w:bCs/>
                <w:snapToGrid w:val="0"/>
                <w:kern w:val="22"/>
                <w:sz w:val="21"/>
                <w:szCs w:val="21"/>
                <w:lang w:val="fr-FR"/>
              </w:rPr>
              <w:t>l’élément</w:t>
            </w:r>
            <w:r w:rsidR="00C648C4" w:rsidRPr="00525E52">
              <w:rPr>
                <w:rFonts w:asciiTheme="majorBidi" w:eastAsia="MS Mincho" w:hAnsiTheme="majorBidi" w:cstheme="majorBidi"/>
                <w:bCs/>
                <w:snapToGrid w:val="0"/>
                <w:kern w:val="22"/>
                <w:sz w:val="21"/>
                <w:szCs w:val="21"/>
                <w:lang w:val="fr-FR"/>
              </w:rPr>
              <w:t xml:space="preserve"> sur la gestion des connaissances</w:t>
            </w:r>
          </w:p>
        </w:tc>
        <w:tc>
          <w:tcPr>
            <w:tcW w:w="556" w:type="pct"/>
          </w:tcPr>
          <w:p w14:paraId="2DB62297" w14:textId="77777777" w:rsidR="00753D21" w:rsidRPr="00525E52" w:rsidRDefault="00753D21" w:rsidP="00257E62">
            <w:pPr>
              <w:widowControl w:val="0"/>
              <w:jc w:val="center"/>
              <w:rPr>
                <w:rFonts w:asciiTheme="majorBidi" w:eastAsia="MS Mincho" w:hAnsiTheme="majorBidi" w:cstheme="majorBidi"/>
                <w:bCs/>
                <w:snapToGrid w:val="0"/>
                <w:kern w:val="22"/>
                <w:sz w:val="21"/>
                <w:szCs w:val="21"/>
                <w:lang w:val="fr-FR"/>
              </w:rPr>
            </w:pPr>
          </w:p>
        </w:tc>
        <w:tc>
          <w:tcPr>
            <w:tcW w:w="559" w:type="pct"/>
            <w:shd w:val="clear" w:color="auto" w:fill="auto"/>
          </w:tcPr>
          <w:p w14:paraId="3F59BA9F"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bl>
    <w:p w14:paraId="287A04AF" w14:textId="77777777" w:rsidR="00753D21" w:rsidRPr="00525E52" w:rsidRDefault="00753D21" w:rsidP="00753D21">
      <w:pPr>
        <w:keepNext/>
        <w:widowControl w:val="0"/>
        <w:tabs>
          <w:tab w:val="left" w:pos="6500"/>
          <w:tab w:val="center" w:pos="7069"/>
        </w:tabs>
        <w:spacing w:after="120"/>
        <w:jc w:val="center"/>
        <w:rPr>
          <w:rFonts w:asciiTheme="majorBidi" w:hAnsiTheme="majorBidi" w:cstheme="majorBidi"/>
          <w:i/>
          <w:iCs/>
          <w:kern w:val="22"/>
          <w:lang w:val="fr-FR"/>
        </w:rPr>
      </w:pPr>
    </w:p>
    <w:p w14:paraId="6C126C96" w14:textId="49F23D2D" w:rsidR="00753D21" w:rsidRPr="00525E52" w:rsidRDefault="00753D21" w:rsidP="005676C9">
      <w:pPr>
        <w:keepNext/>
        <w:widowControl w:val="0"/>
        <w:tabs>
          <w:tab w:val="left" w:pos="6500"/>
          <w:tab w:val="center" w:pos="7069"/>
        </w:tabs>
        <w:spacing w:before="100" w:beforeAutospacing="1" w:after="120"/>
        <w:jc w:val="center"/>
        <w:rPr>
          <w:rFonts w:asciiTheme="majorBidi" w:hAnsiTheme="majorBidi" w:cstheme="majorBidi"/>
          <w:i/>
          <w:iCs/>
          <w:kern w:val="22"/>
          <w:lang w:val="fr-FR"/>
        </w:rPr>
      </w:pPr>
      <w:r w:rsidRPr="00525E52">
        <w:rPr>
          <w:rFonts w:asciiTheme="majorBidi" w:hAnsiTheme="majorBidi" w:cstheme="majorBidi"/>
          <w:i/>
          <w:iCs/>
          <w:kern w:val="22"/>
          <w:lang w:val="fr-FR"/>
        </w:rPr>
        <w:t>A</w:t>
      </w:r>
      <w:r w:rsidR="00C7538D" w:rsidRPr="00525E52">
        <w:rPr>
          <w:rFonts w:asciiTheme="majorBidi" w:hAnsiTheme="majorBidi" w:cstheme="majorBidi"/>
          <w:i/>
          <w:iCs/>
          <w:kern w:val="22"/>
          <w:lang w:val="fr-FR"/>
        </w:rPr>
        <w:t>ppendic</w:t>
      </w:r>
      <w:r w:rsidRPr="00525E52">
        <w:rPr>
          <w:rFonts w:asciiTheme="majorBidi" w:hAnsiTheme="majorBidi" w:cstheme="majorBidi"/>
          <w:i/>
          <w:iCs/>
          <w:kern w:val="22"/>
          <w:lang w:val="fr-FR"/>
        </w:rPr>
        <w:t>e II</w:t>
      </w:r>
    </w:p>
    <w:p w14:paraId="19DCAD7B" w14:textId="49659E2E" w:rsidR="00753D21" w:rsidRPr="00525E52" w:rsidRDefault="00C7538D" w:rsidP="00753D21">
      <w:pPr>
        <w:keepNext/>
        <w:widowControl w:val="0"/>
        <w:spacing w:before="120" w:after="120"/>
        <w:jc w:val="center"/>
        <w:rPr>
          <w:rFonts w:asciiTheme="majorBidi" w:hAnsiTheme="majorBidi" w:cstheme="majorBidi"/>
          <w:b/>
          <w:bCs/>
          <w:kern w:val="22"/>
          <w:lang w:val="fr-FR"/>
        </w:rPr>
      </w:pPr>
      <w:r w:rsidRPr="00525E52">
        <w:rPr>
          <w:rFonts w:asciiTheme="majorBidi" w:hAnsiTheme="majorBidi" w:cstheme="majorBidi"/>
          <w:b/>
          <w:bCs/>
          <w:kern w:val="22"/>
          <w:lang w:val="fr-FR"/>
        </w:rPr>
        <w:t xml:space="preserve">MESURES STRATÉGIQUES POUR </w:t>
      </w:r>
      <w:r w:rsidR="00753D21" w:rsidRPr="00525E52">
        <w:rPr>
          <w:rFonts w:asciiTheme="majorBidi" w:hAnsiTheme="majorBidi" w:cstheme="majorBidi"/>
          <w:b/>
          <w:bCs/>
          <w:kern w:val="22"/>
          <w:lang w:val="fr-FR"/>
        </w:rPr>
        <w:t>FACILITER LA</w:t>
      </w:r>
      <w:r w:rsidRPr="00525E52">
        <w:rPr>
          <w:rFonts w:asciiTheme="majorBidi" w:hAnsiTheme="majorBidi" w:cstheme="majorBidi"/>
          <w:b/>
          <w:bCs/>
          <w:kern w:val="22"/>
          <w:lang w:val="fr-FR"/>
        </w:rPr>
        <w:t xml:space="preserve"> MISE EN ŒUVRE DE </w:t>
      </w:r>
      <w:r w:rsidR="00257E62">
        <w:rPr>
          <w:rFonts w:asciiTheme="majorBidi" w:hAnsiTheme="majorBidi" w:cstheme="majorBidi"/>
          <w:b/>
          <w:bCs/>
          <w:kern w:val="22"/>
          <w:lang w:val="fr-FR"/>
        </w:rPr>
        <w:t>LA COMPOSANTE</w:t>
      </w:r>
      <w:r w:rsidR="00C648C4" w:rsidRPr="00525E52">
        <w:rPr>
          <w:rFonts w:asciiTheme="majorBidi" w:hAnsiTheme="majorBidi" w:cstheme="majorBidi"/>
          <w:b/>
          <w:bCs/>
          <w:kern w:val="22"/>
          <w:lang w:val="fr-FR"/>
        </w:rPr>
        <w:t xml:space="preserve"> SUR LA GESTION DES CONNAISSANCES</w:t>
      </w:r>
    </w:p>
    <w:tbl>
      <w:tblPr>
        <w:tblpPr w:leftFromText="180" w:rightFromText="180" w:vertAnchor="text" w:tblpX="-550" w:tblpY="1"/>
        <w:tblOverlap w:val="neve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5329"/>
        <w:gridCol w:w="1196"/>
        <w:gridCol w:w="1500"/>
      </w:tblGrid>
      <w:tr w:rsidR="00753D21" w:rsidRPr="00525E52" w14:paraId="7AB5AA4C" w14:textId="77777777" w:rsidTr="00257E62">
        <w:tc>
          <w:tcPr>
            <w:tcW w:w="819" w:type="pct"/>
            <w:tcBorders>
              <w:bottom w:val="nil"/>
            </w:tcBorders>
            <w:shd w:val="clear" w:color="auto" w:fill="auto"/>
            <w:vAlign w:val="center"/>
          </w:tcPr>
          <w:p w14:paraId="41F80C3E" w14:textId="77777777" w:rsidR="00753D21" w:rsidRPr="00525E52" w:rsidRDefault="00753D21" w:rsidP="00257E62">
            <w:pPr>
              <w:widowControl w:val="0"/>
              <w:spacing w:before="60" w:after="60"/>
              <w:jc w:val="center"/>
              <w:rPr>
                <w:rFonts w:ascii="Times New Roman Bold" w:eastAsia="MS Mincho" w:hAnsi="Times New Roman Bold" w:cs="Times New Roman Bold"/>
                <w:b/>
                <w:snapToGrid w:val="0"/>
                <w:spacing w:val="-12"/>
                <w:kern w:val="22"/>
                <w:sz w:val="21"/>
                <w:szCs w:val="21"/>
                <w:lang w:val="fr-FR"/>
              </w:rPr>
            </w:pPr>
            <w:r w:rsidRPr="00525E52">
              <w:rPr>
                <w:rFonts w:ascii="Times New Roman Bold" w:eastAsia="MS Mincho" w:hAnsi="Times New Roman Bold" w:cs="Times New Roman Bold"/>
                <w:b/>
                <w:snapToGrid w:val="0"/>
                <w:spacing w:val="-12"/>
                <w:kern w:val="22"/>
                <w:sz w:val="21"/>
                <w:szCs w:val="21"/>
                <w:lang w:val="fr-FR"/>
              </w:rPr>
              <w:t>Domaine stratégique</w:t>
            </w:r>
          </w:p>
        </w:tc>
        <w:tc>
          <w:tcPr>
            <w:tcW w:w="3072" w:type="pct"/>
            <w:tcBorders>
              <w:bottom w:val="nil"/>
            </w:tcBorders>
            <w:shd w:val="clear" w:color="auto" w:fill="auto"/>
            <w:vAlign w:val="center"/>
          </w:tcPr>
          <w:p w14:paraId="63FA8814" w14:textId="77777777" w:rsidR="00753D21" w:rsidRPr="00525E52" w:rsidRDefault="00753D21" w:rsidP="00257E62">
            <w:pPr>
              <w:widowControl w:val="0"/>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 xml:space="preserve">Action stratégique </w:t>
            </w:r>
          </w:p>
        </w:tc>
        <w:tc>
          <w:tcPr>
            <w:tcW w:w="552" w:type="pct"/>
            <w:tcBorders>
              <w:bottom w:val="nil"/>
            </w:tcBorders>
          </w:tcPr>
          <w:p w14:paraId="1D435424" w14:textId="77777777" w:rsidR="00753D21" w:rsidRPr="00525E52" w:rsidRDefault="00753D21" w:rsidP="00257E62">
            <w:pPr>
              <w:widowControl w:val="0"/>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Calendrier</w:t>
            </w:r>
          </w:p>
        </w:tc>
        <w:tc>
          <w:tcPr>
            <w:tcW w:w="557" w:type="pct"/>
            <w:tcBorders>
              <w:bottom w:val="nil"/>
            </w:tcBorders>
            <w:shd w:val="clear" w:color="auto" w:fill="auto"/>
            <w:vAlign w:val="center"/>
          </w:tcPr>
          <w:p w14:paraId="3AFF99A2" w14:textId="77777777" w:rsidR="00753D21" w:rsidRPr="00525E52" w:rsidRDefault="00753D21" w:rsidP="00257E62">
            <w:pPr>
              <w:widowControl w:val="0"/>
              <w:spacing w:before="60" w:after="60"/>
              <w:jc w:val="center"/>
              <w:rPr>
                <w:rFonts w:eastAsia="MS Mincho"/>
                <w:b/>
                <w:snapToGrid w:val="0"/>
                <w:kern w:val="22"/>
                <w:sz w:val="21"/>
                <w:szCs w:val="21"/>
                <w:lang w:val="fr-FR"/>
              </w:rPr>
            </w:pPr>
            <w:r w:rsidRPr="00525E52">
              <w:rPr>
                <w:rFonts w:eastAsia="MS Mincho"/>
                <w:b/>
                <w:snapToGrid w:val="0"/>
                <w:kern w:val="22"/>
                <w:sz w:val="21"/>
                <w:szCs w:val="21"/>
                <w:lang w:val="fr-FR"/>
              </w:rPr>
              <w:t xml:space="preserve">Contributeurs </w:t>
            </w:r>
          </w:p>
        </w:tc>
      </w:tr>
      <w:tr w:rsidR="00753D21" w:rsidRPr="002C1863" w14:paraId="62320C7E" w14:textId="77777777" w:rsidTr="00CC59B1">
        <w:tc>
          <w:tcPr>
            <w:tcW w:w="819" w:type="pct"/>
            <w:vMerge w:val="restart"/>
            <w:shd w:val="clear" w:color="auto" w:fill="auto"/>
          </w:tcPr>
          <w:p w14:paraId="26532CA2" w14:textId="77777777" w:rsidR="00753D21" w:rsidRPr="00525E52" w:rsidRDefault="00753D21" w:rsidP="00561C79">
            <w:pPr>
              <w:pStyle w:val="ListParagraph"/>
              <w:widowControl w:val="0"/>
              <w:numPr>
                <w:ilvl w:val="0"/>
                <w:numId w:val="23"/>
              </w:numPr>
              <w:ind w:left="250" w:hanging="270"/>
              <w:jc w:val="left"/>
              <w:rPr>
                <w:rFonts w:ascii="Times New Roman Bold" w:eastAsia="MS Mincho" w:hAnsi="Times New Roman Bold" w:cs="Times New Roman Bold"/>
                <w:b/>
                <w:snapToGrid w:val="0"/>
                <w:spacing w:val="-12"/>
                <w:kern w:val="22"/>
                <w:sz w:val="21"/>
                <w:szCs w:val="21"/>
                <w:lang w:val="fr-FR"/>
              </w:rPr>
            </w:pPr>
            <w:r w:rsidRPr="00525E52">
              <w:rPr>
                <w:rFonts w:asciiTheme="majorBidi" w:eastAsia="MS Mincho" w:hAnsiTheme="majorBidi" w:cstheme="majorBidi"/>
                <w:bCs/>
                <w:snapToGrid w:val="0"/>
                <w:kern w:val="22"/>
                <w:sz w:val="21"/>
                <w:szCs w:val="21"/>
                <w:lang w:val="fr-FR"/>
              </w:rPr>
              <w:t xml:space="preserve">Renforcement des capacités en matière de gestion des données, des informations et </w:t>
            </w:r>
            <w:r w:rsidRPr="00525E52">
              <w:rPr>
                <w:rFonts w:asciiTheme="majorBidi" w:eastAsia="MS Mincho" w:hAnsiTheme="majorBidi" w:cstheme="majorBidi"/>
                <w:bCs/>
                <w:snapToGrid w:val="0"/>
                <w:kern w:val="22"/>
                <w:sz w:val="21"/>
                <w:szCs w:val="21"/>
                <w:lang w:val="fr-FR"/>
              </w:rPr>
              <w:lastRenderedPageBreak/>
              <w:t>des connaissances</w:t>
            </w:r>
          </w:p>
        </w:tc>
        <w:tc>
          <w:tcPr>
            <w:tcW w:w="3072" w:type="pct"/>
            <w:tcBorders>
              <w:bottom w:val="single" w:sz="4" w:space="0" w:color="auto"/>
            </w:tcBorders>
            <w:shd w:val="clear" w:color="auto" w:fill="auto"/>
          </w:tcPr>
          <w:p w14:paraId="5FE4029D" w14:textId="77777777" w:rsidR="00753D21" w:rsidRPr="00525E52" w:rsidRDefault="00753D21" w:rsidP="00561C79">
            <w:pPr>
              <w:pStyle w:val="ListParagraph"/>
              <w:widowControl w:val="0"/>
              <w:numPr>
                <w:ilvl w:val="0"/>
                <w:numId w:val="22"/>
              </w:numPr>
              <w:spacing w:after="60"/>
              <w:jc w:val="left"/>
              <w:rPr>
                <w:rFonts w:eastAsia="MS Mincho"/>
                <w:b/>
                <w:snapToGrid w:val="0"/>
                <w:kern w:val="22"/>
                <w:sz w:val="21"/>
                <w:szCs w:val="21"/>
                <w:lang w:val="fr-FR"/>
              </w:rPr>
            </w:pPr>
            <w:r w:rsidRPr="00525E52">
              <w:rPr>
                <w:rFonts w:asciiTheme="majorBidi" w:hAnsiTheme="majorBidi" w:cstheme="majorBidi"/>
                <w:kern w:val="22"/>
                <w:sz w:val="21"/>
                <w:szCs w:val="21"/>
                <w:lang w:val="fr-FR"/>
              </w:rPr>
              <w:lastRenderedPageBreak/>
              <w:t>Renforcer la capacité des institutions compétentes en matière de bio-informatique, d'information et de gestion des connaissances, notamment par l'éducation, la formation et le tutorat d'experts et de jeunes scientifiques</w:t>
            </w:r>
          </w:p>
        </w:tc>
        <w:tc>
          <w:tcPr>
            <w:tcW w:w="552" w:type="pct"/>
            <w:tcBorders>
              <w:bottom w:val="single" w:sz="4" w:space="0" w:color="auto"/>
            </w:tcBorders>
          </w:tcPr>
          <w:p w14:paraId="494530FA" w14:textId="77777777" w:rsidR="00753D21" w:rsidRPr="00525E52" w:rsidRDefault="00753D21" w:rsidP="00257E62">
            <w:pPr>
              <w:widowControl w:val="0"/>
              <w:rPr>
                <w:rFonts w:eastAsia="MS Mincho"/>
                <w:bCs/>
                <w:snapToGrid w:val="0"/>
                <w:kern w:val="22"/>
                <w:sz w:val="21"/>
                <w:szCs w:val="21"/>
                <w:lang w:val="fr-FR"/>
              </w:rPr>
            </w:pPr>
          </w:p>
        </w:tc>
        <w:tc>
          <w:tcPr>
            <w:tcW w:w="557" w:type="pct"/>
            <w:tcBorders>
              <w:bottom w:val="single" w:sz="4" w:space="0" w:color="auto"/>
            </w:tcBorders>
            <w:shd w:val="clear" w:color="auto" w:fill="auto"/>
          </w:tcPr>
          <w:p w14:paraId="7E74CEE4" w14:textId="77777777" w:rsidR="00753D21" w:rsidRPr="00525E52" w:rsidRDefault="00753D21" w:rsidP="00257E62">
            <w:pPr>
              <w:widowControl w:val="0"/>
              <w:jc w:val="left"/>
              <w:rPr>
                <w:rFonts w:eastAsia="MS Mincho"/>
                <w:bCs/>
                <w:snapToGrid w:val="0"/>
                <w:kern w:val="22"/>
                <w:sz w:val="21"/>
                <w:szCs w:val="21"/>
                <w:lang w:val="fr-FR"/>
              </w:rPr>
            </w:pPr>
          </w:p>
        </w:tc>
      </w:tr>
      <w:tr w:rsidR="00753D21" w:rsidRPr="002C1863" w14:paraId="7EF6C618" w14:textId="77777777" w:rsidTr="00CC59B1">
        <w:tc>
          <w:tcPr>
            <w:tcW w:w="819" w:type="pct"/>
            <w:vMerge/>
            <w:tcBorders>
              <w:right w:val="single" w:sz="4" w:space="0" w:color="auto"/>
            </w:tcBorders>
            <w:shd w:val="clear" w:color="auto" w:fill="auto"/>
          </w:tcPr>
          <w:p w14:paraId="35162DCB" w14:textId="77777777" w:rsidR="00753D21" w:rsidRPr="00525E52" w:rsidRDefault="00753D21" w:rsidP="00257E62">
            <w:pPr>
              <w:widowControl w:val="0"/>
              <w:jc w:val="center"/>
              <w:rPr>
                <w:rFonts w:ascii="Times New Roman Bold" w:eastAsia="MS Mincho" w:hAnsi="Times New Roman Bold" w:cs="Times New Roman Bold"/>
                <w:b/>
                <w:snapToGrid w:val="0"/>
                <w:spacing w:val="-12"/>
                <w:kern w:val="22"/>
                <w:sz w:val="21"/>
                <w:szCs w:val="21"/>
                <w:lang w:val="fr-FR"/>
              </w:rPr>
            </w:pPr>
          </w:p>
        </w:tc>
        <w:tc>
          <w:tcPr>
            <w:tcW w:w="3072" w:type="pct"/>
            <w:tcBorders>
              <w:top w:val="single" w:sz="4" w:space="0" w:color="auto"/>
              <w:left w:val="single" w:sz="4" w:space="0" w:color="auto"/>
              <w:bottom w:val="single" w:sz="4" w:space="0" w:color="auto"/>
              <w:right w:val="single" w:sz="4" w:space="0" w:color="auto"/>
            </w:tcBorders>
            <w:shd w:val="clear" w:color="auto" w:fill="auto"/>
          </w:tcPr>
          <w:p w14:paraId="2EE78D6E" w14:textId="77777777" w:rsidR="00753D21" w:rsidRPr="00525E52" w:rsidRDefault="00753D21" w:rsidP="00561C79">
            <w:pPr>
              <w:pStyle w:val="ListParagraph"/>
              <w:widowControl w:val="0"/>
              <w:numPr>
                <w:ilvl w:val="0"/>
                <w:numId w:val="22"/>
              </w:numPr>
              <w:spacing w:after="60"/>
              <w:jc w:val="left"/>
              <w:rPr>
                <w:rFonts w:eastAsia="MS Mincho"/>
                <w:b/>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Aider les gouvernements à mettre en place des </w:t>
            </w:r>
            <w:r w:rsidRPr="00525E52">
              <w:rPr>
                <w:rFonts w:asciiTheme="majorBidi" w:eastAsia="MS Mincho" w:hAnsiTheme="majorBidi" w:cstheme="majorBidi"/>
                <w:bCs/>
                <w:snapToGrid w:val="0"/>
                <w:kern w:val="22"/>
                <w:sz w:val="21"/>
                <w:szCs w:val="21"/>
                <w:lang w:val="fr-FR"/>
              </w:rPr>
              <w:lastRenderedPageBreak/>
              <w:t xml:space="preserve">politiques et des lois habilitantes, des arrangements institutionnels et des mesures d'incitation pour la gestion des connaissances </w:t>
            </w:r>
          </w:p>
        </w:tc>
        <w:tc>
          <w:tcPr>
            <w:tcW w:w="552" w:type="pct"/>
            <w:tcBorders>
              <w:top w:val="single" w:sz="4" w:space="0" w:color="auto"/>
              <w:left w:val="single" w:sz="4" w:space="0" w:color="auto"/>
              <w:bottom w:val="single" w:sz="4" w:space="0" w:color="auto"/>
              <w:right w:val="single" w:sz="4" w:space="0" w:color="auto"/>
            </w:tcBorders>
          </w:tcPr>
          <w:p w14:paraId="04296FC9"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44B215AF" w14:textId="77777777" w:rsidR="00753D21" w:rsidRPr="00525E52" w:rsidRDefault="00753D21" w:rsidP="00257E62">
            <w:pPr>
              <w:widowControl w:val="0"/>
              <w:jc w:val="left"/>
              <w:rPr>
                <w:rFonts w:eastAsia="MS Mincho"/>
                <w:b/>
                <w:snapToGrid w:val="0"/>
                <w:kern w:val="22"/>
                <w:sz w:val="21"/>
                <w:szCs w:val="21"/>
                <w:lang w:val="fr-FR"/>
              </w:rPr>
            </w:pPr>
          </w:p>
        </w:tc>
      </w:tr>
      <w:tr w:rsidR="00753D21" w:rsidRPr="002C1863" w14:paraId="632EE134" w14:textId="77777777" w:rsidTr="00CC59B1">
        <w:tc>
          <w:tcPr>
            <w:tcW w:w="819" w:type="pct"/>
            <w:vMerge/>
            <w:shd w:val="clear" w:color="auto" w:fill="auto"/>
          </w:tcPr>
          <w:p w14:paraId="5C1A79A8" w14:textId="77777777" w:rsidR="00753D21" w:rsidRPr="00525E52" w:rsidRDefault="00753D21" w:rsidP="00257E62">
            <w:pPr>
              <w:widowControl w:val="0"/>
              <w:jc w:val="center"/>
              <w:rPr>
                <w:rFonts w:ascii="Times New Roman Bold" w:eastAsia="MS Mincho" w:hAnsi="Times New Roman Bold" w:cs="Times New Roman Bold"/>
                <w:b/>
                <w:snapToGrid w:val="0"/>
                <w:spacing w:val="-12"/>
                <w:kern w:val="22"/>
                <w:sz w:val="21"/>
                <w:szCs w:val="21"/>
                <w:lang w:val="fr-FR"/>
              </w:rPr>
            </w:pPr>
          </w:p>
        </w:tc>
        <w:tc>
          <w:tcPr>
            <w:tcW w:w="3072" w:type="pct"/>
            <w:tcBorders>
              <w:top w:val="single" w:sz="4" w:space="0" w:color="auto"/>
              <w:bottom w:val="nil"/>
            </w:tcBorders>
            <w:shd w:val="clear" w:color="auto" w:fill="auto"/>
          </w:tcPr>
          <w:p w14:paraId="7EBA1471" w14:textId="77777777" w:rsidR="00753D21" w:rsidRPr="00525E52" w:rsidRDefault="00753D21" w:rsidP="00561C79">
            <w:pPr>
              <w:pStyle w:val="ListParagraph"/>
              <w:widowControl w:val="0"/>
              <w:numPr>
                <w:ilvl w:val="0"/>
                <w:numId w:val="22"/>
              </w:numPr>
              <w:spacing w:after="60"/>
              <w:jc w:val="left"/>
              <w:rPr>
                <w:rFonts w:eastAsia="MS Mincho"/>
                <w:b/>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Fournir des informations et des orientations sur la gestion des connaissances et le développement des bases de données nationales, et partager l'expérience en matière d'accès aux données et d'utilisation de celles-ci </w:t>
            </w:r>
          </w:p>
        </w:tc>
        <w:tc>
          <w:tcPr>
            <w:tcW w:w="552" w:type="pct"/>
            <w:tcBorders>
              <w:top w:val="single" w:sz="4" w:space="0" w:color="auto"/>
              <w:bottom w:val="nil"/>
            </w:tcBorders>
          </w:tcPr>
          <w:p w14:paraId="43AF4144"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tcBorders>
              <w:top w:val="single" w:sz="4" w:space="0" w:color="auto"/>
              <w:bottom w:val="nil"/>
            </w:tcBorders>
            <w:shd w:val="clear" w:color="auto" w:fill="auto"/>
          </w:tcPr>
          <w:p w14:paraId="35679E41" w14:textId="77777777" w:rsidR="00753D21" w:rsidRPr="00525E52" w:rsidRDefault="00753D21" w:rsidP="00257E62">
            <w:pPr>
              <w:widowControl w:val="0"/>
              <w:jc w:val="left"/>
              <w:rPr>
                <w:rFonts w:eastAsia="MS Mincho"/>
                <w:b/>
                <w:snapToGrid w:val="0"/>
                <w:kern w:val="22"/>
                <w:sz w:val="21"/>
                <w:szCs w:val="21"/>
                <w:lang w:val="fr-FR"/>
              </w:rPr>
            </w:pPr>
          </w:p>
        </w:tc>
      </w:tr>
      <w:tr w:rsidR="00753D21" w:rsidRPr="002C1863" w14:paraId="4C3D41D1" w14:textId="77777777" w:rsidTr="00257E62">
        <w:tc>
          <w:tcPr>
            <w:tcW w:w="819" w:type="pct"/>
            <w:vMerge/>
            <w:shd w:val="clear" w:color="auto" w:fill="auto"/>
          </w:tcPr>
          <w:p w14:paraId="18826D92" w14:textId="77777777" w:rsidR="00753D21" w:rsidRPr="00525E52" w:rsidRDefault="00753D21" w:rsidP="00257E62">
            <w:pPr>
              <w:widowControl w:val="0"/>
              <w:jc w:val="center"/>
              <w:rPr>
                <w:rFonts w:ascii="Times New Roman Bold" w:eastAsia="MS Mincho" w:hAnsi="Times New Roman Bold" w:cs="Times New Roman Bold"/>
                <w:b/>
                <w:snapToGrid w:val="0"/>
                <w:spacing w:val="-12"/>
                <w:kern w:val="22"/>
                <w:sz w:val="21"/>
                <w:szCs w:val="21"/>
                <w:lang w:val="fr-FR"/>
              </w:rPr>
            </w:pPr>
          </w:p>
        </w:tc>
        <w:tc>
          <w:tcPr>
            <w:tcW w:w="3072" w:type="pct"/>
            <w:tcBorders>
              <w:bottom w:val="nil"/>
            </w:tcBorders>
            <w:shd w:val="clear" w:color="auto" w:fill="auto"/>
          </w:tcPr>
          <w:p w14:paraId="5EB2402C" w14:textId="77777777" w:rsidR="00753D21" w:rsidRPr="00525E52" w:rsidRDefault="00753D21" w:rsidP="00561C79">
            <w:pPr>
              <w:pStyle w:val="ListParagraph"/>
              <w:widowControl w:val="0"/>
              <w:numPr>
                <w:ilvl w:val="0"/>
                <w:numId w:val="22"/>
              </w:numPr>
              <w:spacing w:after="6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Aider les gouvernements et, conformément à la législation nationale, les parties prenantes pertinentes, à accéder aux sources de connaissances existantes</w:t>
            </w:r>
          </w:p>
        </w:tc>
        <w:tc>
          <w:tcPr>
            <w:tcW w:w="552" w:type="pct"/>
            <w:tcBorders>
              <w:bottom w:val="nil"/>
            </w:tcBorders>
          </w:tcPr>
          <w:p w14:paraId="7754B26B"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tcBorders>
              <w:bottom w:val="nil"/>
            </w:tcBorders>
            <w:shd w:val="clear" w:color="auto" w:fill="auto"/>
          </w:tcPr>
          <w:p w14:paraId="074DBC4B"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648CCDE9" w14:textId="77777777" w:rsidTr="00257E62">
        <w:tc>
          <w:tcPr>
            <w:tcW w:w="819" w:type="pct"/>
            <w:vMerge/>
            <w:shd w:val="clear" w:color="auto" w:fill="auto"/>
          </w:tcPr>
          <w:p w14:paraId="6512CE15" w14:textId="77777777" w:rsidR="00753D21" w:rsidRPr="00525E52" w:rsidRDefault="00753D21" w:rsidP="00257E62">
            <w:pPr>
              <w:widowControl w:val="0"/>
              <w:jc w:val="center"/>
              <w:rPr>
                <w:rFonts w:ascii="Times New Roman Bold" w:eastAsia="MS Mincho" w:hAnsi="Times New Roman Bold" w:cs="Times New Roman Bold"/>
                <w:b/>
                <w:snapToGrid w:val="0"/>
                <w:spacing w:val="-12"/>
                <w:kern w:val="22"/>
                <w:sz w:val="21"/>
                <w:szCs w:val="21"/>
                <w:lang w:val="fr-FR"/>
              </w:rPr>
            </w:pPr>
          </w:p>
        </w:tc>
        <w:tc>
          <w:tcPr>
            <w:tcW w:w="3072" w:type="pct"/>
            <w:tcBorders>
              <w:bottom w:val="nil"/>
            </w:tcBorders>
            <w:shd w:val="clear" w:color="auto" w:fill="auto"/>
          </w:tcPr>
          <w:p w14:paraId="1D78EFB2" w14:textId="77777777" w:rsidR="00753D21" w:rsidRPr="00525E52" w:rsidRDefault="00753D21" w:rsidP="00561C79">
            <w:pPr>
              <w:pStyle w:val="ListParagraph"/>
              <w:widowControl w:val="0"/>
              <w:numPr>
                <w:ilvl w:val="0"/>
                <w:numId w:val="22"/>
              </w:numPr>
              <w:spacing w:after="6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Entreprendre une analyse des lacunes dans les outils et les approches de gestion des informations et des connaissances existantes qui soutiennent les efforts de gestion de la biodiversité </w:t>
            </w:r>
          </w:p>
        </w:tc>
        <w:tc>
          <w:tcPr>
            <w:tcW w:w="552" w:type="pct"/>
            <w:tcBorders>
              <w:bottom w:val="nil"/>
            </w:tcBorders>
          </w:tcPr>
          <w:p w14:paraId="43904100"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tcBorders>
              <w:bottom w:val="nil"/>
            </w:tcBorders>
            <w:shd w:val="clear" w:color="auto" w:fill="auto"/>
          </w:tcPr>
          <w:p w14:paraId="101A85D4"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78E35200" w14:textId="77777777" w:rsidTr="00257E62">
        <w:tc>
          <w:tcPr>
            <w:tcW w:w="819" w:type="pct"/>
            <w:vMerge/>
            <w:shd w:val="clear" w:color="auto" w:fill="auto"/>
          </w:tcPr>
          <w:p w14:paraId="08C450D2" w14:textId="77777777" w:rsidR="00753D21" w:rsidRPr="00525E52" w:rsidRDefault="00753D21" w:rsidP="00257E62">
            <w:pPr>
              <w:widowControl w:val="0"/>
              <w:jc w:val="center"/>
              <w:rPr>
                <w:rFonts w:ascii="Times New Roman Bold" w:eastAsia="MS Mincho" w:hAnsi="Times New Roman Bold" w:cs="Times New Roman Bold"/>
                <w:b/>
                <w:snapToGrid w:val="0"/>
                <w:spacing w:val="-12"/>
                <w:kern w:val="22"/>
                <w:sz w:val="21"/>
                <w:szCs w:val="21"/>
                <w:lang w:val="fr-FR"/>
              </w:rPr>
            </w:pPr>
          </w:p>
        </w:tc>
        <w:tc>
          <w:tcPr>
            <w:tcW w:w="3072" w:type="pct"/>
            <w:tcBorders>
              <w:bottom w:val="nil"/>
            </w:tcBorders>
            <w:shd w:val="clear" w:color="auto" w:fill="auto"/>
          </w:tcPr>
          <w:p w14:paraId="6E5D2E5A" w14:textId="77777777" w:rsidR="00753D21" w:rsidRPr="00525E52" w:rsidRDefault="00753D21" w:rsidP="00561C79">
            <w:pPr>
              <w:pStyle w:val="ListParagraph"/>
              <w:widowControl w:val="0"/>
              <w:numPr>
                <w:ilvl w:val="0"/>
                <w:numId w:val="22"/>
              </w:numPr>
              <w:spacing w:after="6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Entreprendre une analyse des lacunes en matière de compétences et de besoins nationaux en matière de gestion des connaissances, y compris le renforcement des capacités de gestion des connaissances dans le cadre de la mise en œuvre des stratégies et plans d'action nationaux en faveur de la biodiversité, le cas échéant</w:t>
            </w:r>
          </w:p>
        </w:tc>
        <w:tc>
          <w:tcPr>
            <w:tcW w:w="552" w:type="pct"/>
            <w:tcBorders>
              <w:bottom w:val="nil"/>
            </w:tcBorders>
          </w:tcPr>
          <w:p w14:paraId="07C81707"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tcBorders>
              <w:bottom w:val="nil"/>
            </w:tcBorders>
            <w:shd w:val="clear" w:color="auto" w:fill="auto"/>
          </w:tcPr>
          <w:p w14:paraId="2228236A"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79AB1D3C" w14:textId="77777777" w:rsidTr="00257E62">
        <w:tc>
          <w:tcPr>
            <w:tcW w:w="819" w:type="pct"/>
            <w:vMerge w:val="restart"/>
            <w:shd w:val="clear" w:color="auto" w:fill="auto"/>
          </w:tcPr>
          <w:p w14:paraId="43CDC88E" w14:textId="77777777" w:rsidR="00753D21" w:rsidRPr="00525E52" w:rsidRDefault="00753D21" w:rsidP="00561C79">
            <w:pPr>
              <w:pStyle w:val="ListParagraph"/>
              <w:widowControl w:val="0"/>
              <w:numPr>
                <w:ilvl w:val="0"/>
                <w:numId w:val="23"/>
              </w:numPr>
              <w:ind w:left="250" w:hanging="27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Développement de réseaux et de partenariats</w:t>
            </w:r>
          </w:p>
        </w:tc>
        <w:tc>
          <w:tcPr>
            <w:tcW w:w="3072" w:type="pct"/>
          </w:tcPr>
          <w:p w14:paraId="4893C17B" w14:textId="77777777" w:rsidR="00753D21" w:rsidRPr="00525E52" w:rsidRDefault="00753D21" w:rsidP="00561C79">
            <w:pPr>
              <w:pStyle w:val="ListParagraph"/>
              <w:widowControl w:val="0"/>
              <w:numPr>
                <w:ilvl w:val="0"/>
                <w:numId w:val="15"/>
              </w:numPr>
              <w:spacing w:after="60"/>
              <w:jc w:val="left"/>
              <w:rPr>
                <w:rFonts w:asciiTheme="majorBidi" w:eastAsia="MS Mincho" w:hAnsiTheme="majorBidi" w:cstheme="majorBidi"/>
                <w:bCs/>
                <w:snapToGrid w:val="0"/>
                <w:kern w:val="22"/>
                <w:sz w:val="21"/>
                <w:szCs w:val="21"/>
                <w:lang w:val="fr-FR"/>
              </w:rPr>
            </w:pPr>
            <w:r w:rsidRPr="00525E52">
              <w:rPr>
                <w:rFonts w:asciiTheme="majorBidi" w:hAnsiTheme="majorBidi" w:cstheme="majorBidi"/>
                <w:kern w:val="22"/>
                <w:sz w:val="21"/>
                <w:szCs w:val="21"/>
                <w:lang w:val="fr-FR"/>
              </w:rPr>
              <w:t>Catalyser et renforcer les réseaux internationaux et régionaux de gestion des données, des informations et des connaissances relatives à la biodiversité</w:t>
            </w:r>
          </w:p>
        </w:tc>
        <w:tc>
          <w:tcPr>
            <w:tcW w:w="552" w:type="pct"/>
          </w:tcPr>
          <w:p w14:paraId="677279FA"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2DBE540C"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6BAA939B" w14:textId="77777777" w:rsidTr="00257E62">
        <w:tc>
          <w:tcPr>
            <w:tcW w:w="819" w:type="pct"/>
            <w:vMerge/>
            <w:shd w:val="clear" w:color="auto" w:fill="auto"/>
          </w:tcPr>
          <w:p w14:paraId="348D6E93"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072" w:type="pct"/>
          </w:tcPr>
          <w:p w14:paraId="30D7C6E9" w14:textId="77777777" w:rsidR="00753D21" w:rsidRPr="00525E52" w:rsidRDefault="00753D21" w:rsidP="00561C79">
            <w:pPr>
              <w:pStyle w:val="ListParagraph"/>
              <w:widowControl w:val="0"/>
              <w:numPr>
                <w:ilvl w:val="0"/>
                <w:numId w:val="15"/>
              </w:numPr>
              <w:spacing w:after="60"/>
              <w:jc w:val="left"/>
              <w:rPr>
                <w:rFonts w:asciiTheme="majorBidi" w:eastAsia="MS Mincho" w:hAnsiTheme="majorBidi" w:cstheme="majorBidi"/>
                <w:bCs/>
                <w:snapToGrid w:val="0"/>
                <w:kern w:val="22"/>
                <w:sz w:val="21"/>
                <w:szCs w:val="21"/>
                <w:lang w:val="fr-FR"/>
              </w:rPr>
            </w:pPr>
            <w:r w:rsidRPr="00525E52">
              <w:rPr>
                <w:rFonts w:asciiTheme="majorBidi" w:hAnsiTheme="majorBidi" w:cstheme="majorBidi"/>
                <w:kern w:val="22"/>
                <w:sz w:val="21"/>
                <w:szCs w:val="21"/>
                <w:lang w:val="fr-FR"/>
              </w:rPr>
              <w:t>Promouvoir la collaboration en matière de partage des données, des informations et des connaissances sur la biodiversité, notamment en renforçant l'harmonisation et l'interopérabilité entre les initiatives pertinentes en matière de systèmes d'information</w:t>
            </w:r>
          </w:p>
        </w:tc>
        <w:tc>
          <w:tcPr>
            <w:tcW w:w="552" w:type="pct"/>
          </w:tcPr>
          <w:p w14:paraId="60F69363"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6E812663"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6B6B812B" w14:textId="77777777" w:rsidTr="00257E62">
        <w:tc>
          <w:tcPr>
            <w:tcW w:w="819" w:type="pct"/>
            <w:vMerge/>
            <w:shd w:val="clear" w:color="auto" w:fill="auto"/>
          </w:tcPr>
          <w:p w14:paraId="09ED9407"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072" w:type="pct"/>
          </w:tcPr>
          <w:p w14:paraId="7A54879D" w14:textId="77777777" w:rsidR="00753D21" w:rsidRPr="00525E52" w:rsidRDefault="00753D21" w:rsidP="00561C79">
            <w:pPr>
              <w:pStyle w:val="ListParagraph"/>
              <w:widowControl w:val="0"/>
              <w:numPr>
                <w:ilvl w:val="0"/>
                <w:numId w:val="15"/>
              </w:numPr>
              <w:spacing w:after="60"/>
              <w:jc w:val="left"/>
              <w:rPr>
                <w:rFonts w:asciiTheme="majorBidi" w:eastAsia="MS Mincho" w:hAnsiTheme="majorBidi" w:cstheme="majorBidi"/>
                <w:bCs/>
                <w:snapToGrid w:val="0"/>
                <w:kern w:val="22"/>
                <w:sz w:val="21"/>
                <w:szCs w:val="21"/>
                <w:lang w:val="fr-FR"/>
              </w:rPr>
            </w:pPr>
            <w:r w:rsidRPr="00525E52">
              <w:rPr>
                <w:rFonts w:asciiTheme="majorBidi" w:hAnsiTheme="majorBidi" w:cstheme="majorBidi"/>
                <w:kern w:val="22"/>
                <w:sz w:val="21"/>
                <w:szCs w:val="21"/>
                <w:lang w:val="fr-FR"/>
              </w:rPr>
              <w:t>Renforcer la surveillance de la biodiversité par une coopération visant à améliorer l'acquisition, la fourniture et l'utilisation des données d'observation de la Terre et des services connexes</w:t>
            </w:r>
          </w:p>
        </w:tc>
        <w:tc>
          <w:tcPr>
            <w:tcW w:w="552" w:type="pct"/>
          </w:tcPr>
          <w:p w14:paraId="17E37F49" w14:textId="77777777" w:rsidR="00753D21" w:rsidRPr="00525E52" w:rsidRDefault="00753D21" w:rsidP="00257E62">
            <w:pPr>
              <w:widowControl w:val="0"/>
              <w:rPr>
                <w:rFonts w:asciiTheme="majorBidi" w:hAnsiTheme="majorBidi" w:cstheme="majorBidi"/>
                <w:kern w:val="22"/>
                <w:sz w:val="21"/>
                <w:szCs w:val="21"/>
                <w:lang w:val="fr-FR"/>
              </w:rPr>
            </w:pPr>
          </w:p>
        </w:tc>
        <w:tc>
          <w:tcPr>
            <w:tcW w:w="557" w:type="pct"/>
            <w:shd w:val="clear" w:color="auto" w:fill="auto"/>
          </w:tcPr>
          <w:p w14:paraId="0D96C0B4"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3833EA74" w14:textId="77777777" w:rsidTr="00257E62">
        <w:tc>
          <w:tcPr>
            <w:tcW w:w="819" w:type="pct"/>
            <w:vMerge/>
            <w:shd w:val="clear" w:color="auto" w:fill="auto"/>
          </w:tcPr>
          <w:p w14:paraId="16474F47"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072" w:type="pct"/>
          </w:tcPr>
          <w:p w14:paraId="48B9059F" w14:textId="77777777" w:rsidR="00753D21" w:rsidRPr="00525E52" w:rsidRDefault="00753D21" w:rsidP="00561C79">
            <w:pPr>
              <w:pStyle w:val="ListParagraph"/>
              <w:widowControl w:val="0"/>
              <w:numPr>
                <w:ilvl w:val="0"/>
                <w:numId w:val="15"/>
              </w:numPr>
              <w:spacing w:after="60"/>
              <w:jc w:val="left"/>
              <w:rPr>
                <w:rFonts w:asciiTheme="majorBidi" w:hAnsiTheme="majorBidi" w:cstheme="majorBidi"/>
                <w:kern w:val="22"/>
                <w:sz w:val="21"/>
                <w:szCs w:val="21"/>
                <w:lang w:val="fr-FR"/>
              </w:rPr>
            </w:pPr>
            <w:r w:rsidRPr="00525E52">
              <w:rPr>
                <w:rFonts w:asciiTheme="majorBidi" w:hAnsiTheme="majorBidi" w:cstheme="majorBidi"/>
                <w:kern w:val="22"/>
                <w:sz w:val="21"/>
                <w:szCs w:val="21"/>
                <w:lang w:val="fr-FR"/>
              </w:rPr>
              <w:t>Identifier, faire connaître, relier et renforcer les centres d'expertise, les communautés de pratique et les autres sources de connaissances</w:t>
            </w:r>
          </w:p>
        </w:tc>
        <w:tc>
          <w:tcPr>
            <w:tcW w:w="552" w:type="pct"/>
          </w:tcPr>
          <w:p w14:paraId="7D1992C1" w14:textId="77777777" w:rsidR="00753D21" w:rsidRPr="00525E52" w:rsidRDefault="00753D21" w:rsidP="00257E62">
            <w:pPr>
              <w:widowControl w:val="0"/>
              <w:rPr>
                <w:rFonts w:asciiTheme="majorBidi" w:hAnsiTheme="majorBidi" w:cstheme="majorBidi"/>
                <w:kern w:val="22"/>
                <w:sz w:val="21"/>
                <w:szCs w:val="21"/>
                <w:lang w:val="fr-FR"/>
              </w:rPr>
            </w:pPr>
          </w:p>
        </w:tc>
        <w:tc>
          <w:tcPr>
            <w:tcW w:w="557" w:type="pct"/>
            <w:shd w:val="clear" w:color="auto" w:fill="auto"/>
          </w:tcPr>
          <w:p w14:paraId="591FE8D4"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19F80D43" w14:textId="77777777" w:rsidTr="00257E62">
        <w:tc>
          <w:tcPr>
            <w:tcW w:w="819" w:type="pct"/>
            <w:vMerge/>
            <w:shd w:val="clear" w:color="auto" w:fill="auto"/>
          </w:tcPr>
          <w:p w14:paraId="3AB62B06"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072" w:type="pct"/>
          </w:tcPr>
          <w:p w14:paraId="799D5892" w14:textId="77777777" w:rsidR="00753D21" w:rsidRPr="00525E52" w:rsidRDefault="00753D21" w:rsidP="00561C79">
            <w:pPr>
              <w:pStyle w:val="ListParagraph"/>
              <w:widowControl w:val="0"/>
              <w:numPr>
                <w:ilvl w:val="0"/>
                <w:numId w:val="15"/>
              </w:numPr>
              <w:spacing w:after="60"/>
              <w:jc w:val="left"/>
              <w:rPr>
                <w:rFonts w:asciiTheme="majorBidi" w:eastAsia="MS Mincho" w:hAnsiTheme="majorBidi" w:cstheme="majorBidi"/>
                <w:bCs/>
                <w:snapToGrid w:val="0"/>
                <w:kern w:val="22"/>
                <w:sz w:val="21"/>
                <w:szCs w:val="21"/>
                <w:lang w:val="fr-FR"/>
              </w:rPr>
            </w:pPr>
            <w:r w:rsidRPr="00525E52">
              <w:rPr>
                <w:rFonts w:asciiTheme="majorBidi" w:hAnsiTheme="majorBidi" w:cstheme="majorBidi"/>
                <w:kern w:val="22"/>
                <w:sz w:val="21"/>
                <w:szCs w:val="21"/>
                <w:lang w:val="fr-FR"/>
              </w:rPr>
              <w:t>Renforcer la sensibilisation et la collaboration entre les principales parties prenantes - universités, peuples autochtones et communautés locales, gouvernements infranationaux et institutions Gouvernementales nationales</w:t>
            </w:r>
          </w:p>
        </w:tc>
        <w:tc>
          <w:tcPr>
            <w:tcW w:w="552" w:type="pct"/>
          </w:tcPr>
          <w:p w14:paraId="245BDF9D" w14:textId="77777777" w:rsidR="00753D21" w:rsidRPr="00525E52" w:rsidRDefault="00753D21" w:rsidP="00257E62">
            <w:pPr>
              <w:widowControl w:val="0"/>
              <w:rPr>
                <w:rFonts w:asciiTheme="majorBidi" w:hAnsiTheme="majorBidi" w:cstheme="majorBidi"/>
                <w:kern w:val="22"/>
                <w:sz w:val="21"/>
                <w:szCs w:val="21"/>
                <w:lang w:val="fr-FR"/>
              </w:rPr>
            </w:pPr>
          </w:p>
        </w:tc>
        <w:tc>
          <w:tcPr>
            <w:tcW w:w="557" w:type="pct"/>
            <w:shd w:val="clear" w:color="auto" w:fill="auto"/>
          </w:tcPr>
          <w:p w14:paraId="739E4633" w14:textId="77777777" w:rsidR="00753D21" w:rsidRPr="00525E52" w:rsidRDefault="00753D21" w:rsidP="00257E62">
            <w:pPr>
              <w:widowControl w:val="0"/>
              <w:jc w:val="left"/>
              <w:rPr>
                <w:rFonts w:asciiTheme="majorBidi" w:hAnsiTheme="majorBidi" w:cstheme="majorBidi"/>
                <w:kern w:val="22"/>
                <w:sz w:val="21"/>
                <w:szCs w:val="21"/>
                <w:lang w:val="fr-FR"/>
              </w:rPr>
            </w:pPr>
          </w:p>
        </w:tc>
      </w:tr>
      <w:tr w:rsidR="00753D21" w:rsidRPr="002C1863" w14:paraId="33F93AB2" w14:textId="77777777" w:rsidTr="00257E62">
        <w:tc>
          <w:tcPr>
            <w:tcW w:w="819" w:type="pct"/>
            <w:vMerge w:val="restart"/>
            <w:shd w:val="clear" w:color="auto" w:fill="auto"/>
          </w:tcPr>
          <w:p w14:paraId="5C218B32" w14:textId="77777777" w:rsidR="00753D21" w:rsidRPr="00525E52" w:rsidRDefault="00753D21" w:rsidP="00561C79">
            <w:pPr>
              <w:pStyle w:val="ListParagraph"/>
              <w:widowControl w:val="0"/>
              <w:numPr>
                <w:ilvl w:val="0"/>
                <w:numId w:val="23"/>
              </w:numPr>
              <w:ind w:left="250" w:hanging="27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Identification et promotion des meilleures pratiques et des ressources</w:t>
            </w:r>
          </w:p>
        </w:tc>
        <w:tc>
          <w:tcPr>
            <w:tcW w:w="3072" w:type="pct"/>
          </w:tcPr>
          <w:p w14:paraId="0DE5DE6D" w14:textId="77777777" w:rsidR="00753D21" w:rsidRPr="00525E52" w:rsidRDefault="00753D21" w:rsidP="00561C79">
            <w:pPr>
              <w:pStyle w:val="ListParagraph"/>
              <w:widowControl w:val="0"/>
              <w:numPr>
                <w:ilvl w:val="0"/>
                <w:numId w:val="16"/>
              </w:numPr>
              <w:spacing w:after="6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Faciliter le partage des informations pertinentes, des réussites et des meilleures pratiques en matière de gestion de l'information et des connaissances </w:t>
            </w:r>
          </w:p>
        </w:tc>
        <w:tc>
          <w:tcPr>
            <w:tcW w:w="552" w:type="pct"/>
          </w:tcPr>
          <w:p w14:paraId="4692A63B"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03000CD7"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57C9E049" w14:textId="77777777" w:rsidTr="00257E62">
        <w:tc>
          <w:tcPr>
            <w:tcW w:w="819" w:type="pct"/>
            <w:vMerge/>
            <w:tcBorders>
              <w:bottom w:val="nil"/>
            </w:tcBorders>
            <w:shd w:val="clear" w:color="auto" w:fill="auto"/>
          </w:tcPr>
          <w:p w14:paraId="7B4D870B"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072" w:type="pct"/>
          </w:tcPr>
          <w:p w14:paraId="6842B3AB" w14:textId="77777777" w:rsidR="00753D21" w:rsidRPr="00525E52" w:rsidRDefault="00753D21" w:rsidP="00561C79">
            <w:pPr>
              <w:pStyle w:val="ListParagraph"/>
              <w:widowControl w:val="0"/>
              <w:numPr>
                <w:ilvl w:val="0"/>
                <w:numId w:val="16"/>
              </w:numPr>
              <w:spacing w:after="60"/>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Identifier, cartographier et faire connaître les données, informations et sources de connaissances pertinentes existantes en matière de biodiversité </w:t>
            </w:r>
          </w:p>
        </w:tc>
        <w:tc>
          <w:tcPr>
            <w:tcW w:w="552" w:type="pct"/>
          </w:tcPr>
          <w:p w14:paraId="61F39EEE"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5A24FB4F"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1F7A46B8" w14:textId="77777777" w:rsidTr="00257E62">
        <w:tc>
          <w:tcPr>
            <w:tcW w:w="819" w:type="pct"/>
            <w:tcBorders>
              <w:top w:val="nil"/>
              <w:bottom w:val="nil"/>
            </w:tcBorders>
            <w:shd w:val="clear" w:color="auto" w:fill="auto"/>
          </w:tcPr>
          <w:p w14:paraId="76AE4182"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072" w:type="pct"/>
          </w:tcPr>
          <w:p w14:paraId="16141523" w14:textId="77777777" w:rsidR="00753D21" w:rsidRPr="00525E52" w:rsidRDefault="00753D21" w:rsidP="00561C79">
            <w:pPr>
              <w:pStyle w:val="ListParagraph"/>
              <w:widowControl w:val="0"/>
              <w:numPr>
                <w:ilvl w:val="0"/>
                <w:numId w:val="16"/>
              </w:numPr>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Identifier, promouvoir et faciliter la mise en œuvre et la mise à l'échelle d'outils innovants de gestion des connaissances </w:t>
            </w:r>
          </w:p>
        </w:tc>
        <w:tc>
          <w:tcPr>
            <w:tcW w:w="552" w:type="pct"/>
          </w:tcPr>
          <w:p w14:paraId="1B7B8B67"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6D9F9DEC"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r w:rsidR="00753D21" w:rsidRPr="002C1863" w14:paraId="3741F6CB" w14:textId="77777777" w:rsidTr="00257E62">
        <w:tc>
          <w:tcPr>
            <w:tcW w:w="819" w:type="pct"/>
            <w:tcBorders>
              <w:top w:val="nil"/>
            </w:tcBorders>
            <w:shd w:val="clear" w:color="auto" w:fill="auto"/>
          </w:tcPr>
          <w:p w14:paraId="30F7CE8C"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3072" w:type="pct"/>
          </w:tcPr>
          <w:p w14:paraId="2DBB9233" w14:textId="77777777" w:rsidR="00753D21" w:rsidRPr="00525E52" w:rsidRDefault="00753D21" w:rsidP="00561C79">
            <w:pPr>
              <w:pStyle w:val="ListParagraph"/>
              <w:widowControl w:val="0"/>
              <w:numPr>
                <w:ilvl w:val="0"/>
                <w:numId w:val="16"/>
              </w:numPr>
              <w:jc w:val="left"/>
              <w:rPr>
                <w:rFonts w:asciiTheme="majorBidi" w:eastAsia="MS Mincho" w:hAnsiTheme="majorBidi" w:cstheme="majorBidi"/>
                <w:bCs/>
                <w:snapToGrid w:val="0"/>
                <w:kern w:val="22"/>
                <w:sz w:val="21"/>
                <w:szCs w:val="21"/>
                <w:lang w:val="fr-FR"/>
              </w:rPr>
            </w:pPr>
            <w:r w:rsidRPr="00525E52">
              <w:rPr>
                <w:rFonts w:asciiTheme="majorBidi" w:eastAsia="MS Mincho" w:hAnsiTheme="majorBidi" w:cstheme="majorBidi"/>
                <w:bCs/>
                <w:snapToGrid w:val="0"/>
                <w:kern w:val="22"/>
                <w:sz w:val="21"/>
                <w:szCs w:val="21"/>
                <w:lang w:val="fr-FR"/>
              </w:rPr>
              <w:t xml:space="preserve">Promouvoir l'utilisation d'études de cas pertinentes sur la gestion de l'information </w:t>
            </w:r>
          </w:p>
        </w:tc>
        <w:tc>
          <w:tcPr>
            <w:tcW w:w="552" w:type="pct"/>
          </w:tcPr>
          <w:p w14:paraId="0FE470FE" w14:textId="77777777" w:rsidR="00753D21" w:rsidRPr="00525E52" w:rsidRDefault="00753D21" w:rsidP="00257E62">
            <w:pPr>
              <w:widowControl w:val="0"/>
              <w:rPr>
                <w:rFonts w:asciiTheme="majorBidi" w:eastAsia="MS Mincho" w:hAnsiTheme="majorBidi" w:cstheme="majorBidi"/>
                <w:bCs/>
                <w:snapToGrid w:val="0"/>
                <w:kern w:val="22"/>
                <w:sz w:val="21"/>
                <w:szCs w:val="21"/>
                <w:lang w:val="fr-FR"/>
              </w:rPr>
            </w:pPr>
          </w:p>
        </w:tc>
        <w:tc>
          <w:tcPr>
            <w:tcW w:w="557" w:type="pct"/>
            <w:shd w:val="clear" w:color="auto" w:fill="auto"/>
          </w:tcPr>
          <w:p w14:paraId="49CF782B" w14:textId="77777777" w:rsidR="00753D21" w:rsidRPr="00525E52" w:rsidRDefault="00753D21" w:rsidP="00257E62">
            <w:pPr>
              <w:widowControl w:val="0"/>
              <w:jc w:val="left"/>
              <w:rPr>
                <w:rFonts w:asciiTheme="majorBidi" w:eastAsia="MS Mincho" w:hAnsiTheme="majorBidi" w:cstheme="majorBidi"/>
                <w:bCs/>
                <w:snapToGrid w:val="0"/>
                <w:kern w:val="22"/>
                <w:sz w:val="21"/>
                <w:szCs w:val="21"/>
                <w:lang w:val="fr-FR"/>
              </w:rPr>
            </w:pPr>
          </w:p>
        </w:tc>
      </w:tr>
    </w:tbl>
    <w:p w14:paraId="78A5962B" w14:textId="503D8787" w:rsidR="00753D21" w:rsidRPr="00525E52" w:rsidRDefault="00753D21" w:rsidP="008C525E">
      <w:pPr>
        <w:pStyle w:val="CBD-Para"/>
        <w:keepLines w:val="0"/>
        <w:numPr>
          <w:ilvl w:val="0"/>
          <w:numId w:val="0"/>
        </w:numPr>
        <w:spacing w:before="0" w:after="0"/>
        <w:rPr>
          <w:kern w:val="22"/>
          <w:lang w:val="fr-FR"/>
        </w:rPr>
      </w:pPr>
    </w:p>
    <w:p w14:paraId="04B4E5FC" w14:textId="166BB985" w:rsidR="00753D21" w:rsidRPr="00525E52" w:rsidRDefault="008C525E" w:rsidP="00C55A3F">
      <w:pPr>
        <w:pStyle w:val="CBD-Para"/>
        <w:keepLines w:val="0"/>
        <w:numPr>
          <w:ilvl w:val="0"/>
          <w:numId w:val="0"/>
        </w:numPr>
        <w:spacing w:before="0" w:after="0"/>
        <w:jc w:val="center"/>
        <w:rPr>
          <w:kern w:val="22"/>
          <w:lang w:val="fr-FR"/>
        </w:rPr>
      </w:pPr>
      <w:r w:rsidRPr="00525E52">
        <w:rPr>
          <w:kern w:val="22"/>
          <w:lang w:val="fr-FR"/>
        </w:rPr>
        <w:t>______</w:t>
      </w:r>
      <w:r w:rsidR="00C55A3F" w:rsidRPr="00525E52">
        <w:rPr>
          <w:kern w:val="22"/>
          <w:lang w:val="fr-FR"/>
        </w:rPr>
        <w:t>__</w:t>
      </w:r>
      <w:r w:rsidR="004A111B" w:rsidRPr="00FA3FC5">
        <w:rPr>
          <w:kern w:val="22"/>
          <w:lang w:val="en-GB"/>
        </w:rPr>
        <w:t>_]</w:t>
      </w:r>
    </w:p>
    <w:sectPr w:rsidR="00753D21" w:rsidRPr="00525E52" w:rsidSect="00E80CEA">
      <w:headerReference w:type="even" r:id="rId26"/>
      <w:headerReference w:type="default" r:id="rId27"/>
      <w:pgSz w:w="12240" w:h="15840"/>
      <w:pgMar w:top="567" w:right="1389" w:bottom="1134" w:left="138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E7147" w14:textId="77777777" w:rsidR="005F7577" w:rsidRDefault="005F7577" w:rsidP="00CF1848">
      <w:r>
        <w:separator/>
      </w:r>
    </w:p>
  </w:endnote>
  <w:endnote w:type="continuationSeparator" w:id="0">
    <w:p w14:paraId="49BD1158" w14:textId="77777777" w:rsidR="005F7577" w:rsidRDefault="005F7577" w:rsidP="00CF1848">
      <w:r>
        <w:continuationSeparator/>
      </w:r>
    </w:p>
  </w:endnote>
  <w:endnote w:type="continuationNotice" w:id="1">
    <w:p w14:paraId="7D82F783" w14:textId="77777777" w:rsidR="005F7577" w:rsidRDefault="005F7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8526F" w14:textId="77777777" w:rsidR="005F7577" w:rsidRDefault="005F7577" w:rsidP="00CF1848">
      <w:r>
        <w:separator/>
      </w:r>
    </w:p>
  </w:footnote>
  <w:footnote w:type="continuationSeparator" w:id="0">
    <w:p w14:paraId="4E3C30B1" w14:textId="77777777" w:rsidR="005F7577" w:rsidRDefault="005F7577" w:rsidP="00CF1848">
      <w:r>
        <w:continuationSeparator/>
      </w:r>
    </w:p>
  </w:footnote>
  <w:footnote w:type="continuationNotice" w:id="1">
    <w:p w14:paraId="7F5CEF36" w14:textId="77777777" w:rsidR="005F7577" w:rsidRDefault="005F7577"/>
  </w:footnote>
  <w:footnote w:id="2">
    <w:p w14:paraId="7C7C9FA7" w14:textId="77777777" w:rsidR="00257E62" w:rsidRPr="002A6FB1" w:rsidRDefault="00257E62" w:rsidP="00085AAC">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92358B">
        <w:rPr>
          <w:rStyle w:val="FootnoteReference"/>
          <w:snapToGrid w:val="0"/>
          <w:kern w:val="18"/>
          <w:sz w:val="18"/>
          <w:szCs w:val="18"/>
        </w:rPr>
        <w:footnoteRef/>
      </w:r>
      <w:r w:rsidRPr="002A6FB1">
        <w:rPr>
          <w:snapToGrid w:val="0"/>
          <w:kern w:val="18"/>
          <w:szCs w:val="18"/>
          <w:lang w:val="fr-FR"/>
        </w:rPr>
        <w:t xml:space="preserve"> </w:t>
      </w:r>
      <w:r>
        <w:rPr>
          <w:snapToGrid w:val="0"/>
          <w:kern w:val="18"/>
          <w:szCs w:val="18"/>
          <w:lang w:val="fr-FR"/>
        </w:rPr>
        <w:t>Voir</w:t>
      </w:r>
      <w:r w:rsidRPr="002A6FB1">
        <w:rPr>
          <w:snapToGrid w:val="0"/>
          <w:kern w:val="18"/>
          <w:szCs w:val="18"/>
          <w:lang w:val="fr-FR"/>
        </w:rPr>
        <w:t xml:space="preserve"> </w:t>
      </w:r>
      <w:r>
        <w:rPr>
          <w:snapToGrid w:val="0"/>
          <w:kern w:val="18"/>
          <w:szCs w:val="18"/>
          <w:lang w:val="fr-FR"/>
        </w:rPr>
        <w:t xml:space="preserve">le paragraphe 11 de la </w:t>
      </w:r>
      <w:r w:rsidRPr="002A6FB1">
        <w:rPr>
          <w:snapToGrid w:val="0"/>
          <w:kern w:val="18"/>
          <w:szCs w:val="18"/>
          <w:lang w:val="fr-FR"/>
        </w:rPr>
        <w:t xml:space="preserve">décision </w:t>
      </w:r>
      <w:hyperlink r:id="rId1" w:history="1">
        <w:r w:rsidRPr="002A6FB1">
          <w:rPr>
            <w:rStyle w:val="Hyperlink"/>
            <w:snapToGrid w:val="0"/>
            <w:kern w:val="18"/>
            <w:szCs w:val="18"/>
            <w:lang w:val="fr-FR"/>
          </w:rPr>
          <w:t>XI/2</w:t>
        </w:r>
      </w:hyperlink>
      <w:r>
        <w:rPr>
          <w:snapToGrid w:val="0"/>
          <w:kern w:val="18"/>
          <w:szCs w:val="18"/>
          <w:lang w:val="fr-FR"/>
        </w:rPr>
        <w:t xml:space="preserve">, </w:t>
      </w:r>
      <w:r w:rsidRPr="002A6FB1">
        <w:rPr>
          <w:snapToGrid w:val="0"/>
          <w:kern w:val="18"/>
          <w:szCs w:val="18"/>
          <w:lang w:val="fr-FR"/>
        </w:rPr>
        <w:t>et</w:t>
      </w:r>
      <w:r>
        <w:rPr>
          <w:snapToGrid w:val="0"/>
          <w:kern w:val="18"/>
          <w:szCs w:val="18"/>
          <w:lang w:val="fr-FR"/>
        </w:rPr>
        <w:t xml:space="preserve"> le document</w:t>
      </w:r>
      <w:r w:rsidRPr="002A6FB1">
        <w:rPr>
          <w:snapToGrid w:val="0"/>
          <w:kern w:val="18"/>
          <w:szCs w:val="18"/>
          <w:lang w:val="fr-FR"/>
        </w:rPr>
        <w:t xml:space="preserve"> </w:t>
      </w:r>
      <w:hyperlink r:id="rId2" w:history="1">
        <w:r>
          <w:rPr>
            <w:rStyle w:val="Hyperlink"/>
            <w:snapToGrid w:val="0"/>
            <w:kern w:val="18"/>
            <w:szCs w:val="18"/>
            <w:lang w:val="fr-FR"/>
          </w:rPr>
          <w:t>PNUE</w:t>
        </w:r>
        <w:r w:rsidRPr="002A6FB1">
          <w:rPr>
            <w:rStyle w:val="Hyperlink"/>
            <w:snapToGrid w:val="0"/>
            <w:kern w:val="18"/>
            <w:szCs w:val="18"/>
            <w:lang w:val="fr-FR"/>
          </w:rPr>
          <w:t>/CBD/COP/11/31</w:t>
        </w:r>
      </w:hyperlink>
      <w:r w:rsidRPr="002A6FB1">
        <w:rPr>
          <w:snapToGrid w:val="0"/>
          <w:kern w:val="18"/>
          <w:szCs w:val="18"/>
          <w:lang w:val="fr-FR"/>
        </w:rPr>
        <w:t>.</w:t>
      </w:r>
    </w:p>
  </w:footnote>
  <w:footnote w:id="3">
    <w:p w14:paraId="57F2FB90" w14:textId="1B6A54BA" w:rsidR="00257E62" w:rsidRPr="00E17C35" w:rsidRDefault="00257E62" w:rsidP="00E17C35">
      <w:pPr>
        <w:pStyle w:val="FootnoteText"/>
        <w:ind w:firstLine="0"/>
        <w:rPr>
          <w:lang w:val="fr-FR"/>
        </w:rPr>
      </w:pPr>
      <w:r>
        <w:rPr>
          <w:rStyle w:val="FootnoteReference"/>
        </w:rPr>
        <w:footnoteRef/>
      </w:r>
      <w:r>
        <w:rPr>
          <w:lang w:val="fr-FR"/>
        </w:rPr>
        <w:t xml:space="preserve"> Une Partie a suggéré de transmettre la composante sur la gestion des connaissances au Groupe de travail sur le cadre mondial de la biodiversité pour l’après-2020 à sa troisième réunion, plutôt que de le transmettre directement à la Conférence des Parties à sa quinzième réunion, pour s’assurer que tous les éléments relatifs au cadre mondial de la biodiversité pour l’après-2020 sont harmonisés et cohérents.</w:t>
      </w:r>
    </w:p>
  </w:footnote>
  <w:footnote w:id="4">
    <w:p w14:paraId="24101F3B" w14:textId="77777777" w:rsidR="00257E62" w:rsidRPr="00F10897" w:rsidRDefault="00257E62" w:rsidP="00F10897">
      <w:pPr>
        <w:pStyle w:val="FootnoteText"/>
        <w:ind w:firstLine="0"/>
        <w:rPr>
          <w:kern w:val="18"/>
          <w:szCs w:val="18"/>
          <w:lang w:val="fr-FR"/>
        </w:rPr>
      </w:pPr>
      <w:r w:rsidRPr="009512C6">
        <w:rPr>
          <w:rStyle w:val="FootnoteReference"/>
          <w:kern w:val="18"/>
          <w:sz w:val="18"/>
          <w:szCs w:val="18"/>
        </w:rPr>
        <w:footnoteRef/>
      </w:r>
      <w:r w:rsidRPr="00F10897">
        <w:rPr>
          <w:kern w:val="18"/>
          <w:szCs w:val="18"/>
          <w:lang w:val="fr-FR"/>
        </w:rPr>
        <w:t xml:space="preserve"> </w:t>
      </w:r>
      <w:hyperlink r:id="rId3" w:history="1">
        <w:r w:rsidRPr="00F10897">
          <w:rPr>
            <w:rStyle w:val="Hyperlink"/>
            <w:kern w:val="18"/>
            <w:szCs w:val="18"/>
            <w:lang w:val="fr-FR"/>
          </w:rPr>
          <w:t>https://knowledge4policy.ec.europa.eu/biodiversity_en</w:t>
        </w:r>
      </w:hyperlink>
    </w:p>
  </w:footnote>
  <w:footnote w:id="5">
    <w:p w14:paraId="198AE0F2" w14:textId="77777777" w:rsidR="00257E62" w:rsidRPr="00F10897" w:rsidRDefault="00257E62" w:rsidP="00F10897">
      <w:pPr>
        <w:pStyle w:val="FootnoteText"/>
        <w:ind w:firstLine="0"/>
        <w:rPr>
          <w:kern w:val="18"/>
          <w:szCs w:val="18"/>
          <w:lang w:val="fr-FR"/>
        </w:rPr>
      </w:pPr>
      <w:r w:rsidRPr="009512C6">
        <w:rPr>
          <w:rStyle w:val="FootnoteReference"/>
          <w:kern w:val="18"/>
          <w:sz w:val="18"/>
          <w:szCs w:val="18"/>
        </w:rPr>
        <w:footnoteRef/>
      </w:r>
      <w:r w:rsidRPr="00F10897">
        <w:rPr>
          <w:kern w:val="18"/>
          <w:szCs w:val="18"/>
          <w:lang w:val="fr-FR"/>
        </w:rPr>
        <w:t xml:space="preserve"> </w:t>
      </w:r>
      <w:hyperlink r:id="rId4" w:history="1">
        <w:r w:rsidRPr="00F10897">
          <w:rPr>
            <w:rStyle w:val="Hyperlink"/>
            <w:kern w:val="18"/>
            <w:szCs w:val="18"/>
            <w:lang w:val="fr-FR"/>
          </w:rPr>
          <w:t>https://www.gbif.org/data4nature</w:t>
        </w:r>
      </w:hyperlink>
    </w:p>
  </w:footnote>
  <w:footnote w:id="6">
    <w:p w14:paraId="7FE45477" w14:textId="77777777" w:rsidR="00257E62" w:rsidRPr="00F10897" w:rsidRDefault="00257E62" w:rsidP="00F10897">
      <w:pPr>
        <w:pStyle w:val="FootnoteText"/>
        <w:ind w:firstLine="0"/>
        <w:rPr>
          <w:kern w:val="18"/>
          <w:szCs w:val="18"/>
          <w:lang w:val="fr-FR"/>
        </w:rPr>
      </w:pPr>
      <w:r w:rsidRPr="009512C6">
        <w:rPr>
          <w:rStyle w:val="FootnoteReference"/>
          <w:kern w:val="18"/>
          <w:sz w:val="18"/>
          <w:szCs w:val="18"/>
        </w:rPr>
        <w:footnoteRef/>
      </w:r>
      <w:r w:rsidRPr="00F10897">
        <w:rPr>
          <w:kern w:val="18"/>
          <w:szCs w:val="18"/>
          <w:lang w:val="fr-FR"/>
        </w:rPr>
        <w:t xml:space="preserve"> </w:t>
      </w:r>
      <w:hyperlink r:id="rId5" w:history="1">
        <w:r w:rsidRPr="00F10897">
          <w:rPr>
            <w:rStyle w:val="Hyperlink"/>
            <w:kern w:val="18"/>
            <w:szCs w:val="18"/>
            <w:lang w:val="fr-FR"/>
          </w:rPr>
          <w:t>https://panorama.solutions/en</w:t>
        </w:r>
      </w:hyperlink>
    </w:p>
  </w:footnote>
  <w:footnote w:id="7">
    <w:p w14:paraId="7D43A000" w14:textId="77777777" w:rsidR="00257E62" w:rsidRPr="00A166B7" w:rsidRDefault="00257E62" w:rsidP="00085AAC">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92358B">
        <w:rPr>
          <w:rStyle w:val="FootnoteReference"/>
          <w:snapToGrid w:val="0"/>
          <w:kern w:val="18"/>
          <w:sz w:val="18"/>
          <w:szCs w:val="18"/>
        </w:rPr>
        <w:footnoteRef/>
      </w:r>
      <w:r w:rsidRPr="00A166B7">
        <w:rPr>
          <w:snapToGrid w:val="0"/>
          <w:kern w:val="18"/>
          <w:szCs w:val="18"/>
          <w:lang w:val="fr-FR"/>
        </w:rPr>
        <w:t xml:space="preserve"> CBD/SBI/3/8.</w:t>
      </w:r>
    </w:p>
  </w:footnote>
  <w:footnote w:id="8">
    <w:p w14:paraId="265E108B" w14:textId="77777777" w:rsidR="00257E62" w:rsidRPr="00A166B7" w:rsidRDefault="00257E62" w:rsidP="00085AAC">
      <w:pPr>
        <w:pStyle w:val="FootnoteText"/>
        <w:suppressLineNumbers/>
        <w:suppressAutoHyphens/>
        <w:kinsoku w:val="0"/>
        <w:overflowPunct w:val="0"/>
        <w:autoSpaceDE w:val="0"/>
        <w:autoSpaceDN w:val="0"/>
        <w:adjustRightInd w:val="0"/>
        <w:snapToGrid w:val="0"/>
        <w:ind w:firstLine="0"/>
        <w:jc w:val="left"/>
        <w:rPr>
          <w:snapToGrid w:val="0"/>
          <w:kern w:val="18"/>
          <w:szCs w:val="18"/>
          <w:lang w:val="fr-FR"/>
        </w:rPr>
      </w:pPr>
      <w:r w:rsidRPr="0092358B">
        <w:rPr>
          <w:rStyle w:val="FootnoteReference"/>
          <w:snapToGrid w:val="0"/>
          <w:kern w:val="18"/>
          <w:sz w:val="18"/>
          <w:szCs w:val="18"/>
        </w:rPr>
        <w:footnoteRef/>
      </w:r>
      <w:r w:rsidRPr="00A166B7">
        <w:rPr>
          <w:snapToGrid w:val="0"/>
          <w:kern w:val="18"/>
          <w:szCs w:val="18"/>
          <w:lang w:val="fr-FR"/>
        </w:rPr>
        <w:t xml:space="preserve"> Voir</w:t>
      </w:r>
      <w:r>
        <w:rPr>
          <w:snapToGrid w:val="0"/>
          <w:kern w:val="18"/>
          <w:szCs w:val="18"/>
          <w:lang w:val="fr-FR"/>
        </w:rPr>
        <w:t xml:space="preserve"> l’annexe III au document</w:t>
      </w:r>
      <w:r w:rsidRPr="00A166B7">
        <w:rPr>
          <w:snapToGrid w:val="0"/>
          <w:kern w:val="18"/>
          <w:szCs w:val="18"/>
          <w:lang w:val="fr-FR"/>
        </w:rPr>
        <w:t xml:space="preserve"> </w:t>
      </w:r>
      <w:hyperlink r:id="rId6" w:history="1">
        <w:r w:rsidRPr="00A166B7">
          <w:rPr>
            <w:rStyle w:val="Hyperlink"/>
            <w:snapToGrid w:val="0"/>
            <w:kern w:val="18"/>
            <w:szCs w:val="18"/>
            <w:lang w:val="fr-FR"/>
          </w:rPr>
          <w:t>CBD/SBI/3/7</w:t>
        </w:r>
      </w:hyperlink>
      <w:r w:rsidRPr="00A166B7">
        <w:rPr>
          <w:snapToGrid w:val="0"/>
          <w:kern w:val="18"/>
          <w:szCs w:val="18"/>
          <w:lang w:val="fr-FR"/>
        </w:rPr>
        <w:t>.</w:t>
      </w:r>
    </w:p>
  </w:footnote>
  <w:footnote w:id="9">
    <w:p w14:paraId="062EC56A" w14:textId="055B0A41" w:rsidR="00257E62" w:rsidRPr="007B5C72" w:rsidRDefault="00257E62" w:rsidP="00F10897">
      <w:pPr>
        <w:pStyle w:val="FootnoteText"/>
        <w:ind w:firstLine="0"/>
        <w:rPr>
          <w:kern w:val="18"/>
          <w:szCs w:val="18"/>
          <w:lang w:val="fr-FR"/>
        </w:rPr>
      </w:pPr>
      <w:r w:rsidRPr="009512C6">
        <w:rPr>
          <w:rStyle w:val="FootnoteReference"/>
          <w:kern w:val="18"/>
          <w:sz w:val="18"/>
          <w:szCs w:val="18"/>
        </w:rPr>
        <w:footnoteRef/>
      </w:r>
      <w:r w:rsidRPr="007B5C72">
        <w:rPr>
          <w:kern w:val="18"/>
          <w:szCs w:val="18"/>
          <w:lang w:val="fr-FR"/>
        </w:rPr>
        <w:t xml:space="preserve"> Mis en place dans la décision 15/--</w:t>
      </w:r>
    </w:p>
  </w:footnote>
  <w:footnote w:id="10">
    <w:p w14:paraId="3BBB1EBC" w14:textId="30EFFB1A" w:rsidR="00257E62" w:rsidRPr="008C525E" w:rsidRDefault="00257E62" w:rsidP="00D32356">
      <w:pPr>
        <w:pStyle w:val="FootnoteText"/>
        <w:ind w:firstLine="0"/>
        <w:rPr>
          <w:kern w:val="18"/>
          <w:szCs w:val="18"/>
          <w:lang w:val="fr-FR"/>
        </w:rPr>
      </w:pPr>
      <w:r w:rsidRPr="00E80CEA">
        <w:rPr>
          <w:rStyle w:val="FootnoteReference"/>
          <w:kern w:val="18"/>
          <w:sz w:val="18"/>
          <w:szCs w:val="18"/>
        </w:rPr>
        <w:footnoteRef/>
      </w:r>
      <w:r w:rsidRPr="008C525E">
        <w:rPr>
          <w:kern w:val="18"/>
          <w:szCs w:val="18"/>
          <w:lang w:val="fr-FR"/>
        </w:rPr>
        <w:t xml:space="preserve"> </w:t>
      </w:r>
      <w:r>
        <w:rPr>
          <w:lang w:val="fr-FR"/>
        </w:rPr>
        <w:t>Une Partie a suggéré de transmettre la composante sur la gestion des connaissances au Groupe de travail sur le cadre mondial de la biodiversité pour l’après-2020 à sa troisième réunion, plutôt que de le transmettre directement à la Conférence des Parties à sa quinzième réunion, pour s’assurer que tous les éléments relatifs au cadre mondial de la biodiversité pour l’après-2020 sont harmonisés et cohérents</w:t>
      </w:r>
      <w:r w:rsidRPr="008C525E">
        <w:rPr>
          <w:kern w:val="18"/>
          <w:szCs w:val="18"/>
          <w:lang w:val="fr-FR"/>
        </w:rPr>
        <w:t>.</w:t>
      </w:r>
    </w:p>
  </w:footnote>
  <w:footnote w:id="11">
    <w:p w14:paraId="277F691B" w14:textId="7801A0DA" w:rsidR="00257E62" w:rsidRPr="00FE3FE5" w:rsidRDefault="00257E62" w:rsidP="00753D21">
      <w:pPr>
        <w:pStyle w:val="FootnoteText"/>
        <w:ind w:firstLine="0"/>
        <w:rPr>
          <w:lang w:val="fr-FR"/>
        </w:rPr>
      </w:pPr>
      <w:r>
        <w:rPr>
          <w:rStyle w:val="FootnoteReference"/>
        </w:rPr>
        <w:footnoteRef/>
      </w:r>
      <w:r w:rsidRPr="009A459D">
        <w:rPr>
          <w:lang w:val="fr-CA"/>
        </w:rPr>
        <w:t xml:space="preserve"> </w:t>
      </w:r>
      <w:r>
        <w:rPr>
          <w:lang w:val="fr-CA"/>
        </w:rPr>
        <w:t>D</w:t>
      </w:r>
      <w:r>
        <w:rPr>
          <w:lang w:val="fr-FR"/>
        </w:rPr>
        <w:t>es exemples sont les a</w:t>
      </w:r>
      <w:r w:rsidRPr="00FE3FE5">
        <w:rPr>
          <w:lang w:val="fr-FR"/>
        </w:rPr>
        <w:t xml:space="preserve">rticles 17 et 18 de la </w:t>
      </w:r>
      <w:r>
        <w:rPr>
          <w:lang w:val="fr-FR"/>
        </w:rPr>
        <w:t>C</w:t>
      </w:r>
      <w:r w:rsidRPr="00FE3FE5">
        <w:rPr>
          <w:lang w:val="fr-FR"/>
        </w:rPr>
        <w:t xml:space="preserve">onvention sur la diversité biologique, </w:t>
      </w:r>
      <w:r>
        <w:rPr>
          <w:lang w:val="fr-FR"/>
        </w:rPr>
        <w:t>l’a</w:t>
      </w:r>
      <w:r w:rsidRPr="00FE3FE5">
        <w:rPr>
          <w:lang w:val="fr-FR"/>
        </w:rPr>
        <w:t xml:space="preserve">rticle 20 du </w:t>
      </w:r>
      <w:r>
        <w:rPr>
          <w:lang w:val="fr-FR"/>
        </w:rPr>
        <w:t>P</w:t>
      </w:r>
      <w:r w:rsidRPr="00FE3FE5">
        <w:rPr>
          <w:lang w:val="fr-FR"/>
        </w:rPr>
        <w:t>rotocole de Cart</w:t>
      </w:r>
      <w:r>
        <w:rPr>
          <w:lang w:val="fr-FR"/>
        </w:rPr>
        <w:t>agena</w:t>
      </w:r>
      <w:r w:rsidRPr="00FE3FE5">
        <w:rPr>
          <w:lang w:val="fr-FR"/>
        </w:rPr>
        <w:t xml:space="preserve"> sur la </w:t>
      </w:r>
      <w:r>
        <w:rPr>
          <w:lang w:val="fr-FR"/>
        </w:rPr>
        <w:t>prévention des risques biotechnologiques,</w:t>
      </w:r>
      <w:r w:rsidRPr="00FE3FE5">
        <w:rPr>
          <w:lang w:val="fr-FR"/>
        </w:rPr>
        <w:t xml:space="preserve"> </w:t>
      </w:r>
      <w:r>
        <w:rPr>
          <w:lang w:val="fr-FR"/>
        </w:rPr>
        <w:t>l’a</w:t>
      </w:r>
      <w:r w:rsidRPr="00FE3FE5">
        <w:rPr>
          <w:lang w:val="fr-FR"/>
        </w:rPr>
        <w:t xml:space="preserve">rticle 14 du </w:t>
      </w:r>
      <w:r>
        <w:rPr>
          <w:lang w:val="fr-FR"/>
        </w:rPr>
        <w:t>P</w:t>
      </w:r>
      <w:r w:rsidRPr="00FE3FE5">
        <w:rPr>
          <w:lang w:val="fr-FR"/>
        </w:rPr>
        <w:t xml:space="preserve">rotocole de Nagoya, </w:t>
      </w:r>
      <w:r>
        <w:rPr>
          <w:lang w:val="fr-FR"/>
        </w:rPr>
        <w:t>les a</w:t>
      </w:r>
      <w:r w:rsidRPr="00FE3FE5">
        <w:rPr>
          <w:lang w:val="fr-FR"/>
        </w:rPr>
        <w:t xml:space="preserve">rticles VI et VIII de la </w:t>
      </w:r>
      <w:r>
        <w:rPr>
          <w:lang w:val="fr-FR"/>
        </w:rPr>
        <w:t>C</w:t>
      </w:r>
      <w:r w:rsidRPr="00FE3FE5">
        <w:rPr>
          <w:lang w:val="fr-FR"/>
        </w:rPr>
        <w:t>onvention sur le commerce international des espèces de faune et de flore sauvages menacées d'extinction</w:t>
      </w:r>
      <w:r w:rsidRPr="009A459D">
        <w:rPr>
          <w:lang w:val="fr-CA"/>
        </w:rPr>
        <w:t xml:space="preserve">, les </w:t>
      </w:r>
      <w:r>
        <w:rPr>
          <w:lang w:val="fr-FR"/>
        </w:rPr>
        <w:t>a</w:t>
      </w:r>
      <w:r w:rsidRPr="00FE3FE5">
        <w:rPr>
          <w:lang w:val="fr-FR"/>
        </w:rPr>
        <w:t xml:space="preserve">rticles 3 et 6 de la </w:t>
      </w:r>
      <w:r>
        <w:rPr>
          <w:lang w:val="fr-FR"/>
        </w:rPr>
        <w:t>C</w:t>
      </w:r>
      <w:r w:rsidRPr="00FE3FE5">
        <w:rPr>
          <w:lang w:val="fr-FR"/>
        </w:rPr>
        <w:t>onvention de Ramsar</w:t>
      </w:r>
      <w:r>
        <w:rPr>
          <w:lang w:val="fr-FR"/>
        </w:rPr>
        <w:t>, et l’a</w:t>
      </w:r>
      <w:r w:rsidRPr="00FE3FE5">
        <w:rPr>
          <w:lang w:val="fr-FR"/>
        </w:rPr>
        <w:t xml:space="preserve">rticle V de la </w:t>
      </w:r>
      <w:r>
        <w:rPr>
          <w:lang w:val="fr-FR"/>
        </w:rPr>
        <w:t>C</w:t>
      </w:r>
      <w:r w:rsidRPr="00FE3FE5">
        <w:rPr>
          <w:lang w:val="fr-FR"/>
        </w:rPr>
        <w:t>onvention sur l</w:t>
      </w:r>
      <w:r>
        <w:rPr>
          <w:lang w:val="fr-FR"/>
        </w:rPr>
        <w:t xml:space="preserve">a conservation des </w:t>
      </w:r>
      <w:r w:rsidRPr="00FE3FE5">
        <w:rPr>
          <w:lang w:val="fr-FR"/>
        </w:rPr>
        <w:t>espèces migratrices</w:t>
      </w:r>
      <w:r>
        <w:rPr>
          <w:lang w:val="fr-FR"/>
        </w:rPr>
        <w:t xml:space="preserve">. </w:t>
      </w:r>
    </w:p>
  </w:footnote>
  <w:footnote w:id="12">
    <w:p w14:paraId="5DF008FF" w14:textId="77777777" w:rsidR="00257E62" w:rsidRPr="00FE3FE5" w:rsidRDefault="00257E62" w:rsidP="00753D21">
      <w:pPr>
        <w:pStyle w:val="FootnoteText"/>
        <w:ind w:firstLine="0"/>
        <w:rPr>
          <w:lang w:val="fr-FR"/>
        </w:rPr>
      </w:pPr>
      <w:r>
        <w:rPr>
          <w:rStyle w:val="FootnoteReference"/>
        </w:rPr>
        <w:footnoteRef/>
      </w:r>
      <w:r w:rsidRPr="009A459D">
        <w:rPr>
          <w:lang w:val="fr-CA"/>
        </w:rPr>
        <w:t xml:space="preserve"> </w:t>
      </w:r>
      <w:r w:rsidRPr="00FE3FE5">
        <w:rPr>
          <w:lang w:val="fr-FR"/>
        </w:rPr>
        <w:t>Décision X/2.</w:t>
      </w:r>
      <w:r w:rsidRPr="009A459D">
        <w:rPr>
          <w:lang w:val="fr-CA"/>
        </w:rPr>
        <w:t xml:space="preserve">  </w:t>
      </w:r>
    </w:p>
  </w:footnote>
  <w:footnote w:id="13">
    <w:p w14:paraId="5C9616D2" w14:textId="4D710097" w:rsidR="00257E62" w:rsidRPr="009A459D" w:rsidRDefault="00257E62" w:rsidP="00753D21">
      <w:pPr>
        <w:pStyle w:val="FootnoteText"/>
        <w:ind w:firstLine="0"/>
        <w:rPr>
          <w:lang w:val="fr-CA"/>
        </w:rPr>
      </w:pPr>
      <w:r w:rsidRPr="001F4589">
        <w:rPr>
          <w:rStyle w:val="FootnoteReference"/>
          <w:kern w:val="18"/>
        </w:rPr>
        <w:footnoteRef/>
      </w:r>
      <w:hyperlink r:id="rId7" w:history="1">
        <w:r w:rsidRPr="00D31BBE">
          <w:rPr>
            <w:rStyle w:val="Hyperlink"/>
            <w:kern w:val="18"/>
            <w:lang w:val="fr-CA"/>
          </w:rPr>
          <w:t>https:/www.cbd.int/gbo/</w:t>
        </w:r>
      </w:hyperlink>
    </w:p>
  </w:footnote>
  <w:footnote w:id="14">
    <w:p w14:paraId="04F65D9E" w14:textId="15A420A8" w:rsidR="00257E62" w:rsidRPr="009A459D" w:rsidRDefault="00257E62" w:rsidP="00753D21">
      <w:pPr>
        <w:pStyle w:val="FootnoteText"/>
        <w:ind w:firstLine="0"/>
        <w:rPr>
          <w:lang w:val="en-US"/>
        </w:rPr>
      </w:pPr>
      <w:r>
        <w:rPr>
          <w:rStyle w:val="FootnoteReference"/>
        </w:rPr>
        <w:footnoteRef/>
      </w:r>
      <w:r w:rsidRPr="009A459D">
        <w:rPr>
          <w:lang w:val="en-US"/>
        </w:rPr>
        <w:t xml:space="preserve"> Voir le document </w:t>
      </w:r>
      <w:r w:rsidRPr="00FA3FC5">
        <w:rPr>
          <w:kern w:val="18"/>
          <w:szCs w:val="18"/>
        </w:rPr>
        <w:t>“Effective use of knowledge in developing the post-2020 global biodiversity framework” (</w:t>
      </w:r>
      <w:hyperlink r:id="rId8" w:history="1">
        <w:r w:rsidRPr="00E80CEA">
          <w:rPr>
            <w:rStyle w:val="Hyperlink"/>
            <w:kern w:val="18"/>
            <w:szCs w:val="18"/>
          </w:rPr>
          <w:t>CBD/SBI/2/INF/33</w:t>
        </w:r>
      </w:hyperlink>
      <w:r w:rsidRPr="00FA3FC5">
        <w:rPr>
          <w:kern w:val="18"/>
          <w:szCs w:val="18"/>
        </w:rPr>
        <w:t>).</w:t>
      </w:r>
    </w:p>
  </w:footnote>
  <w:footnote w:id="15">
    <w:p w14:paraId="7A723C61" w14:textId="1553E352" w:rsidR="00257E62" w:rsidRPr="009A459D" w:rsidRDefault="00257E62" w:rsidP="00753D21">
      <w:pPr>
        <w:pStyle w:val="FootnoteText"/>
        <w:ind w:firstLine="0"/>
        <w:rPr>
          <w:lang w:val="en-US"/>
        </w:rPr>
      </w:pPr>
      <w:r>
        <w:rPr>
          <w:rStyle w:val="FootnoteReference"/>
        </w:rPr>
        <w:footnoteRef/>
      </w:r>
      <w:r>
        <w:t xml:space="preserve"> </w:t>
      </w:r>
      <w:r w:rsidRPr="009A459D">
        <w:rPr>
          <w:lang w:val="en-US"/>
        </w:rPr>
        <w:t>Source</w:t>
      </w:r>
      <w:r>
        <w:rPr>
          <w:lang w:val="en-US"/>
        </w:rPr>
        <w:t xml:space="preserve"> </w:t>
      </w:r>
      <w:r w:rsidRPr="009A459D">
        <w:rPr>
          <w:lang w:val="en-US"/>
        </w:rPr>
        <w:t>: Rowley, J. 2007</w:t>
      </w:r>
      <w:r w:rsidRPr="003102B2">
        <w:rPr>
          <w:lang w:val="en-US"/>
        </w:rPr>
        <w:t>. “</w:t>
      </w:r>
      <w:hyperlink r:id="rId9" w:history="1">
        <w:r w:rsidRPr="001A7966">
          <w:rPr>
            <w:rStyle w:val="Hyperlink"/>
            <w:lang w:val="en-US"/>
          </w:rPr>
          <w:t>The Wisdom Hierarchy: Representations of the DIKW Hierarchy</w:t>
        </w:r>
      </w:hyperlink>
      <w:r w:rsidRPr="003102B2">
        <w:rPr>
          <w:lang w:val="en-US"/>
        </w:rPr>
        <w:t>.”</w:t>
      </w:r>
    </w:p>
  </w:footnote>
  <w:footnote w:id="16">
    <w:p w14:paraId="0B83481B" w14:textId="77777777" w:rsidR="00257E62" w:rsidRPr="00C56620" w:rsidRDefault="00257E62" w:rsidP="00753D21">
      <w:pPr>
        <w:pStyle w:val="FootnoteText"/>
        <w:ind w:firstLine="0"/>
        <w:jc w:val="left"/>
      </w:pPr>
      <w:r>
        <w:rPr>
          <w:rStyle w:val="FootnoteReference"/>
        </w:rPr>
        <w:footnoteRef/>
      </w:r>
      <w:r>
        <w:t xml:space="preserve"> </w:t>
      </w:r>
      <w:hyperlink r:id="rId10" w:history="1">
        <w:r w:rsidRPr="0086666F">
          <w:rPr>
            <w:rStyle w:val="Hyperlink"/>
          </w:rPr>
          <w:t>https://www.cbd.int/chm/</w:t>
        </w:r>
      </w:hyperlink>
      <w:r>
        <w:t xml:space="preserve"> ; </w:t>
      </w:r>
      <w:hyperlink r:id="rId11" w:history="1">
        <w:r w:rsidRPr="0086666F">
          <w:rPr>
            <w:rStyle w:val="Hyperlink"/>
          </w:rPr>
          <w:t>http://bch.cbd.int</w:t>
        </w:r>
      </w:hyperlink>
      <w:r>
        <w:t xml:space="preserve"> ; </w:t>
      </w:r>
      <w:hyperlink r:id="rId12" w:history="1">
        <w:r w:rsidRPr="0086666F">
          <w:rPr>
            <w:rStyle w:val="Hyperlink"/>
          </w:rPr>
          <w:t>https://absch.cbd.int/fr/</w:t>
        </w:r>
      </w:hyperlink>
      <w:r>
        <w:t xml:space="preserve"> ; </w:t>
      </w:r>
      <w:hyperlink r:id="rId13" w:history="1">
        <w:r w:rsidRPr="0086666F">
          <w:rPr>
            <w:rStyle w:val="Hyperlink"/>
          </w:rPr>
          <w:t>https://rsis.ramsar.org/fr?language=fr</w:t>
        </w:r>
      </w:hyperlink>
      <w:r>
        <w:t xml:space="preserve"> ; </w:t>
      </w:r>
      <w:hyperlink r:id="rId14" w:history="1">
        <w:r w:rsidRPr="0086666F">
          <w:rPr>
            <w:rStyle w:val="Hyperlink"/>
          </w:rPr>
          <w:t>https://trade.cites.org/fr/cites_trade</w:t>
        </w:r>
      </w:hyperlink>
      <w:r>
        <w:t xml:space="preserve">  </w:t>
      </w:r>
    </w:p>
  </w:footnote>
  <w:footnote w:id="17">
    <w:p w14:paraId="4671F8D1" w14:textId="77777777" w:rsidR="00257E62" w:rsidRPr="009A459D" w:rsidRDefault="00257E62" w:rsidP="00753D21">
      <w:pPr>
        <w:pStyle w:val="FootnoteText"/>
        <w:ind w:firstLine="0"/>
      </w:pPr>
      <w:r>
        <w:rPr>
          <w:rStyle w:val="FootnoteReference"/>
        </w:rPr>
        <w:footnoteRef/>
      </w:r>
      <w:r>
        <w:t xml:space="preserve"> </w:t>
      </w:r>
      <w:hyperlink r:id="rId15" w:history="1">
        <w:r w:rsidRPr="0086666F">
          <w:rPr>
            <w:rStyle w:val="Hyperlink"/>
          </w:rPr>
          <w:t>https://www.informea.org/fr</w:t>
        </w:r>
      </w:hyperlink>
      <w:r>
        <w:t xml:space="preserve"> </w:t>
      </w:r>
    </w:p>
  </w:footnote>
  <w:footnote w:id="18">
    <w:p w14:paraId="1D634EEE" w14:textId="187579B4" w:rsidR="00257E62" w:rsidRPr="009A459D" w:rsidRDefault="00257E62" w:rsidP="00753D21">
      <w:pPr>
        <w:pStyle w:val="FootnoteText"/>
        <w:ind w:firstLine="0"/>
      </w:pPr>
      <w:r>
        <w:rPr>
          <w:rStyle w:val="FootnoteReference"/>
        </w:rPr>
        <w:footnoteRef/>
      </w:r>
      <w:r>
        <w:t xml:space="preserve"> </w:t>
      </w:r>
      <w:hyperlink r:id="rId16" w:history="1">
        <w:r w:rsidRPr="00C7538D">
          <w:rPr>
            <w:rStyle w:val="Hyperlink"/>
          </w:rPr>
          <w:t>https://www.iucnredlist.org/fr/assessment/sis</w:t>
        </w:r>
      </w:hyperlink>
    </w:p>
  </w:footnote>
  <w:footnote w:id="19">
    <w:p w14:paraId="05D7D49C" w14:textId="12F2CEB7" w:rsidR="00257E62" w:rsidRPr="00FE3FE5" w:rsidRDefault="00257E62" w:rsidP="00753D21">
      <w:pPr>
        <w:pStyle w:val="FootnoteText"/>
        <w:tabs>
          <w:tab w:val="left" w:pos="2007"/>
        </w:tabs>
        <w:ind w:firstLine="0"/>
        <w:rPr>
          <w:lang w:val="fr-FR"/>
        </w:rPr>
      </w:pPr>
      <w:r>
        <w:rPr>
          <w:rStyle w:val="FootnoteReference"/>
        </w:rPr>
        <w:footnoteRef/>
      </w:r>
      <w:r w:rsidRPr="009A459D">
        <w:rPr>
          <w:lang w:val="fr-CA"/>
        </w:rPr>
        <w:t xml:space="preserve"> </w:t>
      </w:r>
      <w:hyperlink r:id="rId17" w:history="1">
        <w:r w:rsidRPr="00C7538D">
          <w:rPr>
            <w:rStyle w:val="Hyperlink"/>
            <w:lang w:val="fr-CA"/>
          </w:rPr>
          <w:t>https://www.unbiodiversitylab.org</w:t>
        </w:r>
      </w:hyperlink>
    </w:p>
  </w:footnote>
  <w:footnote w:id="20">
    <w:p w14:paraId="44041779" w14:textId="77777777" w:rsidR="00257E62" w:rsidRPr="00FE3FE5" w:rsidRDefault="00257E62" w:rsidP="00753D21">
      <w:pPr>
        <w:pStyle w:val="FootnoteText"/>
        <w:ind w:firstLine="0"/>
        <w:rPr>
          <w:lang w:val="fr-FR"/>
        </w:rPr>
      </w:pPr>
      <w:r>
        <w:rPr>
          <w:rStyle w:val="FootnoteReference"/>
        </w:rPr>
        <w:footnoteRef/>
      </w:r>
      <w:r w:rsidRPr="009A459D">
        <w:rPr>
          <w:lang w:val="fr-CA"/>
        </w:rPr>
        <w:t xml:space="preserve"> </w:t>
      </w:r>
      <w:hyperlink r:id="rId18" w:history="1">
        <w:r w:rsidRPr="009A459D">
          <w:rPr>
            <w:rStyle w:val="Hyperlink"/>
            <w:lang w:val="fr-CA"/>
          </w:rPr>
          <w:t>https://www.protectedplanet.net/en</w:t>
        </w:r>
      </w:hyperlink>
      <w:r w:rsidRPr="009A459D">
        <w:rPr>
          <w:lang w:val="fr-CA"/>
        </w:rPr>
        <w:t xml:space="preserve"> ; </w:t>
      </w:r>
      <w:hyperlink r:id="rId19" w:history="1">
        <w:r w:rsidRPr="009A459D">
          <w:rPr>
            <w:rStyle w:val="Hyperlink"/>
            <w:lang w:val="fr-CA"/>
          </w:rPr>
          <w:t>https://pame.protectedplanet.net</w:t>
        </w:r>
      </w:hyperlink>
      <w:r w:rsidRPr="009A459D">
        <w:rPr>
          <w:lang w:val="fr-CA"/>
        </w:rPr>
        <w:t xml:space="preserve"> et </w:t>
      </w:r>
      <w:hyperlink r:id="rId20" w:history="1">
        <w:r w:rsidRPr="009A459D">
          <w:rPr>
            <w:rStyle w:val="Hyperlink"/>
            <w:lang w:val="fr-CA"/>
          </w:rPr>
          <w:t>https://www.iccaregistry.org/?locale=fr</w:t>
        </w:r>
      </w:hyperlink>
      <w:r w:rsidRPr="009A459D">
        <w:rPr>
          <w:lang w:val="fr-CA"/>
        </w:rPr>
        <w:t xml:space="preserve"> </w:t>
      </w:r>
    </w:p>
  </w:footnote>
  <w:footnote w:id="21">
    <w:p w14:paraId="6C055CA3" w14:textId="77777777" w:rsidR="00257E62" w:rsidRPr="00C56620" w:rsidRDefault="00257E62" w:rsidP="00753D21">
      <w:pPr>
        <w:pStyle w:val="FootnoteText"/>
        <w:ind w:firstLine="0"/>
        <w:rPr>
          <w:lang w:val="fr-FR"/>
        </w:rPr>
      </w:pPr>
      <w:r>
        <w:rPr>
          <w:rStyle w:val="FootnoteReference"/>
        </w:rPr>
        <w:footnoteRef/>
      </w:r>
      <w:r w:rsidRPr="009A459D">
        <w:rPr>
          <w:lang w:val="fr-CA"/>
        </w:rPr>
        <w:t xml:space="preserve"> </w:t>
      </w:r>
      <w:r w:rsidRPr="00C85C64">
        <w:rPr>
          <w:lang w:val="fr-FR"/>
        </w:rPr>
        <w:t xml:space="preserve">Ces sources et d'autres sont identifiées dans le </w:t>
      </w:r>
      <w:r>
        <w:rPr>
          <w:lang w:val="fr-FR"/>
        </w:rPr>
        <w:t>« </w:t>
      </w:r>
      <w:r w:rsidRPr="009A459D">
        <w:rPr>
          <w:lang w:val="fr-CA"/>
        </w:rPr>
        <w:t>Compendium of guidance on key global databases related to biodiversity-related conventions</w:t>
      </w:r>
      <w:r>
        <w:rPr>
          <w:lang w:val="fr-FR"/>
        </w:rPr>
        <w:t xml:space="preserve"> » </w:t>
      </w:r>
      <w:r w:rsidRPr="00C85C64">
        <w:rPr>
          <w:lang w:val="fr-FR"/>
        </w:rPr>
        <w:t xml:space="preserve">développé par le PNUE-WCMC, disponible à </w:t>
      </w:r>
      <w:r>
        <w:rPr>
          <w:lang w:val="fr-FR"/>
        </w:rPr>
        <w:t>l’</w:t>
      </w:r>
      <w:r w:rsidRPr="00C85C64">
        <w:rPr>
          <w:lang w:val="fr-FR"/>
        </w:rPr>
        <w:t xml:space="preserve">adresse suivante : </w:t>
      </w:r>
      <w:hyperlink r:id="rId21" w:history="1">
        <w:r w:rsidRPr="00C85C64">
          <w:rPr>
            <w:rStyle w:val="Hyperlink"/>
            <w:lang w:val="fr-FR"/>
          </w:rPr>
          <w:t>https://www.unep-wcmc.org/resources-and-data/biodiversitysynergies</w:t>
        </w:r>
      </w:hyperlink>
      <w:r w:rsidRPr="00C85C64">
        <w:rPr>
          <w:rStyle w:val="Hyperlink"/>
          <w:u w:val="none"/>
          <w:lang w:val="fr-FR"/>
        </w:rPr>
        <w:t>.</w:t>
      </w:r>
      <w:r w:rsidRPr="009A459D">
        <w:rPr>
          <w:rStyle w:val="Hyperlink"/>
          <w:u w:val="none"/>
          <w:lang w:val="fr-CA"/>
        </w:rPr>
        <w:t xml:space="preserve"> </w:t>
      </w:r>
    </w:p>
  </w:footnote>
  <w:footnote w:id="22">
    <w:p w14:paraId="24BFD7B2" w14:textId="77777777" w:rsidR="00257E62" w:rsidRPr="00FE3FE5" w:rsidRDefault="00257E62" w:rsidP="00753D21">
      <w:pPr>
        <w:pStyle w:val="FootnoteText"/>
        <w:ind w:firstLine="0"/>
        <w:rPr>
          <w:lang w:val="fr-FR"/>
        </w:rPr>
      </w:pPr>
      <w:r>
        <w:rPr>
          <w:rStyle w:val="FootnoteReference"/>
        </w:rPr>
        <w:footnoteRef/>
      </w:r>
      <w:r w:rsidRPr="009A459D">
        <w:rPr>
          <w:lang w:val="fr-CA"/>
        </w:rPr>
        <w:t xml:space="preserve"> </w:t>
      </w:r>
      <w:r w:rsidRPr="00233939">
        <w:rPr>
          <w:lang w:val="fr-FR"/>
        </w:rPr>
        <w:t>Ces technologies pourraient inclure des systèmes de gestion de contenu web, des systèmes de gestion de documents et d'enregistrements électroniques, des outils de collaboration, des moteurs de recherche, des outils de classification, des portails, ainsi que des bibliothèques et des centres d'information.</w:t>
      </w:r>
    </w:p>
  </w:footnote>
  <w:footnote w:id="23">
    <w:p w14:paraId="6EC29284" w14:textId="77777777" w:rsidR="00257E62" w:rsidRPr="001F79C6" w:rsidRDefault="00257E62" w:rsidP="00753D21">
      <w:pPr>
        <w:pStyle w:val="FootnoteText"/>
        <w:ind w:firstLine="0"/>
        <w:rPr>
          <w:lang w:val="fr-FR"/>
        </w:rPr>
      </w:pPr>
      <w:r>
        <w:rPr>
          <w:rStyle w:val="FootnoteReference"/>
        </w:rPr>
        <w:footnoteRef/>
      </w:r>
      <w:r w:rsidRPr="009A459D">
        <w:rPr>
          <w:lang w:val="fr-CA"/>
        </w:rPr>
        <w:t xml:space="preserve"> </w:t>
      </w:r>
      <w:r w:rsidRPr="001F79C6">
        <w:rPr>
          <w:lang w:val="fr-FR"/>
        </w:rPr>
        <w:t>Certains de ces efforts sont décrits dans la décision IPBES-7/1.</w:t>
      </w:r>
    </w:p>
  </w:footnote>
  <w:footnote w:id="24">
    <w:p w14:paraId="397BBD67" w14:textId="77777777" w:rsidR="00257E62" w:rsidRPr="00447F2D" w:rsidRDefault="00257E62" w:rsidP="00753D21">
      <w:pPr>
        <w:pStyle w:val="FootnoteText"/>
        <w:ind w:firstLine="0"/>
        <w:rPr>
          <w:lang w:val="fr-FR"/>
        </w:rPr>
      </w:pPr>
      <w:r w:rsidRPr="001F79C6">
        <w:rPr>
          <w:rStyle w:val="FootnoteReference"/>
          <w:lang w:val="fr-FR"/>
        </w:rPr>
        <w:footnoteRef/>
      </w:r>
      <w:r w:rsidRPr="001F79C6">
        <w:rPr>
          <w:lang w:val="fr-FR"/>
        </w:rPr>
        <w:t xml:space="preserve"> La découverte et la collecte de connaissances impliquent la recherche, la localisation, l'identification et l'acquisition de données, d'informations et de connaissances.</w:t>
      </w:r>
    </w:p>
  </w:footnote>
  <w:footnote w:id="25">
    <w:p w14:paraId="5B1DDE2D" w14:textId="7B8A5903" w:rsidR="00257E62" w:rsidRPr="0084357B" w:rsidRDefault="00257E62" w:rsidP="00753D21">
      <w:pPr>
        <w:pStyle w:val="FootnoteText"/>
        <w:ind w:firstLine="0"/>
        <w:rPr>
          <w:lang w:val="fr-FR"/>
        </w:rPr>
      </w:pPr>
      <w:r>
        <w:rPr>
          <w:rStyle w:val="FootnoteReference"/>
        </w:rPr>
        <w:footnoteRef/>
      </w:r>
      <w:r w:rsidRPr="009A459D">
        <w:rPr>
          <w:lang w:val="fr-CA"/>
        </w:rPr>
        <w:t xml:space="preserve"> Voir CBD/SBI/3/7/Add.2 </w:t>
      </w:r>
      <w:r w:rsidRPr="00FB1490">
        <w:rPr>
          <w:lang w:val="fr-FR"/>
        </w:rPr>
        <w:t>(</w:t>
      </w:r>
      <w:r>
        <w:rPr>
          <w:lang w:val="fr-FR"/>
        </w:rPr>
        <w:t>A</w:t>
      </w:r>
      <w:r w:rsidRPr="009A459D">
        <w:rPr>
          <w:lang w:val="fr-CA"/>
        </w:rPr>
        <w:t>nnexe II)</w:t>
      </w:r>
      <w:r>
        <w:rPr>
          <w:lang w:val="fr-CA"/>
        </w:rPr>
        <w:t>.</w:t>
      </w:r>
    </w:p>
  </w:footnote>
  <w:footnote w:id="26">
    <w:p w14:paraId="23E1424F" w14:textId="77777777" w:rsidR="00257E62" w:rsidRPr="0084357B" w:rsidRDefault="00257E62" w:rsidP="00753D21">
      <w:pPr>
        <w:pStyle w:val="FootnoteText"/>
        <w:ind w:firstLine="0"/>
        <w:rPr>
          <w:lang w:val="fr-FR"/>
        </w:rPr>
      </w:pPr>
      <w:r>
        <w:rPr>
          <w:rStyle w:val="FootnoteReference"/>
        </w:rPr>
        <w:footnoteRef/>
      </w:r>
      <w:r w:rsidRPr="009A459D">
        <w:rPr>
          <w:lang w:val="fr-CA"/>
        </w:rPr>
        <w:t xml:space="preserve"> </w:t>
      </w:r>
      <w:hyperlink r:id="rId22" w:history="1">
        <w:r w:rsidRPr="009A459D">
          <w:rPr>
            <w:rStyle w:val="Hyperlink"/>
            <w:lang w:val="fr-CA"/>
          </w:rPr>
          <w:t>https://fr.allianceforbio.org</w:t>
        </w:r>
      </w:hyperlink>
      <w:r w:rsidRPr="009A459D">
        <w:rPr>
          <w:lang w:val="fr-CA"/>
        </w:rPr>
        <w:t xml:space="preserve"> </w:t>
      </w:r>
    </w:p>
  </w:footnote>
  <w:footnote w:id="27">
    <w:p w14:paraId="13B9A200" w14:textId="77777777" w:rsidR="00257E62" w:rsidRPr="00B02CBC" w:rsidRDefault="00257E62" w:rsidP="00753D21">
      <w:pPr>
        <w:pStyle w:val="FootnoteText"/>
        <w:ind w:firstLine="0"/>
        <w:rPr>
          <w:lang w:val="fr-FR"/>
        </w:rPr>
      </w:pPr>
      <w:r>
        <w:rPr>
          <w:rStyle w:val="FootnoteReference"/>
        </w:rPr>
        <w:footnoteRef/>
      </w:r>
      <w:r w:rsidRPr="009A459D">
        <w:rPr>
          <w:lang w:val="fr-CA"/>
        </w:rPr>
        <w:t xml:space="preserve"> </w:t>
      </w:r>
      <w:r w:rsidRPr="00B02CBC">
        <w:rPr>
          <w:lang w:val="fr-FR"/>
        </w:rPr>
        <w:t xml:space="preserve">Le calendrier des différentes actions stratégiques sera complété après les débats de la troisième réunion de l’Organe subsidiaire chargé de l’application. </w:t>
      </w:r>
    </w:p>
  </w:footnote>
  <w:footnote w:id="28">
    <w:p w14:paraId="5388908C" w14:textId="4BC77FCF" w:rsidR="00257E62" w:rsidRPr="00B02CBC" w:rsidRDefault="00257E62" w:rsidP="00753D21">
      <w:pPr>
        <w:pStyle w:val="FootnoteText"/>
        <w:ind w:firstLine="0"/>
        <w:rPr>
          <w:lang w:val="fr-FR"/>
        </w:rPr>
      </w:pPr>
      <w:r w:rsidRPr="00B02CBC">
        <w:rPr>
          <w:rStyle w:val="FootnoteReference"/>
          <w:lang w:val="fr-FR"/>
        </w:rPr>
        <w:footnoteRef/>
      </w:r>
      <w:r w:rsidRPr="00B02CBC">
        <w:rPr>
          <w:lang w:val="fr-FR"/>
        </w:rPr>
        <w:t xml:space="preserve"> Cette colonne sera remplie après la troisième réunion de l'Organe subsidiaire chargé de l’application et à la suite de manifestations d’intérêt </w:t>
      </w:r>
      <w:r w:rsidR="00625E81">
        <w:rPr>
          <w:lang w:val="fr-FR"/>
        </w:rPr>
        <w:t>facultatives</w:t>
      </w:r>
      <w:r w:rsidRPr="00B02CBC">
        <w:rPr>
          <w:lang w:val="fr-FR"/>
        </w:rPr>
        <w:t xml:space="preserve"> de la part d'organisations partenaires pertinentes pour contribuer aux actions stratégiques convenues.</w:t>
      </w:r>
    </w:p>
  </w:footnote>
  <w:footnote w:id="29">
    <w:p w14:paraId="391E2DB1" w14:textId="77777777" w:rsidR="00257E62" w:rsidRPr="008327D5" w:rsidRDefault="00257E62" w:rsidP="00753D21">
      <w:pPr>
        <w:pStyle w:val="FootnoteText"/>
        <w:ind w:firstLine="0"/>
        <w:rPr>
          <w:lang w:val="fr-FR"/>
        </w:rPr>
      </w:pPr>
      <w:r w:rsidRPr="00B02CBC">
        <w:rPr>
          <w:rStyle w:val="FootnoteReference"/>
          <w:lang w:val="fr-FR"/>
        </w:rPr>
        <w:footnoteRef/>
      </w:r>
      <w:r w:rsidRPr="00B02CBC">
        <w:rPr>
          <w:lang w:val="fr-FR"/>
        </w:rPr>
        <w:t xml:space="preserve">  Il peut s'agir d'outils identifiés dans les recueils du </w:t>
      </w:r>
      <w:hyperlink r:id="rId23" w:history="1">
        <w:r w:rsidRPr="00B02CBC">
          <w:rPr>
            <w:rStyle w:val="Hyperlink"/>
            <w:lang w:val="fr-FR"/>
          </w:rPr>
          <w:t>PNUE-WCMC</w:t>
        </w:r>
      </w:hyperlink>
      <w:r w:rsidRPr="00B02CBC">
        <w:rPr>
          <w:lang w:val="fr-FR"/>
        </w:rPr>
        <w:t>.</w:t>
      </w:r>
    </w:p>
  </w:footnote>
  <w:footnote w:id="30">
    <w:p w14:paraId="55CBA92E" w14:textId="77777777" w:rsidR="00257E62" w:rsidRPr="00B02CBC" w:rsidRDefault="00257E62" w:rsidP="00753D21">
      <w:pPr>
        <w:pStyle w:val="FootnoteText"/>
        <w:ind w:firstLine="0"/>
        <w:rPr>
          <w:lang w:val="fr-FR"/>
        </w:rPr>
      </w:pPr>
      <w:r>
        <w:rPr>
          <w:rStyle w:val="FootnoteReference"/>
        </w:rPr>
        <w:footnoteRef/>
      </w:r>
      <w:r w:rsidRPr="009A459D">
        <w:rPr>
          <w:lang w:val="fr-CA"/>
        </w:rPr>
        <w:t xml:space="preserve"> </w:t>
      </w:r>
      <w:r w:rsidRPr="00B02CBC">
        <w:rPr>
          <w:lang w:val="fr-FR"/>
        </w:rPr>
        <w:t>Le Groupe de travail à composition non limitée sur l'article 8(j) et les dispositions connexes, et le groupe de travail IPBES sur les savoirs locaux et autochtones pourraient jouer un rôle à cet égard.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rPr>
      <w:alias w:val="Subject"/>
      <w:tag w:val=""/>
      <w:id w:val="358320901"/>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0126274D" w14:textId="4145E79E" w:rsidR="00257E62" w:rsidRPr="00AC4770" w:rsidRDefault="00257E62" w:rsidP="00257E62">
        <w:pPr>
          <w:pStyle w:val="Header"/>
          <w:keepLines/>
          <w:suppressLineNumbers/>
          <w:suppressAutoHyphens/>
          <w:jc w:val="left"/>
          <w:rPr>
            <w:noProof/>
            <w:kern w:val="22"/>
          </w:rPr>
        </w:pPr>
        <w:r>
          <w:rPr>
            <w:noProof/>
            <w:kern w:val="22"/>
          </w:rPr>
          <w:t>CBD/SBI/REC/3/10</w:t>
        </w:r>
      </w:p>
    </w:sdtContent>
  </w:sdt>
  <w:p w14:paraId="2FBE636E" w14:textId="77777777" w:rsidR="00257E62" w:rsidRPr="00AC4770" w:rsidRDefault="00257E62" w:rsidP="00257E62">
    <w:pPr>
      <w:pStyle w:val="Header"/>
      <w:keepLines/>
      <w:suppressLineNumbers/>
      <w:suppressAutoHyphens/>
      <w:spacing w:after="240"/>
      <w:jc w:val="left"/>
      <w:rPr>
        <w:noProof/>
      </w:rPr>
    </w:pPr>
    <w:r w:rsidRPr="00AC4770">
      <w:rPr>
        <w:noProof/>
        <w:kern w:val="22"/>
      </w:rPr>
      <w:t xml:space="preserve">Page </w:t>
    </w:r>
    <w:r w:rsidRPr="00AC4770">
      <w:rPr>
        <w:noProof/>
        <w:kern w:val="22"/>
      </w:rPr>
      <w:fldChar w:fldCharType="begin"/>
    </w:r>
    <w:r w:rsidRPr="00AC4770">
      <w:rPr>
        <w:noProof/>
        <w:kern w:val="22"/>
      </w:rPr>
      <w:instrText xml:space="preserve"> PAGE   \* MERGEFORMAT </w:instrText>
    </w:r>
    <w:r w:rsidRPr="00AC4770">
      <w:rPr>
        <w:noProof/>
        <w:kern w:val="22"/>
      </w:rPr>
      <w:fldChar w:fldCharType="separate"/>
    </w:r>
    <w:r w:rsidR="00952AD3">
      <w:rPr>
        <w:noProof/>
        <w:kern w:val="22"/>
      </w:rPr>
      <w:t>12</w:t>
    </w:r>
    <w:r w:rsidRPr="00AC4770">
      <w:rPr>
        <w:noProof/>
        <w:kern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alias w:val="Subject"/>
      <w:tag w:val=""/>
      <w:id w:val="-1651056651"/>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5D0CAFF" w14:textId="16319296" w:rsidR="00257E62" w:rsidRDefault="00257E62" w:rsidP="00257E62">
        <w:pPr>
          <w:pStyle w:val="Header"/>
          <w:keepLines/>
          <w:suppressLineNumbers/>
          <w:tabs>
            <w:tab w:val="clear" w:pos="4320"/>
            <w:tab w:val="clear" w:pos="8640"/>
          </w:tabs>
          <w:suppressAutoHyphens/>
          <w:jc w:val="right"/>
          <w:rPr>
            <w:noProof/>
          </w:rPr>
        </w:pPr>
        <w:r>
          <w:rPr>
            <w:noProof/>
          </w:rPr>
          <w:t>CBD/SBI/REC/3/10</w:t>
        </w:r>
      </w:p>
    </w:sdtContent>
  </w:sdt>
  <w:p w14:paraId="26085C60" w14:textId="77777777" w:rsidR="00257E62" w:rsidRDefault="00257E62" w:rsidP="00257E62">
    <w:pPr>
      <w:pStyle w:val="Header"/>
      <w:keepLines/>
      <w:suppressLineNumbers/>
      <w:tabs>
        <w:tab w:val="clear" w:pos="4320"/>
        <w:tab w:val="clear" w:pos="8640"/>
      </w:tabs>
      <w:suppressAutoHyphens/>
      <w:spacing w:after="240"/>
      <w:jc w:val="right"/>
      <w:rPr>
        <w:noProof/>
      </w:rPr>
    </w:pPr>
    <w:r>
      <w:rPr>
        <w:noProof/>
      </w:rPr>
      <w:t xml:space="preserve">Page </w:t>
    </w:r>
    <w:r>
      <w:rPr>
        <w:noProof/>
      </w:rPr>
      <w:fldChar w:fldCharType="begin"/>
    </w:r>
    <w:r>
      <w:rPr>
        <w:noProof/>
      </w:rPr>
      <w:instrText xml:space="preserve"> PAGE   \* MERGEFORMAT </w:instrText>
    </w:r>
    <w:r>
      <w:rPr>
        <w:noProof/>
      </w:rPr>
      <w:fldChar w:fldCharType="separate"/>
    </w:r>
    <w:r w:rsidR="00952AD3">
      <w:rPr>
        <w:noProof/>
      </w:rPr>
      <w:t>13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kern w:val="22"/>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BC20A3F" w14:textId="269BB164" w:rsidR="00257E62" w:rsidRPr="00E80CEA" w:rsidRDefault="00257E62" w:rsidP="00E80CEA">
        <w:pPr>
          <w:pStyle w:val="Header"/>
          <w:tabs>
            <w:tab w:val="clear" w:pos="4320"/>
            <w:tab w:val="clear" w:pos="8640"/>
          </w:tabs>
          <w:jc w:val="left"/>
          <w:rPr>
            <w:kern w:val="22"/>
            <w:lang w:val="fr-FR"/>
          </w:rPr>
        </w:pPr>
        <w:r>
          <w:rPr>
            <w:kern w:val="22"/>
            <w:lang w:val="fr-FR"/>
          </w:rPr>
          <w:t>CBD/SBI/REC/3/10</w:t>
        </w:r>
      </w:p>
    </w:sdtContent>
  </w:sdt>
  <w:p w14:paraId="1E0FDE0B" w14:textId="77777777" w:rsidR="00257E62" w:rsidRPr="00E80CEA" w:rsidRDefault="00257E62" w:rsidP="00E80CEA">
    <w:pPr>
      <w:pStyle w:val="Header"/>
      <w:tabs>
        <w:tab w:val="clear" w:pos="4320"/>
        <w:tab w:val="clear" w:pos="8640"/>
      </w:tabs>
      <w:jc w:val="left"/>
      <w:rPr>
        <w:kern w:val="22"/>
        <w:lang w:val="fr-FR"/>
      </w:rPr>
    </w:pPr>
    <w:r w:rsidRPr="00E80CEA">
      <w:rPr>
        <w:kern w:val="22"/>
        <w:lang w:val="fr-FR"/>
      </w:rPr>
      <w:t xml:space="preserve">Page </w:t>
    </w:r>
    <w:r w:rsidRPr="00E80CEA">
      <w:rPr>
        <w:kern w:val="22"/>
      </w:rPr>
      <w:fldChar w:fldCharType="begin"/>
    </w:r>
    <w:r w:rsidRPr="00E80CEA">
      <w:rPr>
        <w:kern w:val="22"/>
        <w:lang w:val="fr-FR"/>
      </w:rPr>
      <w:instrText xml:space="preserve"> PAGE   \* MERGEFORMAT </w:instrText>
    </w:r>
    <w:r w:rsidRPr="00E80CEA">
      <w:rPr>
        <w:kern w:val="22"/>
      </w:rPr>
      <w:fldChar w:fldCharType="separate"/>
    </w:r>
    <w:r w:rsidR="00952AD3">
      <w:rPr>
        <w:noProof/>
        <w:kern w:val="22"/>
        <w:lang w:val="fr-FR"/>
      </w:rPr>
      <w:t>18</w:t>
    </w:r>
    <w:r w:rsidRPr="00E80CEA">
      <w:rPr>
        <w:noProof/>
        <w:kern w:val="22"/>
      </w:rPr>
      <w:fldChar w:fldCharType="end"/>
    </w:r>
  </w:p>
  <w:p w14:paraId="55A5B296" w14:textId="77777777" w:rsidR="00257E62" w:rsidRPr="00E80CEA" w:rsidRDefault="00257E62" w:rsidP="00E80CEA">
    <w:pPr>
      <w:jc w:val="left"/>
      <w:rPr>
        <w:kern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668B9E0B" w:rsidR="00257E62" w:rsidRPr="00134846" w:rsidRDefault="00257E62" w:rsidP="00E80CEA">
        <w:pPr>
          <w:pStyle w:val="Header"/>
          <w:tabs>
            <w:tab w:val="clear" w:pos="4320"/>
            <w:tab w:val="clear" w:pos="8640"/>
          </w:tabs>
          <w:jc w:val="right"/>
          <w:rPr>
            <w:lang w:val="fr-FR"/>
          </w:rPr>
        </w:pPr>
        <w:r>
          <w:rPr>
            <w:lang w:val="fr-FR"/>
          </w:rPr>
          <w:t>CBD/SBI/REC/3/10</w:t>
        </w:r>
      </w:p>
    </w:sdtContent>
  </w:sdt>
  <w:p w14:paraId="64AE8439" w14:textId="77777777" w:rsidR="00257E62" w:rsidRPr="00134846" w:rsidRDefault="00257E62" w:rsidP="00E80CEA">
    <w:pPr>
      <w:pStyle w:val="Header"/>
      <w:tabs>
        <w:tab w:val="clear" w:pos="4320"/>
        <w:tab w:val="clear" w:pos="8640"/>
      </w:tabs>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952AD3">
      <w:rPr>
        <w:noProof/>
        <w:lang w:val="fr-FR"/>
      </w:rPr>
      <w:t>17</w:t>
    </w:r>
    <w:r>
      <w:rPr>
        <w:noProof/>
      </w:rPr>
      <w:fldChar w:fldCharType="end"/>
    </w:r>
  </w:p>
  <w:p w14:paraId="3FBD3763" w14:textId="77777777" w:rsidR="00257E62" w:rsidRDefault="00257E62" w:rsidP="00E80CEA">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2781"/>
    <w:multiLevelType w:val="hybridMultilevel"/>
    <w:tmpl w:val="398E6B50"/>
    <w:lvl w:ilvl="0" w:tplc="4BFC5A32">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76277"/>
    <w:multiLevelType w:val="hybridMultilevel"/>
    <w:tmpl w:val="57E2E98C"/>
    <w:lvl w:ilvl="0" w:tplc="DF42636C">
      <w:start w:val="1"/>
      <w:numFmt w:val="lowerLetter"/>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D6323"/>
    <w:multiLevelType w:val="hybridMultilevel"/>
    <w:tmpl w:val="398E6B50"/>
    <w:lvl w:ilvl="0" w:tplc="4BFC5A32">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1716F"/>
    <w:multiLevelType w:val="hybridMultilevel"/>
    <w:tmpl w:val="C868E954"/>
    <w:lvl w:ilvl="0" w:tplc="0CCC5F58">
      <w:start w:val="11"/>
      <w:numFmt w:val="decimal"/>
      <w:lvlText w:val="%1."/>
      <w:lvlJc w:val="left"/>
      <w:pPr>
        <w:tabs>
          <w:tab w:val="num" w:pos="360"/>
        </w:tabs>
        <w:ind w:left="0" w:firstLine="0"/>
      </w:pPr>
      <w:rPr>
        <w:rFonts w:ascii="Times New Roman" w:eastAsia="Times New Roman" w:hAnsi="Times New Roman" w:cs="Times New Roman" w:hint="default"/>
        <w:b w:val="0"/>
        <w:i w:val="0"/>
        <w:sz w:val="22"/>
      </w:rPr>
    </w:lvl>
    <w:lvl w:ilvl="1" w:tplc="7700D9E2">
      <w:start w:val="11"/>
      <w:numFmt w:val="lowerLetter"/>
      <w:lvlText w:val="%2)"/>
      <w:lvlJc w:val="left"/>
      <w:pPr>
        <w:ind w:left="1440" w:hanging="360"/>
      </w:pPr>
      <w:rPr>
        <w:rFonts w:hint="default"/>
      </w:rPr>
    </w:lvl>
    <w:lvl w:ilvl="2" w:tplc="E75093E4">
      <w:start w:val="1"/>
      <w:numFmt w:val="lowerRoman"/>
      <w:lvlText w:val="%3)"/>
      <w:lvlJc w:val="right"/>
      <w:pPr>
        <w:ind w:left="2160" w:hanging="180"/>
      </w:pPr>
      <w:rPr>
        <w:rFonts w:hint="default"/>
      </w:rPr>
    </w:lvl>
    <w:lvl w:ilvl="3" w:tplc="BB7632A0">
      <w:start w:val="3"/>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56350C"/>
    <w:multiLevelType w:val="hybridMultilevel"/>
    <w:tmpl w:val="8BB4E4C8"/>
    <w:lvl w:ilvl="0" w:tplc="0C090017">
      <w:start w:val="1"/>
      <w:numFmt w:val="lowerLetter"/>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519EC"/>
    <w:multiLevelType w:val="hybridMultilevel"/>
    <w:tmpl w:val="665E8A0E"/>
    <w:lvl w:ilvl="0" w:tplc="B19EA70C">
      <w:start w:val="2"/>
      <w:numFmt w:val="lowerLetter"/>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BC0C59"/>
    <w:multiLevelType w:val="hybridMultilevel"/>
    <w:tmpl w:val="BAACDBAA"/>
    <w:lvl w:ilvl="0" w:tplc="0C090017">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 w15:restartNumberingAfterBreak="0">
    <w:nsid w:val="15CA2175"/>
    <w:multiLevelType w:val="hybridMultilevel"/>
    <w:tmpl w:val="E0107A06"/>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A66668"/>
    <w:multiLevelType w:val="hybridMultilevel"/>
    <w:tmpl w:val="F0C662E0"/>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F04485"/>
    <w:multiLevelType w:val="hybridMultilevel"/>
    <w:tmpl w:val="A55C2B4A"/>
    <w:lvl w:ilvl="0" w:tplc="450C6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816084"/>
    <w:multiLevelType w:val="hybridMultilevel"/>
    <w:tmpl w:val="0B62167A"/>
    <w:lvl w:ilvl="0" w:tplc="0C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0420184"/>
    <w:multiLevelType w:val="hybridMultilevel"/>
    <w:tmpl w:val="7BF25866"/>
    <w:lvl w:ilvl="0" w:tplc="ABA44A26">
      <w:start w:val="1"/>
      <w:numFmt w:val="upperLetter"/>
      <w:lvlText w:val="%1."/>
      <w:lvlJc w:val="left"/>
      <w:pPr>
        <w:ind w:left="720" w:hanging="360"/>
      </w:pPr>
      <w:rPr>
        <w:rFonts w:ascii="Times New Roman" w:hAnsi="Times New Roman" w:cs="Times New Roman"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857FA2"/>
    <w:multiLevelType w:val="hybridMultilevel"/>
    <w:tmpl w:val="651417DA"/>
    <w:lvl w:ilvl="0" w:tplc="450C63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C6DC6"/>
    <w:multiLevelType w:val="hybridMultilevel"/>
    <w:tmpl w:val="4C84F35A"/>
    <w:lvl w:ilvl="0" w:tplc="E0FCDF18">
      <w:start w:val="1"/>
      <w:numFmt w:val="decimal"/>
      <w:lvlText w:val="%1."/>
      <w:lvlJc w:val="left"/>
      <w:pPr>
        <w:tabs>
          <w:tab w:val="num" w:pos="720"/>
        </w:tabs>
        <w:ind w:left="0" w:firstLine="0"/>
      </w:pPr>
      <w:rPr>
        <w:rFonts w:hint="default"/>
        <w:b w:val="0"/>
        <w:bCs w:val="0"/>
        <w:i w:val="0"/>
      </w:rPr>
    </w:lvl>
    <w:lvl w:ilvl="1" w:tplc="0C090017">
      <w:start w:val="1"/>
      <w:numFmt w:val="lowerLetter"/>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36F5F92"/>
    <w:multiLevelType w:val="hybridMultilevel"/>
    <w:tmpl w:val="65D057E0"/>
    <w:lvl w:ilvl="0" w:tplc="A64C2B50">
      <w:start w:val="1"/>
      <w:numFmt w:val="decimal"/>
      <w:lvlText w:val="%1."/>
      <w:lvlJc w:val="left"/>
      <w:pPr>
        <w:tabs>
          <w:tab w:val="num" w:pos="720"/>
        </w:tabs>
        <w:ind w:left="0" w:firstLine="0"/>
      </w:pPr>
    </w:lvl>
    <w:lvl w:ilvl="1" w:tplc="7422AAFE">
      <w:start w:val="1"/>
      <w:numFmt w:val="lowerLetter"/>
      <w:lvlText w:val="(%2)"/>
      <w:lvlJc w:val="left"/>
      <w:pPr>
        <w:tabs>
          <w:tab w:val="num" w:pos="1080"/>
        </w:tabs>
        <w:ind w:left="1080" w:hanging="360"/>
      </w:pPr>
      <w:rPr>
        <w:rFonts w:hint="default"/>
      </w:rPr>
    </w:lvl>
    <w:lvl w:ilvl="2" w:tplc="E3E6A1D4">
      <w:start w:val="1"/>
      <w:numFmt w:val="lowerRoman"/>
      <w:lvlText w:val="(%3)"/>
      <w:lvlJc w:val="righ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392A42E7"/>
    <w:multiLevelType w:val="hybridMultilevel"/>
    <w:tmpl w:val="9B6E7B7E"/>
    <w:lvl w:ilvl="0" w:tplc="A252ABC6">
      <w:start w:val="4"/>
      <w:numFmt w:val="decimal"/>
      <w:lvlText w:val="%1."/>
      <w:lvlJc w:val="left"/>
      <w:pPr>
        <w:tabs>
          <w:tab w:val="num" w:pos="360"/>
        </w:tabs>
        <w:ind w:left="0" w:firstLine="0"/>
      </w:pPr>
      <w:rPr>
        <w:rFonts w:ascii="Times New Roman" w:eastAsia="Times New Roman" w:hAnsi="Times New Roman" w:cs="Times New Roman" w:hint="default"/>
        <w:b w:val="0"/>
        <w:i w:val="0"/>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A410CD"/>
    <w:multiLevelType w:val="hybridMultilevel"/>
    <w:tmpl w:val="F774B88A"/>
    <w:lvl w:ilvl="0" w:tplc="E0FCDF18">
      <w:start w:val="1"/>
      <w:numFmt w:val="decimal"/>
      <w:pStyle w:val="CBD-Para"/>
      <w:lvlText w:val="%1."/>
      <w:lvlJc w:val="left"/>
      <w:pPr>
        <w:tabs>
          <w:tab w:val="num" w:pos="720"/>
        </w:tabs>
        <w:ind w:left="0" w:firstLine="0"/>
      </w:pPr>
      <w:rPr>
        <w:rFonts w:hint="default"/>
        <w:b w:val="0"/>
        <w:bCs w:val="0"/>
        <w:i w:val="0"/>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5E23530"/>
    <w:multiLevelType w:val="hybridMultilevel"/>
    <w:tmpl w:val="66AA0096"/>
    <w:lvl w:ilvl="0" w:tplc="0C090017">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F746AC0"/>
    <w:multiLevelType w:val="hybridMultilevel"/>
    <w:tmpl w:val="BFA482FC"/>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245FA1"/>
    <w:multiLevelType w:val="multilevel"/>
    <w:tmpl w:val="1ABE664C"/>
    <w:lvl w:ilvl="0">
      <w:start w:val="1"/>
      <w:numFmt w:val="decimal"/>
      <w:lvlText w:val="%1."/>
      <w:lvlJc w:val="left"/>
      <w:pPr>
        <w:tabs>
          <w:tab w:val="num" w:pos="360"/>
        </w:tabs>
        <w:ind w:left="0" w:firstLine="0"/>
      </w:pPr>
      <w:rPr>
        <w:b w:val="0"/>
        <w:i w:val="0"/>
        <w:sz w:val="22"/>
      </w:rPr>
    </w:lvl>
    <w:lvl w:ilvl="1">
      <w:start w:val="1"/>
      <w:numFmt w:val="lowerLetter"/>
      <w:lvlText w:val="%2)"/>
      <w:lvlJc w:val="left"/>
      <w:pPr>
        <w:ind w:left="1080" w:hanging="360"/>
      </w:p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85284"/>
    <w:multiLevelType w:val="hybridMultilevel"/>
    <w:tmpl w:val="B660202E"/>
    <w:lvl w:ilvl="0" w:tplc="450C63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AE4775"/>
    <w:multiLevelType w:val="hybridMultilevel"/>
    <w:tmpl w:val="217CFE28"/>
    <w:lvl w:ilvl="0" w:tplc="A64C2B50">
      <w:start w:val="1"/>
      <w:numFmt w:val="decimal"/>
      <w:lvlText w:val="%1."/>
      <w:lvlJc w:val="left"/>
      <w:pPr>
        <w:tabs>
          <w:tab w:val="num" w:pos="720"/>
        </w:tabs>
        <w:ind w:left="0" w:firstLine="0"/>
      </w:pPr>
    </w:lvl>
    <w:lvl w:ilvl="1" w:tplc="0C090017">
      <w:start w:val="1"/>
      <w:numFmt w:val="lowerLetter"/>
      <w:lvlText w:val="%2)"/>
      <w:lvlJc w:val="left"/>
      <w:pPr>
        <w:tabs>
          <w:tab w:val="num" w:pos="1080"/>
        </w:tabs>
        <w:ind w:left="1080" w:hanging="360"/>
      </w:pPr>
      <w:rPr>
        <w:rFonts w:hint="default"/>
      </w:rPr>
    </w:lvl>
    <w:lvl w:ilvl="2" w:tplc="E3E6A1D4">
      <w:start w:val="1"/>
      <w:numFmt w:val="lowerRoman"/>
      <w:lvlText w:val="(%3)"/>
      <w:lvlJc w:val="righ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7713D4"/>
    <w:multiLevelType w:val="hybridMultilevel"/>
    <w:tmpl w:val="F5E86CCC"/>
    <w:lvl w:ilvl="0" w:tplc="E4983CEE">
      <w:start w:val="6"/>
      <w:numFmt w:val="lowerLetter"/>
      <w:lvlText w:val="%1)"/>
      <w:lvlJc w:val="left"/>
      <w:pPr>
        <w:ind w:left="180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0" w15:restartNumberingAfterBreak="0">
    <w:nsid w:val="783E2C5B"/>
    <w:multiLevelType w:val="hybridMultilevel"/>
    <w:tmpl w:val="80D04F02"/>
    <w:lvl w:ilvl="0" w:tplc="26EA6830">
      <w:start w:val="2"/>
      <w:numFmt w:val="decimal"/>
      <w:lvlText w:val="%1."/>
      <w:lvlJc w:val="left"/>
      <w:pPr>
        <w:tabs>
          <w:tab w:val="num" w:pos="360"/>
        </w:tabs>
        <w:ind w:left="0" w:firstLine="0"/>
      </w:pPr>
      <w:rPr>
        <w:rFonts w:ascii="Times New Roman" w:eastAsia="Times New Roman" w:hAnsi="Times New Roman" w:cs="Times New Roman" w:hint="default"/>
        <w:b w:val="0"/>
        <w:i w:val="0"/>
        <w:sz w:val="22"/>
      </w:rPr>
    </w:lvl>
    <w:lvl w:ilvl="1" w:tplc="0C090017">
      <w:start w:val="1"/>
      <w:numFmt w:val="lowerLetter"/>
      <w:lvlText w:val="%2)"/>
      <w:lvlJc w:val="left"/>
      <w:pPr>
        <w:tabs>
          <w:tab w:val="num" w:pos="1440"/>
        </w:tabs>
        <w:ind w:left="0" w:firstLine="720"/>
      </w:pPr>
      <w:rPr>
        <w:rFonts w:hint="default"/>
        <w:b w:val="0"/>
        <w:i w:val="0"/>
      </w:rPr>
    </w:lvl>
    <w:lvl w:ilvl="2" w:tplc="E75093E4">
      <w:start w:val="1"/>
      <w:numFmt w:val="lowerRoman"/>
      <w:lvlText w:val="%3)"/>
      <w:lvlJc w:val="right"/>
      <w:pPr>
        <w:ind w:left="1440" w:hanging="360"/>
      </w:pPr>
      <w:rPr>
        <w:rFonts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hint="default"/>
      </w:rPr>
    </w:lvl>
    <w:lvl w:ilvl="5" w:tplc="0868FBA6">
      <w:start w:val="1"/>
      <w:numFmt w:val="lowerRoman"/>
      <w:lvlText w:val="(%6)"/>
      <w:lvlJc w:val="left"/>
      <w:pPr>
        <w:tabs>
          <w:tab w:val="num" w:pos="2160"/>
        </w:tabs>
        <w:ind w:left="2160" w:hanging="360"/>
      </w:pPr>
      <w:rPr>
        <w:rFonts w:hint="default"/>
      </w:rPr>
    </w:lvl>
    <w:lvl w:ilvl="6" w:tplc="D7127442">
      <w:start w:val="1"/>
      <w:numFmt w:val="decimal"/>
      <w:lvlText w:val="%7."/>
      <w:lvlJc w:val="left"/>
      <w:pPr>
        <w:tabs>
          <w:tab w:val="num" w:pos="2520"/>
        </w:tabs>
        <w:ind w:left="2520" w:hanging="360"/>
      </w:pPr>
      <w:rPr>
        <w:rFonts w:hint="default"/>
        <w:b w:val="0"/>
        <w:i w:val="0"/>
      </w:rPr>
    </w:lvl>
    <w:lvl w:ilvl="7" w:tplc="9612BFB8">
      <w:start w:val="1"/>
      <w:numFmt w:val="lowerLetter"/>
      <w:lvlText w:val="%8."/>
      <w:lvlJc w:val="left"/>
      <w:pPr>
        <w:tabs>
          <w:tab w:val="num" w:pos="2880"/>
        </w:tabs>
        <w:ind w:left="2880" w:hanging="360"/>
      </w:pPr>
      <w:rPr>
        <w:rFonts w:hint="default"/>
      </w:rPr>
    </w:lvl>
    <w:lvl w:ilvl="8" w:tplc="76A4F512">
      <w:start w:val="1"/>
      <w:numFmt w:val="lowerRoman"/>
      <w:lvlText w:val="%9."/>
      <w:lvlJc w:val="left"/>
      <w:pPr>
        <w:tabs>
          <w:tab w:val="num" w:pos="3240"/>
        </w:tabs>
        <w:ind w:left="3240" w:hanging="360"/>
      </w:pPr>
      <w:rPr>
        <w:rFonts w:hint="default"/>
      </w:rPr>
    </w:lvl>
  </w:abstractNum>
  <w:abstractNum w:abstractNumId="31" w15:restartNumberingAfterBreak="0">
    <w:nsid w:val="7DBC6CDC"/>
    <w:multiLevelType w:val="hybridMultilevel"/>
    <w:tmpl w:val="D996D3B4"/>
    <w:lvl w:ilvl="0" w:tplc="776CFC40">
      <w:start w:val="1"/>
      <w:numFmt w:val="upperLetter"/>
      <w:lvlText w:val="%1."/>
      <w:lvlJc w:val="left"/>
      <w:pPr>
        <w:ind w:left="720" w:hanging="360"/>
      </w:pPr>
      <w:rPr>
        <w:rFonts w:asciiTheme="majorBidi" w:hAnsiTheme="majorBidi" w:cstheme="maj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1"/>
  </w:num>
  <w:num w:numId="3">
    <w:abstractNumId w:val="20"/>
  </w:num>
  <w:num w:numId="4">
    <w:abstractNumId w:val="27"/>
  </w:num>
  <w:num w:numId="5">
    <w:abstractNumId w:val="24"/>
  </w:num>
  <w:num w:numId="6">
    <w:abstractNumId w:val="23"/>
  </w:num>
  <w:num w:numId="7">
    <w:abstractNumId w:val="30"/>
  </w:num>
  <w:num w:numId="8">
    <w:abstractNumId w:val="12"/>
  </w:num>
  <w:num w:numId="9">
    <w:abstractNumId w:val="12"/>
    <w:lvlOverride w:ilvl="0">
      <w:startOverride w:val="1"/>
    </w:lvlOverride>
  </w:num>
  <w:num w:numId="10">
    <w:abstractNumId w:val="18"/>
  </w:num>
  <w:num w:numId="11">
    <w:abstractNumId w:val="17"/>
  </w:num>
  <w:num w:numId="12">
    <w:abstractNumId w:val="15"/>
  </w:num>
  <w:num w:numId="13">
    <w:abstractNumId w:val="1"/>
  </w:num>
  <w:num w:numId="14">
    <w:abstractNumId w:val="32"/>
  </w:num>
  <w:num w:numId="15">
    <w:abstractNumId w:val="7"/>
  </w:num>
  <w:num w:numId="16">
    <w:abstractNumId w:val="22"/>
  </w:num>
  <w:num w:numId="17">
    <w:abstractNumId w:val="0"/>
  </w:num>
  <w:num w:numId="18">
    <w:abstractNumId w:val="31"/>
  </w:num>
  <w:num w:numId="19">
    <w:abstractNumId w:val="9"/>
  </w:num>
  <w:num w:numId="20">
    <w:abstractNumId w:val="25"/>
  </w:num>
  <w:num w:numId="21">
    <w:abstractNumId w:val="8"/>
  </w:num>
  <w:num w:numId="22">
    <w:abstractNumId w:val="2"/>
  </w:num>
  <w:num w:numId="23">
    <w:abstractNumId w:val="28"/>
  </w:num>
  <w:num w:numId="24">
    <w:abstractNumId w:val="13"/>
  </w:num>
  <w:num w:numId="25">
    <w:abstractNumId w:val="14"/>
  </w:num>
  <w:num w:numId="26">
    <w:abstractNumId w:val="26"/>
  </w:num>
  <w:num w:numId="27">
    <w:abstractNumId w:val="4"/>
  </w:num>
  <w:num w:numId="28">
    <w:abstractNumId w:val="19"/>
  </w:num>
  <w:num w:numId="29">
    <w:abstractNumId w:val="16"/>
  </w:num>
  <w:num w:numId="30">
    <w:abstractNumId w:val="3"/>
  </w:num>
  <w:num w:numId="31">
    <w:abstractNumId w:val="6"/>
  </w:num>
  <w:num w:numId="32">
    <w:abstractNumId w:val="10"/>
  </w:num>
  <w:num w:numId="33">
    <w:abstractNumId w:val="5"/>
  </w:num>
  <w:num w:numId="34">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2265"/>
    <w:rsid w:val="00006FE8"/>
    <w:rsid w:val="00007653"/>
    <w:rsid w:val="00007805"/>
    <w:rsid w:val="0001255D"/>
    <w:rsid w:val="00013385"/>
    <w:rsid w:val="00027CD0"/>
    <w:rsid w:val="000606D3"/>
    <w:rsid w:val="00061B81"/>
    <w:rsid w:val="00062126"/>
    <w:rsid w:val="0006422D"/>
    <w:rsid w:val="000642FA"/>
    <w:rsid w:val="0007171B"/>
    <w:rsid w:val="00075A5A"/>
    <w:rsid w:val="00085AAC"/>
    <w:rsid w:val="00090267"/>
    <w:rsid w:val="0009553C"/>
    <w:rsid w:val="00095BF3"/>
    <w:rsid w:val="000A23A7"/>
    <w:rsid w:val="000A7160"/>
    <w:rsid w:val="000C326D"/>
    <w:rsid w:val="000C6FB3"/>
    <w:rsid w:val="000E2066"/>
    <w:rsid w:val="000E673A"/>
    <w:rsid w:val="000E681D"/>
    <w:rsid w:val="000F1B45"/>
    <w:rsid w:val="000F74F5"/>
    <w:rsid w:val="00104378"/>
    <w:rsid w:val="00105372"/>
    <w:rsid w:val="00110900"/>
    <w:rsid w:val="00114528"/>
    <w:rsid w:val="00115D1C"/>
    <w:rsid w:val="00123B10"/>
    <w:rsid w:val="001312AD"/>
    <w:rsid w:val="00131E7A"/>
    <w:rsid w:val="00134846"/>
    <w:rsid w:val="001348D5"/>
    <w:rsid w:val="00145FDF"/>
    <w:rsid w:val="00152507"/>
    <w:rsid w:val="001551F5"/>
    <w:rsid w:val="001614F7"/>
    <w:rsid w:val="00165BFC"/>
    <w:rsid w:val="00172AF6"/>
    <w:rsid w:val="00176CEE"/>
    <w:rsid w:val="00184AEB"/>
    <w:rsid w:val="00186DD8"/>
    <w:rsid w:val="001A31ED"/>
    <w:rsid w:val="001A60DF"/>
    <w:rsid w:val="001B13FE"/>
    <w:rsid w:val="001D2FE9"/>
    <w:rsid w:val="001D55F0"/>
    <w:rsid w:val="001D737B"/>
    <w:rsid w:val="001E51BB"/>
    <w:rsid w:val="001F1053"/>
    <w:rsid w:val="001F2B37"/>
    <w:rsid w:val="00203914"/>
    <w:rsid w:val="00204B6D"/>
    <w:rsid w:val="00207B96"/>
    <w:rsid w:val="00210048"/>
    <w:rsid w:val="00213143"/>
    <w:rsid w:val="00223E60"/>
    <w:rsid w:val="00233F34"/>
    <w:rsid w:val="0025395B"/>
    <w:rsid w:val="00254B10"/>
    <w:rsid w:val="0025511A"/>
    <w:rsid w:val="00257E62"/>
    <w:rsid w:val="00264ACA"/>
    <w:rsid w:val="00265300"/>
    <w:rsid w:val="00273799"/>
    <w:rsid w:val="00277F04"/>
    <w:rsid w:val="00282D39"/>
    <w:rsid w:val="00287924"/>
    <w:rsid w:val="00290469"/>
    <w:rsid w:val="00291AEF"/>
    <w:rsid w:val="002933B5"/>
    <w:rsid w:val="00294E77"/>
    <w:rsid w:val="002A2F16"/>
    <w:rsid w:val="002A6FB3"/>
    <w:rsid w:val="002B1720"/>
    <w:rsid w:val="002B1794"/>
    <w:rsid w:val="002B2144"/>
    <w:rsid w:val="002C1863"/>
    <w:rsid w:val="002C1EB2"/>
    <w:rsid w:val="002D76E5"/>
    <w:rsid w:val="002E2B6F"/>
    <w:rsid w:val="002E5A41"/>
    <w:rsid w:val="002E7143"/>
    <w:rsid w:val="002F4FE1"/>
    <w:rsid w:val="002F512D"/>
    <w:rsid w:val="002F5E29"/>
    <w:rsid w:val="0030169D"/>
    <w:rsid w:val="003060EB"/>
    <w:rsid w:val="00310A5D"/>
    <w:rsid w:val="00313BD2"/>
    <w:rsid w:val="00314B33"/>
    <w:rsid w:val="00314F17"/>
    <w:rsid w:val="003153EB"/>
    <w:rsid w:val="003202A9"/>
    <w:rsid w:val="00321985"/>
    <w:rsid w:val="003226E4"/>
    <w:rsid w:val="0032389D"/>
    <w:rsid w:val="003256D8"/>
    <w:rsid w:val="00331B92"/>
    <w:rsid w:val="00351205"/>
    <w:rsid w:val="00357474"/>
    <w:rsid w:val="00362B21"/>
    <w:rsid w:val="003671CC"/>
    <w:rsid w:val="00371909"/>
    <w:rsid w:val="00372F74"/>
    <w:rsid w:val="00381333"/>
    <w:rsid w:val="00384B0D"/>
    <w:rsid w:val="00387B72"/>
    <w:rsid w:val="003964EE"/>
    <w:rsid w:val="0039772E"/>
    <w:rsid w:val="003A09A1"/>
    <w:rsid w:val="003A3060"/>
    <w:rsid w:val="003B1693"/>
    <w:rsid w:val="003B1E95"/>
    <w:rsid w:val="003B3E58"/>
    <w:rsid w:val="003B4DEA"/>
    <w:rsid w:val="003B7293"/>
    <w:rsid w:val="003C190B"/>
    <w:rsid w:val="003C1B2F"/>
    <w:rsid w:val="003C5396"/>
    <w:rsid w:val="003D0601"/>
    <w:rsid w:val="003D6DFE"/>
    <w:rsid w:val="003E3A39"/>
    <w:rsid w:val="003E3E22"/>
    <w:rsid w:val="003F0189"/>
    <w:rsid w:val="003F5A3E"/>
    <w:rsid w:val="003F7224"/>
    <w:rsid w:val="003F79BB"/>
    <w:rsid w:val="00404EE4"/>
    <w:rsid w:val="004069AD"/>
    <w:rsid w:val="00410476"/>
    <w:rsid w:val="00410955"/>
    <w:rsid w:val="004273FD"/>
    <w:rsid w:val="0042785F"/>
    <w:rsid w:val="00427D21"/>
    <w:rsid w:val="004313B4"/>
    <w:rsid w:val="00434CCA"/>
    <w:rsid w:val="004409C4"/>
    <w:rsid w:val="00440F70"/>
    <w:rsid w:val="00442E1C"/>
    <w:rsid w:val="0045094A"/>
    <w:rsid w:val="0045663A"/>
    <w:rsid w:val="00457672"/>
    <w:rsid w:val="0046182A"/>
    <w:rsid w:val="00461C8E"/>
    <w:rsid w:val="00463D20"/>
    <w:rsid w:val="004644C2"/>
    <w:rsid w:val="00465951"/>
    <w:rsid w:val="00467F9C"/>
    <w:rsid w:val="00473792"/>
    <w:rsid w:val="00476A67"/>
    <w:rsid w:val="004771A6"/>
    <w:rsid w:val="00483769"/>
    <w:rsid w:val="004928ED"/>
    <w:rsid w:val="00492C43"/>
    <w:rsid w:val="00494A5B"/>
    <w:rsid w:val="004A111B"/>
    <w:rsid w:val="004A461A"/>
    <w:rsid w:val="004A5B34"/>
    <w:rsid w:val="004A69EB"/>
    <w:rsid w:val="004A7EE1"/>
    <w:rsid w:val="004C67F2"/>
    <w:rsid w:val="004D5130"/>
    <w:rsid w:val="004E0BE4"/>
    <w:rsid w:val="004E1DDF"/>
    <w:rsid w:val="004E28B8"/>
    <w:rsid w:val="004E56D5"/>
    <w:rsid w:val="004E56F3"/>
    <w:rsid w:val="005024BA"/>
    <w:rsid w:val="0050367E"/>
    <w:rsid w:val="00507C33"/>
    <w:rsid w:val="005110AA"/>
    <w:rsid w:val="005225D9"/>
    <w:rsid w:val="00524E79"/>
    <w:rsid w:val="00525E52"/>
    <w:rsid w:val="0052728E"/>
    <w:rsid w:val="005315F1"/>
    <w:rsid w:val="00534681"/>
    <w:rsid w:val="005354FA"/>
    <w:rsid w:val="00537C5B"/>
    <w:rsid w:val="00551B5F"/>
    <w:rsid w:val="0055392C"/>
    <w:rsid w:val="00560C12"/>
    <w:rsid w:val="00561C79"/>
    <w:rsid w:val="00563442"/>
    <w:rsid w:val="00565B42"/>
    <w:rsid w:val="005665F1"/>
    <w:rsid w:val="00566831"/>
    <w:rsid w:val="005676C9"/>
    <w:rsid w:val="00573101"/>
    <w:rsid w:val="0057328C"/>
    <w:rsid w:val="00591A95"/>
    <w:rsid w:val="005A2729"/>
    <w:rsid w:val="005A5418"/>
    <w:rsid w:val="005B296E"/>
    <w:rsid w:val="005B4539"/>
    <w:rsid w:val="005B53C6"/>
    <w:rsid w:val="005C4CE6"/>
    <w:rsid w:val="005D2AE7"/>
    <w:rsid w:val="005E1DEF"/>
    <w:rsid w:val="005E2148"/>
    <w:rsid w:val="005F1EFA"/>
    <w:rsid w:val="005F201B"/>
    <w:rsid w:val="005F6CC0"/>
    <w:rsid w:val="005F7577"/>
    <w:rsid w:val="00606F15"/>
    <w:rsid w:val="00610370"/>
    <w:rsid w:val="006122BA"/>
    <w:rsid w:val="00612BDB"/>
    <w:rsid w:val="00622A4E"/>
    <w:rsid w:val="00625E81"/>
    <w:rsid w:val="006261B0"/>
    <w:rsid w:val="00632C38"/>
    <w:rsid w:val="0063413D"/>
    <w:rsid w:val="006376DD"/>
    <w:rsid w:val="00672BDA"/>
    <w:rsid w:val="00676653"/>
    <w:rsid w:val="006926CC"/>
    <w:rsid w:val="00692882"/>
    <w:rsid w:val="006A35A7"/>
    <w:rsid w:val="006A5E9F"/>
    <w:rsid w:val="006B18E2"/>
    <w:rsid w:val="006B2166"/>
    <w:rsid w:val="006B2290"/>
    <w:rsid w:val="006B2CFE"/>
    <w:rsid w:val="006B4875"/>
    <w:rsid w:val="006B4DDE"/>
    <w:rsid w:val="006B50B4"/>
    <w:rsid w:val="006B5D5E"/>
    <w:rsid w:val="006B651E"/>
    <w:rsid w:val="006B6CB2"/>
    <w:rsid w:val="006C02A4"/>
    <w:rsid w:val="006C2E9B"/>
    <w:rsid w:val="006D0B23"/>
    <w:rsid w:val="006D3CFC"/>
    <w:rsid w:val="006E0F36"/>
    <w:rsid w:val="006E4E29"/>
    <w:rsid w:val="006F75FC"/>
    <w:rsid w:val="00704B87"/>
    <w:rsid w:val="0070629B"/>
    <w:rsid w:val="0071030B"/>
    <w:rsid w:val="007103D2"/>
    <w:rsid w:val="00716405"/>
    <w:rsid w:val="00717D88"/>
    <w:rsid w:val="00720C41"/>
    <w:rsid w:val="00727100"/>
    <w:rsid w:val="00734167"/>
    <w:rsid w:val="00747856"/>
    <w:rsid w:val="00752E4B"/>
    <w:rsid w:val="00753C5B"/>
    <w:rsid w:val="00753D21"/>
    <w:rsid w:val="00756043"/>
    <w:rsid w:val="00761B49"/>
    <w:rsid w:val="00761C82"/>
    <w:rsid w:val="00763042"/>
    <w:rsid w:val="007733FE"/>
    <w:rsid w:val="007829B9"/>
    <w:rsid w:val="00786056"/>
    <w:rsid w:val="00786572"/>
    <w:rsid w:val="007942D3"/>
    <w:rsid w:val="007B2099"/>
    <w:rsid w:val="007B5468"/>
    <w:rsid w:val="007B5C72"/>
    <w:rsid w:val="007B6C09"/>
    <w:rsid w:val="007B7271"/>
    <w:rsid w:val="007B7741"/>
    <w:rsid w:val="007C11AC"/>
    <w:rsid w:val="007C6E07"/>
    <w:rsid w:val="007E09DA"/>
    <w:rsid w:val="007E1602"/>
    <w:rsid w:val="007F34D1"/>
    <w:rsid w:val="007F73B7"/>
    <w:rsid w:val="00800FA5"/>
    <w:rsid w:val="00801D8D"/>
    <w:rsid w:val="00810A55"/>
    <w:rsid w:val="00812B7C"/>
    <w:rsid w:val="008152B1"/>
    <w:rsid w:val="008178B6"/>
    <w:rsid w:val="008261DC"/>
    <w:rsid w:val="008301F7"/>
    <w:rsid w:val="00832329"/>
    <w:rsid w:val="0083611C"/>
    <w:rsid w:val="00840645"/>
    <w:rsid w:val="0085788B"/>
    <w:rsid w:val="008579AF"/>
    <w:rsid w:val="00865B74"/>
    <w:rsid w:val="00874DA3"/>
    <w:rsid w:val="008759EF"/>
    <w:rsid w:val="00883BAF"/>
    <w:rsid w:val="0089235D"/>
    <w:rsid w:val="008941F5"/>
    <w:rsid w:val="00895788"/>
    <w:rsid w:val="008974F0"/>
    <w:rsid w:val="008A080C"/>
    <w:rsid w:val="008A3834"/>
    <w:rsid w:val="008B012A"/>
    <w:rsid w:val="008B213C"/>
    <w:rsid w:val="008B2AAA"/>
    <w:rsid w:val="008C0ED6"/>
    <w:rsid w:val="008C164B"/>
    <w:rsid w:val="008C2A9A"/>
    <w:rsid w:val="008C525E"/>
    <w:rsid w:val="008C6619"/>
    <w:rsid w:val="008E4C56"/>
    <w:rsid w:val="008E5DB5"/>
    <w:rsid w:val="008E7C52"/>
    <w:rsid w:val="008F112D"/>
    <w:rsid w:val="008F1D9C"/>
    <w:rsid w:val="008F37DD"/>
    <w:rsid w:val="008F5466"/>
    <w:rsid w:val="00901CA3"/>
    <w:rsid w:val="0090268A"/>
    <w:rsid w:val="00906E17"/>
    <w:rsid w:val="00915604"/>
    <w:rsid w:val="00930BA1"/>
    <w:rsid w:val="0093169E"/>
    <w:rsid w:val="00937B71"/>
    <w:rsid w:val="00940B48"/>
    <w:rsid w:val="009505C9"/>
    <w:rsid w:val="00950752"/>
    <w:rsid w:val="00950774"/>
    <w:rsid w:val="00952AD3"/>
    <w:rsid w:val="00966424"/>
    <w:rsid w:val="0097172D"/>
    <w:rsid w:val="009729E1"/>
    <w:rsid w:val="009742A8"/>
    <w:rsid w:val="00976163"/>
    <w:rsid w:val="0098500C"/>
    <w:rsid w:val="00986117"/>
    <w:rsid w:val="009928B5"/>
    <w:rsid w:val="009933A6"/>
    <w:rsid w:val="00993A17"/>
    <w:rsid w:val="009A503D"/>
    <w:rsid w:val="009A51BB"/>
    <w:rsid w:val="009A68A0"/>
    <w:rsid w:val="009A6EB4"/>
    <w:rsid w:val="009A76E5"/>
    <w:rsid w:val="009B593B"/>
    <w:rsid w:val="009B6057"/>
    <w:rsid w:val="009C2CE4"/>
    <w:rsid w:val="009C2DE6"/>
    <w:rsid w:val="009C7A89"/>
    <w:rsid w:val="009D5590"/>
    <w:rsid w:val="009D71D3"/>
    <w:rsid w:val="009D7556"/>
    <w:rsid w:val="009D7875"/>
    <w:rsid w:val="009E0F5F"/>
    <w:rsid w:val="009E63F5"/>
    <w:rsid w:val="009F1B3C"/>
    <w:rsid w:val="00A00035"/>
    <w:rsid w:val="00A01CC7"/>
    <w:rsid w:val="00A02FEE"/>
    <w:rsid w:val="00A04740"/>
    <w:rsid w:val="00A04FC9"/>
    <w:rsid w:val="00A06E90"/>
    <w:rsid w:val="00A137DE"/>
    <w:rsid w:val="00A2157F"/>
    <w:rsid w:val="00A246D2"/>
    <w:rsid w:val="00A253A5"/>
    <w:rsid w:val="00A308BE"/>
    <w:rsid w:val="00A43596"/>
    <w:rsid w:val="00A529CE"/>
    <w:rsid w:val="00A6174C"/>
    <w:rsid w:val="00A9651B"/>
    <w:rsid w:val="00A971F5"/>
    <w:rsid w:val="00AA234F"/>
    <w:rsid w:val="00AA6F92"/>
    <w:rsid w:val="00AA7B61"/>
    <w:rsid w:val="00AB2B32"/>
    <w:rsid w:val="00AB552E"/>
    <w:rsid w:val="00AB6934"/>
    <w:rsid w:val="00AB778E"/>
    <w:rsid w:val="00AC028F"/>
    <w:rsid w:val="00AC1EA5"/>
    <w:rsid w:val="00AC6F94"/>
    <w:rsid w:val="00AD2DFF"/>
    <w:rsid w:val="00AD765B"/>
    <w:rsid w:val="00AF0C38"/>
    <w:rsid w:val="00AF42DE"/>
    <w:rsid w:val="00B0326C"/>
    <w:rsid w:val="00B0453B"/>
    <w:rsid w:val="00B047F2"/>
    <w:rsid w:val="00B146ED"/>
    <w:rsid w:val="00B2254E"/>
    <w:rsid w:val="00B267B4"/>
    <w:rsid w:val="00B320F6"/>
    <w:rsid w:val="00B3369F"/>
    <w:rsid w:val="00B4736D"/>
    <w:rsid w:val="00B54791"/>
    <w:rsid w:val="00B54F21"/>
    <w:rsid w:val="00B56457"/>
    <w:rsid w:val="00B60077"/>
    <w:rsid w:val="00B6732F"/>
    <w:rsid w:val="00B75026"/>
    <w:rsid w:val="00B75DBD"/>
    <w:rsid w:val="00B8443D"/>
    <w:rsid w:val="00B8795E"/>
    <w:rsid w:val="00B92406"/>
    <w:rsid w:val="00B94E6C"/>
    <w:rsid w:val="00BA25BF"/>
    <w:rsid w:val="00BA59B7"/>
    <w:rsid w:val="00BB4606"/>
    <w:rsid w:val="00BB4F25"/>
    <w:rsid w:val="00BB5510"/>
    <w:rsid w:val="00BB7EC3"/>
    <w:rsid w:val="00BC76CE"/>
    <w:rsid w:val="00BD044A"/>
    <w:rsid w:val="00BD3CC7"/>
    <w:rsid w:val="00BD5729"/>
    <w:rsid w:val="00BD6094"/>
    <w:rsid w:val="00BF3E7B"/>
    <w:rsid w:val="00C104B3"/>
    <w:rsid w:val="00C16202"/>
    <w:rsid w:val="00C1645A"/>
    <w:rsid w:val="00C23843"/>
    <w:rsid w:val="00C23AFC"/>
    <w:rsid w:val="00C23CCB"/>
    <w:rsid w:val="00C23D2F"/>
    <w:rsid w:val="00C2486E"/>
    <w:rsid w:val="00C25232"/>
    <w:rsid w:val="00C41D06"/>
    <w:rsid w:val="00C443BD"/>
    <w:rsid w:val="00C451C5"/>
    <w:rsid w:val="00C455C5"/>
    <w:rsid w:val="00C47444"/>
    <w:rsid w:val="00C55A3F"/>
    <w:rsid w:val="00C63F40"/>
    <w:rsid w:val="00C648C4"/>
    <w:rsid w:val="00C64B9E"/>
    <w:rsid w:val="00C665FB"/>
    <w:rsid w:val="00C7538D"/>
    <w:rsid w:val="00C808BF"/>
    <w:rsid w:val="00C80C34"/>
    <w:rsid w:val="00C84EAF"/>
    <w:rsid w:val="00C8608C"/>
    <w:rsid w:val="00C9161D"/>
    <w:rsid w:val="00C94A55"/>
    <w:rsid w:val="00CA0C1D"/>
    <w:rsid w:val="00CB465C"/>
    <w:rsid w:val="00CB76B5"/>
    <w:rsid w:val="00CC586C"/>
    <w:rsid w:val="00CC59B1"/>
    <w:rsid w:val="00CC6870"/>
    <w:rsid w:val="00CE18D7"/>
    <w:rsid w:val="00CE1CB7"/>
    <w:rsid w:val="00CE32CA"/>
    <w:rsid w:val="00CF1848"/>
    <w:rsid w:val="00CF3778"/>
    <w:rsid w:val="00CF7B2B"/>
    <w:rsid w:val="00D0050D"/>
    <w:rsid w:val="00D07A6B"/>
    <w:rsid w:val="00D12044"/>
    <w:rsid w:val="00D12A80"/>
    <w:rsid w:val="00D31BBE"/>
    <w:rsid w:val="00D32356"/>
    <w:rsid w:val="00D32B25"/>
    <w:rsid w:val="00D32D09"/>
    <w:rsid w:val="00D33EFC"/>
    <w:rsid w:val="00D35A05"/>
    <w:rsid w:val="00D36832"/>
    <w:rsid w:val="00D40DBC"/>
    <w:rsid w:val="00D43EE9"/>
    <w:rsid w:val="00D46CFC"/>
    <w:rsid w:val="00D578D5"/>
    <w:rsid w:val="00D66EA7"/>
    <w:rsid w:val="00D677EB"/>
    <w:rsid w:val="00D76A18"/>
    <w:rsid w:val="00D80849"/>
    <w:rsid w:val="00D82E8F"/>
    <w:rsid w:val="00D94A04"/>
    <w:rsid w:val="00D966B2"/>
    <w:rsid w:val="00D96EB8"/>
    <w:rsid w:val="00DC0019"/>
    <w:rsid w:val="00DC025F"/>
    <w:rsid w:val="00DC082A"/>
    <w:rsid w:val="00DC0EB0"/>
    <w:rsid w:val="00DC1E4C"/>
    <w:rsid w:val="00DD118C"/>
    <w:rsid w:val="00DD33DD"/>
    <w:rsid w:val="00DD4FD3"/>
    <w:rsid w:val="00DE185C"/>
    <w:rsid w:val="00E017C1"/>
    <w:rsid w:val="00E127B9"/>
    <w:rsid w:val="00E13F3A"/>
    <w:rsid w:val="00E15A9C"/>
    <w:rsid w:val="00E15D3F"/>
    <w:rsid w:val="00E1759F"/>
    <w:rsid w:val="00E17C35"/>
    <w:rsid w:val="00E260B3"/>
    <w:rsid w:val="00E4052F"/>
    <w:rsid w:val="00E45866"/>
    <w:rsid w:val="00E55A8D"/>
    <w:rsid w:val="00E6595B"/>
    <w:rsid w:val="00E66235"/>
    <w:rsid w:val="00E67F26"/>
    <w:rsid w:val="00E80CEA"/>
    <w:rsid w:val="00E826B0"/>
    <w:rsid w:val="00E83C24"/>
    <w:rsid w:val="00E911F5"/>
    <w:rsid w:val="00E9318D"/>
    <w:rsid w:val="00EA4292"/>
    <w:rsid w:val="00EB105B"/>
    <w:rsid w:val="00EB691D"/>
    <w:rsid w:val="00EB7094"/>
    <w:rsid w:val="00EC1B46"/>
    <w:rsid w:val="00EC22F6"/>
    <w:rsid w:val="00EC5553"/>
    <w:rsid w:val="00ED5407"/>
    <w:rsid w:val="00EE095E"/>
    <w:rsid w:val="00EE3807"/>
    <w:rsid w:val="00EF6095"/>
    <w:rsid w:val="00F017A3"/>
    <w:rsid w:val="00F076B8"/>
    <w:rsid w:val="00F10897"/>
    <w:rsid w:val="00F12C2B"/>
    <w:rsid w:val="00F165DA"/>
    <w:rsid w:val="00F17642"/>
    <w:rsid w:val="00F23852"/>
    <w:rsid w:val="00F30952"/>
    <w:rsid w:val="00F445A8"/>
    <w:rsid w:val="00F47905"/>
    <w:rsid w:val="00F527F0"/>
    <w:rsid w:val="00F53193"/>
    <w:rsid w:val="00F55BF0"/>
    <w:rsid w:val="00F64B3B"/>
    <w:rsid w:val="00F6586C"/>
    <w:rsid w:val="00F70D03"/>
    <w:rsid w:val="00F72664"/>
    <w:rsid w:val="00F77F2D"/>
    <w:rsid w:val="00F80A8F"/>
    <w:rsid w:val="00F84E6A"/>
    <w:rsid w:val="00F87EA0"/>
    <w:rsid w:val="00F93BBB"/>
    <w:rsid w:val="00F94774"/>
    <w:rsid w:val="00F9765C"/>
    <w:rsid w:val="00FA00BF"/>
    <w:rsid w:val="00FA02D9"/>
    <w:rsid w:val="00FA245A"/>
    <w:rsid w:val="00FA3FC5"/>
    <w:rsid w:val="00FA663B"/>
    <w:rsid w:val="00FA6C20"/>
    <w:rsid w:val="00FB7BBB"/>
    <w:rsid w:val="00FC2F28"/>
    <w:rsid w:val="00FC53DB"/>
    <w:rsid w:val="00FD173D"/>
    <w:rsid w:val="00FD46C2"/>
    <w:rsid w:val="00FD4AB2"/>
    <w:rsid w:val="00FD4FD5"/>
    <w:rsid w:val="00FD6D19"/>
    <w:rsid w:val="00FE2B45"/>
    <w:rsid w:val="00FE4643"/>
    <w:rsid w:val="00FE68DF"/>
    <w:rsid w:val="00FE7BA5"/>
    <w:rsid w:val="00FF3C48"/>
    <w:rsid w:val="025CB253"/>
    <w:rsid w:val="063B90E4"/>
    <w:rsid w:val="06DD13DF"/>
    <w:rsid w:val="06E3A4A3"/>
    <w:rsid w:val="0753930E"/>
    <w:rsid w:val="09D5B6FE"/>
    <w:rsid w:val="105FE6E8"/>
    <w:rsid w:val="125225DC"/>
    <w:rsid w:val="149DF131"/>
    <w:rsid w:val="15ECFBC8"/>
    <w:rsid w:val="180F252C"/>
    <w:rsid w:val="1AED8349"/>
    <w:rsid w:val="1C2A88F5"/>
    <w:rsid w:val="1C318381"/>
    <w:rsid w:val="1D24F68B"/>
    <w:rsid w:val="1F07BEA9"/>
    <w:rsid w:val="229F7EFF"/>
    <w:rsid w:val="273D178B"/>
    <w:rsid w:val="291AAE35"/>
    <w:rsid w:val="2A35BAAA"/>
    <w:rsid w:val="2BC7C9A1"/>
    <w:rsid w:val="2DA3E7D0"/>
    <w:rsid w:val="2FB0C25D"/>
    <w:rsid w:val="30A6261F"/>
    <w:rsid w:val="336914E8"/>
    <w:rsid w:val="359DAB1F"/>
    <w:rsid w:val="35A43BE3"/>
    <w:rsid w:val="377C4C5F"/>
    <w:rsid w:val="38964E3E"/>
    <w:rsid w:val="390842AF"/>
    <w:rsid w:val="3C5ECD4A"/>
    <w:rsid w:val="3EAF4A48"/>
    <w:rsid w:val="3F7FC8E4"/>
    <w:rsid w:val="3FC2D003"/>
    <w:rsid w:val="40346BE1"/>
    <w:rsid w:val="45F19506"/>
    <w:rsid w:val="4CE503CF"/>
    <w:rsid w:val="4E1D60A4"/>
    <w:rsid w:val="4E629278"/>
    <w:rsid w:val="576B6FD2"/>
    <w:rsid w:val="5BE1D381"/>
    <w:rsid w:val="5DACD265"/>
    <w:rsid w:val="5F7C90BC"/>
    <w:rsid w:val="667D1032"/>
    <w:rsid w:val="6D637720"/>
    <w:rsid w:val="6EF97F10"/>
    <w:rsid w:val="71184CE3"/>
    <w:rsid w:val="714BDB29"/>
    <w:rsid w:val="71D6DD37"/>
    <w:rsid w:val="742F75EE"/>
    <w:rsid w:val="74724019"/>
    <w:rsid w:val="74A265C4"/>
    <w:rsid w:val="76874745"/>
    <w:rsid w:val="7ED0A03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15DE8102-BFFE-41A6-89CD-F716A5B9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Bullet L1,L"/>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basedOn w:val="DefaultParagraphFont"/>
    <w:link w:val="ListParagraph"/>
    <w:uiPriority w:val="34"/>
    <w:qFormat/>
    <w:locked/>
    <w:rsid w:val="005A2729"/>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5A2729"/>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94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94E77"/>
    <w:rPr>
      <w:rFonts w:ascii="Times New Roman" w:eastAsia="Times New Roman" w:hAnsi="Times New Roman" w:cs="Times New Roman"/>
      <w:b/>
      <w:bCs/>
      <w:sz w:val="20"/>
      <w:szCs w:val="20"/>
      <w:lang w:val="en-GB"/>
    </w:rPr>
  </w:style>
  <w:style w:type="paragraph" w:styleId="Revision">
    <w:name w:val="Revision"/>
    <w:hidden/>
    <w:uiPriority w:val="99"/>
    <w:semiHidden/>
    <w:rsid w:val="00E911F5"/>
    <w:rPr>
      <w:rFonts w:ascii="Times New Roman" w:eastAsia="Times New Roman" w:hAnsi="Times New Roman" w:cs="Times New Roman"/>
      <w:sz w:val="22"/>
      <w:lang w:val="en-GB"/>
    </w:rPr>
  </w:style>
  <w:style w:type="paragraph" w:styleId="NormalWeb">
    <w:name w:val="Normal (Web)"/>
    <w:basedOn w:val="Normal"/>
    <w:uiPriority w:val="99"/>
    <w:unhideWhenUsed/>
    <w:rsid w:val="00C55A3F"/>
    <w:pPr>
      <w:spacing w:before="100" w:beforeAutospacing="1" w:after="100" w:afterAutospacing="1"/>
      <w:jc w:val="left"/>
    </w:pPr>
    <w:rPr>
      <w:sz w:val="24"/>
      <w:szCs w:val="22"/>
      <w:lang w:val="en-CA" w:eastAsia="en-CA"/>
    </w:rPr>
  </w:style>
  <w:style w:type="paragraph" w:customStyle="1" w:styleId="CBD-Para">
    <w:name w:val="CBD-Para"/>
    <w:basedOn w:val="Normal"/>
    <w:link w:val="CBD-ParaCharChar"/>
    <w:rsid w:val="00C55A3F"/>
    <w:pPr>
      <w:keepLines/>
      <w:numPr>
        <w:numId w:val="11"/>
      </w:numPr>
      <w:spacing w:before="120" w:after="120"/>
    </w:pPr>
    <w:rPr>
      <w:szCs w:val="22"/>
      <w:lang w:val="en-US"/>
    </w:rPr>
  </w:style>
  <w:style w:type="character" w:customStyle="1" w:styleId="CBD-ParaCharChar">
    <w:name w:val="CBD-Para Char Char"/>
    <w:link w:val="CBD-Para"/>
    <w:rsid w:val="00C55A3F"/>
    <w:rPr>
      <w:rFonts w:ascii="Times New Roman" w:eastAsia="Times New Roman" w:hAnsi="Times New Roman" w:cs="Times New Roman"/>
      <w:sz w:val="22"/>
      <w:szCs w:val="22"/>
      <w:lang w:val="en-US"/>
    </w:rPr>
  </w:style>
  <w:style w:type="paragraph" w:customStyle="1" w:styleId="CBD-Para-a">
    <w:name w:val="CBD-Para-a"/>
    <w:basedOn w:val="CBD-Para"/>
    <w:rsid w:val="00C55A3F"/>
    <w:pPr>
      <w:numPr>
        <w:ilvl w:val="1"/>
      </w:numPr>
      <w:tabs>
        <w:tab w:val="clear" w:pos="1080"/>
        <w:tab w:val="num" w:pos="360"/>
        <w:tab w:val="num" w:pos="2160"/>
      </w:tabs>
      <w:spacing w:before="60" w:after="60"/>
      <w:ind w:left="0" w:firstLine="0"/>
    </w:pPr>
  </w:style>
  <w:style w:type="character" w:customStyle="1" w:styleId="normaltextrun">
    <w:name w:val="normaltextrun"/>
    <w:basedOn w:val="DefaultParagraphFont"/>
    <w:rsid w:val="004E56F3"/>
  </w:style>
  <w:style w:type="character" w:customStyle="1" w:styleId="eop">
    <w:name w:val="eop"/>
    <w:basedOn w:val="DefaultParagraphFont"/>
    <w:rsid w:val="00002265"/>
  </w:style>
  <w:style w:type="character" w:customStyle="1" w:styleId="UnresolvedMention1">
    <w:name w:val="Unresolved Mention1"/>
    <w:basedOn w:val="DefaultParagraphFont"/>
    <w:uiPriority w:val="99"/>
    <w:semiHidden/>
    <w:unhideWhenUsed/>
    <w:rsid w:val="0089235D"/>
    <w:rPr>
      <w:color w:val="605E5C"/>
      <w:shd w:val="clear" w:color="auto" w:fill="E1DFDD"/>
    </w:rPr>
  </w:style>
  <w:style w:type="character" w:customStyle="1" w:styleId="al-author-name-more">
    <w:name w:val="al-author-name-more"/>
    <w:basedOn w:val="DefaultParagraphFont"/>
    <w:rsid w:val="005A5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8756">
      <w:bodyDiv w:val="1"/>
      <w:marLeft w:val="0"/>
      <w:marRight w:val="0"/>
      <w:marTop w:val="0"/>
      <w:marBottom w:val="0"/>
      <w:divBdr>
        <w:top w:val="none" w:sz="0" w:space="0" w:color="auto"/>
        <w:left w:val="none" w:sz="0" w:space="0" w:color="auto"/>
        <w:bottom w:val="none" w:sz="0" w:space="0" w:color="auto"/>
        <w:right w:val="none" w:sz="0" w:space="0" w:color="auto"/>
      </w:divBdr>
    </w:div>
    <w:div w:id="291982230">
      <w:bodyDiv w:val="1"/>
      <w:marLeft w:val="0"/>
      <w:marRight w:val="0"/>
      <w:marTop w:val="0"/>
      <w:marBottom w:val="0"/>
      <w:divBdr>
        <w:top w:val="none" w:sz="0" w:space="0" w:color="auto"/>
        <w:left w:val="none" w:sz="0" w:space="0" w:color="auto"/>
        <w:bottom w:val="none" w:sz="0" w:space="0" w:color="auto"/>
        <w:right w:val="none" w:sz="0" w:space="0" w:color="auto"/>
      </w:divBdr>
    </w:div>
    <w:div w:id="334650971">
      <w:bodyDiv w:val="1"/>
      <w:marLeft w:val="0"/>
      <w:marRight w:val="0"/>
      <w:marTop w:val="0"/>
      <w:marBottom w:val="0"/>
      <w:divBdr>
        <w:top w:val="none" w:sz="0" w:space="0" w:color="auto"/>
        <w:left w:val="none" w:sz="0" w:space="0" w:color="auto"/>
        <w:bottom w:val="none" w:sz="0" w:space="0" w:color="auto"/>
        <w:right w:val="none" w:sz="0" w:space="0" w:color="auto"/>
      </w:divBdr>
    </w:div>
    <w:div w:id="377433709">
      <w:bodyDiv w:val="1"/>
      <w:marLeft w:val="0"/>
      <w:marRight w:val="0"/>
      <w:marTop w:val="0"/>
      <w:marBottom w:val="0"/>
      <w:divBdr>
        <w:top w:val="none" w:sz="0" w:space="0" w:color="auto"/>
        <w:left w:val="none" w:sz="0" w:space="0" w:color="auto"/>
        <w:bottom w:val="none" w:sz="0" w:space="0" w:color="auto"/>
        <w:right w:val="none" w:sz="0" w:space="0" w:color="auto"/>
      </w:divBdr>
    </w:div>
    <w:div w:id="448163928">
      <w:bodyDiv w:val="1"/>
      <w:marLeft w:val="0"/>
      <w:marRight w:val="0"/>
      <w:marTop w:val="0"/>
      <w:marBottom w:val="0"/>
      <w:divBdr>
        <w:top w:val="none" w:sz="0" w:space="0" w:color="auto"/>
        <w:left w:val="none" w:sz="0" w:space="0" w:color="auto"/>
        <w:bottom w:val="none" w:sz="0" w:space="0" w:color="auto"/>
        <w:right w:val="none" w:sz="0" w:space="0" w:color="auto"/>
      </w:divBdr>
    </w:div>
    <w:div w:id="713430396">
      <w:bodyDiv w:val="1"/>
      <w:marLeft w:val="0"/>
      <w:marRight w:val="0"/>
      <w:marTop w:val="0"/>
      <w:marBottom w:val="0"/>
      <w:divBdr>
        <w:top w:val="none" w:sz="0" w:space="0" w:color="auto"/>
        <w:left w:val="none" w:sz="0" w:space="0" w:color="auto"/>
        <w:bottom w:val="none" w:sz="0" w:space="0" w:color="auto"/>
        <w:right w:val="none" w:sz="0" w:space="0" w:color="auto"/>
      </w:divBdr>
    </w:div>
    <w:div w:id="737900812">
      <w:bodyDiv w:val="1"/>
      <w:marLeft w:val="0"/>
      <w:marRight w:val="0"/>
      <w:marTop w:val="0"/>
      <w:marBottom w:val="0"/>
      <w:divBdr>
        <w:top w:val="none" w:sz="0" w:space="0" w:color="auto"/>
        <w:left w:val="none" w:sz="0" w:space="0" w:color="auto"/>
        <w:bottom w:val="none" w:sz="0" w:space="0" w:color="auto"/>
        <w:right w:val="none" w:sz="0" w:space="0" w:color="auto"/>
      </w:divBdr>
    </w:div>
    <w:div w:id="783773861">
      <w:bodyDiv w:val="1"/>
      <w:marLeft w:val="0"/>
      <w:marRight w:val="0"/>
      <w:marTop w:val="0"/>
      <w:marBottom w:val="0"/>
      <w:divBdr>
        <w:top w:val="none" w:sz="0" w:space="0" w:color="auto"/>
        <w:left w:val="none" w:sz="0" w:space="0" w:color="auto"/>
        <w:bottom w:val="none" w:sz="0" w:space="0" w:color="auto"/>
        <w:right w:val="none" w:sz="0" w:space="0" w:color="auto"/>
      </w:divBdr>
    </w:div>
    <w:div w:id="920140729">
      <w:bodyDiv w:val="1"/>
      <w:marLeft w:val="0"/>
      <w:marRight w:val="0"/>
      <w:marTop w:val="0"/>
      <w:marBottom w:val="0"/>
      <w:divBdr>
        <w:top w:val="none" w:sz="0" w:space="0" w:color="auto"/>
        <w:left w:val="none" w:sz="0" w:space="0" w:color="auto"/>
        <w:bottom w:val="none" w:sz="0" w:space="0" w:color="auto"/>
        <w:right w:val="none" w:sz="0" w:space="0" w:color="auto"/>
      </w:divBdr>
    </w:div>
    <w:div w:id="1131485763">
      <w:bodyDiv w:val="1"/>
      <w:marLeft w:val="0"/>
      <w:marRight w:val="0"/>
      <w:marTop w:val="0"/>
      <w:marBottom w:val="0"/>
      <w:divBdr>
        <w:top w:val="none" w:sz="0" w:space="0" w:color="auto"/>
        <w:left w:val="none" w:sz="0" w:space="0" w:color="auto"/>
        <w:bottom w:val="none" w:sz="0" w:space="0" w:color="auto"/>
        <w:right w:val="none" w:sz="0" w:space="0" w:color="auto"/>
      </w:divBdr>
    </w:div>
    <w:div w:id="1467888492">
      <w:bodyDiv w:val="1"/>
      <w:marLeft w:val="0"/>
      <w:marRight w:val="0"/>
      <w:marTop w:val="0"/>
      <w:marBottom w:val="0"/>
      <w:divBdr>
        <w:top w:val="none" w:sz="0" w:space="0" w:color="auto"/>
        <w:left w:val="none" w:sz="0" w:space="0" w:color="auto"/>
        <w:bottom w:val="none" w:sz="0" w:space="0" w:color="auto"/>
        <w:right w:val="none" w:sz="0" w:space="0" w:color="auto"/>
      </w:divBdr>
    </w:div>
    <w:div w:id="1508982676">
      <w:bodyDiv w:val="1"/>
      <w:marLeft w:val="0"/>
      <w:marRight w:val="0"/>
      <w:marTop w:val="0"/>
      <w:marBottom w:val="0"/>
      <w:divBdr>
        <w:top w:val="none" w:sz="0" w:space="0" w:color="auto"/>
        <w:left w:val="none" w:sz="0" w:space="0" w:color="auto"/>
        <w:bottom w:val="none" w:sz="0" w:space="0" w:color="auto"/>
        <w:right w:val="none" w:sz="0" w:space="0" w:color="auto"/>
      </w:divBdr>
    </w:div>
    <w:div w:id="1617978295">
      <w:bodyDiv w:val="1"/>
      <w:marLeft w:val="0"/>
      <w:marRight w:val="0"/>
      <w:marTop w:val="0"/>
      <w:marBottom w:val="0"/>
      <w:divBdr>
        <w:top w:val="none" w:sz="0" w:space="0" w:color="auto"/>
        <w:left w:val="none" w:sz="0" w:space="0" w:color="auto"/>
        <w:bottom w:val="none" w:sz="0" w:space="0" w:color="auto"/>
        <w:right w:val="none" w:sz="0" w:space="0" w:color="auto"/>
      </w:divBdr>
    </w:div>
    <w:div w:id="1676179182">
      <w:bodyDiv w:val="1"/>
      <w:marLeft w:val="0"/>
      <w:marRight w:val="0"/>
      <w:marTop w:val="0"/>
      <w:marBottom w:val="0"/>
      <w:divBdr>
        <w:top w:val="none" w:sz="0" w:space="0" w:color="auto"/>
        <w:left w:val="none" w:sz="0" w:space="0" w:color="auto"/>
        <w:bottom w:val="none" w:sz="0" w:space="0" w:color="auto"/>
        <w:right w:val="none" w:sz="0" w:space="0" w:color="auto"/>
      </w:divBdr>
      <w:divsChild>
        <w:div w:id="65929622">
          <w:marLeft w:val="0"/>
          <w:marRight w:val="0"/>
          <w:marTop w:val="0"/>
          <w:marBottom w:val="0"/>
          <w:divBdr>
            <w:top w:val="none" w:sz="0" w:space="0" w:color="auto"/>
            <w:left w:val="none" w:sz="0" w:space="0" w:color="auto"/>
            <w:bottom w:val="none" w:sz="0" w:space="0" w:color="auto"/>
            <w:right w:val="none" w:sz="0" w:space="0" w:color="auto"/>
          </w:divBdr>
        </w:div>
      </w:divsChild>
    </w:div>
    <w:div w:id="1908221084">
      <w:bodyDiv w:val="1"/>
      <w:marLeft w:val="0"/>
      <w:marRight w:val="0"/>
      <w:marTop w:val="0"/>
      <w:marBottom w:val="0"/>
      <w:divBdr>
        <w:top w:val="none" w:sz="0" w:space="0" w:color="auto"/>
        <w:left w:val="none" w:sz="0" w:space="0" w:color="auto"/>
        <w:bottom w:val="none" w:sz="0" w:space="0" w:color="auto"/>
        <w:right w:val="none" w:sz="0" w:space="0" w:color="auto"/>
      </w:divBdr>
    </w:div>
    <w:div w:id="2062242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1/cop-11-dec-02-fr.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i.org/10.1093/jas/skz092"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2/cop-12-dec-02-fr.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bd.int/doc/decisions/cop-13/cop-13-dec-23-fr.pdf" TargetMode="External"/><Relationship Id="rId20" Type="http://schemas.openxmlformats.org/officeDocument/2006/relationships/image" Target="media/image4.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bd.int/doc/decisions/cop-14/cop-14-dec-25-fr.pdf" TargetMode="External"/><Relationship Id="rId23" Type="http://schemas.openxmlformats.org/officeDocument/2006/relationships/hyperlink" Target="https://www.cbd.int/doc/decisions/cop-14/cop-14-dec-24-fr.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bd.int/doc/decisions/cop-14/cop-14-dec-25-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3/cop-13-dec-24-fr.pdf" TargetMode="Externa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5ec1/d94f/60fb5937bc06b92013ec09dd/sbi-02-inf-33-en.pdf" TargetMode="External"/><Relationship Id="rId13" Type="http://schemas.openxmlformats.org/officeDocument/2006/relationships/hyperlink" Target="https://rsis.ramsar.org/fr?language=fr" TargetMode="External"/><Relationship Id="rId18" Type="http://schemas.openxmlformats.org/officeDocument/2006/relationships/hyperlink" Target="https://www.protectedplanet.net/en" TargetMode="External"/><Relationship Id="rId3" Type="http://schemas.openxmlformats.org/officeDocument/2006/relationships/hyperlink" Target="https://knowledge4policy.ec.europa.eu/biodiversity_en" TargetMode="External"/><Relationship Id="rId21" Type="http://schemas.openxmlformats.org/officeDocument/2006/relationships/hyperlink" Target="https://www.unep-wcmc.org/resources-and-data/biodiversitysynergies" TargetMode="External"/><Relationship Id="rId7" Type="http://schemas.openxmlformats.org/officeDocument/2006/relationships/hyperlink" Target="https://www.cbd.int/gbo/" TargetMode="External"/><Relationship Id="rId12" Type="http://schemas.openxmlformats.org/officeDocument/2006/relationships/hyperlink" Target="https://absch.cbd.int/fr/" TargetMode="External"/><Relationship Id="rId17" Type="http://schemas.openxmlformats.org/officeDocument/2006/relationships/hyperlink" Target="https://www.unbiodiversitylab.org" TargetMode="External"/><Relationship Id="rId2" Type="http://schemas.openxmlformats.org/officeDocument/2006/relationships/hyperlink" Target="https://www.cbd.int/doc/meetings/cop/cop-11/official/cop-11-31-fr.pdf" TargetMode="External"/><Relationship Id="rId16" Type="http://schemas.openxmlformats.org/officeDocument/2006/relationships/hyperlink" Target="https://www.iucnredlist.org/fr/assessment/sis" TargetMode="External"/><Relationship Id="rId20" Type="http://schemas.openxmlformats.org/officeDocument/2006/relationships/hyperlink" Target="https://www.iccaregistry.org/?locale=fr" TargetMode="External"/><Relationship Id="rId1" Type="http://schemas.openxmlformats.org/officeDocument/2006/relationships/hyperlink" Target="https://www.cbd.int/doc/decisions/cop-11/cop-11-dec-02-fr.pdf" TargetMode="External"/><Relationship Id="rId6" Type="http://schemas.openxmlformats.org/officeDocument/2006/relationships/hyperlink" Target="https://www.cbd.int/doc/c/ead3/b5dd/df01b8167fecf8371fce3438/sbi-03-07-fr.pdf" TargetMode="External"/><Relationship Id="rId11" Type="http://schemas.openxmlformats.org/officeDocument/2006/relationships/hyperlink" Target="http://bch.cbd.int" TargetMode="External"/><Relationship Id="rId5" Type="http://schemas.openxmlformats.org/officeDocument/2006/relationships/hyperlink" Target="https://panorama.solutions/en" TargetMode="External"/><Relationship Id="rId15" Type="http://schemas.openxmlformats.org/officeDocument/2006/relationships/hyperlink" Target="https://www.informea.org/fr" TargetMode="External"/><Relationship Id="rId23" Type="http://schemas.openxmlformats.org/officeDocument/2006/relationships/hyperlink" Target="https://www.unep-wcmc.org/resources-and-data/biodiversitysynergies" TargetMode="External"/><Relationship Id="rId10" Type="http://schemas.openxmlformats.org/officeDocument/2006/relationships/hyperlink" Target="https://www.cbd.int/chm/" TargetMode="External"/><Relationship Id="rId19" Type="http://schemas.openxmlformats.org/officeDocument/2006/relationships/hyperlink" Target="https://pame.protectedplanet.net" TargetMode="External"/><Relationship Id="rId4" Type="http://schemas.openxmlformats.org/officeDocument/2006/relationships/hyperlink" Target="https://www.gbif.org/data4nature" TargetMode="External"/><Relationship Id="rId9" Type="http://schemas.openxmlformats.org/officeDocument/2006/relationships/hyperlink" Target="http://www-public.imtbs-tsp.eu/~gibson/Teaching/Teaching-ReadingMaterial/Rowley06.pdf" TargetMode="External"/><Relationship Id="rId14" Type="http://schemas.openxmlformats.org/officeDocument/2006/relationships/hyperlink" Target="https://trade.cites.org/fr/cites_trade" TargetMode="External"/><Relationship Id="rId22" Type="http://schemas.openxmlformats.org/officeDocument/2006/relationships/hyperlink" Target="https://fr.allianceforbio.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62A71311D92E4DC1AACA8B35FEFC45DC"/>
        <w:category>
          <w:name w:val="Général"/>
          <w:gallery w:val="placeholder"/>
        </w:category>
        <w:types>
          <w:type w:val="bbPlcHdr"/>
        </w:types>
        <w:behaviors>
          <w:behavior w:val="content"/>
        </w:behaviors>
        <w:guid w:val="{2872EC25-329B-4733-B2DB-80997EA4A12E}"/>
      </w:docPartPr>
      <w:docPartBody>
        <w:p w:rsidR="00A773EA" w:rsidRDefault="0058504D" w:rsidP="0058504D">
          <w:pPr>
            <w:pStyle w:val="62A71311D92E4DC1AACA8B35FEFC45D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F6180"/>
    <w:rsid w:val="0022638A"/>
    <w:rsid w:val="00350D55"/>
    <w:rsid w:val="00362DF9"/>
    <w:rsid w:val="003C7C36"/>
    <w:rsid w:val="003F7D47"/>
    <w:rsid w:val="0046422C"/>
    <w:rsid w:val="004760CF"/>
    <w:rsid w:val="004E092F"/>
    <w:rsid w:val="00500A2B"/>
    <w:rsid w:val="005225D9"/>
    <w:rsid w:val="00536BF2"/>
    <w:rsid w:val="0058288D"/>
    <w:rsid w:val="0058504D"/>
    <w:rsid w:val="00665C6B"/>
    <w:rsid w:val="006801B3"/>
    <w:rsid w:val="006B3177"/>
    <w:rsid w:val="006C0225"/>
    <w:rsid w:val="006D1EBD"/>
    <w:rsid w:val="00716940"/>
    <w:rsid w:val="00810A55"/>
    <w:rsid w:val="00873E33"/>
    <w:rsid w:val="008C6619"/>
    <w:rsid w:val="008D420E"/>
    <w:rsid w:val="0098642F"/>
    <w:rsid w:val="009A1B3B"/>
    <w:rsid w:val="009A2933"/>
    <w:rsid w:val="00A46630"/>
    <w:rsid w:val="00A644FB"/>
    <w:rsid w:val="00A773EA"/>
    <w:rsid w:val="00AC0B94"/>
    <w:rsid w:val="00C775BB"/>
    <w:rsid w:val="00C8104B"/>
    <w:rsid w:val="00CA4AAB"/>
    <w:rsid w:val="00D31D12"/>
    <w:rsid w:val="00D53D55"/>
    <w:rsid w:val="00DE7532"/>
    <w:rsid w:val="00F8797A"/>
    <w:rsid w:val="00FC08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8504D"/>
  </w:style>
  <w:style w:type="paragraph" w:customStyle="1" w:styleId="9CFEBC35B1E84C44B3D5F0A60853A587">
    <w:name w:val="9CFEBC35B1E84C44B3D5F0A60853A587"/>
    <w:rsid w:val="005225D9"/>
    <w:pPr>
      <w:spacing w:after="160" w:line="259" w:lineRule="auto"/>
    </w:pPr>
    <w:rPr>
      <w:lang w:val="en-CA" w:eastAsia="en-CA"/>
    </w:rPr>
  </w:style>
  <w:style w:type="paragraph" w:customStyle="1" w:styleId="62A71311D92E4DC1AACA8B35FEFC45DC">
    <w:name w:val="62A71311D92E4DC1AACA8B35FEFC45DC"/>
    <w:rsid w:val="0058504D"/>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B1FD5B-3347-4330-89F5-30D87FE1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7C79A015-7D1E-426E-AE38-B808615B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8898</Words>
  <Characters>48939</Characters>
  <Application>Microsoft Office Word</Application>
  <DocSecurity>0</DocSecurity>
  <Lines>407</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ADOPTEE PAR L’ORGANE SUBSIDIAIRE CHARGE DE L’APPLICATION </vt:lpstr>
      <vt:lpstr>la gestion des connaissances et le centre d’echange</vt:lpstr>
    </vt:vector>
  </TitlesOfParts>
  <Company>SCBD</Company>
  <LinksUpToDate>false</LinksUpToDate>
  <CharactersWithSpaces>57722</CharactersWithSpaces>
  <SharedDoc>false</SharedDoc>
  <HLinks>
    <vt:vector size="180" baseType="variant">
      <vt:variant>
        <vt:i4>720968</vt:i4>
      </vt:variant>
      <vt:variant>
        <vt:i4>27</vt:i4>
      </vt:variant>
      <vt:variant>
        <vt:i4>0</vt:i4>
      </vt:variant>
      <vt:variant>
        <vt:i4>5</vt:i4>
      </vt:variant>
      <vt:variant>
        <vt:lpwstr>https://www.cbd.int/doc/decisions/cop-14/cop-14-dec-24-en.pdf</vt:lpwstr>
      </vt:variant>
      <vt:variant>
        <vt:lpwstr/>
      </vt:variant>
      <vt:variant>
        <vt:i4>786511</vt:i4>
      </vt:variant>
      <vt:variant>
        <vt:i4>24</vt:i4>
      </vt:variant>
      <vt:variant>
        <vt:i4>0</vt:i4>
      </vt:variant>
      <vt:variant>
        <vt:i4>5</vt:i4>
      </vt:variant>
      <vt:variant>
        <vt:lpwstr>https://www.cbd.int/doc/decisions/cop-13/cop-13-dec-24-en.pdf</vt:lpwstr>
      </vt:variant>
      <vt:variant>
        <vt:lpwstr/>
      </vt:variant>
      <vt:variant>
        <vt:i4>3997808</vt:i4>
      </vt:variant>
      <vt:variant>
        <vt:i4>18</vt:i4>
      </vt:variant>
      <vt:variant>
        <vt:i4>0</vt:i4>
      </vt:variant>
      <vt:variant>
        <vt:i4>5</vt:i4>
      </vt:variant>
      <vt:variant>
        <vt:lpwstr>https://doi.org/10.1093/jas/skz092</vt:lpwstr>
      </vt:variant>
      <vt:variant>
        <vt:lpwstr/>
      </vt:variant>
      <vt:variant>
        <vt:i4>655432</vt:i4>
      </vt:variant>
      <vt:variant>
        <vt:i4>15</vt:i4>
      </vt:variant>
      <vt:variant>
        <vt:i4>0</vt:i4>
      </vt:variant>
      <vt:variant>
        <vt:i4>5</vt:i4>
      </vt:variant>
      <vt:variant>
        <vt:lpwstr>https://www.cbd.int/doc/decisions/cop-14/cop-14-dec-25-en.pdf</vt:lpwstr>
      </vt:variant>
      <vt:variant>
        <vt:lpwstr/>
      </vt:variant>
      <vt:variant>
        <vt:i4>524367</vt:i4>
      </vt:variant>
      <vt:variant>
        <vt:i4>9</vt:i4>
      </vt:variant>
      <vt:variant>
        <vt:i4>0</vt:i4>
      </vt:variant>
      <vt:variant>
        <vt:i4>5</vt:i4>
      </vt:variant>
      <vt:variant>
        <vt:lpwstr>https://www.cbd.int/doc/decisions/cop-11/cop-11-dec-02-en.pdf</vt:lpwstr>
      </vt:variant>
      <vt:variant>
        <vt:lpwstr/>
      </vt:variant>
      <vt:variant>
        <vt:i4>720972</vt:i4>
      </vt:variant>
      <vt:variant>
        <vt:i4>6</vt:i4>
      </vt:variant>
      <vt:variant>
        <vt:i4>0</vt:i4>
      </vt:variant>
      <vt:variant>
        <vt:i4>5</vt:i4>
      </vt:variant>
      <vt:variant>
        <vt:lpwstr>https://www.cbd.int/doc/decisions/cop-12/cop-12-dec-02-en.pdf</vt:lpwstr>
      </vt:variant>
      <vt:variant>
        <vt:lpwstr/>
      </vt:variant>
      <vt:variant>
        <vt:i4>720975</vt:i4>
      </vt:variant>
      <vt:variant>
        <vt:i4>3</vt:i4>
      </vt:variant>
      <vt:variant>
        <vt:i4>0</vt:i4>
      </vt:variant>
      <vt:variant>
        <vt:i4>5</vt:i4>
      </vt:variant>
      <vt:variant>
        <vt:lpwstr>https://www.cbd.int/doc/decisions/cop-13/cop-13-dec-23-en.pdf</vt:lpwstr>
      </vt:variant>
      <vt:variant>
        <vt:lpwstr/>
      </vt:variant>
      <vt:variant>
        <vt:i4>655432</vt:i4>
      </vt:variant>
      <vt:variant>
        <vt:i4>0</vt:i4>
      </vt:variant>
      <vt:variant>
        <vt:i4>0</vt:i4>
      </vt:variant>
      <vt:variant>
        <vt:i4>5</vt:i4>
      </vt:variant>
      <vt:variant>
        <vt:lpwstr>https://www.cbd.int/doc/decisions/cop-14/cop-14-dec-25-en.pdf</vt:lpwstr>
      </vt:variant>
      <vt:variant>
        <vt:lpwstr/>
      </vt:variant>
      <vt:variant>
        <vt:i4>4128812</vt:i4>
      </vt:variant>
      <vt:variant>
        <vt:i4>63</vt:i4>
      </vt:variant>
      <vt:variant>
        <vt:i4>0</vt:i4>
      </vt:variant>
      <vt:variant>
        <vt:i4>5</vt:i4>
      </vt:variant>
      <vt:variant>
        <vt:lpwstr>https://www.unep-wcmc.org/resources-and-data/biodiversitysynergies</vt:lpwstr>
      </vt:variant>
      <vt:variant>
        <vt:lpwstr/>
      </vt:variant>
      <vt:variant>
        <vt:i4>2883694</vt:i4>
      </vt:variant>
      <vt:variant>
        <vt:i4>60</vt:i4>
      </vt:variant>
      <vt:variant>
        <vt:i4>0</vt:i4>
      </vt:variant>
      <vt:variant>
        <vt:i4>5</vt:i4>
      </vt:variant>
      <vt:variant>
        <vt:lpwstr>https://www.allianceforbio.org/</vt:lpwstr>
      </vt:variant>
      <vt:variant>
        <vt:lpwstr/>
      </vt:variant>
      <vt:variant>
        <vt:i4>4128812</vt:i4>
      </vt:variant>
      <vt:variant>
        <vt:i4>57</vt:i4>
      </vt:variant>
      <vt:variant>
        <vt:i4>0</vt:i4>
      </vt:variant>
      <vt:variant>
        <vt:i4>5</vt:i4>
      </vt:variant>
      <vt:variant>
        <vt:lpwstr>https://www.unep-wcmc.org/resources-and-data/biodiversitysynergies</vt:lpwstr>
      </vt:variant>
      <vt:variant>
        <vt:lpwstr/>
      </vt:variant>
      <vt:variant>
        <vt:i4>4390914</vt:i4>
      </vt:variant>
      <vt:variant>
        <vt:i4>54</vt:i4>
      </vt:variant>
      <vt:variant>
        <vt:i4>0</vt:i4>
      </vt:variant>
      <vt:variant>
        <vt:i4>5</vt:i4>
      </vt:variant>
      <vt:variant>
        <vt:lpwstr>https://www.iccaregistry.org/</vt:lpwstr>
      </vt:variant>
      <vt:variant>
        <vt:lpwstr/>
      </vt:variant>
      <vt:variant>
        <vt:i4>1245260</vt:i4>
      </vt:variant>
      <vt:variant>
        <vt:i4>51</vt:i4>
      </vt:variant>
      <vt:variant>
        <vt:i4>0</vt:i4>
      </vt:variant>
      <vt:variant>
        <vt:i4>5</vt:i4>
      </vt:variant>
      <vt:variant>
        <vt:lpwstr>https://pame.protectedplanet.net/</vt:lpwstr>
      </vt:variant>
      <vt:variant>
        <vt:lpwstr/>
      </vt:variant>
      <vt:variant>
        <vt:i4>5767238</vt:i4>
      </vt:variant>
      <vt:variant>
        <vt:i4>48</vt:i4>
      </vt:variant>
      <vt:variant>
        <vt:i4>0</vt:i4>
      </vt:variant>
      <vt:variant>
        <vt:i4>5</vt:i4>
      </vt:variant>
      <vt:variant>
        <vt:lpwstr>https://www.protectedplanet.net/</vt:lpwstr>
      </vt:variant>
      <vt:variant>
        <vt:lpwstr/>
      </vt:variant>
      <vt:variant>
        <vt:i4>2949173</vt:i4>
      </vt:variant>
      <vt:variant>
        <vt:i4>45</vt:i4>
      </vt:variant>
      <vt:variant>
        <vt:i4>0</vt:i4>
      </vt:variant>
      <vt:variant>
        <vt:i4>5</vt:i4>
      </vt:variant>
      <vt:variant>
        <vt:lpwstr>https://www.unbiodiversitylab.org/</vt:lpwstr>
      </vt:variant>
      <vt:variant>
        <vt:lpwstr/>
      </vt:variant>
      <vt:variant>
        <vt:i4>3014765</vt:i4>
      </vt:variant>
      <vt:variant>
        <vt:i4>42</vt:i4>
      </vt:variant>
      <vt:variant>
        <vt:i4>0</vt:i4>
      </vt:variant>
      <vt:variant>
        <vt:i4>5</vt:i4>
      </vt:variant>
      <vt:variant>
        <vt:lpwstr>https://www.iucnredlist.org/assessment/sis</vt:lpwstr>
      </vt:variant>
      <vt:variant>
        <vt:lpwstr/>
      </vt:variant>
      <vt:variant>
        <vt:i4>4194389</vt:i4>
      </vt:variant>
      <vt:variant>
        <vt:i4>39</vt:i4>
      </vt:variant>
      <vt:variant>
        <vt:i4>0</vt:i4>
      </vt:variant>
      <vt:variant>
        <vt:i4>5</vt:i4>
      </vt:variant>
      <vt:variant>
        <vt:lpwstr>http://www.informea.org/</vt:lpwstr>
      </vt:variant>
      <vt:variant>
        <vt:lpwstr/>
      </vt:variant>
      <vt:variant>
        <vt:i4>1835037</vt:i4>
      </vt:variant>
      <vt:variant>
        <vt:i4>36</vt:i4>
      </vt:variant>
      <vt:variant>
        <vt:i4>0</vt:i4>
      </vt:variant>
      <vt:variant>
        <vt:i4>5</vt:i4>
      </vt:variant>
      <vt:variant>
        <vt:lpwstr>https://rsis.ramsar.org/</vt:lpwstr>
      </vt:variant>
      <vt:variant>
        <vt:lpwstr/>
      </vt:variant>
      <vt:variant>
        <vt:i4>3342368</vt:i4>
      </vt:variant>
      <vt:variant>
        <vt:i4>33</vt:i4>
      </vt:variant>
      <vt:variant>
        <vt:i4>0</vt:i4>
      </vt:variant>
      <vt:variant>
        <vt:i4>5</vt:i4>
      </vt:variant>
      <vt:variant>
        <vt:lpwstr>https://absch.cbd.int/</vt:lpwstr>
      </vt:variant>
      <vt:variant>
        <vt:lpwstr/>
      </vt:variant>
      <vt:variant>
        <vt:i4>3866726</vt:i4>
      </vt:variant>
      <vt:variant>
        <vt:i4>30</vt:i4>
      </vt:variant>
      <vt:variant>
        <vt:i4>0</vt:i4>
      </vt:variant>
      <vt:variant>
        <vt:i4>5</vt:i4>
      </vt:variant>
      <vt:variant>
        <vt:lpwstr>http://bch.cbd.int/</vt:lpwstr>
      </vt:variant>
      <vt:variant>
        <vt:lpwstr/>
      </vt:variant>
      <vt:variant>
        <vt:i4>131156</vt:i4>
      </vt:variant>
      <vt:variant>
        <vt:i4>27</vt:i4>
      </vt:variant>
      <vt:variant>
        <vt:i4>0</vt:i4>
      </vt:variant>
      <vt:variant>
        <vt:i4>5</vt:i4>
      </vt:variant>
      <vt:variant>
        <vt:lpwstr>https://www.cbd.int/chm/</vt:lpwstr>
      </vt:variant>
      <vt:variant>
        <vt:lpwstr/>
      </vt:variant>
      <vt:variant>
        <vt:i4>4980748</vt:i4>
      </vt:variant>
      <vt:variant>
        <vt:i4>24</vt:i4>
      </vt:variant>
      <vt:variant>
        <vt:i4>0</vt:i4>
      </vt:variant>
      <vt:variant>
        <vt:i4>5</vt:i4>
      </vt:variant>
      <vt:variant>
        <vt:lpwstr>http://www-public.imtbs-tsp.eu/~gibson/Teaching/Teaching-ReadingMaterial/Rowley06.pdf</vt:lpwstr>
      </vt:variant>
      <vt:variant>
        <vt:lpwstr/>
      </vt:variant>
      <vt:variant>
        <vt:i4>5505041</vt:i4>
      </vt:variant>
      <vt:variant>
        <vt:i4>21</vt:i4>
      </vt:variant>
      <vt:variant>
        <vt:i4>0</vt:i4>
      </vt:variant>
      <vt:variant>
        <vt:i4>5</vt:i4>
      </vt:variant>
      <vt:variant>
        <vt:lpwstr>https://www.cbd.int/doc/c/5ec1/d94f/60fb5937bc06b92013ec09dd/sbi-02-inf-33-en.pdf</vt:lpwstr>
      </vt:variant>
      <vt:variant>
        <vt:lpwstr/>
      </vt:variant>
      <vt:variant>
        <vt:i4>524370</vt:i4>
      </vt:variant>
      <vt:variant>
        <vt:i4>18</vt:i4>
      </vt:variant>
      <vt:variant>
        <vt:i4>0</vt:i4>
      </vt:variant>
      <vt:variant>
        <vt:i4>5</vt:i4>
      </vt:variant>
      <vt:variant>
        <vt:lpwstr>https://www.cbd.int/gbo/</vt:lpwstr>
      </vt:variant>
      <vt:variant>
        <vt:lpwstr/>
      </vt:variant>
      <vt:variant>
        <vt:i4>1703956</vt:i4>
      </vt:variant>
      <vt:variant>
        <vt:i4>15</vt:i4>
      </vt:variant>
      <vt:variant>
        <vt:i4>0</vt:i4>
      </vt:variant>
      <vt:variant>
        <vt:i4>5</vt:i4>
      </vt:variant>
      <vt:variant>
        <vt:lpwstr>https://www.cbd.int/doc/c/e798/4a32/5521e93c4e04a2f720acc08a/sbi-03-07-en.pdf</vt:lpwstr>
      </vt:variant>
      <vt:variant>
        <vt:lpwstr/>
      </vt:variant>
      <vt:variant>
        <vt:i4>852061</vt:i4>
      </vt:variant>
      <vt:variant>
        <vt:i4>12</vt:i4>
      </vt:variant>
      <vt:variant>
        <vt:i4>0</vt:i4>
      </vt:variant>
      <vt:variant>
        <vt:i4>5</vt:i4>
      </vt:variant>
      <vt:variant>
        <vt:lpwstr>https://panorama.solutions/en</vt:lpwstr>
      </vt:variant>
      <vt:variant>
        <vt:lpwstr/>
      </vt:variant>
      <vt:variant>
        <vt:i4>1114197</vt:i4>
      </vt:variant>
      <vt:variant>
        <vt:i4>9</vt:i4>
      </vt:variant>
      <vt:variant>
        <vt:i4>0</vt:i4>
      </vt:variant>
      <vt:variant>
        <vt:i4>5</vt:i4>
      </vt:variant>
      <vt:variant>
        <vt:lpwstr>https://www.gbif.org/data4nature</vt:lpwstr>
      </vt:variant>
      <vt:variant>
        <vt:lpwstr/>
      </vt:variant>
      <vt:variant>
        <vt:i4>4653182</vt:i4>
      </vt:variant>
      <vt:variant>
        <vt:i4>6</vt:i4>
      </vt:variant>
      <vt:variant>
        <vt:i4>0</vt:i4>
      </vt:variant>
      <vt:variant>
        <vt:i4>5</vt:i4>
      </vt:variant>
      <vt:variant>
        <vt:lpwstr>https://knowledge4policy.ec.europa.eu/biodiversity_en</vt:lpwstr>
      </vt:variant>
      <vt:variant>
        <vt:lpwstr/>
      </vt:variant>
      <vt:variant>
        <vt:i4>786448</vt:i4>
      </vt:variant>
      <vt:variant>
        <vt:i4>3</vt:i4>
      </vt:variant>
      <vt:variant>
        <vt:i4>0</vt:i4>
      </vt:variant>
      <vt:variant>
        <vt:i4>5</vt:i4>
      </vt:variant>
      <vt:variant>
        <vt:lpwstr>https://www.cbd.int/doc/meetings/cop/cop-11/official/cop-11-31-en.pdf</vt:lpwstr>
      </vt:variant>
      <vt:variant>
        <vt:lpwstr/>
      </vt:variant>
      <vt:variant>
        <vt:i4>524367</vt:i4>
      </vt:variant>
      <vt:variant>
        <vt:i4>0</vt:i4>
      </vt:variant>
      <vt:variant>
        <vt:i4>0</vt:i4>
      </vt:variant>
      <vt:variant>
        <vt:i4>5</vt:i4>
      </vt:variant>
      <vt:variant>
        <vt:lpwstr>https://www.cbd.int/doc/decisions/cop-11/cop-11-dec-02-en.pdf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ADOPTEE PAR L’ORGANE SUBSIDIAIRE CHARGE DE L’APPLICATION </dc:title>
  <dc:subject>CBD/SBI/REC/3/10</dc:subject>
  <dc:creator>SBI-3</dc:creator>
  <cp:keywords>Convention on Biological Diversity, Subsidiary Body on Implementation</cp:keywords>
  <cp:lastModifiedBy>Finn Kinley</cp:lastModifiedBy>
  <cp:revision>46</cp:revision>
  <cp:lastPrinted>2020-01-22T01:56:00Z</cp:lastPrinted>
  <dcterms:created xsi:type="dcterms:W3CDTF">2022-03-29T12:31:00Z</dcterms:created>
  <dcterms:modified xsi:type="dcterms:W3CDTF">2022-05-14T01:26:00Z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