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51D0C" w14:textId="77777777" w:rsidR="00AE293D" w:rsidRDefault="00AE293D" w:rsidP="00605ADF">
      <w:pPr>
        <w:suppressLineNumbers/>
        <w:suppressAutoHyphens/>
        <w:kinsoku w:val="0"/>
        <w:overflowPunct w:val="0"/>
        <w:autoSpaceDE w:val="0"/>
        <w:autoSpaceDN w:val="0"/>
        <w:adjustRightInd w:val="0"/>
        <w:snapToGrid w:val="0"/>
        <w:rPr>
          <w:snapToGrid w:val="0"/>
          <w:kern w:val="22"/>
          <w:szCs w:val="22"/>
          <w:lang w:val="fr-CA"/>
        </w:rPr>
      </w:pPr>
    </w:p>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3800"/>
        <w:gridCol w:w="1341"/>
        <w:gridCol w:w="3982"/>
        <w:gridCol w:w="108"/>
      </w:tblGrid>
      <w:tr w:rsidR="00AE293D" w:rsidRPr="00427603" w14:paraId="2DA59565" w14:textId="77777777" w:rsidTr="00300BCC">
        <w:trPr>
          <w:trHeight w:val="459"/>
        </w:trPr>
        <w:tc>
          <w:tcPr>
            <w:tcW w:w="976" w:type="dxa"/>
            <w:tcBorders>
              <w:bottom w:val="single" w:sz="12" w:space="0" w:color="auto"/>
            </w:tcBorders>
          </w:tcPr>
          <w:p w14:paraId="4956C45C" w14:textId="77777777" w:rsidR="00AE293D" w:rsidRPr="00FE0A31" w:rsidRDefault="00AE293D" w:rsidP="008D49D4">
            <w:r w:rsidRPr="00FE0A31">
              <w:rPr>
                <w:noProof/>
                <w:lang w:val="fr-CA" w:eastAsia="fr-CA"/>
              </w:rPr>
              <w:drawing>
                <wp:inline distT="0" distB="0" distL="0" distR="0" wp14:anchorId="4BB4952B" wp14:editId="69CB7F7D">
                  <wp:extent cx="476494" cy="403200"/>
                  <wp:effectExtent l="0" t="0" r="6350" b="381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gridSpan w:val="2"/>
            <w:tcBorders>
              <w:bottom w:val="single" w:sz="12" w:space="0" w:color="auto"/>
            </w:tcBorders>
            <w:shd w:val="clear" w:color="auto" w:fill="auto"/>
            <w:tcFitText/>
          </w:tcPr>
          <w:p w14:paraId="20B7E666" w14:textId="77777777" w:rsidR="00AE293D" w:rsidRPr="00FE0A31" w:rsidRDefault="00AE293D" w:rsidP="008D49D4">
            <w:r w:rsidRPr="00300BCC">
              <w:rPr>
                <w:noProof/>
                <w:lang w:val="fr-CA" w:eastAsia="fr-CA"/>
              </w:rPr>
              <w:drawing>
                <wp:inline distT="0" distB="0" distL="0" distR="0" wp14:anchorId="3EE6DBB1" wp14:editId="3986E3C0">
                  <wp:extent cx="590550" cy="342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p>
        </w:tc>
        <w:tc>
          <w:tcPr>
            <w:tcW w:w="4090" w:type="dxa"/>
            <w:gridSpan w:val="2"/>
            <w:tcBorders>
              <w:bottom w:val="single" w:sz="12" w:space="0" w:color="auto"/>
            </w:tcBorders>
          </w:tcPr>
          <w:p w14:paraId="4A0E9CE3" w14:textId="77777777" w:rsidR="00AE293D" w:rsidRPr="00427603" w:rsidRDefault="00AE293D" w:rsidP="008D49D4">
            <w:pPr>
              <w:jc w:val="right"/>
              <w:rPr>
                <w:rFonts w:ascii="Arial" w:hAnsi="Arial" w:cs="Arial"/>
                <w:b/>
                <w:sz w:val="32"/>
                <w:szCs w:val="32"/>
              </w:rPr>
            </w:pPr>
            <w:r w:rsidRPr="00427603">
              <w:rPr>
                <w:rFonts w:ascii="Arial" w:hAnsi="Arial" w:cs="Arial"/>
                <w:b/>
                <w:sz w:val="32"/>
                <w:szCs w:val="32"/>
              </w:rPr>
              <w:t>CBD</w:t>
            </w:r>
          </w:p>
        </w:tc>
      </w:tr>
      <w:tr w:rsidR="00AE293D" w:rsidRPr="004F1B77" w14:paraId="77607D51" w14:textId="77777777" w:rsidTr="008D49D4">
        <w:trPr>
          <w:gridAfter w:val="1"/>
          <w:wAfter w:w="108" w:type="dxa"/>
        </w:trPr>
        <w:tc>
          <w:tcPr>
            <w:tcW w:w="4776" w:type="dxa"/>
            <w:gridSpan w:val="2"/>
            <w:tcBorders>
              <w:top w:val="single" w:sz="12" w:space="0" w:color="auto"/>
              <w:bottom w:val="single" w:sz="36" w:space="0" w:color="auto"/>
            </w:tcBorders>
            <w:vAlign w:val="center"/>
          </w:tcPr>
          <w:p w14:paraId="446110DE" w14:textId="77777777" w:rsidR="00AE293D" w:rsidRPr="004F1B77" w:rsidRDefault="00AE293D" w:rsidP="008D49D4">
            <w:pPr>
              <w:rPr>
                <w:kern w:val="22"/>
                <w:szCs w:val="22"/>
                <w:lang w:val="fr-CA"/>
              </w:rPr>
            </w:pPr>
            <w:r w:rsidRPr="004F1B77">
              <w:rPr>
                <w:noProof/>
                <w:lang w:val="fr-CA" w:eastAsia="fr-CA"/>
              </w:rPr>
              <w:drawing>
                <wp:inline distT="0" distB="0" distL="0" distR="0" wp14:anchorId="06DC1D69" wp14:editId="456104C2">
                  <wp:extent cx="2860675" cy="1073785"/>
                  <wp:effectExtent l="0" t="0" r="0" b="0"/>
                  <wp:docPr id="1" name="Picture 1" descr="CBD_logo_fr-CMYK-black [Converted]"/>
                  <wp:cNvGraphicFramePr/>
                  <a:graphic xmlns:a="http://schemas.openxmlformats.org/drawingml/2006/main">
                    <a:graphicData uri="http://schemas.openxmlformats.org/drawingml/2006/picture">
                      <pic:pic xmlns:pic="http://schemas.openxmlformats.org/drawingml/2006/picture">
                        <pic:nvPicPr>
                          <pic:cNvPr id="1" name="Picture 1" descr="CBD_logo_fr-CMYK-black [Converted]"/>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0675" cy="1073785"/>
                          </a:xfrm>
                          <a:prstGeom prst="rect">
                            <a:avLst/>
                          </a:prstGeom>
                          <a:noFill/>
                          <a:ln>
                            <a:noFill/>
                          </a:ln>
                        </pic:spPr>
                      </pic:pic>
                    </a:graphicData>
                  </a:graphic>
                </wp:inline>
              </w:drawing>
            </w:r>
          </w:p>
        </w:tc>
        <w:tc>
          <w:tcPr>
            <w:tcW w:w="5323" w:type="dxa"/>
            <w:gridSpan w:val="2"/>
            <w:tcBorders>
              <w:top w:val="single" w:sz="12" w:space="0" w:color="auto"/>
              <w:bottom w:val="single" w:sz="36" w:space="0" w:color="auto"/>
            </w:tcBorders>
          </w:tcPr>
          <w:p w14:paraId="5AD0F1EF" w14:textId="77777777" w:rsidR="00AE293D" w:rsidRPr="004F1B77" w:rsidRDefault="00AE293D" w:rsidP="008D49D4">
            <w:pPr>
              <w:ind w:left="2523"/>
              <w:jc w:val="left"/>
              <w:rPr>
                <w:kern w:val="22"/>
                <w:szCs w:val="22"/>
                <w:lang w:val="fr-CA"/>
              </w:rPr>
            </w:pPr>
            <w:proofErr w:type="spellStart"/>
            <w:r w:rsidRPr="004F1B77">
              <w:rPr>
                <w:kern w:val="22"/>
                <w:szCs w:val="22"/>
                <w:lang w:val="fr-CA"/>
              </w:rPr>
              <w:t>Distr</w:t>
            </w:r>
            <w:proofErr w:type="spellEnd"/>
            <w:r w:rsidRPr="004F1B77">
              <w:rPr>
                <w:kern w:val="22"/>
                <w:szCs w:val="22"/>
                <w:lang w:val="fr-CA"/>
              </w:rPr>
              <w:t>.</w:t>
            </w:r>
          </w:p>
          <w:p w14:paraId="1CDE3D23" w14:textId="20A114DA" w:rsidR="00AE293D" w:rsidRPr="004F1B77" w:rsidRDefault="00027FF2" w:rsidP="008D49D4">
            <w:pPr>
              <w:ind w:left="2523"/>
              <w:jc w:val="left"/>
              <w:rPr>
                <w:kern w:val="22"/>
                <w:szCs w:val="22"/>
                <w:lang w:val="fr-CA"/>
              </w:rPr>
            </w:pPr>
            <w:sdt>
              <w:sdtPr>
                <w:rPr>
                  <w:caps/>
                  <w:kern w:val="22"/>
                  <w:lang w:val="fr-CA"/>
                </w:rPr>
                <w:alias w:val="Status"/>
                <w:tag w:val=""/>
                <w:id w:val="307985777"/>
                <w:placeholder>
                  <w:docPart w:val="8041320F86CF417C86725F5BED7DC168"/>
                </w:placeholder>
                <w:dataBinding w:prefixMappings="xmlns:ns0='http://purl.org/dc/elements/1.1/' xmlns:ns1='http://schemas.openxmlformats.org/package/2006/metadata/core-properties' " w:xpath="/ns1:coreProperties[1]/ns1:contentStatus[1]" w:storeItemID="{6C3C8BC8-F283-45AE-878A-BAB7291924A1}"/>
                <w:text/>
              </w:sdtPr>
              <w:sdtEndPr/>
              <w:sdtContent>
                <w:r w:rsidR="004F1B77" w:rsidRPr="004F1B77">
                  <w:rPr>
                    <w:caps/>
                    <w:kern w:val="22"/>
                    <w:lang w:val="fr-CA"/>
                  </w:rPr>
                  <w:t>GÉNÉRALE</w:t>
                </w:r>
              </w:sdtContent>
            </w:sdt>
          </w:p>
          <w:p w14:paraId="14DC1CFE" w14:textId="77777777" w:rsidR="00AE293D" w:rsidRPr="004F1B77" w:rsidRDefault="00AE293D" w:rsidP="008D49D4">
            <w:pPr>
              <w:ind w:left="2523"/>
              <w:jc w:val="left"/>
              <w:rPr>
                <w:kern w:val="22"/>
                <w:szCs w:val="22"/>
                <w:lang w:val="fr-CA"/>
              </w:rPr>
            </w:pPr>
          </w:p>
          <w:p w14:paraId="5B50F55E" w14:textId="4D29A83F" w:rsidR="00AE293D" w:rsidRPr="004F1B77" w:rsidRDefault="00AE293D" w:rsidP="008D49D4">
            <w:pPr>
              <w:ind w:left="2523"/>
              <w:jc w:val="left"/>
              <w:rPr>
                <w:kern w:val="22"/>
                <w:szCs w:val="22"/>
                <w:lang w:val="fr-CA"/>
              </w:rPr>
            </w:pPr>
            <w:r w:rsidRPr="004F1B77">
              <w:rPr>
                <w:kern w:val="22"/>
                <w:szCs w:val="22"/>
                <w:lang w:val="fr-CA"/>
              </w:rPr>
              <w:t>CBD/SBI/</w:t>
            </w:r>
            <w:r w:rsidR="004F1B77" w:rsidRPr="004F1B77">
              <w:rPr>
                <w:kern w:val="22"/>
                <w:szCs w:val="22"/>
                <w:lang w:val="fr-CA"/>
              </w:rPr>
              <w:t>REC/3/12</w:t>
            </w:r>
          </w:p>
          <w:p w14:paraId="4BE200B9" w14:textId="3D749C70" w:rsidR="00AE293D" w:rsidRPr="004F1B77" w:rsidRDefault="00E94DB9" w:rsidP="008D49D4">
            <w:pPr>
              <w:ind w:left="2523"/>
              <w:jc w:val="left"/>
              <w:rPr>
                <w:kern w:val="22"/>
                <w:szCs w:val="22"/>
                <w:lang w:val="fr-CA"/>
              </w:rPr>
            </w:pPr>
            <w:r w:rsidRPr="004F1B77">
              <w:rPr>
                <w:kern w:val="22"/>
                <w:szCs w:val="22"/>
                <w:lang w:val="fr-CA"/>
              </w:rPr>
              <w:t>28 mars</w:t>
            </w:r>
            <w:r w:rsidR="00AE293D" w:rsidRPr="004F1B77">
              <w:rPr>
                <w:kern w:val="22"/>
                <w:szCs w:val="22"/>
                <w:lang w:val="fr-CA"/>
              </w:rPr>
              <w:t xml:space="preserve"> 2021</w:t>
            </w:r>
          </w:p>
          <w:p w14:paraId="3842906D" w14:textId="77777777" w:rsidR="00AE293D" w:rsidRPr="004F1B77" w:rsidRDefault="00AE293D" w:rsidP="008D49D4">
            <w:pPr>
              <w:ind w:left="2523"/>
              <w:jc w:val="left"/>
              <w:rPr>
                <w:kern w:val="22"/>
                <w:szCs w:val="22"/>
                <w:lang w:val="fr-CA"/>
              </w:rPr>
            </w:pPr>
          </w:p>
          <w:p w14:paraId="6CAB698E" w14:textId="77777777" w:rsidR="00AE293D" w:rsidRPr="004F1B77" w:rsidRDefault="00AE293D" w:rsidP="008D49D4">
            <w:pPr>
              <w:ind w:left="2523"/>
              <w:jc w:val="left"/>
              <w:rPr>
                <w:kern w:val="22"/>
                <w:szCs w:val="22"/>
                <w:lang w:val="fr-CA"/>
              </w:rPr>
            </w:pPr>
            <w:r w:rsidRPr="004F1B77">
              <w:rPr>
                <w:kern w:val="22"/>
                <w:szCs w:val="22"/>
                <w:lang w:val="fr-CA"/>
              </w:rPr>
              <w:t>FRANÇAIS</w:t>
            </w:r>
          </w:p>
          <w:p w14:paraId="06FD6320" w14:textId="77777777" w:rsidR="00AE293D" w:rsidRPr="004F1B77" w:rsidRDefault="00AE293D" w:rsidP="008D49D4">
            <w:pPr>
              <w:ind w:left="2523"/>
              <w:jc w:val="left"/>
              <w:rPr>
                <w:kern w:val="22"/>
                <w:szCs w:val="22"/>
                <w:lang w:val="fr-CA"/>
              </w:rPr>
            </w:pPr>
            <w:r w:rsidRPr="004F1B77">
              <w:rPr>
                <w:kern w:val="22"/>
                <w:szCs w:val="22"/>
                <w:lang w:val="fr-CA"/>
              </w:rPr>
              <w:t>ORIGINAL : ANGLAIS</w:t>
            </w:r>
          </w:p>
          <w:p w14:paraId="41D083E3" w14:textId="77777777" w:rsidR="00AE293D" w:rsidRPr="004F1B77" w:rsidRDefault="00AE293D" w:rsidP="008D49D4">
            <w:pPr>
              <w:ind w:left="1701"/>
              <w:jc w:val="left"/>
              <w:rPr>
                <w:kern w:val="22"/>
                <w:szCs w:val="22"/>
                <w:lang w:val="fr-CA"/>
              </w:rPr>
            </w:pPr>
          </w:p>
        </w:tc>
      </w:tr>
    </w:tbl>
    <w:p w14:paraId="349CE7AA" w14:textId="77777777" w:rsidR="00AE293D" w:rsidRPr="004F1B77" w:rsidRDefault="00AE293D" w:rsidP="00AE293D">
      <w:pPr>
        <w:pStyle w:val="Cornernotation"/>
        <w:suppressLineNumbers/>
        <w:suppressAutoHyphens/>
        <w:kinsoku w:val="0"/>
        <w:overflowPunct w:val="0"/>
        <w:autoSpaceDE w:val="0"/>
        <w:autoSpaceDN w:val="0"/>
        <w:adjustRightInd w:val="0"/>
        <w:snapToGrid w:val="0"/>
        <w:ind w:right="3860"/>
        <w:rPr>
          <w:color w:val="000000"/>
          <w:kern w:val="22"/>
          <w:szCs w:val="22"/>
          <w:shd w:val="clear" w:color="auto" w:fill="FFFFFF"/>
          <w:lang w:val="fr-CA"/>
        </w:rPr>
      </w:pPr>
      <w:r w:rsidRPr="004F1B77">
        <w:rPr>
          <w:color w:val="000000"/>
          <w:kern w:val="22"/>
          <w:szCs w:val="22"/>
          <w:shd w:val="clear" w:color="auto" w:fill="FFFFFF"/>
          <w:lang w:val="fr-CA"/>
        </w:rPr>
        <w:t>ORGANE SUBSIDIAIRE CHARGÉ DE L’APPLICATION</w:t>
      </w:r>
    </w:p>
    <w:p w14:paraId="027024D3" w14:textId="77777777" w:rsidR="00AE293D" w:rsidRPr="004F1B77" w:rsidRDefault="00AE293D" w:rsidP="00AE293D">
      <w:pPr>
        <w:pStyle w:val="Cornernotation"/>
        <w:suppressLineNumbers/>
        <w:suppressAutoHyphens/>
        <w:kinsoku w:val="0"/>
        <w:overflowPunct w:val="0"/>
        <w:autoSpaceDE w:val="0"/>
        <w:autoSpaceDN w:val="0"/>
        <w:adjustRightInd w:val="0"/>
        <w:snapToGrid w:val="0"/>
        <w:ind w:right="3860"/>
        <w:rPr>
          <w:color w:val="000000"/>
          <w:kern w:val="22"/>
          <w:szCs w:val="22"/>
          <w:shd w:val="clear" w:color="auto" w:fill="FFFFFF"/>
          <w:lang w:val="fr-CA"/>
        </w:rPr>
      </w:pPr>
      <w:r w:rsidRPr="004F1B77">
        <w:rPr>
          <w:color w:val="000000"/>
          <w:kern w:val="22"/>
          <w:szCs w:val="22"/>
          <w:shd w:val="clear" w:color="auto" w:fill="FFFFFF"/>
          <w:lang w:val="fr-CA"/>
        </w:rPr>
        <w:t>Troisième réunion</w:t>
      </w:r>
    </w:p>
    <w:p w14:paraId="52284769" w14:textId="261B5FFB" w:rsidR="004F1B77" w:rsidRPr="004F1B77" w:rsidRDefault="004F1B77" w:rsidP="00AE293D">
      <w:pPr>
        <w:pStyle w:val="Cornernotation"/>
        <w:suppressLineNumbers/>
        <w:suppressAutoHyphens/>
        <w:kinsoku w:val="0"/>
        <w:overflowPunct w:val="0"/>
        <w:autoSpaceDE w:val="0"/>
        <w:autoSpaceDN w:val="0"/>
        <w:adjustRightInd w:val="0"/>
        <w:snapToGrid w:val="0"/>
        <w:ind w:right="3860"/>
        <w:rPr>
          <w:color w:val="000000"/>
          <w:kern w:val="22"/>
          <w:szCs w:val="22"/>
          <w:shd w:val="clear" w:color="auto" w:fill="FFFFFF"/>
          <w:lang w:val="fr-CA"/>
        </w:rPr>
      </w:pPr>
      <w:r w:rsidRPr="004F1B77">
        <w:rPr>
          <w:color w:val="000000"/>
          <w:kern w:val="22"/>
          <w:szCs w:val="22"/>
          <w:shd w:val="clear" w:color="auto" w:fill="FFFFFF"/>
          <w:lang w:val="fr-CA"/>
        </w:rPr>
        <w:t>En ligne, 16 mai – 13 juin 2021 et</w:t>
      </w:r>
    </w:p>
    <w:p w14:paraId="234171BE" w14:textId="489BDFFE" w:rsidR="00AE293D" w:rsidRPr="004F1B77" w:rsidRDefault="00E94DB9" w:rsidP="00AE293D">
      <w:pPr>
        <w:suppressLineNumbers/>
        <w:suppressAutoHyphens/>
        <w:kinsoku w:val="0"/>
        <w:overflowPunct w:val="0"/>
        <w:autoSpaceDE w:val="0"/>
        <w:autoSpaceDN w:val="0"/>
        <w:adjustRightInd w:val="0"/>
        <w:snapToGrid w:val="0"/>
        <w:jc w:val="left"/>
        <w:rPr>
          <w:snapToGrid w:val="0"/>
          <w:kern w:val="22"/>
          <w:szCs w:val="22"/>
          <w:lang w:val="fr-CA" w:eastAsia="nb-NO"/>
        </w:rPr>
      </w:pPr>
      <w:r w:rsidRPr="004F1B77">
        <w:rPr>
          <w:snapToGrid w:val="0"/>
          <w:kern w:val="22"/>
          <w:szCs w:val="22"/>
          <w:lang w:val="fr-CA" w:eastAsia="nb-NO"/>
        </w:rPr>
        <w:t>Genève, Suisse, 14-29 mars 2022</w:t>
      </w:r>
    </w:p>
    <w:p w14:paraId="20B55D9F" w14:textId="044B2C73" w:rsidR="00AE293D" w:rsidRPr="004F1B77" w:rsidRDefault="00E94DB9" w:rsidP="00AE293D">
      <w:pPr>
        <w:suppressLineNumbers/>
        <w:suppressAutoHyphens/>
        <w:kinsoku w:val="0"/>
        <w:overflowPunct w:val="0"/>
        <w:autoSpaceDE w:val="0"/>
        <w:autoSpaceDN w:val="0"/>
        <w:adjustRightInd w:val="0"/>
        <w:snapToGrid w:val="0"/>
        <w:rPr>
          <w:snapToGrid w:val="0"/>
          <w:kern w:val="22"/>
          <w:szCs w:val="22"/>
          <w:lang w:val="fr-CA"/>
        </w:rPr>
      </w:pPr>
      <w:r w:rsidRPr="004F1B77">
        <w:rPr>
          <w:snapToGrid w:val="0"/>
          <w:kern w:val="22"/>
          <w:szCs w:val="22"/>
          <w:lang w:val="fr-CA"/>
        </w:rPr>
        <w:t>Point 8</w:t>
      </w:r>
      <w:r w:rsidR="00AE293D" w:rsidRPr="004F1B77">
        <w:rPr>
          <w:snapToGrid w:val="0"/>
          <w:kern w:val="22"/>
          <w:szCs w:val="22"/>
          <w:lang w:val="fr-CA"/>
        </w:rPr>
        <w:t xml:space="preserve"> de l’ordre du jour </w:t>
      </w:r>
    </w:p>
    <w:p w14:paraId="6EE103AC" w14:textId="77777777" w:rsidR="00AE293D" w:rsidRPr="004F1B77" w:rsidRDefault="00AE293D" w:rsidP="00605ADF">
      <w:pPr>
        <w:suppressLineNumbers/>
        <w:suppressAutoHyphens/>
        <w:kinsoku w:val="0"/>
        <w:overflowPunct w:val="0"/>
        <w:autoSpaceDE w:val="0"/>
        <w:autoSpaceDN w:val="0"/>
        <w:adjustRightInd w:val="0"/>
        <w:snapToGrid w:val="0"/>
        <w:rPr>
          <w:lang w:val="fr-CA"/>
        </w:rPr>
      </w:pPr>
    </w:p>
    <w:p w14:paraId="57F6B7A1" w14:textId="3C9B4A0C" w:rsidR="00C9161D" w:rsidRPr="004F1B77" w:rsidRDefault="00027FF2" w:rsidP="00605ADF">
      <w:pPr>
        <w:suppressLineNumbers/>
        <w:suppressAutoHyphens/>
        <w:kinsoku w:val="0"/>
        <w:overflowPunct w:val="0"/>
        <w:autoSpaceDE w:val="0"/>
        <w:autoSpaceDN w:val="0"/>
        <w:adjustRightInd w:val="0"/>
        <w:snapToGrid w:val="0"/>
        <w:spacing w:before="240" w:after="120"/>
        <w:jc w:val="center"/>
        <w:rPr>
          <w:rFonts w:ascii="Times New Roman Bold" w:hAnsi="Times New Roman Bold" w:cs="Times New Roman Bold"/>
          <w:b/>
          <w:caps/>
          <w:lang w:val="fr-CA"/>
        </w:rPr>
      </w:pPr>
      <w:sdt>
        <w:sdtPr>
          <w:rPr>
            <w:rFonts w:asciiTheme="majorBidi" w:hAnsiTheme="majorBidi" w:cstheme="majorBidi"/>
            <w:b/>
            <w:szCs w:val="22"/>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430DF">
            <w:rPr>
              <w:rFonts w:asciiTheme="majorBidi" w:hAnsiTheme="majorBidi" w:cstheme="majorBidi"/>
              <w:b/>
              <w:szCs w:val="22"/>
              <w:lang w:val="fr-CA"/>
            </w:rPr>
            <w:t>RECOMMANDATION ADOPTÉE PAR L’ORGANE SUBSIDIAIRE CHARGÉ DE L'APPLICATION</w:t>
          </w:r>
        </w:sdtContent>
      </w:sdt>
      <w:r w:rsidR="00105372" w:rsidRPr="004F1B77">
        <w:rPr>
          <w:rFonts w:ascii="Times New Roman Bold" w:hAnsi="Times New Roman Bold" w:cs="Times New Roman Bold"/>
          <w:b/>
          <w:caps/>
          <w:lang w:val="fr-CA"/>
        </w:rPr>
        <w:t xml:space="preserve"> </w:t>
      </w:r>
    </w:p>
    <w:p w14:paraId="6F8C6CD3" w14:textId="77777777" w:rsidR="004F1B77" w:rsidRDefault="004F1B77" w:rsidP="00E94DB9">
      <w:pPr>
        <w:pStyle w:val="Style1"/>
        <w:spacing w:after="240"/>
        <w:rPr>
          <w:rFonts w:asciiTheme="majorBidi" w:hAnsiTheme="majorBidi" w:cstheme="majorBidi"/>
          <w:bCs w:val="0"/>
          <w:i w:val="0"/>
          <w:iCs w:val="0"/>
          <w:szCs w:val="22"/>
          <w:lang w:val="fr-CA"/>
        </w:rPr>
      </w:pPr>
      <w:r>
        <w:rPr>
          <w:rFonts w:asciiTheme="majorBidi" w:hAnsiTheme="majorBidi" w:cstheme="majorBidi"/>
          <w:bCs w:val="0"/>
          <w:i w:val="0"/>
          <w:iCs w:val="0"/>
          <w:szCs w:val="22"/>
          <w:lang w:val="fr-CA"/>
        </w:rPr>
        <w:t>3/12.</w:t>
      </w:r>
      <w:r>
        <w:rPr>
          <w:rFonts w:asciiTheme="majorBidi" w:hAnsiTheme="majorBidi" w:cstheme="majorBidi"/>
          <w:bCs w:val="0"/>
          <w:i w:val="0"/>
          <w:iCs w:val="0"/>
          <w:szCs w:val="22"/>
          <w:lang w:val="fr-CA"/>
        </w:rPr>
        <w:tab/>
        <w:t>Coopération avec d’autres conventions, organisations et initiatives internationales</w:t>
      </w:r>
    </w:p>
    <w:p w14:paraId="10B32B13" w14:textId="77777777" w:rsidR="00E94DB9" w:rsidRPr="004F1B77" w:rsidRDefault="00E94DB9" w:rsidP="00E94DB9">
      <w:pPr>
        <w:keepNext/>
        <w:suppressLineNumbers/>
        <w:suppressAutoHyphens/>
        <w:kinsoku w:val="0"/>
        <w:overflowPunct w:val="0"/>
        <w:autoSpaceDE w:val="0"/>
        <w:autoSpaceDN w:val="0"/>
        <w:adjustRightInd w:val="0"/>
        <w:snapToGrid w:val="0"/>
        <w:spacing w:before="120" w:after="120"/>
        <w:ind w:firstLine="720"/>
        <w:rPr>
          <w:iCs/>
          <w:snapToGrid w:val="0"/>
          <w:kern w:val="22"/>
          <w:szCs w:val="22"/>
          <w:lang w:val="fr-CA"/>
        </w:rPr>
      </w:pPr>
      <w:r w:rsidRPr="004F1B77">
        <w:rPr>
          <w:i/>
          <w:snapToGrid w:val="0"/>
          <w:kern w:val="22"/>
          <w:szCs w:val="22"/>
          <w:lang w:val="fr-CA"/>
        </w:rPr>
        <w:t>L'Organe subsidiaire chargé de l'application</w:t>
      </w:r>
      <w:r w:rsidRPr="004F1B77">
        <w:rPr>
          <w:iCs/>
          <w:snapToGrid w:val="0"/>
          <w:kern w:val="22"/>
          <w:szCs w:val="22"/>
          <w:lang w:val="fr-CA"/>
        </w:rPr>
        <w:t>,</w:t>
      </w:r>
    </w:p>
    <w:p w14:paraId="448839D7" w14:textId="77777777" w:rsidR="00E94DB9" w:rsidRPr="004F1B77" w:rsidRDefault="00E94DB9" w:rsidP="00E94DB9">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4F1B77">
        <w:rPr>
          <w:i/>
          <w:snapToGrid w:val="0"/>
          <w:kern w:val="22"/>
          <w:szCs w:val="22"/>
          <w:lang w:val="fr-CA"/>
        </w:rPr>
        <w:t xml:space="preserve">Rappelant </w:t>
      </w:r>
      <w:r w:rsidRPr="004F1B77">
        <w:rPr>
          <w:iCs/>
          <w:snapToGrid w:val="0"/>
          <w:kern w:val="22"/>
          <w:szCs w:val="22"/>
          <w:lang w:val="fr-CA"/>
        </w:rPr>
        <w:t>les décisions de la Conférence des Parties concernant la coopération avec d'autres conventions, organisations et initiatives internationales, notamment celles adoptées à ses treizième et quatorzième réunions</w:t>
      </w:r>
      <w:r w:rsidRPr="004F1B77">
        <w:rPr>
          <w:iCs/>
          <w:snapToGrid w:val="0"/>
          <w:kern w:val="22"/>
          <w:szCs w:val="22"/>
          <w:vertAlign w:val="superscript"/>
          <w:lang w:val="fr-CA"/>
        </w:rPr>
        <w:footnoteReference w:id="1"/>
      </w:r>
      <w:r w:rsidRPr="004F1B77">
        <w:rPr>
          <w:i/>
          <w:snapToGrid w:val="0"/>
          <w:kern w:val="22"/>
          <w:szCs w:val="22"/>
          <w:lang w:val="fr-CA"/>
        </w:rPr>
        <w:t>,</w:t>
      </w:r>
    </w:p>
    <w:p w14:paraId="391FC0F3" w14:textId="77777777" w:rsidR="00E94DB9" w:rsidRPr="004F1B77" w:rsidRDefault="00E94DB9" w:rsidP="00E94DB9">
      <w:pPr>
        <w:suppressLineNumbers/>
        <w:suppressAutoHyphens/>
        <w:kinsoku w:val="0"/>
        <w:overflowPunct w:val="0"/>
        <w:autoSpaceDE w:val="0"/>
        <w:autoSpaceDN w:val="0"/>
        <w:adjustRightInd w:val="0"/>
        <w:snapToGrid w:val="0"/>
        <w:spacing w:before="120" w:after="120"/>
        <w:ind w:firstLine="720"/>
        <w:rPr>
          <w:i/>
          <w:snapToGrid w:val="0"/>
          <w:kern w:val="22"/>
          <w:szCs w:val="22"/>
          <w:lang w:val="fr-CA"/>
        </w:rPr>
      </w:pPr>
      <w:r w:rsidRPr="004F1B77">
        <w:rPr>
          <w:i/>
          <w:snapToGrid w:val="0"/>
          <w:kern w:val="22"/>
          <w:szCs w:val="22"/>
          <w:lang w:val="fr-CA"/>
        </w:rPr>
        <w:t xml:space="preserve">Rappelant également </w:t>
      </w:r>
      <w:r w:rsidRPr="004F1B77">
        <w:rPr>
          <w:iCs/>
          <w:snapToGrid w:val="0"/>
          <w:kern w:val="22"/>
          <w:szCs w:val="22"/>
          <w:lang w:val="fr-CA"/>
        </w:rPr>
        <w:t>la décision prise par la Conférence des Parties à sa quatorzième réunion d'établir un processus complet et participatif d'élaboration du cadre mondial de la biodiversité pour l'après-2020</w:t>
      </w:r>
      <w:r w:rsidRPr="004F1B77">
        <w:rPr>
          <w:iCs/>
          <w:snapToGrid w:val="0"/>
          <w:kern w:val="22"/>
          <w:szCs w:val="22"/>
          <w:vertAlign w:val="superscript"/>
          <w:lang w:val="fr-CA"/>
        </w:rPr>
        <w:footnoteReference w:id="2"/>
      </w:r>
      <w:r w:rsidRPr="004F1B77">
        <w:rPr>
          <w:i/>
          <w:snapToGrid w:val="0"/>
          <w:kern w:val="22"/>
          <w:szCs w:val="22"/>
          <w:lang w:val="fr-CA"/>
        </w:rPr>
        <w:t>,</w:t>
      </w:r>
    </w:p>
    <w:p w14:paraId="123A0DEF" w14:textId="3EF8B543" w:rsidR="00E94DB9" w:rsidRPr="004F1B77" w:rsidRDefault="00E94DB9" w:rsidP="00E94DB9">
      <w:pPr>
        <w:suppressLineNumbers/>
        <w:suppressAutoHyphens/>
        <w:kinsoku w:val="0"/>
        <w:overflowPunct w:val="0"/>
        <w:autoSpaceDE w:val="0"/>
        <w:autoSpaceDN w:val="0"/>
        <w:adjustRightInd w:val="0"/>
        <w:snapToGrid w:val="0"/>
        <w:spacing w:before="120" w:after="120"/>
        <w:ind w:firstLine="720"/>
        <w:rPr>
          <w:iCs/>
          <w:snapToGrid w:val="0"/>
          <w:kern w:val="22"/>
          <w:szCs w:val="22"/>
          <w:lang w:val="fr-CA"/>
        </w:rPr>
      </w:pPr>
      <w:r w:rsidRPr="004F1B77">
        <w:rPr>
          <w:i/>
          <w:snapToGrid w:val="0"/>
          <w:kern w:val="22"/>
          <w:szCs w:val="22"/>
          <w:lang w:val="fr-CA"/>
        </w:rPr>
        <w:t xml:space="preserve">Se </w:t>
      </w:r>
      <w:r w:rsidR="00D230FC" w:rsidRPr="004F1B77">
        <w:rPr>
          <w:i/>
          <w:snapToGrid w:val="0"/>
          <w:kern w:val="22"/>
          <w:szCs w:val="22"/>
          <w:lang w:val="fr-CA"/>
        </w:rPr>
        <w:t>réjouissant</w:t>
      </w:r>
      <w:r w:rsidRPr="004F1B77">
        <w:rPr>
          <w:i/>
          <w:snapToGrid w:val="0"/>
          <w:kern w:val="22"/>
          <w:szCs w:val="22"/>
          <w:lang w:val="fr-CA"/>
        </w:rPr>
        <w:t xml:space="preserve"> </w:t>
      </w:r>
      <w:r w:rsidRPr="004F1B77">
        <w:rPr>
          <w:iCs/>
          <w:snapToGrid w:val="0"/>
          <w:kern w:val="22"/>
          <w:szCs w:val="22"/>
          <w:lang w:val="fr-CA"/>
        </w:rPr>
        <w:t>de la participation et des contributions des programmes et des institutions spécialisées des Nations Unies, des autres accords et processus multilatéraux sur l'environnement, et des organisations intergouvernementales à l'élaboration du cadre mondial de la biodiversité pour l'après-2020,</w:t>
      </w:r>
    </w:p>
    <w:p w14:paraId="10D61E1C" w14:textId="3B04F759" w:rsidR="00E94DB9" w:rsidRPr="004F1B77" w:rsidRDefault="00E94DB9" w:rsidP="001B34FB">
      <w:pPr>
        <w:suppressLineNumbers/>
        <w:suppressAutoHyphens/>
        <w:kinsoku w:val="0"/>
        <w:overflowPunct w:val="0"/>
        <w:autoSpaceDE w:val="0"/>
        <w:autoSpaceDN w:val="0"/>
        <w:adjustRightInd w:val="0"/>
        <w:snapToGrid w:val="0"/>
        <w:spacing w:before="120" w:after="120"/>
        <w:ind w:firstLine="720"/>
        <w:rPr>
          <w:iCs/>
          <w:snapToGrid w:val="0"/>
          <w:kern w:val="22"/>
          <w:szCs w:val="22"/>
          <w:lang w:val="fr-CA"/>
        </w:rPr>
      </w:pPr>
      <w:r w:rsidRPr="004F1B77">
        <w:rPr>
          <w:i/>
          <w:iCs/>
          <w:snapToGrid w:val="0"/>
          <w:kern w:val="22"/>
          <w:szCs w:val="22"/>
          <w:lang w:val="fr-CA"/>
        </w:rPr>
        <w:t xml:space="preserve">Se </w:t>
      </w:r>
      <w:r w:rsidR="00D230FC" w:rsidRPr="004F1B77">
        <w:rPr>
          <w:i/>
          <w:iCs/>
          <w:snapToGrid w:val="0"/>
          <w:kern w:val="22"/>
          <w:szCs w:val="22"/>
          <w:lang w:val="fr-CA"/>
        </w:rPr>
        <w:t>réjouissant</w:t>
      </w:r>
      <w:r w:rsidRPr="004F1B77">
        <w:rPr>
          <w:i/>
          <w:iCs/>
          <w:snapToGrid w:val="0"/>
          <w:kern w:val="22"/>
          <w:szCs w:val="22"/>
          <w:lang w:val="fr-CA"/>
        </w:rPr>
        <w:t xml:space="preserve"> également</w:t>
      </w:r>
      <w:r w:rsidRPr="004F1B77">
        <w:rPr>
          <w:snapToGrid w:val="0"/>
          <w:kern w:val="22"/>
          <w:szCs w:val="22"/>
          <w:lang w:val="fr-CA"/>
        </w:rPr>
        <w:t xml:space="preserve"> de la participation et des contributions à l'élaboration du cadre mondial de la biodiversité pour l'après-2020 de représentants d'organisations non gouvernementales, de peuples autochtones et de communautés locales, de gouvernements infranationaux, de villes et d'autres autorités locales, de groupes de femmes, de groupes de jeunes, de la communauté des affaires et de la finance, de la communauté scientifique, du monde universitaire, d'organisations confessionnelles, de représentants de secteurs liés à la biodiversité ou en dépendant, entre autres</w:t>
      </w:r>
      <w:r w:rsidRPr="004F1B77">
        <w:rPr>
          <w:iCs/>
          <w:snapToGrid w:val="0"/>
          <w:kern w:val="22"/>
          <w:szCs w:val="22"/>
          <w:lang w:val="fr-CA"/>
        </w:rPr>
        <w:t>,</w:t>
      </w:r>
    </w:p>
    <w:p w14:paraId="014DCAC1" w14:textId="77777777" w:rsidR="00E94DB9" w:rsidRPr="004F1B77" w:rsidRDefault="00E94DB9" w:rsidP="00E94DB9">
      <w:pPr>
        <w:suppressLineNumbers/>
        <w:suppressAutoHyphens/>
        <w:kinsoku w:val="0"/>
        <w:overflowPunct w:val="0"/>
        <w:autoSpaceDE w:val="0"/>
        <w:autoSpaceDN w:val="0"/>
        <w:adjustRightInd w:val="0"/>
        <w:snapToGrid w:val="0"/>
        <w:spacing w:before="120" w:after="120"/>
        <w:ind w:firstLine="720"/>
        <w:rPr>
          <w:iCs/>
          <w:snapToGrid w:val="0"/>
          <w:kern w:val="22"/>
          <w:szCs w:val="22"/>
          <w:lang w:val="fr-CA"/>
        </w:rPr>
      </w:pPr>
      <w:r w:rsidRPr="004F1B77">
        <w:rPr>
          <w:i/>
          <w:iCs/>
          <w:snapToGrid w:val="0"/>
          <w:kern w:val="22"/>
          <w:szCs w:val="22"/>
          <w:lang w:val="fr-CA"/>
        </w:rPr>
        <w:t xml:space="preserve">Reconnaissant </w:t>
      </w:r>
      <w:r w:rsidRPr="004F1B77">
        <w:rPr>
          <w:snapToGrid w:val="0"/>
          <w:kern w:val="22"/>
          <w:szCs w:val="22"/>
          <w:lang w:val="fr-CA"/>
        </w:rPr>
        <w:t>le rôle important du cadre mondial de la biodiversité pour l'après-2020 pour aider à cibler les efforts de toutes les Parties, des gouvernements à tous les niveaux, des partenaires, des parties prenantes, des organisations et des conventions concernés afin de contribuer aux objectifs de la Convention, de favoriser la coopération entre elles, et les contributions essentielles qu'elles apporteront à sa mise en œuvre</w:t>
      </w:r>
      <w:r w:rsidRPr="004F1B77">
        <w:rPr>
          <w:iCs/>
          <w:snapToGrid w:val="0"/>
          <w:kern w:val="22"/>
          <w:szCs w:val="22"/>
          <w:lang w:val="fr-CA"/>
        </w:rPr>
        <w:t>,</w:t>
      </w:r>
    </w:p>
    <w:p w14:paraId="2067F288" w14:textId="459E7382" w:rsidR="00E94DB9" w:rsidRPr="004F1B77" w:rsidRDefault="00E94DB9" w:rsidP="00E94DB9">
      <w:pPr>
        <w:numPr>
          <w:ilvl w:val="0"/>
          <w:numId w:val="26"/>
        </w:numPr>
        <w:suppressLineNumbers/>
        <w:suppressAutoHyphens/>
        <w:kinsoku w:val="0"/>
        <w:overflowPunct w:val="0"/>
        <w:autoSpaceDE w:val="0"/>
        <w:autoSpaceDN w:val="0"/>
        <w:adjustRightInd w:val="0"/>
        <w:snapToGrid w:val="0"/>
        <w:spacing w:before="120" w:after="120"/>
        <w:ind w:left="0" w:firstLine="720"/>
        <w:rPr>
          <w:i/>
          <w:snapToGrid w:val="0"/>
          <w:kern w:val="22"/>
          <w:szCs w:val="22"/>
          <w:lang w:val="fr-CA"/>
        </w:rPr>
      </w:pPr>
      <w:r w:rsidRPr="004F1B77">
        <w:rPr>
          <w:i/>
          <w:snapToGrid w:val="0"/>
          <w:kern w:val="22"/>
          <w:szCs w:val="22"/>
          <w:lang w:val="fr-CA"/>
        </w:rPr>
        <w:t xml:space="preserve">Prend note </w:t>
      </w:r>
      <w:r w:rsidRPr="004F1B77">
        <w:rPr>
          <w:iCs/>
          <w:snapToGrid w:val="0"/>
          <w:kern w:val="22"/>
          <w:szCs w:val="22"/>
          <w:lang w:val="fr-CA"/>
        </w:rPr>
        <w:t xml:space="preserve">des recommandations du Groupe de travail </w:t>
      </w:r>
      <w:r w:rsidR="001B34FB">
        <w:rPr>
          <w:iCs/>
          <w:snapToGrid w:val="0"/>
          <w:kern w:val="22"/>
          <w:szCs w:val="22"/>
          <w:lang w:val="fr-CA"/>
        </w:rPr>
        <w:t xml:space="preserve">spécial à composition non limitée </w:t>
      </w:r>
      <w:r w:rsidRPr="004F1B77">
        <w:rPr>
          <w:iCs/>
          <w:snapToGrid w:val="0"/>
          <w:kern w:val="22"/>
          <w:szCs w:val="22"/>
          <w:lang w:val="fr-CA"/>
        </w:rPr>
        <w:t xml:space="preserve">sur l'article 8 j) et les dispositions connexes de la Convention, à sa onzième réunion, et de l'Organe subsidiaire chargé de fournir des avis scientifiques, techniques et technologiques, à sa vingt-troisième réunion, concernant les options relatives aux éléments de travail possibles visant à une intégration des questions liées </w:t>
      </w:r>
      <w:r w:rsidRPr="004F1B77">
        <w:rPr>
          <w:iCs/>
          <w:snapToGrid w:val="0"/>
          <w:kern w:val="22"/>
          <w:szCs w:val="22"/>
          <w:lang w:val="fr-CA"/>
        </w:rPr>
        <w:lastRenderedPageBreak/>
        <w:t>à la nature et à la culture dans le cadre mondial de la biodiversité pour l'après-2020</w:t>
      </w:r>
      <w:r w:rsidRPr="004F1B77">
        <w:rPr>
          <w:rStyle w:val="FootnoteReference"/>
          <w:rFonts w:eastAsiaTheme="majorEastAsia"/>
          <w:bCs/>
          <w:iCs/>
          <w:snapToGrid w:val="0"/>
          <w:kern w:val="22"/>
          <w:szCs w:val="22"/>
          <w:lang w:val="fr-CA"/>
        </w:rPr>
        <w:footnoteReference w:id="3"/>
      </w:r>
      <w:r w:rsidRPr="004F1B77">
        <w:rPr>
          <w:bCs/>
          <w:iCs/>
          <w:snapToGrid w:val="0"/>
          <w:kern w:val="22"/>
          <w:szCs w:val="22"/>
          <w:lang w:val="fr-CA"/>
        </w:rPr>
        <w:t xml:space="preserve">, et </w:t>
      </w:r>
      <w:r w:rsidRPr="004F1B77">
        <w:rPr>
          <w:bCs/>
          <w:i/>
          <w:iCs/>
          <w:snapToGrid w:val="0"/>
          <w:kern w:val="22"/>
          <w:szCs w:val="22"/>
          <w:lang w:val="fr-CA"/>
        </w:rPr>
        <w:t>prend note également</w:t>
      </w:r>
      <w:r w:rsidRPr="004F1B77">
        <w:rPr>
          <w:bCs/>
          <w:iCs/>
          <w:snapToGrid w:val="0"/>
          <w:kern w:val="22"/>
          <w:szCs w:val="22"/>
          <w:lang w:val="fr-CA"/>
        </w:rPr>
        <w:t xml:space="preserve"> de la proclamation de l’Assemblée générale des Nations Unies déclarant la période 2022-2032 comme Décennie internationale des langues autochtones</w:t>
      </w:r>
      <w:r w:rsidRPr="004F1B77">
        <w:rPr>
          <w:rStyle w:val="FootnoteReference"/>
          <w:bCs/>
          <w:iCs/>
          <w:snapToGrid w:val="0"/>
          <w:kern w:val="22"/>
          <w:szCs w:val="22"/>
          <w:lang w:val="fr-CA"/>
        </w:rPr>
        <w:footnoteReference w:id="4"/>
      </w:r>
      <w:r w:rsidRPr="004F1B77">
        <w:rPr>
          <w:bCs/>
          <w:iCs/>
          <w:snapToGrid w:val="0"/>
          <w:kern w:val="22"/>
          <w:szCs w:val="22"/>
          <w:lang w:val="fr-CA"/>
        </w:rPr>
        <w:t>;</w:t>
      </w:r>
    </w:p>
    <w:p w14:paraId="4ED00986" w14:textId="0A7B3498" w:rsidR="00E94DB9" w:rsidRPr="004F1B77" w:rsidRDefault="00027CA6" w:rsidP="00E94DB9">
      <w:pPr>
        <w:numPr>
          <w:ilvl w:val="0"/>
          <w:numId w:val="26"/>
        </w:numPr>
        <w:suppressLineNumbers/>
        <w:suppressAutoHyphens/>
        <w:kinsoku w:val="0"/>
        <w:overflowPunct w:val="0"/>
        <w:autoSpaceDE w:val="0"/>
        <w:autoSpaceDN w:val="0"/>
        <w:adjustRightInd w:val="0"/>
        <w:snapToGrid w:val="0"/>
        <w:spacing w:before="120" w:after="120"/>
        <w:ind w:left="0" w:firstLine="720"/>
        <w:rPr>
          <w:i/>
          <w:snapToGrid w:val="0"/>
          <w:kern w:val="22"/>
          <w:szCs w:val="22"/>
          <w:lang w:val="fr-CA"/>
        </w:rPr>
      </w:pPr>
      <w:r w:rsidRPr="004F1B77">
        <w:rPr>
          <w:i/>
          <w:snapToGrid w:val="0"/>
          <w:kern w:val="22"/>
          <w:szCs w:val="22"/>
          <w:lang w:val="fr-CA"/>
        </w:rPr>
        <w:t>Invite</w:t>
      </w:r>
      <w:r w:rsidR="00E94DB9" w:rsidRPr="004F1B77">
        <w:rPr>
          <w:i/>
          <w:snapToGrid w:val="0"/>
          <w:kern w:val="22"/>
          <w:szCs w:val="22"/>
          <w:lang w:val="fr-CA"/>
        </w:rPr>
        <w:t xml:space="preserve"> </w:t>
      </w:r>
      <w:r w:rsidR="00E94DB9" w:rsidRPr="004F1B77">
        <w:rPr>
          <w:iCs/>
          <w:snapToGrid w:val="0"/>
          <w:kern w:val="22"/>
          <w:szCs w:val="22"/>
          <w:lang w:val="fr-CA"/>
        </w:rPr>
        <w:t xml:space="preserve">les coprésidents du Groupe de travail à composition non limitée sur le cadre mondial de la biodiversité pour l'après-2020 et le Groupe de travail à composition non limitée de prendre en considération, dans la poursuite de l'élaboration du cadre mondial de la biodiversité pour l’après-2020, le rapport du deuxième atelier de consultation des conventions relatives à la biodiversité sur le cadre mondial de la biodiversité pour l’après-2020, contenu dans le document CBD/SBI/3/INF/29, et les conclusions de cet atelier figurant dans le document CBD/SBI/3/10, selon qu’il convient, ainsi que les communications transmises par les </w:t>
      </w:r>
      <w:r w:rsidRPr="004F1B77">
        <w:rPr>
          <w:iCs/>
          <w:snapToGrid w:val="0"/>
          <w:kern w:val="22"/>
          <w:szCs w:val="22"/>
          <w:lang w:val="fr-CA"/>
        </w:rPr>
        <w:t xml:space="preserve">organes directeurs des </w:t>
      </w:r>
      <w:r w:rsidR="00E94DB9" w:rsidRPr="004F1B77">
        <w:rPr>
          <w:iCs/>
          <w:snapToGrid w:val="0"/>
          <w:kern w:val="22"/>
          <w:szCs w:val="22"/>
          <w:lang w:val="fr-CA"/>
        </w:rPr>
        <w:t xml:space="preserve">accords multilatéraux sur l'environnement concernant leurs points de vue sur le cadre mondial de la biodiversité pour l’après-2020 et son cadre de suivi, </w:t>
      </w:r>
      <w:r w:rsidR="00E30DD7">
        <w:rPr>
          <w:iCs/>
          <w:snapToGrid w:val="0"/>
          <w:kern w:val="22"/>
          <w:szCs w:val="22"/>
          <w:lang w:val="fr-CA"/>
        </w:rPr>
        <w:t>qui</w:t>
      </w:r>
      <w:r w:rsidR="00E94DB9" w:rsidRPr="004F1B77">
        <w:rPr>
          <w:iCs/>
          <w:snapToGrid w:val="0"/>
          <w:kern w:val="22"/>
          <w:szCs w:val="22"/>
          <w:lang w:val="fr-CA"/>
        </w:rPr>
        <w:t xml:space="preserve"> </w:t>
      </w:r>
      <w:r w:rsidR="00D50D33">
        <w:rPr>
          <w:iCs/>
          <w:snapToGrid w:val="0"/>
          <w:kern w:val="22"/>
          <w:szCs w:val="22"/>
          <w:lang w:val="fr-CA"/>
        </w:rPr>
        <w:t>conviennent au</w:t>
      </w:r>
      <w:r w:rsidR="00E94DB9" w:rsidRPr="004F1B77">
        <w:rPr>
          <w:iCs/>
          <w:snapToGrid w:val="0"/>
          <w:kern w:val="22"/>
          <w:szCs w:val="22"/>
          <w:lang w:val="fr-CA"/>
        </w:rPr>
        <w:t xml:space="preserve"> mandat de la Convention sur la diversité biologique</w:t>
      </w:r>
      <w:r w:rsidR="00E94DB9" w:rsidRPr="004F1B77">
        <w:rPr>
          <w:bCs/>
          <w:iCs/>
          <w:snapToGrid w:val="0"/>
          <w:kern w:val="22"/>
          <w:szCs w:val="22"/>
          <w:lang w:val="fr-CA"/>
        </w:rPr>
        <w:t>;</w:t>
      </w:r>
    </w:p>
    <w:p w14:paraId="1E0A2EEA" w14:textId="70DFDC20" w:rsidR="00E94DB9" w:rsidRPr="004F1B77" w:rsidRDefault="00E94DB9" w:rsidP="00E94DB9">
      <w:pPr>
        <w:numPr>
          <w:ilvl w:val="0"/>
          <w:numId w:val="26"/>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CA"/>
        </w:rPr>
      </w:pPr>
      <w:r w:rsidRPr="004F1B77">
        <w:rPr>
          <w:i/>
          <w:snapToGrid w:val="0"/>
          <w:kern w:val="22"/>
          <w:szCs w:val="22"/>
          <w:lang w:val="fr-CA"/>
        </w:rPr>
        <w:t>Invite</w:t>
      </w:r>
      <w:r w:rsidR="00E30DD7">
        <w:rPr>
          <w:i/>
          <w:snapToGrid w:val="0"/>
          <w:kern w:val="22"/>
          <w:szCs w:val="22"/>
          <w:lang w:val="fr-CA"/>
        </w:rPr>
        <w:t xml:space="preserve"> également</w:t>
      </w:r>
      <w:r w:rsidRPr="004F1B77">
        <w:rPr>
          <w:i/>
          <w:snapToGrid w:val="0"/>
          <w:kern w:val="22"/>
          <w:szCs w:val="22"/>
          <w:lang w:val="fr-CA"/>
        </w:rPr>
        <w:t xml:space="preserve"> </w:t>
      </w:r>
      <w:r w:rsidRPr="004F1B77">
        <w:rPr>
          <w:snapToGrid w:val="0"/>
          <w:kern w:val="22"/>
          <w:szCs w:val="22"/>
          <w:lang w:val="fr-CA"/>
        </w:rPr>
        <w:t>les coprésidents du Groupe de travail à composition non limitée sur le cadre mondial de la biodiversité pour l’après-2020 et du Groupe de travail à composition non limitée à envisager des nouveaux domaines et approches éventuels pour renforcer la coopération, ainsi que des enseignements tirés, conformément au paragraphe 1 de la décision 14/30</w:t>
      </w:r>
      <w:r w:rsidR="00E30DD7">
        <w:rPr>
          <w:snapToGrid w:val="0"/>
          <w:kern w:val="22"/>
          <w:szCs w:val="22"/>
          <w:lang w:val="fr-CA"/>
        </w:rPr>
        <w:t>, lors de</w:t>
      </w:r>
      <w:r w:rsidR="00E30DD7" w:rsidRPr="004F1B77">
        <w:rPr>
          <w:snapToGrid w:val="0"/>
          <w:kern w:val="22"/>
          <w:szCs w:val="22"/>
          <w:lang w:val="fr-CA"/>
        </w:rPr>
        <w:t xml:space="preserve"> la poursuite de l’élaboration du cadre mondial de la biodiversité pour l’après-2020</w:t>
      </w:r>
      <w:r w:rsidR="00027FF2">
        <w:rPr>
          <w:snapToGrid w:val="0"/>
          <w:kern w:val="22"/>
          <w:szCs w:val="22"/>
          <w:lang w:val="fr-CA"/>
        </w:rPr>
        <w:t>;</w:t>
      </w:r>
      <w:bookmarkStart w:id="0" w:name="_GoBack"/>
      <w:bookmarkEnd w:id="0"/>
      <w:r w:rsidR="00E30DD7" w:rsidRPr="004F1B77">
        <w:rPr>
          <w:snapToGrid w:val="0"/>
          <w:kern w:val="22"/>
          <w:szCs w:val="22"/>
          <w:lang w:val="fr-CA"/>
        </w:rPr>
        <w:t xml:space="preserve"> </w:t>
      </w:r>
    </w:p>
    <w:p w14:paraId="07B67EE8" w14:textId="2AC5D2DB" w:rsidR="00E94DB9" w:rsidRPr="004F1B77" w:rsidRDefault="00E94DB9" w:rsidP="00E94DB9">
      <w:pPr>
        <w:numPr>
          <w:ilvl w:val="0"/>
          <w:numId w:val="26"/>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CA"/>
        </w:rPr>
      </w:pPr>
      <w:r w:rsidRPr="004F1B77">
        <w:rPr>
          <w:i/>
          <w:snapToGrid w:val="0"/>
          <w:kern w:val="22"/>
          <w:szCs w:val="22"/>
          <w:lang w:val="fr-CA"/>
        </w:rPr>
        <w:t xml:space="preserve">Invite </w:t>
      </w:r>
      <w:r w:rsidR="00E30DD7">
        <w:rPr>
          <w:i/>
          <w:snapToGrid w:val="0"/>
          <w:kern w:val="22"/>
          <w:szCs w:val="22"/>
          <w:lang w:val="fr-CA"/>
        </w:rPr>
        <w:t>en outre</w:t>
      </w:r>
      <w:r w:rsidRPr="004F1B77">
        <w:rPr>
          <w:i/>
          <w:snapToGrid w:val="0"/>
          <w:kern w:val="22"/>
          <w:szCs w:val="22"/>
          <w:lang w:val="fr-CA"/>
        </w:rPr>
        <w:t xml:space="preserve"> </w:t>
      </w:r>
      <w:r w:rsidRPr="004F1B77">
        <w:rPr>
          <w:iCs/>
          <w:snapToGrid w:val="0"/>
          <w:kern w:val="22"/>
          <w:szCs w:val="22"/>
          <w:lang w:val="fr-CA"/>
        </w:rPr>
        <w:t xml:space="preserve">les coprésidents du Groupe de travail à composition non limitée sur le cadre mondial de la biodiversité pour l'après-2020 et du Groupe de travail à composition non limitée à prendre en considération, dans la poursuite de l'élaboration du cadre mondial de la biodiversité pour l’après-2020, les recommandations du Groupe de travail </w:t>
      </w:r>
      <w:r w:rsidR="00E30DD7">
        <w:rPr>
          <w:iCs/>
          <w:snapToGrid w:val="0"/>
          <w:kern w:val="22"/>
          <w:szCs w:val="22"/>
          <w:lang w:val="fr-CA"/>
        </w:rPr>
        <w:t xml:space="preserve">spécial à composition non limitée </w:t>
      </w:r>
      <w:r w:rsidRPr="004F1B77">
        <w:rPr>
          <w:iCs/>
          <w:snapToGrid w:val="0"/>
          <w:kern w:val="22"/>
          <w:szCs w:val="22"/>
          <w:lang w:val="fr-CA"/>
        </w:rPr>
        <w:t>sur l'article 8 j) et les dispositions connexes de la Convention, à sa onzième réunion, et de l'Organe subsidiaire chargé de fournir des avis scientifiques, techniques et technologiques, à sa vingt-troisième réunion, concernant les options relatives à d'éventuels éléments de travail visant à intégrer la nature et la culture dans le cadre mondial de la biodiversité pour l'après-2020</w:t>
      </w:r>
      <w:r w:rsidR="004B6C2D">
        <w:rPr>
          <w:iCs/>
          <w:snapToGrid w:val="0"/>
          <w:kern w:val="22"/>
          <w:szCs w:val="22"/>
          <w:lang w:val="fr-CA"/>
        </w:rPr>
        <w:t>;</w:t>
      </w:r>
      <w:r w:rsidR="004B6C2D">
        <w:rPr>
          <w:rStyle w:val="FootnoteReference"/>
          <w:rFonts w:asciiTheme="majorBidi" w:hAnsiTheme="majorBidi" w:cstheme="majorBidi"/>
          <w:bCs/>
          <w:iCs/>
          <w:snapToGrid w:val="0"/>
          <w:kern w:val="22"/>
          <w:szCs w:val="22"/>
        </w:rPr>
        <w:footnoteReference w:id="5"/>
      </w:r>
    </w:p>
    <w:p w14:paraId="7F2F5116" w14:textId="77777777" w:rsidR="00E94DB9" w:rsidRPr="004F1B77" w:rsidRDefault="00E94DB9" w:rsidP="00E94DB9">
      <w:pPr>
        <w:numPr>
          <w:ilvl w:val="0"/>
          <w:numId w:val="26"/>
        </w:numPr>
        <w:suppressLineNumbers/>
        <w:suppressAutoHyphens/>
        <w:kinsoku w:val="0"/>
        <w:overflowPunct w:val="0"/>
        <w:autoSpaceDE w:val="0"/>
        <w:autoSpaceDN w:val="0"/>
        <w:adjustRightInd w:val="0"/>
        <w:snapToGrid w:val="0"/>
        <w:spacing w:before="120" w:after="120"/>
        <w:ind w:left="0" w:firstLine="720"/>
        <w:rPr>
          <w:i/>
          <w:iCs/>
          <w:snapToGrid w:val="0"/>
          <w:kern w:val="22"/>
          <w:szCs w:val="22"/>
          <w:lang w:val="fr-CA"/>
        </w:rPr>
      </w:pPr>
      <w:r w:rsidRPr="004F1B77">
        <w:rPr>
          <w:i/>
          <w:snapToGrid w:val="0"/>
          <w:kern w:val="22"/>
          <w:szCs w:val="22"/>
          <w:lang w:val="fr-CA"/>
        </w:rPr>
        <w:t xml:space="preserve">Recommande </w:t>
      </w:r>
      <w:r w:rsidRPr="004F1B77">
        <w:rPr>
          <w:iCs/>
          <w:snapToGrid w:val="0"/>
          <w:kern w:val="22"/>
          <w:szCs w:val="22"/>
          <w:lang w:val="fr-CA"/>
        </w:rPr>
        <w:t>que la Conférence des Parties adopte, à sa quinzième réunion, une décision libellée comme suit :</w:t>
      </w:r>
    </w:p>
    <w:p w14:paraId="5546ABC8" w14:textId="77777777" w:rsidR="00E94DB9" w:rsidRPr="004F1B77" w:rsidRDefault="00E94DB9" w:rsidP="00E94DB9">
      <w:pPr>
        <w:suppressLineNumbers/>
        <w:tabs>
          <w:tab w:val="left" w:pos="4620"/>
        </w:tabs>
        <w:suppressAutoHyphens/>
        <w:kinsoku w:val="0"/>
        <w:overflowPunct w:val="0"/>
        <w:autoSpaceDE w:val="0"/>
        <w:autoSpaceDN w:val="0"/>
        <w:adjustRightInd w:val="0"/>
        <w:snapToGrid w:val="0"/>
        <w:spacing w:before="120" w:after="120"/>
        <w:ind w:left="720" w:firstLine="720"/>
        <w:rPr>
          <w:i/>
          <w:iCs/>
          <w:snapToGrid w:val="0"/>
          <w:kern w:val="22"/>
          <w:szCs w:val="22"/>
          <w:lang w:val="fr-CA"/>
        </w:rPr>
      </w:pPr>
      <w:r w:rsidRPr="004F1B77">
        <w:rPr>
          <w:i/>
          <w:iCs/>
          <w:snapToGrid w:val="0"/>
          <w:kern w:val="22"/>
          <w:szCs w:val="22"/>
          <w:lang w:val="fr-CA"/>
        </w:rPr>
        <w:t>La Conférence des Parties</w:t>
      </w:r>
      <w:r w:rsidRPr="004F1B77">
        <w:rPr>
          <w:snapToGrid w:val="0"/>
          <w:kern w:val="22"/>
          <w:szCs w:val="22"/>
          <w:lang w:val="fr-CA"/>
        </w:rPr>
        <w:t>,</w:t>
      </w:r>
      <w:r w:rsidRPr="004F1B77">
        <w:rPr>
          <w:snapToGrid w:val="0"/>
          <w:kern w:val="22"/>
          <w:szCs w:val="22"/>
          <w:lang w:val="fr-CA"/>
        </w:rPr>
        <w:tab/>
      </w:r>
    </w:p>
    <w:p w14:paraId="1338FBFD" w14:textId="77777777"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iCs/>
          <w:snapToGrid w:val="0"/>
          <w:kern w:val="22"/>
          <w:szCs w:val="22"/>
          <w:lang w:val="fr-CA"/>
        </w:rPr>
      </w:pPr>
      <w:r w:rsidRPr="004F1B77">
        <w:rPr>
          <w:i/>
          <w:snapToGrid w:val="0"/>
          <w:kern w:val="22"/>
          <w:szCs w:val="22"/>
          <w:lang w:val="fr-CA"/>
        </w:rPr>
        <w:t xml:space="preserve">Rappelant </w:t>
      </w:r>
      <w:r w:rsidRPr="004F1B77">
        <w:rPr>
          <w:iCs/>
          <w:snapToGrid w:val="0"/>
          <w:kern w:val="22"/>
          <w:szCs w:val="22"/>
          <w:lang w:val="fr-CA"/>
        </w:rPr>
        <w:t>les décisions XIII/24 et 14/30,</w:t>
      </w:r>
    </w:p>
    <w:p w14:paraId="63454EBF" w14:textId="4E5ECCFF" w:rsidR="00AD7F0C" w:rsidRPr="004F1B77" w:rsidRDefault="00AD7F0C" w:rsidP="00E94DB9">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CA"/>
        </w:rPr>
      </w:pPr>
      <w:r w:rsidRPr="004F1B77">
        <w:rPr>
          <w:i/>
          <w:snapToGrid w:val="0"/>
          <w:kern w:val="22"/>
          <w:szCs w:val="22"/>
          <w:lang w:val="fr-CA"/>
        </w:rPr>
        <w:t xml:space="preserve">[Reconnaissant </w:t>
      </w:r>
      <w:r w:rsidRPr="004F1B77">
        <w:rPr>
          <w:iCs/>
          <w:snapToGrid w:val="0"/>
          <w:kern w:val="22"/>
          <w:szCs w:val="22"/>
          <w:lang w:val="fr-CA"/>
        </w:rPr>
        <w:t>rôle critique que jouent les mesures de conservation et d’utilisation durable de la diversité biologique, notamment la restauratio</w:t>
      </w:r>
      <w:r w:rsidR="00725E37">
        <w:rPr>
          <w:iCs/>
          <w:snapToGrid w:val="0"/>
          <w:kern w:val="22"/>
          <w:szCs w:val="22"/>
          <w:lang w:val="fr-CA"/>
        </w:rPr>
        <w:t xml:space="preserve">n, pour traiter des nombreuses </w:t>
      </w:r>
      <w:r w:rsidRPr="004F1B77">
        <w:rPr>
          <w:iCs/>
          <w:snapToGrid w:val="0"/>
          <w:kern w:val="22"/>
          <w:szCs w:val="22"/>
          <w:lang w:val="fr-CA"/>
        </w:rPr>
        <w:t>crises mondiales, dont l’appauvrissement de la diversité biologique, les changements climatiques et la pollution,]</w:t>
      </w:r>
    </w:p>
    <w:p w14:paraId="0C27D4B5" w14:textId="77777777"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iCs/>
          <w:snapToGrid w:val="0"/>
          <w:kern w:val="22"/>
          <w:szCs w:val="22"/>
          <w:lang w:val="fr-CA"/>
        </w:rPr>
      </w:pPr>
      <w:r w:rsidRPr="004F1B77">
        <w:rPr>
          <w:i/>
          <w:snapToGrid w:val="0"/>
          <w:kern w:val="22"/>
          <w:szCs w:val="22"/>
          <w:lang w:val="fr-CA"/>
        </w:rPr>
        <w:t xml:space="preserve">Reconnaissant </w:t>
      </w:r>
      <w:r w:rsidRPr="004F1B77">
        <w:rPr>
          <w:snapToGrid w:val="0"/>
          <w:kern w:val="22"/>
          <w:szCs w:val="22"/>
          <w:lang w:val="fr-CA"/>
        </w:rPr>
        <w:t xml:space="preserve">la nature indépendante des mandats des conventions relatives à la biodiversité, des autres accords multilatéraux sur l’environnement et des organisations internationales, </w:t>
      </w:r>
      <w:r w:rsidRPr="00725E37">
        <w:rPr>
          <w:snapToGrid w:val="0"/>
          <w:kern w:val="22"/>
          <w:szCs w:val="22"/>
          <w:lang w:val="fr-CA"/>
        </w:rPr>
        <w:t>soulignant</w:t>
      </w:r>
      <w:r w:rsidRPr="004F1B77">
        <w:rPr>
          <w:snapToGrid w:val="0"/>
          <w:kern w:val="22"/>
          <w:szCs w:val="22"/>
          <w:lang w:val="fr-CA"/>
        </w:rPr>
        <w:t xml:space="preserve"> la nécessité de respecter pleinement leurs mandats respectifs, et </w:t>
      </w:r>
      <w:r w:rsidRPr="00725E37">
        <w:rPr>
          <w:snapToGrid w:val="0"/>
          <w:kern w:val="22"/>
          <w:szCs w:val="22"/>
          <w:lang w:val="fr-CA"/>
        </w:rPr>
        <w:t>réaffirmant</w:t>
      </w:r>
      <w:r w:rsidRPr="004F1B77">
        <w:rPr>
          <w:snapToGrid w:val="0"/>
          <w:kern w:val="22"/>
          <w:szCs w:val="22"/>
          <w:lang w:val="fr-CA"/>
        </w:rPr>
        <w:t xml:space="preserve"> que des synergies dans leur application aux niveaux mondial, régional et national devraient être favorisées au niveau des pays, conformément aux priorités énoncées dans chaque instrument et selon les circonstances, les capacités et les priorités nationales,</w:t>
      </w:r>
    </w:p>
    <w:p w14:paraId="6F17D547" w14:textId="77777777"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iCs/>
          <w:snapToGrid w:val="0"/>
          <w:kern w:val="22"/>
          <w:szCs w:val="22"/>
          <w:lang w:val="fr-CA"/>
        </w:rPr>
      </w:pPr>
      <w:r w:rsidRPr="004F1B77">
        <w:rPr>
          <w:i/>
          <w:snapToGrid w:val="0"/>
          <w:kern w:val="22"/>
          <w:szCs w:val="22"/>
          <w:lang w:val="fr-CA"/>
        </w:rPr>
        <w:t xml:space="preserve">Réaffirmant </w:t>
      </w:r>
      <w:r w:rsidRPr="004F1B77">
        <w:rPr>
          <w:iCs/>
          <w:snapToGrid w:val="0"/>
          <w:kern w:val="22"/>
          <w:szCs w:val="22"/>
          <w:lang w:val="fr-CA"/>
        </w:rPr>
        <w:t xml:space="preserve">combien il importe de renforcer la coopération dans la mise en œuvre de la Convention sur la diversité biologique et de ses Protocoles, et d'autres accords et initiatives multilatéraux sur l'environnement, comme par exemple les conventions et accords relatifs à la biodiversité, les conventions relatives aux substances chimiques et aux déchets, et les conventions </w:t>
      </w:r>
      <w:r w:rsidRPr="004F1B77">
        <w:rPr>
          <w:iCs/>
          <w:snapToGrid w:val="0"/>
          <w:kern w:val="22"/>
          <w:szCs w:val="22"/>
          <w:lang w:val="fr-CA"/>
        </w:rPr>
        <w:lastRenderedPageBreak/>
        <w:t>de Rio, aux niveaux mondial, régional, infrarégional, national et infranational, d’une manière conforme à leurs mandats respectifs,</w:t>
      </w:r>
    </w:p>
    <w:p w14:paraId="005E0779" w14:textId="6B6E52B8"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iCs/>
          <w:snapToGrid w:val="0"/>
          <w:kern w:val="22"/>
          <w:szCs w:val="22"/>
          <w:lang w:val="fr-CA"/>
        </w:rPr>
      </w:pPr>
      <w:r w:rsidRPr="004F1B77">
        <w:rPr>
          <w:i/>
          <w:snapToGrid w:val="0"/>
          <w:kern w:val="22"/>
          <w:szCs w:val="22"/>
          <w:lang w:val="fr-CA"/>
        </w:rPr>
        <w:t xml:space="preserve">Soulignant </w:t>
      </w:r>
      <w:r w:rsidRPr="004F1B77">
        <w:rPr>
          <w:iCs/>
          <w:snapToGrid w:val="0"/>
          <w:kern w:val="22"/>
          <w:szCs w:val="22"/>
          <w:lang w:val="fr-CA"/>
        </w:rPr>
        <w:t>l'importance de la coopération entre toutes les conventions, organisations et initiatives pertinentes pour atteindre les trois objectifs de la Convention et pour mettre en œuvre et assurer un suivi des progrès accomplis dans la mise en œuvre du cadre mondial de la biodiversité pour l'après-2020 d’une manière prompte et effective, afin d’atteindre ses cibles et ses objectifs</w:t>
      </w:r>
      <w:r w:rsidR="008D3914" w:rsidRPr="004F1B77">
        <w:rPr>
          <w:iCs/>
          <w:snapToGrid w:val="0"/>
          <w:kern w:val="22"/>
          <w:szCs w:val="22"/>
          <w:lang w:val="fr-CA"/>
        </w:rPr>
        <w:t>,</w:t>
      </w:r>
      <w:r w:rsidR="00AD7F0C" w:rsidRPr="004F1B77">
        <w:rPr>
          <w:iCs/>
          <w:snapToGrid w:val="0"/>
          <w:kern w:val="22"/>
          <w:szCs w:val="22"/>
          <w:lang w:val="fr-CA"/>
        </w:rPr>
        <w:t xml:space="preserve"> et sa mission de 2030,</w:t>
      </w:r>
      <w:r w:rsidRPr="004F1B77">
        <w:rPr>
          <w:iCs/>
          <w:snapToGrid w:val="0"/>
          <w:kern w:val="22"/>
          <w:szCs w:val="22"/>
          <w:lang w:val="fr-CA"/>
        </w:rPr>
        <w:t xml:space="preserve"> et de réaliser la Vision 2050 pour la biodiversité,</w:t>
      </w:r>
    </w:p>
    <w:p w14:paraId="3251580B" w14:textId="77777777"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iCs/>
          <w:snapToGrid w:val="0"/>
          <w:kern w:val="22"/>
          <w:szCs w:val="22"/>
          <w:lang w:val="fr-CA"/>
        </w:rPr>
      </w:pPr>
      <w:r w:rsidRPr="004F1B77">
        <w:rPr>
          <w:i/>
          <w:iCs/>
          <w:snapToGrid w:val="0"/>
          <w:kern w:val="22"/>
          <w:szCs w:val="22"/>
          <w:lang w:val="fr-CA"/>
        </w:rPr>
        <w:t xml:space="preserve">Prenant note </w:t>
      </w:r>
      <w:r w:rsidRPr="004F1B77">
        <w:rPr>
          <w:snapToGrid w:val="0"/>
          <w:kern w:val="22"/>
          <w:szCs w:val="22"/>
          <w:lang w:val="fr-CA"/>
        </w:rPr>
        <w:t>des travaux menés par le Groupe de la gestion de l'environnement des Nations Unies et le Conseil des chefs de secrétariat des organismes des Nations Unies pour la coordination afin de faciliter la prise en compte de la biodiversité et du cadre mondial de la biodiversité pour l'après-2020 à l'échelle du système</w:t>
      </w:r>
      <w:r w:rsidRPr="004F1B77">
        <w:rPr>
          <w:iCs/>
          <w:snapToGrid w:val="0"/>
          <w:kern w:val="22"/>
          <w:szCs w:val="22"/>
          <w:lang w:val="fr-CA"/>
        </w:rPr>
        <w:t>,</w:t>
      </w:r>
    </w:p>
    <w:p w14:paraId="75AB627B" w14:textId="77777777"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iCs/>
          <w:snapToGrid w:val="0"/>
          <w:kern w:val="22"/>
          <w:szCs w:val="22"/>
          <w:lang w:val="fr-CA"/>
        </w:rPr>
      </w:pPr>
      <w:r w:rsidRPr="004F1B77">
        <w:rPr>
          <w:i/>
          <w:iCs/>
          <w:snapToGrid w:val="0"/>
          <w:kern w:val="22"/>
          <w:szCs w:val="22"/>
          <w:lang w:val="fr-CA"/>
        </w:rPr>
        <w:t xml:space="preserve">Accueillant avec satisfaction </w:t>
      </w:r>
      <w:r w:rsidRPr="004F1B77">
        <w:rPr>
          <w:iCs/>
          <w:snapToGrid w:val="0"/>
          <w:kern w:val="22"/>
          <w:szCs w:val="22"/>
          <w:lang w:val="fr-CA"/>
        </w:rPr>
        <w:t xml:space="preserve">le soutien apporté par le Gouvernement suisse à l’organisation des ateliers de consultation des conventions relatives à la biodiversité sur le cadre mondial de la biodiversité pour l’après-2020 (Berne I et II) </w:t>
      </w:r>
      <w:r w:rsidRPr="00725E37">
        <w:rPr>
          <w:iCs/>
          <w:snapToGrid w:val="0"/>
          <w:kern w:val="22"/>
          <w:szCs w:val="22"/>
          <w:lang w:val="fr-CA"/>
        </w:rPr>
        <w:t>et se félicitant</w:t>
      </w:r>
      <w:r w:rsidRPr="004F1B77">
        <w:rPr>
          <w:iCs/>
          <w:snapToGrid w:val="0"/>
          <w:kern w:val="22"/>
          <w:szCs w:val="22"/>
          <w:lang w:val="fr-CA"/>
        </w:rPr>
        <w:t xml:space="preserve"> des rapports de ces deux ateliers,</w:t>
      </w:r>
    </w:p>
    <w:p w14:paraId="4AEDF1A8" w14:textId="77777777" w:rsidR="00E94DB9" w:rsidRPr="004F1B77" w:rsidRDefault="00E94DB9" w:rsidP="00E94DB9">
      <w:pPr>
        <w:suppressLineNumbers/>
        <w:tabs>
          <w:tab w:val="left" w:pos="9214"/>
        </w:tabs>
        <w:suppressAutoHyphens/>
        <w:kinsoku w:val="0"/>
        <w:overflowPunct w:val="0"/>
        <w:autoSpaceDE w:val="0"/>
        <w:autoSpaceDN w:val="0"/>
        <w:adjustRightInd w:val="0"/>
        <w:snapToGrid w:val="0"/>
        <w:spacing w:before="120" w:after="120"/>
        <w:ind w:left="720" w:firstLine="720"/>
        <w:rPr>
          <w:iCs/>
          <w:snapToGrid w:val="0"/>
          <w:kern w:val="22"/>
          <w:szCs w:val="22"/>
          <w:lang w:val="fr-CA"/>
        </w:rPr>
      </w:pPr>
      <w:r w:rsidRPr="004F1B77">
        <w:rPr>
          <w:i/>
          <w:snapToGrid w:val="0"/>
          <w:kern w:val="22"/>
          <w:szCs w:val="22"/>
          <w:lang w:val="fr-CA"/>
        </w:rPr>
        <w:t xml:space="preserve">Accueillant avec satisfaction également </w:t>
      </w:r>
      <w:r w:rsidRPr="004F1B77">
        <w:rPr>
          <w:iCs/>
          <w:snapToGrid w:val="0"/>
          <w:kern w:val="22"/>
          <w:szCs w:val="22"/>
          <w:lang w:val="fr-CA"/>
        </w:rPr>
        <w:t>le soutien apporté par le Programme des Nations Unies pour l'environnement à la mise en œuvre des décisions XIII/24 et 14/30 en ce qui concerne le renforcement des synergies entre les conventions relatives à la biodiversité, notamment en organisant l’atelier de Berne II,</w:t>
      </w:r>
    </w:p>
    <w:p w14:paraId="255CA64E" w14:textId="77777777" w:rsidR="00E94DB9" w:rsidRPr="004F1B77" w:rsidRDefault="00E94DB9" w:rsidP="00E94DB9">
      <w:pPr>
        <w:suppressLineNumbers/>
        <w:tabs>
          <w:tab w:val="left" w:pos="9214"/>
        </w:tabs>
        <w:suppressAutoHyphens/>
        <w:kinsoku w:val="0"/>
        <w:overflowPunct w:val="0"/>
        <w:autoSpaceDE w:val="0"/>
        <w:autoSpaceDN w:val="0"/>
        <w:adjustRightInd w:val="0"/>
        <w:snapToGrid w:val="0"/>
        <w:spacing w:before="120" w:after="120"/>
        <w:ind w:left="720" w:firstLine="720"/>
        <w:rPr>
          <w:snapToGrid w:val="0"/>
          <w:kern w:val="22"/>
          <w:szCs w:val="22"/>
          <w:lang w:val="fr-CA"/>
        </w:rPr>
      </w:pPr>
      <w:r w:rsidRPr="004F1B77">
        <w:rPr>
          <w:i/>
          <w:snapToGrid w:val="0"/>
          <w:kern w:val="22"/>
          <w:szCs w:val="22"/>
          <w:lang w:val="fr-CA"/>
        </w:rPr>
        <w:t xml:space="preserve">Se félicitant en outre </w:t>
      </w:r>
      <w:r w:rsidRPr="004F1B77">
        <w:rPr>
          <w:snapToGrid w:val="0"/>
          <w:kern w:val="22"/>
          <w:szCs w:val="22"/>
          <w:lang w:val="fr-CA"/>
        </w:rPr>
        <w:t>des contributions des autres conventions relatives à la biodiversité, des accords multilatéraux et des organisations et processus internationaux à la préparation du cadre mondial de la biodiversité pour l’après-2020, notamment par leur participation active au « processus de Berne »,</w:t>
      </w:r>
    </w:p>
    <w:p w14:paraId="6E64C3DE" w14:textId="77777777" w:rsidR="00E94DB9" w:rsidRPr="004F1B77" w:rsidRDefault="00E94DB9" w:rsidP="00E94DB9">
      <w:pPr>
        <w:suppressLineNumbers/>
        <w:tabs>
          <w:tab w:val="left" w:pos="9214"/>
        </w:tabs>
        <w:suppressAutoHyphens/>
        <w:kinsoku w:val="0"/>
        <w:overflowPunct w:val="0"/>
        <w:autoSpaceDE w:val="0"/>
        <w:autoSpaceDN w:val="0"/>
        <w:adjustRightInd w:val="0"/>
        <w:snapToGrid w:val="0"/>
        <w:spacing w:before="120" w:after="120"/>
        <w:ind w:left="720" w:firstLine="720"/>
        <w:rPr>
          <w:iCs/>
          <w:snapToGrid w:val="0"/>
          <w:kern w:val="22"/>
          <w:szCs w:val="22"/>
          <w:lang w:val="fr-CA"/>
        </w:rPr>
      </w:pPr>
      <w:r w:rsidRPr="004F1B77">
        <w:rPr>
          <w:i/>
          <w:snapToGrid w:val="0"/>
          <w:kern w:val="22"/>
          <w:szCs w:val="22"/>
          <w:lang w:val="fr-CA"/>
        </w:rPr>
        <w:t xml:space="preserve">Reconnaissant </w:t>
      </w:r>
      <w:r w:rsidRPr="004F1B77">
        <w:rPr>
          <w:snapToGrid w:val="0"/>
          <w:kern w:val="22"/>
          <w:szCs w:val="22"/>
          <w:lang w:val="fr-CA"/>
        </w:rPr>
        <w:t>que les accords multilatéraux sur l’environnement concernés ont des contributions particulières à faire dans la mise en œuvre des éléments du cadre mondial de la biodiversité pour l’après-2020, conformément à leurs mandats,</w:t>
      </w:r>
    </w:p>
    <w:p w14:paraId="2ABB0B12" w14:textId="77777777"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iCs/>
          <w:snapToGrid w:val="0"/>
          <w:kern w:val="22"/>
          <w:szCs w:val="22"/>
          <w:lang w:val="fr-CA"/>
        </w:rPr>
      </w:pPr>
      <w:r w:rsidRPr="004F1B77">
        <w:rPr>
          <w:i/>
          <w:iCs/>
          <w:snapToGrid w:val="0"/>
          <w:kern w:val="22"/>
          <w:szCs w:val="22"/>
          <w:lang w:val="fr-CA"/>
        </w:rPr>
        <w:t xml:space="preserve">Se félicitant </w:t>
      </w:r>
      <w:r w:rsidRPr="004F1B77">
        <w:rPr>
          <w:snapToGrid w:val="0"/>
          <w:kern w:val="22"/>
          <w:szCs w:val="22"/>
          <w:lang w:val="fr-CA"/>
        </w:rPr>
        <w:t>des travaux menés par d'autres organisations pour donner suite aux éléments de la décision 14/30, notamment l'Organisation des Nations Unies pour l'alimentation et l'agriculture, l'Organisation des Nations Unies pour l'éducation, la science et la culture, l'Organisation internationale des bois tropicaux</w:t>
      </w:r>
      <w:r w:rsidRPr="004F1B77">
        <w:rPr>
          <w:iCs/>
          <w:snapToGrid w:val="0"/>
          <w:kern w:val="22"/>
          <w:szCs w:val="22"/>
          <w:lang w:val="fr-CA"/>
        </w:rPr>
        <w:t xml:space="preserve"> et l’Organisation mondiale de la santé,</w:t>
      </w:r>
    </w:p>
    <w:p w14:paraId="54683586" w14:textId="70AFB2AE" w:rsidR="00104150" w:rsidRPr="004F1B77" w:rsidRDefault="00104150" w:rsidP="00E94DB9">
      <w:pPr>
        <w:suppressLineNumbers/>
        <w:suppressAutoHyphens/>
        <w:kinsoku w:val="0"/>
        <w:overflowPunct w:val="0"/>
        <w:autoSpaceDE w:val="0"/>
        <w:autoSpaceDN w:val="0"/>
        <w:adjustRightInd w:val="0"/>
        <w:snapToGrid w:val="0"/>
        <w:spacing w:before="120" w:after="120"/>
        <w:ind w:left="720" w:firstLine="720"/>
        <w:rPr>
          <w:iCs/>
          <w:snapToGrid w:val="0"/>
          <w:kern w:val="22"/>
          <w:szCs w:val="22"/>
          <w:lang w:val="fr-CA"/>
        </w:rPr>
      </w:pPr>
      <w:r w:rsidRPr="004F1B77">
        <w:rPr>
          <w:i/>
          <w:iCs/>
          <w:snapToGrid w:val="0"/>
          <w:kern w:val="22"/>
          <w:szCs w:val="22"/>
          <w:lang w:val="fr-CA"/>
        </w:rPr>
        <w:t>Se réjouissant</w:t>
      </w:r>
      <w:r w:rsidRPr="004F1B77">
        <w:rPr>
          <w:iCs/>
          <w:snapToGrid w:val="0"/>
          <w:kern w:val="22"/>
          <w:szCs w:val="22"/>
          <w:lang w:val="fr-CA"/>
        </w:rPr>
        <w:t xml:space="preserve"> des travaux entrepris par le Partenariat mondial pour la conservation des plantes afin de promouvoir la conservation des plantes et de contribuer à la Vision de 2050 pour la diversité biologique, comme décrit dans la cinquième édition des </w:t>
      </w:r>
      <w:r w:rsidRPr="004F1B77">
        <w:rPr>
          <w:i/>
          <w:iCs/>
          <w:snapToGrid w:val="0"/>
          <w:kern w:val="22"/>
          <w:szCs w:val="22"/>
          <w:lang w:val="fr-CA"/>
        </w:rPr>
        <w:t>Perspectives mondiales de la diversité biologique</w:t>
      </w:r>
      <w:r w:rsidRPr="004F1B77">
        <w:rPr>
          <w:iCs/>
          <w:snapToGrid w:val="0"/>
          <w:kern w:val="22"/>
          <w:szCs w:val="22"/>
          <w:lang w:val="fr-CA"/>
        </w:rPr>
        <w:t xml:space="preserve"> et </w:t>
      </w:r>
      <w:r w:rsidR="008D3914" w:rsidRPr="004F1B77">
        <w:rPr>
          <w:iCs/>
          <w:snapToGrid w:val="0"/>
          <w:kern w:val="22"/>
          <w:szCs w:val="22"/>
          <w:lang w:val="fr-CA"/>
        </w:rPr>
        <w:t xml:space="preserve">dans </w:t>
      </w:r>
      <w:r w:rsidRPr="004F1B77">
        <w:rPr>
          <w:iCs/>
          <w:snapToGrid w:val="0"/>
          <w:kern w:val="22"/>
          <w:szCs w:val="22"/>
          <w:lang w:val="fr-CA"/>
        </w:rPr>
        <w:t xml:space="preserve">le rapport sur la </w:t>
      </w:r>
      <w:r w:rsidR="00CA355F" w:rsidRPr="004F1B77">
        <w:rPr>
          <w:iCs/>
          <w:snapToGrid w:val="0"/>
          <w:kern w:val="22"/>
          <w:szCs w:val="22"/>
          <w:lang w:val="fr-CA"/>
        </w:rPr>
        <w:t>c</w:t>
      </w:r>
      <w:r w:rsidRPr="004F1B77">
        <w:rPr>
          <w:iCs/>
          <w:snapToGrid w:val="0"/>
          <w:kern w:val="22"/>
          <w:szCs w:val="22"/>
          <w:lang w:val="fr-CA"/>
        </w:rPr>
        <w:t>onservation des plantes 2020</w:t>
      </w:r>
      <w:r w:rsidR="00CA355F" w:rsidRPr="004F1B77">
        <w:rPr>
          <w:iCs/>
          <w:snapToGrid w:val="0"/>
          <w:kern w:val="22"/>
          <w:szCs w:val="22"/>
          <w:lang w:val="fr-CA"/>
        </w:rPr>
        <w:t>,</w:t>
      </w:r>
    </w:p>
    <w:p w14:paraId="5C6B328A" w14:textId="30175184" w:rsidR="00CA355F" w:rsidRPr="004F1B77" w:rsidRDefault="00104150" w:rsidP="00CA355F">
      <w:pPr>
        <w:suppressLineNumbers/>
        <w:suppressAutoHyphens/>
        <w:kinsoku w:val="0"/>
        <w:overflowPunct w:val="0"/>
        <w:autoSpaceDE w:val="0"/>
        <w:autoSpaceDN w:val="0"/>
        <w:adjustRightInd w:val="0"/>
        <w:snapToGrid w:val="0"/>
        <w:spacing w:before="120" w:after="120"/>
        <w:ind w:left="720" w:firstLine="720"/>
        <w:rPr>
          <w:iCs/>
          <w:snapToGrid w:val="0"/>
          <w:kern w:val="22"/>
          <w:szCs w:val="22"/>
          <w:lang w:val="fr-CA"/>
        </w:rPr>
      </w:pPr>
      <w:r w:rsidRPr="004F1B77">
        <w:rPr>
          <w:i/>
          <w:iCs/>
          <w:snapToGrid w:val="0"/>
          <w:kern w:val="22"/>
          <w:szCs w:val="22"/>
          <w:lang w:val="fr-CA"/>
        </w:rPr>
        <w:t>Se réjouissant également</w:t>
      </w:r>
      <w:r w:rsidR="00E94DB9" w:rsidRPr="004F1B77">
        <w:rPr>
          <w:i/>
          <w:iCs/>
          <w:snapToGrid w:val="0"/>
          <w:kern w:val="22"/>
          <w:szCs w:val="22"/>
          <w:lang w:val="fr-CA"/>
        </w:rPr>
        <w:t xml:space="preserve"> </w:t>
      </w:r>
      <w:r w:rsidR="00E94DB9" w:rsidRPr="004F1B77">
        <w:rPr>
          <w:iCs/>
          <w:snapToGrid w:val="0"/>
          <w:kern w:val="22"/>
          <w:szCs w:val="22"/>
          <w:lang w:val="fr-CA"/>
        </w:rPr>
        <w:t>des activités de coopération menées au titre des Conventions de Rio,</w:t>
      </w:r>
    </w:p>
    <w:p w14:paraId="177EC5C1" w14:textId="021074F4" w:rsidR="00CA355F" w:rsidRPr="004F1B77" w:rsidRDefault="00CA355F" w:rsidP="00E94DB9">
      <w:pPr>
        <w:suppressLineNumbers/>
        <w:suppressAutoHyphens/>
        <w:kinsoku w:val="0"/>
        <w:overflowPunct w:val="0"/>
        <w:autoSpaceDE w:val="0"/>
        <w:autoSpaceDN w:val="0"/>
        <w:adjustRightInd w:val="0"/>
        <w:snapToGrid w:val="0"/>
        <w:spacing w:before="120" w:after="120"/>
        <w:ind w:left="720" w:firstLine="720"/>
        <w:rPr>
          <w:iCs/>
          <w:snapToGrid w:val="0"/>
          <w:kern w:val="22"/>
          <w:szCs w:val="22"/>
          <w:lang w:val="fr-CA"/>
        </w:rPr>
      </w:pPr>
      <w:r w:rsidRPr="004F1B77">
        <w:rPr>
          <w:i/>
          <w:iCs/>
          <w:snapToGrid w:val="0"/>
          <w:kern w:val="22"/>
          <w:szCs w:val="22"/>
          <w:lang w:val="fr-CA"/>
        </w:rPr>
        <w:t xml:space="preserve">Reconnaissant </w:t>
      </w:r>
      <w:r w:rsidRPr="004F1B77">
        <w:rPr>
          <w:iCs/>
          <w:snapToGrid w:val="0"/>
          <w:kern w:val="22"/>
          <w:szCs w:val="22"/>
          <w:lang w:val="fr-CA"/>
        </w:rPr>
        <w:t xml:space="preserve">le programme de travail à horizon mobile jusqu’en 2050 de la Plateforme intergouvernementale scientifique et politique sur la biodiversité et les services écosystémiques, </w:t>
      </w:r>
    </w:p>
    <w:p w14:paraId="12599567" w14:textId="75754CFC"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b/>
          <w:caps/>
          <w:szCs w:val="22"/>
          <w:lang w:val="fr-CA"/>
        </w:rPr>
      </w:pPr>
      <w:r w:rsidRPr="004F1B77">
        <w:rPr>
          <w:i/>
          <w:iCs/>
          <w:snapToGrid w:val="0"/>
          <w:kern w:val="22"/>
          <w:szCs w:val="22"/>
          <w:lang w:val="fr-CA"/>
        </w:rPr>
        <w:t xml:space="preserve">Accueillant avec satisfaction </w:t>
      </w:r>
      <w:r w:rsidRPr="004F1B77">
        <w:rPr>
          <w:snapToGrid w:val="0"/>
          <w:kern w:val="22"/>
          <w:szCs w:val="22"/>
          <w:lang w:val="fr-CA"/>
        </w:rPr>
        <w:t>la résolution de l'Assemblée générale des Nations Unies proclamant la Décennie des Nations Unies pour la restauration des écosystèmes 2021-2030 et la contribution que cela peut apporter aux objectifs de la Convention et au cadre mondial de la biodiversité pour l'après-2020</w:t>
      </w:r>
      <w:r w:rsidRPr="004F1B77">
        <w:rPr>
          <w:iCs/>
          <w:snapToGrid w:val="0"/>
          <w:kern w:val="22"/>
          <w:szCs w:val="22"/>
          <w:lang w:val="fr-CA"/>
        </w:rPr>
        <w:t xml:space="preserve">, </w:t>
      </w:r>
    </w:p>
    <w:p w14:paraId="11C55355" w14:textId="77777777"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napToGrid w:val="0"/>
          <w:kern w:val="22"/>
          <w:szCs w:val="22"/>
          <w:lang w:val="fr-CA"/>
        </w:rPr>
      </w:pPr>
      <w:r w:rsidRPr="004F1B77">
        <w:rPr>
          <w:rFonts w:asciiTheme="majorBidi" w:hAnsiTheme="majorBidi" w:cstheme="majorBidi"/>
          <w:iCs/>
          <w:snapToGrid w:val="0"/>
          <w:kern w:val="22"/>
          <w:szCs w:val="22"/>
          <w:lang w:val="fr-CA"/>
        </w:rPr>
        <w:t>1.</w:t>
      </w:r>
      <w:r w:rsidRPr="004F1B77">
        <w:rPr>
          <w:rFonts w:asciiTheme="majorBidi" w:hAnsiTheme="majorBidi" w:cstheme="majorBidi"/>
          <w:iCs/>
          <w:snapToGrid w:val="0"/>
          <w:kern w:val="22"/>
          <w:szCs w:val="22"/>
          <w:lang w:val="fr-CA"/>
        </w:rPr>
        <w:tab/>
      </w:r>
      <w:bookmarkStart w:id="1" w:name="_Hlk98914488"/>
      <w:r w:rsidRPr="004F1B77">
        <w:rPr>
          <w:rFonts w:asciiTheme="majorBidi" w:hAnsiTheme="majorBidi" w:cstheme="majorBidi"/>
          <w:i/>
          <w:snapToGrid w:val="0"/>
          <w:kern w:val="22"/>
          <w:szCs w:val="22"/>
          <w:lang w:val="fr-CA"/>
        </w:rPr>
        <w:t>Se félicite</w:t>
      </w:r>
      <w:r w:rsidRPr="004F1B77">
        <w:rPr>
          <w:rFonts w:asciiTheme="majorBidi" w:hAnsiTheme="majorBidi" w:cstheme="majorBidi"/>
          <w:iCs/>
          <w:snapToGrid w:val="0"/>
          <w:kern w:val="22"/>
          <w:szCs w:val="22"/>
          <w:lang w:val="fr-CA"/>
        </w:rPr>
        <w:t xml:space="preserve"> des contributions des autres conventions relatives à la biodiversité, accords multilatéraux et organisations et processus internationaux au renforcement des synergies dans la mise en œuvre du cadre mondial de la biodiversité pour l’après-2020;</w:t>
      </w:r>
      <w:bookmarkEnd w:id="1"/>
    </w:p>
    <w:p w14:paraId="5A1A9F39" w14:textId="1ECCC8B8"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lang w:val="fr-CA"/>
        </w:rPr>
      </w:pPr>
      <w:r w:rsidRPr="004F1B77">
        <w:rPr>
          <w:rFonts w:asciiTheme="majorBidi" w:hAnsiTheme="majorBidi" w:cstheme="majorBidi"/>
          <w:szCs w:val="22"/>
          <w:lang w:val="fr-CA"/>
        </w:rPr>
        <w:t>2.</w:t>
      </w:r>
      <w:r w:rsidRPr="004F1B77">
        <w:rPr>
          <w:rFonts w:asciiTheme="majorBidi" w:hAnsiTheme="majorBidi" w:cstheme="majorBidi"/>
          <w:szCs w:val="22"/>
          <w:lang w:val="fr-CA"/>
        </w:rPr>
        <w:tab/>
      </w:r>
      <w:r w:rsidRPr="004F1B77">
        <w:rPr>
          <w:rFonts w:asciiTheme="majorBidi" w:hAnsiTheme="majorBidi" w:cstheme="majorBidi"/>
          <w:i/>
          <w:iCs/>
          <w:szCs w:val="22"/>
          <w:lang w:val="fr-CA"/>
        </w:rPr>
        <w:t>Encourage</w:t>
      </w:r>
      <w:r w:rsidRPr="004F1B77">
        <w:rPr>
          <w:rFonts w:asciiTheme="majorBidi" w:hAnsiTheme="majorBidi" w:cstheme="majorBidi"/>
          <w:szCs w:val="22"/>
          <w:lang w:val="fr-CA"/>
        </w:rPr>
        <w:t xml:space="preserve"> le</w:t>
      </w:r>
      <w:r w:rsidRPr="004F1B77">
        <w:rPr>
          <w:rFonts w:asciiTheme="majorBidi" w:hAnsiTheme="majorBidi" w:cstheme="majorBidi"/>
          <w:iCs/>
          <w:snapToGrid w:val="0"/>
          <w:kern w:val="22"/>
          <w:szCs w:val="22"/>
          <w:lang w:val="fr-CA"/>
        </w:rPr>
        <w:t xml:space="preserve"> renforcement de la coopération et des synergies entre les conventions et accords multilatéraux concernés, </w:t>
      </w:r>
      <w:r w:rsidR="008D3914" w:rsidRPr="004F1B77">
        <w:rPr>
          <w:rFonts w:asciiTheme="majorBidi" w:hAnsiTheme="majorBidi" w:cstheme="majorBidi"/>
          <w:iCs/>
          <w:snapToGrid w:val="0"/>
          <w:kern w:val="22"/>
          <w:szCs w:val="22"/>
          <w:lang w:val="fr-CA"/>
        </w:rPr>
        <w:t>selon qu’il convient et conformément à leurs mandats,</w:t>
      </w:r>
      <w:r w:rsidR="00CA388B" w:rsidRPr="004F1B77">
        <w:rPr>
          <w:rFonts w:asciiTheme="majorBidi" w:hAnsiTheme="majorBidi" w:cstheme="majorBidi"/>
          <w:iCs/>
          <w:snapToGrid w:val="0"/>
          <w:kern w:val="22"/>
          <w:szCs w:val="22"/>
          <w:lang w:val="fr-CA"/>
        </w:rPr>
        <w:t xml:space="preserve"> </w:t>
      </w:r>
      <w:r w:rsidR="00314D06" w:rsidRPr="004F1B77">
        <w:rPr>
          <w:rFonts w:asciiTheme="majorBidi" w:hAnsiTheme="majorBidi" w:cstheme="majorBidi"/>
          <w:iCs/>
          <w:snapToGrid w:val="0"/>
          <w:kern w:val="22"/>
          <w:szCs w:val="22"/>
          <w:lang w:val="fr-CA"/>
        </w:rPr>
        <w:t xml:space="preserve">autorités </w:t>
      </w:r>
      <w:r w:rsidR="00314D06" w:rsidRPr="004F1B77">
        <w:rPr>
          <w:rFonts w:asciiTheme="majorBidi" w:hAnsiTheme="majorBidi" w:cstheme="majorBidi"/>
          <w:iCs/>
          <w:snapToGrid w:val="0"/>
          <w:kern w:val="22"/>
          <w:szCs w:val="22"/>
          <w:lang w:val="fr-CA"/>
        </w:rPr>
        <w:lastRenderedPageBreak/>
        <w:t xml:space="preserve">nationales et responsabilités respectifs, </w:t>
      </w:r>
      <w:r w:rsidRPr="004F1B77">
        <w:rPr>
          <w:rFonts w:asciiTheme="majorBidi" w:hAnsiTheme="majorBidi" w:cstheme="majorBidi"/>
          <w:iCs/>
          <w:snapToGrid w:val="0"/>
          <w:kern w:val="22"/>
          <w:szCs w:val="22"/>
          <w:lang w:val="fr-CA"/>
        </w:rPr>
        <w:t>en créant ou en renouvelant des cadres de coopération comme le Mémorandum de coopération trilatéral entre la Convention sur la diversité biologique, la Convention alpine et la Convention des Carpates, qui est mis à jour actuellement au regard du cadre mondial de la biodiversité pour l’après-2020;</w:t>
      </w:r>
    </w:p>
    <w:p w14:paraId="4A5B2227" w14:textId="75A79FF1"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lang w:val="fr-CA"/>
        </w:rPr>
      </w:pPr>
      <w:r w:rsidRPr="004F1B77">
        <w:rPr>
          <w:rFonts w:asciiTheme="majorBidi" w:hAnsiTheme="majorBidi" w:cstheme="majorBidi"/>
          <w:iCs/>
          <w:szCs w:val="22"/>
          <w:lang w:val="fr-CA"/>
        </w:rPr>
        <w:t>3.</w:t>
      </w:r>
      <w:r w:rsidRPr="004F1B77">
        <w:rPr>
          <w:rFonts w:asciiTheme="majorBidi" w:hAnsiTheme="majorBidi" w:cstheme="majorBidi"/>
          <w:iCs/>
          <w:szCs w:val="22"/>
          <w:lang w:val="fr-CA"/>
        </w:rPr>
        <w:tab/>
      </w:r>
      <w:r w:rsidRPr="004F1B77">
        <w:rPr>
          <w:rFonts w:asciiTheme="majorBidi" w:hAnsiTheme="majorBidi" w:cstheme="majorBidi"/>
          <w:i/>
          <w:iCs/>
          <w:szCs w:val="22"/>
          <w:lang w:val="fr-CA"/>
        </w:rPr>
        <w:t>Invite</w:t>
      </w:r>
      <w:r w:rsidRPr="004F1B77">
        <w:rPr>
          <w:rFonts w:asciiTheme="majorBidi" w:hAnsiTheme="majorBidi" w:cstheme="majorBidi"/>
          <w:szCs w:val="22"/>
          <w:lang w:val="fr-CA"/>
        </w:rPr>
        <w:t xml:space="preserve"> les organes directeurs des autres conventions relatives à la biodiversité et des accords multilatéraux sur l’environnement concernés, ainsi que des organisations internationales et d’autres programmes pertinents, à </w:t>
      </w:r>
      <w:r w:rsidR="00CA388B" w:rsidRPr="004F1B77">
        <w:rPr>
          <w:rFonts w:asciiTheme="majorBidi" w:hAnsiTheme="majorBidi" w:cstheme="majorBidi"/>
          <w:szCs w:val="22"/>
          <w:lang w:val="fr-CA"/>
        </w:rPr>
        <w:t>[</w:t>
      </w:r>
      <w:r w:rsidRPr="004F1B77">
        <w:rPr>
          <w:rFonts w:asciiTheme="majorBidi" w:hAnsiTheme="majorBidi" w:cstheme="majorBidi"/>
          <w:szCs w:val="22"/>
          <w:lang w:val="fr-CA"/>
        </w:rPr>
        <w:t>approuver officiellement</w:t>
      </w:r>
      <w:r w:rsidR="00CA388B" w:rsidRPr="004F1B77">
        <w:rPr>
          <w:rFonts w:asciiTheme="majorBidi" w:hAnsiTheme="majorBidi" w:cstheme="majorBidi"/>
          <w:szCs w:val="22"/>
          <w:lang w:val="fr-CA"/>
        </w:rPr>
        <w:t>]</w:t>
      </w:r>
      <w:r w:rsidRPr="004F1B77">
        <w:rPr>
          <w:rFonts w:asciiTheme="majorBidi" w:hAnsiTheme="majorBidi" w:cstheme="majorBidi"/>
          <w:szCs w:val="22"/>
          <w:lang w:val="fr-CA"/>
        </w:rPr>
        <w:t xml:space="preserve"> le cadre mondial de la biodiversité pour l’après-2020 selon leurs propres processus de gouvernance, </w:t>
      </w:r>
      <w:r w:rsidR="00CA388B" w:rsidRPr="004F1B77">
        <w:rPr>
          <w:rFonts w:asciiTheme="majorBidi" w:hAnsiTheme="majorBidi" w:cstheme="majorBidi"/>
          <w:szCs w:val="22"/>
          <w:lang w:val="fr-CA"/>
        </w:rPr>
        <w:t xml:space="preserve">selon qu’il convient, </w:t>
      </w:r>
      <w:r w:rsidRPr="004F1B77">
        <w:rPr>
          <w:rFonts w:asciiTheme="majorBidi" w:hAnsiTheme="majorBidi" w:cstheme="majorBidi"/>
          <w:szCs w:val="22"/>
          <w:lang w:val="fr-CA"/>
        </w:rPr>
        <w:t>afin d’appuyer son opérationnalisation et de contribuer à la transparence et au suivi des progrès accomplis dans la mise en œuvre du cadre mondial de la biodiversité pour l’après-2020</w:t>
      </w:r>
      <w:r w:rsidR="00CA388B" w:rsidRPr="004F1B77">
        <w:rPr>
          <w:rFonts w:asciiTheme="majorBidi" w:hAnsiTheme="majorBidi" w:cstheme="majorBidi"/>
          <w:szCs w:val="22"/>
          <w:lang w:val="fr-CA"/>
        </w:rPr>
        <w:t>, notamment en utilisant des outils modulaires et synergétiques de communication des données tels que l’outil de communication des données pour les accords multilatéraux sur l’environnement</w:t>
      </w:r>
      <w:r w:rsidRPr="004F1B77">
        <w:rPr>
          <w:rFonts w:asciiTheme="majorBidi" w:hAnsiTheme="majorBidi" w:cstheme="majorBidi"/>
          <w:szCs w:val="22"/>
          <w:lang w:val="fr-CA"/>
        </w:rPr>
        <w:t>;</w:t>
      </w:r>
      <w:r w:rsidRPr="004F1B77" w:rsidDel="006B7749">
        <w:rPr>
          <w:rFonts w:asciiTheme="majorBidi" w:hAnsiTheme="majorBidi" w:cstheme="majorBidi"/>
          <w:szCs w:val="22"/>
          <w:lang w:val="fr-CA"/>
        </w:rPr>
        <w:t xml:space="preserve"> </w:t>
      </w:r>
    </w:p>
    <w:p w14:paraId="253A00D8" w14:textId="3AAFCBD9"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lang w:val="fr-CA"/>
        </w:rPr>
      </w:pPr>
      <w:r w:rsidRPr="004F1B77">
        <w:rPr>
          <w:rFonts w:asciiTheme="majorBidi" w:hAnsiTheme="majorBidi" w:cstheme="majorBidi"/>
          <w:szCs w:val="22"/>
          <w:lang w:val="fr-CA"/>
        </w:rPr>
        <w:t xml:space="preserve">4. </w:t>
      </w:r>
      <w:r w:rsidRPr="004F1B77">
        <w:rPr>
          <w:rFonts w:asciiTheme="majorBidi" w:hAnsiTheme="majorBidi" w:cstheme="majorBidi"/>
          <w:szCs w:val="22"/>
          <w:lang w:val="fr-CA"/>
        </w:rPr>
        <w:tab/>
      </w:r>
      <w:r w:rsidRPr="004F1B77">
        <w:rPr>
          <w:rFonts w:asciiTheme="majorBidi" w:hAnsiTheme="majorBidi" w:cstheme="majorBidi"/>
          <w:i/>
          <w:iCs/>
          <w:szCs w:val="22"/>
          <w:lang w:val="fr-CA"/>
        </w:rPr>
        <w:t>Invite également</w:t>
      </w:r>
      <w:r w:rsidRPr="004F1B77">
        <w:rPr>
          <w:rFonts w:asciiTheme="majorBidi" w:hAnsiTheme="majorBidi" w:cstheme="majorBidi"/>
          <w:szCs w:val="22"/>
          <w:lang w:val="fr-CA"/>
        </w:rPr>
        <w:t xml:space="preserve"> les organes directeurs des conventions relatives à la biodiversité et des accords multilatéraux sur l’environnement concernés, ainsi que des organisations internationales et d’autres programmes pertinents, à contribuer à la mise en œuvre et au suivi du cadre mondial de la biodiversité pour l’après-2020, tout particulièrement en renforçant davantage la coopération au niveau mondial dans le cadre de leurs mandats respectifs et en améliorant les synergies entre eux, afin d’encourager des décisions qui s’appuient mutuellement, d’aligner leurs stratégies sur le cadre mondial de la biodiversité pour l’après-2020, et de proposer des questions clés pour des débats thématiques facilités par le Groupe de liaison des conventions relatives à la biodiversité</w:t>
      </w:r>
      <w:r w:rsidR="00314D06" w:rsidRPr="004F1B77">
        <w:rPr>
          <w:rFonts w:asciiTheme="majorBidi" w:hAnsiTheme="majorBidi" w:cstheme="majorBidi"/>
          <w:szCs w:val="22"/>
          <w:lang w:val="fr-CA"/>
        </w:rPr>
        <w:t>, en tenant compte, s’il y a lieu, des conclusions de l’atelier Berne II jointes au document CBD/SBI/3/10, et invite le Programme des Nations Unies pour l’environnement à poursuivre ses travaux pour améliorer</w:t>
      </w:r>
      <w:r w:rsidR="00816807" w:rsidRPr="004F1B77">
        <w:rPr>
          <w:rFonts w:asciiTheme="majorBidi" w:hAnsiTheme="majorBidi" w:cstheme="majorBidi"/>
          <w:szCs w:val="22"/>
          <w:lang w:val="fr-CA"/>
        </w:rPr>
        <w:t xml:space="preserve"> </w:t>
      </w:r>
      <w:r w:rsidR="00314D06" w:rsidRPr="004F1B77">
        <w:rPr>
          <w:rFonts w:asciiTheme="majorBidi" w:hAnsiTheme="majorBidi" w:cstheme="majorBidi"/>
          <w:szCs w:val="22"/>
          <w:lang w:val="fr-CA"/>
        </w:rPr>
        <w:t>la collaboration ent</w:t>
      </w:r>
      <w:r w:rsidR="00816807" w:rsidRPr="004F1B77">
        <w:rPr>
          <w:rFonts w:asciiTheme="majorBidi" w:hAnsiTheme="majorBidi" w:cstheme="majorBidi"/>
          <w:szCs w:val="22"/>
          <w:lang w:val="fr-CA"/>
        </w:rPr>
        <w:t>re les conv</w:t>
      </w:r>
      <w:r w:rsidR="00314D06" w:rsidRPr="004F1B77">
        <w:rPr>
          <w:rFonts w:asciiTheme="majorBidi" w:hAnsiTheme="majorBidi" w:cstheme="majorBidi"/>
          <w:szCs w:val="22"/>
          <w:lang w:val="fr-CA"/>
        </w:rPr>
        <w:t xml:space="preserve">entions liées à la diversité biologique et </w:t>
      </w:r>
      <w:r w:rsidR="00F35805" w:rsidRPr="004F1B77">
        <w:rPr>
          <w:rFonts w:asciiTheme="majorBidi" w:hAnsiTheme="majorBidi" w:cstheme="majorBidi"/>
          <w:szCs w:val="22"/>
          <w:lang w:val="fr-CA"/>
        </w:rPr>
        <w:t xml:space="preserve">les </w:t>
      </w:r>
      <w:r w:rsidR="00314D06" w:rsidRPr="004F1B77">
        <w:rPr>
          <w:rFonts w:asciiTheme="majorBidi" w:hAnsiTheme="majorBidi" w:cstheme="majorBidi"/>
          <w:szCs w:val="22"/>
          <w:lang w:val="fr-CA"/>
        </w:rPr>
        <w:t xml:space="preserve">autres accords multilatéraux pertinents, </w:t>
      </w:r>
      <w:r w:rsidR="00816807" w:rsidRPr="004F1B77">
        <w:rPr>
          <w:rFonts w:asciiTheme="majorBidi" w:hAnsiTheme="majorBidi" w:cstheme="majorBidi"/>
          <w:szCs w:val="22"/>
          <w:lang w:val="fr-CA"/>
        </w:rPr>
        <w:t>et leurs organes</w:t>
      </w:r>
      <w:r w:rsidR="00314D06" w:rsidRPr="004F1B77">
        <w:rPr>
          <w:rFonts w:asciiTheme="majorBidi" w:hAnsiTheme="majorBidi" w:cstheme="majorBidi"/>
          <w:szCs w:val="22"/>
          <w:lang w:val="fr-CA"/>
        </w:rPr>
        <w:t xml:space="preserve"> directeurs</w:t>
      </w:r>
      <w:r w:rsidRPr="004F1B77">
        <w:rPr>
          <w:rFonts w:asciiTheme="majorBidi" w:hAnsiTheme="majorBidi" w:cstheme="majorBidi"/>
          <w:szCs w:val="22"/>
          <w:lang w:val="fr-CA"/>
        </w:rPr>
        <w:t>;</w:t>
      </w:r>
    </w:p>
    <w:p w14:paraId="3D3F2DAB" w14:textId="79546CF5"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lang w:val="fr-CA"/>
        </w:rPr>
      </w:pPr>
      <w:r w:rsidRPr="004F1B77">
        <w:rPr>
          <w:rFonts w:asciiTheme="majorBidi" w:hAnsiTheme="majorBidi" w:cstheme="majorBidi"/>
          <w:iCs/>
          <w:snapToGrid w:val="0"/>
          <w:kern w:val="22"/>
          <w:szCs w:val="22"/>
          <w:lang w:val="fr-CA"/>
        </w:rPr>
        <w:t xml:space="preserve">5. </w:t>
      </w:r>
      <w:r w:rsidRPr="004F1B77">
        <w:rPr>
          <w:rFonts w:asciiTheme="majorBidi" w:hAnsiTheme="majorBidi" w:cstheme="majorBidi"/>
          <w:iCs/>
          <w:snapToGrid w:val="0"/>
          <w:kern w:val="22"/>
          <w:szCs w:val="22"/>
          <w:lang w:val="fr-CA"/>
        </w:rPr>
        <w:tab/>
      </w:r>
      <w:r w:rsidRPr="004F1B77">
        <w:rPr>
          <w:rFonts w:asciiTheme="majorBidi" w:hAnsiTheme="majorBidi" w:cstheme="majorBidi"/>
          <w:i/>
          <w:snapToGrid w:val="0"/>
          <w:kern w:val="22"/>
          <w:szCs w:val="22"/>
          <w:lang w:val="fr-CA"/>
        </w:rPr>
        <w:t>Invite</w:t>
      </w:r>
      <w:r w:rsidRPr="004F1B77">
        <w:rPr>
          <w:rFonts w:asciiTheme="majorBidi" w:hAnsiTheme="majorBidi" w:cstheme="majorBidi"/>
          <w:iCs/>
          <w:snapToGrid w:val="0"/>
          <w:kern w:val="22"/>
          <w:szCs w:val="22"/>
          <w:lang w:val="fr-CA"/>
        </w:rPr>
        <w:t xml:space="preserve"> le Groupe de liaison des conventions relatives à la biodiversité, </w:t>
      </w:r>
      <w:r w:rsidR="00816807" w:rsidRPr="004F1B77">
        <w:rPr>
          <w:rFonts w:asciiTheme="majorBidi" w:hAnsiTheme="majorBidi" w:cstheme="majorBidi"/>
          <w:iCs/>
          <w:snapToGrid w:val="0"/>
          <w:kern w:val="22"/>
          <w:szCs w:val="22"/>
          <w:lang w:val="fr-CA"/>
        </w:rPr>
        <w:t xml:space="preserve">ainsi que le groupe consultatif informel sur les synergies, </w:t>
      </w:r>
      <w:r w:rsidRPr="004F1B77">
        <w:rPr>
          <w:rFonts w:asciiTheme="majorBidi" w:hAnsiTheme="majorBidi" w:cstheme="majorBidi"/>
          <w:iCs/>
          <w:snapToGrid w:val="0"/>
          <w:kern w:val="22"/>
          <w:szCs w:val="22"/>
          <w:lang w:val="fr-CA"/>
        </w:rPr>
        <w:t>à renforcer la coopération</w:t>
      </w:r>
      <w:r w:rsidR="00816807" w:rsidRPr="004F1B77">
        <w:rPr>
          <w:rFonts w:asciiTheme="majorBidi" w:hAnsiTheme="majorBidi" w:cstheme="majorBidi"/>
          <w:iCs/>
          <w:snapToGrid w:val="0"/>
          <w:kern w:val="22"/>
          <w:szCs w:val="22"/>
          <w:lang w:val="fr-CA"/>
        </w:rPr>
        <w:t>, à réduire les inefficacités</w:t>
      </w:r>
      <w:r w:rsidRPr="004F1B77">
        <w:rPr>
          <w:rFonts w:asciiTheme="majorBidi" w:hAnsiTheme="majorBidi" w:cstheme="majorBidi"/>
          <w:iCs/>
          <w:snapToGrid w:val="0"/>
          <w:kern w:val="22"/>
          <w:szCs w:val="22"/>
          <w:lang w:val="fr-CA"/>
        </w:rPr>
        <w:t xml:space="preserve"> et à faciliter les synergies</w:t>
      </w:r>
      <w:r w:rsidR="00816807" w:rsidRPr="004F1B77">
        <w:rPr>
          <w:rFonts w:asciiTheme="majorBidi" w:hAnsiTheme="majorBidi" w:cstheme="majorBidi"/>
          <w:iCs/>
          <w:snapToGrid w:val="0"/>
          <w:kern w:val="22"/>
          <w:szCs w:val="22"/>
          <w:lang w:val="fr-CA"/>
        </w:rPr>
        <w:t xml:space="preserve"> entre les dirigeants des </w:t>
      </w:r>
      <w:r w:rsidRPr="004F1B77">
        <w:rPr>
          <w:rFonts w:asciiTheme="majorBidi" w:hAnsiTheme="majorBidi" w:cstheme="majorBidi"/>
          <w:iCs/>
          <w:snapToGrid w:val="0"/>
          <w:kern w:val="22"/>
          <w:szCs w:val="22"/>
          <w:lang w:val="fr-CA"/>
        </w:rPr>
        <w:t>secrétariats des conventions relatives à la biodiversité, notamment au moyen de consultations thématiques, sur des questions clés pour la mise en œuvre du cadre mondial de la biodiversité pour l’après-2020 et afin de fournir des messages ou des projets de recommandations communs à leurs organes directeurs respectifs, aux fins d’adoption;</w:t>
      </w:r>
    </w:p>
    <w:p w14:paraId="3BC7D2BC" w14:textId="161AFECD" w:rsidR="00E94DB9" w:rsidRPr="004F1B77" w:rsidRDefault="00F35805" w:rsidP="00E94DB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lang w:val="fr-CA"/>
        </w:rPr>
      </w:pPr>
      <w:r w:rsidRPr="004F1B77">
        <w:rPr>
          <w:rFonts w:asciiTheme="majorBidi" w:hAnsiTheme="majorBidi" w:cstheme="majorBidi"/>
          <w:szCs w:val="22"/>
          <w:lang w:val="fr-CA"/>
        </w:rPr>
        <w:t>[</w:t>
      </w:r>
      <w:r w:rsidR="00E94DB9" w:rsidRPr="004F1B77">
        <w:rPr>
          <w:rFonts w:asciiTheme="majorBidi" w:hAnsiTheme="majorBidi" w:cstheme="majorBidi"/>
          <w:szCs w:val="22"/>
          <w:lang w:val="fr-CA"/>
        </w:rPr>
        <w:t>6.</w:t>
      </w:r>
      <w:r w:rsidR="00E94DB9" w:rsidRPr="004F1B77">
        <w:rPr>
          <w:rFonts w:asciiTheme="majorBidi" w:hAnsiTheme="majorBidi" w:cstheme="majorBidi"/>
          <w:szCs w:val="22"/>
          <w:lang w:val="fr-CA"/>
        </w:rPr>
        <w:tab/>
      </w:r>
      <w:r w:rsidR="00E94DB9" w:rsidRPr="004F1B77">
        <w:rPr>
          <w:rFonts w:asciiTheme="majorBidi" w:hAnsiTheme="majorBidi" w:cstheme="majorBidi"/>
          <w:i/>
          <w:iCs/>
          <w:szCs w:val="22"/>
          <w:lang w:val="fr-CA"/>
        </w:rPr>
        <w:t>Encourage</w:t>
      </w:r>
      <w:r w:rsidR="00E94DB9" w:rsidRPr="004F1B77">
        <w:rPr>
          <w:rFonts w:asciiTheme="majorBidi" w:hAnsiTheme="majorBidi" w:cstheme="majorBidi"/>
          <w:szCs w:val="22"/>
          <w:lang w:val="fr-CA"/>
        </w:rPr>
        <w:t xml:space="preserve"> </w:t>
      </w:r>
      <w:r w:rsidR="00816807" w:rsidRPr="004F1B77">
        <w:rPr>
          <w:rFonts w:asciiTheme="majorBidi" w:hAnsiTheme="majorBidi" w:cstheme="majorBidi"/>
          <w:szCs w:val="22"/>
          <w:lang w:val="fr-CA"/>
        </w:rPr>
        <w:t>les Parties</w:t>
      </w:r>
      <w:r w:rsidR="00E94DB9" w:rsidRPr="004F1B77">
        <w:rPr>
          <w:rFonts w:asciiTheme="majorBidi" w:hAnsiTheme="majorBidi" w:cstheme="majorBidi"/>
          <w:szCs w:val="22"/>
          <w:lang w:val="fr-CA"/>
        </w:rPr>
        <w:t xml:space="preserve"> à travailler </w:t>
      </w:r>
      <w:r w:rsidR="00816807" w:rsidRPr="004F1B77">
        <w:rPr>
          <w:rFonts w:asciiTheme="majorBidi" w:hAnsiTheme="majorBidi" w:cstheme="majorBidi"/>
          <w:szCs w:val="22"/>
          <w:lang w:val="fr-CA"/>
        </w:rPr>
        <w:t>avec toutes les parties prenantes</w:t>
      </w:r>
      <w:r w:rsidR="00E94DB9" w:rsidRPr="004F1B77">
        <w:rPr>
          <w:rFonts w:asciiTheme="majorBidi" w:hAnsiTheme="majorBidi" w:cstheme="majorBidi"/>
          <w:szCs w:val="22"/>
          <w:lang w:val="fr-CA"/>
        </w:rPr>
        <w:t xml:space="preserve"> pour mettre en œuvre conjointement le cadre mondial de la biodiversité pour l’après-2020 dans un esprit de coopération et de soutien mutuel aux niveaux mondial, régional, infrarégional, national et infranational, dans tous les domaines et secteurs, au moyen de programmes de travail communs bilatéraux et d’instruments, mécanismes et processus mondiaux, régionaux, infrarégionaux, nationaux et infranationaux</w:t>
      </w:r>
      <w:r w:rsidR="00E94DB9" w:rsidRPr="004F1B77">
        <w:rPr>
          <w:rStyle w:val="FootnoteReference"/>
          <w:rFonts w:asciiTheme="majorBidi" w:hAnsiTheme="majorBidi" w:cstheme="majorBidi"/>
          <w:szCs w:val="22"/>
          <w:lang w:val="fr-CA"/>
        </w:rPr>
        <w:footnoteReference w:id="6"/>
      </w:r>
      <w:r w:rsidR="00E94DB9" w:rsidRPr="004F1B77">
        <w:rPr>
          <w:rFonts w:asciiTheme="majorBidi" w:hAnsiTheme="majorBidi" w:cstheme="majorBidi"/>
          <w:szCs w:val="22"/>
          <w:lang w:val="fr-CA"/>
        </w:rPr>
        <w:t>;</w:t>
      </w:r>
      <w:r w:rsidR="00190D21" w:rsidRPr="004F1B77">
        <w:rPr>
          <w:rFonts w:asciiTheme="majorBidi" w:hAnsiTheme="majorBidi" w:cstheme="majorBidi"/>
          <w:szCs w:val="22"/>
          <w:lang w:val="fr-CA"/>
        </w:rPr>
        <w:t>]</w:t>
      </w:r>
    </w:p>
    <w:p w14:paraId="7BEC596C" w14:textId="60F0D246" w:rsidR="00E94DB9" w:rsidRPr="004F1B77" w:rsidRDefault="00190D21" w:rsidP="00E94DB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lang w:val="fr-CA"/>
        </w:rPr>
      </w:pPr>
      <w:r w:rsidRPr="004F1B77">
        <w:rPr>
          <w:rFonts w:asciiTheme="majorBidi" w:hAnsiTheme="majorBidi" w:cstheme="majorBidi"/>
          <w:iCs/>
          <w:snapToGrid w:val="0"/>
          <w:kern w:val="22"/>
          <w:szCs w:val="22"/>
          <w:lang w:val="fr-CA"/>
        </w:rPr>
        <w:t>[</w:t>
      </w:r>
      <w:r w:rsidR="00E94DB9" w:rsidRPr="004F1B77">
        <w:rPr>
          <w:rFonts w:asciiTheme="majorBidi" w:hAnsiTheme="majorBidi" w:cstheme="majorBidi"/>
          <w:iCs/>
          <w:snapToGrid w:val="0"/>
          <w:kern w:val="22"/>
          <w:szCs w:val="22"/>
          <w:lang w:val="fr-CA"/>
        </w:rPr>
        <w:t>7.</w:t>
      </w:r>
      <w:r w:rsidR="00E94DB9" w:rsidRPr="004F1B77">
        <w:rPr>
          <w:rFonts w:asciiTheme="majorBidi" w:hAnsiTheme="majorBidi" w:cstheme="majorBidi"/>
          <w:iCs/>
          <w:snapToGrid w:val="0"/>
          <w:kern w:val="22"/>
          <w:szCs w:val="22"/>
          <w:lang w:val="fr-CA"/>
        </w:rPr>
        <w:tab/>
      </w:r>
      <w:bookmarkStart w:id="2" w:name="_Hlk74421218"/>
      <w:r w:rsidR="00E94DB9" w:rsidRPr="004F1B77">
        <w:rPr>
          <w:rFonts w:asciiTheme="majorBidi" w:hAnsiTheme="majorBidi" w:cstheme="majorBidi"/>
          <w:i/>
          <w:iCs/>
          <w:snapToGrid w:val="0"/>
          <w:kern w:val="22"/>
          <w:szCs w:val="22"/>
          <w:lang w:val="fr-CA"/>
        </w:rPr>
        <w:t>Invite</w:t>
      </w:r>
      <w:r w:rsidR="00E94DB9" w:rsidRPr="004F1B77">
        <w:rPr>
          <w:rFonts w:asciiTheme="majorBidi" w:hAnsiTheme="majorBidi" w:cstheme="majorBidi"/>
          <w:iCs/>
          <w:snapToGrid w:val="0"/>
          <w:kern w:val="22"/>
          <w:szCs w:val="22"/>
          <w:lang w:val="fr-CA"/>
        </w:rPr>
        <w:t xml:space="preserve"> le Programme des Nations Unies pour l’environnement</w:t>
      </w:r>
      <w:r w:rsidR="00F35805" w:rsidRPr="004F1B77">
        <w:rPr>
          <w:rFonts w:asciiTheme="majorBidi" w:hAnsiTheme="majorBidi" w:cstheme="majorBidi"/>
          <w:iCs/>
          <w:snapToGrid w:val="0"/>
          <w:kern w:val="22"/>
          <w:szCs w:val="22"/>
          <w:lang w:val="fr-CA"/>
        </w:rPr>
        <w:t xml:space="preserve">, selon la disponibilité des ressources, </w:t>
      </w:r>
      <w:r w:rsidR="00E94DB9" w:rsidRPr="004F1B77">
        <w:rPr>
          <w:rFonts w:asciiTheme="majorBidi" w:hAnsiTheme="majorBidi" w:cstheme="majorBidi"/>
          <w:iCs/>
          <w:snapToGrid w:val="0"/>
          <w:kern w:val="22"/>
          <w:szCs w:val="22"/>
          <w:lang w:val="fr-CA"/>
        </w:rPr>
        <w:t xml:space="preserve">à apporter un soutien </w:t>
      </w:r>
      <w:r w:rsidRPr="004F1B77">
        <w:rPr>
          <w:rFonts w:asciiTheme="majorBidi" w:hAnsiTheme="majorBidi" w:cstheme="majorBidi"/>
          <w:iCs/>
          <w:snapToGrid w:val="0"/>
          <w:kern w:val="22"/>
          <w:szCs w:val="22"/>
          <w:lang w:val="fr-CA"/>
        </w:rPr>
        <w:t xml:space="preserve">aux Parties et </w:t>
      </w:r>
      <w:r w:rsidR="00E94DB9" w:rsidRPr="004F1B77">
        <w:rPr>
          <w:rFonts w:asciiTheme="majorBidi" w:hAnsiTheme="majorBidi" w:cstheme="majorBidi"/>
          <w:iCs/>
          <w:snapToGrid w:val="0"/>
          <w:kern w:val="22"/>
          <w:szCs w:val="22"/>
          <w:lang w:val="fr-CA"/>
        </w:rPr>
        <w:t>aux secrétariats des conventions et accords relatifs à la biodiversit</w:t>
      </w:r>
      <w:r w:rsidRPr="004F1B77">
        <w:rPr>
          <w:rFonts w:asciiTheme="majorBidi" w:hAnsiTheme="majorBidi" w:cstheme="majorBidi"/>
          <w:iCs/>
          <w:snapToGrid w:val="0"/>
          <w:kern w:val="22"/>
          <w:szCs w:val="22"/>
          <w:lang w:val="fr-CA"/>
        </w:rPr>
        <w:t xml:space="preserve">é, </w:t>
      </w:r>
      <w:r w:rsidR="00E94DB9" w:rsidRPr="004F1B77">
        <w:rPr>
          <w:rFonts w:asciiTheme="majorBidi" w:hAnsiTheme="majorBidi" w:cstheme="majorBidi"/>
          <w:iCs/>
          <w:snapToGrid w:val="0"/>
          <w:kern w:val="22"/>
          <w:szCs w:val="22"/>
          <w:lang w:val="fr-CA"/>
        </w:rPr>
        <w:t>pour continuer d’améliorer les synergies sur les principales actions et priorités mises en place par leurs Parties et mises en œuvre aux niveaux national et régional;</w:t>
      </w:r>
      <w:bookmarkEnd w:id="2"/>
      <w:r w:rsidRPr="004F1B77">
        <w:rPr>
          <w:rFonts w:asciiTheme="majorBidi" w:hAnsiTheme="majorBidi" w:cstheme="majorBidi"/>
          <w:iCs/>
          <w:snapToGrid w:val="0"/>
          <w:kern w:val="22"/>
          <w:szCs w:val="22"/>
          <w:lang w:val="fr-CA"/>
        </w:rPr>
        <w:t>]</w:t>
      </w:r>
    </w:p>
    <w:p w14:paraId="352F905A" w14:textId="540D0648"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lang w:val="fr-CA"/>
        </w:rPr>
      </w:pPr>
      <w:r w:rsidRPr="004F1B77">
        <w:rPr>
          <w:rFonts w:asciiTheme="majorBidi" w:hAnsiTheme="majorBidi" w:cstheme="majorBidi"/>
          <w:iCs/>
          <w:snapToGrid w:val="0"/>
          <w:kern w:val="22"/>
          <w:szCs w:val="22"/>
          <w:lang w:val="fr-CA"/>
        </w:rPr>
        <w:t>8.</w:t>
      </w:r>
      <w:r w:rsidRPr="004F1B77">
        <w:rPr>
          <w:rFonts w:asciiTheme="majorBidi" w:hAnsiTheme="majorBidi" w:cstheme="majorBidi"/>
          <w:iCs/>
          <w:snapToGrid w:val="0"/>
          <w:kern w:val="22"/>
          <w:szCs w:val="22"/>
          <w:lang w:val="fr-CA"/>
        </w:rPr>
        <w:tab/>
      </w:r>
      <w:r w:rsidRPr="004F1B77">
        <w:rPr>
          <w:rFonts w:asciiTheme="majorBidi" w:hAnsiTheme="majorBidi" w:cstheme="majorBidi"/>
          <w:i/>
          <w:snapToGrid w:val="0"/>
          <w:kern w:val="22"/>
          <w:szCs w:val="22"/>
          <w:lang w:val="fr-CA"/>
        </w:rPr>
        <w:t>Invite également</w:t>
      </w:r>
      <w:r w:rsidRPr="004F1B77">
        <w:rPr>
          <w:rFonts w:asciiTheme="majorBidi" w:hAnsiTheme="majorBidi" w:cstheme="majorBidi"/>
          <w:iCs/>
          <w:snapToGrid w:val="0"/>
          <w:kern w:val="22"/>
          <w:szCs w:val="22"/>
          <w:lang w:val="fr-CA"/>
        </w:rPr>
        <w:t xml:space="preserve"> le Programme des Nations Unies pour l’environnement</w:t>
      </w:r>
      <w:r w:rsidR="00190D21" w:rsidRPr="004F1B77">
        <w:rPr>
          <w:rFonts w:asciiTheme="majorBidi" w:hAnsiTheme="majorBidi" w:cstheme="majorBidi"/>
          <w:iCs/>
          <w:snapToGrid w:val="0"/>
          <w:kern w:val="22"/>
          <w:szCs w:val="22"/>
          <w:lang w:val="fr-CA"/>
        </w:rPr>
        <w:t>, en consultation avec les secrétariats des conventions liées à la diversité biologique et les organisations partenaires pertinentes,</w:t>
      </w:r>
      <w:r w:rsidRPr="004F1B77">
        <w:rPr>
          <w:rFonts w:asciiTheme="majorBidi" w:hAnsiTheme="majorBidi" w:cstheme="majorBidi"/>
          <w:iCs/>
          <w:snapToGrid w:val="0"/>
          <w:kern w:val="22"/>
          <w:szCs w:val="22"/>
          <w:lang w:val="fr-CA"/>
        </w:rPr>
        <w:t xml:space="preserve"> à continuer de faciliter et de mettre en œuvre les principales actions visant à améliorer les synergies aux niveaux national et international, énoncées dans les décisions XIII/24 et 14/30, tout particulièrement concernant l’établissement de rapports et l’utilisation des outils d’appui, </w:t>
      </w:r>
      <w:r w:rsidR="00646B44" w:rsidRPr="004F1B77">
        <w:rPr>
          <w:rFonts w:asciiTheme="majorBidi" w:hAnsiTheme="majorBidi" w:cstheme="majorBidi"/>
          <w:iCs/>
          <w:snapToGrid w:val="0"/>
          <w:kern w:val="22"/>
          <w:szCs w:val="22"/>
          <w:lang w:val="fr-CA"/>
        </w:rPr>
        <w:lastRenderedPageBreak/>
        <w:t xml:space="preserve">tels que </w:t>
      </w:r>
      <w:r w:rsidRPr="004F1B77">
        <w:rPr>
          <w:rFonts w:asciiTheme="majorBidi" w:hAnsiTheme="majorBidi" w:cstheme="majorBidi"/>
          <w:iCs/>
          <w:snapToGrid w:val="0"/>
          <w:kern w:val="22"/>
          <w:szCs w:val="22"/>
          <w:lang w:val="fr-CA"/>
        </w:rPr>
        <w:t xml:space="preserve">le renforcement </w:t>
      </w:r>
      <w:r w:rsidR="00190D21" w:rsidRPr="004F1B77">
        <w:rPr>
          <w:rFonts w:asciiTheme="majorBidi" w:hAnsiTheme="majorBidi" w:cstheme="majorBidi"/>
          <w:iCs/>
          <w:snapToGrid w:val="0"/>
          <w:kern w:val="22"/>
          <w:szCs w:val="22"/>
          <w:lang w:val="fr-CA"/>
        </w:rPr>
        <w:t xml:space="preserve">et la création </w:t>
      </w:r>
      <w:r w:rsidRPr="004F1B77">
        <w:rPr>
          <w:rFonts w:asciiTheme="majorBidi" w:hAnsiTheme="majorBidi" w:cstheme="majorBidi"/>
          <w:iCs/>
          <w:snapToGrid w:val="0"/>
          <w:kern w:val="22"/>
          <w:szCs w:val="22"/>
          <w:lang w:val="fr-CA"/>
        </w:rPr>
        <w:t xml:space="preserve">des capacités, et la facilitation de liens entre </w:t>
      </w:r>
      <w:r w:rsidR="00E75497" w:rsidRPr="004F1B77">
        <w:rPr>
          <w:rFonts w:asciiTheme="majorBidi" w:hAnsiTheme="majorBidi" w:cstheme="majorBidi"/>
          <w:iCs/>
          <w:snapToGrid w:val="0"/>
          <w:kern w:val="22"/>
          <w:szCs w:val="22"/>
          <w:lang w:val="fr-CA"/>
        </w:rPr>
        <w:t xml:space="preserve">les </w:t>
      </w:r>
      <w:r w:rsidRPr="004F1B77">
        <w:rPr>
          <w:rFonts w:asciiTheme="majorBidi" w:hAnsiTheme="majorBidi" w:cstheme="majorBidi"/>
          <w:iCs/>
          <w:snapToGrid w:val="0"/>
          <w:kern w:val="22"/>
          <w:szCs w:val="22"/>
          <w:lang w:val="fr-CA"/>
        </w:rPr>
        <w:t>accords multilatéraux sur l’environnement;</w:t>
      </w:r>
    </w:p>
    <w:p w14:paraId="7CC199F1" w14:textId="2A0AB107"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lang w:val="fr-CA"/>
        </w:rPr>
      </w:pPr>
      <w:r w:rsidRPr="004F1B77">
        <w:rPr>
          <w:rFonts w:asciiTheme="majorBidi" w:hAnsiTheme="majorBidi" w:cstheme="majorBidi"/>
          <w:iCs/>
          <w:snapToGrid w:val="0"/>
          <w:kern w:val="22"/>
          <w:szCs w:val="22"/>
          <w:lang w:val="fr-CA"/>
        </w:rPr>
        <w:t>9.</w:t>
      </w:r>
      <w:r w:rsidRPr="004F1B77">
        <w:rPr>
          <w:rFonts w:asciiTheme="majorBidi" w:hAnsiTheme="majorBidi" w:cstheme="majorBidi"/>
          <w:iCs/>
          <w:snapToGrid w:val="0"/>
          <w:kern w:val="22"/>
          <w:szCs w:val="22"/>
          <w:lang w:val="fr-CA"/>
        </w:rPr>
        <w:tab/>
      </w:r>
      <w:r w:rsidRPr="004F1B77">
        <w:rPr>
          <w:i/>
          <w:iCs/>
          <w:snapToGrid w:val="0"/>
          <w:kern w:val="22"/>
          <w:szCs w:val="22"/>
          <w:lang w:val="fr-CA"/>
        </w:rPr>
        <w:t xml:space="preserve">Invite </w:t>
      </w:r>
      <w:r w:rsidRPr="004F1B77">
        <w:rPr>
          <w:snapToGrid w:val="0"/>
          <w:kern w:val="22"/>
          <w:szCs w:val="22"/>
          <w:lang w:val="fr-CA"/>
        </w:rPr>
        <w:t xml:space="preserve">l'Organisation des Nations Unies pour l'alimentation et l'agriculture et le Programme des Nations Unies pour l'environnement à continuer d'assurer une liaison étroite avec les secrétariats des conventions de Rio </w:t>
      </w:r>
      <w:r w:rsidR="00E75497" w:rsidRPr="004F1B77">
        <w:rPr>
          <w:snapToGrid w:val="0"/>
          <w:kern w:val="22"/>
          <w:szCs w:val="22"/>
          <w:lang w:val="fr-CA"/>
        </w:rPr>
        <w:t xml:space="preserve">et les organisations partenaires pertinentes </w:t>
      </w:r>
      <w:r w:rsidRPr="004F1B77">
        <w:rPr>
          <w:snapToGrid w:val="0"/>
          <w:kern w:val="22"/>
          <w:szCs w:val="22"/>
          <w:lang w:val="fr-CA"/>
        </w:rPr>
        <w:t>pour la mise en œuvre de la Décennie des Nations Unies pour la restauration des écosystèmes et à présenter un rapport sur les progrès accomplis à la seizième réunion de la Conférence des Parties</w:t>
      </w:r>
      <w:r w:rsidRPr="004F1B77">
        <w:rPr>
          <w:rFonts w:asciiTheme="majorBidi" w:hAnsiTheme="majorBidi" w:cstheme="majorBidi"/>
          <w:iCs/>
          <w:snapToGrid w:val="0"/>
          <w:kern w:val="22"/>
          <w:szCs w:val="22"/>
          <w:lang w:val="fr-CA"/>
        </w:rPr>
        <w:t>;</w:t>
      </w:r>
    </w:p>
    <w:p w14:paraId="2A3BBD2B" w14:textId="45466E9C"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lang w:val="fr-CA"/>
        </w:rPr>
      </w:pPr>
      <w:r w:rsidRPr="004F1B77">
        <w:rPr>
          <w:rFonts w:asciiTheme="majorBidi" w:hAnsiTheme="majorBidi" w:cstheme="majorBidi"/>
          <w:iCs/>
          <w:snapToGrid w:val="0"/>
          <w:kern w:val="22"/>
          <w:szCs w:val="22"/>
          <w:lang w:val="fr-CA"/>
        </w:rPr>
        <w:t>10.</w:t>
      </w:r>
      <w:r w:rsidRPr="004F1B77">
        <w:rPr>
          <w:rFonts w:asciiTheme="majorBidi" w:hAnsiTheme="majorBidi" w:cstheme="majorBidi"/>
          <w:iCs/>
          <w:snapToGrid w:val="0"/>
          <w:kern w:val="22"/>
          <w:szCs w:val="22"/>
          <w:lang w:val="fr-CA"/>
        </w:rPr>
        <w:tab/>
      </w:r>
      <w:r w:rsidRPr="004F1B77">
        <w:rPr>
          <w:rFonts w:asciiTheme="majorBidi" w:hAnsiTheme="majorBidi" w:cstheme="majorBidi"/>
          <w:i/>
          <w:iCs/>
          <w:snapToGrid w:val="0"/>
          <w:kern w:val="22"/>
          <w:szCs w:val="22"/>
          <w:lang w:val="fr-CA"/>
        </w:rPr>
        <w:t>Invite</w:t>
      </w:r>
      <w:r w:rsidRPr="004F1B77">
        <w:rPr>
          <w:rFonts w:asciiTheme="majorBidi" w:hAnsiTheme="majorBidi" w:cstheme="majorBidi"/>
          <w:iCs/>
          <w:snapToGrid w:val="0"/>
          <w:kern w:val="22"/>
          <w:szCs w:val="22"/>
          <w:lang w:val="fr-CA"/>
        </w:rPr>
        <w:t xml:space="preserve"> le Groupe de gestion de l’environnement des Nations Unies à faciliter la </w:t>
      </w:r>
      <w:r w:rsidR="00E75497" w:rsidRPr="004F1B77">
        <w:rPr>
          <w:rFonts w:asciiTheme="majorBidi" w:hAnsiTheme="majorBidi" w:cstheme="majorBidi"/>
          <w:iCs/>
          <w:snapToGrid w:val="0"/>
          <w:kern w:val="22"/>
          <w:szCs w:val="22"/>
          <w:lang w:val="fr-CA"/>
        </w:rPr>
        <w:t xml:space="preserve">coordination à l’échelle du système des </w:t>
      </w:r>
      <w:r w:rsidRPr="004F1B77">
        <w:rPr>
          <w:rFonts w:asciiTheme="majorBidi" w:hAnsiTheme="majorBidi" w:cstheme="majorBidi"/>
          <w:iCs/>
          <w:snapToGrid w:val="0"/>
          <w:kern w:val="22"/>
          <w:szCs w:val="22"/>
          <w:lang w:val="fr-CA"/>
        </w:rPr>
        <w:t>Nations Unies pour contribuer à la réalisation des objectifs de la Convention, de ses Protocoles et du cadre mondial de la biodiversité pour l’après-2020, d’une manière qui respecte pleinement les mandats des différents accords multilatéraux sur l’environnement et organisations internationales;</w:t>
      </w:r>
    </w:p>
    <w:p w14:paraId="50D4F5F5" w14:textId="5681CC68"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lang w:val="fr-CA"/>
        </w:rPr>
      </w:pPr>
      <w:r w:rsidRPr="004F1B77">
        <w:rPr>
          <w:rFonts w:asciiTheme="majorBidi" w:hAnsiTheme="majorBidi" w:cstheme="majorBidi"/>
          <w:iCs/>
          <w:snapToGrid w:val="0"/>
          <w:kern w:val="22"/>
          <w:szCs w:val="22"/>
          <w:lang w:val="fr-CA"/>
        </w:rPr>
        <w:t>11.</w:t>
      </w:r>
      <w:r w:rsidRPr="004F1B77">
        <w:rPr>
          <w:rFonts w:asciiTheme="majorBidi" w:hAnsiTheme="majorBidi" w:cstheme="majorBidi"/>
          <w:iCs/>
          <w:snapToGrid w:val="0"/>
          <w:kern w:val="22"/>
          <w:szCs w:val="22"/>
          <w:lang w:val="fr-CA"/>
        </w:rPr>
        <w:tab/>
      </w:r>
      <w:r w:rsidRPr="004F1B77">
        <w:rPr>
          <w:rFonts w:asciiTheme="majorBidi" w:hAnsiTheme="majorBidi" w:cstheme="majorBidi"/>
          <w:i/>
          <w:iCs/>
          <w:snapToGrid w:val="0"/>
          <w:kern w:val="22"/>
          <w:szCs w:val="22"/>
          <w:lang w:val="fr-CA"/>
        </w:rPr>
        <w:t>Prie instamment</w:t>
      </w:r>
      <w:r w:rsidRPr="004F1B77">
        <w:rPr>
          <w:rFonts w:asciiTheme="majorBidi" w:hAnsiTheme="majorBidi" w:cstheme="majorBidi"/>
          <w:iCs/>
          <w:snapToGrid w:val="0"/>
          <w:kern w:val="22"/>
          <w:szCs w:val="22"/>
          <w:lang w:val="fr-CA"/>
        </w:rPr>
        <w:t xml:space="preserve"> les Parties, </w:t>
      </w:r>
      <w:r w:rsidR="00E75497" w:rsidRPr="000A5B3F">
        <w:rPr>
          <w:rFonts w:asciiTheme="majorBidi" w:hAnsiTheme="majorBidi" w:cstheme="majorBidi"/>
          <w:iCs/>
          <w:snapToGrid w:val="0"/>
          <w:kern w:val="22"/>
          <w:szCs w:val="22"/>
          <w:lang w:val="fr-CA"/>
        </w:rPr>
        <w:t>invite</w:t>
      </w:r>
      <w:r w:rsidR="00E75497" w:rsidRPr="004F1B77">
        <w:rPr>
          <w:rFonts w:asciiTheme="majorBidi" w:hAnsiTheme="majorBidi" w:cstheme="majorBidi"/>
          <w:i/>
          <w:iCs/>
          <w:snapToGrid w:val="0"/>
          <w:kern w:val="22"/>
          <w:szCs w:val="22"/>
          <w:lang w:val="fr-CA"/>
        </w:rPr>
        <w:t xml:space="preserve"> </w:t>
      </w:r>
      <w:r w:rsidR="00E75497" w:rsidRPr="004F1B77">
        <w:rPr>
          <w:rFonts w:asciiTheme="majorBidi" w:hAnsiTheme="majorBidi" w:cstheme="majorBidi"/>
          <w:iCs/>
          <w:snapToGrid w:val="0"/>
          <w:kern w:val="22"/>
          <w:szCs w:val="22"/>
          <w:lang w:val="fr-CA"/>
        </w:rPr>
        <w:t xml:space="preserve">les autres gouvernements et </w:t>
      </w:r>
      <w:r w:rsidR="00E75497" w:rsidRPr="000A5B3F">
        <w:rPr>
          <w:rFonts w:asciiTheme="majorBidi" w:hAnsiTheme="majorBidi" w:cstheme="majorBidi"/>
          <w:iCs/>
          <w:snapToGrid w:val="0"/>
          <w:kern w:val="22"/>
          <w:szCs w:val="22"/>
          <w:lang w:val="fr-CA"/>
        </w:rPr>
        <w:t>invite</w:t>
      </w:r>
      <w:r w:rsidR="00E75497" w:rsidRPr="004F1B77">
        <w:rPr>
          <w:rFonts w:asciiTheme="majorBidi" w:hAnsiTheme="majorBidi" w:cstheme="majorBidi"/>
          <w:i/>
          <w:iCs/>
          <w:snapToGrid w:val="0"/>
          <w:kern w:val="22"/>
          <w:szCs w:val="22"/>
          <w:lang w:val="fr-CA"/>
        </w:rPr>
        <w:t xml:space="preserve"> </w:t>
      </w:r>
      <w:r w:rsidRPr="004F1B77">
        <w:rPr>
          <w:rFonts w:asciiTheme="majorBidi" w:hAnsiTheme="majorBidi" w:cstheme="majorBidi"/>
          <w:iCs/>
          <w:snapToGrid w:val="0"/>
          <w:kern w:val="22"/>
          <w:szCs w:val="22"/>
          <w:lang w:val="fr-CA"/>
        </w:rPr>
        <w:t>les organisations non-gouvernementales, les peuples autochtones et communautés locales, les gouvernements infranationaux, les villes et les autres autorités locales, les groupes de femmes, les groupes de jeunes, la communauté des affaires et des finances, la communautés scientifique</w:t>
      </w:r>
      <w:r w:rsidR="000A5B3F">
        <w:rPr>
          <w:rFonts w:asciiTheme="majorBidi" w:hAnsiTheme="majorBidi" w:cstheme="majorBidi"/>
          <w:iCs/>
          <w:snapToGrid w:val="0"/>
          <w:kern w:val="22"/>
          <w:szCs w:val="22"/>
          <w:lang w:val="fr-CA"/>
        </w:rPr>
        <w:t>s</w:t>
      </w:r>
      <w:r w:rsidRPr="004F1B77">
        <w:rPr>
          <w:rFonts w:asciiTheme="majorBidi" w:hAnsiTheme="majorBidi" w:cstheme="majorBidi"/>
          <w:iCs/>
          <w:snapToGrid w:val="0"/>
          <w:kern w:val="22"/>
          <w:szCs w:val="22"/>
          <w:lang w:val="fr-CA"/>
        </w:rPr>
        <w:t xml:space="preserve">, le milieu universitaire, les organisations religieuses, les représentants des secteurs relatifs à la biodiversité ou dépendant de celle-ci, entre autres, de renforcer les actions menées pour améliorer les synergies dans la mise en œuvre </w:t>
      </w:r>
      <w:r w:rsidR="00E75497" w:rsidRPr="004F1B77">
        <w:rPr>
          <w:rFonts w:asciiTheme="majorBidi" w:hAnsiTheme="majorBidi" w:cstheme="majorBidi"/>
          <w:iCs/>
          <w:snapToGrid w:val="0"/>
          <w:kern w:val="22"/>
          <w:szCs w:val="22"/>
          <w:lang w:val="fr-CA"/>
        </w:rPr>
        <w:t xml:space="preserve">du cadre mondial de la biodiversité pour l'après-2020, </w:t>
      </w:r>
      <w:r w:rsidRPr="004F1B77">
        <w:rPr>
          <w:rFonts w:asciiTheme="majorBidi" w:hAnsiTheme="majorBidi" w:cstheme="majorBidi"/>
          <w:iCs/>
          <w:snapToGrid w:val="0"/>
          <w:kern w:val="22"/>
          <w:szCs w:val="22"/>
          <w:lang w:val="fr-CA"/>
        </w:rPr>
        <w:t xml:space="preserve">des Objectifs de développement durable, des conventions relatives à la biodiversité, des conventions de Rio et d’autres accords et initiatives multilatéraux pertinents au niveau national, </w:t>
      </w:r>
      <w:r w:rsidR="00E75497" w:rsidRPr="004F1B77">
        <w:rPr>
          <w:rFonts w:asciiTheme="majorBidi" w:hAnsiTheme="majorBidi" w:cstheme="majorBidi"/>
          <w:iCs/>
          <w:snapToGrid w:val="0"/>
          <w:kern w:val="22"/>
          <w:szCs w:val="22"/>
          <w:lang w:val="fr-CA"/>
        </w:rPr>
        <w:t>notamment</w:t>
      </w:r>
      <w:r w:rsidRPr="004F1B77">
        <w:rPr>
          <w:rFonts w:asciiTheme="majorBidi" w:hAnsiTheme="majorBidi" w:cstheme="majorBidi"/>
          <w:iCs/>
          <w:snapToGrid w:val="0"/>
          <w:kern w:val="22"/>
          <w:szCs w:val="22"/>
          <w:lang w:val="fr-CA"/>
        </w:rPr>
        <w:t xml:space="preserve"> au moyen de leurs processus de coordination, de planification, d’examen et d’établissement de rapports nationaux, </w:t>
      </w:r>
      <w:r w:rsidR="00992989" w:rsidRPr="004F1B77">
        <w:rPr>
          <w:rFonts w:asciiTheme="majorBidi" w:hAnsiTheme="majorBidi" w:cstheme="majorBidi"/>
          <w:iCs/>
          <w:snapToGrid w:val="0"/>
          <w:kern w:val="22"/>
          <w:szCs w:val="22"/>
          <w:lang w:val="fr-CA"/>
        </w:rPr>
        <w:t xml:space="preserve">dont </w:t>
      </w:r>
      <w:r w:rsidRPr="004F1B77">
        <w:rPr>
          <w:rFonts w:asciiTheme="majorBidi" w:hAnsiTheme="majorBidi" w:cstheme="majorBidi"/>
          <w:iCs/>
          <w:snapToGrid w:val="0"/>
          <w:kern w:val="22"/>
          <w:szCs w:val="22"/>
          <w:lang w:val="fr-CA"/>
        </w:rPr>
        <w:t xml:space="preserve">dans le cadre de </w:t>
      </w:r>
      <w:r w:rsidR="00992989" w:rsidRPr="004F1B77">
        <w:rPr>
          <w:rFonts w:asciiTheme="majorBidi" w:hAnsiTheme="majorBidi" w:cstheme="majorBidi"/>
          <w:iCs/>
          <w:snapToGrid w:val="0"/>
          <w:kern w:val="22"/>
          <w:szCs w:val="22"/>
          <w:lang w:val="fr-CA"/>
        </w:rPr>
        <w:t xml:space="preserve">plateformes communes et volontaires </w:t>
      </w:r>
      <w:r w:rsidRPr="004F1B77">
        <w:rPr>
          <w:rFonts w:asciiTheme="majorBidi" w:hAnsiTheme="majorBidi" w:cstheme="majorBidi"/>
          <w:iCs/>
          <w:snapToGrid w:val="0"/>
          <w:kern w:val="22"/>
          <w:szCs w:val="22"/>
          <w:lang w:val="fr-CA"/>
        </w:rPr>
        <w:t xml:space="preserve">de communication des données comme </w:t>
      </w:r>
      <w:proofErr w:type="spellStart"/>
      <w:r w:rsidRPr="004F1B77">
        <w:rPr>
          <w:rFonts w:asciiTheme="majorBidi" w:hAnsiTheme="majorBidi" w:cstheme="majorBidi"/>
          <w:iCs/>
          <w:snapToGrid w:val="0"/>
          <w:kern w:val="22"/>
          <w:szCs w:val="22"/>
          <w:lang w:val="fr-CA"/>
        </w:rPr>
        <w:t>DaRT</w:t>
      </w:r>
      <w:proofErr w:type="spellEnd"/>
      <w:r w:rsidRPr="004F1B77">
        <w:rPr>
          <w:rFonts w:asciiTheme="majorBidi" w:hAnsiTheme="majorBidi" w:cstheme="majorBidi"/>
          <w:iCs/>
          <w:snapToGrid w:val="0"/>
          <w:kern w:val="22"/>
          <w:szCs w:val="22"/>
          <w:lang w:val="fr-CA"/>
        </w:rPr>
        <w:t>, conformément aux options pour une action au niveau national énoncées dans la décision XIII/24</w:t>
      </w:r>
      <w:r w:rsidRPr="004F1B77">
        <w:rPr>
          <w:rStyle w:val="FootnoteReference"/>
          <w:rFonts w:asciiTheme="majorBidi" w:hAnsiTheme="majorBidi" w:cstheme="majorBidi"/>
          <w:iCs/>
          <w:snapToGrid w:val="0"/>
          <w:kern w:val="22"/>
          <w:szCs w:val="22"/>
          <w:lang w:val="fr-CA"/>
        </w:rPr>
        <w:footnoteReference w:id="7"/>
      </w:r>
      <w:r w:rsidRPr="004F1B77">
        <w:rPr>
          <w:rFonts w:asciiTheme="majorBidi" w:hAnsiTheme="majorBidi" w:cstheme="majorBidi"/>
          <w:iCs/>
          <w:snapToGrid w:val="0"/>
          <w:kern w:val="22"/>
          <w:szCs w:val="22"/>
          <w:lang w:val="fr-CA"/>
        </w:rPr>
        <w:t>, et conformément aux circonstances et priorités nationales</w:t>
      </w:r>
      <w:r w:rsidRPr="004F1B77">
        <w:rPr>
          <w:rFonts w:asciiTheme="majorBidi" w:eastAsiaTheme="minorEastAsia" w:hAnsiTheme="majorBidi" w:cstheme="majorBidi"/>
          <w:szCs w:val="22"/>
          <w:lang w:val="fr-CA"/>
        </w:rPr>
        <w:t>;</w:t>
      </w:r>
    </w:p>
    <w:p w14:paraId="14ECA1F5" w14:textId="77777777"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lang w:val="fr-CA"/>
        </w:rPr>
      </w:pPr>
      <w:r w:rsidRPr="004F1B77">
        <w:rPr>
          <w:rFonts w:asciiTheme="majorBidi" w:hAnsiTheme="majorBidi" w:cstheme="majorBidi"/>
          <w:szCs w:val="22"/>
          <w:lang w:val="fr-CA"/>
        </w:rPr>
        <w:t>12.</w:t>
      </w:r>
      <w:r w:rsidRPr="004F1B77">
        <w:rPr>
          <w:rFonts w:asciiTheme="majorBidi" w:hAnsiTheme="majorBidi" w:cstheme="majorBidi"/>
          <w:szCs w:val="22"/>
          <w:lang w:val="fr-CA"/>
        </w:rPr>
        <w:tab/>
      </w:r>
      <w:r w:rsidRPr="004F1B77">
        <w:rPr>
          <w:rFonts w:asciiTheme="majorBidi" w:hAnsiTheme="majorBidi" w:cstheme="majorBidi"/>
          <w:i/>
          <w:iCs/>
          <w:szCs w:val="22"/>
          <w:lang w:val="fr-CA"/>
        </w:rPr>
        <w:t xml:space="preserve"> Encourage</w:t>
      </w:r>
      <w:r w:rsidRPr="004F1B77">
        <w:rPr>
          <w:rFonts w:asciiTheme="majorBidi" w:hAnsiTheme="majorBidi" w:cstheme="majorBidi"/>
          <w:szCs w:val="22"/>
          <w:lang w:val="fr-CA"/>
        </w:rPr>
        <w:t xml:space="preserve"> les Parties à appliquer la Convention et les autres conventions relatives à la biodiversité et accords multilatéraux auxquels ils sont Parties, d’une manière complémentaire, notamment en révisant et en actualisant leurs stratégies et plans d’action nationaux pour la biodiversité, afin de permettre la mise en œuvre effective du cadre mondial de la biodiversité pour l’après-2020;</w:t>
      </w:r>
    </w:p>
    <w:p w14:paraId="313B8890" w14:textId="0CD0544B" w:rsidR="00992989" w:rsidRPr="004F1B77" w:rsidRDefault="00992989" w:rsidP="00E94DB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lang w:val="fr-CA"/>
        </w:rPr>
      </w:pPr>
      <w:r w:rsidRPr="004F1B77">
        <w:rPr>
          <w:rFonts w:asciiTheme="majorBidi" w:hAnsiTheme="majorBidi" w:cstheme="majorBidi"/>
          <w:szCs w:val="22"/>
          <w:lang w:val="fr-CA"/>
        </w:rPr>
        <w:t>13.</w:t>
      </w:r>
      <w:r w:rsidRPr="004F1B77">
        <w:rPr>
          <w:rFonts w:asciiTheme="majorBidi" w:hAnsiTheme="majorBidi" w:cstheme="majorBidi"/>
          <w:szCs w:val="22"/>
          <w:lang w:val="fr-CA"/>
        </w:rPr>
        <w:tab/>
      </w:r>
      <w:r w:rsidRPr="004F1B77">
        <w:rPr>
          <w:rFonts w:asciiTheme="majorBidi" w:hAnsiTheme="majorBidi" w:cstheme="majorBidi"/>
          <w:i/>
          <w:szCs w:val="22"/>
          <w:lang w:val="fr-CA"/>
        </w:rPr>
        <w:t>Invite</w:t>
      </w:r>
      <w:r w:rsidRPr="004F1B77">
        <w:rPr>
          <w:rFonts w:asciiTheme="majorBidi" w:hAnsiTheme="majorBidi" w:cstheme="majorBidi"/>
          <w:szCs w:val="22"/>
          <w:lang w:val="fr-CA"/>
        </w:rPr>
        <w:t xml:space="preserve"> le Partenariat mondial </w:t>
      </w:r>
      <w:r w:rsidR="00646B44" w:rsidRPr="004F1B77">
        <w:rPr>
          <w:rFonts w:asciiTheme="majorBidi" w:hAnsiTheme="majorBidi" w:cstheme="majorBidi"/>
          <w:szCs w:val="22"/>
          <w:lang w:val="fr-CA"/>
        </w:rPr>
        <w:t>pour</w:t>
      </w:r>
      <w:r w:rsidRPr="004F1B77">
        <w:rPr>
          <w:rFonts w:asciiTheme="majorBidi" w:hAnsiTheme="majorBidi" w:cstheme="majorBidi"/>
          <w:szCs w:val="22"/>
          <w:lang w:val="fr-CA"/>
        </w:rPr>
        <w:t xml:space="preserve"> la conservation des plantes, avec l’appui du Secrétariat, </w:t>
      </w:r>
      <w:r w:rsidR="00A475B8" w:rsidRPr="004F1B77">
        <w:rPr>
          <w:rFonts w:asciiTheme="majorBidi" w:hAnsiTheme="majorBidi" w:cstheme="majorBidi"/>
          <w:szCs w:val="22"/>
          <w:lang w:val="fr-CA"/>
        </w:rPr>
        <w:t>à préparer une sé</w:t>
      </w:r>
      <w:r w:rsidRPr="004F1B77">
        <w:rPr>
          <w:rFonts w:asciiTheme="majorBidi" w:hAnsiTheme="majorBidi" w:cstheme="majorBidi"/>
          <w:szCs w:val="22"/>
          <w:lang w:val="fr-CA"/>
        </w:rPr>
        <w:t>rie de mesures complémentaires liées à la conservation des plantes</w:t>
      </w:r>
      <w:r w:rsidR="00A475B8" w:rsidRPr="004F1B77">
        <w:rPr>
          <w:rFonts w:asciiTheme="majorBidi" w:hAnsiTheme="majorBidi" w:cstheme="majorBidi"/>
          <w:szCs w:val="22"/>
          <w:lang w:val="fr-CA"/>
        </w:rPr>
        <w:t>,</w:t>
      </w:r>
      <w:r w:rsidRPr="004F1B77">
        <w:rPr>
          <w:rFonts w:asciiTheme="majorBidi" w:hAnsiTheme="majorBidi" w:cstheme="majorBidi"/>
          <w:szCs w:val="22"/>
          <w:lang w:val="fr-CA"/>
        </w:rPr>
        <w:t xml:space="preserve"> afin de soutenir la mise en œuvre du cadre mondial de la biodiversité pour l'après-2020 </w:t>
      </w:r>
      <w:r w:rsidR="00A475B8" w:rsidRPr="004F1B77">
        <w:rPr>
          <w:rFonts w:asciiTheme="majorBidi" w:hAnsiTheme="majorBidi" w:cstheme="majorBidi"/>
          <w:szCs w:val="22"/>
          <w:lang w:val="fr-CA"/>
        </w:rPr>
        <w:t xml:space="preserve">dans le respect de la version finale du cadre, d’autres décision pertinentes adoptées par la Conférence des Parties à sa quinzième réunion, ainsi que des expériences antérieures dans la mise en œuvre de la stratégie mondiale pour la conservation des plantes décrite dans la cinquième édition des </w:t>
      </w:r>
      <w:r w:rsidR="00A475B8" w:rsidRPr="004F1B77">
        <w:rPr>
          <w:rFonts w:asciiTheme="majorBidi" w:hAnsiTheme="majorBidi" w:cstheme="majorBidi"/>
          <w:i/>
          <w:szCs w:val="22"/>
          <w:lang w:val="fr-CA"/>
        </w:rPr>
        <w:t>Perspectives mondiales de la diversité biologique</w:t>
      </w:r>
      <w:r w:rsidR="00A475B8" w:rsidRPr="004F1B77">
        <w:rPr>
          <w:rFonts w:asciiTheme="majorBidi" w:hAnsiTheme="majorBidi" w:cstheme="majorBidi"/>
          <w:szCs w:val="22"/>
          <w:lang w:val="fr-CA"/>
        </w:rPr>
        <w:t xml:space="preserve"> et le rapport de conservation des plantes 2020, aux fins d’examen à une réunion de </w:t>
      </w:r>
      <w:r w:rsidR="00A475B8" w:rsidRPr="004F1B77">
        <w:rPr>
          <w:szCs w:val="22"/>
          <w:lang w:val="fr-CA"/>
        </w:rPr>
        <w:t xml:space="preserve">l’Organe subsidiaire chargé de fournir des avis scientifiques, techniques et technologiques </w:t>
      </w:r>
      <w:r w:rsidR="00F4002F" w:rsidRPr="004F1B77">
        <w:rPr>
          <w:szCs w:val="22"/>
          <w:lang w:val="fr-CA"/>
        </w:rPr>
        <w:t xml:space="preserve">qui </w:t>
      </w:r>
      <w:r w:rsidR="00106E5E" w:rsidRPr="004F1B77">
        <w:rPr>
          <w:szCs w:val="22"/>
          <w:lang w:val="fr-CA"/>
        </w:rPr>
        <w:t>aura lieu après</w:t>
      </w:r>
      <w:r w:rsidR="00A475B8" w:rsidRPr="004F1B77">
        <w:rPr>
          <w:szCs w:val="22"/>
          <w:lang w:val="fr-CA"/>
        </w:rPr>
        <w:t xml:space="preserve"> la quinzième</w:t>
      </w:r>
      <w:r w:rsidR="00A475B8" w:rsidRPr="004F1B77">
        <w:rPr>
          <w:rFonts w:asciiTheme="majorBidi" w:hAnsiTheme="majorBidi" w:cstheme="majorBidi"/>
          <w:szCs w:val="22"/>
          <w:lang w:val="fr-CA"/>
        </w:rPr>
        <w:t xml:space="preserve"> réunion de la Conférence des Parties ;</w:t>
      </w:r>
    </w:p>
    <w:p w14:paraId="00182BD7" w14:textId="77777777" w:rsidR="00F4002F"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lang w:val="fr-CA"/>
        </w:rPr>
      </w:pPr>
      <w:bookmarkStart w:id="3" w:name="_Hlk98846463"/>
      <w:r w:rsidRPr="004F1B77">
        <w:rPr>
          <w:rFonts w:asciiTheme="majorBidi" w:hAnsiTheme="majorBidi" w:cstheme="majorBidi"/>
          <w:szCs w:val="22"/>
          <w:lang w:val="fr-CA"/>
        </w:rPr>
        <w:t>1</w:t>
      </w:r>
      <w:r w:rsidR="00F4002F" w:rsidRPr="004F1B77">
        <w:rPr>
          <w:rFonts w:asciiTheme="majorBidi" w:hAnsiTheme="majorBidi" w:cstheme="majorBidi"/>
          <w:szCs w:val="22"/>
          <w:lang w:val="fr-CA"/>
        </w:rPr>
        <w:t>4</w:t>
      </w:r>
      <w:r w:rsidRPr="004F1B77">
        <w:rPr>
          <w:rFonts w:asciiTheme="majorBidi" w:hAnsiTheme="majorBidi" w:cstheme="majorBidi"/>
          <w:szCs w:val="22"/>
          <w:lang w:val="fr-CA"/>
        </w:rPr>
        <w:t>.</w:t>
      </w:r>
      <w:r w:rsidRPr="004F1B77">
        <w:rPr>
          <w:rFonts w:asciiTheme="majorBidi" w:hAnsiTheme="majorBidi" w:cstheme="majorBidi"/>
          <w:szCs w:val="22"/>
          <w:lang w:val="fr-CA"/>
        </w:rPr>
        <w:tab/>
      </w:r>
      <w:r w:rsidRPr="004F1B77">
        <w:rPr>
          <w:rFonts w:asciiTheme="majorBidi" w:hAnsiTheme="majorBidi" w:cstheme="majorBidi"/>
          <w:i/>
          <w:iCs/>
          <w:szCs w:val="22"/>
          <w:lang w:val="fr-CA"/>
        </w:rPr>
        <w:t xml:space="preserve"> Prie</w:t>
      </w:r>
      <w:r w:rsidRPr="004F1B77">
        <w:rPr>
          <w:rFonts w:asciiTheme="majorBidi" w:hAnsiTheme="majorBidi" w:cstheme="majorBidi"/>
          <w:szCs w:val="22"/>
          <w:lang w:val="fr-CA"/>
        </w:rPr>
        <w:t xml:space="preserve"> la Secrétaire exécutive, </w:t>
      </w:r>
      <w:r w:rsidRPr="004F1B77">
        <w:rPr>
          <w:rFonts w:asciiTheme="majorBidi" w:hAnsiTheme="majorBidi" w:cstheme="majorBidi"/>
          <w:snapToGrid w:val="0"/>
          <w:kern w:val="22"/>
          <w:szCs w:val="22"/>
          <w:lang w:val="fr-CA"/>
        </w:rPr>
        <w:t>dans la limite des ressources disponibles</w:t>
      </w:r>
      <w:r w:rsidRPr="004F1B77">
        <w:rPr>
          <w:rFonts w:asciiTheme="majorBidi" w:hAnsiTheme="majorBidi" w:cstheme="majorBidi"/>
          <w:szCs w:val="22"/>
          <w:lang w:val="fr-CA"/>
        </w:rPr>
        <w:t xml:space="preserve">, </w:t>
      </w:r>
    </w:p>
    <w:p w14:paraId="550DE156" w14:textId="601B4F42" w:rsidR="00E94DB9" w:rsidRPr="004F1B77" w:rsidRDefault="00F4002F" w:rsidP="00E94DB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lang w:val="fr-CA"/>
        </w:rPr>
      </w:pPr>
      <w:r w:rsidRPr="004F1B77">
        <w:rPr>
          <w:rFonts w:asciiTheme="majorBidi" w:hAnsiTheme="majorBidi" w:cstheme="majorBidi"/>
          <w:szCs w:val="22"/>
          <w:lang w:val="fr-CA"/>
        </w:rPr>
        <w:t>a)</w:t>
      </w:r>
      <w:r w:rsidRPr="004F1B77">
        <w:rPr>
          <w:rFonts w:asciiTheme="majorBidi" w:hAnsiTheme="majorBidi" w:cstheme="majorBidi"/>
          <w:szCs w:val="22"/>
          <w:lang w:val="fr-CA"/>
        </w:rPr>
        <w:tab/>
        <w:t>D</w:t>
      </w:r>
      <w:r w:rsidR="00E94DB9" w:rsidRPr="004F1B77">
        <w:rPr>
          <w:rFonts w:asciiTheme="majorBidi" w:hAnsiTheme="majorBidi" w:cstheme="majorBidi"/>
          <w:szCs w:val="22"/>
          <w:lang w:val="fr-CA"/>
        </w:rPr>
        <w:t xml:space="preserve">’identifier, d’élaborer et de fournir </w:t>
      </w:r>
      <w:r w:rsidRPr="004F1B77">
        <w:rPr>
          <w:rFonts w:asciiTheme="majorBidi" w:hAnsiTheme="majorBidi" w:cstheme="majorBidi"/>
          <w:szCs w:val="22"/>
          <w:lang w:val="fr-CA"/>
        </w:rPr>
        <w:t>[</w:t>
      </w:r>
      <w:r w:rsidR="00E94DB9" w:rsidRPr="004F1B77">
        <w:rPr>
          <w:rFonts w:asciiTheme="majorBidi" w:hAnsiTheme="majorBidi" w:cstheme="majorBidi"/>
          <w:szCs w:val="22"/>
          <w:lang w:val="fr-CA"/>
        </w:rPr>
        <w:t>toute orientation et</w:t>
      </w:r>
      <w:r w:rsidRPr="004F1B77">
        <w:rPr>
          <w:rFonts w:asciiTheme="majorBidi" w:hAnsiTheme="majorBidi" w:cstheme="majorBidi"/>
          <w:szCs w:val="22"/>
          <w:lang w:val="fr-CA"/>
        </w:rPr>
        <w:t>] [tout]</w:t>
      </w:r>
      <w:r w:rsidR="00E94DB9" w:rsidRPr="004F1B77">
        <w:rPr>
          <w:rFonts w:asciiTheme="majorBidi" w:hAnsiTheme="majorBidi" w:cstheme="majorBidi"/>
          <w:szCs w:val="22"/>
          <w:lang w:val="fr-CA"/>
        </w:rPr>
        <w:t xml:space="preserve"> soutien technique requis, qui contribueront à encourager et à aider d’autres conventions relatives à la biodiversité, accords multilatéraux sur l’environnement, organisations internationales et d’autres programmes pertinents à contribuer à la mise en œuvre du cadre mondial de la biodiversité pour l’après-2020</w:t>
      </w:r>
      <w:r w:rsidRPr="004F1B77">
        <w:rPr>
          <w:rFonts w:asciiTheme="majorBidi" w:hAnsiTheme="majorBidi" w:cstheme="majorBidi"/>
          <w:szCs w:val="22"/>
          <w:lang w:val="fr-CA"/>
        </w:rPr>
        <w:t xml:space="preserve"> et, en consultation avec</w:t>
      </w:r>
      <w:r w:rsidR="002922DB" w:rsidRPr="004F1B77">
        <w:rPr>
          <w:rFonts w:asciiTheme="majorBidi" w:hAnsiTheme="majorBidi" w:cstheme="majorBidi"/>
          <w:szCs w:val="22"/>
          <w:lang w:val="fr-CA"/>
        </w:rPr>
        <w:t xml:space="preserve"> leurs secrétariats, recenser l</w:t>
      </w:r>
      <w:r w:rsidRPr="004F1B77">
        <w:rPr>
          <w:rFonts w:asciiTheme="majorBidi" w:hAnsiTheme="majorBidi" w:cstheme="majorBidi"/>
          <w:szCs w:val="22"/>
          <w:lang w:val="fr-CA"/>
        </w:rPr>
        <w:t>es occasions de coopérer avec les conventions liées à la diversité biologiqu</w:t>
      </w:r>
      <w:r w:rsidR="002922DB" w:rsidRPr="004F1B77">
        <w:rPr>
          <w:rFonts w:asciiTheme="majorBidi" w:hAnsiTheme="majorBidi" w:cstheme="majorBidi"/>
          <w:szCs w:val="22"/>
          <w:lang w:val="fr-CA"/>
        </w:rPr>
        <w:t>e et autres accords et organisa</w:t>
      </w:r>
      <w:r w:rsidRPr="004F1B77">
        <w:rPr>
          <w:rFonts w:asciiTheme="majorBidi" w:hAnsiTheme="majorBidi" w:cstheme="majorBidi"/>
          <w:szCs w:val="22"/>
          <w:lang w:val="fr-CA"/>
        </w:rPr>
        <w:t>t</w:t>
      </w:r>
      <w:r w:rsidR="002922DB" w:rsidRPr="004F1B77">
        <w:rPr>
          <w:rFonts w:asciiTheme="majorBidi" w:hAnsiTheme="majorBidi" w:cstheme="majorBidi"/>
          <w:szCs w:val="22"/>
          <w:lang w:val="fr-CA"/>
        </w:rPr>
        <w:t>i</w:t>
      </w:r>
      <w:r w:rsidRPr="004F1B77">
        <w:rPr>
          <w:rFonts w:asciiTheme="majorBidi" w:hAnsiTheme="majorBidi" w:cstheme="majorBidi"/>
          <w:szCs w:val="22"/>
          <w:lang w:val="fr-CA"/>
        </w:rPr>
        <w:t>ons per</w:t>
      </w:r>
      <w:r w:rsidR="002922DB" w:rsidRPr="004F1B77">
        <w:rPr>
          <w:rFonts w:asciiTheme="majorBidi" w:hAnsiTheme="majorBidi" w:cstheme="majorBidi"/>
          <w:szCs w:val="22"/>
          <w:lang w:val="fr-CA"/>
        </w:rPr>
        <w:t>tinents lié</w:t>
      </w:r>
      <w:r w:rsidRPr="004F1B77">
        <w:rPr>
          <w:rFonts w:asciiTheme="majorBidi" w:hAnsiTheme="majorBidi" w:cstheme="majorBidi"/>
          <w:szCs w:val="22"/>
          <w:lang w:val="fr-CA"/>
        </w:rPr>
        <w:t>s à la diversité biologique</w:t>
      </w:r>
      <w:r w:rsidR="002922DB" w:rsidRPr="004F1B77">
        <w:rPr>
          <w:rFonts w:asciiTheme="majorBidi" w:hAnsiTheme="majorBidi" w:cstheme="majorBidi"/>
          <w:szCs w:val="22"/>
          <w:lang w:val="fr-CA"/>
        </w:rPr>
        <w:t xml:space="preserve">, dans le but précis de contribuer à réaliser les objectifs et cibles du cadre mondial de la biodiversité </w:t>
      </w:r>
      <w:r w:rsidR="002922DB" w:rsidRPr="004F1B77">
        <w:rPr>
          <w:rFonts w:asciiTheme="majorBidi" w:hAnsiTheme="majorBidi" w:cstheme="majorBidi"/>
          <w:szCs w:val="22"/>
          <w:lang w:val="fr-CA"/>
        </w:rPr>
        <w:lastRenderedPageBreak/>
        <w:t>pour l'après-2020 et fournir une liste des initiatives et plans d’action pertinents, pour examen par l’Organe subsidiaire chargé de l'application à sa quatrième réunion</w:t>
      </w:r>
      <w:r w:rsidR="00E94DB9" w:rsidRPr="004F1B77">
        <w:rPr>
          <w:rFonts w:asciiTheme="majorBidi" w:hAnsiTheme="majorBidi" w:cstheme="majorBidi"/>
          <w:szCs w:val="22"/>
          <w:lang w:val="fr-CA"/>
        </w:rPr>
        <w:t>;</w:t>
      </w:r>
    </w:p>
    <w:p w14:paraId="108A75F7" w14:textId="1FF6CA41" w:rsidR="00E94DB9" w:rsidRPr="004F1B77" w:rsidRDefault="002922DB" w:rsidP="002922DB">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lang w:val="fr-CA"/>
        </w:rPr>
      </w:pPr>
      <w:r w:rsidRPr="004F1B77">
        <w:rPr>
          <w:rFonts w:asciiTheme="majorBidi" w:hAnsiTheme="majorBidi" w:cstheme="majorBidi"/>
          <w:szCs w:val="22"/>
          <w:lang w:val="fr-CA"/>
        </w:rPr>
        <w:t>b)</w:t>
      </w:r>
      <w:r w:rsidRPr="004F1B77">
        <w:rPr>
          <w:rFonts w:asciiTheme="majorBidi" w:hAnsiTheme="majorBidi" w:cstheme="majorBidi"/>
          <w:szCs w:val="22"/>
          <w:lang w:val="fr-CA"/>
        </w:rPr>
        <w:tab/>
        <w:t xml:space="preserve">En </w:t>
      </w:r>
      <w:bookmarkEnd w:id="3"/>
      <w:r w:rsidR="00E94DB9" w:rsidRPr="004F1B77">
        <w:rPr>
          <w:rFonts w:asciiTheme="majorBidi" w:hAnsiTheme="majorBidi" w:cstheme="majorBidi"/>
          <w:snapToGrid w:val="0"/>
          <w:kern w:val="22"/>
          <w:szCs w:val="22"/>
          <w:lang w:val="fr-CA"/>
        </w:rPr>
        <w:t xml:space="preserve">consultation avec les </w:t>
      </w:r>
      <w:r w:rsidR="00E94DB9" w:rsidRPr="004F1B77">
        <w:rPr>
          <w:rFonts w:asciiTheme="majorBidi" w:hAnsiTheme="majorBidi" w:cstheme="majorBidi"/>
          <w:szCs w:val="22"/>
          <w:lang w:val="fr-CA"/>
        </w:rPr>
        <w:t xml:space="preserve">Parties et </w:t>
      </w:r>
      <w:r w:rsidR="00E94DB9" w:rsidRPr="004F1B77">
        <w:rPr>
          <w:rFonts w:asciiTheme="majorBidi" w:hAnsiTheme="majorBidi" w:cstheme="majorBidi"/>
          <w:snapToGrid w:val="0"/>
          <w:kern w:val="22"/>
          <w:szCs w:val="22"/>
          <w:lang w:val="fr-CA"/>
        </w:rPr>
        <w:t xml:space="preserve">les secrétariats des </w:t>
      </w:r>
      <w:r w:rsidR="00E94DB9" w:rsidRPr="004F1B77">
        <w:rPr>
          <w:rFonts w:asciiTheme="majorBidi" w:hAnsiTheme="majorBidi" w:cstheme="majorBidi"/>
          <w:szCs w:val="22"/>
          <w:lang w:val="fr-CA"/>
        </w:rPr>
        <w:t>conventions relatives à la biodiversité</w:t>
      </w:r>
      <w:r w:rsidR="00E94DB9" w:rsidRPr="004F1B77">
        <w:rPr>
          <w:rFonts w:asciiTheme="majorBidi" w:hAnsiTheme="majorBidi" w:cstheme="majorBidi"/>
          <w:snapToGrid w:val="0"/>
          <w:kern w:val="22"/>
          <w:szCs w:val="22"/>
          <w:lang w:val="fr-CA"/>
        </w:rPr>
        <w:t>,</w:t>
      </w:r>
      <w:r w:rsidR="00E94DB9" w:rsidRPr="004F1B77">
        <w:rPr>
          <w:rFonts w:asciiTheme="majorBidi" w:hAnsiTheme="majorBidi" w:cstheme="majorBidi"/>
          <w:szCs w:val="22"/>
          <w:lang w:val="fr-CA"/>
        </w:rPr>
        <w:t xml:space="preserve"> d’autres accords multilatéraux et organisations et processus internationaux, en s’appuyant lorsque cela est possible sur des mécanismes existants</w:t>
      </w:r>
      <w:r w:rsidR="00E94DB9" w:rsidRPr="004F1B77">
        <w:rPr>
          <w:rFonts w:asciiTheme="majorBidi" w:hAnsiTheme="majorBidi" w:cstheme="majorBidi"/>
          <w:snapToGrid w:val="0"/>
          <w:kern w:val="22"/>
          <w:szCs w:val="22"/>
          <w:lang w:val="fr-CA"/>
        </w:rPr>
        <w:t>, de continuer à mettre en œuvre les principales actions énoncées dans les</w:t>
      </w:r>
      <w:r w:rsidR="00E94DB9" w:rsidRPr="004F1B77">
        <w:rPr>
          <w:rFonts w:asciiTheme="majorBidi" w:hAnsiTheme="majorBidi" w:cstheme="majorBidi"/>
          <w:szCs w:val="22"/>
          <w:lang w:val="fr-CA"/>
        </w:rPr>
        <w:t xml:space="preserve"> décisions 14/30 et </w:t>
      </w:r>
      <w:r w:rsidR="000A5B3F">
        <w:rPr>
          <w:rFonts w:asciiTheme="majorBidi" w:hAnsiTheme="majorBidi" w:cstheme="majorBidi"/>
          <w:szCs w:val="22"/>
          <w:lang w:val="fr-CA"/>
        </w:rPr>
        <w:t>XIII</w:t>
      </w:r>
      <w:r w:rsidR="00E94DB9" w:rsidRPr="004F1B77">
        <w:rPr>
          <w:rFonts w:asciiTheme="majorBidi" w:hAnsiTheme="majorBidi" w:cstheme="majorBidi"/>
          <w:szCs w:val="22"/>
          <w:lang w:val="fr-CA"/>
        </w:rPr>
        <w:t xml:space="preserve">/24 </w:t>
      </w:r>
      <w:r w:rsidR="00E94DB9" w:rsidRPr="004F1B77">
        <w:rPr>
          <w:rFonts w:asciiTheme="majorBidi" w:hAnsiTheme="majorBidi" w:cstheme="majorBidi"/>
          <w:snapToGrid w:val="0"/>
          <w:kern w:val="22"/>
          <w:szCs w:val="22"/>
          <w:lang w:val="fr-CA"/>
        </w:rPr>
        <w:t xml:space="preserve">pour améliorer les synergies entre les conventions relatives à la biodiversité et </w:t>
      </w:r>
      <w:r w:rsidR="00E94DB9" w:rsidRPr="004F1B77">
        <w:rPr>
          <w:rFonts w:asciiTheme="majorBidi" w:hAnsiTheme="majorBidi" w:cstheme="majorBidi"/>
          <w:szCs w:val="22"/>
          <w:lang w:val="fr-CA"/>
        </w:rPr>
        <w:t xml:space="preserve">pour coopérer avec d’autres accords multilatéraux pertinents au niveau </w:t>
      </w:r>
      <w:r w:rsidR="00E94DB9" w:rsidRPr="004F1B77">
        <w:rPr>
          <w:rFonts w:asciiTheme="majorBidi" w:hAnsiTheme="majorBidi" w:cstheme="majorBidi"/>
          <w:snapToGrid w:val="0"/>
          <w:kern w:val="22"/>
          <w:szCs w:val="22"/>
          <w:lang w:val="fr-CA"/>
        </w:rPr>
        <w:t>international</w:t>
      </w:r>
      <w:r w:rsidR="00E94DB9" w:rsidRPr="004F1B77">
        <w:rPr>
          <w:rFonts w:asciiTheme="majorBidi" w:hAnsiTheme="majorBidi" w:cstheme="majorBidi"/>
          <w:szCs w:val="22"/>
          <w:lang w:val="fr-CA"/>
        </w:rPr>
        <w:t>, d’une manière conforme à leurs mandats</w:t>
      </w:r>
      <w:r w:rsidR="00E94DB9" w:rsidRPr="004F1B77">
        <w:rPr>
          <w:rFonts w:asciiTheme="majorBidi" w:hAnsiTheme="majorBidi" w:cstheme="majorBidi"/>
          <w:iCs/>
          <w:snapToGrid w:val="0"/>
          <w:kern w:val="22"/>
          <w:szCs w:val="22"/>
          <w:lang w:val="fr-CA"/>
        </w:rPr>
        <w:t>;</w:t>
      </w:r>
    </w:p>
    <w:p w14:paraId="2ADC306A" w14:textId="7D555CD7" w:rsidR="00E94DB9" w:rsidRPr="004F1B77" w:rsidRDefault="00CD3B3B" w:rsidP="002922DB">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napToGrid w:val="0"/>
          <w:kern w:val="22"/>
          <w:szCs w:val="22"/>
          <w:lang w:val="fr-CA"/>
        </w:rPr>
      </w:pPr>
      <w:r w:rsidRPr="004F1B77">
        <w:rPr>
          <w:rFonts w:asciiTheme="majorBidi" w:hAnsiTheme="majorBidi" w:cstheme="majorBidi"/>
          <w:iCs/>
          <w:snapToGrid w:val="0"/>
          <w:kern w:val="22"/>
          <w:szCs w:val="22"/>
          <w:lang w:val="fr-CA"/>
        </w:rPr>
        <w:t>[</w:t>
      </w:r>
      <w:r w:rsidR="002922DB" w:rsidRPr="004F1B77">
        <w:rPr>
          <w:rFonts w:asciiTheme="majorBidi" w:hAnsiTheme="majorBidi" w:cstheme="majorBidi"/>
          <w:iCs/>
          <w:snapToGrid w:val="0"/>
          <w:kern w:val="22"/>
          <w:szCs w:val="22"/>
          <w:lang w:val="fr-CA"/>
        </w:rPr>
        <w:t>c)</w:t>
      </w:r>
      <w:r w:rsidR="002922DB" w:rsidRPr="004F1B77">
        <w:rPr>
          <w:rFonts w:asciiTheme="majorBidi" w:hAnsiTheme="majorBidi" w:cstheme="majorBidi"/>
          <w:iCs/>
          <w:snapToGrid w:val="0"/>
          <w:kern w:val="22"/>
          <w:szCs w:val="22"/>
          <w:lang w:val="fr-CA"/>
        </w:rPr>
        <w:tab/>
        <w:t xml:space="preserve">En consultation </w:t>
      </w:r>
      <w:r w:rsidR="00E94DB9" w:rsidRPr="004F1B77">
        <w:rPr>
          <w:rFonts w:asciiTheme="majorBidi" w:hAnsiTheme="majorBidi" w:cstheme="majorBidi"/>
          <w:snapToGrid w:val="0"/>
          <w:kern w:val="22"/>
          <w:szCs w:val="22"/>
          <w:lang w:val="fr-CA"/>
        </w:rPr>
        <w:t xml:space="preserve">avec le Groupe de liaison des conventions relatives à la biodiversité et le groupe consultatif informel sur les synergies, </w:t>
      </w:r>
      <w:r w:rsidRPr="004F1B77">
        <w:rPr>
          <w:rFonts w:asciiTheme="majorBidi" w:hAnsiTheme="majorBidi" w:cstheme="majorBidi"/>
          <w:snapToGrid w:val="0"/>
          <w:kern w:val="22"/>
          <w:szCs w:val="22"/>
          <w:lang w:val="fr-CA"/>
        </w:rPr>
        <w:t>[</w:t>
      </w:r>
      <w:r w:rsidR="00E94DB9" w:rsidRPr="004F1B77">
        <w:rPr>
          <w:rFonts w:asciiTheme="majorBidi" w:hAnsiTheme="majorBidi" w:cstheme="majorBidi"/>
          <w:snapToGrid w:val="0"/>
          <w:kern w:val="22"/>
          <w:szCs w:val="22"/>
          <w:lang w:val="fr-CA"/>
        </w:rPr>
        <w:t xml:space="preserve">d’examiner </w:t>
      </w:r>
      <w:r w:rsidR="00106E5E" w:rsidRPr="004F1B77">
        <w:rPr>
          <w:rFonts w:asciiTheme="majorBidi" w:hAnsiTheme="majorBidi" w:cstheme="majorBidi"/>
          <w:snapToGrid w:val="0"/>
          <w:kern w:val="22"/>
          <w:szCs w:val="22"/>
          <w:lang w:val="fr-CA"/>
        </w:rPr>
        <w:t>l’utilité</w:t>
      </w:r>
      <w:r w:rsidRPr="004F1B77">
        <w:rPr>
          <w:rFonts w:asciiTheme="majorBidi" w:hAnsiTheme="majorBidi" w:cstheme="majorBidi"/>
          <w:snapToGrid w:val="0"/>
          <w:kern w:val="22"/>
          <w:szCs w:val="22"/>
          <w:lang w:val="fr-CA"/>
        </w:rPr>
        <w:t>]</w:t>
      </w:r>
      <w:r w:rsidR="00E94DB9" w:rsidRPr="004F1B77">
        <w:rPr>
          <w:rFonts w:asciiTheme="majorBidi" w:hAnsiTheme="majorBidi" w:cstheme="majorBidi"/>
          <w:snapToGrid w:val="0"/>
          <w:kern w:val="22"/>
          <w:szCs w:val="22"/>
          <w:lang w:val="fr-CA"/>
        </w:rPr>
        <w:t xml:space="preserve"> d’un mécanisme de liaison entre les Parties aux différentes conventions relatives à la biodiversité à un niveau intergouvernemental, afin d’appuyer la coopération dans la mise en œuvre du cadre mondial de la biodiversité pour l’après-2020, et des options pour sa mise en place, y compris l’examen de son mandat, sa structure et ses besoins en ressources, et de remettre une proposition, qui explique clairement le besoin et, selon qu’il convient, la portée de chaque option, pour examen par l’Organe subsidiaire chargé de l’application à sa quatrième réunion et par la Conférence des Parties à sa seizième réunion;</w:t>
      </w:r>
      <w:r w:rsidRPr="004F1B77">
        <w:rPr>
          <w:rFonts w:asciiTheme="majorBidi" w:hAnsiTheme="majorBidi" w:cstheme="majorBidi"/>
          <w:snapToGrid w:val="0"/>
          <w:kern w:val="22"/>
          <w:szCs w:val="22"/>
          <w:lang w:val="fr-CA"/>
        </w:rPr>
        <w:t>]</w:t>
      </w:r>
      <w:r w:rsidR="00E94DB9" w:rsidRPr="004F1B77">
        <w:rPr>
          <w:rFonts w:asciiTheme="majorBidi" w:hAnsiTheme="majorBidi" w:cstheme="majorBidi"/>
          <w:snapToGrid w:val="0"/>
          <w:kern w:val="22"/>
          <w:szCs w:val="22"/>
          <w:lang w:val="fr-CA"/>
        </w:rPr>
        <w:t xml:space="preserve"> </w:t>
      </w:r>
    </w:p>
    <w:p w14:paraId="5C3A2860" w14:textId="2F712C21" w:rsidR="00E94DB9" w:rsidRPr="004F1B77" w:rsidRDefault="00CD3B3B" w:rsidP="00E94DB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lang w:val="fr-CA"/>
        </w:rPr>
      </w:pPr>
      <w:r w:rsidRPr="004F1B77">
        <w:rPr>
          <w:rFonts w:asciiTheme="majorBidi" w:hAnsiTheme="majorBidi" w:cstheme="majorBidi"/>
          <w:iCs/>
          <w:snapToGrid w:val="0"/>
          <w:kern w:val="22"/>
          <w:szCs w:val="22"/>
          <w:lang w:val="fr-CA"/>
        </w:rPr>
        <w:t>[d)</w:t>
      </w:r>
      <w:r w:rsidRPr="004F1B77">
        <w:rPr>
          <w:rFonts w:asciiTheme="majorBidi" w:hAnsiTheme="majorBidi" w:cstheme="majorBidi"/>
          <w:iCs/>
          <w:snapToGrid w:val="0"/>
          <w:kern w:val="22"/>
          <w:szCs w:val="22"/>
          <w:lang w:val="fr-CA"/>
        </w:rPr>
        <w:tab/>
        <w:t>De continuer à travailler avec l’In</w:t>
      </w:r>
      <w:r w:rsidR="004D7E5D" w:rsidRPr="004F1B77">
        <w:rPr>
          <w:rFonts w:asciiTheme="majorBidi" w:hAnsiTheme="majorBidi" w:cstheme="majorBidi"/>
          <w:iCs/>
          <w:snapToGrid w:val="0"/>
          <w:kern w:val="22"/>
          <w:szCs w:val="22"/>
          <w:lang w:val="fr-CA"/>
        </w:rPr>
        <w:t>stance permanente sur les questi</w:t>
      </w:r>
      <w:r w:rsidRPr="004F1B77">
        <w:rPr>
          <w:rFonts w:asciiTheme="majorBidi" w:hAnsiTheme="majorBidi" w:cstheme="majorBidi"/>
          <w:iCs/>
          <w:snapToGrid w:val="0"/>
          <w:kern w:val="22"/>
          <w:szCs w:val="22"/>
          <w:lang w:val="fr-CA"/>
        </w:rPr>
        <w:t>ons autochtones</w:t>
      </w:r>
      <w:r w:rsidR="004D7E5D" w:rsidRPr="004F1B77">
        <w:rPr>
          <w:rFonts w:asciiTheme="majorBidi" w:hAnsiTheme="majorBidi" w:cstheme="majorBidi"/>
          <w:iCs/>
          <w:snapToGrid w:val="0"/>
          <w:kern w:val="22"/>
          <w:szCs w:val="22"/>
          <w:lang w:val="fr-CA"/>
        </w:rPr>
        <w:t xml:space="preserve"> et l’Instance permanente des personnes de descendance africaine sur des questions liées à la diversité biologique et les connaissances traditionnelles</w:t>
      </w:r>
      <w:r w:rsidR="00E94DB9" w:rsidRPr="004F1B77">
        <w:rPr>
          <w:rFonts w:asciiTheme="majorBidi" w:hAnsiTheme="majorBidi" w:cstheme="majorBidi"/>
          <w:iCs/>
          <w:snapToGrid w:val="0"/>
          <w:kern w:val="22"/>
          <w:szCs w:val="22"/>
          <w:lang w:val="fr-CA"/>
        </w:rPr>
        <w:t>;</w:t>
      </w:r>
      <w:r w:rsidR="004D7E5D" w:rsidRPr="004F1B77">
        <w:rPr>
          <w:rFonts w:asciiTheme="majorBidi" w:hAnsiTheme="majorBidi" w:cstheme="majorBidi"/>
          <w:iCs/>
          <w:snapToGrid w:val="0"/>
          <w:kern w:val="22"/>
          <w:szCs w:val="22"/>
          <w:lang w:val="fr-CA"/>
        </w:rPr>
        <w:t>]</w:t>
      </w:r>
    </w:p>
    <w:p w14:paraId="3E2BCADC" w14:textId="3579090F" w:rsidR="00E94DB9" w:rsidRPr="004F1B77" w:rsidRDefault="00E94DB9" w:rsidP="00E94DB9">
      <w:pPr>
        <w:suppressLineNumbers/>
        <w:suppressAutoHyphens/>
        <w:kinsoku w:val="0"/>
        <w:overflowPunct w:val="0"/>
        <w:autoSpaceDE w:val="0"/>
        <w:autoSpaceDN w:val="0"/>
        <w:adjustRightInd w:val="0"/>
        <w:snapToGrid w:val="0"/>
        <w:spacing w:before="120" w:after="120"/>
        <w:ind w:left="720" w:firstLine="720"/>
        <w:rPr>
          <w:rFonts w:asciiTheme="majorBidi" w:eastAsiaTheme="minorEastAsia" w:hAnsiTheme="majorBidi" w:cstheme="majorBidi"/>
          <w:szCs w:val="22"/>
          <w:lang w:val="fr-CA"/>
        </w:rPr>
      </w:pPr>
      <w:r w:rsidRPr="004F1B77">
        <w:rPr>
          <w:rFonts w:asciiTheme="majorBidi" w:hAnsiTheme="majorBidi" w:cstheme="majorBidi"/>
          <w:szCs w:val="22"/>
          <w:lang w:val="fr-CA"/>
        </w:rPr>
        <w:t>1</w:t>
      </w:r>
      <w:r w:rsidR="004D7E5D" w:rsidRPr="004F1B77">
        <w:rPr>
          <w:rFonts w:asciiTheme="majorBidi" w:hAnsiTheme="majorBidi" w:cstheme="majorBidi"/>
          <w:szCs w:val="22"/>
          <w:lang w:val="fr-CA"/>
        </w:rPr>
        <w:t>5</w:t>
      </w:r>
      <w:r w:rsidRPr="004F1B77">
        <w:rPr>
          <w:rFonts w:asciiTheme="majorBidi" w:hAnsiTheme="majorBidi" w:cstheme="majorBidi"/>
          <w:szCs w:val="22"/>
          <w:lang w:val="fr-CA"/>
        </w:rPr>
        <w:t>.</w:t>
      </w:r>
      <w:r w:rsidRPr="004F1B77">
        <w:rPr>
          <w:rFonts w:asciiTheme="majorBidi" w:hAnsiTheme="majorBidi" w:cstheme="majorBidi"/>
          <w:szCs w:val="22"/>
          <w:lang w:val="fr-CA"/>
        </w:rPr>
        <w:tab/>
      </w:r>
      <w:r w:rsidRPr="004F1B77">
        <w:rPr>
          <w:rFonts w:asciiTheme="majorBidi" w:hAnsiTheme="majorBidi" w:cstheme="majorBidi"/>
          <w:i/>
          <w:iCs/>
          <w:szCs w:val="22"/>
          <w:lang w:val="fr-CA"/>
        </w:rPr>
        <w:t xml:space="preserve">Prie également </w:t>
      </w:r>
      <w:r w:rsidRPr="004F1B77">
        <w:rPr>
          <w:rFonts w:asciiTheme="majorBidi" w:hAnsiTheme="majorBidi" w:cstheme="majorBidi"/>
          <w:szCs w:val="22"/>
          <w:lang w:val="fr-CA"/>
        </w:rPr>
        <w:t xml:space="preserve">la Secrétaire exécutive et </w:t>
      </w:r>
      <w:r w:rsidRPr="004F1B77">
        <w:rPr>
          <w:rFonts w:asciiTheme="majorBidi" w:hAnsiTheme="majorBidi" w:cstheme="majorBidi"/>
          <w:i/>
          <w:iCs/>
          <w:szCs w:val="22"/>
          <w:lang w:val="fr-CA"/>
        </w:rPr>
        <w:t>invite</w:t>
      </w:r>
      <w:r w:rsidRPr="004F1B77">
        <w:rPr>
          <w:rFonts w:asciiTheme="majorBidi" w:hAnsiTheme="majorBidi" w:cstheme="majorBidi"/>
          <w:szCs w:val="22"/>
          <w:lang w:val="fr-CA"/>
        </w:rPr>
        <w:t xml:space="preserve"> l’Organisation des Nations Unies pour l’éducation, la science et la culture et l’Union internationale pour la conservation de la nature à faire avancer, dans la limite des ressources disponibles, le Programme de travail conjoint sur les liens entre la diversité biologique et la diversité culturelle, selon qu’il convient en  coopération avec des initiatives pertinentes des Parties, des autres gouvernements et d’autres organisations, comme la Plateforme intergouvernementale scientifique et politique sur la biodiversité et les services écosystémiques, et à rendre compte des progrès accomplis à l’Organe subsidiaire chargé de l’application et d’autres mécanismes, selon qu’il convient;</w:t>
      </w:r>
    </w:p>
    <w:p w14:paraId="3112278C" w14:textId="59B9F2A2" w:rsidR="00E94DB9" w:rsidRPr="004F1B77" w:rsidRDefault="004D7E5D" w:rsidP="00E94DB9">
      <w:pPr>
        <w:autoSpaceDE w:val="0"/>
        <w:autoSpaceDN w:val="0"/>
        <w:adjustRightInd w:val="0"/>
        <w:ind w:left="720" w:firstLine="720"/>
        <w:rPr>
          <w:rFonts w:asciiTheme="majorBidi" w:eastAsiaTheme="minorEastAsia" w:hAnsiTheme="majorBidi" w:cstheme="majorBidi"/>
          <w:szCs w:val="22"/>
          <w:lang w:val="fr-CA"/>
        </w:rPr>
      </w:pPr>
      <w:r w:rsidRPr="004F1B77">
        <w:rPr>
          <w:rFonts w:asciiTheme="majorBidi" w:eastAsiaTheme="minorEastAsia" w:hAnsiTheme="majorBidi" w:cstheme="majorBidi"/>
          <w:szCs w:val="22"/>
          <w:lang w:val="fr-CA"/>
        </w:rPr>
        <w:t>[16</w:t>
      </w:r>
      <w:r w:rsidR="00E94DB9" w:rsidRPr="004F1B77">
        <w:rPr>
          <w:rFonts w:asciiTheme="majorBidi" w:eastAsiaTheme="minorEastAsia" w:hAnsiTheme="majorBidi" w:cstheme="majorBidi"/>
          <w:szCs w:val="22"/>
          <w:lang w:val="fr-CA"/>
        </w:rPr>
        <w:t>.</w:t>
      </w:r>
      <w:r w:rsidR="00E94DB9" w:rsidRPr="004F1B77">
        <w:rPr>
          <w:rFonts w:asciiTheme="majorBidi" w:eastAsiaTheme="minorEastAsia" w:hAnsiTheme="majorBidi" w:cstheme="majorBidi"/>
          <w:szCs w:val="22"/>
          <w:lang w:val="fr-CA"/>
        </w:rPr>
        <w:tab/>
      </w:r>
      <w:r w:rsidR="00E94DB9" w:rsidRPr="004F1B77">
        <w:rPr>
          <w:rFonts w:asciiTheme="majorBidi" w:eastAsiaTheme="minorEastAsia" w:hAnsiTheme="majorBidi" w:cstheme="majorBidi"/>
          <w:i/>
          <w:iCs/>
          <w:szCs w:val="22"/>
          <w:lang w:val="fr-CA"/>
        </w:rPr>
        <w:t xml:space="preserve">Prie </w:t>
      </w:r>
      <w:r w:rsidR="00E94DB9" w:rsidRPr="004F1B77">
        <w:rPr>
          <w:rFonts w:asciiTheme="majorBidi" w:eastAsiaTheme="minorEastAsia" w:hAnsiTheme="majorBidi" w:cstheme="majorBidi"/>
          <w:szCs w:val="22"/>
          <w:lang w:val="fr-CA"/>
        </w:rPr>
        <w:t>la Secrétaire exécutive de travailler en collaboration avec l’Organisation mondiale de la santé</w:t>
      </w:r>
      <w:r w:rsidRPr="004F1B77">
        <w:rPr>
          <w:rFonts w:asciiTheme="majorBidi" w:eastAsiaTheme="minorEastAsia" w:hAnsiTheme="majorBidi" w:cstheme="majorBidi"/>
          <w:szCs w:val="22"/>
          <w:lang w:val="fr-CA"/>
        </w:rPr>
        <w:t>, selon la disponibilité des ressources,</w:t>
      </w:r>
      <w:r w:rsidR="00E94DB9" w:rsidRPr="004F1B77">
        <w:rPr>
          <w:rFonts w:asciiTheme="majorBidi" w:eastAsiaTheme="minorEastAsia" w:hAnsiTheme="majorBidi" w:cstheme="majorBidi"/>
          <w:szCs w:val="22"/>
          <w:lang w:val="fr-CA"/>
        </w:rPr>
        <w:t xml:space="preserve"> en vue de faciliter, selon qu’il convient, l’examen </w:t>
      </w:r>
      <w:r w:rsidRPr="004F1B77">
        <w:rPr>
          <w:rFonts w:asciiTheme="majorBidi" w:eastAsiaTheme="minorEastAsia" w:hAnsiTheme="majorBidi" w:cstheme="majorBidi"/>
          <w:szCs w:val="22"/>
          <w:lang w:val="fr-CA"/>
        </w:rPr>
        <w:t>de l’accès [opportun] aux pathogènes et le</w:t>
      </w:r>
      <w:r w:rsidR="00E94DB9" w:rsidRPr="004F1B77">
        <w:rPr>
          <w:rFonts w:asciiTheme="majorBidi" w:eastAsiaTheme="minorEastAsia" w:hAnsiTheme="majorBidi" w:cstheme="majorBidi"/>
          <w:szCs w:val="22"/>
          <w:lang w:val="fr-CA"/>
        </w:rPr>
        <w:t xml:space="preserve"> partage juste et équitable des avantages découlant de l’utilisation des ressources génétiques dans ses travaux en cours </w:t>
      </w:r>
      <w:r w:rsidR="005816E6" w:rsidRPr="004F1B77">
        <w:rPr>
          <w:rFonts w:asciiTheme="majorBidi" w:eastAsiaTheme="minorEastAsia" w:hAnsiTheme="majorBidi" w:cstheme="majorBidi"/>
          <w:szCs w:val="22"/>
          <w:lang w:val="fr-CA"/>
        </w:rPr>
        <w:t xml:space="preserve">pour se préparer, faire </w:t>
      </w:r>
      <w:r w:rsidR="00E94DB9" w:rsidRPr="004F1B77">
        <w:rPr>
          <w:rFonts w:asciiTheme="majorBidi" w:eastAsiaTheme="minorEastAsia" w:hAnsiTheme="majorBidi" w:cstheme="majorBidi"/>
          <w:szCs w:val="22"/>
          <w:lang w:val="fr-CA"/>
        </w:rPr>
        <w:t xml:space="preserve">face </w:t>
      </w:r>
      <w:r w:rsidR="00332C8C" w:rsidRPr="004F1B77">
        <w:rPr>
          <w:rFonts w:asciiTheme="majorBidi" w:eastAsiaTheme="minorEastAsia" w:hAnsiTheme="majorBidi" w:cstheme="majorBidi"/>
          <w:szCs w:val="22"/>
          <w:lang w:val="fr-CA"/>
        </w:rPr>
        <w:t>et répondre aux pandémies</w:t>
      </w:r>
      <w:r w:rsidR="00E94DB9" w:rsidRPr="004F1B77">
        <w:rPr>
          <w:rFonts w:asciiTheme="majorBidi" w:eastAsiaTheme="minorEastAsia" w:hAnsiTheme="majorBidi" w:cstheme="majorBidi"/>
          <w:szCs w:val="22"/>
          <w:lang w:val="fr-CA"/>
        </w:rPr>
        <w:t>.</w:t>
      </w:r>
      <w:r w:rsidRPr="004F1B77">
        <w:rPr>
          <w:rFonts w:asciiTheme="majorBidi" w:eastAsiaTheme="minorEastAsia" w:hAnsiTheme="majorBidi" w:cstheme="majorBidi"/>
          <w:szCs w:val="22"/>
          <w:lang w:val="fr-CA"/>
        </w:rPr>
        <w:t>]</w:t>
      </w:r>
      <w:r w:rsidR="001D242A" w:rsidRPr="004F1B77">
        <w:rPr>
          <w:rFonts w:asciiTheme="majorBidi" w:eastAsiaTheme="minorEastAsia" w:hAnsiTheme="majorBidi" w:cstheme="majorBidi"/>
          <w:szCs w:val="22"/>
          <w:lang w:val="fr-CA"/>
        </w:rPr>
        <w:t xml:space="preserve">   </w:t>
      </w:r>
    </w:p>
    <w:p w14:paraId="2A755BCF" w14:textId="77777777" w:rsidR="00656AE8" w:rsidRPr="004F1B77" w:rsidRDefault="00656AE8" w:rsidP="00656AE8">
      <w:pPr>
        <w:pStyle w:val="Para1"/>
        <w:numPr>
          <w:ilvl w:val="0"/>
          <w:numId w:val="0"/>
        </w:numPr>
        <w:suppressLineNumbers/>
        <w:suppressAutoHyphens/>
        <w:kinsoku w:val="0"/>
        <w:overflowPunct w:val="0"/>
        <w:autoSpaceDE w:val="0"/>
        <w:autoSpaceDN w:val="0"/>
        <w:adjustRightInd w:val="0"/>
        <w:snapToGrid w:val="0"/>
        <w:rPr>
          <w:kern w:val="22"/>
          <w:szCs w:val="22"/>
          <w:lang w:val="fr-CA"/>
        </w:rPr>
      </w:pPr>
    </w:p>
    <w:p w14:paraId="3093D971" w14:textId="6FCDF516" w:rsidR="00B3369F" w:rsidRPr="004F1B77" w:rsidRDefault="00EB18A0" w:rsidP="00605ADF">
      <w:pPr>
        <w:suppressLineNumbers/>
        <w:suppressAutoHyphens/>
        <w:kinsoku w:val="0"/>
        <w:overflowPunct w:val="0"/>
        <w:autoSpaceDE w:val="0"/>
        <w:autoSpaceDN w:val="0"/>
        <w:adjustRightInd w:val="0"/>
        <w:snapToGrid w:val="0"/>
        <w:jc w:val="center"/>
        <w:rPr>
          <w:lang w:val="fr-CA"/>
        </w:rPr>
      </w:pPr>
      <w:r w:rsidRPr="004F1B77">
        <w:rPr>
          <w:lang w:val="fr-CA"/>
        </w:rPr>
        <w:t>__________</w:t>
      </w:r>
    </w:p>
    <w:sectPr w:rsidR="00B3369F" w:rsidRPr="004F1B77" w:rsidSect="00300BCC">
      <w:headerReference w:type="even" r:id="rId15"/>
      <w:headerReference w:type="default" r:id="rId16"/>
      <w:pgSz w:w="12240" w:h="15840"/>
      <w:pgMar w:top="450"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63040" w14:textId="77777777" w:rsidR="009C5872" w:rsidRDefault="009C5872" w:rsidP="00CF1848">
      <w:r>
        <w:separator/>
      </w:r>
    </w:p>
  </w:endnote>
  <w:endnote w:type="continuationSeparator" w:id="0">
    <w:p w14:paraId="5DD12A69" w14:textId="77777777" w:rsidR="009C5872" w:rsidRDefault="009C587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8DB9E" w14:textId="77777777" w:rsidR="009C5872" w:rsidRDefault="009C5872" w:rsidP="00CF1848">
      <w:r>
        <w:separator/>
      </w:r>
    </w:p>
  </w:footnote>
  <w:footnote w:type="continuationSeparator" w:id="0">
    <w:p w14:paraId="4DC88B2B" w14:textId="77777777" w:rsidR="009C5872" w:rsidRDefault="009C5872" w:rsidP="00CF1848">
      <w:r>
        <w:continuationSeparator/>
      </w:r>
    </w:p>
  </w:footnote>
  <w:footnote w:id="1">
    <w:p w14:paraId="20840698" w14:textId="77777777" w:rsidR="00E94DB9" w:rsidRPr="000953A8" w:rsidRDefault="00E94DB9" w:rsidP="00E94DB9">
      <w:pPr>
        <w:pStyle w:val="FootnoteText"/>
        <w:keepLines w:val="0"/>
        <w:suppressLineNumbers/>
        <w:suppressAutoHyphens/>
        <w:ind w:firstLine="0"/>
        <w:jc w:val="left"/>
        <w:rPr>
          <w:kern w:val="22"/>
          <w:szCs w:val="18"/>
          <w:lang w:val="fr-FR"/>
        </w:rPr>
      </w:pPr>
      <w:r w:rsidRPr="000953A8">
        <w:rPr>
          <w:rStyle w:val="FootnoteReference"/>
          <w:rFonts w:eastAsiaTheme="majorEastAsia"/>
          <w:kern w:val="22"/>
          <w:sz w:val="18"/>
          <w:szCs w:val="18"/>
          <w:lang w:val="fr-FR"/>
        </w:rPr>
        <w:footnoteRef/>
      </w:r>
      <w:r w:rsidRPr="000953A8">
        <w:rPr>
          <w:kern w:val="22"/>
          <w:szCs w:val="18"/>
          <w:lang w:val="fr-FR"/>
        </w:rPr>
        <w:t xml:space="preserve"> Décisions XIII/24 et 14/30.</w:t>
      </w:r>
    </w:p>
  </w:footnote>
  <w:footnote w:id="2">
    <w:p w14:paraId="03FDBBCE" w14:textId="77777777" w:rsidR="00E94DB9" w:rsidRPr="000953A8" w:rsidRDefault="00E94DB9" w:rsidP="00E94DB9">
      <w:pPr>
        <w:pStyle w:val="FootnoteText"/>
        <w:keepLines w:val="0"/>
        <w:suppressLineNumbers/>
        <w:suppressAutoHyphens/>
        <w:ind w:firstLine="0"/>
        <w:jc w:val="left"/>
        <w:rPr>
          <w:kern w:val="22"/>
          <w:szCs w:val="18"/>
          <w:lang w:val="fr-FR"/>
        </w:rPr>
      </w:pPr>
      <w:r w:rsidRPr="000953A8">
        <w:rPr>
          <w:rStyle w:val="FootnoteReference"/>
          <w:rFonts w:eastAsiaTheme="majorEastAsia"/>
          <w:kern w:val="22"/>
          <w:sz w:val="18"/>
          <w:szCs w:val="18"/>
          <w:lang w:val="fr-FR"/>
        </w:rPr>
        <w:footnoteRef/>
      </w:r>
      <w:r w:rsidRPr="000953A8">
        <w:rPr>
          <w:kern w:val="22"/>
          <w:szCs w:val="18"/>
          <w:lang w:val="fr-FR"/>
        </w:rPr>
        <w:t xml:space="preserve"> Décision 14/34.</w:t>
      </w:r>
    </w:p>
  </w:footnote>
  <w:footnote w:id="3">
    <w:p w14:paraId="381A855C" w14:textId="77777777" w:rsidR="00E94DB9" w:rsidRPr="000953A8" w:rsidRDefault="00E94DB9" w:rsidP="00E94DB9">
      <w:pPr>
        <w:pStyle w:val="FootnoteText"/>
        <w:keepLines w:val="0"/>
        <w:suppressLineNumbers/>
        <w:suppressAutoHyphens/>
        <w:ind w:firstLine="0"/>
        <w:jc w:val="left"/>
        <w:rPr>
          <w:szCs w:val="18"/>
          <w:lang w:val="fr-FR"/>
        </w:rPr>
      </w:pPr>
      <w:r w:rsidRPr="000953A8">
        <w:rPr>
          <w:rStyle w:val="FootnoteReference"/>
          <w:rFonts w:eastAsiaTheme="majorEastAsia"/>
          <w:sz w:val="18"/>
          <w:szCs w:val="18"/>
          <w:lang w:val="fr-FR"/>
        </w:rPr>
        <w:footnoteRef/>
      </w:r>
      <w:r w:rsidRPr="000953A8">
        <w:rPr>
          <w:szCs w:val="18"/>
          <w:lang w:val="fr-FR"/>
        </w:rPr>
        <w:t xml:space="preserve"> </w:t>
      </w:r>
      <w:r w:rsidRPr="000953A8">
        <w:rPr>
          <w:kern w:val="22"/>
          <w:szCs w:val="18"/>
          <w:lang w:val="fr-FR"/>
        </w:rPr>
        <w:t>Recommandations</w:t>
      </w:r>
      <w:r w:rsidRPr="000953A8">
        <w:rPr>
          <w:szCs w:val="18"/>
          <w:lang w:val="fr-FR"/>
        </w:rPr>
        <w:t xml:space="preserve"> WG8J-11/3 </w:t>
      </w:r>
      <w:r>
        <w:rPr>
          <w:szCs w:val="18"/>
          <w:lang w:val="fr-FR"/>
        </w:rPr>
        <w:t>et</w:t>
      </w:r>
      <w:r w:rsidRPr="000953A8">
        <w:rPr>
          <w:szCs w:val="18"/>
          <w:lang w:val="fr-FR"/>
        </w:rPr>
        <w:t xml:space="preserve"> SBSTTA-23/2.</w:t>
      </w:r>
    </w:p>
  </w:footnote>
  <w:footnote w:id="4">
    <w:p w14:paraId="6C7AE4C0" w14:textId="77777777" w:rsidR="00E94DB9" w:rsidRPr="00093AD4" w:rsidRDefault="00E94DB9" w:rsidP="00E94DB9">
      <w:pPr>
        <w:pStyle w:val="FootnoteText"/>
        <w:ind w:firstLine="0"/>
        <w:rPr>
          <w:lang w:val="fr-FR"/>
        </w:rPr>
      </w:pPr>
      <w:r w:rsidRPr="00093AD4">
        <w:rPr>
          <w:rStyle w:val="FootnoteReference"/>
          <w:sz w:val="18"/>
          <w:szCs w:val="18"/>
        </w:rPr>
        <w:footnoteRef/>
      </w:r>
      <w:r w:rsidRPr="00093AD4">
        <w:rPr>
          <w:lang w:val="fr-FR"/>
        </w:rPr>
        <w:t xml:space="preserve"> A/RES/74/135.</w:t>
      </w:r>
    </w:p>
  </w:footnote>
  <w:footnote w:id="5">
    <w:p w14:paraId="393469A6" w14:textId="143542C4" w:rsidR="004B6C2D" w:rsidRPr="00A360EE" w:rsidRDefault="004B6C2D" w:rsidP="004B6C2D">
      <w:pPr>
        <w:pStyle w:val="FootnoteText"/>
        <w:ind w:firstLine="0"/>
        <w:rPr>
          <w:lang w:val="fr-CA"/>
        </w:rPr>
      </w:pPr>
      <w:r>
        <w:rPr>
          <w:rStyle w:val="FootnoteReference"/>
        </w:rPr>
        <w:footnoteRef/>
      </w:r>
      <w:r w:rsidRPr="00A360EE">
        <w:rPr>
          <w:lang w:val="fr-CA"/>
        </w:rPr>
        <w:t xml:space="preserve"> </w:t>
      </w:r>
      <w:r w:rsidR="00A360EE">
        <w:rPr>
          <w:lang w:val="fr-FR"/>
        </w:rPr>
        <w:t>La Conférence des Parties pourrait envisager d’inclure cet encouragement aux parties prenantes dans sa décision adoptant le cadre mondial de la biodiversité pour l’après-2020 ou dans sa décision concernant la coopération, ou les deux, selon qu’il convient</w:t>
      </w:r>
    </w:p>
  </w:footnote>
  <w:footnote w:id="6">
    <w:p w14:paraId="2AC12D30" w14:textId="77777777" w:rsidR="00E94DB9" w:rsidRPr="00F832F5" w:rsidRDefault="00E94DB9" w:rsidP="00E94DB9">
      <w:pPr>
        <w:pStyle w:val="FootnoteText"/>
        <w:keepLines w:val="0"/>
        <w:suppressLineNumbers/>
        <w:suppressAutoHyphens/>
        <w:spacing w:after="0"/>
        <w:ind w:firstLine="0"/>
        <w:rPr>
          <w:lang w:val="fr-FR"/>
        </w:rPr>
      </w:pPr>
      <w:r>
        <w:rPr>
          <w:rStyle w:val="FootnoteReference"/>
        </w:rPr>
        <w:footnoteRef/>
      </w:r>
      <w:r w:rsidRPr="00F832F5">
        <w:rPr>
          <w:lang w:val="fr-FR"/>
        </w:rPr>
        <w:t xml:space="preserve"> La Conférence des Parties pourrait envisage</w:t>
      </w:r>
      <w:r>
        <w:rPr>
          <w:lang w:val="fr-FR"/>
        </w:rPr>
        <w:t>r</w:t>
      </w:r>
      <w:r w:rsidRPr="00F832F5">
        <w:rPr>
          <w:lang w:val="fr-FR"/>
        </w:rPr>
        <w:t xml:space="preserve"> </w:t>
      </w:r>
      <w:r>
        <w:rPr>
          <w:lang w:val="fr-FR"/>
        </w:rPr>
        <w:t>d’inclure</w:t>
      </w:r>
      <w:r w:rsidRPr="00F832F5">
        <w:rPr>
          <w:lang w:val="fr-FR"/>
        </w:rPr>
        <w:t xml:space="preserve"> cet </w:t>
      </w:r>
      <w:r>
        <w:rPr>
          <w:lang w:val="fr-FR"/>
        </w:rPr>
        <w:t xml:space="preserve">encouragement aux </w:t>
      </w:r>
      <w:r w:rsidRPr="00F832F5">
        <w:rPr>
          <w:lang w:val="fr-FR"/>
        </w:rPr>
        <w:t xml:space="preserve">parties prenantes </w:t>
      </w:r>
      <w:r>
        <w:rPr>
          <w:lang w:val="fr-FR"/>
        </w:rPr>
        <w:t>dans sa décision adoptant le</w:t>
      </w:r>
      <w:r w:rsidRPr="00F832F5">
        <w:rPr>
          <w:lang w:val="fr-FR"/>
        </w:rPr>
        <w:t xml:space="preserve"> cadre mondial de la biodiversité pour l’après-2020</w:t>
      </w:r>
      <w:r>
        <w:rPr>
          <w:lang w:val="fr-FR"/>
        </w:rPr>
        <w:t xml:space="preserve"> ou dans sa dé</w:t>
      </w:r>
      <w:r w:rsidRPr="00F832F5">
        <w:rPr>
          <w:lang w:val="fr-FR"/>
        </w:rPr>
        <w:t>cis</w:t>
      </w:r>
      <w:r>
        <w:rPr>
          <w:lang w:val="fr-FR"/>
        </w:rPr>
        <w:t>ion concernant la</w:t>
      </w:r>
      <w:r w:rsidRPr="00F832F5">
        <w:rPr>
          <w:lang w:val="fr-FR"/>
        </w:rPr>
        <w:t xml:space="preserve"> coopération</w:t>
      </w:r>
      <w:r>
        <w:rPr>
          <w:lang w:val="fr-FR"/>
        </w:rPr>
        <w:t>, ou les deux, selon qu’il convient.</w:t>
      </w:r>
    </w:p>
  </w:footnote>
  <w:footnote w:id="7">
    <w:p w14:paraId="4FEF5ECE" w14:textId="77777777" w:rsidR="00E94DB9" w:rsidRPr="00546BB2" w:rsidRDefault="00E94DB9" w:rsidP="00E94DB9">
      <w:pPr>
        <w:pStyle w:val="FootnoteText"/>
        <w:spacing w:after="0"/>
        <w:ind w:firstLine="0"/>
        <w:rPr>
          <w:lang w:val="fr-FR"/>
        </w:rPr>
      </w:pPr>
      <w:r>
        <w:rPr>
          <w:rStyle w:val="FootnoteReference"/>
        </w:rPr>
        <w:footnoteRef/>
      </w:r>
      <w:r w:rsidRPr="00546BB2">
        <w:rPr>
          <w:lang w:val="fr-FR"/>
        </w:rPr>
        <w:t xml:space="preserve"> Annexe I à la décision XIII/24</w:t>
      </w:r>
      <w:r>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1324B57B" w:rsidR="00534681" w:rsidRPr="00134846" w:rsidRDefault="00B73A51" w:rsidP="00534681">
        <w:pPr>
          <w:pStyle w:val="Header"/>
          <w:rPr>
            <w:lang w:val="fr-FR"/>
          </w:rPr>
        </w:pPr>
        <w:r>
          <w:rPr>
            <w:lang w:val="fr-FR"/>
          </w:rPr>
          <w:t>CBD/SBI/</w:t>
        </w:r>
        <w:r w:rsidR="004F1B77">
          <w:rPr>
            <w:lang w:val="fr-FR"/>
          </w:rPr>
          <w:t>REC/3/12</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1430DF">
      <w:rPr>
        <w:noProof/>
        <w:lang w:val="fr-FR"/>
      </w:rPr>
      <w:t>6</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4F6DDC2F" w:rsidR="009505C9" w:rsidRPr="00134846" w:rsidRDefault="00B73A51" w:rsidP="009505C9">
        <w:pPr>
          <w:pStyle w:val="Header"/>
          <w:jc w:val="right"/>
          <w:rPr>
            <w:lang w:val="fr-FR"/>
          </w:rPr>
        </w:pPr>
        <w:r>
          <w:rPr>
            <w:lang w:val="fr-FR"/>
          </w:rPr>
          <w:t>CBD/SBI/</w:t>
        </w:r>
        <w:r w:rsidR="004F1B77">
          <w:rPr>
            <w:lang w:val="fr-FR"/>
          </w:rPr>
          <w:t>REC/3/12</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1430DF">
      <w:rPr>
        <w:noProof/>
        <w:lang w:val="fr-FR"/>
      </w:rPr>
      <w:t>5</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C2A7DBA"/>
    <w:multiLevelType w:val="hybridMultilevel"/>
    <w:tmpl w:val="F53243F8"/>
    <w:lvl w:ilvl="0" w:tplc="DC86A94E">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6706AFE"/>
    <w:multiLevelType w:val="multilevel"/>
    <w:tmpl w:val="E4206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70E694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8"/>
  </w:num>
  <w:num w:numId="5">
    <w:abstractNumId w:val="7"/>
  </w:num>
  <w:num w:numId="6">
    <w:abstractNumId w:val="0"/>
  </w:num>
  <w:num w:numId="7">
    <w:abstractNumId w:val="2"/>
  </w:num>
  <w:num w:numId="8">
    <w:abstractNumId w:val="5"/>
    <w:lvlOverride w:ilvl="0">
      <w:startOverride w:val="1"/>
    </w:lvlOverride>
  </w:num>
  <w:num w:numId="9">
    <w:abstractNumId w:val="11"/>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0"/>
  </w:num>
  <w:num w:numId="15">
    <w:abstractNumId w:val="9"/>
  </w:num>
  <w:num w:numId="16">
    <w:abstractNumId w:val="1"/>
  </w:num>
  <w:num w:numId="17">
    <w:abstractNumId w:val="12"/>
  </w:num>
  <w:num w:numId="18">
    <w:abstractNumId w:val="1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DAE"/>
    <w:rsid w:val="00003680"/>
    <w:rsid w:val="00027CA6"/>
    <w:rsid w:val="00027FF2"/>
    <w:rsid w:val="00044675"/>
    <w:rsid w:val="0007171B"/>
    <w:rsid w:val="000745E0"/>
    <w:rsid w:val="000801A8"/>
    <w:rsid w:val="00087017"/>
    <w:rsid w:val="000A5B3F"/>
    <w:rsid w:val="000E5CF0"/>
    <w:rsid w:val="000E673A"/>
    <w:rsid w:val="000F0AF0"/>
    <w:rsid w:val="000F1758"/>
    <w:rsid w:val="000F74F5"/>
    <w:rsid w:val="00104150"/>
    <w:rsid w:val="00105372"/>
    <w:rsid w:val="00106E5E"/>
    <w:rsid w:val="001100AD"/>
    <w:rsid w:val="00113429"/>
    <w:rsid w:val="00122893"/>
    <w:rsid w:val="001229FF"/>
    <w:rsid w:val="001312AD"/>
    <w:rsid w:val="00131E7A"/>
    <w:rsid w:val="00134846"/>
    <w:rsid w:val="001430DF"/>
    <w:rsid w:val="001650A8"/>
    <w:rsid w:val="00172AF6"/>
    <w:rsid w:val="00176CEE"/>
    <w:rsid w:val="00186DD8"/>
    <w:rsid w:val="00190D21"/>
    <w:rsid w:val="001A1FC8"/>
    <w:rsid w:val="001B13FE"/>
    <w:rsid w:val="001B34FB"/>
    <w:rsid w:val="001C2CAE"/>
    <w:rsid w:val="001D242A"/>
    <w:rsid w:val="002076B9"/>
    <w:rsid w:val="00277686"/>
    <w:rsid w:val="002922DB"/>
    <w:rsid w:val="002933B5"/>
    <w:rsid w:val="002E5FCB"/>
    <w:rsid w:val="002E6A18"/>
    <w:rsid w:val="00300BCC"/>
    <w:rsid w:val="0030169D"/>
    <w:rsid w:val="003060EB"/>
    <w:rsid w:val="00311D7E"/>
    <w:rsid w:val="003135AE"/>
    <w:rsid w:val="00314737"/>
    <w:rsid w:val="00314D06"/>
    <w:rsid w:val="00314E96"/>
    <w:rsid w:val="003153EB"/>
    <w:rsid w:val="00316852"/>
    <w:rsid w:val="00321985"/>
    <w:rsid w:val="00332C8C"/>
    <w:rsid w:val="00351205"/>
    <w:rsid w:val="003667D5"/>
    <w:rsid w:val="00372F74"/>
    <w:rsid w:val="00396DD0"/>
    <w:rsid w:val="0039772E"/>
    <w:rsid w:val="003E211F"/>
    <w:rsid w:val="003F38AB"/>
    <w:rsid w:val="003F7224"/>
    <w:rsid w:val="00401A23"/>
    <w:rsid w:val="00405149"/>
    <w:rsid w:val="00411467"/>
    <w:rsid w:val="00427D21"/>
    <w:rsid w:val="004644C2"/>
    <w:rsid w:val="00467DB0"/>
    <w:rsid w:val="00467F9C"/>
    <w:rsid w:val="00472109"/>
    <w:rsid w:val="00497895"/>
    <w:rsid w:val="004A7880"/>
    <w:rsid w:val="004B4D5C"/>
    <w:rsid w:val="004B6C2D"/>
    <w:rsid w:val="004D3EA9"/>
    <w:rsid w:val="004D7E5D"/>
    <w:rsid w:val="004E1228"/>
    <w:rsid w:val="004F1B77"/>
    <w:rsid w:val="00534681"/>
    <w:rsid w:val="00537C5B"/>
    <w:rsid w:val="00545D02"/>
    <w:rsid w:val="00563442"/>
    <w:rsid w:val="00565B42"/>
    <w:rsid w:val="00566CAC"/>
    <w:rsid w:val="005816E6"/>
    <w:rsid w:val="0059380C"/>
    <w:rsid w:val="00595828"/>
    <w:rsid w:val="005A65B4"/>
    <w:rsid w:val="005C4CE6"/>
    <w:rsid w:val="005F5380"/>
    <w:rsid w:val="006051D9"/>
    <w:rsid w:val="00605ADF"/>
    <w:rsid w:val="006122BA"/>
    <w:rsid w:val="00646B44"/>
    <w:rsid w:val="0065185B"/>
    <w:rsid w:val="00656AE8"/>
    <w:rsid w:val="006740BD"/>
    <w:rsid w:val="006769D7"/>
    <w:rsid w:val="006B2290"/>
    <w:rsid w:val="006C0E4F"/>
    <w:rsid w:val="006C1798"/>
    <w:rsid w:val="006F142A"/>
    <w:rsid w:val="00714845"/>
    <w:rsid w:val="00717D88"/>
    <w:rsid w:val="00725E37"/>
    <w:rsid w:val="0073621E"/>
    <w:rsid w:val="00747856"/>
    <w:rsid w:val="0075248A"/>
    <w:rsid w:val="00772020"/>
    <w:rsid w:val="00782462"/>
    <w:rsid w:val="00786056"/>
    <w:rsid w:val="00787DA0"/>
    <w:rsid w:val="007942D3"/>
    <w:rsid w:val="007A5A49"/>
    <w:rsid w:val="007B2099"/>
    <w:rsid w:val="007B6C09"/>
    <w:rsid w:val="007B7741"/>
    <w:rsid w:val="007D2E2D"/>
    <w:rsid w:val="007E09DA"/>
    <w:rsid w:val="007E1602"/>
    <w:rsid w:val="007F211F"/>
    <w:rsid w:val="008123BA"/>
    <w:rsid w:val="00812919"/>
    <w:rsid w:val="00816807"/>
    <w:rsid w:val="008178B6"/>
    <w:rsid w:val="00851A40"/>
    <w:rsid w:val="00853A2F"/>
    <w:rsid w:val="00865B74"/>
    <w:rsid w:val="008903E5"/>
    <w:rsid w:val="008964D7"/>
    <w:rsid w:val="008974F0"/>
    <w:rsid w:val="008A2655"/>
    <w:rsid w:val="008B012A"/>
    <w:rsid w:val="008D3914"/>
    <w:rsid w:val="008E5313"/>
    <w:rsid w:val="008E7F97"/>
    <w:rsid w:val="00906E17"/>
    <w:rsid w:val="00914128"/>
    <w:rsid w:val="00930BA1"/>
    <w:rsid w:val="0093169E"/>
    <w:rsid w:val="009505C9"/>
    <w:rsid w:val="00950752"/>
    <w:rsid w:val="00950774"/>
    <w:rsid w:val="00966424"/>
    <w:rsid w:val="00971087"/>
    <w:rsid w:val="00980267"/>
    <w:rsid w:val="00992989"/>
    <w:rsid w:val="009A0AEA"/>
    <w:rsid w:val="009C2DE6"/>
    <w:rsid w:val="009C5872"/>
    <w:rsid w:val="009D1925"/>
    <w:rsid w:val="00A2290F"/>
    <w:rsid w:val="00A253A5"/>
    <w:rsid w:val="00A352D6"/>
    <w:rsid w:val="00A360EE"/>
    <w:rsid w:val="00A475B8"/>
    <w:rsid w:val="00A6113F"/>
    <w:rsid w:val="00A62F7D"/>
    <w:rsid w:val="00A70BE6"/>
    <w:rsid w:val="00A72EA8"/>
    <w:rsid w:val="00AA6F92"/>
    <w:rsid w:val="00AB6934"/>
    <w:rsid w:val="00AB7662"/>
    <w:rsid w:val="00AC4EB6"/>
    <w:rsid w:val="00AD7F0C"/>
    <w:rsid w:val="00AE293D"/>
    <w:rsid w:val="00AF42DE"/>
    <w:rsid w:val="00B14688"/>
    <w:rsid w:val="00B3369F"/>
    <w:rsid w:val="00B47480"/>
    <w:rsid w:val="00B671AF"/>
    <w:rsid w:val="00B71922"/>
    <w:rsid w:val="00B73A51"/>
    <w:rsid w:val="00B928FA"/>
    <w:rsid w:val="00B92AD5"/>
    <w:rsid w:val="00B94E6C"/>
    <w:rsid w:val="00BB20D0"/>
    <w:rsid w:val="00BB4606"/>
    <w:rsid w:val="00BB4AD3"/>
    <w:rsid w:val="00BD3BF8"/>
    <w:rsid w:val="00BE752F"/>
    <w:rsid w:val="00C23D2F"/>
    <w:rsid w:val="00C443BD"/>
    <w:rsid w:val="00C451C5"/>
    <w:rsid w:val="00C71DB7"/>
    <w:rsid w:val="00C9161D"/>
    <w:rsid w:val="00C92FB0"/>
    <w:rsid w:val="00CA0C1D"/>
    <w:rsid w:val="00CA355F"/>
    <w:rsid w:val="00CA388B"/>
    <w:rsid w:val="00CB465C"/>
    <w:rsid w:val="00CD3023"/>
    <w:rsid w:val="00CD3B3B"/>
    <w:rsid w:val="00CF1848"/>
    <w:rsid w:val="00D02C21"/>
    <w:rsid w:val="00D12044"/>
    <w:rsid w:val="00D230FC"/>
    <w:rsid w:val="00D33EFC"/>
    <w:rsid w:val="00D36832"/>
    <w:rsid w:val="00D37EB3"/>
    <w:rsid w:val="00D40DBC"/>
    <w:rsid w:val="00D50D33"/>
    <w:rsid w:val="00D5190D"/>
    <w:rsid w:val="00D53EF2"/>
    <w:rsid w:val="00D70279"/>
    <w:rsid w:val="00D74567"/>
    <w:rsid w:val="00D76A18"/>
    <w:rsid w:val="00D80849"/>
    <w:rsid w:val="00D82E8F"/>
    <w:rsid w:val="00DC082A"/>
    <w:rsid w:val="00DD118C"/>
    <w:rsid w:val="00DD2169"/>
    <w:rsid w:val="00E127B9"/>
    <w:rsid w:val="00E20EE4"/>
    <w:rsid w:val="00E30DD7"/>
    <w:rsid w:val="00E33CD0"/>
    <w:rsid w:val="00E34025"/>
    <w:rsid w:val="00E40468"/>
    <w:rsid w:val="00E66235"/>
    <w:rsid w:val="00E75497"/>
    <w:rsid w:val="00E83C24"/>
    <w:rsid w:val="00E9318D"/>
    <w:rsid w:val="00E94DB9"/>
    <w:rsid w:val="00EB18A0"/>
    <w:rsid w:val="00EC570C"/>
    <w:rsid w:val="00EF4DEC"/>
    <w:rsid w:val="00F05621"/>
    <w:rsid w:val="00F25387"/>
    <w:rsid w:val="00F346DF"/>
    <w:rsid w:val="00F35805"/>
    <w:rsid w:val="00F4002F"/>
    <w:rsid w:val="00F4535D"/>
    <w:rsid w:val="00F46A7B"/>
    <w:rsid w:val="00F53193"/>
    <w:rsid w:val="00F57C15"/>
    <w:rsid w:val="00F64D63"/>
    <w:rsid w:val="00F6586C"/>
    <w:rsid w:val="00F94292"/>
    <w:rsid w:val="00F94774"/>
    <w:rsid w:val="00FA663B"/>
    <w:rsid w:val="00FC53DB"/>
    <w:rsid w:val="00FD1EB3"/>
    <w:rsid w:val="00FE464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Body Text Char1, Car,Body Text Char1 Car Car, Car Car,Car"/>
    <w:basedOn w:val="Normal"/>
    <w:link w:val="BodyTextChar"/>
    <w:rsid w:val="007E09DA"/>
    <w:pPr>
      <w:spacing w:before="120" w:after="120"/>
      <w:ind w:firstLine="720"/>
    </w:pPr>
    <w:rPr>
      <w:iCs/>
    </w:rPr>
  </w:style>
  <w:style w:type="character" w:customStyle="1" w:styleId="BodyTextChar">
    <w:name w:val="Body Text Char"/>
    <w:aliases w:val="Body Text Char1 Char, Car Char,Body Text Char1 Car Car Char, Car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rmalWeb">
    <w:name w:val="Normal (Web)"/>
    <w:basedOn w:val="Normal"/>
    <w:uiPriority w:val="99"/>
    <w:rsid w:val="004B4D5C"/>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4B4D5C"/>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2E6A1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E6A18"/>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19334">
      <w:bodyDiv w:val="1"/>
      <w:marLeft w:val="0"/>
      <w:marRight w:val="0"/>
      <w:marTop w:val="0"/>
      <w:marBottom w:val="0"/>
      <w:divBdr>
        <w:top w:val="none" w:sz="0" w:space="0" w:color="auto"/>
        <w:left w:val="none" w:sz="0" w:space="0" w:color="auto"/>
        <w:bottom w:val="none" w:sz="0" w:space="0" w:color="auto"/>
        <w:right w:val="none" w:sz="0" w:space="0" w:color="auto"/>
      </w:divBdr>
      <w:divsChild>
        <w:div w:id="10225112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8041320F86CF417C86725F5BED7DC168"/>
        <w:category>
          <w:name w:val="Général"/>
          <w:gallery w:val="placeholder"/>
        </w:category>
        <w:types>
          <w:type w:val="bbPlcHdr"/>
        </w:types>
        <w:behaviors>
          <w:behavior w:val="content"/>
        </w:behaviors>
        <w:guid w:val="{8596AA96-89BF-4279-8DFD-62BCA2A5ABF3}"/>
      </w:docPartPr>
      <w:docPartBody>
        <w:p w:rsidR="00586600" w:rsidRDefault="00083E08" w:rsidP="00083E08">
          <w:pPr>
            <w:pStyle w:val="8041320F86CF417C86725F5BED7DC168"/>
          </w:pPr>
          <w:r w:rsidRPr="007E02E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50814"/>
    <w:rsid w:val="00083E08"/>
    <w:rsid w:val="00390195"/>
    <w:rsid w:val="0046422C"/>
    <w:rsid w:val="004760CF"/>
    <w:rsid w:val="004C7766"/>
    <w:rsid w:val="004E092F"/>
    <w:rsid w:val="00500A2B"/>
    <w:rsid w:val="005225D9"/>
    <w:rsid w:val="0058288D"/>
    <w:rsid w:val="00586600"/>
    <w:rsid w:val="00665C6B"/>
    <w:rsid w:val="006801B3"/>
    <w:rsid w:val="00810A55"/>
    <w:rsid w:val="008C6619"/>
    <w:rsid w:val="008D420E"/>
    <w:rsid w:val="009163B0"/>
    <w:rsid w:val="0098642F"/>
    <w:rsid w:val="009B0D54"/>
    <w:rsid w:val="00AE23D3"/>
    <w:rsid w:val="00B0397C"/>
    <w:rsid w:val="00BB5BB3"/>
    <w:rsid w:val="00C01EC7"/>
    <w:rsid w:val="00C8104B"/>
    <w:rsid w:val="00D31D12"/>
    <w:rsid w:val="00ED6D65"/>
    <w:rsid w:val="00F91466"/>
    <w:rsid w:val="00F967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83E08"/>
    <w:rPr>
      <w:color w:val="808080"/>
    </w:rPr>
  </w:style>
  <w:style w:type="paragraph" w:customStyle="1" w:styleId="B0BC6958BF87464E9253B5F06843757E">
    <w:name w:val="B0BC6958BF87464E9253B5F06843757E"/>
    <w:rsid w:val="00665C6B"/>
    <w:pPr>
      <w:spacing w:after="160" w:line="259" w:lineRule="auto"/>
    </w:pPr>
    <w:rPr>
      <w:lang w:val="en-CA" w:eastAsia="en-CA"/>
    </w:rPr>
  </w:style>
  <w:style w:type="paragraph" w:customStyle="1" w:styleId="9CFEBC35B1E84C44B3D5F0A60853A587">
    <w:name w:val="9CFEBC35B1E84C44B3D5F0A60853A587"/>
    <w:rsid w:val="005225D9"/>
    <w:pPr>
      <w:spacing w:after="160" w:line="259" w:lineRule="auto"/>
    </w:pPr>
    <w:rPr>
      <w:lang w:val="en-CA" w:eastAsia="en-CA"/>
    </w:rPr>
  </w:style>
  <w:style w:type="paragraph" w:customStyle="1" w:styleId="8041320F86CF417C86725F5BED7DC168">
    <w:name w:val="8041320F86CF417C86725F5BED7DC168"/>
    <w:rsid w:val="00083E08"/>
    <w:pPr>
      <w:spacing w:after="160" w:line="259" w:lineRule="auto"/>
    </w:pPr>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8A575E19-A967-4A56-BA3D-7C93CA98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6B894AF-026E-434B-91A0-7858BB04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3217</Words>
  <Characters>18338</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COOPÉRATION AVEC D’AUTRES CONVENTIONS, ORGANISATIONS ET INITIATIVES INTERNATIONALES</vt:lpstr>
      <vt:lpstr>REVIEW OF PROGRESS IN THE IMPLEMENTATION OF THE CONVENTION AND THE STRATEGIC PLAN FORBIODIVERSITY 2011-2020</vt:lpstr>
    </vt:vector>
  </TitlesOfParts>
  <Company>SCBD</Company>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dc:title>
  <dc:subject>CBD/SBI/REC/3/12</dc:subject>
  <dc:creator>SCBD</dc:creator>
  <cp:keywords>Subsidiary Body on Implementation, Convention on Biological Diversity</cp:keywords>
  <cp:lastModifiedBy>Xue He Yan</cp:lastModifiedBy>
  <cp:revision>3</cp:revision>
  <cp:lastPrinted>2021-05-21T15:44:00Z</cp:lastPrinted>
  <dcterms:created xsi:type="dcterms:W3CDTF">2022-05-17T13:51:00Z</dcterms:created>
  <dcterms:modified xsi:type="dcterms:W3CDTF">2022-05-17T19:46:00Z</dcterms:modified>
  <cp:contentStatus>GÉNÉRALE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