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207" w:type="dxa"/>
        <w:tblInd w:w="-2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5141"/>
        <w:gridCol w:w="4090"/>
      </w:tblGrid>
      <w:tr w:rsidR="002700FA" w:rsidRPr="008B65B7" w14:paraId="078E9CF3" w14:textId="77777777" w:rsidTr="002700FA">
        <w:trPr>
          <w:trHeight w:val="851"/>
        </w:trPr>
        <w:tc>
          <w:tcPr>
            <w:tcW w:w="976" w:type="dxa"/>
            <w:tcBorders>
              <w:bottom w:val="single" w:sz="12" w:space="0" w:color="auto"/>
            </w:tcBorders>
          </w:tcPr>
          <w:p w14:paraId="5BED3B3F" w14:textId="77777777" w:rsidR="002700FA" w:rsidRPr="008B65B7" w:rsidRDefault="002700FA" w:rsidP="00AF2CC7">
            <w:r w:rsidRPr="008B65B7">
              <w:rPr>
                <w:noProof/>
                <w:lang w:val="fr-CA" w:eastAsia="fr-CA"/>
              </w:rPr>
              <w:drawing>
                <wp:inline distT="0" distB="0" distL="0" distR="0" wp14:anchorId="647DFF26" wp14:editId="50B230AB">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tcBorders>
              <w:bottom w:val="single" w:sz="12" w:space="0" w:color="auto"/>
            </w:tcBorders>
            <w:shd w:val="clear" w:color="auto" w:fill="auto"/>
            <w:tcFitText/>
          </w:tcPr>
          <w:p w14:paraId="3706BFDF" w14:textId="77777777" w:rsidR="002700FA" w:rsidRPr="008B65B7" w:rsidRDefault="002700FA" w:rsidP="00AF2CC7">
            <w:r w:rsidRPr="008B65B7">
              <w:rPr>
                <w:noProof/>
                <w:lang w:val="fr-CA" w:eastAsia="fr-CA"/>
              </w:rPr>
              <w:drawing>
                <wp:inline distT="0" distB="0" distL="0" distR="0" wp14:anchorId="5F01DE1F" wp14:editId="65B32878">
                  <wp:extent cx="592455" cy="366014"/>
                  <wp:effectExtent l="0" t="0" r="0" b="0"/>
                  <wp:docPr id="7" name="Image 3"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3" descr="Shape&#10;&#10;Description automatically generated with medium confidenc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07407" cy="375251"/>
                          </a:xfrm>
                          <a:prstGeom prst="rect">
                            <a:avLst/>
                          </a:prstGeom>
                          <a:noFill/>
                          <a:ln>
                            <a:noFill/>
                          </a:ln>
                        </pic:spPr>
                      </pic:pic>
                    </a:graphicData>
                  </a:graphic>
                </wp:inline>
              </w:drawing>
            </w:r>
          </w:p>
        </w:tc>
        <w:tc>
          <w:tcPr>
            <w:tcW w:w="4090" w:type="dxa"/>
            <w:tcBorders>
              <w:bottom w:val="single" w:sz="12" w:space="0" w:color="auto"/>
            </w:tcBorders>
          </w:tcPr>
          <w:p w14:paraId="18FB9BA4" w14:textId="77777777" w:rsidR="002700FA" w:rsidRPr="008B65B7" w:rsidRDefault="002700FA" w:rsidP="00AF2CC7">
            <w:pPr>
              <w:jc w:val="right"/>
              <w:rPr>
                <w:rFonts w:ascii="Arial" w:hAnsi="Arial" w:cs="Arial"/>
                <w:b/>
                <w:sz w:val="32"/>
                <w:szCs w:val="32"/>
              </w:rPr>
            </w:pPr>
            <w:r w:rsidRPr="008B65B7">
              <w:rPr>
                <w:rFonts w:ascii="Arial" w:hAnsi="Arial" w:cs="Arial"/>
                <w:b/>
                <w:sz w:val="32"/>
                <w:szCs w:val="32"/>
              </w:rPr>
              <w:t>CBD</w:t>
            </w:r>
          </w:p>
        </w:tc>
      </w:tr>
      <w:tr w:rsidR="002700FA" w14:paraId="0C34E691" w14:textId="77777777" w:rsidTr="002700FA">
        <w:tc>
          <w:tcPr>
            <w:tcW w:w="6117" w:type="dxa"/>
            <w:gridSpan w:val="2"/>
            <w:tcBorders>
              <w:top w:val="single" w:sz="12" w:space="0" w:color="auto"/>
              <w:left w:val="nil"/>
              <w:bottom w:val="single" w:sz="36" w:space="0" w:color="auto"/>
              <w:right w:val="nil"/>
            </w:tcBorders>
            <w:vAlign w:val="center"/>
            <w:hideMark/>
          </w:tcPr>
          <w:p w14:paraId="0527DCDD" w14:textId="77777777" w:rsidR="002700FA" w:rsidRDefault="002700FA" w:rsidP="00AF2CC7">
            <w:r w:rsidRPr="008B65B7">
              <w:rPr>
                <w:noProof/>
                <w:szCs w:val="22"/>
                <w:lang w:val="fr-CA" w:eastAsia="fr-CA"/>
              </w:rPr>
              <w:drawing>
                <wp:inline distT="0" distB="0" distL="0" distR="0" wp14:anchorId="2524824D" wp14:editId="03606FC2">
                  <wp:extent cx="2358390" cy="939800"/>
                  <wp:effectExtent l="0" t="0" r="0" b="0"/>
                  <wp:docPr id="4" name="Image 3" descr="CBD_logo_fr-CMYK-black [Conver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CBD_logo_fr-CMYK-black [Converted]"/>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358390" cy="939800"/>
                          </a:xfrm>
                          <a:prstGeom prst="rect">
                            <a:avLst/>
                          </a:prstGeom>
                          <a:noFill/>
                          <a:ln>
                            <a:noFill/>
                          </a:ln>
                        </pic:spPr>
                      </pic:pic>
                    </a:graphicData>
                  </a:graphic>
                </wp:inline>
              </w:drawing>
            </w:r>
          </w:p>
        </w:tc>
        <w:tc>
          <w:tcPr>
            <w:tcW w:w="4090" w:type="dxa"/>
            <w:tcBorders>
              <w:top w:val="single" w:sz="12" w:space="0" w:color="auto"/>
              <w:left w:val="nil"/>
              <w:bottom w:val="single" w:sz="36" w:space="0" w:color="auto"/>
              <w:right w:val="nil"/>
            </w:tcBorders>
          </w:tcPr>
          <w:p w14:paraId="6550C1CE" w14:textId="77777777" w:rsidR="002700FA" w:rsidRPr="00882FEB" w:rsidRDefault="002700FA" w:rsidP="00AF2CC7">
            <w:pPr>
              <w:ind w:left="1215"/>
              <w:rPr>
                <w:szCs w:val="22"/>
              </w:rPr>
            </w:pPr>
            <w:proofErr w:type="spellStart"/>
            <w:r w:rsidRPr="00882FEB">
              <w:rPr>
                <w:szCs w:val="22"/>
              </w:rPr>
              <w:t>Distr</w:t>
            </w:r>
            <w:proofErr w:type="spellEnd"/>
            <w:r w:rsidRPr="00882FEB">
              <w:rPr>
                <w:szCs w:val="22"/>
              </w:rPr>
              <w:t>.</w:t>
            </w:r>
          </w:p>
          <w:p w14:paraId="6627EC87" w14:textId="4B2D5AAF" w:rsidR="002700FA" w:rsidRPr="00882FEB" w:rsidRDefault="00122249" w:rsidP="00AF2CC7">
            <w:pPr>
              <w:ind w:left="1215"/>
              <w:rPr>
                <w:szCs w:val="22"/>
              </w:rPr>
            </w:pPr>
            <w:r w:rsidRPr="00882FEB">
              <w:rPr>
                <w:caps/>
                <w:szCs w:val="22"/>
              </w:rPr>
              <w:t>GÉNÉRALE</w:t>
            </w:r>
          </w:p>
          <w:p w14:paraId="24A9D814" w14:textId="77777777" w:rsidR="002700FA" w:rsidRPr="00882FEB" w:rsidRDefault="002700FA" w:rsidP="00AF2CC7">
            <w:pPr>
              <w:ind w:left="1215"/>
              <w:rPr>
                <w:szCs w:val="22"/>
              </w:rPr>
            </w:pPr>
          </w:p>
          <w:p w14:paraId="22D3335C" w14:textId="60275BE5" w:rsidR="002700FA" w:rsidRPr="00882FEB" w:rsidRDefault="000110DD" w:rsidP="00AF2CC7">
            <w:pPr>
              <w:ind w:left="1215"/>
              <w:rPr>
                <w:szCs w:val="22"/>
              </w:rPr>
            </w:pPr>
            <w:sdt>
              <w:sdtPr>
                <w:alias w:val="Subject"/>
                <w:id w:val="2137136483"/>
                <w:placeholder>
                  <w:docPart w:val="DEB3D15D65F94EBCBBF86A39C4735019"/>
                </w:placeholder>
                <w:dataBinding w:prefixMappings="xmlns:ns0='http://purl.org/dc/elements/1.1/' xmlns:ns1='http://schemas.openxmlformats.org/package/2006/metadata/core-properties' " w:xpath="/ns1:coreProperties[1]/ns0:subject[1]" w:storeItemID="{6C3C8BC8-F283-45AE-878A-BAB7291924A1}"/>
                <w:text/>
              </w:sdtPr>
              <w:sdtEndPr/>
              <w:sdtContent>
                <w:r w:rsidR="00122249" w:rsidRPr="00882FEB">
                  <w:t>CBD/SBI/REC/3/14</w:t>
                </w:r>
              </w:sdtContent>
            </w:sdt>
          </w:p>
          <w:p w14:paraId="1B661DD3" w14:textId="020B5C8D" w:rsidR="002700FA" w:rsidRPr="00521FE0" w:rsidRDefault="009A0630" w:rsidP="00AF2CC7">
            <w:pPr>
              <w:ind w:left="1215"/>
              <w:rPr>
                <w:szCs w:val="22"/>
              </w:rPr>
            </w:pPr>
            <w:r>
              <w:rPr>
                <w:szCs w:val="22"/>
              </w:rPr>
              <w:t>28 mars 2022</w:t>
            </w:r>
          </w:p>
          <w:p w14:paraId="3792F37B" w14:textId="77777777" w:rsidR="002700FA" w:rsidRPr="00521FE0" w:rsidRDefault="002700FA" w:rsidP="00AF2CC7">
            <w:pPr>
              <w:ind w:left="1215"/>
              <w:rPr>
                <w:szCs w:val="22"/>
              </w:rPr>
            </w:pPr>
          </w:p>
          <w:p w14:paraId="1B9388A2" w14:textId="77777777" w:rsidR="002700FA" w:rsidRPr="008B65B7" w:rsidRDefault="002700FA" w:rsidP="00AF2CC7">
            <w:pPr>
              <w:ind w:left="1215"/>
              <w:rPr>
                <w:szCs w:val="22"/>
              </w:rPr>
            </w:pPr>
            <w:r w:rsidRPr="008B65B7">
              <w:rPr>
                <w:szCs w:val="22"/>
              </w:rPr>
              <w:t>FRANÇAIS</w:t>
            </w:r>
          </w:p>
          <w:p w14:paraId="05ED6541" w14:textId="77777777" w:rsidR="002700FA" w:rsidRPr="008B65B7" w:rsidRDefault="002700FA" w:rsidP="00AF2CC7">
            <w:pPr>
              <w:ind w:left="1215"/>
              <w:rPr>
                <w:szCs w:val="22"/>
              </w:rPr>
            </w:pPr>
            <w:r w:rsidRPr="008B65B7">
              <w:rPr>
                <w:szCs w:val="22"/>
              </w:rPr>
              <w:t>ORIGINA</w:t>
            </w:r>
            <w:r>
              <w:rPr>
                <w:szCs w:val="22"/>
              </w:rPr>
              <w:t>L </w:t>
            </w:r>
            <w:r w:rsidRPr="008B65B7">
              <w:rPr>
                <w:szCs w:val="22"/>
              </w:rPr>
              <w:t>: ANGLAIS</w:t>
            </w:r>
          </w:p>
          <w:p w14:paraId="7F521D24" w14:textId="77777777" w:rsidR="002700FA" w:rsidRPr="00521FE0" w:rsidRDefault="002700FA" w:rsidP="00AF2CC7"/>
        </w:tc>
      </w:tr>
    </w:tbl>
    <w:p w14:paraId="7A4DBB04" w14:textId="2D4A2D8C" w:rsidR="00134846" w:rsidRPr="001F147F" w:rsidRDefault="00CB465C" w:rsidP="0008454E">
      <w:pPr>
        <w:pStyle w:val="meetingname"/>
        <w:ind w:left="284" w:right="3933" w:hanging="284"/>
        <w:rPr>
          <w:kern w:val="22"/>
        </w:rPr>
      </w:pPr>
      <w:r>
        <w:rPr>
          <w:kern w:val="22"/>
        </w:rPr>
        <w:t>ORGANE SUBSIDIAIRE CHARGÉ DE L’APPLICATION</w:t>
      </w:r>
    </w:p>
    <w:p w14:paraId="130C7F5E" w14:textId="786F4B39" w:rsidR="00134846" w:rsidRDefault="00CB465C" w:rsidP="00134846">
      <w:pPr>
        <w:ind w:left="284" w:hanging="284"/>
        <w:jc w:val="left"/>
        <w:rPr>
          <w:snapToGrid w:val="0"/>
          <w:kern w:val="22"/>
          <w:szCs w:val="22"/>
        </w:rPr>
      </w:pPr>
      <w:r>
        <w:rPr>
          <w:snapToGrid w:val="0"/>
          <w:kern w:val="22"/>
          <w:szCs w:val="22"/>
        </w:rPr>
        <w:t>Troisième réunion</w:t>
      </w:r>
    </w:p>
    <w:p w14:paraId="737BACE1" w14:textId="7476B92B" w:rsidR="00122249" w:rsidRPr="001F147F" w:rsidRDefault="00122249" w:rsidP="00134846">
      <w:pPr>
        <w:ind w:left="284" w:hanging="284"/>
        <w:jc w:val="left"/>
        <w:rPr>
          <w:snapToGrid w:val="0"/>
          <w:kern w:val="22"/>
          <w:szCs w:val="22"/>
          <w:lang w:eastAsia="nb-NO"/>
        </w:rPr>
      </w:pPr>
      <w:r>
        <w:rPr>
          <w:snapToGrid w:val="0"/>
          <w:kern w:val="22"/>
          <w:szCs w:val="22"/>
        </w:rPr>
        <w:t>En ligne, 16 mai – 13 juin 2021 et</w:t>
      </w:r>
    </w:p>
    <w:p w14:paraId="617EF6D0" w14:textId="68DC404A" w:rsidR="00134846" w:rsidRPr="001F147F" w:rsidRDefault="00DF42B3" w:rsidP="00134846">
      <w:pPr>
        <w:ind w:left="284" w:hanging="284"/>
        <w:jc w:val="left"/>
        <w:rPr>
          <w:snapToGrid w:val="0"/>
          <w:kern w:val="22"/>
          <w:szCs w:val="22"/>
          <w:lang w:eastAsia="nb-NO"/>
        </w:rPr>
      </w:pPr>
      <w:r>
        <w:rPr>
          <w:snapToGrid w:val="0"/>
          <w:kern w:val="22"/>
          <w:szCs w:val="22"/>
        </w:rPr>
        <w:t>Genève, Suisse, 14-29 mars 2022</w:t>
      </w:r>
    </w:p>
    <w:p w14:paraId="5ECF7635" w14:textId="380D32C4" w:rsidR="00C9161D" w:rsidRPr="001F147F" w:rsidRDefault="00466B71" w:rsidP="00C9161D">
      <w:pPr>
        <w:rPr>
          <w:snapToGrid w:val="0"/>
          <w:kern w:val="22"/>
          <w:szCs w:val="22"/>
        </w:rPr>
      </w:pPr>
      <w:r>
        <w:rPr>
          <w:snapToGrid w:val="0"/>
          <w:kern w:val="22"/>
          <w:szCs w:val="22"/>
        </w:rPr>
        <w:t>Point 11 de l’ordre du jour</w:t>
      </w:r>
    </w:p>
    <w:p w14:paraId="2AC56FCD" w14:textId="77777777" w:rsidR="00E36FD6" w:rsidRPr="005E2D95" w:rsidRDefault="00E36FD6" w:rsidP="00C9161D">
      <w:pPr>
        <w:rPr>
          <w:szCs w:val="22"/>
        </w:rPr>
      </w:pPr>
    </w:p>
    <w:p w14:paraId="57F6B7A1" w14:textId="2C74EADD" w:rsidR="00C9161D" w:rsidRPr="00867CF3" w:rsidRDefault="00122249" w:rsidP="00172AF6">
      <w:pPr>
        <w:spacing w:before="120" w:after="240"/>
        <w:jc w:val="center"/>
        <w:rPr>
          <w:rFonts w:ascii="Times New Roman Bold" w:hAnsi="Times New Roman Bold" w:cs="Times New Roman Bold"/>
          <w:b/>
          <w:caps/>
          <w:szCs w:val="22"/>
        </w:rPr>
      </w:pPr>
      <w:r>
        <w:rPr>
          <w:rFonts w:ascii="Times New Roman Bold" w:hAnsi="Times New Roman Bold" w:cs="Times New Roman Bold"/>
          <w:b/>
          <w:caps/>
          <w:szCs w:val="22"/>
        </w:rPr>
        <w:t>RECOMMANDATION ADOPTÉE PAR l’Organe subsidiaire chargé de l'application</w:t>
      </w:r>
    </w:p>
    <w:p w14:paraId="2EEF764E" w14:textId="2E11CFCE" w:rsidR="00F6586C" w:rsidRPr="005E2D95" w:rsidRDefault="00122249" w:rsidP="00F6586C">
      <w:pPr>
        <w:pStyle w:val="Style1"/>
        <w:rPr>
          <w:bCs w:val="0"/>
          <w:i w:val="0"/>
          <w:iCs w:val="0"/>
          <w:szCs w:val="22"/>
        </w:rPr>
      </w:pPr>
      <w:r>
        <w:rPr>
          <w:bCs w:val="0"/>
          <w:i w:val="0"/>
          <w:iCs w:val="0"/>
          <w:szCs w:val="22"/>
        </w:rPr>
        <w:t xml:space="preserve">3/14. </w:t>
      </w:r>
      <w:sdt>
        <w:sdtPr>
          <w:rPr>
            <w:rFonts w:ascii="Times New Roman Bold" w:hAnsi="Times New Roman Bold" w:cs="Times New Roman Bold"/>
            <w:b w:val="0"/>
            <w:bCs w:val="0"/>
            <w:i w:val="0"/>
            <w:caps/>
            <w:kern w:val="22"/>
            <w:szCs w:val="22"/>
          </w:rPr>
          <w:alias w:val="Title"/>
          <w:tag w:val=""/>
          <w:id w:val="772832786"/>
          <w:placeholder>
            <w:docPart w:val="30B4131DB8CB4E0CAA77A45A5FC1D85A"/>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Times New Roman Bold" w:hAnsi="Times New Roman Bold" w:cs="Times New Roman Bold"/>
              <w:i w:val="0"/>
              <w:kern w:val="22"/>
              <w:szCs w:val="22"/>
            </w:rPr>
            <w:t>C</w:t>
          </w:r>
          <w:r w:rsidRPr="00122249">
            <w:rPr>
              <w:rFonts w:ascii="Times New Roman Bold" w:hAnsi="Times New Roman Bold" w:cs="Times New Roman Bold"/>
              <w:i w:val="0"/>
              <w:kern w:val="22"/>
              <w:szCs w:val="22"/>
            </w:rPr>
            <w:t xml:space="preserve">ollaboration avec les </w:t>
          </w:r>
          <w:r>
            <w:rPr>
              <w:rFonts w:ascii="Times New Roman Bold" w:hAnsi="Times New Roman Bold" w:cs="Times New Roman Bold"/>
              <w:i w:val="0"/>
              <w:kern w:val="22"/>
              <w:szCs w:val="22"/>
            </w:rPr>
            <w:t>autorités infranationales, les municipalité</w:t>
          </w:r>
          <w:r w:rsidRPr="00122249">
            <w:rPr>
              <w:rFonts w:ascii="Times New Roman Bold" w:hAnsi="Times New Roman Bold" w:cs="Times New Roman Bold"/>
              <w:i w:val="0"/>
              <w:kern w:val="22"/>
              <w:szCs w:val="22"/>
            </w:rPr>
            <w:t>s et autres autorités locales en vue de renforcer la mise en œuvre du cadre mondial de la biodiversité pour l’après-2020</w:t>
          </w:r>
        </w:sdtContent>
      </w:sdt>
    </w:p>
    <w:p w14:paraId="6B7EA98D" w14:textId="0EDD0F8E" w:rsidR="00F6586C" w:rsidRDefault="00A253A5" w:rsidP="005E2D95">
      <w:pPr>
        <w:pStyle w:val="Para1"/>
        <w:numPr>
          <w:ilvl w:val="0"/>
          <w:numId w:val="0"/>
        </w:numPr>
        <w:ind w:firstLine="720"/>
        <w:rPr>
          <w:i/>
          <w:iCs/>
          <w:szCs w:val="22"/>
        </w:rPr>
      </w:pPr>
      <w:r>
        <w:rPr>
          <w:i/>
          <w:iCs/>
          <w:szCs w:val="22"/>
        </w:rPr>
        <w:t>L’Organe subsidiaire chargé de l’application</w:t>
      </w:r>
      <w:r w:rsidR="00DF42B3">
        <w:rPr>
          <w:i/>
          <w:iCs/>
          <w:szCs w:val="22"/>
        </w:rPr>
        <w:t>,</w:t>
      </w:r>
    </w:p>
    <w:p w14:paraId="51AA673E" w14:textId="503B110D" w:rsidR="00DF42B3" w:rsidRPr="00DF42B3" w:rsidRDefault="00DF42B3" w:rsidP="005E2D95">
      <w:pPr>
        <w:pStyle w:val="Para1"/>
        <w:numPr>
          <w:ilvl w:val="0"/>
          <w:numId w:val="0"/>
        </w:numPr>
        <w:ind w:firstLine="720"/>
        <w:rPr>
          <w:szCs w:val="22"/>
        </w:rPr>
      </w:pPr>
      <w:r>
        <w:rPr>
          <w:i/>
          <w:iCs/>
          <w:szCs w:val="22"/>
        </w:rPr>
        <w:t xml:space="preserve">Rappelant </w:t>
      </w:r>
      <w:r w:rsidRPr="00DF42B3">
        <w:rPr>
          <w:szCs w:val="22"/>
        </w:rPr>
        <w:t xml:space="preserve">le plan d'action </w:t>
      </w:r>
      <w:r w:rsidR="000A2E0E">
        <w:rPr>
          <w:szCs w:val="22"/>
        </w:rPr>
        <w:t xml:space="preserve">relatif aux </w:t>
      </w:r>
      <w:r w:rsidR="000A2E0E">
        <w:rPr>
          <w:iCs/>
          <w:szCs w:val="22"/>
        </w:rPr>
        <w:t>autorités infranationales</w:t>
      </w:r>
      <w:r w:rsidRPr="00DF42B3">
        <w:rPr>
          <w:szCs w:val="22"/>
        </w:rPr>
        <w:t xml:space="preserve">, </w:t>
      </w:r>
      <w:r w:rsidR="000A2E0E">
        <w:rPr>
          <w:szCs w:val="22"/>
        </w:rPr>
        <w:t xml:space="preserve">aux </w:t>
      </w:r>
      <w:r w:rsidR="00720752">
        <w:rPr>
          <w:szCs w:val="22"/>
        </w:rPr>
        <w:t>municipalités</w:t>
      </w:r>
      <w:r w:rsidRPr="00DF42B3">
        <w:rPr>
          <w:szCs w:val="22"/>
        </w:rPr>
        <w:t xml:space="preserve"> et </w:t>
      </w:r>
      <w:r w:rsidR="000A2E0E">
        <w:rPr>
          <w:szCs w:val="22"/>
        </w:rPr>
        <w:t xml:space="preserve">aux </w:t>
      </w:r>
      <w:r w:rsidRPr="00DF42B3">
        <w:rPr>
          <w:szCs w:val="22"/>
        </w:rPr>
        <w:t xml:space="preserve">autres autorités locales en faveur de la </w:t>
      </w:r>
      <w:r w:rsidR="005949A0">
        <w:rPr>
          <w:szCs w:val="22"/>
        </w:rPr>
        <w:t>biodiversité</w:t>
      </w:r>
      <w:r w:rsidRPr="00DF42B3">
        <w:rPr>
          <w:szCs w:val="22"/>
        </w:rPr>
        <w:t>, et se félicitant des progrès réalisés dans sa mise en œuvre</w:t>
      </w:r>
      <w:r>
        <w:rPr>
          <w:szCs w:val="22"/>
        </w:rPr>
        <w:t>,</w:t>
      </w:r>
    </w:p>
    <w:p w14:paraId="6B1FAB3C" w14:textId="75B18A3A" w:rsidR="00E36FD6" w:rsidRPr="0008454E" w:rsidRDefault="00DF42B3" w:rsidP="005E2D95">
      <w:pPr>
        <w:pStyle w:val="StylePara1Kernat11pt"/>
        <w:numPr>
          <w:ilvl w:val="0"/>
          <w:numId w:val="19"/>
        </w:numPr>
        <w:suppressLineNumbers/>
        <w:suppressAutoHyphens/>
        <w:kinsoku w:val="0"/>
        <w:overflowPunct w:val="0"/>
        <w:autoSpaceDE w:val="0"/>
        <w:autoSpaceDN w:val="0"/>
        <w:adjustRightInd w:val="0"/>
        <w:snapToGrid w:val="0"/>
        <w:ind w:left="0" w:firstLine="720"/>
        <w:jc w:val="both"/>
        <w:rPr>
          <w:iCs/>
          <w:sz w:val="22"/>
          <w:szCs w:val="22"/>
        </w:rPr>
      </w:pPr>
      <w:r>
        <w:rPr>
          <w:i/>
          <w:iCs/>
          <w:sz w:val="22"/>
          <w:szCs w:val="22"/>
        </w:rPr>
        <w:t xml:space="preserve">Prend note </w:t>
      </w:r>
      <w:r>
        <w:rPr>
          <w:sz w:val="22"/>
          <w:szCs w:val="22"/>
        </w:rPr>
        <w:t>des</w:t>
      </w:r>
      <w:r w:rsidR="000071FE">
        <w:rPr>
          <w:sz w:val="22"/>
          <w:szCs w:val="22"/>
        </w:rPr>
        <w:t xml:space="preserve"> </w:t>
      </w:r>
      <w:r w:rsidR="00E36FD6">
        <w:rPr>
          <w:iCs/>
          <w:sz w:val="22"/>
          <w:szCs w:val="22"/>
        </w:rPr>
        <w:t>contributions du Processus consultatif d'Édimbourg des autorités infranationales, des municipalités et des autres autorités locales</w:t>
      </w:r>
      <w:r w:rsidR="00E36FD6">
        <w:rPr>
          <w:rStyle w:val="FootnoteReference"/>
          <w:iCs/>
          <w:szCs w:val="22"/>
        </w:rPr>
        <w:footnoteReference w:id="2"/>
      </w:r>
      <w:r w:rsidR="000071FE">
        <w:rPr>
          <w:iCs/>
          <w:sz w:val="22"/>
          <w:szCs w:val="22"/>
        </w:rPr>
        <w:t xml:space="preserve"> en vue de l'élaboration du c</w:t>
      </w:r>
      <w:r w:rsidR="00E36FD6">
        <w:rPr>
          <w:iCs/>
          <w:sz w:val="22"/>
          <w:szCs w:val="22"/>
        </w:rPr>
        <w:t>adre mondial de la biodiversité pour l'après-2020</w:t>
      </w:r>
      <w:bookmarkStart w:id="0" w:name="_Ref73127237"/>
      <w:r w:rsidR="00E36FD6">
        <w:rPr>
          <w:rStyle w:val="FootnoteReference"/>
          <w:iCs/>
          <w:szCs w:val="22"/>
        </w:rPr>
        <w:footnoteReference w:id="3"/>
      </w:r>
      <w:bookmarkEnd w:id="0"/>
      <w:r w:rsidR="00E36FD6">
        <w:rPr>
          <w:iCs/>
          <w:sz w:val="22"/>
          <w:szCs w:val="22"/>
        </w:rPr>
        <w:t xml:space="preserve">, comme approuvé par le Groupe de travail à </w:t>
      </w:r>
      <w:r w:rsidR="000071FE">
        <w:rPr>
          <w:iCs/>
          <w:sz w:val="22"/>
          <w:szCs w:val="22"/>
        </w:rPr>
        <w:t>composition non limitée sur le c</w:t>
      </w:r>
      <w:r w:rsidR="00E36FD6">
        <w:rPr>
          <w:iCs/>
          <w:sz w:val="22"/>
          <w:szCs w:val="22"/>
        </w:rPr>
        <w:t>adre mondial de la biodiversité pour l'après-2020 lors de sa première réunion, à Nairobi, du 27 au 30 août 2019</w:t>
      </w:r>
      <w:r w:rsidR="00E36FD6">
        <w:rPr>
          <w:rStyle w:val="FootnoteReference"/>
          <w:iCs/>
          <w:szCs w:val="22"/>
        </w:rPr>
        <w:footnoteReference w:id="4"/>
      </w:r>
      <w:r w:rsidR="00E36FD6">
        <w:rPr>
          <w:iCs/>
          <w:sz w:val="22"/>
          <w:szCs w:val="22"/>
        </w:rPr>
        <w:t> ;</w:t>
      </w:r>
    </w:p>
    <w:p w14:paraId="38F8FC1B" w14:textId="764E4BA8" w:rsidR="00E36FD6" w:rsidRPr="0008454E" w:rsidRDefault="003A35BD" w:rsidP="005E2D95">
      <w:pPr>
        <w:pStyle w:val="StylePara1Kernat11pt"/>
        <w:numPr>
          <w:ilvl w:val="0"/>
          <w:numId w:val="19"/>
        </w:numPr>
        <w:suppressLineNumbers/>
        <w:suppressAutoHyphens/>
        <w:kinsoku w:val="0"/>
        <w:overflowPunct w:val="0"/>
        <w:autoSpaceDE w:val="0"/>
        <w:autoSpaceDN w:val="0"/>
        <w:adjustRightInd w:val="0"/>
        <w:snapToGrid w:val="0"/>
        <w:ind w:left="0" w:firstLine="720"/>
        <w:jc w:val="both"/>
        <w:rPr>
          <w:iCs/>
          <w:sz w:val="22"/>
          <w:szCs w:val="22"/>
        </w:rPr>
      </w:pPr>
      <w:r>
        <w:rPr>
          <w:i/>
          <w:sz w:val="22"/>
          <w:szCs w:val="22"/>
        </w:rPr>
        <w:t xml:space="preserve">Prend note </w:t>
      </w:r>
      <w:r w:rsidR="00D3348D">
        <w:rPr>
          <w:iCs/>
          <w:sz w:val="22"/>
          <w:szCs w:val="22"/>
        </w:rPr>
        <w:t>des</w:t>
      </w:r>
      <w:r>
        <w:rPr>
          <w:iCs/>
          <w:sz w:val="22"/>
          <w:szCs w:val="22"/>
        </w:rPr>
        <w:t xml:space="preserve"> </w:t>
      </w:r>
      <w:r w:rsidR="00E36FD6">
        <w:rPr>
          <w:iCs/>
          <w:sz w:val="22"/>
          <w:szCs w:val="22"/>
        </w:rPr>
        <w:t>résultats de la consultation du Processus d'Édimbourg concernant la version actualisée du Plan d'action relatif aux autorités infranationales, aux municipalités et aux autres autorités locales en faveur de la biodiversité</w:t>
      </w:r>
      <w:r w:rsidR="00E36FD6">
        <w:rPr>
          <w:rStyle w:val="FootnoteReference"/>
          <w:iCs/>
          <w:szCs w:val="22"/>
        </w:rPr>
        <w:footnoteReference w:id="5"/>
      </w:r>
      <w:r w:rsidR="00E36FD6">
        <w:rPr>
          <w:iCs/>
          <w:sz w:val="22"/>
          <w:szCs w:val="22"/>
        </w:rPr>
        <w:t xml:space="preserve"> tels qu'ils figurent dans la</w:t>
      </w:r>
      <w:r w:rsidR="00E36FD6">
        <w:rPr>
          <w:sz w:val="22"/>
          <w:szCs w:val="22"/>
        </w:rPr>
        <w:t xml:space="preserve"> note de la Secrétaire exécutive</w:t>
      </w:r>
      <w:r w:rsidR="00E36FD6">
        <w:rPr>
          <w:rStyle w:val="FootnoteReference"/>
          <w:iCs/>
          <w:szCs w:val="22"/>
        </w:rPr>
        <w:footnoteReference w:id="6"/>
      </w:r>
      <w:r w:rsidR="00E36FD6">
        <w:rPr>
          <w:iCs/>
          <w:sz w:val="22"/>
          <w:szCs w:val="22"/>
        </w:rPr>
        <w:t>, également mis en évidence lors du webinaire du Processus d'Édimbourg à l'intention des Parties à la Convention sur la diversité biologique du 23 septembre 2020 ;</w:t>
      </w:r>
    </w:p>
    <w:p w14:paraId="208EA8B6" w14:textId="2582E105" w:rsidR="00E36FD6" w:rsidRPr="00CA79CB" w:rsidRDefault="00257DE8" w:rsidP="005E2D95">
      <w:pPr>
        <w:pStyle w:val="StylePara1Kernat11pt"/>
        <w:numPr>
          <w:ilvl w:val="0"/>
          <w:numId w:val="19"/>
        </w:numPr>
        <w:suppressLineNumbers/>
        <w:suppressAutoHyphens/>
        <w:kinsoku w:val="0"/>
        <w:overflowPunct w:val="0"/>
        <w:autoSpaceDE w:val="0"/>
        <w:autoSpaceDN w:val="0"/>
        <w:adjustRightInd w:val="0"/>
        <w:snapToGrid w:val="0"/>
        <w:ind w:left="0" w:firstLine="720"/>
        <w:jc w:val="both"/>
        <w:rPr>
          <w:i/>
          <w:sz w:val="20"/>
          <w:szCs w:val="20"/>
        </w:rPr>
      </w:pPr>
      <w:r w:rsidRPr="00CA79CB">
        <w:rPr>
          <w:i/>
          <w:iCs/>
          <w:sz w:val="22"/>
          <w:szCs w:val="20"/>
        </w:rPr>
        <w:t>Reconnaît</w:t>
      </w:r>
      <w:r w:rsidRPr="00CA79CB">
        <w:rPr>
          <w:iCs/>
          <w:sz w:val="22"/>
          <w:szCs w:val="20"/>
        </w:rPr>
        <w:t xml:space="preserve"> l'urgence et la nécessité inédite, compte tenu des crises actuelles et grandissantes dans les domaines de l'environnement, de la santé, du climat, de la protection sociale et du développement économique, d'adopter une « approche pangouvernementale » pour agir à tous les niveaux de gouvernance en tenant compte des principes de l'approche par écosystème adoptée dans la </w:t>
      </w:r>
      <w:hyperlink r:id="rId15" w:history="1">
        <w:r w:rsidRPr="00CA79CB">
          <w:rPr>
            <w:rStyle w:val="Hyperlink"/>
            <w:sz w:val="20"/>
            <w:szCs w:val="20"/>
          </w:rPr>
          <w:t>décision</w:t>
        </w:r>
      </w:hyperlink>
      <w:r w:rsidRPr="00CA79CB">
        <w:rPr>
          <w:sz w:val="22"/>
          <w:szCs w:val="16"/>
        </w:rPr>
        <w:t> </w:t>
      </w:r>
      <w:r w:rsidRPr="00CA79CB">
        <w:rPr>
          <w:rStyle w:val="Hyperlink"/>
          <w:sz w:val="20"/>
          <w:szCs w:val="20"/>
        </w:rPr>
        <w:t>V/6 </w:t>
      </w:r>
      <w:r w:rsidRPr="00CA79CB">
        <w:rPr>
          <w:sz w:val="22"/>
          <w:szCs w:val="20"/>
        </w:rPr>
        <w:t>;</w:t>
      </w:r>
    </w:p>
    <w:p w14:paraId="1BEB1214" w14:textId="60676809" w:rsidR="00E36FD6" w:rsidRPr="0008454E" w:rsidRDefault="00E36FD6" w:rsidP="005E2D95">
      <w:pPr>
        <w:pStyle w:val="StylePara1Kernat11pt"/>
        <w:numPr>
          <w:ilvl w:val="0"/>
          <w:numId w:val="19"/>
        </w:numPr>
        <w:suppressLineNumbers/>
        <w:suppressAutoHyphens/>
        <w:kinsoku w:val="0"/>
        <w:overflowPunct w:val="0"/>
        <w:autoSpaceDE w:val="0"/>
        <w:autoSpaceDN w:val="0"/>
        <w:adjustRightInd w:val="0"/>
        <w:snapToGrid w:val="0"/>
        <w:ind w:left="0" w:firstLine="720"/>
        <w:jc w:val="both"/>
        <w:rPr>
          <w:i/>
          <w:iCs/>
          <w:sz w:val="22"/>
          <w:szCs w:val="22"/>
        </w:rPr>
      </w:pPr>
      <w:r>
        <w:rPr>
          <w:i/>
          <w:sz w:val="22"/>
          <w:szCs w:val="22"/>
        </w:rPr>
        <w:lastRenderedPageBreak/>
        <w:t>Recommande</w:t>
      </w:r>
      <w:r>
        <w:rPr>
          <w:sz w:val="22"/>
          <w:szCs w:val="22"/>
        </w:rPr>
        <w:t xml:space="preserve"> que la Conférence des Parties à sa quinzième réunion adopte une décision dont le libellé serait le suivant :</w:t>
      </w:r>
    </w:p>
    <w:p w14:paraId="24215971" w14:textId="77777777" w:rsidR="00E36FD6" w:rsidRPr="0008454E" w:rsidRDefault="00E36FD6" w:rsidP="005E2D95">
      <w:pPr>
        <w:pStyle w:val="StylePara1Kernat11pt"/>
        <w:suppressLineNumbers/>
        <w:suppressAutoHyphens/>
        <w:kinsoku w:val="0"/>
        <w:overflowPunct w:val="0"/>
        <w:autoSpaceDE w:val="0"/>
        <w:autoSpaceDN w:val="0"/>
        <w:adjustRightInd w:val="0"/>
        <w:snapToGrid w:val="0"/>
        <w:ind w:left="720" w:firstLine="720"/>
        <w:jc w:val="both"/>
        <w:rPr>
          <w:sz w:val="22"/>
          <w:szCs w:val="22"/>
        </w:rPr>
      </w:pPr>
      <w:r>
        <w:rPr>
          <w:i/>
          <w:iCs/>
          <w:sz w:val="22"/>
          <w:szCs w:val="22"/>
        </w:rPr>
        <w:t>La Conférence des Parties,</w:t>
      </w:r>
    </w:p>
    <w:p w14:paraId="040640C8" w14:textId="25A5A490" w:rsidR="00F55393" w:rsidRDefault="00E36FD6" w:rsidP="00D3348D">
      <w:pPr>
        <w:pStyle w:val="StylePara1Kernat11pt"/>
        <w:suppressLineNumbers/>
        <w:suppressAutoHyphens/>
        <w:kinsoku w:val="0"/>
        <w:overflowPunct w:val="0"/>
        <w:autoSpaceDE w:val="0"/>
        <w:autoSpaceDN w:val="0"/>
        <w:adjustRightInd w:val="0"/>
        <w:snapToGrid w:val="0"/>
        <w:ind w:left="720" w:firstLine="720"/>
        <w:jc w:val="both"/>
        <w:rPr>
          <w:iCs/>
          <w:sz w:val="22"/>
          <w:szCs w:val="22"/>
        </w:rPr>
      </w:pPr>
      <w:r>
        <w:rPr>
          <w:i/>
          <w:iCs/>
          <w:sz w:val="22"/>
          <w:szCs w:val="22"/>
        </w:rPr>
        <w:t>Rappelant</w:t>
      </w:r>
      <w:r>
        <w:rPr>
          <w:iCs/>
          <w:sz w:val="22"/>
          <w:szCs w:val="22"/>
        </w:rPr>
        <w:t xml:space="preserve"> les décisions </w:t>
      </w:r>
      <w:hyperlink r:id="rId16" w:history="1">
        <w:r>
          <w:rPr>
            <w:rStyle w:val="Hyperlink"/>
            <w:iCs/>
            <w:sz w:val="22"/>
            <w:szCs w:val="22"/>
          </w:rPr>
          <w:t>X/22</w:t>
        </w:r>
      </w:hyperlink>
      <w:r>
        <w:rPr>
          <w:iCs/>
          <w:sz w:val="22"/>
          <w:szCs w:val="22"/>
        </w:rPr>
        <w:t xml:space="preserve"> et </w:t>
      </w:r>
      <w:hyperlink r:id="rId17" w:history="1">
        <w:r>
          <w:rPr>
            <w:rStyle w:val="Hyperlink"/>
            <w:iCs/>
            <w:sz w:val="22"/>
            <w:szCs w:val="22"/>
          </w:rPr>
          <w:t>XII/9</w:t>
        </w:r>
      </w:hyperlink>
      <w:r>
        <w:rPr>
          <w:iCs/>
          <w:sz w:val="22"/>
          <w:szCs w:val="22"/>
        </w:rPr>
        <w:t>,</w:t>
      </w:r>
    </w:p>
    <w:p w14:paraId="0EC7607E" w14:textId="49D129A8" w:rsidR="00BE4FF6" w:rsidRPr="00F55393" w:rsidRDefault="00F55393" w:rsidP="00D3348D">
      <w:pPr>
        <w:pStyle w:val="StylePara1Kernat11pt"/>
        <w:suppressLineNumbers/>
        <w:suppressAutoHyphens/>
        <w:kinsoku w:val="0"/>
        <w:overflowPunct w:val="0"/>
        <w:autoSpaceDE w:val="0"/>
        <w:autoSpaceDN w:val="0"/>
        <w:adjustRightInd w:val="0"/>
        <w:snapToGrid w:val="0"/>
        <w:ind w:left="720" w:firstLine="720"/>
        <w:jc w:val="both"/>
        <w:rPr>
          <w:iCs/>
          <w:sz w:val="22"/>
          <w:szCs w:val="22"/>
        </w:rPr>
      </w:pPr>
      <w:r>
        <w:rPr>
          <w:i/>
          <w:sz w:val="22"/>
          <w:szCs w:val="22"/>
        </w:rPr>
        <w:t xml:space="preserve">Rappelant </w:t>
      </w:r>
      <w:r>
        <w:rPr>
          <w:iCs/>
          <w:sz w:val="22"/>
          <w:szCs w:val="22"/>
        </w:rPr>
        <w:t>le</w:t>
      </w:r>
      <w:r w:rsidRPr="00073BAC">
        <w:rPr>
          <w:iCs/>
          <w:sz w:val="22"/>
          <w:szCs w:val="22"/>
        </w:rPr>
        <w:t xml:space="preserve"> Plan d'action 2011-2020 </w:t>
      </w:r>
      <w:r w:rsidR="00F126DB" w:rsidRPr="00073BAC">
        <w:rPr>
          <w:iCs/>
          <w:sz w:val="22"/>
          <w:szCs w:val="22"/>
        </w:rPr>
        <w:t xml:space="preserve">relatif aux </w:t>
      </w:r>
      <w:r w:rsidR="000A2E0E" w:rsidRPr="00073BAC">
        <w:rPr>
          <w:iCs/>
          <w:sz w:val="22"/>
          <w:szCs w:val="22"/>
        </w:rPr>
        <w:t>autorités infranationales</w:t>
      </w:r>
      <w:r w:rsidRPr="00073BAC">
        <w:rPr>
          <w:iCs/>
          <w:sz w:val="22"/>
          <w:szCs w:val="22"/>
        </w:rPr>
        <w:t xml:space="preserve">, </w:t>
      </w:r>
      <w:r w:rsidR="00F126DB" w:rsidRPr="00073BAC">
        <w:rPr>
          <w:iCs/>
          <w:sz w:val="22"/>
          <w:szCs w:val="22"/>
        </w:rPr>
        <w:t xml:space="preserve">aux </w:t>
      </w:r>
      <w:r w:rsidR="00113B29">
        <w:rPr>
          <w:iCs/>
          <w:sz w:val="22"/>
          <w:szCs w:val="22"/>
        </w:rPr>
        <w:t>municipalités</w:t>
      </w:r>
      <w:r w:rsidRPr="00073BAC">
        <w:rPr>
          <w:iCs/>
          <w:sz w:val="22"/>
          <w:szCs w:val="22"/>
        </w:rPr>
        <w:t xml:space="preserve"> et </w:t>
      </w:r>
      <w:r w:rsidR="00F126DB" w:rsidRPr="00073BAC">
        <w:rPr>
          <w:iCs/>
          <w:sz w:val="22"/>
          <w:szCs w:val="22"/>
        </w:rPr>
        <w:t xml:space="preserve">aux </w:t>
      </w:r>
      <w:r w:rsidRPr="00073BAC">
        <w:rPr>
          <w:iCs/>
          <w:sz w:val="22"/>
          <w:szCs w:val="22"/>
        </w:rPr>
        <w:t xml:space="preserve">autres autorités locales </w:t>
      </w:r>
      <w:r w:rsidR="00F126DB" w:rsidRPr="00073BAC">
        <w:rPr>
          <w:iCs/>
          <w:sz w:val="22"/>
          <w:szCs w:val="22"/>
        </w:rPr>
        <w:t>en faveur de</w:t>
      </w:r>
      <w:r w:rsidRPr="00073BAC">
        <w:rPr>
          <w:iCs/>
          <w:sz w:val="22"/>
          <w:szCs w:val="22"/>
        </w:rPr>
        <w:t xml:space="preserve"> la </w:t>
      </w:r>
      <w:r w:rsidR="00F126DB" w:rsidRPr="00073BAC">
        <w:rPr>
          <w:iCs/>
          <w:sz w:val="22"/>
          <w:szCs w:val="22"/>
        </w:rPr>
        <w:t>biodiversité</w:t>
      </w:r>
      <w:r w:rsidRPr="00073BAC">
        <w:rPr>
          <w:iCs/>
          <w:sz w:val="22"/>
          <w:szCs w:val="22"/>
        </w:rPr>
        <w:t>,</w:t>
      </w:r>
      <w:r w:rsidR="005427FE">
        <w:rPr>
          <w:rStyle w:val="FootnoteReference"/>
          <w:rFonts w:asciiTheme="majorBidi" w:hAnsiTheme="majorBidi" w:cstheme="majorBidi"/>
          <w:szCs w:val="22"/>
        </w:rPr>
        <w:footnoteReference w:id="7"/>
      </w:r>
      <w:r w:rsidRPr="00073BAC">
        <w:rPr>
          <w:iCs/>
          <w:sz w:val="22"/>
          <w:szCs w:val="22"/>
        </w:rPr>
        <w:t xml:space="preserve"> adopté en 2010, et se félicitant des progrès accomplis dans sa mise en œuvre réussie</w:t>
      </w:r>
      <w:r w:rsidR="009273EA">
        <w:rPr>
          <w:iCs/>
          <w:sz w:val="22"/>
          <w:szCs w:val="22"/>
        </w:rPr>
        <w:t>,</w:t>
      </w:r>
    </w:p>
    <w:p w14:paraId="40DFF02E" w14:textId="2D121723" w:rsidR="00E36FD6" w:rsidRPr="0008454E" w:rsidRDefault="00E36FD6" w:rsidP="005E2D95">
      <w:pPr>
        <w:pStyle w:val="StylePara1Kernat11pt"/>
        <w:suppressLineNumbers/>
        <w:suppressAutoHyphens/>
        <w:kinsoku w:val="0"/>
        <w:overflowPunct w:val="0"/>
        <w:autoSpaceDE w:val="0"/>
        <w:autoSpaceDN w:val="0"/>
        <w:adjustRightInd w:val="0"/>
        <w:snapToGrid w:val="0"/>
        <w:ind w:left="720" w:firstLine="720"/>
        <w:jc w:val="both"/>
        <w:rPr>
          <w:iCs/>
          <w:sz w:val="22"/>
          <w:szCs w:val="22"/>
        </w:rPr>
      </w:pPr>
      <w:r>
        <w:rPr>
          <w:i/>
          <w:iCs/>
          <w:sz w:val="22"/>
          <w:szCs w:val="22"/>
        </w:rPr>
        <w:t>Notant</w:t>
      </w:r>
      <w:r>
        <w:rPr>
          <w:sz w:val="22"/>
          <w:szCs w:val="22"/>
        </w:rPr>
        <w:t xml:space="preserve"> que, si la responsabilité de la mise en œuvre de la Convention incombe principalement aux Parties, il existe de multiples raisons de promouvoir l'engagement </w:t>
      </w:r>
      <w:r w:rsidR="008C28CF">
        <w:rPr>
          <w:sz w:val="22"/>
          <w:szCs w:val="22"/>
        </w:rPr>
        <w:t xml:space="preserve">des </w:t>
      </w:r>
      <w:r w:rsidR="00C1369F">
        <w:rPr>
          <w:iCs/>
          <w:sz w:val="22"/>
          <w:szCs w:val="22"/>
        </w:rPr>
        <w:t>autorités infranationales</w:t>
      </w:r>
      <w:r w:rsidR="008C28CF">
        <w:rPr>
          <w:sz w:val="22"/>
          <w:szCs w:val="22"/>
        </w:rPr>
        <w:t xml:space="preserve">, </w:t>
      </w:r>
      <w:r>
        <w:rPr>
          <w:sz w:val="22"/>
          <w:szCs w:val="22"/>
        </w:rPr>
        <w:t>des villes et des</w:t>
      </w:r>
      <w:r w:rsidR="00A06F15">
        <w:rPr>
          <w:sz w:val="22"/>
          <w:szCs w:val="22"/>
        </w:rPr>
        <w:t xml:space="preserve"> autres</w:t>
      </w:r>
      <w:r>
        <w:rPr>
          <w:sz w:val="22"/>
          <w:szCs w:val="22"/>
        </w:rPr>
        <w:t xml:space="preserve"> autorités locales dans la mise en œuvre de la Convention,</w:t>
      </w:r>
    </w:p>
    <w:p w14:paraId="6A0DD8F8" w14:textId="1CF025E2" w:rsidR="00E36FD6" w:rsidRPr="0008454E" w:rsidRDefault="00E36FD6" w:rsidP="005E2D95">
      <w:pPr>
        <w:pStyle w:val="StylePara1Kernat11pt"/>
        <w:suppressLineNumbers/>
        <w:suppressAutoHyphens/>
        <w:kinsoku w:val="0"/>
        <w:overflowPunct w:val="0"/>
        <w:autoSpaceDE w:val="0"/>
        <w:autoSpaceDN w:val="0"/>
        <w:adjustRightInd w:val="0"/>
        <w:snapToGrid w:val="0"/>
        <w:ind w:left="720" w:firstLine="720"/>
        <w:jc w:val="both"/>
        <w:rPr>
          <w:iCs/>
          <w:sz w:val="22"/>
          <w:szCs w:val="22"/>
        </w:rPr>
      </w:pPr>
      <w:r>
        <w:rPr>
          <w:i/>
          <w:sz w:val="22"/>
          <w:szCs w:val="22"/>
        </w:rPr>
        <w:t xml:space="preserve">Notant également </w:t>
      </w:r>
      <w:r>
        <w:rPr>
          <w:iCs/>
          <w:sz w:val="22"/>
          <w:szCs w:val="22"/>
        </w:rPr>
        <w:t xml:space="preserve">que les </w:t>
      </w:r>
      <w:r w:rsidR="00C1369F">
        <w:rPr>
          <w:iCs/>
          <w:sz w:val="22"/>
          <w:szCs w:val="22"/>
        </w:rPr>
        <w:t>autorités</w:t>
      </w:r>
      <w:r>
        <w:rPr>
          <w:iCs/>
          <w:sz w:val="22"/>
          <w:szCs w:val="22"/>
        </w:rPr>
        <w:t xml:space="preserve"> </w:t>
      </w:r>
      <w:r w:rsidR="00C1369F">
        <w:rPr>
          <w:iCs/>
          <w:sz w:val="22"/>
          <w:szCs w:val="22"/>
        </w:rPr>
        <w:t>infranationales</w:t>
      </w:r>
      <w:r>
        <w:rPr>
          <w:iCs/>
          <w:sz w:val="22"/>
          <w:szCs w:val="22"/>
        </w:rPr>
        <w:t>, les municipalités et autres autorités locales font partie intégrante de nombreuses Parties et d'autres États, et que l</w:t>
      </w:r>
      <w:r w:rsidR="000071FE">
        <w:rPr>
          <w:iCs/>
          <w:sz w:val="22"/>
          <w:szCs w:val="22"/>
        </w:rPr>
        <w:t>a mise en œuvre et le suivi du c</w:t>
      </w:r>
      <w:r>
        <w:rPr>
          <w:iCs/>
          <w:sz w:val="22"/>
          <w:szCs w:val="22"/>
        </w:rPr>
        <w:t xml:space="preserve">adre mondial de la biodiversité pour l'après-2020 nécessitent d'impliquer tous les niveaux de pouvoir </w:t>
      </w:r>
      <w:r>
        <w:rPr>
          <w:sz w:val="22"/>
          <w:szCs w:val="22"/>
        </w:rPr>
        <w:t>selon qu'il convient,</w:t>
      </w:r>
    </w:p>
    <w:p w14:paraId="30498E24" w14:textId="12097791" w:rsidR="00E36FD6" w:rsidRPr="00307C21" w:rsidRDefault="00E36FD6" w:rsidP="005E2D95">
      <w:pPr>
        <w:pStyle w:val="StylePara1Kernat11pt"/>
        <w:suppressLineNumbers/>
        <w:suppressAutoHyphens/>
        <w:kinsoku w:val="0"/>
        <w:overflowPunct w:val="0"/>
        <w:autoSpaceDE w:val="0"/>
        <w:autoSpaceDN w:val="0"/>
        <w:adjustRightInd w:val="0"/>
        <w:snapToGrid w:val="0"/>
        <w:ind w:left="720" w:firstLine="720"/>
        <w:jc w:val="both"/>
        <w:rPr>
          <w:sz w:val="22"/>
          <w:szCs w:val="22"/>
        </w:rPr>
      </w:pPr>
      <w:r>
        <w:rPr>
          <w:i/>
          <w:iCs/>
          <w:sz w:val="22"/>
          <w:szCs w:val="22"/>
        </w:rPr>
        <w:t>Reconnaissant</w:t>
      </w:r>
      <w:r>
        <w:rPr>
          <w:sz w:val="22"/>
          <w:szCs w:val="22"/>
        </w:rPr>
        <w:t xml:space="preserve"> le rôle majeur des </w:t>
      </w:r>
      <w:r w:rsidR="00C1369F">
        <w:rPr>
          <w:iCs/>
          <w:sz w:val="22"/>
          <w:szCs w:val="22"/>
        </w:rPr>
        <w:t>autorités infranationales</w:t>
      </w:r>
      <w:r>
        <w:rPr>
          <w:sz w:val="22"/>
          <w:szCs w:val="22"/>
        </w:rPr>
        <w:t xml:space="preserve">, des municipalités et des autres autorités locales dans la mise en œuvre des objectifs </w:t>
      </w:r>
      <w:r w:rsidR="009F13E5">
        <w:rPr>
          <w:sz w:val="22"/>
          <w:szCs w:val="22"/>
        </w:rPr>
        <w:t>de la Convention sur la diversité biologique</w:t>
      </w:r>
      <w:r w:rsidR="0003184D">
        <w:rPr>
          <w:sz w:val="22"/>
          <w:szCs w:val="22"/>
        </w:rPr>
        <w:t xml:space="preserve">, de même que </w:t>
      </w:r>
      <w:r w:rsidR="00E549F7">
        <w:rPr>
          <w:sz w:val="22"/>
          <w:szCs w:val="22"/>
        </w:rPr>
        <w:t xml:space="preserve">dans </w:t>
      </w:r>
      <w:r w:rsidR="0003184D">
        <w:rPr>
          <w:sz w:val="22"/>
          <w:szCs w:val="22"/>
        </w:rPr>
        <w:t>le</w:t>
      </w:r>
      <w:r>
        <w:rPr>
          <w:sz w:val="22"/>
          <w:szCs w:val="22"/>
        </w:rPr>
        <w:t xml:space="preserve"> suivi, l'établissement de rapports, l'intégration, la mobilisation des ressources, </w:t>
      </w:r>
      <w:r w:rsidR="005D72F4">
        <w:rPr>
          <w:sz w:val="22"/>
          <w:szCs w:val="22"/>
        </w:rPr>
        <w:t xml:space="preserve">le </w:t>
      </w:r>
      <w:r>
        <w:rPr>
          <w:sz w:val="22"/>
          <w:szCs w:val="22"/>
        </w:rPr>
        <w:t xml:space="preserve">renforcement des capacités, la communication, l'éducation et la sensibilisation du </w:t>
      </w:r>
      <w:r w:rsidRPr="00307C21">
        <w:rPr>
          <w:sz w:val="22"/>
          <w:szCs w:val="22"/>
        </w:rPr>
        <w:t>public, la participation sociale et à l'accès du public aux informations,</w:t>
      </w:r>
    </w:p>
    <w:p w14:paraId="10DED213" w14:textId="5FFD964D" w:rsidR="00E36FD6" w:rsidRDefault="005427FE" w:rsidP="005E2D95">
      <w:pPr>
        <w:pStyle w:val="StylePara1Kernat11pt"/>
        <w:suppressLineNumbers/>
        <w:suppressAutoHyphens/>
        <w:kinsoku w:val="0"/>
        <w:overflowPunct w:val="0"/>
        <w:autoSpaceDE w:val="0"/>
        <w:autoSpaceDN w:val="0"/>
        <w:adjustRightInd w:val="0"/>
        <w:snapToGrid w:val="0"/>
        <w:ind w:left="720" w:firstLine="720"/>
        <w:jc w:val="both"/>
        <w:rPr>
          <w:snapToGrid/>
          <w:sz w:val="22"/>
          <w:szCs w:val="22"/>
        </w:rPr>
      </w:pPr>
      <w:r>
        <w:rPr>
          <w:i/>
          <w:snapToGrid/>
          <w:sz w:val="22"/>
          <w:szCs w:val="22"/>
        </w:rPr>
        <w:t>[</w:t>
      </w:r>
      <w:r w:rsidR="00E36FD6" w:rsidRPr="00307C21">
        <w:rPr>
          <w:i/>
          <w:snapToGrid/>
          <w:sz w:val="22"/>
          <w:szCs w:val="22"/>
        </w:rPr>
        <w:t xml:space="preserve">Soulignant </w:t>
      </w:r>
      <w:r w:rsidR="00E36FD6" w:rsidRPr="00307C21">
        <w:rPr>
          <w:snapToGrid/>
          <w:sz w:val="22"/>
          <w:szCs w:val="22"/>
        </w:rPr>
        <w:t xml:space="preserve">l'importance d'un mécanisme multipartite </w:t>
      </w:r>
      <w:r w:rsidR="001A276C" w:rsidRPr="00307C21">
        <w:rPr>
          <w:snapToGrid/>
          <w:sz w:val="22"/>
          <w:szCs w:val="22"/>
        </w:rPr>
        <w:t>et de plateformes pour appuyer la mise en œuvre d</w:t>
      </w:r>
      <w:r w:rsidR="000071FE">
        <w:rPr>
          <w:snapToGrid/>
          <w:sz w:val="22"/>
          <w:szCs w:val="22"/>
        </w:rPr>
        <w:t>u c</w:t>
      </w:r>
      <w:r w:rsidR="00E36FD6" w:rsidRPr="00307C21">
        <w:rPr>
          <w:snapToGrid/>
          <w:sz w:val="22"/>
          <w:szCs w:val="22"/>
        </w:rPr>
        <w:t xml:space="preserve">adre mondial de la biodiversité pour l'après-2020, </w:t>
      </w:r>
      <w:r w:rsidR="001A276C" w:rsidRPr="00307C21">
        <w:rPr>
          <w:snapToGrid/>
          <w:sz w:val="22"/>
          <w:szCs w:val="22"/>
        </w:rPr>
        <w:t>qui [</w:t>
      </w:r>
      <w:r w:rsidR="00CA08B5" w:rsidRPr="00307C21">
        <w:rPr>
          <w:snapToGrid/>
          <w:sz w:val="22"/>
          <w:szCs w:val="22"/>
        </w:rPr>
        <w:t xml:space="preserve">pourvoient à] [garantissent] la représentation des </w:t>
      </w:r>
      <w:r w:rsidR="006A3E11">
        <w:rPr>
          <w:snapToGrid/>
          <w:sz w:val="22"/>
          <w:szCs w:val="22"/>
        </w:rPr>
        <w:t>autorités infranationales</w:t>
      </w:r>
      <w:r w:rsidR="00CA08B5" w:rsidRPr="00307C21">
        <w:rPr>
          <w:snapToGrid/>
          <w:sz w:val="22"/>
          <w:szCs w:val="22"/>
        </w:rPr>
        <w:t xml:space="preserve">, des </w:t>
      </w:r>
      <w:r w:rsidR="00B233B5">
        <w:rPr>
          <w:snapToGrid/>
          <w:sz w:val="22"/>
          <w:szCs w:val="22"/>
        </w:rPr>
        <w:t>municipalités</w:t>
      </w:r>
      <w:r w:rsidR="00CA08B5" w:rsidRPr="00307C21">
        <w:rPr>
          <w:snapToGrid/>
          <w:sz w:val="22"/>
          <w:szCs w:val="22"/>
        </w:rPr>
        <w:t xml:space="preserve"> et des autres autorités locales</w:t>
      </w:r>
      <w:r w:rsidR="00711DB6">
        <w:rPr>
          <w:snapToGrid/>
          <w:sz w:val="22"/>
          <w:szCs w:val="22"/>
        </w:rPr>
        <w:t xml:space="preserve"> </w:t>
      </w:r>
      <w:r w:rsidR="002D68C4" w:rsidRPr="00307C21">
        <w:rPr>
          <w:snapToGrid/>
          <w:sz w:val="22"/>
          <w:szCs w:val="22"/>
        </w:rPr>
        <w:t>[</w:t>
      </w:r>
      <w:r w:rsidR="00CA08B5" w:rsidRPr="00307C21">
        <w:rPr>
          <w:snapToGrid/>
          <w:sz w:val="22"/>
          <w:szCs w:val="22"/>
        </w:rPr>
        <w:t xml:space="preserve">, ainsi que </w:t>
      </w:r>
      <w:r w:rsidR="00E36FD6" w:rsidRPr="00307C21">
        <w:rPr>
          <w:snapToGrid/>
          <w:sz w:val="22"/>
          <w:szCs w:val="22"/>
        </w:rPr>
        <w:t xml:space="preserve">l'approche </w:t>
      </w:r>
      <w:r>
        <w:rPr>
          <w:snapToGrid/>
          <w:sz w:val="22"/>
          <w:szCs w:val="22"/>
        </w:rPr>
        <w:t xml:space="preserve">stratégique </w:t>
      </w:r>
      <w:r w:rsidR="00E36FD6" w:rsidRPr="00307C21">
        <w:rPr>
          <w:snapToGrid/>
          <w:sz w:val="22"/>
          <w:szCs w:val="22"/>
        </w:rPr>
        <w:t>à long terme de l'intégration et d'autres stratégies connexes, comme préconisé dans la Déclaration d'Édimbourg</w:t>
      </w:r>
      <w:r>
        <w:rPr>
          <w:snapToGrid/>
          <w:sz w:val="22"/>
          <w:szCs w:val="22"/>
        </w:rPr>
        <w:t>]</w:t>
      </w:r>
      <w:r w:rsidR="00E36FD6" w:rsidRPr="00307C21">
        <w:rPr>
          <w:rStyle w:val="FootnoteReference"/>
          <w:snapToGrid/>
          <w:szCs w:val="22"/>
        </w:rPr>
        <w:footnoteReference w:id="8"/>
      </w:r>
      <w:r w:rsidR="00E36FD6" w:rsidRPr="00307C21">
        <w:rPr>
          <w:rStyle w:val="FootnoteReference"/>
          <w:snapToGrid/>
          <w:szCs w:val="22"/>
        </w:rPr>
        <w:footnoteReference w:id="9"/>
      </w:r>
      <w:r w:rsidR="00E36FD6" w:rsidRPr="00307C21">
        <w:rPr>
          <w:snapToGrid/>
          <w:sz w:val="22"/>
          <w:szCs w:val="22"/>
        </w:rPr>
        <w:t>,</w:t>
      </w:r>
    </w:p>
    <w:p w14:paraId="00D0D147" w14:textId="34907DD1" w:rsidR="0009554F" w:rsidRDefault="0009554F" w:rsidP="005E2D95">
      <w:pPr>
        <w:pStyle w:val="StylePara1Kernat11pt"/>
        <w:suppressLineNumbers/>
        <w:suppressAutoHyphens/>
        <w:kinsoku w:val="0"/>
        <w:overflowPunct w:val="0"/>
        <w:autoSpaceDE w:val="0"/>
        <w:autoSpaceDN w:val="0"/>
        <w:adjustRightInd w:val="0"/>
        <w:snapToGrid w:val="0"/>
        <w:ind w:left="720" w:firstLine="720"/>
        <w:jc w:val="both"/>
        <w:rPr>
          <w:iCs/>
          <w:snapToGrid/>
          <w:sz w:val="22"/>
          <w:szCs w:val="22"/>
        </w:rPr>
      </w:pPr>
      <w:r w:rsidRPr="0009554F">
        <w:rPr>
          <w:iCs/>
          <w:snapToGrid/>
          <w:sz w:val="22"/>
          <w:szCs w:val="22"/>
        </w:rPr>
        <w:t>[</w:t>
      </w:r>
      <w:r w:rsidRPr="0009554F">
        <w:rPr>
          <w:i/>
          <w:snapToGrid/>
          <w:sz w:val="22"/>
          <w:szCs w:val="22"/>
        </w:rPr>
        <w:t xml:space="preserve">Reconnaissant </w:t>
      </w:r>
      <w:r w:rsidRPr="0009554F">
        <w:rPr>
          <w:iCs/>
          <w:snapToGrid/>
          <w:sz w:val="22"/>
          <w:szCs w:val="22"/>
        </w:rPr>
        <w:t xml:space="preserve">que dans [les efforts de redressement post-Covid-19] [le monde post-Covid-19], le rôle des </w:t>
      </w:r>
      <w:r w:rsidR="00E71EFC">
        <w:rPr>
          <w:iCs/>
          <w:snapToGrid/>
          <w:sz w:val="22"/>
          <w:szCs w:val="22"/>
        </w:rPr>
        <w:t>autorités infranationales</w:t>
      </w:r>
      <w:r w:rsidRPr="0009554F">
        <w:rPr>
          <w:iCs/>
          <w:snapToGrid/>
          <w:sz w:val="22"/>
          <w:szCs w:val="22"/>
        </w:rPr>
        <w:t xml:space="preserve">, des villes et des autres autorités locales est encore plus important, afin que [des réponses vertes efficaces, des approches de redressement et de reconception] [des actions durables, inclusives et résilientes dans le contexte du redressement post-COVID 19] nécessitant une action collaborative puissent être </w:t>
      </w:r>
      <w:r w:rsidR="00DA7C7E" w:rsidRPr="0009554F">
        <w:rPr>
          <w:iCs/>
          <w:snapToGrid/>
          <w:sz w:val="22"/>
          <w:szCs w:val="22"/>
        </w:rPr>
        <w:t>co</w:t>
      </w:r>
      <w:r w:rsidR="00AC1D15">
        <w:rPr>
          <w:iCs/>
          <w:snapToGrid/>
          <w:sz w:val="22"/>
          <w:szCs w:val="22"/>
        </w:rPr>
        <w:t>-</w:t>
      </w:r>
      <w:r w:rsidR="00DA7C7E" w:rsidRPr="0009554F">
        <w:rPr>
          <w:iCs/>
          <w:snapToGrid/>
          <w:sz w:val="22"/>
          <w:szCs w:val="22"/>
        </w:rPr>
        <w:t>conçues</w:t>
      </w:r>
      <w:r w:rsidRPr="0009554F">
        <w:rPr>
          <w:iCs/>
          <w:snapToGrid/>
          <w:sz w:val="22"/>
          <w:szCs w:val="22"/>
        </w:rPr>
        <w:t xml:space="preserve"> et mises en œuvre </w:t>
      </w:r>
      <w:r w:rsidR="006F075C" w:rsidRPr="0009554F">
        <w:rPr>
          <w:iCs/>
          <w:snapToGrid/>
          <w:sz w:val="22"/>
          <w:szCs w:val="22"/>
        </w:rPr>
        <w:t xml:space="preserve">rapidement </w:t>
      </w:r>
      <w:r w:rsidRPr="0009554F">
        <w:rPr>
          <w:iCs/>
          <w:snapToGrid/>
          <w:sz w:val="22"/>
          <w:szCs w:val="22"/>
        </w:rPr>
        <w:t xml:space="preserve">dans le respect des compétences de chaque niveau de </w:t>
      </w:r>
      <w:r w:rsidR="00AC1D15">
        <w:rPr>
          <w:iCs/>
          <w:snapToGrid/>
          <w:sz w:val="22"/>
          <w:szCs w:val="22"/>
        </w:rPr>
        <w:t>pouvoir</w:t>
      </w:r>
      <w:r w:rsidRPr="0009554F">
        <w:rPr>
          <w:iCs/>
          <w:snapToGrid/>
          <w:sz w:val="22"/>
          <w:szCs w:val="22"/>
        </w:rPr>
        <w:t>, en veillant à ce que ces approches s'appliquent</w:t>
      </w:r>
      <w:r w:rsidR="000C64F8">
        <w:rPr>
          <w:iCs/>
          <w:snapToGrid/>
          <w:sz w:val="22"/>
          <w:szCs w:val="22"/>
        </w:rPr>
        <w:t>,</w:t>
      </w:r>
      <w:r w:rsidRPr="0009554F">
        <w:rPr>
          <w:iCs/>
          <w:snapToGrid/>
          <w:sz w:val="22"/>
          <w:szCs w:val="22"/>
        </w:rPr>
        <w:t xml:space="preserve"> et favorisent la diversité biologique dans les villes et les territoires non urbains] et en relevant les défis de développement uniques auxquels sont </w:t>
      </w:r>
      <w:r w:rsidR="00490C78" w:rsidRPr="0009554F">
        <w:rPr>
          <w:iCs/>
          <w:snapToGrid/>
          <w:sz w:val="22"/>
          <w:szCs w:val="22"/>
        </w:rPr>
        <w:t xml:space="preserve">en particulier </w:t>
      </w:r>
      <w:r w:rsidRPr="0009554F">
        <w:rPr>
          <w:iCs/>
          <w:snapToGrid/>
          <w:sz w:val="22"/>
          <w:szCs w:val="22"/>
        </w:rPr>
        <w:t xml:space="preserve">confrontés les pays en développement, conformément au </w:t>
      </w:r>
      <w:r w:rsidR="00B55E35">
        <w:rPr>
          <w:iCs/>
          <w:snapToGrid/>
          <w:sz w:val="22"/>
          <w:szCs w:val="22"/>
        </w:rPr>
        <w:t>N</w:t>
      </w:r>
      <w:r w:rsidRPr="0009554F">
        <w:rPr>
          <w:iCs/>
          <w:snapToGrid/>
          <w:sz w:val="22"/>
          <w:szCs w:val="22"/>
        </w:rPr>
        <w:t>ouvel agenda urbain</w:t>
      </w:r>
      <w:r w:rsidR="00E36992">
        <w:rPr>
          <w:rStyle w:val="FootnoteReference"/>
          <w:iCs/>
          <w:snapToGrid/>
          <w:szCs w:val="22"/>
        </w:rPr>
        <w:footnoteReference w:id="10"/>
      </w:r>
      <w:r w:rsidRPr="0009554F">
        <w:rPr>
          <w:iCs/>
          <w:snapToGrid/>
          <w:sz w:val="22"/>
          <w:szCs w:val="22"/>
        </w:rPr>
        <w:t xml:space="preserve"> adopté à Quito,</w:t>
      </w:r>
    </w:p>
    <w:p w14:paraId="62E049B1" w14:textId="3A769329" w:rsidR="009B0962" w:rsidRPr="009B0962" w:rsidRDefault="00804DA2" w:rsidP="001567F7">
      <w:pPr>
        <w:pStyle w:val="StylePara1Kernat11pt"/>
        <w:suppressLineNumbers/>
        <w:suppressAutoHyphens/>
        <w:kinsoku w:val="0"/>
        <w:overflowPunct w:val="0"/>
        <w:autoSpaceDE w:val="0"/>
        <w:autoSpaceDN w:val="0"/>
        <w:adjustRightInd w:val="0"/>
        <w:snapToGrid w:val="0"/>
        <w:ind w:left="720" w:firstLine="720"/>
        <w:jc w:val="both"/>
        <w:rPr>
          <w:iCs/>
          <w:snapToGrid/>
          <w:sz w:val="22"/>
          <w:szCs w:val="22"/>
        </w:rPr>
      </w:pPr>
      <w:r>
        <w:rPr>
          <w:i/>
          <w:snapToGrid/>
          <w:sz w:val="22"/>
          <w:szCs w:val="22"/>
        </w:rPr>
        <w:t xml:space="preserve">Rappelant </w:t>
      </w:r>
      <w:r>
        <w:rPr>
          <w:iCs/>
          <w:snapToGrid/>
          <w:sz w:val="22"/>
          <w:szCs w:val="22"/>
        </w:rPr>
        <w:t xml:space="preserve">le </w:t>
      </w:r>
      <w:r w:rsidR="006D29FB">
        <w:rPr>
          <w:iCs/>
          <w:snapToGrid/>
          <w:sz w:val="22"/>
          <w:szCs w:val="22"/>
        </w:rPr>
        <w:t>p</w:t>
      </w:r>
      <w:r>
        <w:rPr>
          <w:iCs/>
          <w:snapToGrid/>
          <w:sz w:val="22"/>
          <w:szCs w:val="22"/>
        </w:rPr>
        <w:t>rincipe</w:t>
      </w:r>
      <w:r w:rsidR="009B0962">
        <w:rPr>
          <w:iCs/>
          <w:snapToGrid/>
          <w:sz w:val="22"/>
          <w:szCs w:val="22"/>
        </w:rPr>
        <w:t> </w:t>
      </w:r>
      <w:r w:rsidR="001567F7">
        <w:rPr>
          <w:iCs/>
          <w:snapToGrid/>
          <w:sz w:val="22"/>
          <w:szCs w:val="22"/>
        </w:rPr>
        <w:t>2 de l’a</w:t>
      </w:r>
      <w:r>
        <w:rPr>
          <w:iCs/>
          <w:snapToGrid/>
          <w:sz w:val="22"/>
          <w:szCs w:val="22"/>
        </w:rPr>
        <w:t xml:space="preserve">pproche </w:t>
      </w:r>
      <w:r w:rsidR="00361E65">
        <w:rPr>
          <w:iCs/>
          <w:snapToGrid/>
          <w:sz w:val="22"/>
          <w:szCs w:val="22"/>
        </w:rPr>
        <w:t>par écosystème</w:t>
      </w:r>
      <w:r>
        <w:rPr>
          <w:iCs/>
          <w:snapToGrid/>
          <w:sz w:val="22"/>
          <w:szCs w:val="22"/>
        </w:rPr>
        <w:t xml:space="preserve"> adoptée dans l</w:t>
      </w:r>
      <w:r w:rsidR="00BF39CF">
        <w:rPr>
          <w:iCs/>
          <w:snapToGrid/>
          <w:sz w:val="22"/>
          <w:szCs w:val="22"/>
        </w:rPr>
        <w:t>a</w:t>
      </w:r>
      <w:r>
        <w:rPr>
          <w:iCs/>
          <w:snapToGrid/>
          <w:sz w:val="22"/>
          <w:szCs w:val="22"/>
        </w:rPr>
        <w:t xml:space="preserve"> décision V/6,</w:t>
      </w:r>
    </w:p>
    <w:p w14:paraId="4F2DD1F5" w14:textId="61915FEC" w:rsidR="00E36FD6" w:rsidRPr="0008454E" w:rsidRDefault="00E36FD6" w:rsidP="005E2D95">
      <w:pPr>
        <w:pStyle w:val="StylePara1Kernat11pt"/>
        <w:numPr>
          <w:ilvl w:val="0"/>
          <w:numId w:val="21"/>
        </w:numPr>
        <w:suppressLineNumbers/>
        <w:suppressAutoHyphens/>
        <w:kinsoku w:val="0"/>
        <w:overflowPunct w:val="0"/>
        <w:autoSpaceDE w:val="0"/>
        <w:autoSpaceDN w:val="0"/>
        <w:adjustRightInd w:val="0"/>
        <w:snapToGrid w:val="0"/>
        <w:ind w:left="720" w:firstLine="720"/>
        <w:jc w:val="both"/>
        <w:rPr>
          <w:iCs/>
          <w:sz w:val="22"/>
          <w:szCs w:val="22"/>
        </w:rPr>
      </w:pPr>
      <w:r>
        <w:rPr>
          <w:i/>
          <w:iCs/>
          <w:snapToGrid/>
          <w:sz w:val="22"/>
          <w:szCs w:val="22"/>
        </w:rPr>
        <w:t>[Adopte]</w:t>
      </w:r>
      <w:r>
        <w:rPr>
          <w:iCs/>
          <w:snapToGrid/>
          <w:sz w:val="22"/>
          <w:szCs w:val="22"/>
        </w:rPr>
        <w:t xml:space="preserve"> [</w:t>
      </w:r>
      <w:r>
        <w:rPr>
          <w:i/>
          <w:snapToGrid/>
          <w:sz w:val="22"/>
          <w:szCs w:val="22"/>
        </w:rPr>
        <w:t xml:space="preserve">Prend note </w:t>
      </w:r>
      <w:r>
        <w:rPr>
          <w:iCs/>
          <w:snapToGrid/>
          <w:sz w:val="22"/>
          <w:szCs w:val="22"/>
        </w:rPr>
        <w:t>du]</w:t>
      </w:r>
      <w:r w:rsidR="009A41E7">
        <w:rPr>
          <w:iCs/>
          <w:snapToGrid/>
          <w:sz w:val="22"/>
          <w:szCs w:val="22"/>
        </w:rPr>
        <w:t xml:space="preserve"> [</w:t>
      </w:r>
      <w:r w:rsidR="009A41E7" w:rsidRPr="009A41E7">
        <w:rPr>
          <w:i/>
          <w:snapToGrid/>
          <w:sz w:val="22"/>
          <w:szCs w:val="22"/>
        </w:rPr>
        <w:t>Approuve</w:t>
      </w:r>
      <w:r w:rsidR="009A41E7">
        <w:rPr>
          <w:iCs/>
          <w:snapToGrid/>
          <w:sz w:val="22"/>
          <w:szCs w:val="22"/>
        </w:rPr>
        <w:t>]</w:t>
      </w:r>
      <w:r w:rsidR="001567F7">
        <w:rPr>
          <w:iCs/>
          <w:snapToGrid/>
          <w:sz w:val="22"/>
          <w:szCs w:val="22"/>
        </w:rPr>
        <w:t xml:space="preserve"> le p</w:t>
      </w:r>
      <w:r>
        <w:rPr>
          <w:iCs/>
          <w:snapToGrid/>
          <w:sz w:val="22"/>
          <w:szCs w:val="22"/>
        </w:rPr>
        <w:t xml:space="preserve">lan d'action actualisé relatif aux autorités infranationales, aux municipalités et </w:t>
      </w:r>
      <w:r w:rsidR="00007A6F">
        <w:rPr>
          <w:iCs/>
          <w:snapToGrid/>
          <w:sz w:val="22"/>
          <w:szCs w:val="22"/>
        </w:rPr>
        <w:t xml:space="preserve">aux </w:t>
      </w:r>
      <w:r>
        <w:rPr>
          <w:iCs/>
          <w:snapToGrid/>
          <w:sz w:val="22"/>
          <w:szCs w:val="22"/>
        </w:rPr>
        <w:t>autres autorités locales en faveur de la biodiversité, tel qu'il figure dans l'annexe, comme cadre flexible destiné à soutenir les Parties conformément à la législation nationale ;</w:t>
      </w:r>
    </w:p>
    <w:p w14:paraId="2BDC808B" w14:textId="11A1E537" w:rsidR="00E36FD6" w:rsidRPr="00867CF3" w:rsidRDefault="00536F6A" w:rsidP="005E2D95">
      <w:pPr>
        <w:pStyle w:val="StylePara1Kernat11pt"/>
        <w:numPr>
          <w:ilvl w:val="0"/>
          <w:numId w:val="21"/>
        </w:numPr>
        <w:suppressLineNumbers/>
        <w:suppressAutoHyphens/>
        <w:kinsoku w:val="0"/>
        <w:overflowPunct w:val="0"/>
        <w:autoSpaceDE w:val="0"/>
        <w:autoSpaceDN w:val="0"/>
        <w:adjustRightInd w:val="0"/>
        <w:snapToGrid w:val="0"/>
        <w:ind w:left="720" w:firstLine="720"/>
        <w:jc w:val="both"/>
        <w:rPr>
          <w:iCs/>
          <w:snapToGrid/>
          <w:sz w:val="22"/>
          <w:szCs w:val="22"/>
        </w:rPr>
      </w:pPr>
      <w:r>
        <w:rPr>
          <w:i/>
          <w:iCs/>
          <w:snapToGrid/>
          <w:sz w:val="22"/>
          <w:szCs w:val="22"/>
        </w:rPr>
        <w:lastRenderedPageBreak/>
        <w:t>[</w:t>
      </w:r>
      <w:r w:rsidR="00E36FD6">
        <w:rPr>
          <w:i/>
          <w:iCs/>
          <w:snapToGrid/>
          <w:sz w:val="22"/>
          <w:szCs w:val="22"/>
        </w:rPr>
        <w:t>Invite</w:t>
      </w:r>
      <w:r>
        <w:rPr>
          <w:i/>
          <w:iCs/>
          <w:snapToGrid/>
          <w:sz w:val="22"/>
          <w:szCs w:val="22"/>
        </w:rPr>
        <w:t xml:space="preserve"> </w:t>
      </w:r>
      <w:r w:rsidR="00E36FD6">
        <w:rPr>
          <w:iCs/>
          <w:snapToGrid/>
          <w:sz w:val="22"/>
          <w:szCs w:val="22"/>
        </w:rPr>
        <w:t>les Parties</w:t>
      </w:r>
      <w:r w:rsidR="00CE1303" w:rsidRPr="00CE1303">
        <w:rPr>
          <w:snapToGrid/>
          <w:sz w:val="22"/>
          <w:szCs w:val="22"/>
        </w:rPr>
        <w:t>]</w:t>
      </w:r>
      <w:r w:rsidR="00E36FD6">
        <w:rPr>
          <w:iCs/>
          <w:snapToGrid/>
          <w:sz w:val="22"/>
          <w:szCs w:val="22"/>
        </w:rPr>
        <w:t xml:space="preserve"> </w:t>
      </w:r>
      <w:r w:rsidR="00CE1303">
        <w:rPr>
          <w:i/>
          <w:iCs/>
          <w:snapToGrid/>
          <w:sz w:val="22"/>
          <w:szCs w:val="22"/>
        </w:rPr>
        <w:t>[</w:t>
      </w:r>
      <w:r w:rsidR="00A87DE8">
        <w:rPr>
          <w:i/>
          <w:iCs/>
          <w:snapToGrid/>
          <w:sz w:val="22"/>
          <w:szCs w:val="22"/>
        </w:rPr>
        <w:t>Exhorte</w:t>
      </w:r>
      <w:r w:rsidR="00CE1303">
        <w:rPr>
          <w:snapToGrid/>
          <w:sz w:val="22"/>
          <w:szCs w:val="22"/>
        </w:rPr>
        <w:t xml:space="preserve"> les </w:t>
      </w:r>
      <w:r w:rsidR="00CE1303" w:rsidRPr="00CE1303">
        <w:rPr>
          <w:snapToGrid/>
          <w:sz w:val="22"/>
          <w:szCs w:val="22"/>
        </w:rPr>
        <w:t>Parties</w:t>
      </w:r>
      <w:r w:rsidR="00121FDC">
        <w:rPr>
          <w:snapToGrid/>
          <w:sz w:val="22"/>
          <w:szCs w:val="22"/>
        </w:rPr>
        <w:t xml:space="preserve"> et </w:t>
      </w:r>
      <w:r w:rsidR="00121FDC">
        <w:rPr>
          <w:i/>
          <w:iCs/>
          <w:snapToGrid/>
          <w:sz w:val="22"/>
          <w:szCs w:val="22"/>
        </w:rPr>
        <w:t>invite</w:t>
      </w:r>
      <w:r w:rsidR="001567F7">
        <w:rPr>
          <w:snapToGrid/>
          <w:sz w:val="22"/>
          <w:szCs w:val="22"/>
        </w:rPr>
        <w:t xml:space="preserve"> les autres g</w:t>
      </w:r>
      <w:r w:rsidR="00121FDC">
        <w:rPr>
          <w:snapToGrid/>
          <w:sz w:val="22"/>
          <w:szCs w:val="22"/>
        </w:rPr>
        <w:t>ouverneme</w:t>
      </w:r>
      <w:r w:rsidR="0055072E">
        <w:rPr>
          <w:snapToGrid/>
          <w:sz w:val="22"/>
          <w:szCs w:val="22"/>
        </w:rPr>
        <w:t>nts</w:t>
      </w:r>
      <w:r w:rsidR="00CE1303" w:rsidRPr="00CE1303">
        <w:rPr>
          <w:snapToGrid/>
          <w:sz w:val="22"/>
          <w:szCs w:val="22"/>
        </w:rPr>
        <w:t>]</w:t>
      </w:r>
      <w:r w:rsidR="00CE1303">
        <w:rPr>
          <w:iCs/>
          <w:snapToGrid/>
          <w:sz w:val="22"/>
          <w:szCs w:val="22"/>
        </w:rPr>
        <w:t xml:space="preserve"> </w:t>
      </w:r>
      <w:r w:rsidR="00E36FD6">
        <w:rPr>
          <w:iCs/>
          <w:snapToGrid/>
          <w:sz w:val="22"/>
          <w:szCs w:val="22"/>
        </w:rPr>
        <w:t>et les organisations compétentes</w:t>
      </w:r>
      <w:r w:rsidR="006C392E">
        <w:rPr>
          <w:iCs/>
          <w:snapToGrid/>
          <w:sz w:val="22"/>
          <w:szCs w:val="22"/>
        </w:rPr>
        <w:t xml:space="preserve"> </w:t>
      </w:r>
      <w:r w:rsidR="00B668BC">
        <w:rPr>
          <w:iCs/>
          <w:snapToGrid/>
          <w:sz w:val="22"/>
          <w:szCs w:val="22"/>
        </w:rPr>
        <w:t xml:space="preserve">[] </w:t>
      </w:r>
      <w:r w:rsidR="00E36FD6">
        <w:rPr>
          <w:iCs/>
          <w:snapToGrid/>
          <w:sz w:val="22"/>
          <w:szCs w:val="22"/>
        </w:rPr>
        <w:t xml:space="preserve">à faciliter, selon qu'il convient, la mise en œuvre du </w:t>
      </w:r>
      <w:r w:rsidR="001567F7">
        <w:rPr>
          <w:iCs/>
          <w:snapToGrid/>
          <w:sz w:val="22"/>
          <w:szCs w:val="22"/>
        </w:rPr>
        <w:t>p</w:t>
      </w:r>
      <w:r w:rsidR="00E36FD6">
        <w:rPr>
          <w:iCs/>
          <w:snapToGrid/>
          <w:sz w:val="22"/>
          <w:szCs w:val="22"/>
        </w:rPr>
        <w:t>lan d'action actualisé visé au paragraphe 1 ci-dessus, conformément à la législation nationale, notamment en :</w:t>
      </w:r>
    </w:p>
    <w:p w14:paraId="453C147C" w14:textId="1775C07F" w:rsidR="00E36FD6" w:rsidRPr="00867CF3" w:rsidRDefault="00E36FD6" w:rsidP="005E2D95">
      <w:pPr>
        <w:pStyle w:val="StylePara1Kernat11pt"/>
        <w:numPr>
          <w:ilvl w:val="1"/>
          <w:numId w:val="23"/>
        </w:numPr>
        <w:suppressLineNumbers/>
        <w:suppressAutoHyphens/>
        <w:kinsoku w:val="0"/>
        <w:overflowPunct w:val="0"/>
        <w:autoSpaceDE w:val="0"/>
        <w:autoSpaceDN w:val="0"/>
        <w:adjustRightInd w:val="0"/>
        <w:snapToGrid w:val="0"/>
        <w:ind w:left="720" w:firstLine="720"/>
        <w:jc w:val="both"/>
        <w:rPr>
          <w:iCs/>
          <w:snapToGrid/>
          <w:sz w:val="22"/>
          <w:szCs w:val="22"/>
        </w:rPr>
      </w:pPr>
      <w:r>
        <w:rPr>
          <w:iCs/>
          <w:snapToGrid/>
          <w:sz w:val="22"/>
          <w:szCs w:val="22"/>
        </w:rPr>
        <w:t>Associant les autorités infranationales, les municipalités et les autres autorités locales à la révision, à la mise en œuvre et à l'actualisation de leurs stratégies et plans d’action nationaux pour la biodiversité, en respectant les compétences de chaque niveau de pouvoir </w:t>
      </w:r>
      <w:r>
        <w:rPr>
          <w:bCs/>
          <w:iCs/>
          <w:snapToGrid/>
          <w:sz w:val="22"/>
          <w:szCs w:val="22"/>
        </w:rPr>
        <w:t>;</w:t>
      </w:r>
    </w:p>
    <w:p w14:paraId="2CEAB788" w14:textId="1B6689A0" w:rsidR="00E36FD6" w:rsidRPr="005E2D95" w:rsidRDefault="00E36FD6" w:rsidP="005E2D95">
      <w:pPr>
        <w:pStyle w:val="StylePara1Kernat11pt"/>
        <w:numPr>
          <w:ilvl w:val="1"/>
          <w:numId w:val="23"/>
        </w:numPr>
        <w:suppressLineNumbers/>
        <w:suppressAutoHyphens/>
        <w:kinsoku w:val="0"/>
        <w:overflowPunct w:val="0"/>
        <w:autoSpaceDE w:val="0"/>
        <w:autoSpaceDN w:val="0"/>
        <w:adjustRightInd w:val="0"/>
        <w:snapToGrid w:val="0"/>
        <w:ind w:left="720" w:firstLine="720"/>
        <w:jc w:val="both"/>
        <w:rPr>
          <w:bCs/>
          <w:szCs w:val="22"/>
        </w:rPr>
      </w:pPr>
      <w:r>
        <w:rPr>
          <w:bCs/>
          <w:sz w:val="22"/>
          <w:szCs w:val="22"/>
        </w:rPr>
        <w:t>Aidant les autorités infranationales, les municipalités et les autres autorités locales à élaborer, mettre en œuvre et évaluer leurs stratégies et plans d’action locaux pour la biodiversité, conformément aux stratégies et plans d’action nationaux pour la biodiversité et aux engagements mondiaux ;</w:t>
      </w:r>
    </w:p>
    <w:p w14:paraId="438FB81E" w14:textId="0AE3247C" w:rsidR="00E36FD6" w:rsidRPr="00867CF3" w:rsidRDefault="00E36FD6" w:rsidP="005E2D95">
      <w:pPr>
        <w:pStyle w:val="StylePara1Kernat11pt"/>
        <w:numPr>
          <w:ilvl w:val="1"/>
          <w:numId w:val="23"/>
        </w:numPr>
        <w:suppressLineNumbers/>
        <w:suppressAutoHyphens/>
        <w:kinsoku w:val="0"/>
        <w:overflowPunct w:val="0"/>
        <w:autoSpaceDE w:val="0"/>
        <w:autoSpaceDN w:val="0"/>
        <w:adjustRightInd w:val="0"/>
        <w:snapToGrid w:val="0"/>
        <w:ind w:left="720" w:firstLine="720"/>
        <w:jc w:val="both"/>
        <w:rPr>
          <w:iCs/>
          <w:snapToGrid/>
          <w:sz w:val="22"/>
          <w:szCs w:val="22"/>
        </w:rPr>
      </w:pPr>
      <w:r>
        <w:rPr>
          <w:iCs/>
          <w:snapToGrid/>
          <w:sz w:val="22"/>
          <w:szCs w:val="22"/>
        </w:rPr>
        <w:t xml:space="preserve">Veillant à ce que les autorités infranationales, les municipalités et les autres autorités locales s'engagent à intégrer la biodiversité, conformément à l'approche </w:t>
      </w:r>
      <w:r w:rsidR="001567F7">
        <w:rPr>
          <w:iCs/>
          <w:snapToGrid/>
          <w:sz w:val="22"/>
          <w:szCs w:val="22"/>
        </w:rPr>
        <w:t xml:space="preserve">stratégique </w:t>
      </w:r>
      <w:r>
        <w:rPr>
          <w:iCs/>
          <w:snapToGrid/>
          <w:sz w:val="22"/>
          <w:szCs w:val="22"/>
        </w:rPr>
        <w:t>à long terme pour l'intégration adoptée par la Conférence des Parties dans sa décision 15/-- ;</w:t>
      </w:r>
    </w:p>
    <w:p w14:paraId="7B973D52" w14:textId="2D4B87B9" w:rsidR="00E36FD6" w:rsidRPr="00867CF3" w:rsidRDefault="001567F7" w:rsidP="001567F7">
      <w:pPr>
        <w:pStyle w:val="StylePara1Kernat11pt"/>
        <w:suppressLineNumbers/>
        <w:suppressAutoHyphens/>
        <w:kinsoku w:val="0"/>
        <w:overflowPunct w:val="0"/>
        <w:autoSpaceDE w:val="0"/>
        <w:autoSpaceDN w:val="0"/>
        <w:adjustRightInd w:val="0"/>
        <w:snapToGrid w:val="0"/>
        <w:ind w:left="720" w:firstLine="720"/>
        <w:jc w:val="both"/>
        <w:rPr>
          <w:iCs/>
          <w:snapToGrid/>
          <w:sz w:val="22"/>
          <w:szCs w:val="22"/>
        </w:rPr>
      </w:pPr>
      <w:r>
        <w:rPr>
          <w:iCs/>
          <w:snapToGrid/>
          <w:sz w:val="22"/>
          <w:szCs w:val="22"/>
        </w:rPr>
        <w:t>[</w:t>
      </w:r>
      <w:proofErr w:type="gramStart"/>
      <w:r>
        <w:rPr>
          <w:iCs/>
          <w:snapToGrid/>
          <w:sz w:val="22"/>
          <w:szCs w:val="22"/>
        </w:rPr>
        <w:t>d</w:t>
      </w:r>
      <w:proofErr w:type="gramEnd"/>
      <w:r>
        <w:rPr>
          <w:iCs/>
          <w:snapToGrid/>
          <w:sz w:val="22"/>
          <w:szCs w:val="22"/>
        </w:rPr>
        <w:t>)</w:t>
      </w:r>
      <w:r>
        <w:rPr>
          <w:iCs/>
          <w:snapToGrid/>
          <w:sz w:val="22"/>
          <w:szCs w:val="22"/>
        </w:rPr>
        <w:tab/>
      </w:r>
      <w:r w:rsidR="00E36FD6">
        <w:rPr>
          <w:iCs/>
          <w:snapToGrid/>
          <w:sz w:val="22"/>
          <w:szCs w:val="22"/>
        </w:rPr>
        <w:t>Allouant des ressources humaines, techniques et financières, selon qu'il convient, conformément à l'article </w:t>
      </w:r>
      <w:r w:rsidR="00E36FD6">
        <w:rPr>
          <w:sz w:val="22"/>
          <w:szCs w:val="22"/>
        </w:rPr>
        <w:t>20 de la Convention</w:t>
      </w:r>
      <w:r w:rsidR="00E36FD6">
        <w:rPr>
          <w:iCs/>
          <w:snapToGrid/>
          <w:sz w:val="22"/>
          <w:szCs w:val="22"/>
        </w:rPr>
        <w:t>, et d'une manière qui soutienne le principe 2 de l'approche par écosystème</w:t>
      </w:r>
      <w:r w:rsidR="00E36FD6">
        <w:rPr>
          <w:rStyle w:val="FootnoteReference"/>
          <w:iCs/>
          <w:snapToGrid/>
          <w:szCs w:val="22"/>
        </w:rPr>
        <w:footnoteReference w:id="11"/>
      </w:r>
      <w:r w:rsidR="00E36FD6">
        <w:rPr>
          <w:iCs/>
          <w:snapToGrid/>
          <w:sz w:val="22"/>
          <w:szCs w:val="22"/>
        </w:rPr>
        <w:t xml:space="preserve">, adoptée dans la </w:t>
      </w:r>
      <w:r w:rsidR="005F0874">
        <w:rPr>
          <w:iCs/>
          <w:snapToGrid/>
          <w:sz w:val="22"/>
          <w:szCs w:val="22"/>
        </w:rPr>
        <w:t>décision V/6</w:t>
      </w:r>
      <w:r w:rsidR="00E36FD6">
        <w:rPr>
          <w:rStyle w:val="Hyperlink"/>
          <w:iCs/>
          <w:sz w:val="22"/>
          <w:szCs w:val="22"/>
        </w:rPr>
        <w:t> </w:t>
      </w:r>
      <w:r w:rsidR="00E36FD6">
        <w:rPr>
          <w:iCs/>
          <w:snapToGrid/>
          <w:sz w:val="22"/>
          <w:szCs w:val="22"/>
        </w:rPr>
        <w:t>;</w:t>
      </w:r>
      <w:r w:rsidR="00B668BC">
        <w:rPr>
          <w:iCs/>
          <w:snapToGrid/>
          <w:sz w:val="22"/>
          <w:szCs w:val="22"/>
        </w:rPr>
        <w:t>]</w:t>
      </w:r>
    </w:p>
    <w:p w14:paraId="74187E9A" w14:textId="7F8E1D0A" w:rsidR="00E36FD6" w:rsidRPr="00867CF3" w:rsidRDefault="00E36FD6" w:rsidP="005E2D95">
      <w:pPr>
        <w:pStyle w:val="StylePara1Kernat11pt"/>
        <w:numPr>
          <w:ilvl w:val="0"/>
          <w:numId w:val="21"/>
        </w:numPr>
        <w:suppressLineNumbers/>
        <w:suppressAutoHyphens/>
        <w:kinsoku w:val="0"/>
        <w:overflowPunct w:val="0"/>
        <w:autoSpaceDE w:val="0"/>
        <w:autoSpaceDN w:val="0"/>
        <w:adjustRightInd w:val="0"/>
        <w:snapToGrid w:val="0"/>
        <w:ind w:left="720" w:firstLine="720"/>
        <w:jc w:val="both"/>
        <w:rPr>
          <w:iCs/>
          <w:snapToGrid/>
          <w:sz w:val="22"/>
          <w:szCs w:val="22"/>
        </w:rPr>
      </w:pPr>
      <w:r>
        <w:rPr>
          <w:i/>
          <w:iCs/>
          <w:snapToGrid/>
          <w:sz w:val="22"/>
          <w:szCs w:val="22"/>
        </w:rPr>
        <w:t>Invite</w:t>
      </w:r>
      <w:r>
        <w:rPr>
          <w:iCs/>
          <w:snapToGrid/>
          <w:sz w:val="22"/>
          <w:szCs w:val="22"/>
        </w:rPr>
        <w:t xml:space="preserve"> les Parties à </w:t>
      </w:r>
      <w:r w:rsidR="006F496B">
        <w:rPr>
          <w:iCs/>
          <w:snapToGrid/>
          <w:sz w:val="22"/>
          <w:szCs w:val="22"/>
        </w:rPr>
        <w:t xml:space="preserve">communiquer et à </w:t>
      </w:r>
      <w:r>
        <w:rPr>
          <w:iCs/>
          <w:snapToGrid/>
          <w:sz w:val="22"/>
          <w:szCs w:val="22"/>
        </w:rPr>
        <w:t>faire rapport sur la mise en œuvre du Plan d'action actualisé relatif aux autorités infranationales, aux municipalités et aux collectivités locales en faveur de la biodiversité, le cas échéant, dans leurs rapports nationaux au titre de la Convention ;</w:t>
      </w:r>
    </w:p>
    <w:p w14:paraId="6ABDD80C" w14:textId="5403D26D" w:rsidR="00E36FD6" w:rsidRPr="00A87DE8" w:rsidRDefault="00E36FD6" w:rsidP="005E2D95">
      <w:pPr>
        <w:pStyle w:val="StylePara1Kernat11pt"/>
        <w:numPr>
          <w:ilvl w:val="0"/>
          <w:numId w:val="21"/>
        </w:numPr>
        <w:suppressLineNumbers/>
        <w:suppressAutoHyphens/>
        <w:kinsoku w:val="0"/>
        <w:overflowPunct w:val="0"/>
        <w:autoSpaceDE w:val="0"/>
        <w:autoSpaceDN w:val="0"/>
        <w:adjustRightInd w:val="0"/>
        <w:snapToGrid w:val="0"/>
        <w:ind w:left="720" w:firstLine="720"/>
        <w:jc w:val="both"/>
        <w:rPr>
          <w:i/>
          <w:iCs/>
          <w:sz w:val="20"/>
          <w:szCs w:val="20"/>
        </w:rPr>
      </w:pPr>
      <w:r w:rsidRPr="00A87DE8">
        <w:rPr>
          <w:i/>
          <w:iCs/>
          <w:sz w:val="22"/>
          <w:szCs w:val="16"/>
        </w:rPr>
        <w:t>Encourage</w:t>
      </w:r>
      <w:r w:rsidRPr="00A87DE8">
        <w:rPr>
          <w:sz w:val="22"/>
          <w:szCs w:val="16"/>
        </w:rPr>
        <w:t xml:space="preserve"> les Parties, et </w:t>
      </w:r>
      <w:r w:rsidRPr="005F0874">
        <w:rPr>
          <w:iCs/>
          <w:sz w:val="22"/>
          <w:szCs w:val="16"/>
        </w:rPr>
        <w:t>invite</w:t>
      </w:r>
      <w:r w:rsidRPr="00A87DE8">
        <w:rPr>
          <w:sz w:val="22"/>
          <w:szCs w:val="16"/>
        </w:rPr>
        <w:t xml:space="preserve"> les autres parties prenantes, y compris les institutions de financement du développement, à investir des ressources</w:t>
      </w:r>
      <w:r w:rsidR="00A87DE8" w:rsidRPr="00A87DE8">
        <w:rPr>
          <w:sz w:val="22"/>
          <w:szCs w:val="16"/>
        </w:rPr>
        <w:t>, à soutenir le transfert de technologies de soutien et de connaissances,</w:t>
      </w:r>
      <w:r w:rsidRPr="00A87DE8">
        <w:rPr>
          <w:sz w:val="22"/>
          <w:szCs w:val="16"/>
        </w:rPr>
        <w:t xml:space="preserve"> et à renforcer les capacités, au niveau de gouvernance où elles peuvent être le plus efficaces ;</w:t>
      </w:r>
    </w:p>
    <w:p w14:paraId="1016392D" w14:textId="3BA0BA64" w:rsidR="00E36FD6" w:rsidRPr="00867CF3" w:rsidRDefault="00E36FD6" w:rsidP="005E2D95">
      <w:pPr>
        <w:pStyle w:val="StylePara1Kernat11pt"/>
        <w:numPr>
          <w:ilvl w:val="0"/>
          <w:numId w:val="21"/>
        </w:numPr>
        <w:suppressLineNumbers/>
        <w:suppressAutoHyphens/>
        <w:kinsoku w:val="0"/>
        <w:overflowPunct w:val="0"/>
        <w:autoSpaceDE w:val="0"/>
        <w:autoSpaceDN w:val="0"/>
        <w:adjustRightInd w:val="0"/>
        <w:snapToGrid w:val="0"/>
        <w:ind w:left="720" w:firstLine="720"/>
        <w:jc w:val="both"/>
        <w:rPr>
          <w:i/>
          <w:iCs/>
          <w:sz w:val="22"/>
          <w:szCs w:val="22"/>
        </w:rPr>
      </w:pPr>
      <w:r>
        <w:rPr>
          <w:bCs/>
          <w:i/>
          <w:sz w:val="22"/>
          <w:szCs w:val="22"/>
        </w:rPr>
        <w:t>Exhorte</w:t>
      </w:r>
      <w:r>
        <w:rPr>
          <w:bCs/>
          <w:sz w:val="22"/>
          <w:szCs w:val="22"/>
        </w:rPr>
        <w:t xml:space="preserve"> les Parties à soutenir les autorités infranationales, les municipalités et les autorités locales dans le renforcement de leurs capacités afin d</w:t>
      </w:r>
      <w:r w:rsidR="000071FE">
        <w:rPr>
          <w:bCs/>
          <w:sz w:val="22"/>
          <w:szCs w:val="22"/>
        </w:rPr>
        <w:t>'améliorer la mise en œuvre du c</w:t>
      </w:r>
      <w:r>
        <w:rPr>
          <w:bCs/>
          <w:sz w:val="22"/>
          <w:szCs w:val="22"/>
        </w:rPr>
        <w:t>adre mondial ;</w:t>
      </w:r>
    </w:p>
    <w:p w14:paraId="3F9C2DA4" w14:textId="1AE82F4F" w:rsidR="00E36FD6" w:rsidRPr="00867CF3" w:rsidRDefault="00E36FD6" w:rsidP="005E2D95">
      <w:pPr>
        <w:pStyle w:val="StylePara1Kernat11pt"/>
        <w:numPr>
          <w:ilvl w:val="0"/>
          <w:numId w:val="21"/>
        </w:numPr>
        <w:suppressLineNumbers/>
        <w:suppressAutoHyphens/>
        <w:kinsoku w:val="0"/>
        <w:overflowPunct w:val="0"/>
        <w:autoSpaceDE w:val="0"/>
        <w:autoSpaceDN w:val="0"/>
        <w:adjustRightInd w:val="0"/>
        <w:snapToGrid w:val="0"/>
        <w:ind w:left="720" w:firstLine="720"/>
        <w:jc w:val="both"/>
        <w:rPr>
          <w:i/>
          <w:iCs/>
          <w:sz w:val="22"/>
          <w:szCs w:val="22"/>
        </w:rPr>
      </w:pPr>
      <w:r>
        <w:rPr>
          <w:i/>
          <w:iCs/>
          <w:sz w:val="22"/>
          <w:szCs w:val="22"/>
        </w:rPr>
        <w:t>Invite</w:t>
      </w:r>
      <w:r>
        <w:rPr>
          <w:iCs/>
          <w:sz w:val="22"/>
          <w:szCs w:val="22"/>
        </w:rPr>
        <w:t xml:space="preserve"> le Fonds pour l'environnement mondial à envisager d'étendre et de renforcer ses initiatives en faveur des villes durables lors </w:t>
      </w:r>
      <w:r w:rsidR="00AB2B16">
        <w:rPr>
          <w:iCs/>
          <w:sz w:val="22"/>
          <w:szCs w:val="22"/>
        </w:rPr>
        <w:t xml:space="preserve">de </w:t>
      </w:r>
      <w:r>
        <w:rPr>
          <w:iCs/>
          <w:sz w:val="22"/>
          <w:szCs w:val="22"/>
        </w:rPr>
        <w:t>ses reconstitutions futures, et à mener des initiatives axées sur les paysages terrestres et marins et ciblées sur la gouvernance infranationale et locale</w:t>
      </w:r>
      <w:r w:rsidR="00AB2B16">
        <w:rPr>
          <w:iCs/>
          <w:sz w:val="22"/>
          <w:szCs w:val="22"/>
        </w:rPr>
        <w:t>, les infrastructures, l’</w:t>
      </w:r>
      <w:r w:rsidR="00AB2B16" w:rsidRPr="00AB2B16">
        <w:rPr>
          <w:iCs/>
          <w:sz w:val="22"/>
          <w:szCs w:val="22"/>
        </w:rPr>
        <w:t xml:space="preserve">aménagement du territoire et </w:t>
      </w:r>
      <w:r w:rsidR="00AB2B16">
        <w:rPr>
          <w:iCs/>
          <w:sz w:val="22"/>
          <w:szCs w:val="22"/>
        </w:rPr>
        <w:t xml:space="preserve">la </w:t>
      </w:r>
      <w:r w:rsidR="00AB2B16" w:rsidRPr="00AB2B16">
        <w:rPr>
          <w:iCs/>
          <w:sz w:val="22"/>
          <w:szCs w:val="22"/>
        </w:rPr>
        <w:t xml:space="preserve">planification de l'utilisation des sols </w:t>
      </w:r>
      <w:r w:rsidR="00AB2B16">
        <w:rPr>
          <w:iCs/>
          <w:sz w:val="22"/>
          <w:szCs w:val="22"/>
        </w:rPr>
        <w:t>tenant</w:t>
      </w:r>
      <w:r w:rsidR="00AB2B16" w:rsidRPr="00AB2B16">
        <w:rPr>
          <w:iCs/>
          <w:sz w:val="22"/>
          <w:szCs w:val="22"/>
        </w:rPr>
        <w:t xml:space="preserve"> compte de la </w:t>
      </w:r>
      <w:r w:rsidR="00AB2B16">
        <w:rPr>
          <w:iCs/>
          <w:sz w:val="22"/>
          <w:szCs w:val="22"/>
        </w:rPr>
        <w:t>diversité biologique</w:t>
      </w:r>
      <w:r>
        <w:rPr>
          <w:iCs/>
          <w:sz w:val="22"/>
          <w:szCs w:val="22"/>
        </w:rPr>
        <w:t xml:space="preserve"> et </w:t>
      </w:r>
      <w:r w:rsidR="00862736">
        <w:rPr>
          <w:iCs/>
          <w:sz w:val="22"/>
          <w:szCs w:val="22"/>
        </w:rPr>
        <w:t xml:space="preserve">sur </w:t>
      </w:r>
      <w:r>
        <w:rPr>
          <w:iCs/>
          <w:sz w:val="22"/>
          <w:szCs w:val="22"/>
        </w:rPr>
        <w:t>les liens entre zones urbaines et rurales</w:t>
      </w:r>
      <w:r>
        <w:rPr>
          <w:i/>
          <w:iCs/>
          <w:sz w:val="22"/>
          <w:szCs w:val="22"/>
        </w:rPr>
        <w:t xml:space="preserve">, </w:t>
      </w:r>
      <w:r>
        <w:rPr>
          <w:iCs/>
          <w:sz w:val="22"/>
          <w:szCs w:val="22"/>
        </w:rPr>
        <w:t>conformément aux priorités définies dans les stratégies et plans d’action nationaux pour la biodiversité</w:t>
      </w:r>
      <w:r>
        <w:rPr>
          <w:rStyle w:val="FootnoteReference"/>
          <w:szCs w:val="22"/>
        </w:rPr>
        <w:footnoteReference w:id="12"/>
      </w:r>
      <w:r>
        <w:rPr>
          <w:iCs/>
          <w:sz w:val="22"/>
          <w:szCs w:val="22"/>
        </w:rPr>
        <w:t> </w:t>
      </w:r>
      <w:r>
        <w:rPr>
          <w:sz w:val="22"/>
          <w:szCs w:val="22"/>
        </w:rPr>
        <w:t>;</w:t>
      </w:r>
    </w:p>
    <w:p w14:paraId="658FD28E" w14:textId="4413157E" w:rsidR="00E36FD6" w:rsidRPr="00867CF3" w:rsidRDefault="005F0874" w:rsidP="005F0874">
      <w:pPr>
        <w:pStyle w:val="StylePara1Kernat11pt"/>
        <w:suppressLineNumbers/>
        <w:suppressAutoHyphens/>
        <w:kinsoku w:val="0"/>
        <w:overflowPunct w:val="0"/>
        <w:autoSpaceDE w:val="0"/>
        <w:autoSpaceDN w:val="0"/>
        <w:adjustRightInd w:val="0"/>
        <w:snapToGrid w:val="0"/>
        <w:ind w:left="720" w:firstLine="720"/>
        <w:jc w:val="both"/>
        <w:rPr>
          <w:sz w:val="22"/>
          <w:szCs w:val="22"/>
        </w:rPr>
      </w:pPr>
      <w:r>
        <w:rPr>
          <w:iCs/>
          <w:snapToGrid/>
          <w:sz w:val="22"/>
          <w:szCs w:val="22"/>
        </w:rPr>
        <w:t>[7.</w:t>
      </w:r>
      <w:r>
        <w:rPr>
          <w:iCs/>
          <w:snapToGrid/>
          <w:sz w:val="22"/>
          <w:szCs w:val="22"/>
        </w:rPr>
        <w:tab/>
      </w:r>
      <w:r w:rsidR="00E36FD6">
        <w:rPr>
          <w:i/>
          <w:iCs/>
          <w:snapToGrid/>
          <w:sz w:val="22"/>
          <w:szCs w:val="22"/>
        </w:rPr>
        <w:t>Demande</w:t>
      </w:r>
      <w:r w:rsidR="00E36FD6">
        <w:rPr>
          <w:iCs/>
          <w:snapToGrid/>
          <w:sz w:val="22"/>
          <w:szCs w:val="22"/>
        </w:rPr>
        <w:t xml:space="preserve"> à l'Organe subsidiaire chargé de l'application de procéder, à sa cinquième réunion, à un examen du rôle des autorités infranationales, des municipalités et des autres autorités locales, sur la base d'un rapport de la Secrétaire exécutive, intégré au suivi régulier de la mise en œuvre des objectifs de la Conve</w:t>
      </w:r>
      <w:r w:rsidR="000071FE">
        <w:rPr>
          <w:iCs/>
          <w:snapToGrid/>
          <w:sz w:val="22"/>
          <w:szCs w:val="22"/>
        </w:rPr>
        <w:t>ntion et de ses protocoles, du c</w:t>
      </w:r>
      <w:r w:rsidR="00E36FD6">
        <w:rPr>
          <w:iCs/>
          <w:snapToGrid/>
          <w:sz w:val="22"/>
          <w:szCs w:val="22"/>
        </w:rPr>
        <w:t xml:space="preserve">adre mondial de la biodiversité pour l'après-2020 et de l'approche </w:t>
      </w:r>
      <w:r>
        <w:rPr>
          <w:iCs/>
          <w:snapToGrid/>
          <w:sz w:val="22"/>
          <w:szCs w:val="22"/>
        </w:rPr>
        <w:t xml:space="preserve">stratégique </w:t>
      </w:r>
      <w:r w:rsidR="00E36FD6">
        <w:rPr>
          <w:iCs/>
          <w:snapToGrid/>
          <w:sz w:val="22"/>
          <w:szCs w:val="22"/>
        </w:rPr>
        <w:t>à long terme pour l'intégration.</w:t>
      </w:r>
      <w:r w:rsidR="00D80E07">
        <w:rPr>
          <w:iCs/>
          <w:snapToGrid/>
          <w:sz w:val="22"/>
          <w:szCs w:val="22"/>
        </w:rPr>
        <w:t>]</w:t>
      </w:r>
    </w:p>
    <w:p w14:paraId="598D7397" w14:textId="22AEF205" w:rsidR="00E36FD6" w:rsidRPr="001F147F" w:rsidRDefault="00E36FD6" w:rsidP="005E2D95">
      <w:pPr>
        <w:pStyle w:val="Heading1"/>
        <w:suppressLineNumbers/>
        <w:suppressAutoHyphens/>
        <w:adjustRightInd w:val="0"/>
        <w:snapToGrid w:val="0"/>
        <w:spacing w:before="120"/>
        <w:ind w:left="720"/>
        <w:rPr>
          <w:rFonts w:eastAsia="MS Mincho"/>
          <w:b w:val="0"/>
          <w:kern w:val="22"/>
          <w:szCs w:val="22"/>
          <w:lang w:eastAsia="ja-JP"/>
        </w:rPr>
      </w:pPr>
      <w:r>
        <w:rPr>
          <w:rFonts w:eastAsia="MS Mincho"/>
          <w:b w:val="0"/>
          <w:i/>
          <w:caps w:val="0"/>
          <w:kern w:val="22"/>
          <w:szCs w:val="22"/>
        </w:rPr>
        <w:lastRenderedPageBreak/>
        <w:t>Annexe</w:t>
      </w:r>
    </w:p>
    <w:p w14:paraId="2298582D" w14:textId="6303F608" w:rsidR="00E36FD6" w:rsidRPr="005E2D95" w:rsidRDefault="00857EB7" w:rsidP="005E2D95">
      <w:pPr>
        <w:pStyle w:val="Heading1"/>
        <w:suppressLineNumbers/>
        <w:tabs>
          <w:tab w:val="clear" w:pos="720"/>
        </w:tabs>
        <w:suppressAutoHyphens/>
        <w:adjustRightInd w:val="0"/>
        <w:snapToGrid w:val="0"/>
        <w:spacing w:before="120"/>
        <w:ind w:left="720"/>
        <w:rPr>
          <w:rFonts w:asciiTheme="majorBidi" w:eastAsia="MS Mincho" w:hAnsiTheme="majorBidi" w:cstheme="majorBidi"/>
          <w:kern w:val="22"/>
          <w:szCs w:val="22"/>
          <w:lang w:eastAsia="ja-JP"/>
        </w:rPr>
      </w:pPr>
      <w:r>
        <w:rPr>
          <w:rFonts w:asciiTheme="majorBidi" w:eastAsia="MS Mincho" w:hAnsiTheme="majorBidi" w:cstheme="majorBidi"/>
          <w:kern w:val="22"/>
          <w:szCs w:val="22"/>
        </w:rPr>
        <w:t>PLAN D'ACTION RELATIF AUX AUTORITÉS INFRANATIONALES, AUX MUNICIPALITÉS ET AUX AUTRES AUTORITÉS LOCALES EN FAVEUR DE LA BIODIVERSITÉ (2021-2030)</w:t>
      </w:r>
    </w:p>
    <w:p w14:paraId="497B748A" w14:textId="77777777" w:rsidR="00E36FD6" w:rsidRPr="005E2D95" w:rsidRDefault="00E36FD6" w:rsidP="005E2D95">
      <w:pPr>
        <w:pStyle w:val="Para1"/>
        <w:keepNext/>
        <w:numPr>
          <w:ilvl w:val="0"/>
          <w:numId w:val="0"/>
        </w:numPr>
        <w:suppressLineNumbers/>
        <w:tabs>
          <w:tab w:val="left" w:pos="1134"/>
        </w:tabs>
        <w:suppressAutoHyphens/>
        <w:adjustRightInd w:val="0"/>
        <w:snapToGrid w:val="0"/>
        <w:ind w:left="720"/>
        <w:jc w:val="center"/>
        <w:rPr>
          <w:rFonts w:asciiTheme="majorBidi" w:hAnsiTheme="majorBidi" w:cstheme="majorBidi"/>
          <w:b/>
          <w:iCs/>
          <w:kern w:val="22"/>
          <w:szCs w:val="22"/>
          <w:lang w:eastAsia="en-CA"/>
        </w:rPr>
      </w:pPr>
      <w:r>
        <w:rPr>
          <w:rFonts w:asciiTheme="majorBidi" w:hAnsiTheme="majorBidi" w:cstheme="majorBidi"/>
          <w:b/>
          <w:iCs/>
          <w:kern w:val="22"/>
          <w:szCs w:val="22"/>
        </w:rPr>
        <w:t>A.</w:t>
      </w:r>
      <w:r>
        <w:rPr>
          <w:rFonts w:asciiTheme="majorBidi" w:hAnsiTheme="majorBidi" w:cstheme="majorBidi"/>
          <w:b/>
          <w:iCs/>
          <w:kern w:val="22"/>
          <w:szCs w:val="22"/>
        </w:rPr>
        <w:tab/>
        <w:t>Contexte</w:t>
      </w:r>
    </w:p>
    <w:p w14:paraId="2032A2D5" w14:textId="55679642" w:rsidR="00E36FD6" w:rsidRPr="001F147F" w:rsidRDefault="00122FFD" w:rsidP="005E2D95">
      <w:pPr>
        <w:pStyle w:val="CharChar12"/>
        <w:numPr>
          <w:ilvl w:val="0"/>
          <w:numId w:val="20"/>
        </w:numPr>
        <w:suppressLineNumbers/>
        <w:tabs>
          <w:tab w:val="clear" w:pos="360"/>
        </w:tabs>
        <w:suppressAutoHyphens/>
        <w:adjustRightInd w:val="0"/>
        <w:snapToGrid w:val="0"/>
        <w:spacing w:before="120" w:after="120"/>
        <w:ind w:left="720"/>
        <w:rPr>
          <w:rFonts w:eastAsia="MS Mincho"/>
          <w:kern w:val="22"/>
          <w:szCs w:val="22"/>
          <w:lang w:eastAsia="ja-JP"/>
        </w:rPr>
      </w:pPr>
      <w:r>
        <w:rPr>
          <w:kern w:val="22"/>
          <w:szCs w:val="22"/>
        </w:rPr>
        <w:t>Le p</w:t>
      </w:r>
      <w:r w:rsidR="00E36FD6">
        <w:rPr>
          <w:kern w:val="22"/>
          <w:szCs w:val="22"/>
        </w:rPr>
        <w:t>lan d'action relatif aux autorités infranationales, aux municipalités et autres autorités locales en faveur de la biodiversité (2021-2030) au titre de la Convention sur la diversité biologique vise à appuyer la mise en œuvre, par les Parties, les administrations infranationales, les municipalités et autres autorités lo</w:t>
      </w:r>
      <w:r w:rsidR="000071FE">
        <w:rPr>
          <w:kern w:val="22"/>
          <w:szCs w:val="22"/>
        </w:rPr>
        <w:t>cales et leurs partenaires, du c</w:t>
      </w:r>
      <w:r w:rsidR="00E36FD6">
        <w:rPr>
          <w:kern w:val="22"/>
          <w:szCs w:val="22"/>
        </w:rPr>
        <w:t xml:space="preserve">adre mondial de la biodiversité pour l'après-2020. </w:t>
      </w:r>
      <w:r w:rsidR="00E36FD6">
        <w:rPr>
          <w:szCs w:val="22"/>
        </w:rPr>
        <w:t xml:space="preserve">Le Plan d'action est destiné à être mis en œuvre conformément à la législation nationale. </w:t>
      </w:r>
      <w:r w:rsidR="00E36FD6">
        <w:rPr>
          <w:kern w:val="22"/>
          <w:szCs w:val="22"/>
        </w:rPr>
        <w:t xml:space="preserve">Les éléments contenus dans le Plan d'action ont été définis à l'issue d'une série de consultations avec les Parties, les autorités infranationales, les municipalités et autres autorités locales, ainsi qu'avec leurs réseaux et parties prenantes, notamment dans le cadre du « Processus d'Édimbourg » et le </w:t>
      </w:r>
      <w:r>
        <w:rPr>
          <w:kern w:val="22"/>
          <w:szCs w:val="22"/>
        </w:rPr>
        <w:t>septième</w:t>
      </w:r>
      <w:r w:rsidR="00E36FD6">
        <w:rPr>
          <w:kern w:val="22"/>
          <w:szCs w:val="22"/>
        </w:rPr>
        <w:t> Sommet mondial des villes et des autorités infranationales en faveur de la biodiversité</w:t>
      </w:r>
      <w:r w:rsidR="00E36FD6">
        <w:rPr>
          <w:rStyle w:val="FootnoteReference"/>
          <w:kern w:val="22"/>
          <w:szCs w:val="22"/>
        </w:rPr>
        <w:footnoteReference w:id="13"/>
      </w:r>
      <w:r w:rsidR="00E36FD6">
        <w:rPr>
          <w:kern w:val="22"/>
          <w:szCs w:val="22"/>
        </w:rPr>
        <w:t>.</w:t>
      </w:r>
    </w:p>
    <w:p w14:paraId="519D90E8" w14:textId="77777777" w:rsidR="00E36FD6" w:rsidRPr="001F147F" w:rsidRDefault="00E36FD6" w:rsidP="005E2D95">
      <w:pPr>
        <w:pStyle w:val="Para1"/>
        <w:keepNext/>
        <w:numPr>
          <w:ilvl w:val="0"/>
          <w:numId w:val="0"/>
        </w:numPr>
        <w:suppressLineNumbers/>
        <w:tabs>
          <w:tab w:val="left" w:pos="1134"/>
        </w:tabs>
        <w:suppressAutoHyphens/>
        <w:adjustRightInd w:val="0"/>
        <w:snapToGrid w:val="0"/>
        <w:ind w:left="720"/>
        <w:jc w:val="center"/>
        <w:rPr>
          <w:b/>
          <w:iCs/>
          <w:kern w:val="22"/>
          <w:szCs w:val="22"/>
          <w:lang w:eastAsia="en-CA"/>
        </w:rPr>
      </w:pPr>
      <w:r>
        <w:rPr>
          <w:b/>
          <w:iCs/>
          <w:kern w:val="22"/>
          <w:szCs w:val="22"/>
        </w:rPr>
        <w:t>B.</w:t>
      </w:r>
      <w:r>
        <w:rPr>
          <w:b/>
          <w:iCs/>
          <w:kern w:val="22"/>
          <w:szCs w:val="22"/>
        </w:rPr>
        <w:tab/>
        <w:t>Objectifs</w:t>
      </w:r>
    </w:p>
    <w:p w14:paraId="24CCF1B8" w14:textId="77777777" w:rsidR="00E36FD6" w:rsidRPr="001F147F" w:rsidRDefault="00E36FD6" w:rsidP="005E2D95">
      <w:pPr>
        <w:pStyle w:val="CharChar12"/>
        <w:numPr>
          <w:ilvl w:val="0"/>
          <w:numId w:val="2"/>
        </w:numPr>
        <w:suppressLineNumbers/>
        <w:tabs>
          <w:tab w:val="clear" w:pos="360"/>
        </w:tabs>
        <w:suppressAutoHyphens/>
        <w:adjustRightInd w:val="0"/>
        <w:snapToGrid w:val="0"/>
        <w:spacing w:before="120" w:after="120"/>
        <w:ind w:left="720"/>
        <w:rPr>
          <w:i/>
          <w:kern w:val="22"/>
          <w:szCs w:val="22"/>
          <w:lang w:eastAsia="en-CA"/>
        </w:rPr>
      </w:pPr>
      <w:r>
        <w:rPr>
          <w:kern w:val="22"/>
          <w:szCs w:val="22"/>
        </w:rPr>
        <w:t>Le Plan d'action vise les objectifs suivants :</w:t>
      </w:r>
    </w:p>
    <w:p w14:paraId="6561E6B9" w14:textId="4E52ED65" w:rsidR="00E36FD6" w:rsidRPr="001F147F" w:rsidRDefault="00E36FD6" w:rsidP="005E2D95">
      <w:pPr>
        <w:pStyle w:val="BodyText"/>
        <w:suppressLineNumbers/>
        <w:suppressAutoHyphens/>
        <w:adjustRightInd w:val="0"/>
        <w:snapToGrid w:val="0"/>
        <w:ind w:left="720" w:firstLine="709"/>
        <w:rPr>
          <w:kern w:val="22"/>
          <w:szCs w:val="22"/>
        </w:rPr>
      </w:pPr>
      <w:r>
        <w:rPr>
          <w:kern w:val="22"/>
          <w:szCs w:val="22"/>
        </w:rPr>
        <w:t>a)</w:t>
      </w:r>
      <w:r>
        <w:rPr>
          <w:kern w:val="22"/>
          <w:szCs w:val="22"/>
        </w:rPr>
        <w:tab/>
        <w:t>Renforcer l'engagement des autorités infranationales, des municipalités et des autres autorités locales pour favoriser la mise en œuvre efficace des stratégies et plans d’action nati</w:t>
      </w:r>
      <w:r w:rsidR="000071FE">
        <w:rPr>
          <w:kern w:val="22"/>
          <w:szCs w:val="22"/>
        </w:rPr>
        <w:t>onaux pour la biodiversité, du c</w:t>
      </w:r>
      <w:r>
        <w:rPr>
          <w:kern w:val="22"/>
          <w:szCs w:val="22"/>
        </w:rPr>
        <w:t>adre mondial de la biodiversité pour l'après-</w:t>
      </w:r>
      <w:r w:rsidR="00B660FA">
        <w:rPr>
          <w:kern w:val="22"/>
          <w:szCs w:val="22"/>
        </w:rPr>
        <w:t>2020</w:t>
      </w:r>
      <w:r>
        <w:rPr>
          <w:kern w:val="22"/>
          <w:szCs w:val="22"/>
        </w:rPr>
        <w:t>, et des programmes de travail de la Convention sur la diversité biologique, et en rendre compte ;</w:t>
      </w:r>
    </w:p>
    <w:p w14:paraId="77DD40F6" w14:textId="10DD109C" w:rsidR="00E36FD6" w:rsidRPr="001F147F" w:rsidRDefault="00E36FD6" w:rsidP="005E2D95">
      <w:pPr>
        <w:pStyle w:val="BodyText"/>
        <w:suppressLineNumbers/>
        <w:suppressAutoHyphens/>
        <w:adjustRightInd w:val="0"/>
        <w:snapToGrid w:val="0"/>
        <w:ind w:left="720" w:firstLine="709"/>
        <w:rPr>
          <w:kern w:val="22"/>
          <w:szCs w:val="22"/>
        </w:rPr>
      </w:pPr>
      <w:r>
        <w:rPr>
          <w:kern w:val="22"/>
          <w:szCs w:val="22"/>
        </w:rPr>
        <w:t>b)</w:t>
      </w:r>
      <w:r>
        <w:rPr>
          <w:kern w:val="22"/>
          <w:szCs w:val="22"/>
        </w:rPr>
        <w:tab/>
        <w:t>Améliorer la coordination régionale et mondiale et l'échange des enseignements tirés entre les Parties à la Convention sur la diversité biologique, les organisations régionales et mondiales, les Nations Unies et les organismes de développement, les milieux universitaires et les donateurs quant aux moyens d'encourager les autorités infranationales, les municipalités et les autres autorités locales à gérer la biodiversité de manière durable, à fournir des services écosystémiques aux citoyens et à intégrer les préoccupations relatives à la biodiversité dans la planification et le développement urbain et territorial et à les soutenir à cet égard ;</w:t>
      </w:r>
    </w:p>
    <w:p w14:paraId="7E1223EF" w14:textId="65854BA9" w:rsidR="00E36FD6" w:rsidRPr="001F147F" w:rsidRDefault="00E36FD6" w:rsidP="005E2D95">
      <w:pPr>
        <w:pStyle w:val="BodyText"/>
        <w:suppressLineNumbers/>
        <w:suppressAutoHyphens/>
        <w:adjustRightInd w:val="0"/>
        <w:snapToGrid w:val="0"/>
        <w:ind w:left="720" w:firstLine="709"/>
        <w:rPr>
          <w:kern w:val="22"/>
          <w:szCs w:val="22"/>
        </w:rPr>
      </w:pPr>
      <w:r>
        <w:rPr>
          <w:kern w:val="22"/>
          <w:szCs w:val="22"/>
        </w:rPr>
        <w:t>c)</w:t>
      </w:r>
      <w:r>
        <w:rPr>
          <w:kern w:val="22"/>
          <w:szCs w:val="22"/>
        </w:rPr>
        <w:tab/>
        <w:t>Recenser, améliorer et diffuser les outils, lignes directrices</w:t>
      </w:r>
      <w:r w:rsidR="00B660FA">
        <w:rPr>
          <w:kern w:val="22"/>
          <w:szCs w:val="22"/>
        </w:rPr>
        <w:t xml:space="preserve">, mécanismes </w:t>
      </w:r>
      <w:r w:rsidR="00C21539">
        <w:rPr>
          <w:kern w:val="22"/>
          <w:szCs w:val="22"/>
        </w:rPr>
        <w:t xml:space="preserve">ou instruments </w:t>
      </w:r>
      <w:r w:rsidR="00B660FA">
        <w:rPr>
          <w:kern w:val="22"/>
          <w:szCs w:val="22"/>
        </w:rPr>
        <w:t>financiers</w:t>
      </w:r>
      <w:r>
        <w:rPr>
          <w:kern w:val="22"/>
          <w:szCs w:val="22"/>
        </w:rPr>
        <w:t xml:space="preserve"> et programmes stratégiques qui facilitent l'action infranationale et locale en matière de biodiversité et renforcer la capacité des autorités infranationales, des municipalités et des autres autorités locales à soutenir les pouvoirs publics nationaux dans la mise en œuvre de la Convention sur la diversité biologique, en fonction des compétences de chaque niveau de pouvoir ;</w:t>
      </w:r>
    </w:p>
    <w:p w14:paraId="18F990B9" w14:textId="77777777" w:rsidR="00E36FD6" w:rsidRPr="001F147F" w:rsidRDefault="00E36FD6" w:rsidP="005E2D95">
      <w:pPr>
        <w:pStyle w:val="BodyText"/>
        <w:suppressLineNumbers/>
        <w:suppressAutoHyphens/>
        <w:adjustRightInd w:val="0"/>
        <w:snapToGrid w:val="0"/>
        <w:ind w:left="720" w:firstLine="709"/>
        <w:rPr>
          <w:kern w:val="22"/>
          <w:szCs w:val="22"/>
        </w:rPr>
      </w:pPr>
      <w:r>
        <w:rPr>
          <w:kern w:val="22"/>
          <w:szCs w:val="22"/>
        </w:rPr>
        <w:t>d)</w:t>
      </w:r>
      <w:r>
        <w:rPr>
          <w:kern w:val="22"/>
          <w:szCs w:val="22"/>
        </w:rPr>
        <w:tab/>
        <w:t>Faciliter l'élaboration de programmes de sensibilisation à la biodiversité conformément aux stratégies de communication, d'éducation et de sensibilisation du public.</w:t>
      </w:r>
    </w:p>
    <w:p w14:paraId="3931B74A" w14:textId="77777777" w:rsidR="00E36FD6" w:rsidRPr="001F147F" w:rsidRDefault="00E36FD6" w:rsidP="005E2D95">
      <w:pPr>
        <w:pStyle w:val="Para1"/>
        <w:keepNext/>
        <w:numPr>
          <w:ilvl w:val="0"/>
          <w:numId w:val="0"/>
        </w:numPr>
        <w:suppressLineNumbers/>
        <w:tabs>
          <w:tab w:val="left" w:pos="1134"/>
        </w:tabs>
        <w:suppressAutoHyphens/>
        <w:adjustRightInd w:val="0"/>
        <w:snapToGrid w:val="0"/>
        <w:ind w:left="720"/>
        <w:jc w:val="center"/>
        <w:rPr>
          <w:b/>
          <w:kern w:val="22"/>
          <w:szCs w:val="22"/>
        </w:rPr>
      </w:pPr>
      <w:r>
        <w:rPr>
          <w:b/>
          <w:kern w:val="22"/>
          <w:szCs w:val="22"/>
        </w:rPr>
        <w:t>C.</w:t>
      </w:r>
      <w:r>
        <w:rPr>
          <w:b/>
          <w:kern w:val="22"/>
          <w:szCs w:val="22"/>
        </w:rPr>
        <w:tab/>
        <w:t>Activités de mobilisation des autorités infranationales, des municipalités et des autres autorités locales</w:t>
      </w:r>
    </w:p>
    <w:p w14:paraId="4351608F" w14:textId="5EF32B9B" w:rsidR="00E36FD6" w:rsidRPr="001F147F" w:rsidRDefault="00E36FD6" w:rsidP="005E2D95">
      <w:pPr>
        <w:pStyle w:val="CharChar12"/>
        <w:numPr>
          <w:ilvl w:val="0"/>
          <w:numId w:val="20"/>
        </w:numPr>
        <w:suppressLineNumbers/>
        <w:tabs>
          <w:tab w:val="clear" w:pos="360"/>
        </w:tabs>
        <w:suppressAutoHyphens/>
        <w:adjustRightInd w:val="0"/>
        <w:snapToGrid w:val="0"/>
        <w:spacing w:before="120" w:after="120"/>
        <w:ind w:left="720"/>
        <w:rPr>
          <w:rFonts w:eastAsiaTheme="minorEastAsia"/>
          <w:kern w:val="22"/>
          <w:szCs w:val="22"/>
        </w:rPr>
      </w:pPr>
      <w:r>
        <w:rPr>
          <w:iCs/>
          <w:kern w:val="22"/>
          <w:szCs w:val="22"/>
        </w:rPr>
        <w:t xml:space="preserve">L'ensemble des activités, regroupées en sept domaines </w:t>
      </w:r>
      <w:r w:rsidR="00122FFD">
        <w:rPr>
          <w:iCs/>
          <w:kern w:val="22"/>
          <w:szCs w:val="22"/>
        </w:rPr>
        <w:t>d’intervention</w:t>
      </w:r>
      <w:r>
        <w:rPr>
          <w:iCs/>
          <w:kern w:val="22"/>
          <w:szCs w:val="22"/>
        </w:rPr>
        <w:t xml:space="preserve"> interdépendan</w:t>
      </w:r>
      <w:r w:rsidR="008F5261">
        <w:rPr>
          <w:iCs/>
          <w:kern w:val="22"/>
          <w:szCs w:val="22"/>
        </w:rPr>
        <w:t>ts et complémentaires, présenté</w:t>
      </w:r>
      <w:r>
        <w:rPr>
          <w:iCs/>
          <w:kern w:val="22"/>
          <w:szCs w:val="22"/>
        </w:rPr>
        <w:t xml:space="preserve">s ci-dessous fournit un cadre sur la base duquel les Parties, leurs autorités infranationales, les municipalités et autres autorités locales et toutes les parties prenantes peuvent mettre au point leurs propres mesures de mise en œuvre du Plan d'action. Les activités sont donc proposées en complément des stratégies, plans d'action et objectifs </w:t>
      </w:r>
      <w:r w:rsidR="008F5261">
        <w:rPr>
          <w:iCs/>
          <w:kern w:val="22"/>
          <w:szCs w:val="22"/>
        </w:rPr>
        <w:t>de la</w:t>
      </w:r>
      <w:r>
        <w:rPr>
          <w:iCs/>
          <w:kern w:val="22"/>
          <w:szCs w:val="22"/>
        </w:rPr>
        <w:t xml:space="preserve"> biodiversité pour l'après-2020. </w:t>
      </w:r>
      <w:r>
        <w:rPr>
          <w:kern w:val="22"/>
          <w:szCs w:val="22"/>
        </w:rPr>
        <w:t>Il est entendu que les activités seront mises en œuvre conformément aux compétences de chaque niveau de pouvoir et en fonction du contexte et des circonstances nationales et infranationales de chaque Partie.</w:t>
      </w:r>
    </w:p>
    <w:p w14:paraId="23F21D27" w14:textId="2572FDF3" w:rsidR="00E36FD6" w:rsidRPr="001F147F" w:rsidRDefault="00E36FD6" w:rsidP="005E2D95">
      <w:pPr>
        <w:pStyle w:val="CharChar12"/>
        <w:suppressLineNumbers/>
        <w:suppressAutoHyphens/>
        <w:adjustRightInd w:val="0"/>
        <w:snapToGrid w:val="0"/>
        <w:spacing w:before="120" w:after="120"/>
        <w:ind w:left="720"/>
        <w:jc w:val="left"/>
        <w:rPr>
          <w:iCs/>
          <w:kern w:val="22"/>
          <w:szCs w:val="22"/>
        </w:rPr>
      </w:pPr>
      <w:r>
        <w:rPr>
          <w:b/>
          <w:iCs/>
          <w:kern w:val="22"/>
          <w:szCs w:val="22"/>
        </w:rPr>
        <w:lastRenderedPageBreak/>
        <w:t xml:space="preserve">Domaine </w:t>
      </w:r>
      <w:r w:rsidR="00122FFD">
        <w:rPr>
          <w:b/>
          <w:iCs/>
          <w:kern w:val="22"/>
          <w:szCs w:val="22"/>
        </w:rPr>
        <w:t>d’intervention</w:t>
      </w:r>
      <w:r>
        <w:rPr>
          <w:b/>
          <w:iCs/>
          <w:kern w:val="22"/>
          <w:szCs w:val="22"/>
        </w:rPr>
        <w:t xml:space="preserve"> 1</w:t>
      </w:r>
      <w:r>
        <w:rPr>
          <w:b/>
          <w:iCs/>
          <w:kern w:val="22"/>
          <w:szCs w:val="22"/>
        </w:rPr>
        <w:br/>
        <w:t>Élaboration et mise en œuvre de stratégies et de plans d'action pour la biodiversité reflétant l'engagement des autorités infranationales, des municipalités et des autres autorités locales</w:t>
      </w:r>
    </w:p>
    <w:p w14:paraId="1A55146C" w14:textId="3FC64319" w:rsidR="00E36FD6" w:rsidRPr="001F147F" w:rsidRDefault="00E36FD6" w:rsidP="005E2D95">
      <w:pPr>
        <w:pStyle w:val="CharChar12"/>
        <w:numPr>
          <w:ilvl w:val="0"/>
          <w:numId w:val="25"/>
        </w:numPr>
        <w:suppressLineNumbers/>
        <w:tabs>
          <w:tab w:val="clear" w:pos="360"/>
        </w:tabs>
        <w:suppressAutoHyphens/>
        <w:adjustRightInd w:val="0"/>
        <w:snapToGrid w:val="0"/>
        <w:spacing w:before="120" w:after="120"/>
        <w:ind w:left="720"/>
        <w:rPr>
          <w:iCs/>
          <w:kern w:val="22"/>
          <w:szCs w:val="22"/>
        </w:rPr>
      </w:pPr>
      <w:r>
        <w:rPr>
          <w:iCs/>
          <w:kern w:val="22"/>
          <w:szCs w:val="22"/>
        </w:rPr>
        <w:t xml:space="preserve">Faire participer les autorités infranationales, les municipalités et les autres autorités locales </w:t>
      </w:r>
      <w:r w:rsidR="00257F92">
        <w:rPr>
          <w:iCs/>
          <w:kern w:val="22"/>
          <w:szCs w:val="22"/>
        </w:rPr>
        <w:t xml:space="preserve">au processus de révision et de mise à jour des </w:t>
      </w:r>
      <w:r>
        <w:rPr>
          <w:iCs/>
          <w:kern w:val="22"/>
          <w:szCs w:val="22"/>
        </w:rPr>
        <w:t>stratégies et des plans d'action nationaux pour la biodiversité</w:t>
      </w:r>
      <w:r w:rsidR="00257F92">
        <w:rPr>
          <w:iCs/>
          <w:kern w:val="22"/>
          <w:szCs w:val="22"/>
        </w:rPr>
        <w:t>, aux fins de les mettre en alignement avec le cadre mondial de la biodiversité pour l’après-2020 et sa mise en œuvre ultérieure</w:t>
      </w:r>
      <w:r>
        <w:rPr>
          <w:iCs/>
          <w:kern w:val="22"/>
          <w:szCs w:val="22"/>
        </w:rPr>
        <w:t> ;</w:t>
      </w:r>
    </w:p>
    <w:p w14:paraId="4CFD3000" w14:textId="5BC4F63D" w:rsidR="00E36FD6" w:rsidRPr="001F147F" w:rsidRDefault="00E36FD6" w:rsidP="005E2D95">
      <w:pPr>
        <w:pStyle w:val="CharChar12"/>
        <w:numPr>
          <w:ilvl w:val="0"/>
          <w:numId w:val="25"/>
        </w:numPr>
        <w:suppressLineNumbers/>
        <w:tabs>
          <w:tab w:val="clear" w:pos="360"/>
        </w:tabs>
        <w:suppressAutoHyphens/>
        <w:adjustRightInd w:val="0"/>
        <w:snapToGrid w:val="0"/>
        <w:spacing w:before="120" w:after="120"/>
        <w:ind w:left="720"/>
        <w:rPr>
          <w:iCs/>
          <w:kern w:val="22"/>
          <w:szCs w:val="22"/>
        </w:rPr>
      </w:pPr>
      <w:r>
        <w:rPr>
          <w:iCs/>
          <w:kern w:val="22"/>
          <w:szCs w:val="22"/>
        </w:rPr>
        <w:t xml:space="preserve">Encourager les autorités infranationales, les municipalités et les autres autorités locales à élaborer des stratégies et des plans d'action pour la biodiversité, </w:t>
      </w:r>
      <w:r w:rsidR="00A8001A">
        <w:rPr>
          <w:iCs/>
          <w:kern w:val="22"/>
          <w:szCs w:val="22"/>
        </w:rPr>
        <w:t xml:space="preserve">en harmonie avec les </w:t>
      </w:r>
      <w:r>
        <w:rPr>
          <w:iCs/>
          <w:kern w:val="22"/>
          <w:szCs w:val="22"/>
        </w:rPr>
        <w:t xml:space="preserve">stratégies et </w:t>
      </w:r>
      <w:r w:rsidR="00A8001A">
        <w:rPr>
          <w:iCs/>
          <w:kern w:val="22"/>
          <w:szCs w:val="22"/>
        </w:rPr>
        <w:t xml:space="preserve">les </w:t>
      </w:r>
      <w:r>
        <w:rPr>
          <w:iCs/>
          <w:kern w:val="22"/>
          <w:szCs w:val="22"/>
        </w:rPr>
        <w:t>plans d'action nationaux en la matière.</w:t>
      </w:r>
    </w:p>
    <w:p w14:paraId="282755C1" w14:textId="6F32FEFC" w:rsidR="00E36FD6" w:rsidRPr="001F147F" w:rsidRDefault="00E36FD6" w:rsidP="005E2D95">
      <w:pPr>
        <w:pStyle w:val="CharChar12"/>
        <w:keepNext/>
        <w:suppressLineNumbers/>
        <w:suppressAutoHyphens/>
        <w:adjustRightInd w:val="0"/>
        <w:snapToGrid w:val="0"/>
        <w:spacing w:before="120" w:after="120"/>
        <w:ind w:left="720"/>
        <w:jc w:val="left"/>
        <w:rPr>
          <w:iCs/>
          <w:kern w:val="22"/>
          <w:szCs w:val="22"/>
        </w:rPr>
      </w:pPr>
      <w:r>
        <w:rPr>
          <w:b/>
          <w:kern w:val="22"/>
          <w:szCs w:val="22"/>
        </w:rPr>
        <w:t xml:space="preserve">Domaine </w:t>
      </w:r>
      <w:r w:rsidR="00122FFD">
        <w:rPr>
          <w:b/>
          <w:kern w:val="22"/>
          <w:szCs w:val="22"/>
        </w:rPr>
        <w:t>d’intervention</w:t>
      </w:r>
      <w:r>
        <w:rPr>
          <w:b/>
          <w:kern w:val="22"/>
          <w:szCs w:val="22"/>
        </w:rPr>
        <w:t xml:space="preserve"> 2</w:t>
      </w:r>
      <w:r>
        <w:rPr>
          <w:b/>
          <w:kern w:val="22"/>
          <w:szCs w:val="22"/>
        </w:rPr>
        <w:br/>
      </w:r>
      <w:r w:rsidR="00777318">
        <w:rPr>
          <w:b/>
          <w:kern w:val="22"/>
          <w:szCs w:val="22"/>
        </w:rPr>
        <w:t>Collaboration</w:t>
      </w:r>
      <w:r>
        <w:rPr>
          <w:b/>
          <w:kern w:val="22"/>
          <w:szCs w:val="22"/>
        </w:rPr>
        <w:t xml:space="preserve"> entre les niveaux de pouvoir et intégration</w:t>
      </w:r>
    </w:p>
    <w:p w14:paraId="08119A38" w14:textId="53B35858" w:rsidR="00E36FD6" w:rsidRPr="001F147F" w:rsidRDefault="00882FEB" w:rsidP="00882FEB">
      <w:pPr>
        <w:pStyle w:val="CharChar12"/>
        <w:suppressLineNumbers/>
        <w:suppressAutoHyphens/>
        <w:adjustRightInd w:val="0"/>
        <w:snapToGrid w:val="0"/>
        <w:spacing w:before="120" w:after="120"/>
        <w:ind w:left="720"/>
        <w:rPr>
          <w:iCs/>
          <w:kern w:val="22"/>
          <w:szCs w:val="22"/>
        </w:rPr>
      </w:pPr>
      <w:r>
        <w:rPr>
          <w:iCs/>
          <w:kern w:val="22"/>
          <w:szCs w:val="22"/>
        </w:rPr>
        <w:t xml:space="preserve">a) </w:t>
      </w:r>
      <w:r>
        <w:rPr>
          <w:iCs/>
          <w:kern w:val="22"/>
          <w:szCs w:val="22"/>
        </w:rPr>
        <w:tab/>
      </w:r>
      <w:r w:rsidR="00E36FD6">
        <w:rPr>
          <w:iCs/>
          <w:kern w:val="22"/>
          <w:szCs w:val="22"/>
        </w:rPr>
        <w:t>Collaborer avec les autorités infranationales, les municipalités et les autres autorités locales en vue de renforcer l'harmonisation de la planification stratégique, la coordination et la mise en œuvre entre les différents niveaux de pouvoir ;</w:t>
      </w:r>
    </w:p>
    <w:p w14:paraId="36E196FD" w14:textId="49DC0022" w:rsidR="00882FEB" w:rsidRDefault="00882FEB" w:rsidP="00882FEB">
      <w:pPr>
        <w:pStyle w:val="CharChar12"/>
        <w:suppressLineNumbers/>
        <w:suppressAutoHyphens/>
        <w:adjustRightInd w:val="0"/>
        <w:snapToGrid w:val="0"/>
        <w:spacing w:before="120" w:after="120"/>
        <w:ind w:left="720"/>
        <w:rPr>
          <w:iCs/>
          <w:kern w:val="22"/>
          <w:szCs w:val="22"/>
        </w:rPr>
      </w:pPr>
      <w:r>
        <w:rPr>
          <w:iCs/>
          <w:kern w:val="22"/>
          <w:szCs w:val="22"/>
        </w:rPr>
        <w:t>[</w:t>
      </w:r>
      <w:proofErr w:type="gramStart"/>
      <w:r>
        <w:rPr>
          <w:iCs/>
          <w:kern w:val="22"/>
          <w:szCs w:val="22"/>
        </w:rPr>
        <w:t>b</w:t>
      </w:r>
      <w:proofErr w:type="gramEnd"/>
      <w:r w:rsidR="001C6BF0">
        <w:rPr>
          <w:iCs/>
          <w:kern w:val="22"/>
          <w:szCs w:val="22"/>
        </w:rPr>
        <w:t>)</w:t>
      </w:r>
      <w:r>
        <w:rPr>
          <w:iCs/>
          <w:kern w:val="22"/>
          <w:szCs w:val="22"/>
        </w:rPr>
        <w:tab/>
      </w:r>
      <w:r w:rsidR="00E36FD6">
        <w:rPr>
          <w:iCs/>
          <w:kern w:val="22"/>
          <w:szCs w:val="22"/>
        </w:rPr>
        <w:t xml:space="preserve">Collaborer avec les autorités infranationales, les municipalités et les autres autorités locales en vue de soutenir la mise en œuvre </w:t>
      </w:r>
      <w:r w:rsidR="00320FCC">
        <w:rPr>
          <w:iCs/>
          <w:kern w:val="22"/>
          <w:szCs w:val="22"/>
        </w:rPr>
        <w:t>de</w:t>
      </w:r>
      <w:r w:rsidR="00E36FD6">
        <w:rPr>
          <w:iCs/>
          <w:kern w:val="22"/>
          <w:szCs w:val="22"/>
        </w:rPr>
        <w:t xml:space="preserve"> l'approche </w:t>
      </w:r>
      <w:r w:rsidR="005F0A15">
        <w:rPr>
          <w:iCs/>
          <w:kern w:val="22"/>
          <w:szCs w:val="22"/>
        </w:rPr>
        <w:t xml:space="preserve">stratégique </w:t>
      </w:r>
      <w:r w:rsidR="00E36FD6">
        <w:rPr>
          <w:iCs/>
          <w:kern w:val="22"/>
          <w:szCs w:val="22"/>
        </w:rPr>
        <w:t>à long terme pour l'intégration</w:t>
      </w:r>
      <w:r w:rsidR="00117861">
        <w:rPr>
          <w:iCs/>
          <w:kern w:val="22"/>
          <w:szCs w:val="22"/>
        </w:rPr>
        <w:t xml:space="preserve"> et de son plan d’action</w:t>
      </w:r>
      <w:r w:rsidR="005F0A15">
        <w:rPr>
          <w:iCs/>
          <w:kern w:val="22"/>
          <w:szCs w:val="22"/>
        </w:rPr>
        <w:t> ;</w:t>
      </w:r>
      <w:r w:rsidR="00E36FD6">
        <w:rPr>
          <w:vertAlign w:val="superscript"/>
        </w:rPr>
        <w:footnoteReference w:id="14"/>
      </w:r>
      <w:r w:rsidR="005F0A15">
        <w:rPr>
          <w:iCs/>
          <w:kern w:val="22"/>
          <w:szCs w:val="22"/>
        </w:rPr>
        <w:t>]</w:t>
      </w:r>
    </w:p>
    <w:p w14:paraId="4D3C750A" w14:textId="676442C6" w:rsidR="00E36FD6" w:rsidRPr="001F147F" w:rsidRDefault="00882FEB" w:rsidP="00882FEB">
      <w:pPr>
        <w:pStyle w:val="CharChar12"/>
        <w:suppressLineNumbers/>
        <w:suppressAutoHyphens/>
        <w:adjustRightInd w:val="0"/>
        <w:snapToGrid w:val="0"/>
        <w:spacing w:before="120" w:after="120"/>
        <w:ind w:left="720"/>
        <w:rPr>
          <w:iCs/>
          <w:kern w:val="22"/>
          <w:szCs w:val="22"/>
        </w:rPr>
      </w:pPr>
      <w:r>
        <w:rPr>
          <w:iCs/>
          <w:kern w:val="22"/>
          <w:szCs w:val="22"/>
        </w:rPr>
        <w:t>c)</w:t>
      </w:r>
      <w:r>
        <w:rPr>
          <w:iCs/>
          <w:kern w:val="22"/>
          <w:szCs w:val="22"/>
        </w:rPr>
        <w:tab/>
      </w:r>
      <w:r w:rsidR="00E36FD6">
        <w:rPr>
          <w:iCs/>
          <w:kern w:val="22"/>
          <w:szCs w:val="22"/>
        </w:rPr>
        <w:t>Demander au Comité consultatif sur les autorités locales et la biodiversité et au Comité consultatif sur les autorités infranationales et la biodiversité</w:t>
      </w:r>
      <w:r w:rsidR="00E36FD6">
        <w:rPr>
          <w:vertAlign w:val="superscript"/>
        </w:rPr>
        <w:footnoteReference w:id="15"/>
      </w:r>
      <w:r w:rsidR="00E36FD6">
        <w:rPr>
          <w:iCs/>
          <w:kern w:val="22"/>
          <w:szCs w:val="22"/>
        </w:rPr>
        <w:t xml:space="preserve"> de contribuer et de soutenir la mise en œuvre du Plan d'action en tenant compte du point de vue des autorités locales et infranationales, des municipalités et des autres autorités locales.</w:t>
      </w:r>
    </w:p>
    <w:p w14:paraId="2362DBE6" w14:textId="343241B0" w:rsidR="00E36FD6" w:rsidRPr="001F147F" w:rsidRDefault="00E36FD6" w:rsidP="005E2D95">
      <w:pPr>
        <w:pStyle w:val="CharChar12"/>
        <w:suppressLineNumbers/>
        <w:suppressAutoHyphens/>
        <w:adjustRightInd w:val="0"/>
        <w:snapToGrid w:val="0"/>
        <w:spacing w:before="120" w:after="120"/>
        <w:ind w:left="720"/>
        <w:jc w:val="left"/>
        <w:rPr>
          <w:iCs/>
          <w:kern w:val="22"/>
          <w:szCs w:val="22"/>
        </w:rPr>
      </w:pPr>
      <w:r>
        <w:rPr>
          <w:b/>
          <w:iCs/>
          <w:kern w:val="22"/>
          <w:szCs w:val="22"/>
        </w:rPr>
        <w:t xml:space="preserve">Domaine </w:t>
      </w:r>
      <w:r w:rsidR="00122FFD">
        <w:rPr>
          <w:b/>
          <w:iCs/>
          <w:kern w:val="22"/>
          <w:szCs w:val="22"/>
        </w:rPr>
        <w:t>d’intervention</w:t>
      </w:r>
      <w:r>
        <w:rPr>
          <w:b/>
          <w:iCs/>
          <w:kern w:val="22"/>
          <w:szCs w:val="22"/>
        </w:rPr>
        <w:t xml:space="preserve"> 3</w:t>
      </w:r>
      <w:r>
        <w:rPr>
          <w:b/>
          <w:iCs/>
          <w:kern w:val="22"/>
          <w:szCs w:val="22"/>
        </w:rPr>
        <w:br/>
        <w:t>Mobilisation des ressources</w:t>
      </w:r>
    </w:p>
    <w:p w14:paraId="229AC32C" w14:textId="4207ECAD" w:rsidR="00E36FD6" w:rsidRPr="001F147F" w:rsidRDefault="00E36FD6" w:rsidP="005E2D95">
      <w:pPr>
        <w:pStyle w:val="CharChar12"/>
        <w:numPr>
          <w:ilvl w:val="0"/>
          <w:numId w:val="27"/>
        </w:numPr>
        <w:suppressLineNumbers/>
        <w:suppressAutoHyphens/>
        <w:adjustRightInd w:val="0"/>
        <w:snapToGrid w:val="0"/>
        <w:spacing w:before="120" w:after="120"/>
        <w:ind w:left="720"/>
        <w:rPr>
          <w:iCs/>
          <w:kern w:val="22"/>
          <w:szCs w:val="22"/>
        </w:rPr>
      </w:pPr>
      <w:r>
        <w:rPr>
          <w:iCs/>
          <w:kern w:val="22"/>
          <w:szCs w:val="22"/>
        </w:rPr>
        <w:t>Collaborer avec les autorités infranationales, les municipalités et les autres autorités locales afin d'appuyer l'application du principe 2 de l'approche par écosystème en matière de mobilisation des ressources, selon le cas</w:t>
      </w:r>
      <w:r w:rsidR="005F0A15">
        <w:rPr>
          <w:iCs/>
          <w:kern w:val="22"/>
          <w:szCs w:val="22"/>
        </w:rPr>
        <w:t> ;</w:t>
      </w:r>
      <w:r>
        <w:rPr>
          <w:vertAlign w:val="superscript"/>
        </w:rPr>
        <w:footnoteReference w:id="16"/>
      </w:r>
    </w:p>
    <w:p w14:paraId="263E46CD" w14:textId="1792AAF2" w:rsidR="00E36FD6" w:rsidRPr="001F147F" w:rsidRDefault="00E36FD6" w:rsidP="005E2D95">
      <w:pPr>
        <w:pStyle w:val="CharChar12"/>
        <w:numPr>
          <w:ilvl w:val="0"/>
          <w:numId w:val="27"/>
        </w:numPr>
        <w:suppressLineNumbers/>
        <w:suppressAutoHyphens/>
        <w:adjustRightInd w:val="0"/>
        <w:snapToGrid w:val="0"/>
        <w:spacing w:before="120" w:after="120"/>
        <w:ind w:left="720"/>
        <w:rPr>
          <w:iCs/>
          <w:kern w:val="22"/>
          <w:szCs w:val="22"/>
        </w:rPr>
      </w:pPr>
      <w:r>
        <w:rPr>
          <w:iCs/>
          <w:kern w:val="22"/>
          <w:szCs w:val="22"/>
        </w:rPr>
        <w:t xml:space="preserve">Collaborer avec les autorités infranationales, les municipalités et autres autorités locales en vue de créer des conditions favorables à une augmentation significative des investissements du secteur privé et à des réformes susceptibles </w:t>
      </w:r>
      <w:r w:rsidR="00C541AD">
        <w:rPr>
          <w:iCs/>
          <w:kern w:val="22"/>
          <w:szCs w:val="22"/>
        </w:rPr>
        <w:t>de présenter</w:t>
      </w:r>
      <w:r>
        <w:rPr>
          <w:iCs/>
          <w:kern w:val="22"/>
          <w:szCs w:val="22"/>
        </w:rPr>
        <w:t xml:space="preserve"> de nouvelles sources de revenus pour la conservation de la biodiversité et la restauration des écosystèmes aux niveaux infranational et local.</w:t>
      </w:r>
    </w:p>
    <w:p w14:paraId="3E2EFBD1" w14:textId="7A42B01B" w:rsidR="00E36FD6" w:rsidRPr="001F147F" w:rsidRDefault="00E36FD6" w:rsidP="005E2D95">
      <w:pPr>
        <w:pStyle w:val="CharChar12"/>
        <w:keepNext/>
        <w:suppressLineNumbers/>
        <w:suppressAutoHyphens/>
        <w:adjustRightInd w:val="0"/>
        <w:snapToGrid w:val="0"/>
        <w:spacing w:before="120" w:after="120"/>
        <w:ind w:left="720"/>
        <w:jc w:val="left"/>
        <w:rPr>
          <w:iCs/>
          <w:kern w:val="22"/>
          <w:szCs w:val="22"/>
        </w:rPr>
      </w:pPr>
      <w:r>
        <w:rPr>
          <w:b/>
          <w:iCs/>
          <w:kern w:val="22"/>
          <w:szCs w:val="22"/>
        </w:rPr>
        <w:t xml:space="preserve">Domaine </w:t>
      </w:r>
      <w:r w:rsidR="00122FFD">
        <w:rPr>
          <w:b/>
          <w:iCs/>
          <w:kern w:val="22"/>
          <w:szCs w:val="22"/>
        </w:rPr>
        <w:t>d’intervention</w:t>
      </w:r>
      <w:r>
        <w:rPr>
          <w:b/>
          <w:iCs/>
          <w:kern w:val="22"/>
          <w:szCs w:val="22"/>
        </w:rPr>
        <w:t xml:space="preserve"> 4</w:t>
      </w:r>
      <w:r>
        <w:rPr>
          <w:b/>
          <w:iCs/>
          <w:kern w:val="22"/>
          <w:szCs w:val="22"/>
        </w:rPr>
        <w:br/>
        <w:t>Renforcement des capacités</w:t>
      </w:r>
    </w:p>
    <w:p w14:paraId="2B7F567F" w14:textId="281924F3" w:rsidR="00E36FD6" w:rsidRPr="001F147F" w:rsidRDefault="00E36FD6" w:rsidP="005E2D95">
      <w:pPr>
        <w:pStyle w:val="CharChar12"/>
        <w:numPr>
          <w:ilvl w:val="0"/>
          <w:numId w:val="28"/>
        </w:numPr>
        <w:suppressLineNumbers/>
        <w:tabs>
          <w:tab w:val="clear" w:pos="360"/>
        </w:tabs>
        <w:suppressAutoHyphens/>
        <w:adjustRightInd w:val="0"/>
        <w:snapToGrid w:val="0"/>
        <w:spacing w:before="120" w:after="120"/>
        <w:ind w:left="720"/>
        <w:rPr>
          <w:iCs/>
          <w:kern w:val="22"/>
          <w:szCs w:val="22"/>
        </w:rPr>
      </w:pPr>
      <w:r>
        <w:rPr>
          <w:iCs/>
          <w:kern w:val="22"/>
          <w:szCs w:val="22"/>
        </w:rPr>
        <w:t xml:space="preserve">Soutenir les autorités infranationales, les municipalités et autres autorités locales dans la mise en œuvre d'initiatives de renforcement des capacités </w:t>
      </w:r>
      <w:r w:rsidR="00565321">
        <w:rPr>
          <w:iCs/>
          <w:kern w:val="22"/>
          <w:szCs w:val="22"/>
        </w:rPr>
        <w:t xml:space="preserve">et de transfert technologique </w:t>
      </w:r>
      <w:r>
        <w:rPr>
          <w:iCs/>
          <w:kern w:val="22"/>
          <w:szCs w:val="22"/>
        </w:rPr>
        <w:t>qui contribuent à la mise en œuvre des stratégies et des plans d'action pour la biodiversité</w:t>
      </w:r>
      <w:r w:rsidR="000071FE">
        <w:rPr>
          <w:iCs/>
          <w:kern w:val="22"/>
          <w:szCs w:val="22"/>
        </w:rPr>
        <w:t xml:space="preserve"> ainsi que du c</w:t>
      </w:r>
      <w:r w:rsidR="00565321">
        <w:rPr>
          <w:iCs/>
          <w:kern w:val="22"/>
          <w:szCs w:val="22"/>
        </w:rPr>
        <w:t>adre mondial de la biodiversité pour l’après-2022</w:t>
      </w:r>
      <w:r>
        <w:rPr>
          <w:iCs/>
          <w:kern w:val="22"/>
          <w:szCs w:val="22"/>
        </w:rPr>
        <w:t>.</w:t>
      </w:r>
    </w:p>
    <w:p w14:paraId="4F260A3F" w14:textId="29448049" w:rsidR="00E36FD6" w:rsidRPr="001F147F" w:rsidRDefault="00E36FD6" w:rsidP="005E2D95">
      <w:pPr>
        <w:pStyle w:val="CharChar12"/>
        <w:suppressLineNumbers/>
        <w:suppressAutoHyphens/>
        <w:adjustRightInd w:val="0"/>
        <w:snapToGrid w:val="0"/>
        <w:spacing w:before="120" w:after="120"/>
        <w:ind w:left="720"/>
        <w:jc w:val="left"/>
        <w:rPr>
          <w:b/>
          <w:iCs/>
          <w:kern w:val="22"/>
          <w:szCs w:val="22"/>
        </w:rPr>
      </w:pPr>
      <w:r>
        <w:rPr>
          <w:b/>
          <w:iCs/>
          <w:kern w:val="22"/>
          <w:szCs w:val="22"/>
        </w:rPr>
        <w:t xml:space="preserve">Domaine </w:t>
      </w:r>
      <w:r w:rsidR="00122FFD">
        <w:rPr>
          <w:b/>
          <w:iCs/>
          <w:kern w:val="22"/>
          <w:szCs w:val="22"/>
        </w:rPr>
        <w:t>d’intervention</w:t>
      </w:r>
      <w:r>
        <w:rPr>
          <w:b/>
          <w:iCs/>
          <w:kern w:val="22"/>
          <w:szCs w:val="22"/>
        </w:rPr>
        <w:t xml:space="preserve"> 5</w:t>
      </w:r>
      <w:r>
        <w:rPr>
          <w:b/>
          <w:iCs/>
          <w:kern w:val="22"/>
          <w:szCs w:val="22"/>
        </w:rPr>
        <w:br/>
        <w:t>Communication, éducation et sensibilisation du public</w:t>
      </w:r>
    </w:p>
    <w:p w14:paraId="0163F100" w14:textId="6751FBB9" w:rsidR="00E36FD6" w:rsidRPr="001F147F" w:rsidRDefault="00E36FD6" w:rsidP="005E2D95">
      <w:pPr>
        <w:pStyle w:val="CharChar12"/>
        <w:numPr>
          <w:ilvl w:val="0"/>
          <w:numId w:val="29"/>
        </w:numPr>
        <w:suppressLineNumbers/>
        <w:tabs>
          <w:tab w:val="clear" w:pos="360"/>
        </w:tabs>
        <w:suppressAutoHyphens/>
        <w:adjustRightInd w:val="0"/>
        <w:snapToGrid w:val="0"/>
        <w:spacing w:before="120" w:after="120"/>
        <w:ind w:left="720"/>
        <w:rPr>
          <w:iCs/>
          <w:kern w:val="22"/>
          <w:szCs w:val="22"/>
        </w:rPr>
      </w:pPr>
      <w:r>
        <w:rPr>
          <w:iCs/>
          <w:kern w:val="22"/>
          <w:szCs w:val="22"/>
        </w:rPr>
        <w:lastRenderedPageBreak/>
        <w:t>Soutenir les autorités infranationales, les municipalités et les autres autorités locales dans l'élaboration d'initiatives de communication, d'éducation et de sensibilisation du public, d'accès du public aux informations, et de participation qui soient inclusives et axées sur l'action aux niveaux infranational et local, afin de rétablir le lien entre la nature et les personnes dans les villes et en dehors.</w:t>
      </w:r>
    </w:p>
    <w:p w14:paraId="722145DE" w14:textId="10FF3D15" w:rsidR="00E36FD6" w:rsidRPr="001F147F" w:rsidRDefault="00E36FD6" w:rsidP="005E2D95">
      <w:pPr>
        <w:pStyle w:val="CharChar12"/>
        <w:suppressLineNumbers/>
        <w:suppressAutoHyphens/>
        <w:adjustRightInd w:val="0"/>
        <w:snapToGrid w:val="0"/>
        <w:spacing w:before="120" w:after="120"/>
        <w:ind w:left="720"/>
        <w:jc w:val="left"/>
        <w:rPr>
          <w:b/>
          <w:iCs/>
          <w:kern w:val="22"/>
          <w:szCs w:val="22"/>
        </w:rPr>
      </w:pPr>
      <w:r>
        <w:rPr>
          <w:b/>
          <w:iCs/>
          <w:kern w:val="22"/>
          <w:szCs w:val="22"/>
        </w:rPr>
        <w:t xml:space="preserve">Domaine </w:t>
      </w:r>
      <w:r w:rsidR="00122FFD">
        <w:rPr>
          <w:b/>
          <w:iCs/>
          <w:kern w:val="22"/>
          <w:szCs w:val="22"/>
        </w:rPr>
        <w:t>d’intervention</w:t>
      </w:r>
      <w:r>
        <w:rPr>
          <w:b/>
          <w:iCs/>
          <w:kern w:val="22"/>
          <w:szCs w:val="22"/>
        </w:rPr>
        <w:t xml:space="preserve"> 6</w:t>
      </w:r>
      <w:r>
        <w:rPr>
          <w:b/>
          <w:iCs/>
          <w:kern w:val="22"/>
          <w:szCs w:val="22"/>
        </w:rPr>
        <w:br/>
        <w:t>Évaluation et amélioration de l'information aux fins de la prise de décision</w:t>
      </w:r>
    </w:p>
    <w:p w14:paraId="018250B0" w14:textId="63667E66" w:rsidR="00E36FD6" w:rsidRPr="001F147F" w:rsidRDefault="00565321" w:rsidP="005E2D95">
      <w:pPr>
        <w:pStyle w:val="CharChar12"/>
        <w:numPr>
          <w:ilvl w:val="0"/>
          <w:numId w:val="30"/>
        </w:numPr>
        <w:suppressLineNumbers/>
        <w:tabs>
          <w:tab w:val="clear" w:pos="360"/>
        </w:tabs>
        <w:suppressAutoHyphens/>
        <w:adjustRightInd w:val="0"/>
        <w:snapToGrid w:val="0"/>
        <w:spacing w:before="120" w:after="120"/>
        <w:ind w:left="720"/>
        <w:rPr>
          <w:iCs/>
          <w:kern w:val="22"/>
          <w:szCs w:val="22"/>
        </w:rPr>
      </w:pPr>
      <w:r>
        <w:rPr>
          <w:iCs/>
          <w:kern w:val="22"/>
          <w:szCs w:val="22"/>
        </w:rPr>
        <w:t>Inviter à</w:t>
      </w:r>
      <w:r w:rsidR="00E36FD6">
        <w:rPr>
          <w:iCs/>
          <w:kern w:val="22"/>
          <w:szCs w:val="22"/>
        </w:rPr>
        <w:t xml:space="preserve"> l'utilisation de l'Index de Singapour sur la biodiversit</w:t>
      </w:r>
      <w:r w:rsidR="00C541AD">
        <w:rPr>
          <w:iCs/>
          <w:kern w:val="22"/>
          <w:szCs w:val="22"/>
        </w:rPr>
        <w:t>é des villes comme outil d'auto</w:t>
      </w:r>
      <w:r w:rsidR="00E36FD6">
        <w:rPr>
          <w:iCs/>
          <w:kern w:val="22"/>
          <w:szCs w:val="22"/>
        </w:rPr>
        <w:t>évaluation permettant aux municipalités et aux autorités locales d'évaluer et de suivre les progrès réalisés en matière de conservation de la biodiversité par rapport à leurs propres bases de référence ;</w:t>
      </w:r>
    </w:p>
    <w:p w14:paraId="7F5E1253" w14:textId="01C1D7C4" w:rsidR="00E36FD6" w:rsidRPr="001F147F" w:rsidRDefault="00E36FD6" w:rsidP="005E2D95">
      <w:pPr>
        <w:pStyle w:val="CharChar12"/>
        <w:numPr>
          <w:ilvl w:val="0"/>
          <w:numId w:val="30"/>
        </w:numPr>
        <w:suppressLineNumbers/>
        <w:tabs>
          <w:tab w:val="clear" w:pos="360"/>
        </w:tabs>
        <w:suppressAutoHyphens/>
        <w:adjustRightInd w:val="0"/>
        <w:snapToGrid w:val="0"/>
        <w:spacing w:before="120" w:after="120"/>
        <w:ind w:left="720"/>
        <w:rPr>
          <w:iCs/>
          <w:kern w:val="22"/>
          <w:szCs w:val="22"/>
        </w:rPr>
      </w:pPr>
      <w:r>
        <w:rPr>
          <w:iCs/>
          <w:kern w:val="22"/>
          <w:szCs w:val="22"/>
        </w:rPr>
        <w:t>Soutenir la coproduction de données par les autorités infranationales, les municipalités et les autres autorités locales</w:t>
      </w:r>
      <w:r w:rsidR="002E34FD">
        <w:rPr>
          <w:iCs/>
          <w:kern w:val="22"/>
          <w:szCs w:val="22"/>
        </w:rPr>
        <w:t xml:space="preserve"> et</w:t>
      </w:r>
      <w:r>
        <w:rPr>
          <w:iCs/>
          <w:kern w:val="22"/>
          <w:szCs w:val="22"/>
        </w:rPr>
        <w:t xml:space="preserve"> </w:t>
      </w:r>
      <w:r w:rsidR="0098077E">
        <w:rPr>
          <w:iCs/>
          <w:kern w:val="22"/>
          <w:szCs w:val="22"/>
        </w:rPr>
        <w:t xml:space="preserve">obtenir et offrir </w:t>
      </w:r>
      <w:r w:rsidR="00D32A0A">
        <w:rPr>
          <w:iCs/>
          <w:kern w:val="22"/>
          <w:szCs w:val="22"/>
        </w:rPr>
        <w:t xml:space="preserve">un meilleur </w:t>
      </w:r>
      <w:r>
        <w:rPr>
          <w:iCs/>
          <w:kern w:val="22"/>
          <w:szCs w:val="22"/>
        </w:rPr>
        <w:t xml:space="preserve">accès </w:t>
      </w:r>
      <w:r w:rsidR="002E34FD">
        <w:rPr>
          <w:iCs/>
          <w:kern w:val="22"/>
          <w:szCs w:val="22"/>
        </w:rPr>
        <w:t>à ces</w:t>
      </w:r>
      <w:r>
        <w:rPr>
          <w:iCs/>
          <w:kern w:val="22"/>
          <w:szCs w:val="22"/>
        </w:rPr>
        <w:t xml:space="preserve"> données, aux connaissances et aux résultats scientifiques afin de faciliter la prise de décision, grâce à une meilleure saisie, analyse et communication des données sur la biodiversité locale et paysagère.</w:t>
      </w:r>
    </w:p>
    <w:p w14:paraId="56F208AB" w14:textId="6A5C1575" w:rsidR="00E36FD6" w:rsidRPr="001F147F" w:rsidRDefault="00E36FD6" w:rsidP="005E2D95">
      <w:pPr>
        <w:pStyle w:val="CharChar12"/>
        <w:keepNext/>
        <w:suppressLineNumbers/>
        <w:suppressAutoHyphens/>
        <w:adjustRightInd w:val="0"/>
        <w:snapToGrid w:val="0"/>
        <w:spacing w:before="120" w:after="120"/>
        <w:ind w:left="720"/>
        <w:jc w:val="left"/>
        <w:rPr>
          <w:b/>
          <w:iCs/>
          <w:kern w:val="22"/>
          <w:szCs w:val="22"/>
        </w:rPr>
      </w:pPr>
      <w:r>
        <w:rPr>
          <w:b/>
          <w:iCs/>
          <w:kern w:val="22"/>
          <w:szCs w:val="22"/>
        </w:rPr>
        <w:t xml:space="preserve">Domaine </w:t>
      </w:r>
      <w:r w:rsidR="00122FFD">
        <w:rPr>
          <w:b/>
          <w:iCs/>
          <w:kern w:val="22"/>
          <w:szCs w:val="22"/>
        </w:rPr>
        <w:t>d’intervention</w:t>
      </w:r>
      <w:r>
        <w:rPr>
          <w:b/>
          <w:iCs/>
          <w:kern w:val="22"/>
          <w:szCs w:val="22"/>
        </w:rPr>
        <w:t xml:space="preserve"> 7</w:t>
      </w:r>
      <w:r>
        <w:rPr>
          <w:b/>
          <w:iCs/>
          <w:kern w:val="22"/>
          <w:szCs w:val="22"/>
        </w:rPr>
        <w:br/>
        <w:t>Suivi et rapports</w:t>
      </w:r>
    </w:p>
    <w:p w14:paraId="1E435992" w14:textId="300A8EFB" w:rsidR="00E36FD6" w:rsidRPr="001F147F" w:rsidRDefault="00E36FD6" w:rsidP="005E2D95">
      <w:pPr>
        <w:pStyle w:val="CharChar12"/>
        <w:numPr>
          <w:ilvl w:val="0"/>
          <w:numId w:val="31"/>
        </w:numPr>
        <w:suppressLineNumbers/>
        <w:tabs>
          <w:tab w:val="clear" w:pos="360"/>
        </w:tabs>
        <w:suppressAutoHyphens/>
        <w:adjustRightInd w:val="0"/>
        <w:snapToGrid w:val="0"/>
        <w:spacing w:before="120" w:after="120"/>
        <w:ind w:left="720"/>
        <w:rPr>
          <w:iCs/>
          <w:kern w:val="22"/>
          <w:szCs w:val="22"/>
        </w:rPr>
      </w:pPr>
      <w:r>
        <w:rPr>
          <w:iCs/>
          <w:kern w:val="22"/>
          <w:szCs w:val="22"/>
        </w:rPr>
        <w:t xml:space="preserve">Encourager les autorités infranationales, les municipalités et autres autorités locales à utiliser les plateformes de déclaration et de suivi en ligne, telles que </w:t>
      </w:r>
      <w:proofErr w:type="spellStart"/>
      <w:r>
        <w:rPr>
          <w:iCs/>
          <w:kern w:val="22"/>
          <w:szCs w:val="22"/>
        </w:rPr>
        <w:t>RegionsWithNature</w:t>
      </w:r>
      <w:proofErr w:type="spellEnd"/>
      <w:r>
        <w:rPr>
          <w:iCs/>
          <w:kern w:val="22"/>
          <w:szCs w:val="22"/>
        </w:rPr>
        <w:t xml:space="preserve"> et </w:t>
      </w:r>
      <w:proofErr w:type="spellStart"/>
      <w:r>
        <w:rPr>
          <w:iCs/>
          <w:kern w:val="22"/>
          <w:szCs w:val="22"/>
        </w:rPr>
        <w:t>CitiesWithNature</w:t>
      </w:r>
      <w:proofErr w:type="spellEnd"/>
      <w:r>
        <w:rPr>
          <w:vertAlign w:val="superscript"/>
        </w:rPr>
        <w:footnoteReference w:id="17"/>
      </w:r>
      <w:r>
        <w:rPr>
          <w:iCs/>
          <w:kern w:val="22"/>
          <w:szCs w:val="22"/>
        </w:rPr>
        <w:t xml:space="preserve">, où les autorités infranationales peuvent rendre compte et suivre les progrès réalisés au regard de leurs engagements à contribuer à la mise en œuvre du </w:t>
      </w:r>
      <w:r w:rsidR="000071FE">
        <w:rPr>
          <w:iCs/>
          <w:kern w:val="22"/>
          <w:szCs w:val="22"/>
        </w:rPr>
        <w:t>c</w:t>
      </w:r>
      <w:r>
        <w:rPr>
          <w:iCs/>
          <w:kern w:val="22"/>
          <w:szCs w:val="22"/>
        </w:rPr>
        <w:t>adre mondial de la biodiversité pour l'après-2020 et des stratégies et plans d'action nationaux pour la biodiversité ;</w:t>
      </w:r>
    </w:p>
    <w:p w14:paraId="18CFFA87" w14:textId="5B2591BE" w:rsidR="00E36FD6" w:rsidRPr="001F147F" w:rsidRDefault="00E36FD6" w:rsidP="005E2D95">
      <w:pPr>
        <w:pStyle w:val="CharChar12"/>
        <w:numPr>
          <w:ilvl w:val="0"/>
          <w:numId w:val="31"/>
        </w:numPr>
        <w:suppressLineNumbers/>
        <w:tabs>
          <w:tab w:val="clear" w:pos="360"/>
        </w:tabs>
        <w:suppressAutoHyphens/>
        <w:adjustRightInd w:val="0"/>
        <w:snapToGrid w:val="0"/>
        <w:spacing w:before="120" w:after="120"/>
        <w:ind w:left="720"/>
        <w:rPr>
          <w:iCs/>
          <w:kern w:val="22"/>
          <w:szCs w:val="22"/>
        </w:rPr>
      </w:pPr>
      <w:r>
        <w:rPr>
          <w:iCs/>
          <w:kern w:val="22"/>
          <w:szCs w:val="22"/>
        </w:rPr>
        <w:t>Faire participer les autorités infranationales, les municipalités et les autres autorités locales au suivi et à l'examen réguliers des progrès réalisés par rapport aux objectifs spécifiés dans les stratégies et plans d’action nationaux pour la biodiversité ;</w:t>
      </w:r>
    </w:p>
    <w:p w14:paraId="7DCAC144" w14:textId="4B55125F" w:rsidR="00E36FD6" w:rsidRPr="001F147F" w:rsidRDefault="00E36FD6" w:rsidP="005E2D95">
      <w:pPr>
        <w:pStyle w:val="CharChar12"/>
        <w:numPr>
          <w:ilvl w:val="0"/>
          <w:numId w:val="31"/>
        </w:numPr>
        <w:suppressLineNumbers/>
        <w:tabs>
          <w:tab w:val="clear" w:pos="360"/>
        </w:tabs>
        <w:suppressAutoHyphens/>
        <w:adjustRightInd w:val="0"/>
        <w:snapToGrid w:val="0"/>
        <w:spacing w:before="120" w:after="120"/>
        <w:ind w:left="720"/>
        <w:rPr>
          <w:iCs/>
          <w:kern w:val="22"/>
          <w:szCs w:val="22"/>
        </w:rPr>
      </w:pPr>
      <w:r>
        <w:rPr>
          <w:iCs/>
          <w:kern w:val="22"/>
          <w:szCs w:val="22"/>
        </w:rPr>
        <w:t>Inclure les contributions faites par les autorités infranationales, les municipalités et autres autorités locales dans les rapports nationaux au titre de la Convention sur la diversité biologique ;</w:t>
      </w:r>
    </w:p>
    <w:p w14:paraId="66653EB1" w14:textId="5F214D4F" w:rsidR="00E36FD6" w:rsidRPr="001F147F" w:rsidRDefault="00C541AD" w:rsidP="00C541AD">
      <w:pPr>
        <w:pStyle w:val="CharChar12"/>
        <w:suppressLineNumbers/>
        <w:suppressAutoHyphens/>
        <w:adjustRightInd w:val="0"/>
        <w:snapToGrid w:val="0"/>
        <w:spacing w:before="120" w:after="120"/>
        <w:ind w:left="720"/>
        <w:rPr>
          <w:iCs/>
          <w:kern w:val="22"/>
          <w:szCs w:val="22"/>
        </w:rPr>
      </w:pPr>
      <w:r>
        <w:rPr>
          <w:iCs/>
          <w:kern w:val="22"/>
          <w:szCs w:val="22"/>
        </w:rPr>
        <w:t>[</w:t>
      </w:r>
      <w:proofErr w:type="gramStart"/>
      <w:r>
        <w:rPr>
          <w:iCs/>
          <w:kern w:val="22"/>
          <w:szCs w:val="22"/>
        </w:rPr>
        <w:t>d</w:t>
      </w:r>
      <w:proofErr w:type="gramEnd"/>
      <w:r>
        <w:rPr>
          <w:iCs/>
          <w:kern w:val="22"/>
          <w:szCs w:val="22"/>
        </w:rPr>
        <w:t>)</w:t>
      </w:r>
      <w:r>
        <w:rPr>
          <w:iCs/>
          <w:kern w:val="22"/>
          <w:szCs w:val="22"/>
        </w:rPr>
        <w:tab/>
      </w:r>
      <w:r w:rsidR="00E36FD6">
        <w:rPr>
          <w:iCs/>
          <w:kern w:val="22"/>
          <w:szCs w:val="22"/>
        </w:rPr>
        <w:t>Coordonner les informations des administrations infranationales, des municipalités et des autres autorités locales concernant leurs contributions à la réalisation des objectifs de la Conve</w:t>
      </w:r>
      <w:r w:rsidR="000071FE">
        <w:rPr>
          <w:iCs/>
          <w:kern w:val="22"/>
          <w:szCs w:val="22"/>
        </w:rPr>
        <w:t>ntion et de ses protocoles, du c</w:t>
      </w:r>
      <w:r w:rsidR="00E36FD6">
        <w:rPr>
          <w:iCs/>
          <w:kern w:val="22"/>
          <w:szCs w:val="22"/>
        </w:rPr>
        <w:t xml:space="preserve">adre mondial de la biodiversité pour l'après-2020 et de l'approche </w:t>
      </w:r>
      <w:r>
        <w:rPr>
          <w:iCs/>
          <w:kern w:val="22"/>
          <w:szCs w:val="22"/>
        </w:rPr>
        <w:t xml:space="preserve">stratégique </w:t>
      </w:r>
      <w:r w:rsidR="00E36FD6">
        <w:rPr>
          <w:iCs/>
          <w:kern w:val="22"/>
          <w:szCs w:val="22"/>
        </w:rPr>
        <w:t>à long terme pour l'intégration aux fins de l'examen à mi-parcours, comme indiqué dans l'approche</w:t>
      </w:r>
      <w:r>
        <w:rPr>
          <w:iCs/>
          <w:kern w:val="22"/>
          <w:szCs w:val="22"/>
        </w:rPr>
        <w:t xml:space="preserve"> stratégique</w:t>
      </w:r>
      <w:r w:rsidR="00E36FD6">
        <w:rPr>
          <w:iCs/>
          <w:kern w:val="22"/>
          <w:szCs w:val="22"/>
        </w:rPr>
        <w:t xml:space="preserve"> à long terme pour l'intégration.</w:t>
      </w:r>
      <w:r>
        <w:rPr>
          <w:iCs/>
          <w:kern w:val="22"/>
          <w:szCs w:val="22"/>
        </w:rPr>
        <w:t>]</w:t>
      </w:r>
    </w:p>
    <w:p w14:paraId="55230935" w14:textId="77777777" w:rsidR="00E36FD6" w:rsidRPr="001F147F" w:rsidRDefault="00E36FD6" w:rsidP="005E2D95">
      <w:pPr>
        <w:keepNext/>
        <w:suppressLineNumbers/>
        <w:tabs>
          <w:tab w:val="left" w:pos="1134"/>
        </w:tabs>
        <w:suppressAutoHyphens/>
        <w:adjustRightInd w:val="0"/>
        <w:snapToGrid w:val="0"/>
        <w:ind w:left="720"/>
        <w:jc w:val="center"/>
        <w:outlineLvl w:val="1"/>
        <w:rPr>
          <w:b/>
          <w:bCs/>
          <w:kern w:val="22"/>
          <w:szCs w:val="22"/>
        </w:rPr>
      </w:pPr>
      <w:r>
        <w:rPr>
          <w:b/>
          <w:bCs/>
          <w:kern w:val="22"/>
          <w:szCs w:val="22"/>
        </w:rPr>
        <w:t>D.</w:t>
      </w:r>
      <w:r>
        <w:rPr>
          <w:b/>
          <w:bCs/>
          <w:kern w:val="22"/>
          <w:szCs w:val="22"/>
        </w:rPr>
        <w:tab/>
        <w:t>Mise en œuvre du Plan d'action</w:t>
      </w:r>
    </w:p>
    <w:p w14:paraId="3C25083A" w14:textId="24834500" w:rsidR="00E36FD6" w:rsidRPr="001F147F" w:rsidRDefault="00E36FD6" w:rsidP="005E2D95">
      <w:pPr>
        <w:numPr>
          <w:ilvl w:val="0"/>
          <w:numId w:val="2"/>
        </w:numPr>
        <w:suppressLineNumbers/>
        <w:tabs>
          <w:tab w:val="clear" w:pos="360"/>
        </w:tabs>
        <w:suppressAutoHyphens/>
        <w:adjustRightInd w:val="0"/>
        <w:snapToGrid w:val="0"/>
        <w:spacing w:before="120" w:after="120"/>
        <w:ind w:left="720"/>
        <w:rPr>
          <w:kern w:val="22"/>
          <w:szCs w:val="22"/>
        </w:rPr>
      </w:pPr>
      <w:r>
        <w:rPr>
          <w:kern w:val="22"/>
          <w:szCs w:val="22"/>
        </w:rPr>
        <w:t xml:space="preserve">Les Parties et les autres gouvernements sont invités à mettre en œuvre le Plan d'action, selon qu'il convient, avec le soutien du Secrétariat de la Convention et d'autres partenaires clés qui réunissent les autorités infranationales, les municipalités et les autres autorités locales, tels que l'ICLEI - Local </w:t>
      </w:r>
      <w:proofErr w:type="spellStart"/>
      <w:r>
        <w:rPr>
          <w:kern w:val="22"/>
          <w:szCs w:val="22"/>
        </w:rPr>
        <w:t>Governments</w:t>
      </w:r>
      <w:proofErr w:type="spellEnd"/>
      <w:r>
        <w:rPr>
          <w:kern w:val="22"/>
          <w:szCs w:val="22"/>
        </w:rPr>
        <w:t xml:space="preserve"> for </w:t>
      </w:r>
      <w:proofErr w:type="spellStart"/>
      <w:r>
        <w:rPr>
          <w:kern w:val="22"/>
          <w:szCs w:val="22"/>
        </w:rPr>
        <w:t>Sustainability</w:t>
      </w:r>
      <w:proofErr w:type="spellEnd"/>
      <w:r>
        <w:rPr>
          <w:kern w:val="22"/>
          <w:szCs w:val="22"/>
        </w:rPr>
        <w:t xml:space="preserve">, Regions4 </w:t>
      </w:r>
      <w:proofErr w:type="spellStart"/>
      <w:r>
        <w:rPr>
          <w:kern w:val="22"/>
          <w:szCs w:val="22"/>
        </w:rPr>
        <w:t>Sustainable</w:t>
      </w:r>
      <w:proofErr w:type="spellEnd"/>
      <w:r>
        <w:rPr>
          <w:kern w:val="22"/>
          <w:szCs w:val="22"/>
        </w:rPr>
        <w:t xml:space="preserve"> </w:t>
      </w:r>
      <w:proofErr w:type="spellStart"/>
      <w:r>
        <w:rPr>
          <w:kern w:val="22"/>
          <w:szCs w:val="22"/>
        </w:rPr>
        <w:t>Development</w:t>
      </w:r>
      <w:proofErr w:type="spellEnd"/>
      <w:r>
        <w:rPr>
          <w:kern w:val="22"/>
          <w:szCs w:val="22"/>
        </w:rPr>
        <w:t xml:space="preserve"> (Régions4), le Group of Leading </w:t>
      </w:r>
      <w:proofErr w:type="spellStart"/>
      <w:r>
        <w:rPr>
          <w:kern w:val="22"/>
          <w:szCs w:val="22"/>
        </w:rPr>
        <w:t>Subnational</w:t>
      </w:r>
      <w:proofErr w:type="spellEnd"/>
      <w:r>
        <w:rPr>
          <w:kern w:val="22"/>
          <w:szCs w:val="22"/>
        </w:rPr>
        <w:t xml:space="preserve"> </w:t>
      </w:r>
      <w:proofErr w:type="spellStart"/>
      <w:r>
        <w:rPr>
          <w:kern w:val="22"/>
          <w:szCs w:val="22"/>
        </w:rPr>
        <w:t>Governments</w:t>
      </w:r>
      <w:proofErr w:type="spellEnd"/>
      <w:r>
        <w:rPr>
          <w:kern w:val="22"/>
          <w:szCs w:val="22"/>
        </w:rPr>
        <w:t xml:space="preserve"> </w:t>
      </w:r>
      <w:proofErr w:type="spellStart"/>
      <w:r>
        <w:rPr>
          <w:kern w:val="22"/>
          <w:szCs w:val="22"/>
        </w:rPr>
        <w:t>towards</w:t>
      </w:r>
      <w:proofErr w:type="spellEnd"/>
      <w:r>
        <w:rPr>
          <w:kern w:val="22"/>
          <w:szCs w:val="22"/>
        </w:rPr>
        <w:t xml:space="preserve"> Aichi </w:t>
      </w:r>
      <w:proofErr w:type="spellStart"/>
      <w:r>
        <w:rPr>
          <w:kern w:val="22"/>
          <w:szCs w:val="22"/>
        </w:rPr>
        <w:t>Biodiversity</w:t>
      </w:r>
      <w:proofErr w:type="spellEnd"/>
      <w:r>
        <w:rPr>
          <w:kern w:val="22"/>
          <w:szCs w:val="22"/>
        </w:rPr>
        <w:t xml:space="preserve"> </w:t>
      </w:r>
      <w:proofErr w:type="spellStart"/>
      <w:r>
        <w:rPr>
          <w:kern w:val="22"/>
          <w:szCs w:val="22"/>
        </w:rPr>
        <w:t>Targets</w:t>
      </w:r>
      <w:proofErr w:type="spellEnd"/>
      <w:r>
        <w:rPr>
          <w:kern w:val="22"/>
          <w:szCs w:val="22"/>
        </w:rPr>
        <w:t>, et le Comité européen des régions, en tenant compte des priorités, des capacités et des besoins nationaux.</w:t>
      </w:r>
    </w:p>
    <w:p w14:paraId="73B967F8" w14:textId="77777777" w:rsidR="00E36FD6" w:rsidRPr="001F147F" w:rsidRDefault="00E36FD6" w:rsidP="005E2D95">
      <w:pPr>
        <w:numPr>
          <w:ilvl w:val="0"/>
          <w:numId w:val="2"/>
        </w:numPr>
        <w:suppressLineNumbers/>
        <w:tabs>
          <w:tab w:val="clear" w:pos="360"/>
        </w:tabs>
        <w:suppressAutoHyphens/>
        <w:adjustRightInd w:val="0"/>
        <w:snapToGrid w:val="0"/>
        <w:spacing w:before="120" w:after="120"/>
        <w:ind w:left="720"/>
        <w:rPr>
          <w:kern w:val="22"/>
          <w:szCs w:val="22"/>
        </w:rPr>
      </w:pPr>
      <w:r>
        <w:rPr>
          <w:kern w:val="22"/>
          <w:szCs w:val="22"/>
        </w:rPr>
        <w:t xml:space="preserve">La mise en œuvre du Plan d'action sera également soutenue par le Partenariat mondial des autorités infranationales et locales en faveur de la biodiversité, une plateforme de coopération informelle composée d'organismes et de programmes des Nations Unies, de réseaux et d'institutions </w:t>
      </w:r>
      <w:r>
        <w:rPr>
          <w:kern w:val="22"/>
          <w:szCs w:val="22"/>
        </w:rPr>
        <w:lastRenderedPageBreak/>
        <w:t>universitaires, et de réseaux d'autorités infranationales, de municipalités et de collectivités locales, et facilitée par le Secrétariat de la Convention sur la diversité biologique.</w:t>
      </w:r>
    </w:p>
    <w:p w14:paraId="2AD67933" w14:textId="2209E73E" w:rsidR="00E36FD6" w:rsidRPr="001F147F" w:rsidRDefault="00E36FD6" w:rsidP="005E2D95">
      <w:pPr>
        <w:numPr>
          <w:ilvl w:val="0"/>
          <w:numId w:val="2"/>
        </w:numPr>
        <w:suppressLineNumbers/>
        <w:tabs>
          <w:tab w:val="clear" w:pos="360"/>
        </w:tabs>
        <w:suppressAutoHyphens/>
        <w:adjustRightInd w:val="0"/>
        <w:snapToGrid w:val="0"/>
        <w:spacing w:before="120" w:after="120"/>
        <w:ind w:left="720"/>
        <w:rPr>
          <w:kern w:val="22"/>
          <w:szCs w:val="22"/>
        </w:rPr>
      </w:pPr>
      <w:bookmarkStart w:id="2" w:name="_Ref73136863"/>
      <w:r>
        <w:rPr>
          <w:kern w:val="22"/>
          <w:szCs w:val="22"/>
        </w:rPr>
        <w:t>Le Comité consultatif sur les autorités locales et la biodiversité</w:t>
      </w:r>
      <w:r>
        <w:rPr>
          <w:rStyle w:val="FootnoteReference"/>
          <w:kern w:val="22"/>
          <w:szCs w:val="22"/>
        </w:rPr>
        <w:footnoteReference w:id="18"/>
      </w:r>
      <w:r>
        <w:rPr>
          <w:kern w:val="22"/>
          <w:szCs w:val="22"/>
        </w:rPr>
        <w:t xml:space="preserve"> le Comité consultatif sur les autorités infranationales et la biodiversité</w:t>
      </w:r>
      <w:r>
        <w:rPr>
          <w:rStyle w:val="FootnoteReference"/>
          <w:kern w:val="22"/>
          <w:szCs w:val="22"/>
        </w:rPr>
        <w:footnoteReference w:id="19"/>
      </w:r>
      <w:r>
        <w:rPr>
          <w:kern w:val="22"/>
          <w:szCs w:val="22"/>
        </w:rPr>
        <w:t xml:space="preserve"> apporteront leur contribution et leur soutien au Plan d'action en se plaçant du point de vue des municipalités et des autorités locales et infranationales, en reconnaissant leur rôle essentiel, complémentaire et distinct dans la mise en œuvre de la Convention. Les deux comités, reconnus dans le Plan d'action approuvé par la décision X/22, sont des plateformes ouvertes et libres dont l'objectif est de coordonner la contribution et la participation de ces niveaux de pouvoir dans les processus de la Convention sur la diversité biologique.</w:t>
      </w:r>
      <w:bookmarkEnd w:id="2"/>
    </w:p>
    <w:p w14:paraId="00F466C8" w14:textId="77777777" w:rsidR="00E36FD6" w:rsidRPr="001F147F" w:rsidRDefault="00E36FD6" w:rsidP="005E2D95">
      <w:pPr>
        <w:numPr>
          <w:ilvl w:val="0"/>
          <w:numId w:val="2"/>
        </w:numPr>
        <w:suppressLineNumbers/>
        <w:tabs>
          <w:tab w:val="clear" w:pos="360"/>
        </w:tabs>
        <w:suppressAutoHyphens/>
        <w:adjustRightInd w:val="0"/>
        <w:snapToGrid w:val="0"/>
        <w:spacing w:before="120" w:after="120"/>
        <w:ind w:left="720"/>
        <w:rPr>
          <w:kern w:val="22"/>
          <w:szCs w:val="22"/>
        </w:rPr>
      </w:pPr>
      <w:r>
        <w:rPr>
          <w:kern w:val="22"/>
          <w:szCs w:val="22"/>
        </w:rPr>
        <w:t>Le Plan d'action reconnaît la nécessité de maintenir une certaine souplesse dans sa mise en œuvre pour tenir compte de l'évolution des priorités nationales, infranationales et locales, ainsi que des décisions futures de la Conférence des Parties.</w:t>
      </w:r>
    </w:p>
    <w:p w14:paraId="0E221995" w14:textId="77777777" w:rsidR="00E36FD6" w:rsidRPr="005E2D95" w:rsidRDefault="00E36FD6" w:rsidP="005E2D95">
      <w:pPr>
        <w:pStyle w:val="Para1"/>
        <w:numPr>
          <w:ilvl w:val="0"/>
          <w:numId w:val="0"/>
        </w:numPr>
        <w:spacing w:before="0" w:after="0"/>
        <w:rPr>
          <w:szCs w:val="22"/>
        </w:rPr>
      </w:pPr>
    </w:p>
    <w:p w14:paraId="1D545B2D" w14:textId="712524F1" w:rsidR="00FA60F9" w:rsidRPr="005E2D95" w:rsidRDefault="00AB02F9" w:rsidP="005E2D95">
      <w:pPr>
        <w:pStyle w:val="Para1"/>
        <w:numPr>
          <w:ilvl w:val="0"/>
          <w:numId w:val="0"/>
        </w:numPr>
        <w:spacing w:before="0" w:after="0"/>
        <w:ind w:firstLine="709"/>
        <w:jc w:val="center"/>
        <w:rPr>
          <w:szCs w:val="22"/>
        </w:rPr>
      </w:pPr>
      <w:r>
        <w:rPr>
          <w:szCs w:val="22"/>
        </w:rPr>
        <w:t>__________</w:t>
      </w:r>
    </w:p>
    <w:p w14:paraId="3093D971" w14:textId="77777777" w:rsidR="00B3369F" w:rsidRPr="005E2D95" w:rsidRDefault="00B3369F">
      <w:pPr>
        <w:rPr>
          <w:szCs w:val="22"/>
        </w:rPr>
      </w:pPr>
    </w:p>
    <w:sectPr w:rsidR="00B3369F" w:rsidRPr="005E2D95" w:rsidSect="007E1602">
      <w:headerReference w:type="even" r:id="rId18"/>
      <w:headerReference w:type="default" r:id="rId19"/>
      <w:pgSz w:w="12240" w:h="15840"/>
      <w:pgMar w:top="567" w:right="1389" w:bottom="1134" w:left="138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85834F" w14:textId="77777777" w:rsidR="00B36A04" w:rsidRDefault="00B36A04" w:rsidP="00CF1848">
      <w:r>
        <w:separator/>
      </w:r>
    </w:p>
  </w:endnote>
  <w:endnote w:type="continuationSeparator" w:id="0">
    <w:p w14:paraId="2B0181A4" w14:textId="77777777" w:rsidR="00B36A04" w:rsidRDefault="00B36A04" w:rsidP="00CF1848">
      <w:r>
        <w:continuationSeparator/>
      </w:r>
    </w:p>
  </w:endnote>
  <w:endnote w:type="continuationNotice" w:id="1">
    <w:p w14:paraId="22A29B53" w14:textId="77777777" w:rsidR="00B36A04" w:rsidRDefault="00B36A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altName w:val="Univers"/>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3DBCB8" w14:textId="77777777" w:rsidR="00B36A04" w:rsidRDefault="00B36A04" w:rsidP="00CF1848">
      <w:r>
        <w:separator/>
      </w:r>
    </w:p>
  </w:footnote>
  <w:footnote w:type="continuationSeparator" w:id="0">
    <w:p w14:paraId="0A86D0AF" w14:textId="77777777" w:rsidR="00B36A04" w:rsidRDefault="00B36A04" w:rsidP="00CF1848">
      <w:r>
        <w:continuationSeparator/>
      </w:r>
    </w:p>
  </w:footnote>
  <w:footnote w:type="continuationNotice" w:id="1">
    <w:p w14:paraId="3AB60E4D" w14:textId="77777777" w:rsidR="00B36A04" w:rsidRDefault="00B36A04"/>
  </w:footnote>
  <w:footnote w:id="2">
    <w:p w14:paraId="3B17C48C" w14:textId="79BCF88B" w:rsidR="00E36FD6" w:rsidRPr="00615B6C" w:rsidRDefault="00E36FD6" w:rsidP="005E2D95">
      <w:pPr>
        <w:pStyle w:val="FootnoteText"/>
        <w:ind w:firstLine="0"/>
        <w:jc w:val="left"/>
        <w:rPr>
          <w:kern w:val="18"/>
          <w:szCs w:val="18"/>
        </w:rPr>
      </w:pPr>
      <w:r>
        <w:rPr>
          <w:rStyle w:val="FootnoteReference"/>
          <w:kern w:val="18"/>
          <w:sz w:val="18"/>
          <w:szCs w:val="18"/>
        </w:rPr>
        <w:footnoteRef/>
      </w:r>
      <w:r>
        <w:rPr>
          <w:kern w:val="18"/>
          <w:szCs w:val="18"/>
        </w:rPr>
        <w:t xml:space="preserve"> </w:t>
      </w:r>
      <w:r>
        <w:rPr>
          <w:bCs/>
          <w:kern w:val="18"/>
          <w:szCs w:val="18"/>
        </w:rPr>
        <w:t>La distinction entre autorités locales et infranationales est proposée dans le Plan d'action approuvé dans la décision X/22 – « Pour les besoins du présent document, le terme « autorités locales » comprend tous les niveaux de gouvernement en dessous du niveau sous-national, national ou fédéral (préfectures, districts, comptés, municipalités, villes, localités, communes, etc. », tandis que les « autorités infranationales » (États, provinces, domaines, territoires, autorités régionales, etc.) ne s'appliquent qu'au premier niveau immédiat de gouvernement en dessous du niveau national ».</w:t>
      </w:r>
    </w:p>
  </w:footnote>
  <w:footnote w:id="3">
    <w:p w14:paraId="525D168D" w14:textId="35C86F87" w:rsidR="000E40A1" w:rsidRPr="005E2D95" w:rsidRDefault="000E40A1" w:rsidP="005E2D95">
      <w:pPr>
        <w:pStyle w:val="FootnoteText"/>
        <w:ind w:firstLine="0"/>
        <w:jc w:val="left"/>
        <w:rPr>
          <w:kern w:val="18"/>
          <w:szCs w:val="18"/>
        </w:rPr>
      </w:pPr>
      <w:r>
        <w:rPr>
          <w:rStyle w:val="FootnoteReference"/>
          <w:kern w:val="18"/>
          <w:sz w:val="18"/>
          <w:szCs w:val="18"/>
        </w:rPr>
        <w:footnoteRef/>
      </w:r>
      <w:r>
        <w:rPr>
          <w:kern w:val="18"/>
          <w:szCs w:val="18"/>
        </w:rPr>
        <w:t xml:space="preserve"> Voir CBD/SBI/3/19. Voir également CBD/SBI/3/INF/25 et 26.</w:t>
      </w:r>
    </w:p>
  </w:footnote>
  <w:footnote w:id="4">
    <w:p w14:paraId="432FFA4E" w14:textId="4E3BB800" w:rsidR="0025084E" w:rsidRPr="005E2D95" w:rsidRDefault="0025084E" w:rsidP="005E2D95">
      <w:pPr>
        <w:pStyle w:val="FootnoteText"/>
        <w:ind w:firstLine="0"/>
        <w:jc w:val="left"/>
        <w:rPr>
          <w:kern w:val="18"/>
          <w:szCs w:val="18"/>
        </w:rPr>
      </w:pPr>
      <w:r>
        <w:rPr>
          <w:rStyle w:val="FootnoteReference"/>
          <w:kern w:val="18"/>
          <w:sz w:val="18"/>
          <w:szCs w:val="18"/>
        </w:rPr>
        <w:footnoteRef/>
      </w:r>
      <w:r>
        <w:rPr>
          <w:kern w:val="18"/>
          <w:szCs w:val="18"/>
        </w:rPr>
        <w:t xml:space="preserve"> Voir CBD/WG2020/1/5.</w:t>
      </w:r>
    </w:p>
  </w:footnote>
  <w:footnote w:id="5">
    <w:p w14:paraId="3989F46A" w14:textId="1941E78B" w:rsidR="006055D1" w:rsidRPr="005E2D95" w:rsidRDefault="006055D1" w:rsidP="005E2D95">
      <w:pPr>
        <w:pStyle w:val="FootnoteText"/>
        <w:ind w:firstLine="0"/>
        <w:jc w:val="left"/>
        <w:rPr>
          <w:kern w:val="18"/>
          <w:szCs w:val="18"/>
        </w:rPr>
      </w:pPr>
      <w:r>
        <w:rPr>
          <w:rStyle w:val="FootnoteReference"/>
          <w:kern w:val="18"/>
          <w:sz w:val="18"/>
          <w:szCs w:val="18"/>
        </w:rPr>
        <w:footnoteRef/>
      </w:r>
      <w:r>
        <w:rPr>
          <w:kern w:val="18"/>
          <w:szCs w:val="18"/>
        </w:rPr>
        <w:t xml:space="preserve"> </w:t>
      </w:r>
      <w:r>
        <w:rPr>
          <w:iCs/>
          <w:kern w:val="18"/>
          <w:szCs w:val="18"/>
        </w:rPr>
        <w:t xml:space="preserve">Décision </w:t>
      </w:r>
      <w:r w:rsidR="00D3348D">
        <w:rPr>
          <w:iCs/>
          <w:kern w:val="18"/>
          <w:szCs w:val="18"/>
        </w:rPr>
        <w:t>X/22</w:t>
      </w:r>
      <w:r>
        <w:rPr>
          <w:rStyle w:val="Hyperlink"/>
          <w:kern w:val="18"/>
          <w:szCs w:val="18"/>
        </w:rPr>
        <w:t>.</w:t>
      </w:r>
    </w:p>
  </w:footnote>
  <w:footnote w:id="6">
    <w:p w14:paraId="317BBA40" w14:textId="46D49ACB" w:rsidR="00FB3251" w:rsidRPr="00867CF3" w:rsidRDefault="00FB3251" w:rsidP="005E2D95">
      <w:pPr>
        <w:pStyle w:val="FootnoteText"/>
        <w:ind w:firstLine="0"/>
        <w:jc w:val="left"/>
        <w:rPr>
          <w:kern w:val="18"/>
          <w:szCs w:val="18"/>
        </w:rPr>
      </w:pPr>
      <w:r>
        <w:rPr>
          <w:rStyle w:val="FootnoteReference"/>
          <w:kern w:val="18"/>
          <w:sz w:val="18"/>
          <w:szCs w:val="18"/>
        </w:rPr>
        <w:footnoteRef/>
      </w:r>
      <w:r>
        <w:rPr>
          <w:kern w:val="18"/>
          <w:szCs w:val="18"/>
        </w:rPr>
        <w:t xml:space="preserve"> CBD/SBI/3/19.</w:t>
      </w:r>
    </w:p>
  </w:footnote>
  <w:footnote w:id="7">
    <w:p w14:paraId="7837FCBA" w14:textId="158C4C75" w:rsidR="005427FE" w:rsidRPr="00882FEB" w:rsidRDefault="005427FE" w:rsidP="005427FE">
      <w:pPr>
        <w:pStyle w:val="FootnoteText"/>
        <w:ind w:firstLine="0"/>
      </w:pPr>
      <w:r>
        <w:rPr>
          <w:rStyle w:val="FootnoteReference"/>
        </w:rPr>
        <w:footnoteRef/>
      </w:r>
      <w:r w:rsidRPr="00882FEB">
        <w:t xml:space="preserve"> Décision X/22</w:t>
      </w:r>
    </w:p>
  </w:footnote>
  <w:footnote w:id="8">
    <w:p w14:paraId="19DC0A0D" w14:textId="1891EC8B" w:rsidR="00E36FD6" w:rsidRPr="00882FEB" w:rsidRDefault="00E36FD6" w:rsidP="005E2D95">
      <w:pPr>
        <w:pStyle w:val="FootnoteText"/>
        <w:ind w:firstLine="0"/>
        <w:jc w:val="left"/>
        <w:rPr>
          <w:kern w:val="18"/>
          <w:szCs w:val="18"/>
        </w:rPr>
      </w:pPr>
      <w:r>
        <w:rPr>
          <w:rStyle w:val="FootnoteReference"/>
          <w:kern w:val="18"/>
          <w:sz w:val="18"/>
          <w:szCs w:val="18"/>
        </w:rPr>
        <w:footnoteRef/>
      </w:r>
      <w:r w:rsidRPr="00882FEB">
        <w:rPr>
          <w:kern w:val="18"/>
          <w:szCs w:val="18"/>
        </w:rPr>
        <w:t xml:space="preserve"> </w:t>
      </w:r>
      <w:r w:rsidRPr="00882FEB">
        <w:t>CBD/SBI/3/INF/25.</w:t>
      </w:r>
      <w:hyperlink w:history="1"/>
    </w:p>
  </w:footnote>
  <w:footnote w:id="9">
    <w:p w14:paraId="297A55D6" w14:textId="71F87072" w:rsidR="00E36FD6" w:rsidRPr="00F800F5" w:rsidRDefault="00E36FD6" w:rsidP="005E2D95">
      <w:pPr>
        <w:pStyle w:val="FootnoteText"/>
        <w:ind w:firstLine="0"/>
        <w:jc w:val="left"/>
        <w:rPr>
          <w:kern w:val="18"/>
          <w:szCs w:val="18"/>
        </w:rPr>
      </w:pPr>
      <w:r>
        <w:rPr>
          <w:rStyle w:val="FootnoteReference"/>
          <w:kern w:val="18"/>
          <w:sz w:val="18"/>
          <w:szCs w:val="18"/>
        </w:rPr>
        <w:footnoteRef/>
      </w:r>
      <w:r>
        <w:rPr>
          <w:kern w:val="18"/>
          <w:szCs w:val="18"/>
        </w:rPr>
        <w:t xml:space="preserve"> En fonction de l'accord sur l'approche</w:t>
      </w:r>
      <w:r w:rsidR="001567F7">
        <w:rPr>
          <w:kern w:val="18"/>
          <w:szCs w:val="18"/>
        </w:rPr>
        <w:t xml:space="preserve"> stratégique</w:t>
      </w:r>
      <w:r>
        <w:rPr>
          <w:kern w:val="18"/>
          <w:szCs w:val="18"/>
        </w:rPr>
        <w:t xml:space="preserve"> à long terme pour l'intégration à la troisième réunion de l'Organe subsidiaire chargé de l'application.</w:t>
      </w:r>
    </w:p>
  </w:footnote>
  <w:footnote w:id="10">
    <w:p w14:paraId="491CC6E5" w14:textId="41ABB54C" w:rsidR="00E36992" w:rsidRDefault="00E36992" w:rsidP="00E36992">
      <w:pPr>
        <w:pStyle w:val="FootnoteText"/>
        <w:ind w:firstLine="0"/>
      </w:pPr>
      <w:r>
        <w:rPr>
          <w:rStyle w:val="FootnoteReference"/>
        </w:rPr>
        <w:footnoteRef/>
      </w:r>
      <w:r>
        <w:t xml:space="preserve"> </w:t>
      </w:r>
      <w:r w:rsidR="000110DD" w:rsidRPr="0062707A">
        <w:t>A/RES/71/256</w:t>
      </w:r>
      <w:r w:rsidR="000110DD">
        <w:t>.</w:t>
      </w:r>
      <w:bookmarkStart w:id="1" w:name="_GoBack"/>
      <w:bookmarkEnd w:id="1"/>
    </w:p>
  </w:footnote>
  <w:footnote w:id="11">
    <w:p w14:paraId="553BC6A9" w14:textId="312C537C" w:rsidR="00E36FD6" w:rsidRPr="00F800F5" w:rsidRDefault="00E36FD6" w:rsidP="005E2D95">
      <w:pPr>
        <w:pStyle w:val="FootnoteText"/>
        <w:ind w:firstLine="0"/>
        <w:jc w:val="left"/>
        <w:rPr>
          <w:kern w:val="18"/>
          <w:szCs w:val="18"/>
        </w:rPr>
      </w:pPr>
      <w:r>
        <w:rPr>
          <w:rStyle w:val="FootnoteReference"/>
          <w:kern w:val="18"/>
          <w:sz w:val="18"/>
          <w:szCs w:val="18"/>
        </w:rPr>
        <w:footnoteRef/>
      </w:r>
      <w:r>
        <w:rPr>
          <w:kern w:val="18"/>
          <w:szCs w:val="18"/>
        </w:rPr>
        <w:t xml:space="preserve"> </w:t>
      </w:r>
      <w:r>
        <w:t>Le principe 2 de l'approche par écosystème, adoptée dans la décision V/6, est que « La gestion devrait être décentralisée au niveau approprié le plus bas ».</w:t>
      </w:r>
    </w:p>
  </w:footnote>
  <w:footnote w:id="12">
    <w:p w14:paraId="2F72D96A" w14:textId="5C2FD828" w:rsidR="00E32E3B" w:rsidRPr="005E2D95" w:rsidRDefault="00E32E3B" w:rsidP="005E2D95">
      <w:pPr>
        <w:pStyle w:val="FootnoteText"/>
        <w:ind w:firstLine="0"/>
        <w:jc w:val="left"/>
        <w:rPr>
          <w:kern w:val="18"/>
          <w:szCs w:val="18"/>
        </w:rPr>
      </w:pPr>
      <w:r>
        <w:rPr>
          <w:rStyle w:val="FootnoteReference"/>
          <w:kern w:val="18"/>
          <w:sz w:val="18"/>
          <w:szCs w:val="18"/>
        </w:rPr>
        <w:footnoteRef/>
      </w:r>
      <w:r>
        <w:rPr>
          <w:kern w:val="18"/>
          <w:szCs w:val="18"/>
        </w:rPr>
        <w:t xml:space="preserve"> Ce paragraphe, qui traite de l'appui du Fonds pour l'environnement mondial, sera finalement reflété dans une décision sur le mécanisme de financement qui consolidera les orientations de la Conférence des Parties au Fonds pour l'environnement mondial.</w:t>
      </w:r>
    </w:p>
  </w:footnote>
  <w:footnote w:id="13">
    <w:p w14:paraId="71412C04" w14:textId="77777777" w:rsidR="00E36FD6" w:rsidRPr="00F800F5" w:rsidRDefault="00E36FD6" w:rsidP="005E2D95">
      <w:pPr>
        <w:pStyle w:val="FootnoteText"/>
        <w:ind w:firstLine="0"/>
        <w:jc w:val="left"/>
        <w:rPr>
          <w:kern w:val="18"/>
          <w:szCs w:val="18"/>
        </w:rPr>
      </w:pPr>
      <w:r>
        <w:rPr>
          <w:rStyle w:val="FootnoteReference"/>
          <w:kern w:val="18"/>
          <w:sz w:val="18"/>
          <w:szCs w:val="18"/>
        </w:rPr>
        <w:footnoteRef/>
      </w:r>
      <w:r>
        <w:rPr>
          <w:kern w:val="18"/>
          <w:szCs w:val="18"/>
        </w:rPr>
        <w:t xml:space="preserve"> Ce plan d'action actualisé est basé sur le Plan d'action adopté dans la décision X/22.</w:t>
      </w:r>
    </w:p>
  </w:footnote>
  <w:footnote w:id="14">
    <w:p w14:paraId="6C42817F" w14:textId="0C07A98F" w:rsidR="00E36FD6" w:rsidRPr="00F800F5" w:rsidRDefault="00E36FD6" w:rsidP="005E2D95">
      <w:pPr>
        <w:pStyle w:val="FootnoteText"/>
        <w:ind w:firstLine="0"/>
        <w:jc w:val="left"/>
        <w:rPr>
          <w:kern w:val="18"/>
          <w:szCs w:val="18"/>
        </w:rPr>
      </w:pPr>
      <w:r>
        <w:rPr>
          <w:rStyle w:val="FootnoteReference"/>
          <w:kern w:val="18"/>
          <w:sz w:val="18"/>
          <w:szCs w:val="18"/>
        </w:rPr>
        <w:footnoteRef/>
      </w:r>
      <w:r>
        <w:rPr>
          <w:kern w:val="18"/>
          <w:szCs w:val="18"/>
        </w:rPr>
        <w:t xml:space="preserve"> En fonction de l'accord sur l'approche </w:t>
      </w:r>
      <w:r w:rsidR="005F0A15">
        <w:rPr>
          <w:kern w:val="18"/>
          <w:szCs w:val="18"/>
        </w:rPr>
        <w:t xml:space="preserve">stratégique </w:t>
      </w:r>
      <w:r>
        <w:rPr>
          <w:kern w:val="18"/>
          <w:szCs w:val="18"/>
        </w:rPr>
        <w:t>à long terme pour l'intégration à la troisième réunion de l'Organe subsidiaire chargé de l'application.</w:t>
      </w:r>
    </w:p>
  </w:footnote>
  <w:footnote w:id="15">
    <w:p w14:paraId="4E6EE2A4" w14:textId="1AB86AEB" w:rsidR="00E36FD6" w:rsidRPr="00F800F5" w:rsidRDefault="00E36FD6" w:rsidP="005E2D95">
      <w:pPr>
        <w:pStyle w:val="FootnoteText"/>
        <w:ind w:firstLine="0"/>
        <w:jc w:val="left"/>
        <w:rPr>
          <w:kern w:val="18"/>
          <w:szCs w:val="18"/>
        </w:rPr>
      </w:pPr>
      <w:r>
        <w:rPr>
          <w:rStyle w:val="FootnoteReference"/>
          <w:kern w:val="18"/>
          <w:sz w:val="18"/>
          <w:szCs w:val="18"/>
        </w:rPr>
        <w:footnoteRef/>
      </w:r>
      <w:r>
        <w:rPr>
          <w:kern w:val="18"/>
          <w:szCs w:val="18"/>
        </w:rPr>
        <w:t xml:space="preserve"> Mentionnés au paragraphe 7 du Plan d'action adopté dans la décision X/22, et au paragraphe </w:t>
      </w:r>
      <w:r>
        <w:rPr>
          <w:rStyle w:val="FootnoteReference"/>
          <w:kern w:val="18"/>
          <w:sz w:val="18"/>
          <w:szCs w:val="18"/>
        </w:rPr>
        <w:fldChar w:fldCharType="begin"/>
      </w:r>
      <w:r>
        <w:rPr>
          <w:kern w:val="18"/>
          <w:szCs w:val="18"/>
          <w:cs/>
        </w:rPr>
        <w:instrText xml:space="preserve"> REF _Ref73136863 \r \h  \* MERGEFORMAT </w:instrText>
      </w:r>
      <w:r>
        <w:rPr>
          <w:rStyle w:val="FootnoteReference"/>
          <w:kern w:val="18"/>
          <w:sz w:val="18"/>
          <w:szCs w:val="18"/>
        </w:rPr>
      </w:r>
      <w:r>
        <w:fldChar w:fldCharType="separate"/>
      </w:r>
      <w:r>
        <w:rPr>
          <w:kern w:val="18"/>
          <w:szCs w:val="18"/>
          <w:cs/>
        </w:rPr>
        <w:t>‎6</w:t>
      </w:r>
      <w:r>
        <w:fldChar w:fldCharType="end"/>
      </w:r>
      <w:r>
        <w:rPr>
          <w:kern w:val="18"/>
          <w:szCs w:val="18"/>
        </w:rPr>
        <w:t xml:space="preserve"> du présent Plan d'action.</w:t>
      </w:r>
    </w:p>
  </w:footnote>
  <w:footnote w:id="16">
    <w:p w14:paraId="0EF99103" w14:textId="77777777" w:rsidR="00E36FD6" w:rsidRPr="00F800F5" w:rsidRDefault="00E36FD6" w:rsidP="005E2D95">
      <w:pPr>
        <w:pStyle w:val="FootnoteText"/>
        <w:ind w:firstLine="0"/>
        <w:jc w:val="left"/>
        <w:rPr>
          <w:kern w:val="18"/>
          <w:szCs w:val="18"/>
        </w:rPr>
      </w:pPr>
      <w:r>
        <w:rPr>
          <w:rStyle w:val="FootnoteReference"/>
          <w:kern w:val="18"/>
          <w:sz w:val="18"/>
          <w:szCs w:val="18"/>
        </w:rPr>
        <w:footnoteRef/>
      </w:r>
      <w:r>
        <w:rPr>
          <w:kern w:val="18"/>
          <w:szCs w:val="18"/>
        </w:rPr>
        <w:t xml:space="preserve"> Le principe 2 de l'approche par écosystème, adoptée dans la décision V/6, est que « la gestion doit être décentralisée au niveau approprié le plus bas. »</w:t>
      </w:r>
    </w:p>
  </w:footnote>
  <w:footnote w:id="17">
    <w:p w14:paraId="173CD4FE" w14:textId="77777777" w:rsidR="00E36FD6" w:rsidRPr="00F800F5" w:rsidRDefault="00E36FD6" w:rsidP="005E2D95">
      <w:pPr>
        <w:pStyle w:val="FootnoteText"/>
        <w:ind w:firstLine="0"/>
        <w:jc w:val="left"/>
        <w:rPr>
          <w:kern w:val="18"/>
          <w:szCs w:val="18"/>
        </w:rPr>
      </w:pPr>
      <w:r>
        <w:rPr>
          <w:rStyle w:val="FootnoteReference"/>
          <w:kern w:val="18"/>
          <w:sz w:val="18"/>
          <w:szCs w:val="18"/>
        </w:rPr>
        <w:footnoteRef/>
      </w:r>
      <w:r>
        <w:rPr>
          <w:kern w:val="18"/>
          <w:szCs w:val="18"/>
        </w:rPr>
        <w:t xml:space="preserve"> En lien avec le programme d'action de la Convention sur la diversité biologique.</w:t>
      </w:r>
    </w:p>
  </w:footnote>
  <w:footnote w:id="18">
    <w:p w14:paraId="13C3D0E5" w14:textId="6381D750" w:rsidR="00E36FD6" w:rsidRPr="00F800F5" w:rsidRDefault="00E36FD6" w:rsidP="005E2D95">
      <w:pPr>
        <w:pStyle w:val="FootnoteText"/>
        <w:ind w:firstLine="0"/>
        <w:jc w:val="left"/>
        <w:rPr>
          <w:kern w:val="18"/>
          <w:szCs w:val="18"/>
        </w:rPr>
      </w:pPr>
      <w:r>
        <w:rPr>
          <w:rStyle w:val="FootnoteReference"/>
          <w:kern w:val="18"/>
          <w:sz w:val="18"/>
          <w:szCs w:val="18"/>
        </w:rPr>
        <w:footnoteRef/>
      </w:r>
      <w:r>
        <w:rPr>
          <w:kern w:val="18"/>
          <w:szCs w:val="18"/>
        </w:rPr>
        <w:t xml:space="preserve"> Le mandat actuel de ce comité consultatif peut être consulté à l'adresse :</w:t>
      </w:r>
      <w:r w:rsidR="003602CA">
        <w:rPr>
          <w:kern w:val="18"/>
          <w:szCs w:val="18"/>
        </w:rPr>
        <w:t xml:space="preserve"> https://www.cbd.int/subnational/partners-and-initiatives/global-partnership/advisory</w:t>
      </w:r>
      <w:r w:rsidR="001E29C8">
        <w:rPr>
          <w:kern w:val="18"/>
          <w:szCs w:val="18"/>
        </w:rPr>
        <w:t xml:space="preserve">-committee-on-sub-national-governments.  </w:t>
      </w:r>
      <w:r>
        <w:rPr>
          <w:kern w:val="18"/>
          <w:szCs w:val="18"/>
        </w:rPr>
        <w:t xml:space="preserve">Il est cependant en cours de révision par l'ICLEI - Local </w:t>
      </w:r>
      <w:proofErr w:type="spellStart"/>
      <w:r>
        <w:rPr>
          <w:kern w:val="18"/>
          <w:szCs w:val="18"/>
        </w:rPr>
        <w:t>Governments</w:t>
      </w:r>
      <w:proofErr w:type="spellEnd"/>
      <w:r>
        <w:rPr>
          <w:kern w:val="18"/>
          <w:szCs w:val="18"/>
        </w:rPr>
        <w:t xml:space="preserve"> for </w:t>
      </w:r>
      <w:proofErr w:type="spellStart"/>
      <w:r>
        <w:rPr>
          <w:kern w:val="18"/>
          <w:szCs w:val="18"/>
        </w:rPr>
        <w:t>Sustainability</w:t>
      </w:r>
      <w:proofErr w:type="spellEnd"/>
      <w:r>
        <w:rPr>
          <w:kern w:val="18"/>
          <w:szCs w:val="18"/>
        </w:rPr>
        <w:t>, qui en assure le secrétariat.</w:t>
      </w:r>
    </w:p>
  </w:footnote>
  <w:footnote w:id="19">
    <w:p w14:paraId="5A3192A5" w14:textId="006DD485" w:rsidR="00E36FD6" w:rsidRPr="00F800F5" w:rsidRDefault="00E36FD6" w:rsidP="005E2D95">
      <w:pPr>
        <w:pStyle w:val="FootnoteText"/>
        <w:ind w:firstLine="0"/>
        <w:jc w:val="left"/>
        <w:rPr>
          <w:kern w:val="18"/>
          <w:szCs w:val="18"/>
        </w:rPr>
      </w:pPr>
      <w:r w:rsidRPr="0017500B">
        <w:rPr>
          <w:rStyle w:val="FootnoteReference"/>
          <w:kern w:val="18"/>
          <w:sz w:val="18"/>
          <w:szCs w:val="18"/>
        </w:rPr>
        <w:footnoteRef/>
      </w:r>
      <w:r w:rsidRPr="0017500B">
        <w:rPr>
          <w:bCs/>
          <w:kern w:val="18"/>
          <w:szCs w:val="18"/>
          <w:vertAlign w:val="superscript"/>
        </w:rPr>
        <w:t xml:space="preserve"> </w:t>
      </w:r>
      <w:r>
        <w:rPr>
          <w:kern w:val="18"/>
          <w:szCs w:val="18"/>
        </w:rPr>
        <w:t xml:space="preserve">Le mandat actuel de ce comité consultatif peut être consulté à l'adresse : </w:t>
      </w:r>
      <w:r w:rsidR="001E29C8">
        <w:rPr>
          <w:kern w:val="18"/>
          <w:szCs w:val="18"/>
        </w:rPr>
        <w:t>https://www.cbd.int/subnational/partners-and-initiatives/global-partnership/advisory-committee-on-sub-national-governments</w:t>
      </w:r>
      <w:hyperlink r:id="rId1" w:history="1"/>
      <w:r>
        <w:t>.</w:t>
      </w:r>
      <w:r>
        <w:rPr>
          <w:kern w:val="18"/>
          <w:szCs w:val="18"/>
        </w:rPr>
        <w:t xml:space="preserve"> Il est cependant en cours de révision par Regions4.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noProof/>
      </w:rPr>
      <w:alias w:val="Subject"/>
      <w:tag w:val=""/>
      <w:id w:val="-1885015078"/>
      <w:placeholder>
        <w:docPart w:val="B91F815427754D9BA6571111AFF15602"/>
      </w:placeholder>
      <w:dataBinding w:prefixMappings="xmlns:ns0='http://purl.org/dc/elements/1.1/' xmlns:ns1='http://schemas.openxmlformats.org/package/2006/metadata/core-properties' " w:xpath="/ns1:coreProperties[1]/ns0:subject[1]" w:storeItemID="{6C3C8BC8-F283-45AE-878A-BAB7291924A1}"/>
      <w:text/>
    </w:sdtPr>
    <w:sdtEndPr/>
    <w:sdtContent>
      <w:p w14:paraId="3BC20A3F" w14:textId="7248614B" w:rsidR="00534681" w:rsidRPr="005E2D95" w:rsidRDefault="00122249" w:rsidP="005E2D95">
        <w:pPr>
          <w:pStyle w:val="Header"/>
          <w:tabs>
            <w:tab w:val="clear" w:pos="4320"/>
            <w:tab w:val="clear" w:pos="8640"/>
          </w:tabs>
          <w:jc w:val="left"/>
          <w:rPr>
            <w:noProof/>
          </w:rPr>
        </w:pPr>
        <w:r>
          <w:rPr>
            <w:noProof/>
          </w:rPr>
          <w:t>CBD/SBI/REC/3/14</w:t>
        </w:r>
      </w:p>
    </w:sdtContent>
  </w:sdt>
  <w:p w14:paraId="1E0FDE0B" w14:textId="77777777" w:rsidR="00534681" w:rsidRPr="005E2D95" w:rsidRDefault="00534681" w:rsidP="005E2D95">
    <w:pPr>
      <w:pStyle w:val="Header"/>
      <w:tabs>
        <w:tab w:val="clear" w:pos="4320"/>
        <w:tab w:val="clear" w:pos="8640"/>
      </w:tabs>
      <w:jc w:val="left"/>
      <w:rPr>
        <w:noProof/>
      </w:rPr>
    </w:pPr>
    <w:r>
      <w:rPr>
        <w:noProof/>
      </w:rPr>
      <w:t xml:space="preserve">Page </w:t>
    </w:r>
    <w:r>
      <w:rPr>
        <w:noProof/>
      </w:rPr>
      <w:fldChar w:fldCharType="begin"/>
    </w:r>
    <w:r>
      <w:rPr>
        <w:noProof/>
      </w:rPr>
      <w:instrText xml:space="preserve"> PAGE   \* MERGEFORMAT </w:instrText>
    </w:r>
    <w:r>
      <w:fldChar w:fldCharType="separate"/>
    </w:r>
    <w:r w:rsidR="001E29C8">
      <w:rPr>
        <w:noProof/>
      </w:rPr>
      <w:t>2</w:t>
    </w:r>
    <w:r>
      <w:fldChar w:fldCharType="end"/>
    </w:r>
  </w:p>
  <w:p w14:paraId="61C60697" w14:textId="77777777" w:rsidR="00534681" w:rsidRPr="005E2D95" w:rsidRDefault="00534681" w:rsidP="005E2D95">
    <w:pPr>
      <w:pStyle w:val="Header"/>
      <w:tabs>
        <w:tab w:val="clear" w:pos="4320"/>
        <w:tab w:val="clear" w:pos="8640"/>
      </w:tabs>
      <w:jc w:val="left"/>
      <w:rPr>
        <w:noProof/>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noProof/>
      </w:rPr>
      <w:alias w:val="Subject"/>
      <w:tag w:val=""/>
      <w:id w:val="851227268"/>
      <w:placeholder>
        <w:docPart w:val="9E64A1B551BC4D48B19DB33F17A999C0"/>
      </w:placeholder>
      <w:dataBinding w:prefixMappings="xmlns:ns0='http://purl.org/dc/elements/1.1/' xmlns:ns1='http://schemas.openxmlformats.org/package/2006/metadata/core-properties' " w:xpath="/ns1:coreProperties[1]/ns0:subject[1]" w:storeItemID="{6C3C8BC8-F283-45AE-878A-BAB7291924A1}"/>
      <w:text/>
    </w:sdtPr>
    <w:sdtEndPr/>
    <w:sdtContent>
      <w:p w14:paraId="2C4EC37E" w14:textId="13DEB160" w:rsidR="009505C9" w:rsidRPr="005E2D95" w:rsidRDefault="00122249" w:rsidP="005E2D95">
        <w:pPr>
          <w:pStyle w:val="Header"/>
          <w:tabs>
            <w:tab w:val="clear" w:pos="4320"/>
            <w:tab w:val="clear" w:pos="8640"/>
          </w:tabs>
          <w:jc w:val="right"/>
          <w:rPr>
            <w:noProof/>
          </w:rPr>
        </w:pPr>
        <w:r>
          <w:rPr>
            <w:noProof/>
          </w:rPr>
          <w:t>CBD/SBI/REC/3/14</w:t>
        </w:r>
      </w:p>
    </w:sdtContent>
  </w:sdt>
  <w:p w14:paraId="64AE8439" w14:textId="77777777" w:rsidR="009505C9" w:rsidRPr="005E2D95" w:rsidRDefault="009505C9" w:rsidP="005E2D95">
    <w:pPr>
      <w:pStyle w:val="Header"/>
      <w:tabs>
        <w:tab w:val="clear" w:pos="4320"/>
        <w:tab w:val="clear" w:pos="8640"/>
      </w:tabs>
      <w:jc w:val="right"/>
      <w:rPr>
        <w:noProof/>
      </w:rPr>
    </w:pPr>
    <w:r>
      <w:rPr>
        <w:noProof/>
      </w:rPr>
      <w:t xml:space="preserve">Page </w:t>
    </w:r>
    <w:r>
      <w:rPr>
        <w:noProof/>
      </w:rPr>
      <w:fldChar w:fldCharType="begin"/>
    </w:r>
    <w:r>
      <w:rPr>
        <w:noProof/>
      </w:rPr>
      <w:instrText xml:space="preserve"> PAGE   \* MERGEFORMAT </w:instrText>
    </w:r>
    <w:r>
      <w:fldChar w:fldCharType="separate"/>
    </w:r>
    <w:r w:rsidR="001E29C8">
      <w:rPr>
        <w:noProof/>
      </w:rPr>
      <w:t>3</w:t>
    </w:r>
    <w:r>
      <w:fldChar w:fldCharType="end"/>
    </w:r>
  </w:p>
  <w:p w14:paraId="16137B8A" w14:textId="77777777" w:rsidR="009505C9" w:rsidRPr="005E2D95" w:rsidRDefault="009505C9" w:rsidP="005E2D95">
    <w:pPr>
      <w:pStyle w:val="Header"/>
      <w:tabs>
        <w:tab w:val="clear" w:pos="4320"/>
        <w:tab w:val="clear" w:pos="8640"/>
      </w:tabs>
      <w:jc w:val="right"/>
      <w:rPr>
        <w:noProo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31255"/>
    <w:multiLevelType w:val="multilevel"/>
    <w:tmpl w:val="341A2FF4"/>
    <w:lvl w:ilvl="0">
      <w:start w:val="1"/>
      <w:numFmt w:val="lowerLetter"/>
      <w:lvlText w:val="%1)"/>
      <w:lvlJc w:val="left"/>
      <w:pPr>
        <w:tabs>
          <w:tab w:val="num" w:pos="360"/>
        </w:tabs>
        <w:ind w:left="0" w:firstLine="0"/>
      </w:pPr>
      <w:rPr>
        <w:rFonts w:hint="default"/>
        <w:b w:val="0"/>
        <w:i w:val="0"/>
        <w:caps w:val="0"/>
        <w:strike w:val="0"/>
        <w:dstrike w:val="0"/>
        <w:vanish w:val="0"/>
        <w:color w:val="auto"/>
        <w:sz w:val="22"/>
        <w:vertAlign w:val="baseline"/>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2A605E00"/>
    <w:multiLevelType w:val="multilevel"/>
    <w:tmpl w:val="02DE4086"/>
    <w:lvl w:ilvl="0">
      <w:start w:val="1"/>
      <w:numFmt w:val="lowerLetter"/>
      <w:lvlText w:val="%1)"/>
      <w:lvlJc w:val="left"/>
      <w:pPr>
        <w:tabs>
          <w:tab w:val="num" w:pos="360"/>
        </w:tabs>
        <w:ind w:left="0" w:firstLine="0"/>
      </w:pPr>
      <w:rPr>
        <w:rFonts w:hint="default"/>
        <w:b w:val="0"/>
        <w:i w:val="0"/>
        <w:caps w:val="0"/>
        <w:strike w:val="0"/>
        <w:dstrike w:val="0"/>
        <w:vanish w:val="0"/>
        <w:color w:val="auto"/>
        <w:sz w:val="22"/>
        <w:vertAlign w:val="baseline"/>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6" w15:restartNumberingAfterBreak="0">
    <w:nsid w:val="39B33ECB"/>
    <w:multiLevelType w:val="multilevel"/>
    <w:tmpl w:val="0A247974"/>
    <w:lvl w:ilvl="0">
      <w:start w:val="1"/>
      <w:numFmt w:val="lowerLetter"/>
      <w:lvlText w:val="%1)"/>
      <w:lvlJc w:val="left"/>
      <w:pPr>
        <w:tabs>
          <w:tab w:val="num" w:pos="360"/>
        </w:tabs>
        <w:ind w:left="0" w:firstLine="0"/>
      </w:pPr>
      <w:rPr>
        <w:rFonts w:hint="default"/>
        <w:b w:val="0"/>
        <w:i w:val="0"/>
        <w:caps w:val="0"/>
        <w:strike w:val="0"/>
        <w:dstrike w:val="0"/>
        <w:vanish w:val="0"/>
        <w:color w:val="auto"/>
        <w:sz w:val="22"/>
        <w:vertAlign w:val="baseline"/>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492849EB"/>
    <w:multiLevelType w:val="hybridMultilevel"/>
    <w:tmpl w:val="92D0CEF8"/>
    <w:lvl w:ilvl="0" w:tplc="95F66AB6">
      <w:start w:val="1"/>
      <w:numFmt w:val="decimal"/>
      <w:lvlText w:val="%1."/>
      <w:lvlJc w:val="left"/>
      <w:pPr>
        <w:ind w:left="1004" w:hanging="360"/>
      </w:pPr>
      <w:rPr>
        <w:i w:val="0"/>
      </w:rPr>
    </w:lvl>
    <w:lvl w:ilvl="1" w:tplc="1C090019">
      <w:start w:val="1"/>
      <w:numFmt w:val="lowerLetter"/>
      <w:lvlText w:val="%2."/>
      <w:lvlJc w:val="left"/>
      <w:pPr>
        <w:ind w:left="1724" w:hanging="360"/>
      </w:pPr>
    </w:lvl>
    <w:lvl w:ilvl="2" w:tplc="1C09001B" w:tentative="1">
      <w:start w:val="1"/>
      <w:numFmt w:val="lowerRoman"/>
      <w:lvlText w:val="%3."/>
      <w:lvlJc w:val="right"/>
      <w:pPr>
        <w:ind w:left="2444" w:hanging="180"/>
      </w:pPr>
    </w:lvl>
    <w:lvl w:ilvl="3" w:tplc="1C09000F" w:tentative="1">
      <w:start w:val="1"/>
      <w:numFmt w:val="decimal"/>
      <w:lvlText w:val="%4."/>
      <w:lvlJc w:val="left"/>
      <w:pPr>
        <w:ind w:left="3164" w:hanging="360"/>
      </w:pPr>
    </w:lvl>
    <w:lvl w:ilvl="4" w:tplc="1C090019" w:tentative="1">
      <w:start w:val="1"/>
      <w:numFmt w:val="lowerLetter"/>
      <w:lvlText w:val="%5."/>
      <w:lvlJc w:val="left"/>
      <w:pPr>
        <w:ind w:left="3884" w:hanging="360"/>
      </w:pPr>
    </w:lvl>
    <w:lvl w:ilvl="5" w:tplc="1C09001B" w:tentative="1">
      <w:start w:val="1"/>
      <w:numFmt w:val="lowerRoman"/>
      <w:lvlText w:val="%6."/>
      <w:lvlJc w:val="right"/>
      <w:pPr>
        <w:ind w:left="4604" w:hanging="180"/>
      </w:pPr>
    </w:lvl>
    <w:lvl w:ilvl="6" w:tplc="1C09000F" w:tentative="1">
      <w:start w:val="1"/>
      <w:numFmt w:val="decimal"/>
      <w:lvlText w:val="%7."/>
      <w:lvlJc w:val="left"/>
      <w:pPr>
        <w:ind w:left="5324" w:hanging="360"/>
      </w:pPr>
    </w:lvl>
    <w:lvl w:ilvl="7" w:tplc="1C090019" w:tentative="1">
      <w:start w:val="1"/>
      <w:numFmt w:val="lowerLetter"/>
      <w:lvlText w:val="%8."/>
      <w:lvlJc w:val="left"/>
      <w:pPr>
        <w:ind w:left="6044" w:hanging="360"/>
      </w:pPr>
    </w:lvl>
    <w:lvl w:ilvl="8" w:tplc="1C09001B" w:tentative="1">
      <w:start w:val="1"/>
      <w:numFmt w:val="lowerRoman"/>
      <w:lvlText w:val="%9."/>
      <w:lvlJc w:val="right"/>
      <w:pPr>
        <w:ind w:left="6764" w:hanging="180"/>
      </w:pPr>
    </w:lvl>
  </w:abstractNum>
  <w:abstractNum w:abstractNumId="10"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4F400E40"/>
    <w:multiLevelType w:val="hybridMultilevel"/>
    <w:tmpl w:val="9E628BD2"/>
    <w:lvl w:ilvl="0" w:tplc="4C166178">
      <w:start w:val="1"/>
      <w:numFmt w:val="lowerLetter"/>
      <w:lvlText w:val="(%1)"/>
      <w:lvlJc w:val="left"/>
      <w:pPr>
        <w:ind w:left="1211" w:hanging="360"/>
      </w:pPr>
      <w:rPr>
        <w:rFonts w:hint="default"/>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55AD2153"/>
    <w:multiLevelType w:val="multilevel"/>
    <w:tmpl w:val="1EE49680"/>
    <w:lvl w:ilvl="0">
      <w:start w:val="1"/>
      <w:numFmt w:val="lowerLetter"/>
      <w:lvlText w:val="%1)"/>
      <w:lvlJc w:val="left"/>
      <w:pPr>
        <w:tabs>
          <w:tab w:val="num" w:pos="360"/>
        </w:tabs>
        <w:ind w:left="0" w:firstLine="0"/>
      </w:pPr>
      <w:rPr>
        <w:rFonts w:hint="default"/>
        <w:b w:val="0"/>
        <w:i w:val="0"/>
        <w:caps w:val="0"/>
        <w:strike w:val="0"/>
        <w:dstrike w:val="0"/>
        <w:vanish w:val="0"/>
        <w:color w:val="auto"/>
        <w:sz w:val="22"/>
        <w:vertAlign w:val="baseline"/>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55D067A6"/>
    <w:multiLevelType w:val="multilevel"/>
    <w:tmpl w:val="9394016E"/>
    <w:lvl w:ilvl="0">
      <w:start w:val="1"/>
      <w:numFmt w:val="lowerLetter"/>
      <w:lvlText w:val="%1)"/>
      <w:lvlJc w:val="left"/>
      <w:pPr>
        <w:tabs>
          <w:tab w:val="num" w:pos="360"/>
        </w:tabs>
        <w:ind w:left="0" w:firstLine="0"/>
      </w:pPr>
      <w:rPr>
        <w:rFonts w:hint="default"/>
        <w:b w:val="0"/>
        <w:i w:val="0"/>
        <w:caps w:val="0"/>
        <w:strike w:val="0"/>
        <w:dstrike w:val="0"/>
        <w:vanish w:val="0"/>
        <w:color w:val="auto"/>
        <w:sz w:val="22"/>
        <w:vertAlign w:val="baseline"/>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F5C2591"/>
    <w:multiLevelType w:val="multilevel"/>
    <w:tmpl w:val="EAAC78E2"/>
    <w:lvl w:ilvl="0">
      <w:start w:val="1"/>
      <w:numFmt w:val="lowerLetter"/>
      <w:lvlText w:val="(%1)"/>
      <w:lvlJc w:val="left"/>
      <w:pPr>
        <w:tabs>
          <w:tab w:val="num" w:pos="360"/>
        </w:tabs>
        <w:ind w:left="0" w:firstLine="0"/>
      </w:pPr>
      <w:rPr>
        <w:rFonts w:ascii="Times New Roman" w:hAnsi="Times New Roman" w:hint="default"/>
        <w:b w:val="0"/>
        <w:i w:val="0"/>
        <w:caps w:val="0"/>
        <w:strike w:val="0"/>
        <w:dstrike w:val="0"/>
        <w:vanish w:val="0"/>
        <w:color w:val="auto"/>
        <w:sz w:val="22"/>
        <w:vertAlign w:val="baseline"/>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616A7A97"/>
    <w:multiLevelType w:val="multilevel"/>
    <w:tmpl w:val="5CBC2170"/>
    <w:lvl w:ilvl="0">
      <w:start w:val="1"/>
      <w:numFmt w:val="lowerLetter"/>
      <w:lvlText w:val="%1)"/>
      <w:lvlJc w:val="left"/>
      <w:pPr>
        <w:tabs>
          <w:tab w:val="num" w:pos="360"/>
        </w:tabs>
        <w:ind w:left="0" w:firstLine="0"/>
      </w:pPr>
      <w:rPr>
        <w:rFonts w:hint="default"/>
        <w:b w:val="0"/>
        <w:i w:val="0"/>
        <w:caps w:val="0"/>
        <w:strike w:val="0"/>
        <w:dstrike w:val="0"/>
        <w:vanish w:val="0"/>
        <w:color w:val="auto"/>
        <w:sz w:val="22"/>
        <w:vertAlign w:val="baseline"/>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13F4574"/>
    <w:multiLevelType w:val="hybridMultilevel"/>
    <w:tmpl w:val="13F02162"/>
    <w:lvl w:ilvl="0" w:tplc="95F66AB6">
      <w:start w:val="1"/>
      <w:numFmt w:val="decimal"/>
      <w:lvlText w:val="%1."/>
      <w:lvlJc w:val="left"/>
      <w:pPr>
        <w:ind w:left="1004" w:hanging="360"/>
      </w:pPr>
      <w:rPr>
        <w:i w:val="0"/>
      </w:rPr>
    </w:lvl>
    <w:lvl w:ilvl="1" w:tplc="040C0017">
      <w:start w:val="1"/>
      <w:numFmt w:val="lowerLetter"/>
      <w:lvlText w:val="%2)"/>
      <w:lvlJc w:val="left"/>
      <w:pPr>
        <w:ind w:left="1724" w:hanging="360"/>
      </w:pPr>
      <w:rPr>
        <w:rFonts w:hint="default"/>
      </w:rPr>
    </w:lvl>
    <w:lvl w:ilvl="2" w:tplc="1C09001B" w:tentative="1">
      <w:start w:val="1"/>
      <w:numFmt w:val="lowerRoman"/>
      <w:lvlText w:val="%3."/>
      <w:lvlJc w:val="right"/>
      <w:pPr>
        <w:ind w:left="2444" w:hanging="180"/>
      </w:pPr>
    </w:lvl>
    <w:lvl w:ilvl="3" w:tplc="1C09000F" w:tentative="1">
      <w:start w:val="1"/>
      <w:numFmt w:val="decimal"/>
      <w:lvlText w:val="%4."/>
      <w:lvlJc w:val="left"/>
      <w:pPr>
        <w:ind w:left="3164" w:hanging="360"/>
      </w:pPr>
    </w:lvl>
    <w:lvl w:ilvl="4" w:tplc="1C090019" w:tentative="1">
      <w:start w:val="1"/>
      <w:numFmt w:val="lowerLetter"/>
      <w:lvlText w:val="%5."/>
      <w:lvlJc w:val="left"/>
      <w:pPr>
        <w:ind w:left="3884" w:hanging="360"/>
      </w:pPr>
    </w:lvl>
    <w:lvl w:ilvl="5" w:tplc="1C09001B" w:tentative="1">
      <w:start w:val="1"/>
      <w:numFmt w:val="lowerRoman"/>
      <w:lvlText w:val="%6."/>
      <w:lvlJc w:val="right"/>
      <w:pPr>
        <w:ind w:left="4604" w:hanging="180"/>
      </w:pPr>
    </w:lvl>
    <w:lvl w:ilvl="6" w:tplc="1C09000F" w:tentative="1">
      <w:start w:val="1"/>
      <w:numFmt w:val="decimal"/>
      <w:lvlText w:val="%7."/>
      <w:lvlJc w:val="left"/>
      <w:pPr>
        <w:ind w:left="5324" w:hanging="360"/>
      </w:pPr>
    </w:lvl>
    <w:lvl w:ilvl="7" w:tplc="1C090019" w:tentative="1">
      <w:start w:val="1"/>
      <w:numFmt w:val="lowerLetter"/>
      <w:lvlText w:val="%8."/>
      <w:lvlJc w:val="left"/>
      <w:pPr>
        <w:ind w:left="6044" w:hanging="360"/>
      </w:pPr>
    </w:lvl>
    <w:lvl w:ilvl="8" w:tplc="1C09001B" w:tentative="1">
      <w:start w:val="1"/>
      <w:numFmt w:val="lowerRoman"/>
      <w:lvlText w:val="%9."/>
      <w:lvlJc w:val="right"/>
      <w:pPr>
        <w:ind w:left="6764" w:hanging="180"/>
      </w:pPr>
    </w:lvl>
  </w:abstractNum>
  <w:abstractNum w:abstractNumId="20" w15:restartNumberingAfterBreak="0">
    <w:nsid w:val="73C21AC9"/>
    <w:multiLevelType w:val="hybridMultilevel"/>
    <w:tmpl w:val="0B7AA14A"/>
    <w:lvl w:ilvl="0" w:tplc="21B0A3F2">
      <w:start w:val="1"/>
      <w:numFmt w:val="decimal"/>
      <w:lvlText w:val="%1."/>
      <w:lvlJc w:val="left"/>
      <w:pPr>
        <w:ind w:left="1004" w:hanging="360"/>
      </w:pPr>
      <w:rPr>
        <w:b w:val="0"/>
        <w:bCs w:val="0"/>
        <w:i w:val="0"/>
      </w:rPr>
    </w:lvl>
    <w:lvl w:ilvl="1" w:tplc="1C090019">
      <w:start w:val="1"/>
      <w:numFmt w:val="lowerLetter"/>
      <w:lvlText w:val="%2."/>
      <w:lvlJc w:val="left"/>
      <w:pPr>
        <w:ind w:left="1724" w:hanging="360"/>
      </w:pPr>
    </w:lvl>
    <w:lvl w:ilvl="2" w:tplc="1C09001B" w:tentative="1">
      <w:start w:val="1"/>
      <w:numFmt w:val="lowerRoman"/>
      <w:lvlText w:val="%3."/>
      <w:lvlJc w:val="right"/>
      <w:pPr>
        <w:ind w:left="2444" w:hanging="180"/>
      </w:pPr>
    </w:lvl>
    <w:lvl w:ilvl="3" w:tplc="1C09000F" w:tentative="1">
      <w:start w:val="1"/>
      <w:numFmt w:val="decimal"/>
      <w:lvlText w:val="%4."/>
      <w:lvlJc w:val="left"/>
      <w:pPr>
        <w:ind w:left="3164" w:hanging="360"/>
      </w:pPr>
    </w:lvl>
    <w:lvl w:ilvl="4" w:tplc="1C090019" w:tentative="1">
      <w:start w:val="1"/>
      <w:numFmt w:val="lowerLetter"/>
      <w:lvlText w:val="%5."/>
      <w:lvlJc w:val="left"/>
      <w:pPr>
        <w:ind w:left="3884" w:hanging="360"/>
      </w:pPr>
    </w:lvl>
    <w:lvl w:ilvl="5" w:tplc="1C09001B" w:tentative="1">
      <w:start w:val="1"/>
      <w:numFmt w:val="lowerRoman"/>
      <w:lvlText w:val="%6."/>
      <w:lvlJc w:val="right"/>
      <w:pPr>
        <w:ind w:left="4604" w:hanging="180"/>
      </w:pPr>
    </w:lvl>
    <w:lvl w:ilvl="6" w:tplc="1C09000F" w:tentative="1">
      <w:start w:val="1"/>
      <w:numFmt w:val="decimal"/>
      <w:lvlText w:val="%7."/>
      <w:lvlJc w:val="left"/>
      <w:pPr>
        <w:ind w:left="5324" w:hanging="360"/>
      </w:pPr>
    </w:lvl>
    <w:lvl w:ilvl="7" w:tplc="1C090019" w:tentative="1">
      <w:start w:val="1"/>
      <w:numFmt w:val="lowerLetter"/>
      <w:lvlText w:val="%8."/>
      <w:lvlJc w:val="left"/>
      <w:pPr>
        <w:ind w:left="6044" w:hanging="360"/>
      </w:pPr>
    </w:lvl>
    <w:lvl w:ilvl="8" w:tplc="1C09001B" w:tentative="1">
      <w:start w:val="1"/>
      <w:numFmt w:val="lowerRoman"/>
      <w:lvlText w:val="%9."/>
      <w:lvlJc w:val="right"/>
      <w:pPr>
        <w:ind w:left="6764" w:hanging="180"/>
      </w:pPr>
    </w:lvl>
  </w:abstractNum>
  <w:abstractNum w:abstractNumId="21" w15:restartNumberingAfterBreak="0">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C325CD0"/>
    <w:multiLevelType w:val="multilevel"/>
    <w:tmpl w:val="8B5A9382"/>
    <w:lvl w:ilvl="0">
      <w:start w:val="1"/>
      <w:numFmt w:val="lowerLetter"/>
      <w:lvlText w:val="%1)"/>
      <w:lvlJc w:val="left"/>
      <w:pPr>
        <w:tabs>
          <w:tab w:val="num" w:pos="360"/>
        </w:tabs>
        <w:ind w:left="0" w:firstLine="0"/>
      </w:pPr>
      <w:rPr>
        <w:rFonts w:hint="default"/>
        <w:b w:val="0"/>
        <w:i w:val="0"/>
        <w:caps w:val="0"/>
        <w:strike w:val="0"/>
        <w:dstrike w:val="0"/>
        <w:vanish w:val="0"/>
        <w:color w:val="auto"/>
        <w:sz w:val="22"/>
        <w:vertAlign w:val="baseline"/>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5"/>
  </w:num>
  <w:num w:numId="2">
    <w:abstractNumId w:val="10"/>
  </w:num>
  <w:num w:numId="3">
    <w:abstractNumId w:val="7"/>
  </w:num>
  <w:num w:numId="4">
    <w:abstractNumId w:val="10"/>
  </w:num>
  <w:num w:numId="5">
    <w:abstractNumId w:val="8"/>
  </w:num>
  <w:num w:numId="6">
    <w:abstractNumId w:val="1"/>
  </w:num>
  <w:num w:numId="7">
    <w:abstractNumId w:val="3"/>
  </w:num>
  <w:num w:numId="8">
    <w:abstractNumId w:val="7"/>
    <w:lvlOverride w:ilvl="0">
      <w:startOverride w:val="1"/>
    </w:lvlOverride>
  </w:num>
  <w:num w:numId="9">
    <w:abstractNumId w:val="18"/>
  </w:num>
  <w:num w:numId="10">
    <w:abstractNumId w:val="7"/>
    <w:lvlOverride w:ilvl="0">
      <w:startOverride w:val="1"/>
    </w:lvlOverride>
  </w:num>
  <w:num w:numId="11">
    <w:abstractNumId w:val="7"/>
    <w:lvlOverride w:ilvl="0">
      <w:startOverride w:val="1"/>
    </w:lvlOverride>
  </w:num>
  <w:num w:numId="12">
    <w:abstractNumId w:val="7"/>
    <w:lvlOverride w:ilvl="0">
      <w:startOverride w:val="1"/>
    </w:lvlOverride>
  </w:num>
  <w:num w:numId="13">
    <w:abstractNumId w:val="7"/>
    <w:lvlOverride w:ilvl="0">
      <w:startOverride w:val="1"/>
    </w:lvlOverride>
  </w:num>
  <w:num w:numId="14">
    <w:abstractNumId w:val="15"/>
  </w:num>
  <w:num w:numId="15">
    <w:abstractNumId w:val="14"/>
  </w:num>
  <w:num w:numId="16">
    <w:abstractNumId w:val="2"/>
  </w:num>
  <w:num w:numId="17">
    <w:abstractNumId w:val="21"/>
  </w:num>
  <w:num w:numId="18">
    <w:abstractNumId w:val="22"/>
  </w:num>
  <w:num w:numId="19">
    <w:abstractNumId w:val="20"/>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 w:numId="22">
    <w:abstractNumId w:val="11"/>
  </w:num>
  <w:num w:numId="23">
    <w:abstractNumId w:val="19"/>
  </w:num>
  <w:num w:numId="24">
    <w:abstractNumId w:val="16"/>
  </w:num>
  <w:num w:numId="25">
    <w:abstractNumId w:val="13"/>
  </w:num>
  <w:num w:numId="26">
    <w:abstractNumId w:val="17"/>
  </w:num>
  <w:num w:numId="27">
    <w:abstractNumId w:val="4"/>
  </w:num>
  <w:num w:numId="28">
    <w:abstractNumId w:val="12"/>
  </w:num>
  <w:num w:numId="29">
    <w:abstractNumId w:val="6"/>
  </w:num>
  <w:num w:numId="30">
    <w:abstractNumId w:val="23"/>
  </w:num>
  <w:num w:numId="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hyphenationZone w:val="425"/>
  <w:evenAndOddHeaders/>
  <w:characterSpacingControl w:val="doNotCompress"/>
  <w:hdrShapeDefaults>
    <o:shapedefaults v:ext="edit" spidmax="614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61D"/>
    <w:rsid w:val="00001B9A"/>
    <w:rsid w:val="00002284"/>
    <w:rsid w:val="000071FE"/>
    <w:rsid w:val="00007A6F"/>
    <w:rsid w:val="000110DD"/>
    <w:rsid w:val="000136F4"/>
    <w:rsid w:val="00013F90"/>
    <w:rsid w:val="00025E20"/>
    <w:rsid w:val="0003184D"/>
    <w:rsid w:val="00034E91"/>
    <w:rsid w:val="00042C44"/>
    <w:rsid w:val="000465AB"/>
    <w:rsid w:val="000467ED"/>
    <w:rsid w:val="0007171B"/>
    <w:rsid w:val="00073BAC"/>
    <w:rsid w:val="0008454E"/>
    <w:rsid w:val="0009554F"/>
    <w:rsid w:val="000A2E0E"/>
    <w:rsid w:val="000A6C11"/>
    <w:rsid w:val="000B2DEE"/>
    <w:rsid w:val="000C097B"/>
    <w:rsid w:val="000C64F8"/>
    <w:rsid w:val="000D28E5"/>
    <w:rsid w:val="000D32E1"/>
    <w:rsid w:val="000D7262"/>
    <w:rsid w:val="000E40A1"/>
    <w:rsid w:val="000E673A"/>
    <w:rsid w:val="000F1610"/>
    <w:rsid w:val="000F74F5"/>
    <w:rsid w:val="001014DB"/>
    <w:rsid w:val="00102920"/>
    <w:rsid w:val="00105372"/>
    <w:rsid w:val="0010784D"/>
    <w:rsid w:val="001129BF"/>
    <w:rsid w:val="00113B29"/>
    <w:rsid w:val="00115DA8"/>
    <w:rsid w:val="00117861"/>
    <w:rsid w:val="00121FDC"/>
    <w:rsid w:val="00122249"/>
    <w:rsid w:val="00122FFD"/>
    <w:rsid w:val="001312AD"/>
    <w:rsid w:val="00131E7A"/>
    <w:rsid w:val="00134846"/>
    <w:rsid w:val="00137533"/>
    <w:rsid w:val="00155B05"/>
    <w:rsid w:val="0015619F"/>
    <w:rsid w:val="001567F7"/>
    <w:rsid w:val="001617E8"/>
    <w:rsid w:val="00172AF6"/>
    <w:rsid w:val="0017500B"/>
    <w:rsid w:val="0017661C"/>
    <w:rsid w:val="00176CEE"/>
    <w:rsid w:val="00186DD8"/>
    <w:rsid w:val="00193C35"/>
    <w:rsid w:val="001A276C"/>
    <w:rsid w:val="001B13FE"/>
    <w:rsid w:val="001B464A"/>
    <w:rsid w:val="001B658C"/>
    <w:rsid w:val="001C6BF0"/>
    <w:rsid w:val="001D1232"/>
    <w:rsid w:val="001E29C8"/>
    <w:rsid w:val="001F147F"/>
    <w:rsid w:val="002041E3"/>
    <w:rsid w:val="0022358B"/>
    <w:rsid w:val="00232415"/>
    <w:rsid w:val="0025084E"/>
    <w:rsid w:val="00252378"/>
    <w:rsid w:val="00257DE8"/>
    <w:rsid w:val="00257F92"/>
    <w:rsid w:val="00261DC2"/>
    <w:rsid w:val="00264AD7"/>
    <w:rsid w:val="0026684B"/>
    <w:rsid w:val="002674F5"/>
    <w:rsid w:val="002700FA"/>
    <w:rsid w:val="002933B5"/>
    <w:rsid w:val="002A1C59"/>
    <w:rsid w:val="002A6FD6"/>
    <w:rsid w:val="002C2744"/>
    <w:rsid w:val="002C33DA"/>
    <w:rsid w:val="002C4465"/>
    <w:rsid w:val="002D3E4F"/>
    <w:rsid w:val="002D68C4"/>
    <w:rsid w:val="002E34FD"/>
    <w:rsid w:val="002E574A"/>
    <w:rsid w:val="002F7BD6"/>
    <w:rsid w:val="0030169D"/>
    <w:rsid w:val="003060EB"/>
    <w:rsid w:val="00307C21"/>
    <w:rsid w:val="00314F68"/>
    <w:rsid w:val="003153EB"/>
    <w:rsid w:val="00320FCC"/>
    <w:rsid w:val="00321985"/>
    <w:rsid w:val="00333D1B"/>
    <w:rsid w:val="00345412"/>
    <w:rsid w:val="003510DE"/>
    <w:rsid w:val="00351205"/>
    <w:rsid w:val="003602CA"/>
    <w:rsid w:val="00361E65"/>
    <w:rsid w:val="00372F74"/>
    <w:rsid w:val="00395939"/>
    <w:rsid w:val="0039772E"/>
    <w:rsid w:val="003A0449"/>
    <w:rsid w:val="003A35BD"/>
    <w:rsid w:val="003B16A4"/>
    <w:rsid w:val="003B3CDF"/>
    <w:rsid w:val="003E30EB"/>
    <w:rsid w:val="003F4D8C"/>
    <w:rsid w:val="003F7224"/>
    <w:rsid w:val="00401A23"/>
    <w:rsid w:val="00427D21"/>
    <w:rsid w:val="004644C2"/>
    <w:rsid w:val="00466B71"/>
    <w:rsid w:val="00467F9C"/>
    <w:rsid w:val="004709B1"/>
    <w:rsid w:val="00470A38"/>
    <w:rsid w:val="0048356F"/>
    <w:rsid w:val="00490C78"/>
    <w:rsid w:val="0049111D"/>
    <w:rsid w:val="00492C02"/>
    <w:rsid w:val="004A0B80"/>
    <w:rsid w:val="004C7BDF"/>
    <w:rsid w:val="004D233E"/>
    <w:rsid w:val="004F4481"/>
    <w:rsid w:val="004F5813"/>
    <w:rsid w:val="0050041D"/>
    <w:rsid w:val="0050540B"/>
    <w:rsid w:val="00534681"/>
    <w:rsid w:val="00536F6A"/>
    <w:rsid w:val="00537C5B"/>
    <w:rsid w:val="005427FE"/>
    <w:rsid w:val="0055072E"/>
    <w:rsid w:val="00550E41"/>
    <w:rsid w:val="00562792"/>
    <w:rsid w:val="00563442"/>
    <w:rsid w:val="00565321"/>
    <w:rsid w:val="00565B42"/>
    <w:rsid w:val="00575E0D"/>
    <w:rsid w:val="00582D97"/>
    <w:rsid w:val="0058752C"/>
    <w:rsid w:val="005949A0"/>
    <w:rsid w:val="005A3545"/>
    <w:rsid w:val="005A768B"/>
    <w:rsid w:val="005C021E"/>
    <w:rsid w:val="005C4CE6"/>
    <w:rsid w:val="005D72F4"/>
    <w:rsid w:val="005E2D95"/>
    <w:rsid w:val="005E2E9B"/>
    <w:rsid w:val="005F0874"/>
    <w:rsid w:val="005F0A15"/>
    <w:rsid w:val="005F56C1"/>
    <w:rsid w:val="00600A4E"/>
    <w:rsid w:val="006013EF"/>
    <w:rsid w:val="006055D1"/>
    <w:rsid w:val="006122BA"/>
    <w:rsid w:val="00615B6C"/>
    <w:rsid w:val="006233CD"/>
    <w:rsid w:val="00625045"/>
    <w:rsid w:val="00625B44"/>
    <w:rsid w:val="006274C2"/>
    <w:rsid w:val="006336E6"/>
    <w:rsid w:val="00652C49"/>
    <w:rsid w:val="00654676"/>
    <w:rsid w:val="006657BB"/>
    <w:rsid w:val="0067029B"/>
    <w:rsid w:val="00676395"/>
    <w:rsid w:val="00684892"/>
    <w:rsid w:val="00685FB8"/>
    <w:rsid w:val="006A3E11"/>
    <w:rsid w:val="006B2290"/>
    <w:rsid w:val="006C392E"/>
    <w:rsid w:val="006D29FB"/>
    <w:rsid w:val="006D3D02"/>
    <w:rsid w:val="006F075C"/>
    <w:rsid w:val="006F496B"/>
    <w:rsid w:val="006F6D8E"/>
    <w:rsid w:val="0070240A"/>
    <w:rsid w:val="007072E6"/>
    <w:rsid w:val="00711DB6"/>
    <w:rsid w:val="0071344C"/>
    <w:rsid w:val="00713625"/>
    <w:rsid w:val="00717D88"/>
    <w:rsid w:val="00720752"/>
    <w:rsid w:val="007227E6"/>
    <w:rsid w:val="00731387"/>
    <w:rsid w:val="00736422"/>
    <w:rsid w:val="00747856"/>
    <w:rsid w:val="00757670"/>
    <w:rsid w:val="00765A28"/>
    <w:rsid w:val="00771638"/>
    <w:rsid w:val="00777318"/>
    <w:rsid w:val="00781042"/>
    <w:rsid w:val="00781754"/>
    <w:rsid w:val="00783130"/>
    <w:rsid w:val="00786056"/>
    <w:rsid w:val="007903D7"/>
    <w:rsid w:val="007930CF"/>
    <w:rsid w:val="007942D3"/>
    <w:rsid w:val="007A70AE"/>
    <w:rsid w:val="007B2099"/>
    <w:rsid w:val="007B6C09"/>
    <w:rsid w:val="007B7741"/>
    <w:rsid w:val="007E09DA"/>
    <w:rsid w:val="007E1602"/>
    <w:rsid w:val="007E42CB"/>
    <w:rsid w:val="007F5A33"/>
    <w:rsid w:val="008031D1"/>
    <w:rsid w:val="00804DA2"/>
    <w:rsid w:val="00806D53"/>
    <w:rsid w:val="0081411C"/>
    <w:rsid w:val="008178B6"/>
    <w:rsid w:val="00824070"/>
    <w:rsid w:val="008358A7"/>
    <w:rsid w:val="00836CE8"/>
    <w:rsid w:val="00853A2F"/>
    <w:rsid w:val="00857EB7"/>
    <w:rsid w:val="0086122A"/>
    <w:rsid w:val="00862736"/>
    <w:rsid w:val="00865B74"/>
    <w:rsid w:val="00867CF3"/>
    <w:rsid w:val="00873A1E"/>
    <w:rsid w:val="008753FF"/>
    <w:rsid w:val="00882FEB"/>
    <w:rsid w:val="008943F9"/>
    <w:rsid w:val="008974F0"/>
    <w:rsid w:val="008A3502"/>
    <w:rsid w:val="008B012A"/>
    <w:rsid w:val="008C28CF"/>
    <w:rsid w:val="008E0E5E"/>
    <w:rsid w:val="008E5C03"/>
    <w:rsid w:val="008F5261"/>
    <w:rsid w:val="009011F4"/>
    <w:rsid w:val="00906E17"/>
    <w:rsid w:val="00912ED3"/>
    <w:rsid w:val="0091500C"/>
    <w:rsid w:val="0092267D"/>
    <w:rsid w:val="0092441C"/>
    <w:rsid w:val="009273EA"/>
    <w:rsid w:val="00930BA1"/>
    <w:rsid w:val="0093169E"/>
    <w:rsid w:val="009457CA"/>
    <w:rsid w:val="009505C9"/>
    <w:rsid w:val="00950752"/>
    <w:rsid w:val="00950774"/>
    <w:rsid w:val="00966424"/>
    <w:rsid w:val="0098077E"/>
    <w:rsid w:val="0098217C"/>
    <w:rsid w:val="009A0630"/>
    <w:rsid w:val="009A1ED7"/>
    <w:rsid w:val="009A41E7"/>
    <w:rsid w:val="009A54E6"/>
    <w:rsid w:val="009B0962"/>
    <w:rsid w:val="009B0CCE"/>
    <w:rsid w:val="009B302E"/>
    <w:rsid w:val="009C2DE6"/>
    <w:rsid w:val="009C7074"/>
    <w:rsid w:val="009D3510"/>
    <w:rsid w:val="009D5F5C"/>
    <w:rsid w:val="009D7DB5"/>
    <w:rsid w:val="009F053A"/>
    <w:rsid w:val="009F13E5"/>
    <w:rsid w:val="009F79C2"/>
    <w:rsid w:val="00A057EC"/>
    <w:rsid w:val="00A06F15"/>
    <w:rsid w:val="00A119DD"/>
    <w:rsid w:val="00A21CF2"/>
    <w:rsid w:val="00A253A5"/>
    <w:rsid w:val="00A32270"/>
    <w:rsid w:val="00A439EF"/>
    <w:rsid w:val="00A50D16"/>
    <w:rsid w:val="00A57BD4"/>
    <w:rsid w:val="00A57BDF"/>
    <w:rsid w:val="00A77C35"/>
    <w:rsid w:val="00A8001A"/>
    <w:rsid w:val="00A87DE8"/>
    <w:rsid w:val="00AA5F50"/>
    <w:rsid w:val="00AA6F92"/>
    <w:rsid w:val="00AA74F4"/>
    <w:rsid w:val="00AB02F9"/>
    <w:rsid w:val="00AB2B16"/>
    <w:rsid w:val="00AB3506"/>
    <w:rsid w:val="00AB6195"/>
    <w:rsid w:val="00AB6934"/>
    <w:rsid w:val="00AC1D15"/>
    <w:rsid w:val="00AD5331"/>
    <w:rsid w:val="00AE7E12"/>
    <w:rsid w:val="00AF04FA"/>
    <w:rsid w:val="00AF42DE"/>
    <w:rsid w:val="00AF6781"/>
    <w:rsid w:val="00B14841"/>
    <w:rsid w:val="00B15B97"/>
    <w:rsid w:val="00B233B5"/>
    <w:rsid w:val="00B23DA5"/>
    <w:rsid w:val="00B316A4"/>
    <w:rsid w:val="00B3369F"/>
    <w:rsid w:val="00B34E45"/>
    <w:rsid w:val="00B36A04"/>
    <w:rsid w:val="00B55E35"/>
    <w:rsid w:val="00B56118"/>
    <w:rsid w:val="00B660FA"/>
    <w:rsid w:val="00B668BC"/>
    <w:rsid w:val="00B771CE"/>
    <w:rsid w:val="00B840D8"/>
    <w:rsid w:val="00B84A69"/>
    <w:rsid w:val="00B928FA"/>
    <w:rsid w:val="00B94E6C"/>
    <w:rsid w:val="00BA709D"/>
    <w:rsid w:val="00BA78DE"/>
    <w:rsid w:val="00BB04F4"/>
    <w:rsid w:val="00BB3CB8"/>
    <w:rsid w:val="00BB4606"/>
    <w:rsid w:val="00BD4399"/>
    <w:rsid w:val="00BE020D"/>
    <w:rsid w:val="00BE4FF6"/>
    <w:rsid w:val="00BF39CF"/>
    <w:rsid w:val="00BF446C"/>
    <w:rsid w:val="00C1369F"/>
    <w:rsid w:val="00C21539"/>
    <w:rsid w:val="00C23D2F"/>
    <w:rsid w:val="00C24861"/>
    <w:rsid w:val="00C443BD"/>
    <w:rsid w:val="00C451C5"/>
    <w:rsid w:val="00C51B75"/>
    <w:rsid w:val="00C53C28"/>
    <w:rsid w:val="00C541AD"/>
    <w:rsid w:val="00C85EAF"/>
    <w:rsid w:val="00C9161D"/>
    <w:rsid w:val="00CA08B5"/>
    <w:rsid w:val="00CA0C1D"/>
    <w:rsid w:val="00CA79CB"/>
    <w:rsid w:val="00CB0165"/>
    <w:rsid w:val="00CB1682"/>
    <w:rsid w:val="00CB465C"/>
    <w:rsid w:val="00CD6FA3"/>
    <w:rsid w:val="00CE1303"/>
    <w:rsid w:val="00CF1848"/>
    <w:rsid w:val="00D12044"/>
    <w:rsid w:val="00D32A0A"/>
    <w:rsid w:val="00D3348D"/>
    <w:rsid w:val="00D33EFC"/>
    <w:rsid w:val="00D36832"/>
    <w:rsid w:val="00D40DBC"/>
    <w:rsid w:val="00D50CDA"/>
    <w:rsid w:val="00D76A18"/>
    <w:rsid w:val="00D80849"/>
    <w:rsid w:val="00D80E07"/>
    <w:rsid w:val="00D82E8F"/>
    <w:rsid w:val="00D84DFD"/>
    <w:rsid w:val="00D910DA"/>
    <w:rsid w:val="00D913FD"/>
    <w:rsid w:val="00D92940"/>
    <w:rsid w:val="00D97713"/>
    <w:rsid w:val="00DA3ADC"/>
    <w:rsid w:val="00DA7C7E"/>
    <w:rsid w:val="00DB4338"/>
    <w:rsid w:val="00DC082A"/>
    <w:rsid w:val="00DC0C1A"/>
    <w:rsid w:val="00DD118C"/>
    <w:rsid w:val="00DE608A"/>
    <w:rsid w:val="00DF1C63"/>
    <w:rsid w:val="00DF42B3"/>
    <w:rsid w:val="00E127B9"/>
    <w:rsid w:val="00E15F4F"/>
    <w:rsid w:val="00E32E3B"/>
    <w:rsid w:val="00E36992"/>
    <w:rsid w:val="00E36FD6"/>
    <w:rsid w:val="00E375D6"/>
    <w:rsid w:val="00E522F5"/>
    <w:rsid w:val="00E549F7"/>
    <w:rsid w:val="00E66235"/>
    <w:rsid w:val="00E715E6"/>
    <w:rsid w:val="00E71EFC"/>
    <w:rsid w:val="00E83C24"/>
    <w:rsid w:val="00E9318D"/>
    <w:rsid w:val="00E966DC"/>
    <w:rsid w:val="00EA52A6"/>
    <w:rsid w:val="00EB3B53"/>
    <w:rsid w:val="00EB7B69"/>
    <w:rsid w:val="00EC315D"/>
    <w:rsid w:val="00ED3E77"/>
    <w:rsid w:val="00EE3C03"/>
    <w:rsid w:val="00EE76C3"/>
    <w:rsid w:val="00EF6418"/>
    <w:rsid w:val="00F03EF6"/>
    <w:rsid w:val="00F05406"/>
    <w:rsid w:val="00F126DB"/>
    <w:rsid w:val="00F1660C"/>
    <w:rsid w:val="00F3550F"/>
    <w:rsid w:val="00F4103F"/>
    <w:rsid w:val="00F420BD"/>
    <w:rsid w:val="00F53193"/>
    <w:rsid w:val="00F55393"/>
    <w:rsid w:val="00F6586C"/>
    <w:rsid w:val="00F800F5"/>
    <w:rsid w:val="00F94774"/>
    <w:rsid w:val="00F97EC3"/>
    <w:rsid w:val="00FA60F9"/>
    <w:rsid w:val="00FA663B"/>
    <w:rsid w:val="00FB3251"/>
    <w:rsid w:val="00FB7B27"/>
    <w:rsid w:val="00FC53DB"/>
    <w:rsid w:val="00FD18CE"/>
    <w:rsid w:val="00FD5883"/>
    <w:rsid w:val="00FE4643"/>
    <w:rsid w:val="00FF403F"/>
    <w:rsid w:val="00FF68A5"/>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2344B5DE"/>
  <w15:docId w15:val="{CD5E7AE2-FF17-4932-AC3F-297471E0A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E09DA"/>
    <w:pPr>
      <w:jc w:val="both"/>
    </w:pPr>
    <w:rPr>
      <w:rFonts w:ascii="Times New Roman" w:eastAsia="Times New Roman" w:hAnsi="Times New Roman" w:cs="Times New Roman"/>
      <w:sz w:val="22"/>
    </w:rPr>
  </w:style>
  <w:style w:type="paragraph" w:styleId="Heading1">
    <w:name w:val="heading 1"/>
    <w:aliases w:val="Outline1"/>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6122BA"/>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E09DA"/>
    <w:pPr>
      <w:keepNext/>
      <w:numPr>
        <w:ilvl w:val="4"/>
        <w:numId w:val="1"/>
      </w:numPr>
      <w:spacing w:before="120" w:after="120"/>
      <w:jc w:val="left"/>
      <w:outlineLvl w:val="4"/>
    </w:pPr>
    <w:rPr>
      <w:bCs/>
      <w:i/>
      <w:szCs w:val="26"/>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hAnsi="Lucida Grande" w:cs="Lucida Grande"/>
      <w:sz w:val="18"/>
      <w:szCs w:val="18"/>
    </w:rPr>
  </w:style>
  <w:style w:type="character" w:styleId="PlaceholderText">
    <w:name w:val="Placeholder Text"/>
    <w:basedOn w:val="DefaultParagraphFont"/>
    <w:uiPriority w:val="99"/>
    <w:semiHidden/>
    <w:rsid w:val="00105372"/>
    <w:rPr>
      <w:color w:val="808080"/>
    </w:rPr>
  </w:style>
  <w:style w:type="paragraph" w:styleId="Header">
    <w:name w:val="header"/>
    <w:basedOn w:val="Normal"/>
    <w:link w:val="HeaderChar"/>
    <w:rsid w:val="007E09DA"/>
    <w:pPr>
      <w:tabs>
        <w:tab w:val="center" w:pos="4320"/>
        <w:tab w:val="right" w:pos="8640"/>
      </w:tabs>
    </w:pPr>
  </w:style>
  <w:style w:type="character" w:customStyle="1" w:styleId="HeaderChar">
    <w:name w:val="Header Char"/>
    <w:basedOn w:val="DefaultParagraphFont"/>
    <w:link w:val="Header"/>
    <w:rsid w:val="00CF1848"/>
    <w:rPr>
      <w:rFonts w:ascii="Times New Roman" w:eastAsia="Times New Roman" w:hAnsi="Times New Roman" w:cs="Times New Roman"/>
      <w:sz w:val="22"/>
    </w:rPr>
  </w:style>
  <w:style w:type="paragraph" w:styleId="Footer">
    <w:name w:val="footer"/>
    <w:basedOn w:val="Normal"/>
    <w:link w:val="FooterChar"/>
    <w:rsid w:val="007E09DA"/>
    <w:pPr>
      <w:tabs>
        <w:tab w:val="center" w:pos="4320"/>
        <w:tab w:val="right" w:pos="8640"/>
      </w:tabs>
      <w:ind w:firstLine="720"/>
      <w:jc w:val="right"/>
    </w:pPr>
  </w:style>
  <w:style w:type="character" w:customStyle="1" w:styleId="FooterChar">
    <w:name w:val="Footer Char"/>
    <w:basedOn w:val="DefaultParagraphFont"/>
    <w:link w:val="Footer"/>
    <w:rsid w:val="00CF1848"/>
    <w:rPr>
      <w:rFonts w:ascii="Times New Roman" w:eastAsia="Times New Roman" w:hAnsi="Times New Roman" w:cs="Times New Roman"/>
      <w:sz w:val="22"/>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F81BD" w:themeColor="accent1"/>
      <w:spacing w:val="15"/>
    </w:rPr>
  </w:style>
  <w:style w:type="character" w:customStyle="1" w:styleId="Heading1Char">
    <w:name w:val="Heading 1 Char"/>
    <w:aliases w:val="Outline1 Char"/>
    <w:basedOn w:val="DefaultParagraphFont"/>
    <w:link w:val="Heading1"/>
    <w:rsid w:val="007E09DA"/>
    <w:rPr>
      <w:rFonts w:ascii="Times New Roman" w:eastAsia="Times New Roman" w:hAnsi="Times New Roman" w:cs="Times New Roman"/>
      <w:b/>
      <w:caps/>
      <w:sz w:val="22"/>
    </w:rPr>
  </w:style>
  <w:style w:type="paragraph" w:styleId="BodyText">
    <w:name w:val="Body Text"/>
    <w:basedOn w:val="Normal"/>
    <w:link w:val="BodyTextChar"/>
    <w:rsid w:val="007E09DA"/>
    <w:pPr>
      <w:spacing w:before="120" w:after="120"/>
      <w:ind w:firstLine="720"/>
    </w:pPr>
    <w:rPr>
      <w:iCs/>
    </w:rPr>
  </w:style>
  <w:style w:type="character" w:customStyle="1" w:styleId="BodyTextChar">
    <w:name w:val="Body Text Char"/>
    <w:basedOn w:val="DefaultParagraphFont"/>
    <w:link w:val="BodyText"/>
    <w:rsid w:val="007E09DA"/>
    <w:rPr>
      <w:rFonts w:ascii="Times New Roman" w:eastAsia="Times New Roman" w:hAnsi="Times New Roman" w:cs="Times New Roman"/>
      <w:iCs/>
      <w:sz w:val="22"/>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rPr>
  </w:style>
  <w:style w:type="character" w:styleId="CommentReference">
    <w:name w:val="annotation reference"/>
    <w:semiHidden/>
    <w:rsid w:val="007E09DA"/>
    <w:rPr>
      <w:sz w:val="16"/>
    </w:rPr>
  </w:style>
  <w:style w:type="paragraph" w:styleId="CommentText">
    <w:name w:val="annotation text"/>
    <w:basedOn w:val="Normal"/>
    <w:link w:val="CommentTextChar"/>
    <w:semiHidden/>
    <w:rsid w:val="007E09DA"/>
    <w:pPr>
      <w:spacing w:after="120" w:line="240" w:lineRule="exact"/>
    </w:pPr>
  </w:style>
  <w:style w:type="character" w:customStyle="1" w:styleId="CommentTextChar">
    <w:name w:val="Comment Text Char"/>
    <w:basedOn w:val="DefaultParagraphFont"/>
    <w:link w:val="CommentText"/>
    <w:semiHidden/>
    <w:rsid w:val="007E09DA"/>
    <w:rPr>
      <w:rFonts w:ascii="Times New Roman" w:eastAsia="Times New Roman" w:hAnsi="Times New Roman" w:cs="Times New Roman"/>
      <w:sz w:val="22"/>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Times New Roman" w:hAnsi="Courier New" w:cs="Times New Roman"/>
      <w:sz w:val="22"/>
    </w:rPr>
  </w:style>
  <w:style w:type="character" w:styleId="FollowedHyperlink">
    <w:name w:val="FollowedHyperlink"/>
    <w:rsid w:val="007E09DA"/>
    <w:rPr>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
    <w:link w:val="BVIfnrChar"/>
    <w:qFormat/>
    <w:rsid w:val="00427D21"/>
    <w:rPr>
      <w:sz w:val="22"/>
      <w:u w:val="none"/>
      <w:vertAlign w:val="superscript"/>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
    <w:basedOn w:val="Normal"/>
    <w:link w:val="FootnoteTextChar"/>
    <w:qFormat/>
    <w:rsid w:val="007E09DA"/>
    <w:pPr>
      <w:keepLines/>
      <w:spacing w:after="60"/>
      <w:ind w:firstLine="720"/>
    </w:pPr>
    <w:rPr>
      <w:sz w:val="18"/>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rsid w:val="007E09DA"/>
    <w:rPr>
      <w:rFonts w:ascii="Times New Roman" w:eastAsia="Times New Roman" w:hAnsi="Times New Roman" w:cs="Times New Roman"/>
      <w:sz w:val="18"/>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rsid w:val="006122BA"/>
    <w:rPr>
      <w:rFonts w:ascii="Times New Roman" w:eastAsia="Times New Roman" w:hAnsi="Times New Roman" w:cs="Times New Roman"/>
      <w:b/>
      <w:bCs/>
      <w:iCs/>
      <w:sz w:val="22"/>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
    <w:rsid w:val="007E09DA"/>
    <w:rPr>
      <w:rFonts w:ascii="Times New Roman Bold" w:eastAsia="Arial Unicode MS" w:hAnsi="Times New Roman Bold" w:cs="Arial"/>
      <w:b/>
      <w:bCs/>
      <w:i/>
      <w:sz w:val="22"/>
    </w:rPr>
  </w:style>
  <w:style w:type="paragraph" w:customStyle="1" w:styleId="Heading4indent">
    <w:name w:val="Heading 4 indent"/>
    <w:basedOn w:val="Heading4"/>
    <w:rsid w:val="007E09DA"/>
    <w:pPr>
      <w:ind w:left="720"/>
      <w:outlineLvl w:val="9"/>
    </w:pPr>
    <w:rPr>
      <w:rFonts w:ascii="Times New Roman" w:hAnsi="Times New Roman"/>
    </w:rPr>
  </w:style>
  <w:style w:type="character" w:customStyle="1" w:styleId="Heading5Char">
    <w:name w:val="Heading 5 Char"/>
    <w:basedOn w:val="DefaultParagraphFont"/>
    <w:link w:val="Heading5"/>
    <w:rsid w:val="007E09DA"/>
    <w:rPr>
      <w:rFonts w:ascii="Times New Roman" w:eastAsia="Times New Roman" w:hAnsi="Times New Roman" w:cs="Times New Roman"/>
      <w:bCs/>
      <w:i/>
      <w:sz w:val="22"/>
      <w:szCs w:val="26"/>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rPr>
  </w:style>
  <w:style w:type="character" w:customStyle="1" w:styleId="Heading7Char">
    <w:name w:val="Heading 7 Char"/>
    <w:basedOn w:val="DefaultParagraphFont"/>
    <w:link w:val="Heading7"/>
    <w:rsid w:val="007E09DA"/>
    <w:rPr>
      <w:rFonts w:ascii="Univers" w:eastAsia="Times New Roman" w:hAnsi="Univers" w:cs="Times New Roman"/>
      <w:b/>
      <w:sz w:val="28"/>
    </w:rPr>
  </w:style>
  <w:style w:type="character" w:customStyle="1" w:styleId="Heading8Char">
    <w:name w:val="Heading 8 Char"/>
    <w:basedOn w:val="DefaultParagraphFont"/>
    <w:link w:val="Heading8"/>
    <w:rsid w:val="007E09DA"/>
    <w:rPr>
      <w:rFonts w:ascii="Univers" w:eastAsia="Times New Roman" w:hAnsi="Univers" w:cs="Times New Roman"/>
      <w:b/>
      <w:sz w:val="32"/>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rPr>
  </w:style>
  <w:style w:type="character" w:styleId="PageNumber">
    <w:name w:val="page number"/>
    <w:rsid w:val="007E09DA"/>
    <w:rPr>
      <w:rFonts w:ascii="Times New Roman" w:hAnsi="Times New Roman"/>
      <w:sz w:val="22"/>
    </w:rPr>
  </w:style>
  <w:style w:type="paragraph" w:customStyle="1" w:styleId="Para1">
    <w:name w:val="Para1"/>
    <w:basedOn w:val="Normal"/>
    <w:link w:val="Para1Char"/>
    <w:rsid w:val="00427D21"/>
    <w:pPr>
      <w:numPr>
        <w:numId w:val="4"/>
      </w:numPr>
      <w:tabs>
        <w:tab w:val="clear" w:pos="360"/>
      </w:tabs>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93169E"/>
    <w:pPr>
      <w:jc w:val="left"/>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semiHidden/>
    <w:rsid w:val="007E09DA"/>
    <w:pPr>
      <w:ind w:left="720" w:hanging="720"/>
    </w:pPr>
    <w:rPr>
      <w:caps/>
    </w:rPr>
  </w:style>
  <w:style w:type="paragraph" w:styleId="TOC2">
    <w:name w:val="toc 2"/>
    <w:basedOn w:val="Normal"/>
    <w:next w:val="Normal"/>
    <w:autoRedefine/>
    <w:semiHidden/>
    <w:rsid w:val="007E09DA"/>
    <w:pPr>
      <w:tabs>
        <w:tab w:val="right" w:leader="dot" w:pos="9356"/>
      </w:tabs>
      <w:ind w:left="1440" w:hanging="720"/>
    </w:pPr>
    <w:rPr>
      <w:noProof/>
      <w:szCs w:val="22"/>
    </w:rPr>
  </w:style>
  <w:style w:type="paragraph" w:styleId="TOC3">
    <w:name w:val="toc 3"/>
    <w:basedOn w:val="Normal"/>
    <w:next w:val="Normal"/>
    <w:autoRedefine/>
    <w:semiHidden/>
    <w:rsid w:val="007E09DA"/>
    <w:pPr>
      <w:ind w:left="2160" w:hanging="720"/>
    </w:pPr>
  </w:style>
  <w:style w:type="paragraph" w:styleId="TOC4">
    <w:name w:val="toc 4"/>
    <w:basedOn w:val="Normal"/>
    <w:next w:val="Normal"/>
    <w:autoRedefine/>
    <w:semiHidden/>
    <w:rsid w:val="007E09DA"/>
    <w:pPr>
      <w:spacing w:before="120" w:after="120"/>
      <w:ind w:left="660"/>
      <w:jc w:val="left"/>
    </w:pPr>
  </w:style>
  <w:style w:type="paragraph" w:styleId="TOC5">
    <w:name w:val="toc 5"/>
    <w:basedOn w:val="Normal"/>
    <w:next w:val="Normal"/>
    <w:autoRedefine/>
    <w:semiHidden/>
    <w:rsid w:val="007E09DA"/>
    <w:pPr>
      <w:spacing w:before="120" w:after="120"/>
      <w:ind w:left="880"/>
      <w:jc w:val="left"/>
    </w:pPr>
  </w:style>
  <w:style w:type="paragraph" w:styleId="TOC6">
    <w:name w:val="toc 6"/>
    <w:basedOn w:val="Normal"/>
    <w:next w:val="Normal"/>
    <w:autoRedefine/>
    <w:semiHidden/>
    <w:rsid w:val="007E09DA"/>
    <w:pPr>
      <w:spacing w:before="120" w:after="120"/>
      <w:ind w:left="1100"/>
      <w:jc w:val="left"/>
    </w:pPr>
  </w:style>
  <w:style w:type="paragraph" w:styleId="TOC7">
    <w:name w:val="toc 7"/>
    <w:basedOn w:val="Normal"/>
    <w:next w:val="Normal"/>
    <w:autoRedefine/>
    <w:semiHidden/>
    <w:rsid w:val="007E09DA"/>
    <w:pPr>
      <w:spacing w:before="120" w:after="120"/>
      <w:ind w:left="1320"/>
      <w:jc w:val="left"/>
    </w:pPr>
  </w:style>
  <w:style w:type="paragraph" w:styleId="TOC8">
    <w:name w:val="toc 8"/>
    <w:basedOn w:val="Normal"/>
    <w:next w:val="Normal"/>
    <w:autoRedefine/>
    <w:semiHidden/>
    <w:rsid w:val="007E09DA"/>
    <w:pPr>
      <w:spacing w:before="120" w:after="120"/>
      <w:ind w:left="1540"/>
      <w:jc w:val="left"/>
    </w:pPr>
  </w:style>
  <w:style w:type="paragraph" w:styleId="TOC9">
    <w:name w:val="toc 9"/>
    <w:basedOn w:val="Normal"/>
    <w:next w:val="Normal"/>
    <w:autoRedefine/>
    <w:semiHidden/>
    <w:rsid w:val="007E09DA"/>
    <w:pPr>
      <w:spacing w:before="120" w:after="120"/>
      <w:ind w:left="1760"/>
      <w:jc w:val="left"/>
    </w:pPr>
  </w:style>
  <w:style w:type="character" w:styleId="Hyperlink">
    <w:name w:val="Hyperlink"/>
    <w:uiPriority w:val="99"/>
    <w:rsid w:val="00172AF6"/>
    <w:rPr>
      <w:color w:val="0000FF"/>
      <w:sz w:val="18"/>
      <w:u w:val="single"/>
    </w:rPr>
  </w:style>
  <w:style w:type="character" w:customStyle="1" w:styleId="Para1Char">
    <w:name w:val="Para1 Char"/>
    <w:link w:val="Para1"/>
    <w:locked/>
    <w:rsid w:val="00427D21"/>
    <w:rPr>
      <w:rFonts w:ascii="Times New Roman" w:eastAsia="Times New Roman" w:hAnsi="Times New Roman" w:cs="Times New Roman"/>
      <w:snapToGrid w:val="0"/>
      <w:sz w:val="22"/>
      <w:szCs w:val="18"/>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ListParagraph">
    <w:name w:val="List Paragraph"/>
    <w:basedOn w:val="Normal"/>
    <w:uiPriority w:val="34"/>
    <w:qFormat/>
    <w:rsid w:val="0093169E"/>
    <w:pPr>
      <w:ind w:left="720"/>
      <w:contextualSpacing/>
    </w:pPr>
  </w:style>
  <w:style w:type="paragraph" w:styleId="Caption">
    <w:name w:val="caption"/>
    <w:basedOn w:val="Normal"/>
    <w:next w:val="Normal"/>
    <w:uiPriority w:val="35"/>
    <w:unhideWhenUsed/>
    <w:qFormat/>
    <w:rsid w:val="00D12044"/>
    <w:pPr>
      <w:keepNext/>
      <w:keepLines/>
      <w:spacing w:after="200"/>
    </w:pPr>
    <w:rPr>
      <w:b/>
      <w:iCs/>
      <w:szCs w:val="18"/>
    </w:rPr>
  </w:style>
  <w:style w:type="paragraph" w:customStyle="1" w:styleId="Style1">
    <w:name w:val="Style1"/>
    <w:basedOn w:val="Heading2"/>
    <w:qFormat/>
    <w:rsid w:val="00F6586C"/>
    <w:rPr>
      <w:i/>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rsid w:val="00E36FD6"/>
    <w:pPr>
      <w:spacing w:before="120" w:after="160" w:line="240" w:lineRule="exact"/>
      <w:jc w:val="left"/>
    </w:pPr>
    <w:rPr>
      <w:rFonts w:asciiTheme="minorHAnsi" w:eastAsiaTheme="minorEastAsia" w:hAnsiTheme="minorHAnsi" w:cstheme="minorBidi"/>
      <w:vertAlign w:val="superscript"/>
    </w:rPr>
  </w:style>
  <w:style w:type="paragraph" w:customStyle="1" w:styleId="StylePara1Kernat11pt">
    <w:name w:val="Style Para1 + Kern at 11 pt"/>
    <w:basedOn w:val="Para1"/>
    <w:rsid w:val="00E36FD6"/>
    <w:pPr>
      <w:numPr>
        <w:numId w:val="0"/>
      </w:numPr>
      <w:jc w:val="left"/>
    </w:pPr>
    <w:rPr>
      <w:kern w:val="22"/>
      <w:sz w:val="24"/>
    </w:rPr>
  </w:style>
  <w:style w:type="paragraph" w:customStyle="1" w:styleId="CharChar12">
    <w:name w:val="Char Char12"/>
    <w:basedOn w:val="Normal"/>
    <w:rsid w:val="00E36FD6"/>
  </w:style>
  <w:style w:type="paragraph" w:styleId="CommentSubject">
    <w:name w:val="annotation subject"/>
    <w:basedOn w:val="CommentText"/>
    <w:next w:val="CommentText"/>
    <w:link w:val="CommentSubjectChar"/>
    <w:uiPriority w:val="99"/>
    <w:semiHidden/>
    <w:unhideWhenUsed/>
    <w:rsid w:val="009011F4"/>
    <w:pPr>
      <w:spacing w:after="0" w:line="240" w:lineRule="auto"/>
    </w:pPr>
    <w:rPr>
      <w:b/>
      <w:bCs/>
      <w:sz w:val="20"/>
      <w:szCs w:val="20"/>
    </w:rPr>
  </w:style>
  <w:style w:type="character" w:customStyle="1" w:styleId="CommentSubjectChar">
    <w:name w:val="Comment Subject Char"/>
    <w:basedOn w:val="CommentTextChar"/>
    <w:link w:val="CommentSubject"/>
    <w:uiPriority w:val="99"/>
    <w:semiHidden/>
    <w:rsid w:val="009011F4"/>
    <w:rPr>
      <w:rFonts w:ascii="Times New Roman" w:eastAsia="Times New Roman" w:hAnsi="Times New Roman" w:cs="Times New Roman"/>
      <w:b/>
      <w:bCs/>
      <w:sz w:val="20"/>
      <w:szCs w:val="20"/>
    </w:rPr>
  </w:style>
  <w:style w:type="character" w:customStyle="1" w:styleId="UnresolvedMention1">
    <w:name w:val="Unresolved Mention1"/>
    <w:basedOn w:val="DefaultParagraphFont"/>
    <w:uiPriority w:val="99"/>
    <w:semiHidden/>
    <w:unhideWhenUsed/>
    <w:rsid w:val="008612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yperlink" Target="https://www.cbd.int/doc/decisions/cop-12/cop-12-dec-09-fr.pdf" TargetMode="External"/><Relationship Id="rId2" Type="http://schemas.openxmlformats.org/officeDocument/2006/relationships/customXml" Target="../customXml/item2.xml"/><Relationship Id="rId16" Type="http://schemas.openxmlformats.org/officeDocument/2006/relationships/hyperlink" Target="https://www.cbd.int/doc/decisions/cop-10/cop-10-dec-22-fr.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cbd.int/doc/decisions/cop-05/full/cop-05-dec-fr.pdf" TargetMode="Externa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cbd.int/subnational/partners-and-initiatives/global-partnership/advisory-committee-on-sub-national-government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91F815427754D9BA6571111AFF15602"/>
        <w:category>
          <w:name w:val="General"/>
          <w:gallery w:val="placeholder"/>
        </w:category>
        <w:types>
          <w:type w:val="bbPlcHdr"/>
        </w:types>
        <w:behaviors>
          <w:behavior w:val="content"/>
        </w:behaviors>
        <w:guid w:val="{A232002E-BE82-445E-9ECF-0BE8B784A5C1}"/>
      </w:docPartPr>
      <w:docPartBody>
        <w:p w:rsidR="0098642F" w:rsidRDefault="008C6619">
          <w:r w:rsidRPr="006D0F48">
            <w:rPr>
              <w:rStyle w:val="PlaceholderText"/>
            </w:rPr>
            <w:t>[Subject]</w:t>
          </w:r>
        </w:p>
      </w:docPartBody>
    </w:docPart>
    <w:docPart>
      <w:docPartPr>
        <w:name w:val="9E64A1B551BC4D48B19DB33F17A999C0"/>
        <w:category>
          <w:name w:val="General"/>
          <w:gallery w:val="placeholder"/>
        </w:category>
        <w:types>
          <w:type w:val="bbPlcHdr"/>
        </w:types>
        <w:behaviors>
          <w:behavior w:val="content"/>
        </w:behaviors>
        <w:guid w:val="{A97503CA-196A-4545-A30F-592581E2E56B}"/>
      </w:docPartPr>
      <w:docPartBody>
        <w:p w:rsidR="0098642F" w:rsidRDefault="008C6619">
          <w:r w:rsidRPr="006D0F48">
            <w:rPr>
              <w:rStyle w:val="PlaceholderText"/>
            </w:rPr>
            <w:t>[Subject]</w:t>
          </w:r>
        </w:p>
      </w:docPartBody>
    </w:docPart>
    <w:docPart>
      <w:docPartPr>
        <w:name w:val="DEB3D15D65F94EBCBBF86A39C4735019"/>
        <w:category>
          <w:name w:val="General"/>
          <w:gallery w:val="placeholder"/>
        </w:category>
        <w:types>
          <w:type w:val="bbPlcHdr"/>
        </w:types>
        <w:behaviors>
          <w:behavior w:val="content"/>
        </w:behaviors>
        <w:guid w:val="{0621E053-1B7A-4CF4-890F-C24618825622}"/>
      </w:docPartPr>
      <w:docPartBody>
        <w:p w:rsidR="007234F7" w:rsidRDefault="00A11FD6" w:rsidP="00A11FD6">
          <w:pPr>
            <w:pStyle w:val="DEB3D15D65F94EBCBBF86A39C4735019"/>
          </w:pPr>
          <w:r>
            <w:rPr>
              <w:rStyle w:val="PlaceholderText"/>
            </w:rPr>
            <w:t>[Subject]</w:t>
          </w:r>
        </w:p>
      </w:docPartBody>
    </w:docPart>
    <w:docPart>
      <w:docPartPr>
        <w:name w:val="30B4131DB8CB4E0CAA77A45A5FC1D85A"/>
        <w:category>
          <w:name w:val="Général"/>
          <w:gallery w:val="placeholder"/>
        </w:category>
        <w:types>
          <w:type w:val="bbPlcHdr"/>
        </w:types>
        <w:behaviors>
          <w:behavior w:val="content"/>
        </w:behaviors>
        <w:guid w:val="{89864FEF-4FE3-41BC-87F9-372B36B542BB}"/>
      </w:docPartPr>
      <w:docPartBody>
        <w:p w:rsidR="008B2218" w:rsidRDefault="002B4479" w:rsidP="002B4479">
          <w:pPr>
            <w:pStyle w:val="30B4131DB8CB4E0CAA77A45A5FC1D85A"/>
          </w:pPr>
          <w:r w:rsidRPr="007E02EB">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altName w:val="Univers"/>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0A55"/>
    <w:rsid w:val="001011E7"/>
    <w:rsid w:val="00174F51"/>
    <w:rsid w:val="001A03F0"/>
    <w:rsid w:val="001B5ABD"/>
    <w:rsid w:val="002A01D8"/>
    <w:rsid w:val="002A3DDC"/>
    <w:rsid w:val="002B4479"/>
    <w:rsid w:val="003B73CF"/>
    <w:rsid w:val="00412693"/>
    <w:rsid w:val="0046422C"/>
    <w:rsid w:val="004760CF"/>
    <w:rsid w:val="004E092F"/>
    <w:rsid w:val="004E2B72"/>
    <w:rsid w:val="00500A2B"/>
    <w:rsid w:val="005225D9"/>
    <w:rsid w:val="0058288D"/>
    <w:rsid w:val="00665C6B"/>
    <w:rsid w:val="006801B3"/>
    <w:rsid w:val="007234F7"/>
    <w:rsid w:val="00724641"/>
    <w:rsid w:val="00810A55"/>
    <w:rsid w:val="008B2218"/>
    <w:rsid w:val="008C6619"/>
    <w:rsid w:val="008D420E"/>
    <w:rsid w:val="008D6760"/>
    <w:rsid w:val="0098642F"/>
    <w:rsid w:val="00A11FD6"/>
    <w:rsid w:val="00A57685"/>
    <w:rsid w:val="00B0397C"/>
    <w:rsid w:val="00B43B38"/>
    <w:rsid w:val="00BB5BB3"/>
    <w:rsid w:val="00C07287"/>
    <w:rsid w:val="00C33360"/>
    <w:rsid w:val="00C8104B"/>
    <w:rsid w:val="00CF0892"/>
    <w:rsid w:val="00D31D1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2B4479"/>
  </w:style>
  <w:style w:type="paragraph" w:customStyle="1" w:styleId="DEB3D15D65F94EBCBBF86A39C4735019">
    <w:name w:val="DEB3D15D65F94EBCBBF86A39C4735019"/>
    <w:rsid w:val="00A11FD6"/>
    <w:pPr>
      <w:spacing w:after="160" w:line="259" w:lineRule="auto"/>
    </w:pPr>
    <w:rPr>
      <w:lang w:val="fr-FR" w:eastAsia="fr-FR"/>
    </w:rPr>
  </w:style>
  <w:style w:type="paragraph" w:customStyle="1" w:styleId="30B4131DB8CB4E0CAA77A45A5FC1D85A">
    <w:name w:val="30B4131DB8CB4E0CAA77A45A5FC1D85A"/>
    <w:rsid w:val="002B4479"/>
    <w:pPr>
      <w:spacing w:after="160" w:line="259" w:lineRule="auto"/>
    </w:pPr>
    <w:rPr>
      <w:lang w:val="fr-CA" w:eastAsia="fr-C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date xx 2019</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2" ma:contentTypeDescription="Create a new document." ma:contentTypeScope="" ma:versionID="b2940eda6149edcb6b242f529514f291">
  <xsd:schema xmlns:xsd="http://www.w3.org/2001/XMLSchema" xmlns:xs="http://www.w3.org/2001/XMLSchema" xmlns:p="http://schemas.microsoft.com/office/2006/metadata/properties" xmlns:ns2="358298e0-1b7e-4ebe-8695-94439b74f0d1" xmlns:ns3="13ad741f-c0db-4e29-b5a6-03b4a1bc18ba" targetNamespace="http://schemas.microsoft.com/office/2006/metadata/properties" ma:root="true" ma:fieldsID="22b615662ec7a5f2ba2633737ce3087f" ns2:_="" ns3:_="">
    <xsd:import namespace="358298e0-1b7e-4ebe-8695-94439b74f0d1"/>
    <xsd:import namespace="13ad741f-c0db-4e29-b5a6-03b4a1bc18b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2BAD42C-1DC6-49A0-8A77-BC87126E0AA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A575E19-A967-4A56-BA3D-7C93CA987D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57C228B-262D-4418-9EAD-4DA8699E5020}">
  <ds:schemaRefs>
    <ds:schemaRef ds:uri="http://schemas.microsoft.com/sharepoint/v3/contenttype/forms"/>
  </ds:schemaRefs>
</ds:datastoreItem>
</file>

<file path=customXml/itemProps5.xml><?xml version="1.0" encoding="utf-8"?>
<ds:datastoreItem xmlns:ds="http://schemas.openxmlformats.org/officeDocument/2006/customXml" ds:itemID="{914923F2-BFEA-44CF-8C54-97EE55B4A4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TotalTime>
  <Pages>7</Pages>
  <Words>2947</Words>
  <Characters>16803</Characters>
  <Application>Microsoft Office Word</Application>
  <DocSecurity>0</DocSecurity>
  <Lines>140</Lines>
  <Paragraphs>39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collaboration avec les autorités infranationales, les municipalites et autres autorités locales en vue de renforcer la mise en œuvre du cadre mondial de la biodiversité pour l’après-2020</vt:lpstr>
      <vt:lpstr>collaboration avec les autorités infranationales, les municipalites et autres autorités locales en vue de renforcer la mise en œuvre du cadre mondial de la biodiversité pour l’après-2020</vt:lpstr>
    </vt:vector>
  </TitlesOfParts>
  <Company>SCBD</Company>
  <LinksUpToDate>false</LinksUpToDate>
  <CharactersWithSpaces>19711</CharactersWithSpaces>
  <SharedDoc>false</SharedDoc>
  <HLinks>
    <vt:vector size="36" baseType="variant">
      <vt:variant>
        <vt:i4>327755</vt:i4>
      </vt:variant>
      <vt:variant>
        <vt:i4>9</vt:i4>
      </vt:variant>
      <vt:variant>
        <vt:i4>0</vt:i4>
      </vt:variant>
      <vt:variant>
        <vt:i4>5</vt:i4>
      </vt:variant>
      <vt:variant>
        <vt:lpwstr>https://www.cbd.int/decision/cop/?id=7148</vt:lpwstr>
      </vt:variant>
      <vt:variant>
        <vt:lpwstr/>
      </vt:variant>
      <vt:variant>
        <vt:i4>76</vt:i4>
      </vt:variant>
      <vt:variant>
        <vt:i4>6</vt:i4>
      </vt:variant>
      <vt:variant>
        <vt:i4>0</vt:i4>
      </vt:variant>
      <vt:variant>
        <vt:i4>5</vt:i4>
      </vt:variant>
      <vt:variant>
        <vt:lpwstr>https://www.cbd.int/doc/decisions/cop-12/cop-12-dec-09-en.pdf</vt:lpwstr>
      </vt:variant>
      <vt:variant>
        <vt:lpwstr/>
      </vt:variant>
      <vt:variant>
        <vt:i4>589900</vt:i4>
      </vt:variant>
      <vt:variant>
        <vt:i4>3</vt:i4>
      </vt:variant>
      <vt:variant>
        <vt:i4>0</vt:i4>
      </vt:variant>
      <vt:variant>
        <vt:i4>5</vt:i4>
      </vt:variant>
      <vt:variant>
        <vt:lpwstr>https://www.cbd.int/doc/decisions/cop-10/cop-10-dec-22-en.pdf</vt:lpwstr>
      </vt:variant>
      <vt:variant>
        <vt:lpwstr/>
      </vt:variant>
      <vt:variant>
        <vt:i4>6815784</vt:i4>
      </vt:variant>
      <vt:variant>
        <vt:i4>0</vt:i4>
      </vt:variant>
      <vt:variant>
        <vt:i4>0</vt:i4>
      </vt:variant>
      <vt:variant>
        <vt:i4>5</vt:i4>
      </vt:variant>
      <vt:variant>
        <vt:lpwstr>https://www.cbd.int/doc/meetings/esa/ecosys-01/other/ecosys-01-dec-cop-05-06-en.pdf</vt:lpwstr>
      </vt:variant>
      <vt:variant>
        <vt:lpwstr/>
      </vt:variant>
      <vt:variant>
        <vt:i4>7995451</vt:i4>
      </vt:variant>
      <vt:variant>
        <vt:i4>12</vt:i4>
      </vt:variant>
      <vt:variant>
        <vt:i4>0</vt:i4>
      </vt:variant>
      <vt:variant>
        <vt:i4>5</vt:i4>
      </vt:variant>
      <vt:variant>
        <vt:lpwstr>https://www.cbd.int/subnational/partners-and-initiatives/global-partnership/advisory-committee-on-sub-national-governments</vt:lpwstr>
      </vt:variant>
      <vt:variant>
        <vt:lpwstr/>
      </vt:variant>
      <vt:variant>
        <vt:i4>7995451</vt:i4>
      </vt:variant>
      <vt:variant>
        <vt:i4>9</vt:i4>
      </vt:variant>
      <vt:variant>
        <vt:i4>0</vt:i4>
      </vt:variant>
      <vt:variant>
        <vt:i4>5</vt:i4>
      </vt:variant>
      <vt:variant>
        <vt:lpwstr>https://www.cbd.int/subnational/partners-and-initiatives/global-partnership/advisory-committee-on-sub-national-governments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Collaboration avec les autorités infranationales, les municipalités et autres autorités locales en vue de renforcer la mise en œuvre du cadre mondial de la biodiversité pour l’après-2020</dc:title>
  <dc:subject>CBD/SBI/REC/3/14</dc:subject>
  <dc:creator>SBI-3</dc:creator>
  <cp:keywords>Convention on Biological Diversity, Subsidiary Body on Implementation, third meeting</cp:keywords>
  <cp:lastModifiedBy>Xue He Yan</cp:lastModifiedBy>
  <cp:revision>7</cp:revision>
  <cp:lastPrinted>2020-01-21T19:56:00Z</cp:lastPrinted>
  <dcterms:created xsi:type="dcterms:W3CDTF">2022-05-17T11:59:00Z</dcterms:created>
  <dcterms:modified xsi:type="dcterms:W3CDTF">2022-05-18T18:25:00Z</dcterms:modified>
  <cp:contentStatus>GENERAL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ies>
</file>