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A5AD4" w:rsidRPr="00F80246" w14:paraId="1CDBC100" w14:textId="77777777" w:rsidTr="00B80B5E">
        <w:trPr>
          <w:trHeight w:val="851"/>
        </w:trPr>
        <w:tc>
          <w:tcPr>
            <w:tcW w:w="976" w:type="dxa"/>
            <w:tcBorders>
              <w:bottom w:val="single" w:sz="12" w:space="0" w:color="auto"/>
            </w:tcBorders>
          </w:tcPr>
          <w:p w14:paraId="2083C90B" w14:textId="77777777" w:rsidR="001A5AD4" w:rsidRPr="006F5C7A" w:rsidRDefault="001A5AD4" w:rsidP="009641C9">
            <w:pPr>
              <w:suppressLineNumbers/>
              <w:suppressAutoHyphens/>
              <w:rPr>
                <w:kern w:val="22"/>
              </w:rPr>
            </w:pPr>
            <w:r w:rsidRPr="006F5C7A">
              <w:rPr>
                <w:noProof/>
                <w:kern w:val="22"/>
              </w:rPr>
              <w:drawing>
                <wp:anchor distT="0" distB="0" distL="114300" distR="114300" simplePos="0" relativeHeight="251658241" behindDoc="0" locked="0" layoutInCell="1" allowOverlap="1" wp14:anchorId="64561D6F" wp14:editId="56B40503">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AC45BB2" w14:textId="77777777" w:rsidR="001A5AD4" w:rsidRPr="006F5C7A" w:rsidRDefault="001A5AD4" w:rsidP="009641C9">
            <w:pPr>
              <w:suppressLineNumbers/>
              <w:suppressAutoHyphens/>
              <w:rPr>
                <w:kern w:val="22"/>
              </w:rPr>
            </w:pPr>
            <w:r w:rsidRPr="006F5C7A">
              <w:rPr>
                <w:noProof/>
              </w:rPr>
              <w:drawing>
                <wp:anchor distT="0" distB="0" distL="114300" distR="114300" simplePos="0" relativeHeight="251658240" behindDoc="0" locked="0" layoutInCell="1" allowOverlap="1" wp14:anchorId="53312E30" wp14:editId="18E4CF9F">
                  <wp:simplePos x="0" y="0"/>
                  <wp:positionH relativeFrom="column">
                    <wp:posOffset>153289</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59FEBE6A" w14:textId="77777777" w:rsidR="001A5AD4" w:rsidRPr="006F5C7A" w:rsidRDefault="001A5AD4" w:rsidP="009641C9">
            <w:pPr>
              <w:suppressLineNumbers/>
              <w:suppressAutoHyphens/>
              <w:jc w:val="right"/>
              <w:rPr>
                <w:rFonts w:ascii="Arial" w:hAnsi="Arial" w:cs="Arial"/>
                <w:b/>
                <w:kern w:val="22"/>
                <w:sz w:val="32"/>
                <w:szCs w:val="32"/>
              </w:rPr>
            </w:pPr>
            <w:r w:rsidRPr="006F5C7A">
              <w:rPr>
                <w:rFonts w:ascii="Arial" w:hAnsi="Arial" w:cs="Arial"/>
                <w:b/>
                <w:kern w:val="22"/>
                <w:sz w:val="32"/>
                <w:szCs w:val="32"/>
              </w:rPr>
              <w:t>CBD</w:t>
            </w:r>
          </w:p>
        </w:tc>
      </w:tr>
      <w:tr w:rsidR="00ED13F3" w:rsidRPr="00F80246" w14:paraId="291291FA" w14:textId="77777777" w:rsidTr="00ED13F3">
        <w:tc>
          <w:tcPr>
            <w:tcW w:w="6117" w:type="dxa"/>
            <w:gridSpan w:val="2"/>
            <w:tcBorders>
              <w:top w:val="single" w:sz="12" w:space="0" w:color="auto"/>
              <w:bottom w:val="single" w:sz="36" w:space="0" w:color="auto"/>
            </w:tcBorders>
            <w:vAlign w:val="center"/>
          </w:tcPr>
          <w:p w14:paraId="4BEDCC32" w14:textId="77777777" w:rsidR="00ED13F3" w:rsidRPr="00ED13F3" w:rsidRDefault="00ED13F3" w:rsidP="00ED13F3">
            <w:pPr>
              <w:suppressLineNumbers/>
              <w:suppressAutoHyphens/>
              <w:rPr>
                <w:kern w:val="22"/>
              </w:rPr>
            </w:pPr>
            <w:r w:rsidRPr="00C20F6C">
              <w:rPr>
                <w:noProof/>
                <w:kern w:val="22"/>
              </w:rPr>
              <w:drawing>
                <wp:inline distT="0" distB="0" distL="0" distR="0" wp14:anchorId="4876E7DB" wp14:editId="14A993B4">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9AF4691" w14:textId="28C60F84" w:rsidR="00ED13F3" w:rsidRPr="0092131E" w:rsidRDefault="00ED13F3" w:rsidP="00B75CBC">
            <w:pPr>
              <w:suppressLineNumbers/>
              <w:suppressAutoHyphens/>
              <w:ind w:left="1036"/>
              <w:rPr>
                <w:kern w:val="22"/>
                <w:sz w:val="22"/>
                <w:szCs w:val="22"/>
              </w:rPr>
            </w:pPr>
            <w:r w:rsidRPr="0092131E">
              <w:rPr>
                <w:kern w:val="22"/>
                <w:szCs w:val="22"/>
              </w:rPr>
              <w:t>Distr.</w:t>
            </w:r>
          </w:p>
          <w:p w14:paraId="34330883" w14:textId="57A7B56F" w:rsidR="00ED13F3" w:rsidRPr="0092131E" w:rsidRDefault="00B75CBC" w:rsidP="00B75CBC">
            <w:pPr>
              <w:suppressLineNumbers/>
              <w:suppressAutoHyphens/>
              <w:ind w:left="1036"/>
              <w:rPr>
                <w:kern w:val="22"/>
                <w:sz w:val="22"/>
                <w:szCs w:val="22"/>
              </w:rPr>
            </w:pPr>
            <w:r w:rsidRPr="0092131E">
              <w:rPr>
                <w:caps/>
                <w:kern w:val="22"/>
                <w:szCs w:val="22"/>
              </w:rPr>
              <w:t>GENERAL</w:t>
            </w:r>
          </w:p>
          <w:p w14:paraId="24DA4948" w14:textId="77777777" w:rsidR="00ED13F3" w:rsidRPr="0092131E" w:rsidRDefault="00ED13F3" w:rsidP="00B75CBC">
            <w:pPr>
              <w:suppressLineNumbers/>
              <w:suppressAutoHyphens/>
              <w:ind w:left="1036"/>
              <w:rPr>
                <w:kern w:val="22"/>
                <w:sz w:val="22"/>
                <w:szCs w:val="22"/>
              </w:rPr>
            </w:pPr>
          </w:p>
          <w:p w14:paraId="653A11C4" w14:textId="0CF2875B" w:rsidR="00ED13F3" w:rsidRPr="0092131E" w:rsidRDefault="00BE0C71" w:rsidP="00B75CBC">
            <w:pPr>
              <w:suppressLineNumbers/>
              <w:suppressAutoHyphens/>
              <w:ind w:left="1036"/>
              <w:rPr>
                <w:kern w:val="22"/>
                <w:sz w:val="22"/>
                <w:szCs w:val="22"/>
              </w:rPr>
            </w:pPr>
            <w:sdt>
              <w:sdtPr>
                <w:rPr>
                  <w:kern w:val="22"/>
                  <w:szCs w:val="22"/>
                </w:rPr>
                <w:alias w:val="Subject"/>
                <w:tag w:val=""/>
                <w:id w:val="2137136483"/>
                <w:placeholder>
                  <w:docPart w:val="D1A058E1DDD849AE948955390D3A5AF0"/>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sidRPr="0092131E">
                  <w:rPr>
                    <w:kern w:val="22"/>
                    <w:szCs w:val="22"/>
                  </w:rPr>
                  <w:t>CBD/SBI/REC/3/16</w:t>
                </w:r>
              </w:sdtContent>
            </w:sdt>
          </w:p>
          <w:p w14:paraId="33A71B10" w14:textId="77777777" w:rsidR="00241CF7" w:rsidRPr="002955D6" w:rsidRDefault="00241CF7" w:rsidP="00241CF7">
            <w:pPr>
              <w:suppressLineNumbers/>
              <w:suppressAutoHyphens/>
              <w:ind w:left="1036"/>
              <w:rPr>
                <w:kern w:val="22"/>
                <w:sz w:val="22"/>
                <w:szCs w:val="22"/>
              </w:rPr>
            </w:pPr>
            <w:r w:rsidRPr="0092131E">
              <w:rPr>
                <w:kern w:val="22"/>
                <w:szCs w:val="22"/>
              </w:rPr>
              <w:t>28 March 2022</w:t>
            </w:r>
          </w:p>
          <w:p w14:paraId="48BFC5FC" w14:textId="77777777" w:rsidR="00ED13F3" w:rsidRPr="002955D6" w:rsidRDefault="00ED13F3" w:rsidP="00B75CBC">
            <w:pPr>
              <w:suppressLineNumbers/>
              <w:suppressAutoHyphens/>
              <w:ind w:left="1036"/>
              <w:rPr>
                <w:kern w:val="22"/>
                <w:sz w:val="22"/>
                <w:szCs w:val="22"/>
              </w:rPr>
            </w:pPr>
          </w:p>
          <w:p w14:paraId="001B21CD" w14:textId="77777777" w:rsidR="00ED13F3" w:rsidRPr="0092131E" w:rsidRDefault="00ED13F3" w:rsidP="00B75CBC">
            <w:pPr>
              <w:suppressLineNumbers/>
              <w:suppressAutoHyphens/>
              <w:ind w:left="1036"/>
              <w:rPr>
                <w:kern w:val="22"/>
                <w:sz w:val="22"/>
                <w:szCs w:val="22"/>
              </w:rPr>
            </w:pPr>
            <w:r w:rsidRPr="002955D6">
              <w:rPr>
                <w:kern w:val="22"/>
                <w:szCs w:val="22"/>
              </w:rPr>
              <w:t>ORIGINAL: ENGLISH</w:t>
            </w:r>
          </w:p>
          <w:p w14:paraId="2BEC735D" w14:textId="77777777" w:rsidR="00ED13F3" w:rsidRPr="00ED13F3" w:rsidRDefault="00ED13F3" w:rsidP="00ED13F3">
            <w:pPr>
              <w:suppressLineNumbers/>
              <w:suppressAutoHyphens/>
              <w:rPr>
                <w:kern w:val="22"/>
                <w:sz w:val="22"/>
              </w:rPr>
            </w:pPr>
          </w:p>
        </w:tc>
      </w:tr>
    </w:tbl>
    <w:p w14:paraId="6076C85E" w14:textId="77777777" w:rsidR="00804ABE" w:rsidRPr="00364BC3" w:rsidRDefault="00BD0429" w:rsidP="002955D6">
      <w:pPr>
        <w:suppressLineNumbers/>
        <w:suppressAutoHyphens/>
        <w:ind w:right="4398"/>
        <w:rPr>
          <w:kern w:val="22"/>
        </w:rPr>
      </w:pPr>
      <w:bookmarkStart w:id="0" w:name="Meeting"/>
      <w:r w:rsidRPr="00ED13F3">
        <w:rPr>
          <w:caps/>
          <w:kern w:val="22"/>
        </w:rPr>
        <w:t>SUBSIDIARY BODY ON IMPLEMENTATION</w:t>
      </w:r>
      <w:bookmarkEnd w:id="0"/>
    </w:p>
    <w:p w14:paraId="2624C5CF" w14:textId="77777777" w:rsidR="00804ABE" w:rsidRPr="00ED13F3" w:rsidRDefault="00BD0429" w:rsidP="002955D6">
      <w:pPr>
        <w:suppressLineNumbers/>
        <w:suppressAutoHyphens/>
        <w:ind w:right="4398"/>
        <w:rPr>
          <w:caps/>
          <w:kern w:val="22"/>
        </w:rPr>
      </w:pPr>
      <w:r w:rsidRPr="009F665A">
        <w:rPr>
          <w:snapToGrid w:val="0"/>
          <w:kern w:val="22"/>
          <w:szCs w:val="22"/>
          <w:lang w:eastAsia="nb-NO"/>
        </w:rPr>
        <w:t>Third meeting</w:t>
      </w:r>
    </w:p>
    <w:p w14:paraId="3C4404C2" w14:textId="77777777" w:rsidR="008D135E" w:rsidRDefault="008D135E" w:rsidP="002955D6">
      <w:pPr>
        <w:jc w:val="left"/>
        <w:rPr>
          <w:snapToGrid w:val="0"/>
          <w:kern w:val="22"/>
          <w:szCs w:val="22"/>
          <w:lang w:eastAsia="nb-NO"/>
        </w:rPr>
      </w:pPr>
      <w:r>
        <w:rPr>
          <w:snapToGrid w:val="0"/>
          <w:kern w:val="22"/>
          <w:szCs w:val="22"/>
          <w:lang w:eastAsia="nb-NO"/>
        </w:rPr>
        <w:t>Online, 16 May-13 June 2021 and</w:t>
      </w:r>
    </w:p>
    <w:p w14:paraId="187764F7" w14:textId="77777777" w:rsidR="008D135E" w:rsidRDefault="008D135E" w:rsidP="002955D6">
      <w:pPr>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6EDED8D2" w14:textId="16FCB89D" w:rsidR="00BD0429" w:rsidRPr="00ED13F3" w:rsidRDefault="00230623" w:rsidP="002955D6">
      <w:pPr>
        <w:suppressLineNumbers/>
        <w:suppressAutoHyphens/>
        <w:ind w:right="4398"/>
        <w:rPr>
          <w:caps/>
          <w:kern w:val="22"/>
        </w:rPr>
      </w:pPr>
      <w:r>
        <w:rPr>
          <w:snapToGrid w:val="0"/>
          <w:kern w:val="22"/>
          <w:szCs w:val="22"/>
        </w:rPr>
        <w:t>Agenda i</w:t>
      </w:r>
      <w:r w:rsidR="00BD0429" w:rsidRPr="00C20F6C">
        <w:rPr>
          <w:snapToGrid w:val="0"/>
          <w:kern w:val="22"/>
          <w:szCs w:val="22"/>
        </w:rPr>
        <w:t>tem 12</w:t>
      </w:r>
    </w:p>
    <w:sdt>
      <w:sdtPr>
        <w:rPr>
          <w:rFonts w:eastAsiaTheme="minorHAnsi"/>
          <w:kern w:val="22"/>
        </w:rPr>
        <w:alias w:val="Title"/>
        <w:tag w:val=""/>
        <w:id w:val="1201202219"/>
        <w:placeholder>
          <w:docPart w:val="996C540115DE44FCB7D29127AD839903"/>
        </w:placeholder>
        <w:dataBinding w:prefixMappings="xmlns:ns0='http://purl.org/dc/elements/1.1/' xmlns:ns1='http://schemas.openxmlformats.org/package/2006/metadata/core-properties' " w:xpath="/ns1:coreProperties[1]/ns0:title[1]" w:storeItemID="{6C3C8BC8-F283-45AE-878A-BAB7291924A1}"/>
        <w:text/>
      </w:sdtPr>
      <w:sdtEndPr/>
      <w:sdtContent>
        <w:p w14:paraId="03D4A18A" w14:textId="52C10496" w:rsidR="00CC4E33" w:rsidRPr="00ED13F3" w:rsidRDefault="0048243C" w:rsidP="00ED13F3">
          <w:pPr>
            <w:pStyle w:val="HEADINGNOTFORTOC"/>
            <w:suppressLineNumbers/>
            <w:tabs>
              <w:tab w:val="clear" w:pos="720"/>
            </w:tabs>
            <w:suppressAutoHyphens/>
            <w:rPr>
              <w:rStyle w:val="Heading2Char"/>
              <w:rFonts w:eastAsiaTheme="minorHAnsi"/>
              <w:kern w:val="22"/>
            </w:rPr>
          </w:pPr>
          <w:r>
            <w:rPr>
              <w:rFonts w:eastAsiaTheme="minorHAnsi"/>
              <w:kern w:val="22"/>
            </w:rPr>
            <w:t>RECOMMENDATION ADOPTED BY THE SUBSIDIARY BODY ON IMPLEMENTATION</w:t>
          </w:r>
        </w:p>
      </w:sdtContent>
    </w:sdt>
    <w:p w14:paraId="2A93EFE1" w14:textId="2D4875CD" w:rsidR="00A71C6B" w:rsidRDefault="00A71C6B" w:rsidP="002955D6">
      <w:pPr>
        <w:pStyle w:val="Heading2"/>
        <w:tabs>
          <w:tab w:val="clear" w:pos="720"/>
        </w:tabs>
        <w:spacing w:before="0" w:after="0"/>
        <w:ind w:left="851" w:hanging="851"/>
        <w:jc w:val="left"/>
        <w:rPr>
          <w:lang w:val="en-US"/>
        </w:rPr>
      </w:pPr>
      <w:r>
        <w:t>3/</w:t>
      </w:r>
      <w:r w:rsidR="00E03429">
        <w:t>16</w:t>
      </w:r>
      <w:r>
        <w:t xml:space="preserve">. </w:t>
      </w:r>
      <w:r w:rsidR="00E03429">
        <w:tab/>
      </w:r>
      <w:r>
        <w:t>Specialized international access and benefit-sharing instruments in the context of Article</w:t>
      </w:r>
      <w:r w:rsidR="00663BB8">
        <w:t> </w:t>
      </w:r>
      <w:r>
        <w:t>4, paragraph 4, of the Nagoya Protocol</w:t>
      </w:r>
    </w:p>
    <w:p w14:paraId="622F111A" w14:textId="4FDC10D7" w:rsidR="00617E20" w:rsidRPr="00712D61" w:rsidRDefault="00617E20" w:rsidP="00617E20">
      <w:pPr>
        <w:pStyle w:val="Para1"/>
        <w:numPr>
          <w:ilvl w:val="0"/>
          <w:numId w:val="0"/>
        </w:numPr>
        <w:ind w:firstLine="720"/>
        <w:rPr>
          <w:lang w:val="en-US"/>
        </w:rPr>
      </w:pPr>
      <w:r w:rsidRPr="00712D61">
        <w:rPr>
          <w:lang w:val="en-US"/>
        </w:rPr>
        <w:t xml:space="preserve">The Subsidiary Body on Implementation </w:t>
      </w:r>
      <w:r w:rsidRPr="00CE7AC7">
        <w:rPr>
          <w:i/>
          <w:iCs/>
          <w:lang w:val="en-US"/>
        </w:rPr>
        <w:t>recommends</w:t>
      </w:r>
      <w:r w:rsidRPr="00712D61">
        <w:rPr>
          <w:lang w:val="en-US"/>
        </w:rPr>
        <w:t xml:space="preserve"> that the Conference of the Parties serving as the meeting of the Parties to the Nagoya Protocol adopt a decision along the following lines:</w:t>
      </w:r>
    </w:p>
    <w:p w14:paraId="42B00E14" w14:textId="2CC6025D" w:rsidR="00617E20" w:rsidRPr="00712D61" w:rsidRDefault="00241CF7" w:rsidP="00ED13F3">
      <w:pPr>
        <w:pStyle w:val="Para1"/>
        <w:numPr>
          <w:ilvl w:val="0"/>
          <w:numId w:val="0"/>
        </w:numPr>
        <w:ind w:firstLine="720"/>
        <w:rPr>
          <w:i/>
          <w:iCs/>
          <w:lang w:val="en-US"/>
        </w:rPr>
      </w:pPr>
      <w:r>
        <w:rPr>
          <w:lang w:val="en-US"/>
        </w:rPr>
        <w:t>[</w:t>
      </w:r>
      <w:r w:rsidR="00617E20" w:rsidRPr="00712D61">
        <w:rPr>
          <w:i/>
          <w:iCs/>
          <w:lang w:val="en-US"/>
        </w:rPr>
        <w:t>The Conference of the Parties serving as the meeting of the Parties to the Nagoya Protocol</w:t>
      </w:r>
      <w:r w:rsidR="00617E20">
        <w:rPr>
          <w:i/>
          <w:iCs/>
          <w:lang w:val="en-US"/>
        </w:rPr>
        <w:t xml:space="preserve"> on Access and Benefit-sharing</w:t>
      </w:r>
      <w:r w:rsidR="00617E20" w:rsidRPr="00CE7AC7">
        <w:rPr>
          <w:lang w:val="en-US"/>
        </w:rPr>
        <w:t>,</w:t>
      </w:r>
    </w:p>
    <w:p w14:paraId="7718E3DD" w14:textId="77777777" w:rsidR="00617E20" w:rsidRPr="00C82C11" w:rsidRDefault="00617E20" w:rsidP="00ED13F3">
      <w:pPr>
        <w:suppressLineNumbers/>
        <w:suppressAutoHyphens/>
        <w:spacing w:before="120" w:after="120"/>
        <w:ind w:firstLine="720"/>
        <w:rPr>
          <w:bCs/>
          <w:i/>
          <w:iCs/>
          <w:kern w:val="22"/>
          <w:szCs w:val="22"/>
        </w:rPr>
      </w:pPr>
      <w:r>
        <w:rPr>
          <w:bCs/>
          <w:i/>
          <w:iCs/>
          <w:kern w:val="22"/>
          <w:szCs w:val="22"/>
        </w:rPr>
        <w:t>Recalling</w:t>
      </w:r>
      <w:r>
        <w:rPr>
          <w:bCs/>
          <w:kern w:val="22"/>
          <w:szCs w:val="22"/>
        </w:rPr>
        <w:t xml:space="preserve"> Article 4 of the Nagoya Protocol and decision NP-3/14,</w:t>
      </w:r>
    </w:p>
    <w:p w14:paraId="10EA83E2" w14:textId="4590C053" w:rsidR="00617E20" w:rsidRPr="000B572A" w:rsidRDefault="00617E20" w:rsidP="00ED13F3">
      <w:pPr>
        <w:suppressLineNumbers/>
        <w:suppressAutoHyphens/>
        <w:spacing w:before="120" w:after="120"/>
        <w:ind w:firstLine="720"/>
        <w:rPr>
          <w:bCs/>
          <w:kern w:val="22"/>
          <w:szCs w:val="22"/>
        </w:rPr>
      </w:pPr>
      <w:r>
        <w:rPr>
          <w:kern w:val="22"/>
          <w:szCs w:val="22"/>
        </w:rPr>
        <w:t>[1.</w:t>
      </w:r>
      <w:r>
        <w:rPr>
          <w:kern w:val="22"/>
          <w:szCs w:val="22"/>
        </w:rPr>
        <w:tab/>
      </w:r>
      <w:r>
        <w:rPr>
          <w:i/>
          <w:iCs/>
          <w:kern w:val="22"/>
          <w:szCs w:val="22"/>
        </w:rPr>
        <w:t xml:space="preserve">Takes note </w:t>
      </w:r>
      <w:r w:rsidRPr="00CE7AC7">
        <w:rPr>
          <w:kern w:val="22"/>
          <w:szCs w:val="22"/>
        </w:rPr>
        <w:t>of</w:t>
      </w:r>
      <w:r w:rsidRPr="00034486">
        <w:rPr>
          <w:kern w:val="22"/>
          <w:szCs w:val="22"/>
        </w:rPr>
        <w:t xml:space="preserve"> </w:t>
      </w:r>
      <w:r>
        <w:rPr>
          <w:kern w:val="22"/>
          <w:szCs w:val="22"/>
        </w:rPr>
        <w:t>the indicative criteria for specialized international access and benefit-sharing instruments in the context of Article 4[, paragraph 4,] of the Nagoya Protocol, contained in the annex to the present decision, noting that they are intended to contribute to strengthening coordination and mutual supportiveness between the Nagoya Protocol and other international access and benefit-sharing instruments, without creating a hierarchy among them;]</w:t>
      </w:r>
    </w:p>
    <w:p w14:paraId="0FD22C7A" w14:textId="6FA51232" w:rsidR="00617E20" w:rsidRDefault="00617E20" w:rsidP="00ED13F3">
      <w:pPr>
        <w:suppressLineNumbers/>
        <w:suppressAutoHyphens/>
        <w:spacing w:before="120" w:after="120"/>
        <w:ind w:firstLine="720"/>
        <w:rPr>
          <w:kern w:val="22"/>
          <w:szCs w:val="22"/>
        </w:rPr>
      </w:pPr>
      <w:r>
        <w:rPr>
          <w:kern w:val="22"/>
          <w:szCs w:val="22"/>
        </w:rPr>
        <w:t>2.</w:t>
      </w:r>
      <w:r>
        <w:rPr>
          <w:kern w:val="22"/>
          <w:szCs w:val="22"/>
        </w:rPr>
        <w:tab/>
      </w:r>
      <w:r>
        <w:rPr>
          <w:i/>
          <w:iCs/>
          <w:kern w:val="22"/>
          <w:szCs w:val="22"/>
        </w:rPr>
        <w:t>Invite</w:t>
      </w:r>
      <w:r w:rsidRPr="002955D6">
        <w:rPr>
          <w:i/>
          <w:iCs/>
          <w:kern w:val="22"/>
          <w:szCs w:val="22"/>
        </w:rPr>
        <w:t>s</w:t>
      </w:r>
      <w:r>
        <w:rPr>
          <w:kern w:val="22"/>
          <w:szCs w:val="22"/>
        </w:rPr>
        <w:t xml:space="preserve"> Parties, and other Governments to take into account, consistent with Article 4[, paragraph 4,] of the Nagoya Protocol, each of the indicative criteria in developing and/or applying access and benefit-sharing measures and/or in endorsing international instruments that include provisions on access and benefit-sharing;</w:t>
      </w:r>
    </w:p>
    <w:p w14:paraId="0D0100B7" w14:textId="46FD7349" w:rsidR="00617E20" w:rsidRDefault="00617E20" w:rsidP="00ED13F3">
      <w:pPr>
        <w:suppressLineNumbers/>
        <w:suppressAutoHyphens/>
        <w:spacing w:before="120" w:after="120"/>
        <w:ind w:firstLine="720"/>
        <w:rPr>
          <w:kern w:val="22"/>
          <w:szCs w:val="22"/>
        </w:rPr>
      </w:pPr>
      <w:r>
        <w:rPr>
          <w:kern w:val="22"/>
          <w:szCs w:val="22"/>
        </w:rPr>
        <w:t>3.</w:t>
      </w:r>
      <w:r>
        <w:rPr>
          <w:kern w:val="22"/>
          <w:szCs w:val="22"/>
        </w:rPr>
        <w:tab/>
      </w:r>
      <w:r>
        <w:rPr>
          <w:i/>
          <w:iCs/>
          <w:kern w:val="22"/>
          <w:szCs w:val="22"/>
        </w:rPr>
        <w:t xml:space="preserve">Invites </w:t>
      </w:r>
      <w:r>
        <w:rPr>
          <w:kern w:val="22"/>
          <w:szCs w:val="22"/>
        </w:rPr>
        <w:t>relevant international organizations and intergovernmental processes to take into account the indicative criteria in their efforts to develop or [when agreeing on] [implement]specialized international access and benefit-sharing instruments;</w:t>
      </w:r>
    </w:p>
    <w:p w14:paraId="7A852F63" w14:textId="2EAAA0DD" w:rsidR="00617E20" w:rsidRDefault="00617E20" w:rsidP="00ED13F3">
      <w:pPr>
        <w:suppressLineNumbers/>
        <w:suppressAutoHyphens/>
        <w:spacing w:before="120" w:after="120"/>
        <w:ind w:firstLine="720"/>
        <w:rPr>
          <w:kern w:val="22"/>
          <w:szCs w:val="22"/>
        </w:rPr>
      </w:pPr>
      <w:r>
        <w:rPr>
          <w:kern w:val="22"/>
          <w:szCs w:val="22"/>
        </w:rPr>
        <w:t>4.</w:t>
      </w:r>
      <w:r>
        <w:rPr>
          <w:kern w:val="22"/>
          <w:szCs w:val="22"/>
        </w:rPr>
        <w:tab/>
      </w:r>
      <w:r>
        <w:rPr>
          <w:i/>
          <w:iCs/>
          <w:kern w:val="22"/>
          <w:szCs w:val="22"/>
        </w:rPr>
        <w:t>Requests</w:t>
      </w:r>
      <w:r>
        <w:rPr>
          <w:kern w:val="22"/>
          <w:szCs w:val="22"/>
        </w:rPr>
        <w:t xml:space="preserve"> Parties to include information in their national reports and, as appropriate, through the Access and Benefit-sharing Clearing House, and </w:t>
      </w:r>
      <w:r w:rsidRPr="002955D6">
        <w:rPr>
          <w:kern w:val="22"/>
          <w:szCs w:val="22"/>
        </w:rPr>
        <w:t>invites</w:t>
      </w:r>
      <w:r>
        <w:rPr>
          <w:kern w:val="22"/>
          <w:szCs w:val="22"/>
        </w:rPr>
        <w:t xml:space="preserve"> other Governments and relevant international organizations to share information on any steps that they have taken towards the development and/or implementation of specialized international access and benefit</w:t>
      </w:r>
      <w:r>
        <w:rPr>
          <w:kern w:val="22"/>
          <w:szCs w:val="22"/>
        </w:rPr>
        <w:noBreakHyphen/>
        <w:t>sharing instruments that are [consistent with] [mutually supportive of] the objectives of the Convention and the Protocol, including information on the specific genetic resource[s and/or specific uses] [including traditional knowledge associated with genetic resources] covered by and for the purpose of the specialized instrument;</w:t>
      </w:r>
    </w:p>
    <w:p w14:paraId="73C28BCA" w14:textId="457E204B" w:rsidR="00A71C6B" w:rsidRDefault="00A71C6B" w:rsidP="00A71C6B">
      <w:pPr>
        <w:spacing w:before="120" w:after="120"/>
        <w:ind w:firstLine="720"/>
      </w:pPr>
      <w:r>
        <w:t>[</w:t>
      </w:r>
      <w:r w:rsidR="00D13BD5">
        <w:t>5</w:t>
      </w:r>
      <w:r w:rsidRPr="006F79BA">
        <w:t xml:space="preserve">. </w:t>
      </w:r>
      <w:r w:rsidRPr="006F79BA">
        <w:tab/>
      </w:r>
      <w:r w:rsidRPr="006F79BA">
        <w:rPr>
          <w:i/>
          <w:iCs/>
        </w:rPr>
        <w:t>Decides</w:t>
      </w:r>
      <w:r w:rsidRPr="006F79BA">
        <w:t xml:space="preserve"> </w:t>
      </w:r>
      <w:r w:rsidR="0022525A">
        <w:t>that the m</w:t>
      </w:r>
      <w:r w:rsidRPr="006F79BA">
        <w:t xml:space="preserve">eeting of </w:t>
      </w:r>
      <w:r w:rsidR="0022525A">
        <w:t xml:space="preserve">the </w:t>
      </w:r>
      <w:r w:rsidRPr="006F79BA">
        <w:t xml:space="preserve">Parties to </w:t>
      </w:r>
      <w:r>
        <w:t xml:space="preserve">the </w:t>
      </w:r>
      <w:r w:rsidRPr="006F79BA">
        <w:t>Nagoya Protocol shall act as the authority to assess, determine, review or terminate the status of instruments as specialized international access and benefit-sharing instrument</w:t>
      </w:r>
      <w:r>
        <w:t>s</w:t>
      </w:r>
      <w:r w:rsidRPr="006F79BA">
        <w:t xml:space="preserve"> in the context of Article 4, </w:t>
      </w:r>
      <w:r w:rsidR="0022525A">
        <w:t>p</w:t>
      </w:r>
      <w:r w:rsidRPr="006F79BA">
        <w:t xml:space="preserve">aragraph 4, of the Nagoya Protocol based on the criteria provided in the </w:t>
      </w:r>
      <w:r w:rsidR="00D13BD5">
        <w:t>a</w:t>
      </w:r>
      <w:r w:rsidRPr="006F79BA">
        <w:t xml:space="preserve">nnex </w:t>
      </w:r>
      <w:r w:rsidR="0014171B" w:rsidRPr="001B1EEA">
        <w:t>to the present draft decision</w:t>
      </w:r>
      <w:r w:rsidR="0014171B">
        <w:t xml:space="preserve"> </w:t>
      </w:r>
      <w:r w:rsidRPr="006F79BA">
        <w:t xml:space="preserve">and </w:t>
      </w:r>
      <w:r w:rsidR="0022525A">
        <w:t xml:space="preserve">that </w:t>
      </w:r>
      <w:r w:rsidRPr="006F79BA">
        <w:t xml:space="preserve">the Parties to Nagoya Protocol can approach the </w:t>
      </w:r>
      <w:r w:rsidR="0022525A">
        <w:t>m</w:t>
      </w:r>
      <w:r w:rsidRPr="006F79BA">
        <w:t xml:space="preserve">eeting of </w:t>
      </w:r>
      <w:r w:rsidR="0022525A">
        <w:t xml:space="preserve">the </w:t>
      </w:r>
      <w:r w:rsidRPr="006F79BA">
        <w:t>Parties for determination or termination of the status of instruments</w:t>
      </w:r>
      <w:r>
        <w:t>;]</w:t>
      </w:r>
    </w:p>
    <w:p w14:paraId="2732A836" w14:textId="0ABB6494" w:rsidR="00D90594" w:rsidRDefault="00A71C6B" w:rsidP="00A71C6B">
      <w:pPr>
        <w:ind w:firstLine="720"/>
      </w:pPr>
      <w:r>
        <w:lastRenderedPageBreak/>
        <w:t>[</w:t>
      </w:r>
      <w:r w:rsidR="00D13BD5">
        <w:t>6</w:t>
      </w:r>
      <w:r w:rsidRPr="004854EE">
        <w:t xml:space="preserve">. </w:t>
      </w:r>
      <w:r w:rsidR="00BE0C71">
        <w:tab/>
      </w:r>
      <w:r w:rsidRPr="004854EE">
        <w:rPr>
          <w:i/>
          <w:iCs/>
        </w:rPr>
        <w:t>Requests</w:t>
      </w:r>
      <w:r w:rsidRPr="004854EE">
        <w:t xml:space="preserve"> the Executive Secretary to receive and submit instruments from Parties to</w:t>
      </w:r>
      <w:r>
        <w:t xml:space="preserve"> the</w:t>
      </w:r>
      <w:r w:rsidRPr="004854EE">
        <w:t xml:space="preserve"> Nagoya Protocol for such consideration </w:t>
      </w:r>
      <w:r>
        <w:t>by the</w:t>
      </w:r>
      <w:r w:rsidRPr="004854EE">
        <w:t xml:space="preserve"> </w:t>
      </w:r>
      <w:r w:rsidR="0022525A">
        <w:t>m</w:t>
      </w:r>
      <w:r w:rsidRPr="004854EE">
        <w:t>eeting of</w:t>
      </w:r>
      <w:r>
        <w:t xml:space="preserve"> the</w:t>
      </w:r>
      <w:r w:rsidRPr="004854EE">
        <w:t xml:space="preserve"> </w:t>
      </w:r>
      <w:r>
        <w:t>Pa</w:t>
      </w:r>
      <w:r w:rsidRPr="004854EE">
        <w:t xml:space="preserve">rties as mentioned in paragraph </w:t>
      </w:r>
      <w:r w:rsidR="0014171B">
        <w:t>5</w:t>
      </w:r>
      <w:r w:rsidRPr="004854EE">
        <w:t xml:space="preserve">, </w:t>
      </w:r>
      <w:r w:rsidR="0022525A">
        <w:t>four</w:t>
      </w:r>
      <w:r w:rsidRPr="004854EE">
        <w:t xml:space="preserve"> months before the </w:t>
      </w:r>
      <w:r w:rsidR="0022525A">
        <w:t>m</w:t>
      </w:r>
      <w:r w:rsidRPr="004854EE">
        <w:t xml:space="preserve">eeting of </w:t>
      </w:r>
      <w:r w:rsidR="00FF3D8E">
        <w:t xml:space="preserve">the </w:t>
      </w:r>
      <w:r w:rsidRPr="004854EE">
        <w:t xml:space="preserve">Parties, starting from </w:t>
      </w:r>
      <w:r w:rsidR="0022525A">
        <w:t xml:space="preserve">the </w:t>
      </w:r>
      <w:r>
        <w:t>fifth meeting];</w:t>
      </w:r>
    </w:p>
    <w:p w14:paraId="6277F108" w14:textId="0579F629" w:rsidR="00617E20" w:rsidRDefault="00D13BD5" w:rsidP="00ED13F3">
      <w:pPr>
        <w:pStyle w:val="Para1"/>
        <w:numPr>
          <w:ilvl w:val="0"/>
          <w:numId w:val="0"/>
        </w:numPr>
        <w:suppressLineNumbers/>
        <w:suppressAutoHyphens/>
        <w:ind w:firstLine="720"/>
        <w:rPr>
          <w:kern w:val="22"/>
          <w:szCs w:val="22"/>
        </w:rPr>
      </w:pPr>
      <w:r>
        <w:rPr>
          <w:kern w:val="22"/>
          <w:szCs w:val="22"/>
        </w:rPr>
        <w:t>7</w:t>
      </w:r>
      <w:r w:rsidR="00617E20">
        <w:rPr>
          <w:kern w:val="22"/>
          <w:szCs w:val="22"/>
        </w:rPr>
        <w:t>.</w:t>
      </w:r>
      <w:r w:rsidR="00617E20">
        <w:rPr>
          <w:kern w:val="22"/>
          <w:szCs w:val="22"/>
        </w:rPr>
        <w:tab/>
      </w:r>
      <w:r w:rsidR="00617E20">
        <w:rPr>
          <w:i/>
          <w:iCs/>
          <w:kern w:val="22"/>
          <w:szCs w:val="22"/>
        </w:rPr>
        <w:t>Decides</w:t>
      </w:r>
      <w:r w:rsidR="00617E20">
        <w:rPr>
          <w:kern w:val="22"/>
          <w:szCs w:val="22"/>
        </w:rPr>
        <w:t xml:space="preserve"> to review the present decision in the context of the assessment and review process as provided for in Article 31 of the Protocol, taking into account relevant developments and with a view to taking any steps necessary to promote coherence in the international regime on access and benefit-sharing.</w:t>
      </w:r>
    </w:p>
    <w:p w14:paraId="269F92CC" w14:textId="77777777" w:rsidR="00A71C6B" w:rsidRDefault="00A71C6B" w:rsidP="00ED13F3">
      <w:pPr>
        <w:pStyle w:val="Para1"/>
        <w:numPr>
          <w:ilvl w:val="0"/>
          <w:numId w:val="0"/>
        </w:numPr>
        <w:suppressLineNumbers/>
        <w:suppressAutoHyphens/>
        <w:ind w:firstLine="720"/>
        <w:rPr>
          <w:i/>
          <w:iCs/>
          <w:kern w:val="22"/>
          <w:szCs w:val="22"/>
        </w:rPr>
      </w:pPr>
    </w:p>
    <w:p w14:paraId="2E66BAB7" w14:textId="77777777" w:rsidR="00617E20" w:rsidRDefault="00617E20" w:rsidP="00ED13F3">
      <w:pPr>
        <w:pStyle w:val="Para1"/>
        <w:keepNext/>
        <w:numPr>
          <w:ilvl w:val="0"/>
          <w:numId w:val="0"/>
        </w:numPr>
        <w:suppressLineNumbers/>
        <w:suppressAutoHyphens/>
        <w:jc w:val="center"/>
        <w:rPr>
          <w:i/>
          <w:iCs/>
          <w:kern w:val="22"/>
          <w:szCs w:val="22"/>
        </w:rPr>
      </w:pPr>
      <w:r>
        <w:rPr>
          <w:i/>
          <w:iCs/>
          <w:kern w:val="22"/>
          <w:szCs w:val="22"/>
        </w:rPr>
        <w:t>Annex</w:t>
      </w:r>
    </w:p>
    <w:p w14:paraId="3615CD28" w14:textId="6D519C11" w:rsidR="00617E20" w:rsidRPr="00CE7AC7" w:rsidRDefault="00617E20" w:rsidP="00ED13F3">
      <w:pPr>
        <w:pStyle w:val="Heading1"/>
        <w:suppressLineNumbers/>
        <w:tabs>
          <w:tab w:val="clear" w:pos="720"/>
        </w:tabs>
        <w:suppressAutoHyphens/>
        <w:spacing w:before="120"/>
        <w:rPr>
          <w:rFonts w:ascii="Times New Roman Bold" w:hAnsi="Times New Roman Bold" w:cs="Times New Roman Bold"/>
          <w:kern w:val="22"/>
          <w:szCs w:val="22"/>
        </w:rPr>
      </w:pPr>
      <w:r w:rsidRPr="00CE7AC7">
        <w:rPr>
          <w:rFonts w:ascii="Times New Roman Bold" w:hAnsi="Times New Roman Bold" w:cs="Times New Roman Bold"/>
          <w:kern w:val="22"/>
          <w:szCs w:val="22"/>
        </w:rPr>
        <w:t>Indicative criteria for specialized international access and benefit</w:t>
      </w:r>
      <w:r w:rsidRPr="00CE7AC7">
        <w:rPr>
          <w:rFonts w:ascii="Times New Roman Bold" w:hAnsi="Times New Roman Bold" w:cs="Times New Roman Bold"/>
          <w:kern w:val="22"/>
          <w:szCs w:val="22"/>
        </w:rPr>
        <w:noBreakHyphen/>
        <w:t>sharing instruments in the context of Article 4, paragraph 4, of</w:t>
      </w:r>
      <w:r w:rsidR="00013554">
        <w:rPr>
          <w:rFonts w:ascii="Times New Roman Bold" w:hAnsi="Times New Roman Bold" w:cs="Times New Roman Bold"/>
          <w:kern w:val="22"/>
          <w:szCs w:val="22"/>
        </w:rPr>
        <w:t> </w:t>
      </w:r>
      <w:r w:rsidRPr="00CE7AC7">
        <w:rPr>
          <w:rFonts w:ascii="Times New Roman Bold" w:hAnsi="Times New Roman Bold" w:cs="Times New Roman Bold"/>
          <w:kern w:val="22"/>
          <w:szCs w:val="22"/>
        </w:rPr>
        <w:t>the Nagoya Protocol on Access to Genetic Resources and the Fair and Equitable Sharing of Benefits Arising</w:t>
      </w:r>
      <w:r>
        <w:rPr>
          <w:rFonts w:ascii="Times New Roman Bold" w:hAnsi="Times New Roman Bold" w:cs="Times New Roman Bold"/>
          <w:kern w:val="22"/>
          <w:szCs w:val="22"/>
        </w:rPr>
        <w:t> </w:t>
      </w:r>
      <w:r w:rsidRPr="00CE7AC7">
        <w:rPr>
          <w:rFonts w:ascii="Times New Roman Bold" w:hAnsi="Times New Roman Bold" w:cs="Times New Roman Bold"/>
          <w:kern w:val="22"/>
          <w:szCs w:val="22"/>
        </w:rPr>
        <w:t>from Their Utilization</w:t>
      </w:r>
    </w:p>
    <w:p w14:paraId="7D6C46BA" w14:textId="77777777" w:rsidR="00617E20" w:rsidRDefault="00617E20" w:rsidP="00ED13F3">
      <w:pPr>
        <w:pStyle w:val="Para1"/>
        <w:numPr>
          <w:ilvl w:val="0"/>
          <w:numId w:val="37"/>
        </w:numPr>
        <w:suppressLineNumbers/>
        <w:tabs>
          <w:tab w:val="clear" w:pos="360"/>
        </w:tabs>
        <w:suppressAutoHyphens/>
        <w:snapToGrid w:val="0"/>
        <w:rPr>
          <w:kern w:val="22"/>
          <w:szCs w:val="22"/>
        </w:rPr>
      </w:pPr>
      <w:r>
        <w:rPr>
          <w:kern w:val="22"/>
          <w:szCs w:val="22"/>
        </w:rPr>
        <w:t>These indicative criteria are reference points or elements to consider as guidance when developing or implementing specialized international access and benefit-sharing instruments. They are intended to contribute to strengthening coordination and mutual supportiveness between the Nagoya Protocol and other international access and benefit-sharing instruments, without creating a hierarchy among them.</w:t>
      </w:r>
    </w:p>
    <w:p w14:paraId="3DE24D8C" w14:textId="687E301A" w:rsidR="00617E20" w:rsidRDefault="00617E20" w:rsidP="00ED13F3">
      <w:pPr>
        <w:pStyle w:val="Para1"/>
        <w:numPr>
          <w:ilvl w:val="0"/>
          <w:numId w:val="37"/>
        </w:numPr>
        <w:suppressLineNumbers/>
        <w:tabs>
          <w:tab w:val="clear" w:pos="360"/>
        </w:tabs>
        <w:suppressAutoHyphens/>
        <w:snapToGrid w:val="0"/>
        <w:rPr>
          <w:kern w:val="22"/>
          <w:szCs w:val="22"/>
        </w:rPr>
      </w:pPr>
      <w:proofErr w:type="spellStart"/>
      <w:r>
        <w:rPr>
          <w:i/>
          <w:iCs/>
          <w:kern w:val="22"/>
          <w:szCs w:val="22"/>
        </w:rPr>
        <w:t>Intergovernmentally</w:t>
      </w:r>
      <w:proofErr w:type="spellEnd"/>
      <w:r>
        <w:rPr>
          <w:i/>
          <w:iCs/>
          <w:kern w:val="22"/>
          <w:szCs w:val="22"/>
        </w:rPr>
        <w:t xml:space="preserve"> or internationally agreed </w:t>
      </w:r>
      <w:r>
        <w:rPr>
          <w:kern w:val="22"/>
          <w:szCs w:val="22"/>
        </w:rPr>
        <w:t>— The instrument is agreed</w:t>
      </w:r>
      <w:r w:rsidR="00FF3D8E">
        <w:rPr>
          <w:kern w:val="22"/>
          <w:szCs w:val="22"/>
        </w:rPr>
        <w:t xml:space="preserve"> [or adopted]</w:t>
      </w:r>
      <w:r>
        <w:rPr>
          <w:kern w:val="22"/>
          <w:szCs w:val="22"/>
        </w:rPr>
        <w:t xml:space="preserve"> through an intergovernmental process and/or is</w:t>
      </w:r>
      <w:r w:rsidR="00A71C6B">
        <w:rPr>
          <w:kern w:val="22"/>
          <w:szCs w:val="22"/>
        </w:rPr>
        <w:t xml:space="preserve"> [explicitly] </w:t>
      </w:r>
      <w:r>
        <w:rPr>
          <w:kern w:val="22"/>
          <w:szCs w:val="22"/>
        </w:rPr>
        <w:t xml:space="preserve">endorsed by States </w:t>
      </w:r>
      <w:r w:rsidR="00A71C6B">
        <w:rPr>
          <w:kern w:val="22"/>
          <w:szCs w:val="22"/>
        </w:rPr>
        <w:t>[</w:t>
      </w:r>
      <w:r>
        <w:rPr>
          <w:kern w:val="22"/>
          <w:szCs w:val="22"/>
        </w:rPr>
        <w:t>and/or Governments</w:t>
      </w:r>
      <w:r w:rsidR="00A71C6B">
        <w:rPr>
          <w:kern w:val="22"/>
          <w:szCs w:val="22"/>
        </w:rPr>
        <w:t>][through a decision of a governing body of an international organization]</w:t>
      </w:r>
      <w:r>
        <w:rPr>
          <w:kern w:val="22"/>
          <w:szCs w:val="22"/>
        </w:rPr>
        <w:t xml:space="preserve">. </w:t>
      </w:r>
      <w:r w:rsidR="00A71C6B">
        <w:rPr>
          <w:kern w:val="22"/>
          <w:szCs w:val="22"/>
        </w:rPr>
        <w:t>[</w:t>
      </w:r>
      <w:r>
        <w:rPr>
          <w:kern w:val="22"/>
          <w:szCs w:val="22"/>
        </w:rPr>
        <w:t>The instrument may be binding or non-binding</w:t>
      </w:r>
      <w:r w:rsidR="00A71C6B">
        <w:rPr>
          <w:kern w:val="22"/>
          <w:szCs w:val="22"/>
        </w:rPr>
        <w:t>.]</w:t>
      </w:r>
    </w:p>
    <w:p w14:paraId="2DC5D6FE"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iCs/>
          <w:kern w:val="22"/>
          <w:szCs w:val="22"/>
        </w:rPr>
        <w:t xml:space="preserve">Specialized </w:t>
      </w:r>
      <w:r>
        <w:rPr>
          <w:kern w:val="22"/>
          <w:szCs w:val="22"/>
        </w:rPr>
        <w:t>— The instrument:</w:t>
      </w:r>
    </w:p>
    <w:p w14:paraId="19D58DAA"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(a)</w:t>
      </w:r>
      <w:r>
        <w:rPr>
          <w:kern w:val="22"/>
          <w:szCs w:val="22"/>
        </w:rPr>
        <w:tab/>
        <w:t>Applies to a specific set of genetic resources and/or traditional knowledge associated with genetic resources which would otherwise fall under the scope of the Nagoya Protocol;</w:t>
      </w:r>
    </w:p>
    <w:p w14:paraId="30A87FDC" w14:textId="5C26EA1D"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(b)</w:t>
      </w:r>
      <w:r>
        <w:rPr>
          <w:kern w:val="22"/>
          <w:szCs w:val="22"/>
        </w:rPr>
        <w:tab/>
        <w:t>Applies to specific uses of genetic resources and/or traditional knowledge associated with genetic resources, or to specific purposes, which require a differentiated and hence specialized approach.</w:t>
      </w:r>
    </w:p>
    <w:p w14:paraId="4B3DF13D"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iCs/>
          <w:kern w:val="22"/>
          <w:szCs w:val="22"/>
        </w:rPr>
        <w:t xml:space="preserve">Mutually supportive </w:t>
      </w:r>
      <w:r>
        <w:rPr>
          <w:kern w:val="22"/>
          <w:szCs w:val="22"/>
        </w:rPr>
        <w:t>— The instrument is consistent with and supportive of, and does not run counter to, the objectives of the Convention on Biological Diversity and the Nagoya Protocol, including with respect to:</w:t>
      </w:r>
    </w:p>
    <w:p w14:paraId="225C9498"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(a)</w:t>
      </w:r>
      <w:r>
        <w:rPr>
          <w:kern w:val="22"/>
          <w:szCs w:val="22"/>
        </w:rPr>
        <w:tab/>
        <w:t>Consistency with biodiversity conservation and sustainable use objectives;</w:t>
      </w:r>
    </w:p>
    <w:p w14:paraId="54BD401E"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(b)</w:t>
      </w:r>
      <w:r>
        <w:rPr>
          <w:kern w:val="22"/>
          <w:szCs w:val="22"/>
        </w:rPr>
        <w:tab/>
        <w:t>Fairness and equity in the sharing of benefits;</w:t>
      </w:r>
    </w:p>
    <w:p w14:paraId="7B51A1E0" w14:textId="5DD017F3"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(c)</w:t>
      </w:r>
      <w:r>
        <w:rPr>
          <w:kern w:val="22"/>
          <w:szCs w:val="22"/>
        </w:rPr>
        <w:tab/>
        <w:t>Legal certainty with respect to access to genetic resources or traditional knowledge associated with genetic resources, including</w:t>
      </w:r>
      <w:r w:rsidR="00A71C6B">
        <w:rPr>
          <w:kern w:val="22"/>
          <w:szCs w:val="22"/>
        </w:rPr>
        <w:t>[</w:t>
      </w:r>
      <w:r>
        <w:rPr>
          <w:kern w:val="22"/>
          <w:szCs w:val="22"/>
        </w:rPr>
        <w:t xml:space="preserve">, </w:t>
      </w:r>
      <w:r w:rsidRPr="00D90594">
        <w:rPr>
          <w:kern w:val="22"/>
          <w:szCs w:val="22"/>
        </w:rPr>
        <w:t>as appropriate,</w:t>
      </w:r>
      <w:r w:rsidR="00A71C6B">
        <w:rPr>
          <w:kern w:val="22"/>
          <w:szCs w:val="22"/>
        </w:rPr>
        <w:t>]</w:t>
      </w:r>
      <w:r w:rsidRPr="00D90594">
        <w:rPr>
          <w:color w:val="FF0000"/>
          <w:kern w:val="22"/>
          <w:szCs w:val="22"/>
        </w:rPr>
        <w:t xml:space="preserve"> </w:t>
      </w:r>
      <w:r>
        <w:rPr>
          <w:kern w:val="22"/>
          <w:szCs w:val="22"/>
        </w:rPr>
        <w:t xml:space="preserve">the application of prior informed consent, and </w:t>
      </w:r>
      <w:r w:rsidRPr="000178DA">
        <w:rPr>
          <w:kern w:val="22"/>
          <w:szCs w:val="22"/>
        </w:rPr>
        <w:t>to</w:t>
      </w:r>
      <w:r w:rsidR="00D90594" w:rsidRPr="000178DA">
        <w:rPr>
          <w:kern w:val="22"/>
          <w:szCs w:val="22"/>
        </w:rPr>
        <w:t xml:space="preserve"> </w:t>
      </w:r>
      <w:r w:rsidR="00FF3D8E" w:rsidRPr="002955D6">
        <w:rPr>
          <w:kern w:val="22"/>
          <w:szCs w:val="22"/>
        </w:rPr>
        <w:t>[the fair and equitable sharing of benefits</w:t>
      </w:r>
      <w:r w:rsidR="00FF3D8E">
        <w:rPr>
          <w:kern w:val="22"/>
          <w:szCs w:val="22"/>
        </w:rPr>
        <w:t>][</w:t>
      </w:r>
      <w:r>
        <w:rPr>
          <w:kern w:val="22"/>
          <w:szCs w:val="22"/>
        </w:rPr>
        <w:t>benefit-sharing</w:t>
      </w:r>
      <w:r w:rsidR="00A71C6B">
        <w:rPr>
          <w:kern w:val="22"/>
          <w:szCs w:val="22"/>
        </w:rPr>
        <w:t>]</w:t>
      </w:r>
      <w:r>
        <w:rPr>
          <w:kern w:val="22"/>
          <w:szCs w:val="22"/>
        </w:rPr>
        <w:t>;</w:t>
      </w:r>
    </w:p>
    <w:p w14:paraId="05BC0C8F"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(d)</w:t>
      </w:r>
      <w:r>
        <w:rPr>
          <w:kern w:val="22"/>
          <w:szCs w:val="22"/>
        </w:rPr>
        <w:tab/>
        <w:t>Full and effective participation of indigenous peoples and local communities concerned;</w:t>
      </w:r>
    </w:p>
    <w:p w14:paraId="1A3A78EF"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(e)</w:t>
      </w:r>
      <w:r>
        <w:rPr>
          <w:kern w:val="22"/>
          <w:szCs w:val="22"/>
        </w:rPr>
        <w:tab/>
        <w:t>Contribution to sustainable development, as reflected in internationally agreed goals;</w:t>
      </w:r>
    </w:p>
    <w:p w14:paraId="503E1807" w14:textId="0FCE071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(f)</w:t>
      </w:r>
      <w:r>
        <w:rPr>
          <w:kern w:val="22"/>
          <w:szCs w:val="22"/>
        </w:rPr>
        <w:tab/>
        <w:t xml:space="preserve">Other general principles of law, including good faith, effectiveness and legitimate </w:t>
      </w:r>
      <w:r w:rsidRPr="00D347C1">
        <w:rPr>
          <w:kern w:val="22"/>
          <w:szCs w:val="22"/>
        </w:rPr>
        <w:t>expectations</w:t>
      </w:r>
      <w:r w:rsidR="00DA1FA6" w:rsidRPr="00D347C1">
        <w:rPr>
          <w:kern w:val="22"/>
          <w:szCs w:val="22"/>
        </w:rPr>
        <w:t>.</w:t>
      </w:r>
      <w:r w:rsidRPr="00D347C1">
        <w:rPr>
          <w:kern w:val="22"/>
          <w:szCs w:val="22"/>
        </w:rPr>
        <w:t>]</w:t>
      </w:r>
    </w:p>
    <w:p w14:paraId="792CAF03" w14:textId="77777777" w:rsidR="00617E20" w:rsidRPr="00C67EED" w:rsidRDefault="00617E20" w:rsidP="00ED13F3">
      <w:pPr>
        <w:pStyle w:val="Para1"/>
        <w:numPr>
          <w:ilvl w:val="0"/>
          <w:numId w:val="0"/>
        </w:numPr>
        <w:suppressLineNumbers/>
        <w:suppressAutoHyphens/>
        <w:jc w:val="center"/>
        <w:rPr>
          <w:kern w:val="22"/>
        </w:rPr>
      </w:pPr>
      <w:r w:rsidRPr="00C67EED">
        <w:rPr>
          <w:kern w:val="22"/>
        </w:rPr>
        <w:t>__________</w:t>
      </w:r>
    </w:p>
    <w:p w14:paraId="42430A90" w14:textId="77777777" w:rsidR="00617E20" w:rsidRPr="00C9161D" w:rsidRDefault="00617E20"/>
    <w:sectPr w:rsidR="00617E20" w:rsidRPr="00C9161D" w:rsidSect="00ED13F3">
      <w:headerReference w:type="even" r:id="rId16"/>
      <w:headerReference w:type="default" r:id="rId17"/>
      <w:footerReference w:type="even" r:id="rId18"/>
      <w:footerReference w:type="first" r:id="rId19"/>
      <w:pgSz w:w="12240" w:h="15840"/>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81B6" w14:textId="77777777" w:rsidR="006D7C0B" w:rsidRDefault="006D7C0B" w:rsidP="004872C4">
      <w:r>
        <w:separator/>
      </w:r>
    </w:p>
  </w:endnote>
  <w:endnote w:type="continuationSeparator" w:id="0">
    <w:p w14:paraId="33ECCC16" w14:textId="77777777" w:rsidR="006D7C0B" w:rsidRDefault="006D7C0B" w:rsidP="004872C4">
      <w:r>
        <w:continuationSeparator/>
      </w:r>
    </w:p>
  </w:endnote>
  <w:endnote w:type="continuationNotice" w:id="1">
    <w:p w14:paraId="1DCEBF8F" w14:textId="77777777" w:rsidR="006D7C0B" w:rsidRDefault="006D7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4195" w14:textId="77777777" w:rsidR="001A2378" w:rsidRDefault="001A2378" w:rsidP="00ED13F3">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CD92" w14:textId="77777777" w:rsidR="001A2378" w:rsidRDefault="001A2378" w:rsidP="00ED13F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FD02" w14:textId="77777777" w:rsidR="006D7C0B" w:rsidRDefault="006D7C0B" w:rsidP="004872C4">
      <w:r>
        <w:separator/>
      </w:r>
    </w:p>
  </w:footnote>
  <w:footnote w:type="continuationSeparator" w:id="0">
    <w:p w14:paraId="4238BD35" w14:textId="77777777" w:rsidR="006D7C0B" w:rsidRDefault="006D7C0B" w:rsidP="004872C4">
      <w:r>
        <w:continuationSeparator/>
      </w:r>
    </w:p>
  </w:footnote>
  <w:footnote w:type="continuationNotice" w:id="1">
    <w:p w14:paraId="6DCFA323" w14:textId="77777777" w:rsidR="006D7C0B" w:rsidRDefault="006D7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757F" w14:textId="32E525F6" w:rsidR="003C50B3" w:rsidRPr="00A71C6B" w:rsidRDefault="00BE0C71" w:rsidP="00C20F6C">
    <w:pPr>
      <w:keepLines/>
      <w:suppressLineNumbers/>
      <w:suppressAutoHyphens/>
      <w:jc w:val="left"/>
      <w:rPr>
        <w:noProof/>
        <w:kern w:val="22"/>
        <w:lang w:val="fr-CA"/>
      </w:rPr>
    </w:pPr>
    <w:sdt>
      <w:sdtPr>
        <w:rPr>
          <w:noProof/>
          <w:kern w:val="22"/>
          <w:lang w:val="fr-CA"/>
        </w:rPr>
        <w:alias w:val="Subject"/>
        <w:tag w:val=""/>
        <w:id w:val="-41521684"/>
        <w:placeholder>
          <w:docPart w:val="46CBDF5CE6364D01BEB293E548E3A54D"/>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21741ADF" w14:textId="26F5C61F" w:rsidR="003C50B3" w:rsidRPr="00A71C6B" w:rsidRDefault="003C50B3" w:rsidP="00ED13F3">
    <w:pPr>
      <w:pStyle w:val="Header"/>
      <w:keepLines/>
      <w:suppressLineNumbers/>
      <w:suppressAutoHyphens/>
      <w:jc w:val="left"/>
      <w:rPr>
        <w:noProof/>
        <w:kern w:val="22"/>
        <w:lang w:val="fr-CA"/>
      </w:rPr>
    </w:pPr>
    <w:r w:rsidRPr="00A71C6B">
      <w:rPr>
        <w:noProof/>
        <w:kern w:val="22"/>
        <w:lang w:val="fr-CA"/>
      </w:rPr>
      <w:t xml:space="preserve">Page </w:t>
    </w:r>
    <w:r w:rsidRPr="00ED13F3">
      <w:rPr>
        <w:noProof/>
        <w:kern w:val="22"/>
      </w:rPr>
      <w:fldChar w:fldCharType="begin"/>
    </w:r>
    <w:r w:rsidRPr="00A71C6B">
      <w:rPr>
        <w:noProof/>
        <w:kern w:val="22"/>
        <w:lang w:val="fr-CA"/>
      </w:rPr>
      <w:instrText xml:space="preserve"> PAGE   \* MERGEFORMAT </w:instrText>
    </w:r>
    <w:r w:rsidRPr="00ED13F3">
      <w:rPr>
        <w:noProof/>
        <w:kern w:val="22"/>
      </w:rPr>
      <w:fldChar w:fldCharType="separate"/>
    </w:r>
    <w:r w:rsidRPr="00A71C6B">
      <w:rPr>
        <w:noProof/>
        <w:kern w:val="22"/>
        <w:lang w:val="fr-CA"/>
      </w:rPr>
      <w:t>1</w:t>
    </w:r>
    <w:r w:rsidRPr="00ED13F3">
      <w:rPr>
        <w:noProof/>
        <w:kern w:val="22"/>
      </w:rPr>
      <w:fldChar w:fldCharType="end"/>
    </w:r>
  </w:p>
  <w:p w14:paraId="3DBE66F5" w14:textId="77777777" w:rsidR="003C50B3" w:rsidRPr="00A71C6B" w:rsidRDefault="003C50B3" w:rsidP="00ED13F3">
    <w:pPr>
      <w:pStyle w:val="Header"/>
      <w:keepLines/>
      <w:suppressLineNumbers/>
      <w:suppressAutoHyphens/>
      <w:jc w:val="left"/>
      <w:rPr>
        <w:noProof/>
        <w:kern w:val="22"/>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2490" w14:textId="1BEE2882" w:rsidR="003C50B3" w:rsidRPr="00A71C6B" w:rsidRDefault="00BE0C71" w:rsidP="00C20F6C">
    <w:pPr>
      <w:keepLines/>
      <w:suppressLineNumbers/>
      <w:tabs>
        <w:tab w:val="left" w:pos="1809"/>
      </w:tabs>
      <w:suppressAutoHyphens/>
      <w:jc w:val="right"/>
      <w:rPr>
        <w:noProof/>
        <w:kern w:val="22"/>
        <w:lang w:val="fr-CA"/>
      </w:rPr>
    </w:pPr>
    <w:sdt>
      <w:sdtPr>
        <w:rPr>
          <w:noProof/>
          <w:kern w:val="22"/>
          <w:lang w:val="fr-CA"/>
        </w:rPr>
        <w:alias w:val="Subject"/>
        <w:tag w:val=""/>
        <w:id w:val="-1885015078"/>
        <w:placeholder>
          <w:docPart w:val="E2AA006806B442D0AD1F2355E0F5E50E"/>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3A1126F4" w14:textId="67589118" w:rsidR="003C50B3" w:rsidRPr="00A71C6B" w:rsidRDefault="003C50B3" w:rsidP="00ED13F3">
    <w:pPr>
      <w:keepLines/>
      <w:suppressLineNumbers/>
      <w:tabs>
        <w:tab w:val="center" w:pos="4320"/>
        <w:tab w:val="right" w:pos="8640"/>
      </w:tabs>
      <w:suppressAutoHyphens/>
      <w:jc w:val="right"/>
      <w:rPr>
        <w:kern w:val="22"/>
        <w:lang w:val="fr-CA"/>
      </w:rPr>
    </w:pPr>
    <w:r w:rsidRPr="00A71C6B">
      <w:rPr>
        <w:kern w:val="22"/>
        <w:lang w:val="fr-CA"/>
      </w:rPr>
      <w:t xml:space="preserve">Page </w:t>
    </w:r>
    <w:r w:rsidRPr="00ED13F3">
      <w:rPr>
        <w:kern w:val="22"/>
      </w:rPr>
      <w:fldChar w:fldCharType="begin"/>
    </w:r>
    <w:r w:rsidRPr="00A71C6B">
      <w:rPr>
        <w:noProof/>
        <w:kern w:val="22"/>
        <w:lang w:val="fr-CA"/>
      </w:rPr>
      <w:instrText xml:space="preserve"> PAGE   \* MERGEFORMAT </w:instrText>
    </w:r>
    <w:r w:rsidRPr="00ED13F3">
      <w:rPr>
        <w:kern w:val="22"/>
      </w:rPr>
      <w:fldChar w:fldCharType="separate"/>
    </w:r>
    <w:r w:rsidRPr="00A71C6B">
      <w:rPr>
        <w:noProof/>
        <w:kern w:val="22"/>
        <w:lang w:val="fr-CA"/>
      </w:rPr>
      <w:t>2</w:t>
    </w:r>
    <w:r w:rsidRPr="00ED13F3">
      <w:rPr>
        <w:kern w:val="22"/>
      </w:rPr>
      <w:fldChar w:fldCharType="end"/>
    </w:r>
  </w:p>
  <w:p w14:paraId="4BC340E7" w14:textId="77777777" w:rsidR="003C50B3" w:rsidRPr="00A71C6B" w:rsidRDefault="003C50B3" w:rsidP="00ED13F3">
    <w:pPr>
      <w:keepLines/>
      <w:suppressLineNumbers/>
      <w:suppressAutoHyphens/>
      <w:jc w:val="right"/>
      <w:rPr>
        <w:kern w:val="22"/>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5F2"/>
    <w:multiLevelType w:val="hybridMultilevel"/>
    <w:tmpl w:val="2F4A86EA"/>
    <w:lvl w:ilvl="0" w:tplc="10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435F"/>
    <w:multiLevelType w:val="hybridMultilevel"/>
    <w:tmpl w:val="BD68E7CE"/>
    <w:lvl w:ilvl="0" w:tplc="5B3C62F6">
      <w:start w:val="1"/>
      <w:numFmt w:val="upperRoman"/>
      <w:lvlText w:val="%1."/>
      <w:lvlJc w:val="left"/>
      <w:pPr>
        <w:ind w:left="2160" w:hanging="720"/>
      </w:pPr>
      <w:rPr>
        <w:rFonts w:hint="default"/>
        <w:b/>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50A29"/>
    <w:multiLevelType w:val="hybridMultilevel"/>
    <w:tmpl w:val="90C2F1FC"/>
    <w:lvl w:ilvl="0" w:tplc="1009000F">
      <w:start w:val="1"/>
      <w:numFmt w:val="decimal"/>
      <w:lvlText w:val="%1."/>
      <w:lvlJc w:val="left"/>
      <w:pPr>
        <w:ind w:left="4320" w:hanging="360"/>
      </w:pPr>
    </w:lvl>
    <w:lvl w:ilvl="1" w:tplc="10090019">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E44CFC"/>
    <w:multiLevelType w:val="hybridMultilevel"/>
    <w:tmpl w:val="245AD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1E5FFB"/>
    <w:multiLevelType w:val="hybridMultilevel"/>
    <w:tmpl w:val="BA18B912"/>
    <w:lvl w:ilvl="0" w:tplc="6A8257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226A49"/>
    <w:multiLevelType w:val="hybridMultilevel"/>
    <w:tmpl w:val="37CE3FF0"/>
    <w:lvl w:ilvl="0" w:tplc="4E28B730">
      <w:start w:val="1"/>
      <w:numFmt w:val="upperRoman"/>
      <w:lvlText w:val="%1."/>
      <w:lvlJc w:val="left"/>
      <w:pPr>
        <w:ind w:left="2160" w:hanging="72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E51B5"/>
    <w:multiLevelType w:val="hybridMultilevel"/>
    <w:tmpl w:val="B33C9B4C"/>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185686"/>
    <w:multiLevelType w:val="hybridMultilevel"/>
    <w:tmpl w:val="96FE1250"/>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46E232A"/>
    <w:multiLevelType w:val="hybridMultilevel"/>
    <w:tmpl w:val="91F0285C"/>
    <w:lvl w:ilvl="0" w:tplc="10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16AC6"/>
    <w:multiLevelType w:val="hybridMultilevel"/>
    <w:tmpl w:val="D3AAD1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60D"/>
    <w:multiLevelType w:val="hybridMultilevel"/>
    <w:tmpl w:val="778238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3032FA"/>
    <w:multiLevelType w:val="hybridMultilevel"/>
    <w:tmpl w:val="90C2F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FAD7229"/>
    <w:multiLevelType w:val="hybridMultilevel"/>
    <w:tmpl w:val="37AAFEAE"/>
    <w:lvl w:ilvl="0" w:tplc="529466CC">
      <w:start w:val="1"/>
      <w:numFmt w:val="decimal"/>
      <w:lvlText w:val="%1."/>
      <w:lvlJc w:val="left"/>
      <w:pPr>
        <w:ind w:left="1080" w:hanging="72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3026C3"/>
    <w:multiLevelType w:val="hybridMultilevel"/>
    <w:tmpl w:val="85C452EC"/>
    <w:lvl w:ilvl="0" w:tplc="B0620EB4">
      <w:start w:val="1"/>
      <w:numFmt w:val="lowerLetter"/>
      <w:lvlText w:val="(%1)"/>
      <w:lvlJc w:val="left"/>
      <w:pPr>
        <w:ind w:left="720" w:hanging="360"/>
      </w:pPr>
      <w:rPr>
        <w:rFonts w:ascii="Times New Roman" w:hAnsi="Times New Roman"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1690E"/>
    <w:multiLevelType w:val="hybridMultilevel"/>
    <w:tmpl w:val="23002178"/>
    <w:lvl w:ilvl="0" w:tplc="10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A76A3"/>
    <w:multiLevelType w:val="hybridMultilevel"/>
    <w:tmpl w:val="37CE3FF0"/>
    <w:lvl w:ilvl="0" w:tplc="4E28B730">
      <w:start w:val="1"/>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275DE"/>
    <w:multiLevelType w:val="hybridMultilevel"/>
    <w:tmpl w:val="971EFA62"/>
    <w:lvl w:ilvl="0" w:tplc="5858B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4"/>
  </w:num>
  <w:num w:numId="4">
    <w:abstractNumId w:val="6"/>
  </w:num>
  <w:num w:numId="5">
    <w:abstractNumId w:val="21"/>
  </w:num>
  <w:num w:numId="6">
    <w:abstractNumId w:val="11"/>
  </w:num>
  <w:num w:numId="7">
    <w:abstractNumId w:val="4"/>
  </w:num>
  <w:num w:numId="8">
    <w:abstractNumId w:val="20"/>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17"/>
  </w:num>
  <w:num w:numId="22">
    <w:abstractNumId w:val="19"/>
  </w:num>
  <w:num w:numId="23">
    <w:abstractNumId w:val="14"/>
  </w:num>
  <w:num w:numId="24">
    <w:abstractNumId w:val="3"/>
  </w:num>
  <w:num w:numId="25">
    <w:abstractNumId w:val="9"/>
  </w:num>
  <w:num w:numId="26">
    <w:abstractNumId w:val="26"/>
  </w:num>
  <w:num w:numId="27">
    <w:abstractNumId w:val="0"/>
  </w:num>
  <w:num w:numId="28">
    <w:abstractNumId w:val="8"/>
  </w:num>
  <w:num w:numId="29">
    <w:abstractNumId w:val="7"/>
  </w:num>
  <w:num w:numId="30">
    <w:abstractNumId w:val="28"/>
  </w:num>
  <w:num w:numId="31">
    <w:abstractNumId w:val="25"/>
  </w:num>
  <w:num w:numId="32">
    <w:abstractNumId w:val="15"/>
  </w:num>
  <w:num w:numId="33">
    <w:abstractNumId w:val="10"/>
  </w:num>
  <w:num w:numId="34">
    <w:abstractNumId w:val="19"/>
  </w:num>
  <w:num w:numId="35">
    <w:abstractNumId w:val="18"/>
  </w:num>
  <w:num w:numId="36">
    <w:abstractNumId w:val="19"/>
  </w:num>
  <w:num w:numId="3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
  </w:num>
  <w:num w:numId="40">
    <w:abstractNumId w:val="5"/>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23"/>
  </w:num>
  <w:num w:numId="47">
    <w:abstractNumId w:val="22"/>
  </w:num>
  <w:num w:numId="48">
    <w:abstractNumId w:val="2"/>
  </w:num>
  <w:num w:numId="49">
    <w:abstractNumId w:val="2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5"/>
    <w:rsid w:val="00002FA5"/>
    <w:rsid w:val="0000792C"/>
    <w:rsid w:val="0001252E"/>
    <w:rsid w:val="00013554"/>
    <w:rsid w:val="000178DA"/>
    <w:rsid w:val="0002292F"/>
    <w:rsid w:val="0003047E"/>
    <w:rsid w:val="00030C54"/>
    <w:rsid w:val="00034486"/>
    <w:rsid w:val="00041EC5"/>
    <w:rsid w:val="0004498D"/>
    <w:rsid w:val="0004559B"/>
    <w:rsid w:val="000513C6"/>
    <w:rsid w:val="0005213C"/>
    <w:rsid w:val="00052CF2"/>
    <w:rsid w:val="00053780"/>
    <w:rsid w:val="00055F6A"/>
    <w:rsid w:val="00061E8B"/>
    <w:rsid w:val="000662EE"/>
    <w:rsid w:val="0006645A"/>
    <w:rsid w:val="000673E6"/>
    <w:rsid w:val="0007171B"/>
    <w:rsid w:val="0007261F"/>
    <w:rsid w:val="00072859"/>
    <w:rsid w:val="00073940"/>
    <w:rsid w:val="00081D57"/>
    <w:rsid w:val="00083E61"/>
    <w:rsid w:val="0008637A"/>
    <w:rsid w:val="00092FC7"/>
    <w:rsid w:val="00097239"/>
    <w:rsid w:val="00097CD6"/>
    <w:rsid w:val="000A25C0"/>
    <w:rsid w:val="000A3D04"/>
    <w:rsid w:val="000A6841"/>
    <w:rsid w:val="000A7B45"/>
    <w:rsid w:val="000B0B17"/>
    <w:rsid w:val="000B0FE6"/>
    <w:rsid w:val="000B1491"/>
    <w:rsid w:val="000B19D7"/>
    <w:rsid w:val="000B572A"/>
    <w:rsid w:val="000B774C"/>
    <w:rsid w:val="000B78E3"/>
    <w:rsid w:val="000C2049"/>
    <w:rsid w:val="000C26E4"/>
    <w:rsid w:val="000C369C"/>
    <w:rsid w:val="000D36E2"/>
    <w:rsid w:val="000D51CE"/>
    <w:rsid w:val="000D7753"/>
    <w:rsid w:val="000E354A"/>
    <w:rsid w:val="000E673A"/>
    <w:rsid w:val="000E6C84"/>
    <w:rsid w:val="000F070C"/>
    <w:rsid w:val="000F08B7"/>
    <w:rsid w:val="000F3D76"/>
    <w:rsid w:val="000F43CE"/>
    <w:rsid w:val="000F5CAC"/>
    <w:rsid w:val="000F74F5"/>
    <w:rsid w:val="00105155"/>
    <w:rsid w:val="00105372"/>
    <w:rsid w:val="001057DA"/>
    <w:rsid w:val="0010656A"/>
    <w:rsid w:val="00110208"/>
    <w:rsid w:val="0011263E"/>
    <w:rsid w:val="001175FB"/>
    <w:rsid w:val="00120077"/>
    <w:rsid w:val="001212EA"/>
    <w:rsid w:val="00130E67"/>
    <w:rsid w:val="001312AD"/>
    <w:rsid w:val="00131E7A"/>
    <w:rsid w:val="0013331B"/>
    <w:rsid w:val="0013413C"/>
    <w:rsid w:val="00134728"/>
    <w:rsid w:val="00134846"/>
    <w:rsid w:val="00134A99"/>
    <w:rsid w:val="001352ED"/>
    <w:rsid w:val="0013716B"/>
    <w:rsid w:val="0014171B"/>
    <w:rsid w:val="0014510F"/>
    <w:rsid w:val="00150EEA"/>
    <w:rsid w:val="001512CB"/>
    <w:rsid w:val="00152AF5"/>
    <w:rsid w:val="00152F06"/>
    <w:rsid w:val="001534FB"/>
    <w:rsid w:val="00157708"/>
    <w:rsid w:val="0016033C"/>
    <w:rsid w:val="00164686"/>
    <w:rsid w:val="00165287"/>
    <w:rsid w:val="00166843"/>
    <w:rsid w:val="00167B46"/>
    <w:rsid w:val="0017056B"/>
    <w:rsid w:val="00172AF6"/>
    <w:rsid w:val="00175B01"/>
    <w:rsid w:val="00176CEE"/>
    <w:rsid w:val="001776E0"/>
    <w:rsid w:val="00177FD0"/>
    <w:rsid w:val="00180269"/>
    <w:rsid w:val="00181ECF"/>
    <w:rsid w:val="00186DD8"/>
    <w:rsid w:val="00190165"/>
    <w:rsid w:val="0019037D"/>
    <w:rsid w:val="001976AE"/>
    <w:rsid w:val="00197ABB"/>
    <w:rsid w:val="001A2378"/>
    <w:rsid w:val="001A2AA7"/>
    <w:rsid w:val="001A56DF"/>
    <w:rsid w:val="001A5AD4"/>
    <w:rsid w:val="001A6429"/>
    <w:rsid w:val="001A6863"/>
    <w:rsid w:val="001A7CFE"/>
    <w:rsid w:val="001B13FE"/>
    <w:rsid w:val="001B1EEA"/>
    <w:rsid w:val="001B4DEB"/>
    <w:rsid w:val="001C3914"/>
    <w:rsid w:val="001C43EC"/>
    <w:rsid w:val="001C6438"/>
    <w:rsid w:val="001D747E"/>
    <w:rsid w:val="001E0C19"/>
    <w:rsid w:val="001E28F4"/>
    <w:rsid w:val="001E47CA"/>
    <w:rsid w:val="001E539F"/>
    <w:rsid w:val="001E7543"/>
    <w:rsid w:val="001E7912"/>
    <w:rsid w:val="001F48B8"/>
    <w:rsid w:val="001F5025"/>
    <w:rsid w:val="001F5C99"/>
    <w:rsid w:val="001F72B4"/>
    <w:rsid w:val="00202B1D"/>
    <w:rsid w:val="00202E2A"/>
    <w:rsid w:val="00204FD0"/>
    <w:rsid w:val="00205323"/>
    <w:rsid w:val="00207DA9"/>
    <w:rsid w:val="00214C52"/>
    <w:rsid w:val="0021551A"/>
    <w:rsid w:val="00217293"/>
    <w:rsid w:val="00221D3E"/>
    <w:rsid w:val="00222D80"/>
    <w:rsid w:val="00222E57"/>
    <w:rsid w:val="0022525A"/>
    <w:rsid w:val="0022739C"/>
    <w:rsid w:val="00230623"/>
    <w:rsid w:val="00232A43"/>
    <w:rsid w:val="002339F2"/>
    <w:rsid w:val="00241CF7"/>
    <w:rsid w:val="00243322"/>
    <w:rsid w:val="00243495"/>
    <w:rsid w:val="00246BDA"/>
    <w:rsid w:val="0024794B"/>
    <w:rsid w:val="00247C3A"/>
    <w:rsid w:val="00250F42"/>
    <w:rsid w:val="0025132E"/>
    <w:rsid w:val="002634FE"/>
    <w:rsid w:val="002645EF"/>
    <w:rsid w:val="0026598F"/>
    <w:rsid w:val="0026656F"/>
    <w:rsid w:val="00266C57"/>
    <w:rsid w:val="0026715A"/>
    <w:rsid w:val="00267575"/>
    <w:rsid w:val="00271035"/>
    <w:rsid w:val="00271BC8"/>
    <w:rsid w:val="0027256B"/>
    <w:rsid w:val="00275899"/>
    <w:rsid w:val="0028022C"/>
    <w:rsid w:val="00280843"/>
    <w:rsid w:val="00280F48"/>
    <w:rsid w:val="00280F63"/>
    <w:rsid w:val="00282EF1"/>
    <w:rsid w:val="00283DC3"/>
    <w:rsid w:val="00283FE6"/>
    <w:rsid w:val="0028766A"/>
    <w:rsid w:val="00287E13"/>
    <w:rsid w:val="002907CD"/>
    <w:rsid w:val="00290C62"/>
    <w:rsid w:val="002933B5"/>
    <w:rsid w:val="0029398F"/>
    <w:rsid w:val="002955D6"/>
    <w:rsid w:val="002A01F6"/>
    <w:rsid w:val="002A2C32"/>
    <w:rsid w:val="002A5219"/>
    <w:rsid w:val="002A777A"/>
    <w:rsid w:val="002A7C4E"/>
    <w:rsid w:val="002B0FB4"/>
    <w:rsid w:val="002B3ED6"/>
    <w:rsid w:val="002C0E76"/>
    <w:rsid w:val="002C3A21"/>
    <w:rsid w:val="002C5762"/>
    <w:rsid w:val="002C622C"/>
    <w:rsid w:val="002D0C5C"/>
    <w:rsid w:val="002D55F1"/>
    <w:rsid w:val="002D5D26"/>
    <w:rsid w:val="002D60B6"/>
    <w:rsid w:val="002E093A"/>
    <w:rsid w:val="002F028B"/>
    <w:rsid w:val="002F77AD"/>
    <w:rsid w:val="002F7879"/>
    <w:rsid w:val="0030169D"/>
    <w:rsid w:val="00302C53"/>
    <w:rsid w:val="003060EB"/>
    <w:rsid w:val="00311FFD"/>
    <w:rsid w:val="00312D98"/>
    <w:rsid w:val="003153EB"/>
    <w:rsid w:val="00315A97"/>
    <w:rsid w:val="00321985"/>
    <w:rsid w:val="00323709"/>
    <w:rsid w:val="00323E23"/>
    <w:rsid w:val="00325605"/>
    <w:rsid w:val="0032611D"/>
    <w:rsid w:val="00330C8A"/>
    <w:rsid w:val="00333FC6"/>
    <w:rsid w:val="003405EA"/>
    <w:rsid w:val="0034395E"/>
    <w:rsid w:val="00343E3E"/>
    <w:rsid w:val="00343FE4"/>
    <w:rsid w:val="003465FE"/>
    <w:rsid w:val="00350B02"/>
    <w:rsid w:val="00351205"/>
    <w:rsid w:val="003575AD"/>
    <w:rsid w:val="00357A35"/>
    <w:rsid w:val="003605AB"/>
    <w:rsid w:val="0036171E"/>
    <w:rsid w:val="00364A2C"/>
    <w:rsid w:val="00364BC3"/>
    <w:rsid w:val="003717D7"/>
    <w:rsid w:val="00371A7E"/>
    <w:rsid w:val="00372F74"/>
    <w:rsid w:val="00376786"/>
    <w:rsid w:val="003770C8"/>
    <w:rsid w:val="00382446"/>
    <w:rsid w:val="0038258F"/>
    <w:rsid w:val="00385985"/>
    <w:rsid w:val="00387360"/>
    <w:rsid w:val="00390F4E"/>
    <w:rsid w:val="00391C72"/>
    <w:rsid w:val="00394D9B"/>
    <w:rsid w:val="00396CA4"/>
    <w:rsid w:val="0039772E"/>
    <w:rsid w:val="00397FD0"/>
    <w:rsid w:val="003A4B56"/>
    <w:rsid w:val="003A6320"/>
    <w:rsid w:val="003A6F5E"/>
    <w:rsid w:val="003A7D09"/>
    <w:rsid w:val="003B21FB"/>
    <w:rsid w:val="003C2941"/>
    <w:rsid w:val="003C50B3"/>
    <w:rsid w:val="003D34A2"/>
    <w:rsid w:val="003E0210"/>
    <w:rsid w:val="003E10D5"/>
    <w:rsid w:val="003E1C02"/>
    <w:rsid w:val="003E2B94"/>
    <w:rsid w:val="003E56E2"/>
    <w:rsid w:val="003E7F77"/>
    <w:rsid w:val="003F5590"/>
    <w:rsid w:val="003F7224"/>
    <w:rsid w:val="0040098E"/>
    <w:rsid w:val="00401342"/>
    <w:rsid w:val="00401A23"/>
    <w:rsid w:val="00402308"/>
    <w:rsid w:val="00402E9E"/>
    <w:rsid w:val="004036A6"/>
    <w:rsid w:val="004039B3"/>
    <w:rsid w:val="00405EEC"/>
    <w:rsid w:val="00412684"/>
    <w:rsid w:val="00412E76"/>
    <w:rsid w:val="0042281C"/>
    <w:rsid w:val="004248D8"/>
    <w:rsid w:val="0042574B"/>
    <w:rsid w:val="00426ACD"/>
    <w:rsid w:val="00427D21"/>
    <w:rsid w:val="00430CE4"/>
    <w:rsid w:val="00432C86"/>
    <w:rsid w:val="00437799"/>
    <w:rsid w:val="0044028D"/>
    <w:rsid w:val="00461F5E"/>
    <w:rsid w:val="00463C70"/>
    <w:rsid w:val="004640A0"/>
    <w:rsid w:val="004644C2"/>
    <w:rsid w:val="004666DF"/>
    <w:rsid w:val="004676C3"/>
    <w:rsid w:val="004677F9"/>
    <w:rsid w:val="00467F9C"/>
    <w:rsid w:val="00472BC3"/>
    <w:rsid w:val="0047522C"/>
    <w:rsid w:val="004758D4"/>
    <w:rsid w:val="00476F4F"/>
    <w:rsid w:val="0048243C"/>
    <w:rsid w:val="004829A0"/>
    <w:rsid w:val="004872C4"/>
    <w:rsid w:val="00487F98"/>
    <w:rsid w:val="00490BB7"/>
    <w:rsid w:val="00493D06"/>
    <w:rsid w:val="004A17D7"/>
    <w:rsid w:val="004A5400"/>
    <w:rsid w:val="004A5811"/>
    <w:rsid w:val="004B081C"/>
    <w:rsid w:val="004B3D1C"/>
    <w:rsid w:val="004B79EF"/>
    <w:rsid w:val="004C1D37"/>
    <w:rsid w:val="004C318F"/>
    <w:rsid w:val="004C6FFB"/>
    <w:rsid w:val="004D3499"/>
    <w:rsid w:val="004D577B"/>
    <w:rsid w:val="004E2EC6"/>
    <w:rsid w:val="004E5954"/>
    <w:rsid w:val="004E5A22"/>
    <w:rsid w:val="004E5B76"/>
    <w:rsid w:val="004F6217"/>
    <w:rsid w:val="004F69DC"/>
    <w:rsid w:val="004F7685"/>
    <w:rsid w:val="005009F8"/>
    <w:rsid w:val="0050364C"/>
    <w:rsid w:val="0051160A"/>
    <w:rsid w:val="00515099"/>
    <w:rsid w:val="0051659C"/>
    <w:rsid w:val="00523843"/>
    <w:rsid w:val="00523D7C"/>
    <w:rsid w:val="00525B9F"/>
    <w:rsid w:val="00526FF3"/>
    <w:rsid w:val="005276F3"/>
    <w:rsid w:val="005277ED"/>
    <w:rsid w:val="00534681"/>
    <w:rsid w:val="00537C5B"/>
    <w:rsid w:val="00541CFE"/>
    <w:rsid w:val="00544B5D"/>
    <w:rsid w:val="00557AAA"/>
    <w:rsid w:val="00563442"/>
    <w:rsid w:val="00564779"/>
    <w:rsid w:val="00565B42"/>
    <w:rsid w:val="005753AB"/>
    <w:rsid w:val="00575B2B"/>
    <w:rsid w:val="00581684"/>
    <w:rsid w:val="00582E27"/>
    <w:rsid w:val="00584278"/>
    <w:rsid w:val="00585592"/>
    <w:rsid w:val="00590F9D"/>
    <w:rsid w:val="005A0163"/>
    <w:rsid w:val="005A0279"/>
    <w:rsid w:val="005A1C97"/>
    <w:rsid w:val="005A4CB8"/>
    <w:rsid w:val="005B03F2"/>
    <w:rsid w:val="005B0F78"/>
    <w:rsid w:val="005B1A5E"/>
    <w:rsid w:val="005B5FC3"/>
    <w:rsid w:val="005C25E2"/>
    <w:rsid w:val="005C4CE6"/>
    <w:rsid w:val="005C5215"/>
    <w:rsid w:val="005D2C83"/>
    <w:rsid w:val="005D6B1B"/>
    <w:rsid w:val="005E29B9"/>
    <w:rsid w:val="005F33EA"/>
    <w:rsid w:val="005F6B05"/>
    <w:rsid w:val="005F6F16"/>
    <w:rsid w:val="00606EA4"/>
    <w:rsid w:val="00607B87"/>
    <w:rsid w:val="00607E83"/>
    <w:rsid w:val="006122BA"/>
    <w:rsid w:val="0061555D"/>
    <w:rsid w:val="00615C01"/>
    <w:rsid w:val="00617267"/>
    <w:rsid w:val="00617935"/>
    <w:rsid w:val="00617E20"/>
    <w:rsid w:val="0062128A"/>
    <w:rsid w:val="006222D9"/>
    <w:rsid w:val="00626F54"/>
    <w:rsid w:val="00630CA6"/>
    <w:rsid w:val="00631D35"/>
    <w:rsid w:val="00633EC9"/>
    <w:rsid w:val="00640FF6"/>
    <w:rsid w:val="006413D8"/>
    <w:rsid w:val="006442C4"/>
    <w:rsid w:val="006457A1"/>
    <w:rsid w:val="0064621A"/>
    <w:rsid w:val="00651C5E"/>
    <w:rsid w:val="006531C0"/>
    <w:rsid w:val="00663928"/>
    <w:rsid w:val="00663BB8"/>
    <w:rsid w:val="0066578F"/>
    <w:rsid w:val="00665A8B"/>
    <w:rsid w:val="00665FD6"/>
    <w:rsid w:val="0066644E"/>
    <w:rsid w:val="0066647E"/>
    <w:rsid w:val="0066748C"/>
    <w:rsid w:val="00670F8E"/>
    <w:rsid w:val="00671C31"/>
    <w:rsid w:val="00673426"/>
    <w:rsid w:val="006741A4"/>
    <w:rsid w:val="006771AB"/>
    <w:rsid w:val="0068237B"/>
    <w:rsid w:val="00683B7A"/>
    <w:rsid w:val="00694B16"/>
    <w:rsid w:val="00695AA7"/>
    <w:rsid w:val="00697129"/>
    <w:rsid w:val="00697181"/>
    <w:rsid w:val="006A79F6"/>
    <w:rsid w:val="006B2290"/>
    <w:rsid w:val="006B7403"/>
    <w:rsid w:val="006D60DD"/>
    <w:rsid w:val="006D6983"/>
    <w:rsid w:val="006D7C0B"/>
    <w:rsid w:val="006E1F89"/>
    <w:rsid w:val="006E40C4"/>
    <w:rsid w:val="006E47AB"/>
    <w:rsid w:val="006E5C44"/>
    <w:rsid w:val="006E6032"/>
    <w:rsid w:val="006F122A"/>
    <w:rsid w:val="006F1B27"/>
    <w:rsid w:val="006F445F"/>
    <w:rsid w:val="006F5035"/>
    <w:rsid w:val="006F5C7A"/>
    <w:rsid w:val="00701A27"/>
    <w:rsid w:val="00702BC9"/>
    <w:rsid w:val="0070411D"/>
    <w:rsid w:val="0070416B"/>
    <w:rsid w:val="00704446"/>
    <w:rsid w:val="00705A16"/>
    <w:rsid w:val="00711F6F"/>
    <w:rsid w:val="00712D61"/>
    <w:rsid w:val="007176A8"/>
    <w:rsid w:val="00717D88"/>
    <w:rsid w:val="00720D70"/>
    <w:rsid w:val="0072402E"/>
    <w:rsid w:val="007271C7"/>
    <w:rsid w:val="00730D6B"/>
    <w:rsid w:val="0073127A"/>
    <w:rsid w:val="00733A08"/>
    <w:rsid w:val="0074314E"/>
    <w:rsid w:val="0074684A"/>
    <w:rsid w:val="007468CD"/>
    <w:rsid w:val="00747130"/>
    <w:rsid w:val="00747856"/>
    <w:rsid w:val="00750395"/>
    <w:rsid w:val="00750578"/>
    <w:rsid w:val="00752163"/>
    <w:rsid w:val="007547D8"/>
    <w:rsid w:val="00763184"/>
    <w:rsid w:val="00781EFD"/>
    <w:rsid w:val="007820AE"/>
    <w:rsid w:val="007826B6"/>
    <w:rsid w:val="00786056"/>
    <w:rsid w:val="00790C20"/>
    <w:rsid w:val="00791B91"/>
    <w:rsid w:val="007925DE"/>
    <w:rsid w:val="00793F4C"/>
    <w:rsid w:val="007942D3"/>
    <w:rsid w:val="00794CD1"/>
    <w:rsid w:val="007A2045"/>
    <w:rsid w:val="007A34DC"/>
    <w:rsid w:val="007A5615"/>
    <w:rsid w:val="007A7E47"/>
    <w:rsid w:val="007B2099"/>
    <w:rsid w:val="007B587F"/>
    <w:rsid w:val="007B6C09"/>
    <w:rsid w:val="007B7741"/>
    <w:rsid w:val="007C11D9"/>
    <w:rsid w:val="007C1B6D"/>
    <w:rsid w:val="007C365B"/>
    <w:rsid w:val="007C3B37"/>
    <w:rsid w:val="007C5415"/>
    <w:rsid w:val="007C5964"/>
    <w:rsid w:val="007C66B0"/>
    <w:rsid w:val="007C765F"/>
    <w:rsid w:val="007E09DA"/>
    <w:rsid w:val="007E0A78"/>
    <w:rsid w:val="007E1602"/>
    <w:rsid w:val="007E2A1E"/>
    <w:rsid w:val="007E3AC9"/>
    <w:rsid w:val="007E43B1"/>
    <w:rsid w:val="007F068A"/>
    <w:rsid w:val="007F682B"/>
    <w:rsid w:val="007F7CB7"/>
    <w:rsid w:val="0080115C"/>
    <w:rsid w:val="00804ABE"/>
    <w:rsid w:val="0080524A"/>
    <w:rsid w:val="00814F9F"/>
    <w:rsid w:val="008178B6"/>
    <w:rsid w:val="00822EFA"/>
    <w:rsid w:val="008245E7"/>
    <w:rsid w:val="00827B16"/>
    <w:rsid w:val="008325A2"/>
    <w:rsid w:val="0083318A"/>
    <w:rsid w:val="008355F8"/>
    <w:rsid w:val="00840924"/>
    <w:rsid w:val="0084570D"/>
    <w:rsid w:val="00853A2F"/>
    <w:rsid w:val="00856E46"/>
    <w:rsid w:val="00864047"/>
    <w:rsid w:val="00865B74"/>
    <w:rsid w:val="00866D8D"/>
    <w:rsid w:val="00872350"/>
    <w:rsid w:val="00873B2B"/>
    <w:rsid w:val="00880F49"/>
    <w:rsid w:val="00882033"/>
    <w:rsid w:val="00883577"/>
    <w:rsid w:val="0088653B"/>
    <w:rsid w:val="00887E4B"/>
    <w:rsid w:val="0089062A"/>
    <w:rsid w:val="00892F74"/>
    <w:rsid w:val="00892FE4"/>
    <w:rsid w:val="00895A75"/>
    <w:rsid w:val="008974F0"/>
    <w:rsid w:val="008A5A06"/>
    <w:rsid w:val="008A5DEA"/>
    <w:rsid w:val="008A6EA0"/>
    <w:rsid w:val="008B012A"/>
    <w:rsid w:val="008B2355"/>
    <w:rsid w:val="008B3CE2"/>
    <w:rsid w:val="008B6449"/>
    <w:rsid w:val="008C3616"/>
    <w:rsid w:val="008C4A43"/>
    <w:rsid w:val="008C5B4E"/>
    <w:rsid w:val="008D02DB"/>
    <w:rsid w:val="008D135E"/>
    <w:rsid w:val="008D6FDA"/>
    <w:rsid w:val="008D7652"/>
    <w:rsid w:val="008E1596"/>
    <w:rsid w:val="008E27AC"/>
    <w:rsid w:val="008F3168"/>
    <w:rsid w:val="008F3E0A"/>
    <w:rsid w:val="008F4E84"/>
    <w:rsid w:val="008F60D0"/>
    <w:rsid w:val="008F79FD"/>
    <w:rsid w:val="00900494"/>
    <w:rsid w:val="00906E17"/>
    <w:rsid w:val="00912F56"/>
    <w:rsid w:val="009137D9"/>
    <w:rsid w:val="00913BC2"/>
    <w:rsid w:val="0092131E"/>
    <w:rsid w:val="0092135D"/>
    <w:rsid w:val="009221FB"/>
    <w:rsid w:val="009243F5"/>
    <w:rsid w:val="00924457"/>
    <w:rsid w:val="00930BA1"/>
    <w:rsid w:val="0093169E"/>
    <w:rsid w:val="009369F4"/>
    <w:rsid w:val="00940F58"/>
    <w:rsid w:val="009420B6"/>
    <w:rsid w:val="009437F8"/>
    <w:rsid w:val="00945BDD"/>
    <w:rsid w:val="00945FB5"/>
    <w:rsid w:val="009470BE"/>
    <w:rsid w:val="009505C9"/>
    <w:rsid w:val="00950752"/>
    <w:rsid w:val="00950774"/>
    <w:rsid w:val="00954762"/>
    <w:rsid w:val="009566A9"/>
    <w:rsid w:val="00956CB0"/>
    <w:rsid w:val="009610D2"/>
    <w:rsid w:val="00961A9F"/>
    <w:rsid w:val="009641C9"/>
    <w:rsid w:val="00966424"/>
    <w:rsid w:val="00967389"/>
    <w:rsid w:val="00971112"/>
    <w:rsid w:val="0097540D"/>
    <w:rsid w:val="00981AF5"/>
    <w:rsid w:val="009824C5"/>
    <w:rsid w:val="009876C4"/>
    <w:rsid w:val="0098785B"/>
    <w:rsid w:val="00991AC4"/>
    <w:rsid w:val="0099588D"/>
    <w:rsid w:val="009A12E4"/>
    <w:rsid w:val="009A3E99"/>
    <w:rsid w:val="009B12E2"/>
    <w:rsid w:val="009B21EE"/>
    <w:rsid w:val="009B2D13"/>
    <w:rsid w:val="009B2E3E"/>
    <w:rsid w:val="009B30D3"/>
    <w:rsid w:val="009B474C"/>
    <w:rsid w:val="009B506F"/>
    <w:rsid w:val="009C0323"/>
    <w:rsid w:val="009C0446"/>
    <w:rsid w:val="009C2037"/>
    <w:rsid w:val="009C2DE6"/>
    <w:rsid w:val="009C788B"/>
    <w:rsid w:val="009D153F"/>
    <w:rsid w:val="009F604D"/>
    <w:rsid w:val="009F665A"/>
    <w:rsid w:val="00A06642"/>
    <w:rsid w:val="00A07AF2"/>
    <w:rsid w:val="00A10993"/>
    <w:rsid w:val="00A11285"/>
    <w:rsid w:val="00A131EC"/>
    <w:rsid w:val="00A15B36"/>
    <w:rsid w:val="00A214FC"/>
    <w:rsid w:val="00A22702"/>
    <w:rsid w:val="00A253A5"/>
    <w:rsid w:val="00A2688E"/>
    <w:rsid w:val="00A31911"/>
    <w:rsid w:val="00A34CD3"/>
    <w:rsid w:val="00A41636"/>
    <w:rsid w:val="00A42E38"/>
    <w:rsid w:val="00A45D45"/>
    <w:rsid w:val="00A6177B"/>
    <w:rsid w:val="00A63AEC"/>
    <w:rsid w:val="00A6694F"/>
    <w:rsid w:val="00A67EA3"/>
    <w:rsid w:val="00A70325"/>
    <w:rsid w:val="00A71C6B"/>
    <w:rsid w:val="00A74CAF"/>
    <w:rsid w:val="00A8073A"/>
    <w:rsid w:val="00A82BAB"/>
    <w:rsid w:val="00A94F35"/>
    <w:rsid w:val="00AA31FD"/>
    <w:rsid w:val="00AA4038"/>
    <w:rsid w:val="00AA4E6A"/>
    <w:rsid w:val="00AA6F92"/>
    <w:rsid w:val="00AB2F34"/>
    <w:rsid w:val="00AB5CDF"/>
    <w:rsid w:val="00AB6391"/>
    <w:rsid w:val="00AB6934"/>
    <w:rsid w:val="00AC5F87"/>
    <w:rsid w:val="00AC7D42"/>
    <w:rsid w:val="00AD244C"/>
    <w:rsid w:val="00AD548E"/>
    <w:rsid w:val="00AE07C1"/>
    <w:rsid w:val="00AE07D5"/>
    <w:rsid w:val="00AE3AB5"/>
    <w:rsid w:val="00AE4BB3"/>
    <w:rsid w:val="00AF02C6"/>
    <w:rsid w:val="00AF133E"/>
    <w:rsid w:val="00AF18B5"/>
    <w:rsid w:val="00AF2B76"/>
    <w:rsid w:val="00AF42DE"/>
    <w:rsid w:val="00B00707"/>
    <w:rsid w:val="00B1103F"/>
    <w:rsid w:val="00B11133"/>
    <w:rsid w:val="00B11DF7"/>
    <w:rsid w:val="00B143F6"/>
    <w:rsid w:val="00B15ABE"/>
    <w:rsid w:val="00B167D3"/>
    <w:rsid w:val="00B21985"/>
    <w:rsid w:val="00B25EE3"/>
    <w:rsid w:val="00B30D3C"/>
    <w:rsid w:val="00B3369F"/>
    <w:rsid w:val="00B34F7A"/>
    <w:rsid w:val="00B36041"/>
    <w:rsid w:val="00B36CDD"/>
    <w:rsid w:val="00B50864"/>
    <w:rsid w:val="00B511DF"/>
    <w:rsid w:val="00B5749F"/>
    <w:rsid w:val="00B578B3"/>
    <w:rsid w:val="00B61636"/>
    <w:rsid w:val="00B66C4D"/>
    <w:rsid w:val="00B70197"/>
    <w:rsid w:val="00B73081"/>
    <w:rsid w:val="00B7419C"/>
    <w:rsid w:val="00B75CBC"/>
    <w:rsid w:val="00B80659"/>
    <w:rsid w:val="00B80772"/>
    <w:rsid w:val="00B80B5E"/>
    <w:rsid w:val="00B83893"/>
    <w:rsid w:val="00B83C43"/>
    <w:rsid w:val="00B87C8F"/>
    <w:rsid w:val="00B90C64"/>
    <w:rsid w:val="00B928FA"/>
    <w:rsid w:val="00B93789"/>
    <w:rsid w:val="00B94E6C"/>
    <w:rsid w:val="00B955C5"/>
    <w:rsid w:val="00B971AD"/>
    <w:rsid w:val="00BA201B"/>
    <w:rsid w:val="00BA2191"/>
    <w:rsid w:val="00BA269C"/>
    <w:rsid w:val="00BA2BF1"/>
    <w:rsid w:val="00BA570B"/>
    <w:rsid w:val="00BB1159"/>
    <w:rsid w:val="00BB2D63"/>
    <w:rsid w:val="00BB4606"/>
    <w:rsid w:val="00BB4658"/>
    <w:rsid w:val="00BB7FC1"/>
    <w:rsid w:val="00BC0048"/>
    <w:rsid w:val="00BC08F4"/>
    <w:rsid w:val="00BC1934"/>
    <w:rsid w:val="00BC24DD"/>
    <w:rsid w:val="00BC4F33"/>
    <w:rsid w:val="00BC7B4C"/>
    <w:rsid w:val="00BD0429"/>
    <w:rsid w:val="00BD48FB"/>
    <w:rsid w:val="00BE0C71"/>
    <w:rsid w:val="00BE7A48"/>
    <w:rsid w:val="00BF3D93"/>
    <w:rsid w:val="00BF58AC"/>
    <w:rsid w:val="00BF78CA"/>
    <w:rsid w:val="00C13090"/>
    <w:rsid w:val="00C20430"/>
    <w:rsid w:val="00C2057C"/>
    <w:rsid w:val="00C20F6C"/>
    <w:rsid w:val="00C2106D"/>
    <w:rsid w:val="00C2218B"/>
    <w:rsid w:val="00C23BF7"/>
    <w:rsid w:val="00C23D2F"/>
    <w:rsid w:val="00C24279"/>
    <w:rsid w:val="00C31665"/>
    <w:rsid w:val="00C32F86"/>
    <w:rsid w:val="00C43529"/>
    <w:rsid w:val="00C443BD"/>
    <w:rsid w:val="00C451C5"/>
    <w:rsid w:val="00C546B2"/>
    <w:rsid w:val="00C546FD"/>
    <w:rsid w:val="00C571F7"/>
    <w:rsid w:val="00C6157E"/>
    <w:rsid w:val="00C65693"/>
    <w:rsid w:val="00C71237"/>
    <w:rsid w:val="00C75F51"/>
    <w:rsid w:val="00C8123D"/>
    <w:rsid w:val="00C8251F"/>
    <w:rsid w:val="00C82C11"/>
    <w:rsid w:val="00C83D72"/>
    <w:rsid w:val="00C84259"/>
    <w:rsid w:val="00C86061"/>
    <w:rsid w:val="00C9050F"/>
    <w:rsid w:val="00C9161D"/>
    <w:rsid w:val="00C91C8D"/>
    <w:rsid w:val="00C92C4B"/>
    <w:rsid w:val="00C94DDB"/>
    <w:rsid w:val="00CA0C1D"/>
    <w:rsid w:val="00CA2383"/>
    <w:rsid w:val="00CA6546"/>
    <w:rsid w:val="00CB465C"/>
    <w:rsid w:val="00CB5384"/>
    <w:rsid w:val="00CC3E76"/>
    <w:rsid w:val="00CC4E33"/>
    <w:rsid w:val="00CD1F85"/>
    <w:rsid w:val="00CD7606"/>
    <w:rsid w:val="00CD7D5A"/>
    <w:rsid w:val="00CE09A1"/>
    <w:rsid w:val="00CE343F"/>
    <w:rsid w:val="00CE3CC4"/>
    <w:rsid w:val="00CE4687"/>
    <w:rsid w:val="00CE491B"/>
    <w:rsid w:val="00CE717C"/>
    <w:rsid w:val="00CE7AC7"/>
    <w:rsid w:val="00CF1848"/>
    <w:rsid w:val="00CF3F1F"/>
    <w:rsid w:val="00CF57E6"/>
    <w:rsid w:val="00CF777C"/>
    <w:rsid w:val="00D01D7E"/>
    <w:rsid w:val="00D06F3F"/>
    <w:rsid w:val="00D07EE9"/>
    <w:rsid w:val="00D12044"/>
    <w:rsid w:val="00D1284E"/>
    <w:rsid w:val="00D13BD5"/>
    <w:rsid w:val="00D1532D"/>
    <w:rsid w:val="00D16732"/>
    <w:rsid w:val="00D23A59"/>
    <w:rsid w:val="00D25BA9"/>
    <w:rsid w:val="00D32695"/>
    <w:rsid w:val="00D33EFC"/>
    <w:rsid w:val="00D347C1"/>
    <w:rsid w:val="00D36832"/>
    <w:rsid w:val="00D40DBC"/>
    <w:rsid w:val="00D428B5"/>
    <w:rsid w:val="00D44AD5"/>
    <w:rsid w:val="00D455A2"/>
    <w:rsid w:val="00D47CC7"/>
    <w:rsid w:val="00D54C17"/>
    <w:rsid w:val="00D576D9"/>
    <w:rsid w:val="00D61E2B"/>
    <w:rsid w:val="00D6212B"/>
    <w:rsid w:val="00D64A63"/>
    <w:rsid w:val="00D64EC4"/>
    <w:rsid w:val="00D66664"/>
    <w:rsid w:val="00D72499"/>
    <w:rsid w:val="00D72CE7"/>
    <w:rsid w:val="00D7402E"/>
    <w:rsid w:val="00D76A18"/>
    <w:rsid w:val="00D80849"/>
    <w:rsid w:val="00D82E8F"/>
    <w:rsid w:val="00D82F61"/>
    <w:rsid w:val="00D860D1"/>
    <w:rsid w:val="00D87E73"/>
    <w:rsid w:val="00D90594"/>
    <w:rsid w:val="00D94D15"/>
    <w:rsid w:val="00D96A2B"/>
    <w:rsid w:val="00DA1FA6"/>
    <w:rsid w:val="00DA2975"/>
    <w:rsid w:val="00DA4A2A"/>
    <w:rsid w:val="00DA4EF9"/>
    <w:rsid w:val="00DA537D"/>
    <w:rsid w:val="00DA5EB1"/>
    <w:rsid w:val="00DA666C"/>
    <w:rsid w:val="00DB74EB"/>
    <w:rsid w:val="00DC082A"/>
    <w:rsid w:val="00DC6744"/>
    <w:rsid w:val="00DC687F"/>
    <w:rsid w:val="00DC7366"/>
    <w:rsid w:val="00DD118C"/>
    <w:rsid w:val="00DD13FD"/>
    <w:rsid w:val="00DD33EF"/>
    <w:rsid w:val="00DD555F"/>
    <w:rsid w:val="00DD6E98"/>
    <w:rsid w:val="00DE00D1"/>
    <w:rsid w:val="00DE0746"/>
    <w:rsid w:val="00DE5690"/>
    <w:rsid w:val="00DE6EEF"/>
    <w:rsid w:val="00DF0D3B"/>
    <w:rsid w:val="00DF2F08"/>
    <w:rsid w:val="00DF4E87"/>
    <w:rsid w:val="00DF6AE8"/>
    <w:rsid w:val="00E03429"/>
    <w:rsid w:val="00E04478"/>
    <w:rsid w:val="00E04573"/>
    <w:rsid w:val="00E04726"/>
    <w:rsid w:val="00E056E5"/>
    <w:rsid w:val="00E103CB"/>
    <w:rsid w:val="00E127B9"/>
    <w:rsid w:val="00E13264"/>
    <w:rsid w:val="00E14B74"/>
    <w:rsid w:val="00E15370"/>
    <w:rsid w:val="00E16DAE"/>
    <w:rsid w:val="00E17289"/>
    <w:rsid w:val="00E17BCD"/>
    <w:rsid w:val="00E231F9"/>
    <w:rsid w:val="00E263B7"/>
    <w:rsid w:val="00E272E8"/>
    <w:rsid w:val="00E32DB3"/>
    <w:rsid w:val="00E403DF"/>
    <w:rsid w:val="00E445A5"/>
    <w:rsid w:val="00E44DD9"/>
    <w:rsid w:val="00E6024D"/>
    <w:rsid w:val="00E66235"/>
    <w:rsid w:val="00E673D2"/>
    <w:rsid w:val="00E75253"/>
    <w:rsid w:val="00E80D2B"/>
    <w:rsid w:val="00E8126B"/>
    <w:rsid w:val="00E83C24"/>
    <w:rsid w:val="00E87078"/>
    <w:rsid w:val="00E87B3A"/>
    <w:rsid w:val="00E9088E"/>
    <w:rsid w:val="00E912DD"/>
    <w:rsid w:val="00E91791"/>
    <w:rsid w:val="00E9318D"/>
    <w:rsid w:val="00E96AE0"/>
    <w:rsid w:val="00EA1121"/>
    <w:rsid w:val="00EA1B7B"/>
    <w:rsid w:val="00EA7D61"/>
    <w:rsid w:val="00EB19CC"/>
    <w:rsid w:val="00EB3CB0"/>
    <w:rsid w:val="00EB6610"/>
    <w:rsid w:val="00EB6EB3"/>
    <w:rsid w:val="00EB758D"/>
    <w:rsid w:val="00EC1076"/>
    <w:rsid w:val="00EC207E"/>
    <w:rsid w:val="00EC3DA8"/>
    <w:rsid w:val="00EC3DCC"/>
    <w:rsid w:val="00ED13F3"/>
    <w:rsid w:val="00ED4555"/>
    <w:rsid w:val="00EE3EE9"/>
    <w:rsid w:val="00EF074D"/>
    <w:rsid w:val="00EF1FC8"/>
    <w:rsid w:val="00F02132"/>
    <w:rsid w:val="00F05315"/>
    <w:rsid w:val="00F058AC"/>
    <w:rsid w:val="00F062D4"/>
    <w:rsid w:val="00F075A8"/>
    <w:rsid w:val="00F11CAB"/>
    <w:rsid w:val="00F161F6"/>
    <w:rsid w:val="00F1775D"/>
    <w:rsid w:val="00F17E10"/>
    <w:rsid w:val="00F2369D"/>
    <w:rsid w:val="00F336BF"/>
    <w:rsid w:val="00F40EC7"/>
    <w:rsid w:val="00F41C6D"/>
    <w:rsid w:val="00F421A2"/>
    <w:rsid w:val="00F465E6"/>
    <w:rsid w:val="00F53193"/>
    <w:rsid w:val="00F5322B"/>
    <w:rsid w:val="00F538EC"/>
    <w:rsid w:val="00F55E7F"/>
    <w:rsid w:val="00F56EF9"/>
    <w:rsid w:val="00F642EE"/>
    <w:rsid w:val="00F6501C"/>
    <w:rsid w:val="00F65393"/>
    <w:rsid w:val="00F6586C"/>
    <w:rsid w:val="00F746E5"/>
    <w:rsid w:val="00F769FB"/>
    <w:rsid w:val="00F80246"/>
    <w:rsid w:val="00F81CD7"/>
    <w:rsid w:val="00F94774"/>
    <w:rsid w:val="00F96862"/>
    <w:rsid w:val="00F96E4E"/>
    <w:rsid w:val="00FA0B9C"/>
    <w:rsid w:val="00FA1FC3"/>
    <w:rsid w:val="00FA3AD5"/>
    <w:rsid w:val="00FA3E86"/>
    <w:rsid w:val="00FA4087"/>
    <w:rsid w:val="00FA609B"/>
    <w:rsid w:val="00FA65AF"/>
    <w:rsid w:val="00FA663B"/>
    <w:rsid w:val="00FA7F31"/>
    <w:rsid w:val="00FB60A6"/>
    <w:rsid w:val="00FC53DB"/>
    <w:rsid w:val="00FD0699"/>
    <w:rsid w:val="00FD21C5"/>
    <w:rsid w:val="00FD50EE"/>
    <w:rsid w:val="00FD54D8"/>
    <w:rsid w:val="00FD73B2"/>
    <w:rsid w:val="00FE08E8"/>
    <w:rsid w:val="00FE26BD"/>
    <w:rsid w:val="00FE4643"/>
    <w:rsid w:val="00FF0AC4"/>
    <w:rsid w:val="00FF3D8E"/>
    <w:rsid w:val="00FF7E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FC808"/>
  <w15:chartTrackingRefBased/>
  <w15:docId w15:val="{80556517-BB7A-4DC1-832A-E6A1799C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C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8F79FD"/>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8F79FD"/>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8F79FD"/>
    <w:pPr>
      <w:keepNext/>
      <w:tabs>
        <w:tab w:val="left" w:pos="567"/>
      </w:tabs>
      <w:spacing w:before="120" w:after="120"/>
      <w:jc w:val="center"/>
      <w:outlineLvl w:val="2"/>
    </w:pPr>
    <w:rPr>
      <w:i/>
      <w:iCs/>
    </w:rPr>
  </w:style>
  <w:style w:type="paragraph" w:styleId="Heading4">
    <w:name w:val="heading 4"/>
    <w:basedOn w:val="Normal"/>
    <w:link w:val="Heading4Char"/>
    <w:qFormat/>
    <w:rsid w:val="008F79F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8F79FD"/>
    <w:pPr>
      <w:keepNext/>
      <w:numPr>
        <w:ilvl w:val="4"/>
        <w:numId w:val="33"/>
      </w:numPr>
      <w:spacing w:before="120" w:after="120"/>
      <w:jc w:val="left"/>
      <w:outlineLvl w:val="4"/>
    </w:pPr>
    <w:rPr>
      <w:bCs/>
      <w:i/>
      <w:szCs w:val="26"/>
      <w:lang w:val="en-CA"/>
    </w:rPr>
  </w:style>
  <w:style w:type="paragraph" w:styleId="Heading6">
    <w:name w:val="heading 6"/>
    <w:basedOn w:val="Normal"/>
    <w:next w:val="Normal"/>
    <w:link w:val="Heading6Char"/>
    <w:qFormat/>
    <w:rsid w:val="008F79FD"/>
    <w:pPr>
      <w:keepNext/>
      <w:spacing w:after="240" w:line="240" w:lineRule="exact"/>
      <w:ind w:left="720"/>
      <w:outlineLvl w:val="5"/>
    </w:pPr>
    <w:rPr>
      <w:u w:val="single"/>
    </w:rPr>
  </w:style>
  <w:style w:type="paragraph" w:styleId="Heading7">
    <w:name w:val="heading 7"/>
    <w:basedOn w:val="Normal"/>
    <w:next w:val="Normal"/>
    <w:link w:val="Heading7Char"/>
    <w:rsid w:val="008F79FD"/>
    <w:pPr>
      <w:keepNext/>
      <w:jc w:val="right"/>
      <w:outlineLvl w:val="6"/>
    </w:pPr>
    <w:rPr>
      <w:rFonts w:ascii="Univers" w:hAnsi="Univers"/>
      <w:b/>
      <w:sz w:val="28"/>
    </w:rPr>
  </w:style>
  <w:style w:type="paragraph" w:styleId="Heading8">
    <w:name w:val="heading 8"/>
    <w:basedOn w:val="Normal"/>
    <w:next w:val="Normal"/>
    <w:link w:val="Heading8Char"/>
    <w:qFormat/>
    <w:rsid w:val="008F79FD"/>
    <w:pPr>
      <w:keepNext/>
      <w:jc w:val="right"/>
      <w:outlineLvl w:val="7"/>
    </w:pPr>
    <w:rPr>
      <w:rFonts w:ascii="Univers" w:hAnsi="Univers"/>
      <w:b/>
      <w:sz w:val="32"/>
    </w:rPr>
  </w:style>
  <w:style w:type="paragraph" w:styleId="Heading9">
    <w:name w:val="heading 9"/>
    <w:basedOn w:val="Normal"/>
    <w:next w:val="Normal"/>
    <w:link w:val="Heading9Char"/>
    <w:rsid w:val="008F79F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FD"/>
    <w:pPr>
      <w:ind w:left="720"/>
      <w:contextualSpacing/>
    </w:pPr>
  </w:style>
  <w:style w:type="character" w:styleId="CommentReference">
    <w:name w:val="annotation reference"/>
    <w:semiHidden/>
    <w:rsid w:val="008F79FD"/>
    <w:rPr>
      <w:sz w:val="16"/>
    </w:rPr>
  </w:style>
  <w:style w:type="paragraph" w:styleId="CommentText">
    <w:name w:val="annotation text"/>
    <w:basedOn w:val="Normal"/>
    <w:link w:val="CommentTextChar"/>
    <w:rsid w:val="00FD21C5"/>
    <w:pPr>
      <w:spacing w:after="120" w:line="240" w:lineRule="exact"/>
    </w:pPr>
  </w:style>
  <w:style w:type="character" w:customStyle="1" w:styleId="CommentTextChar">
    <w:name w:val="Comment Text Char"/>
    <w:basedOn w:val="DefaultParagraphFont"/>
    <w:link w:val="CommentText"/>
    <w:rsid w:val="008F79FD"/>
    <w:rPr>
      <w:rFonts w:ascii="Times New Roman" w:eastAsia="Times New Roman" w:hAnsi="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FD21C5"/>
    <w:rPr>
      <w:b/>
      <w:bCs/>
    </w:rPr>
  </w:style>
  <w:style w:type="character" w:customStyle="1" w:styleId="CommentSubjectChar">
    <w:name w:val="Comment Subject Char"/>
    <w:basedOn w:val="CommentTextChar"/>
    <w:link w:val="CommentSubject"/>
    <w:uiPriority w:val="99"/>
    <w:semiHidden/>
    <w:rsid w:val="00BF78CA"/>
    <w:rPr>
      <w:rFonts w:ascii="Times New Roman" w:eastAsia="Times New Roman" w:hAnsi="Times New Roman" w:cs="Times New Roman"/>
      <w:b/>
      <w:bCs/>
      <w:szCs w:val="24"/>
      <w:lang w:val="en-GB"/>
    </w:rPr>
  </w:style>
  <w:style w:type="paragraph" w:styleId="BalloonText">
    <w:name w:val="Balloon Text"/>
    <w:basedOn w:val="Normal"/>
    <w:link w:val="BalloonTextChar"/>
    <w:uiPriority w:val="99"/>
    <w:semiHidden/>
    <w:unhideWhenUsed/>
    <w:rsid w:val="008F7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9FD"/>
    <w:rPr>
      <w:rFonts w:ascii="Lucida Grande" w:eastAsia="Times New Roman" w:hAnsi="Lucida Grande" w:cs="Lucida Grande"/>
      <w:sz w:val="18"/>
      <w:szCs w:val="18"/>
      <w:lang w:val="en-GB"/>
    </w:rPr>
  </w:style>
  <w:style w:type="paragraph" w:styleId="Header">
    <w:name w:val="header"/>
    <w:basedOn w:val="Normal"/>
    <w:link w:val="HeaderChar"/>
    <w:rsid w:val="008F79FD"/>
    <w:pPr>
      <w:tabs>
        <w:tab w:val="center" w:pos="4320"/>
        <w:tab w:val="right" w:pos="8640"/>
      </w:tabs>
    </w:pPr>
  </w:style>
  <w:style w:type="character" w:customStyle="1" w:styleId="HeaderChar">
    <w:name w:val="Header Char"/>
    <w:basedOn w:val="DefaultParagraphFont"/>
    <w:link w:val="Header"/>
    <w:rsid w:val="008F79FD"/>
    <w:rPr>
      <w:rFonts w:ascii="Times New Roman" w:eastAsia="Times New Roman" w:hAnsi="Times New Roman" w:cs="Times New Roman"/>
      <w:szCs w:val="24"/>
      <w:lang w:val="en-GB"/>
    </w:rPr>
  </w:style>
  <w:style w:type="paragraph" w:styleId="Footer">
    <w:name w:val="footer"/>
    <w:basedOn w:val="Normal"/>
    <w:link w:val="FooterChar"/>
    <w:rsid w:val="008F79FD"/>
    <w:pPr>
      <w:tabs>
        <w:tab w:val="center" w:pos="4320"/>
        <w:tab w:val="right" w:pos="8640"/>
      </w:tabs>
      <w:ind w:firstLine="720"/>
      <w:jc w:val="right"/>
    </w:pPr>
  </w:style>
  <w:style w:type="character" w:customStyle="1" w:styleId="FooterChar">
    <w:name w:val="Footer Char"/>
    <w:basedOn w:val="DefaultParagraphFont"/>
    <w:link w:val="Footer"/>
    <w:rsid w:val="008F79FD"/>
    <w:rPr>
      <w:rFonts w:ascii="Times New Roman" w:eastAsia="Times New Roman" w:hAnsi="Times New Roman" w:cs="Times New Roman"/>
      <w:szCs w:val="24"/>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FD21C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8F79FD"/>
    <w:rPr>
      <w:rFonts w:ascii="Times New Roman" w:eastAsia="Times New Roman" w:hAnsi="Times New Roman" w:cs="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8F79FD"/>
    <w:rPr>
      <w:rFonts w:eastAsiaTheme="minorEastAsia"/>
      <w:szCs w:val="24"/>
      <w:vertAlign w:val="superscript"/>
      <w:lang w:val="fr-CA"/>
    </w:rPr>
  </w:style>
  <w:style w:type="character" w:styleId="Strong">
    <w:name w:val="Strong"/>
    <w:basedOn w:val="DefaultParagraphFont"/>
    <w:uiPriority w:val="22"/>
    <w:qFormat/>
    <w:rsid w:val="006531C0"/>
    <w:rPr>
      <w:b/>
      <w:bCs/>
    </w:rPr>
  </w:style>
  <w:style w:type="character" w:customStyle="1" w:styleId="highlight">
    <w:name w:val="highlight"/>
    <w:basedOn w:val="DefaultParagraphFont"/>
    <w:rsid w:val="004A5400"/>
  </w:style>
  <w:style w:type="paragraph" w:customStyle="1" w:styleId="Heading1longmultiline">
    <w:name w:val="Heading 1 (long multiline)"/>
    <w:basedOn w:val="Heading1"/>
    <w:rsid w:val="008F79FD"/>
    <w:pPr>
      <w:ind w:left="1843" w:hanging="1134"/>
      <w:jc w:val="left"/>
    </w:pPr>
  </w:style>
  <w:style w:type="character" w:customStyle="1" w:styleId="Heading1Char">
    <w:name w:val="Heading 1 Char"/>
    <w:basedOn w:val="DefaultParagraphFont"/>
    <w:link w:val="Heading1"/>
    <w:rsid w:val="008F79FD"/>
    <w:rPr>
      <w:rFonts w:ascii="Times New Roman" w:eastAsia="Times New Roman" w:hAnsi="Times New Roman" w:cs="Times New Roman"/>
      <w:b/>
      <w:caps/>
      <w:szCs w:val="24"/>
      <w:lang w:val="en-GB"/>
    </w:rPr>
  </w:style>
  <w:style w:type="table" w:customStyle="1" w:styleId="TableGrid1">
    <w:name w:val="Table Grid1"/>
    <w:basedOn w:val="TableNormal"/>
    <w:next w:val="TableGrid"/>
    <w:uiPriority w:val="59"/>
    <w:rsid w:val="001A5AD4"/>
    <w:pPr>
      <w:spacing w:after="0" w:line="240" w:lineRule="auto"/>
    </w:pPr>
    <w:rPr>
      <w:rFonts w:eastAsia="MS Mincho"/>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F79FD"/>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79FD"/>
    <w:rPr>
      <w:color w:val="808080"/>
    </w:rPr>
  </w:style>
  <w:style w:type="character" w:customStyle="1" w:styleId="Heading2Char">
    <w:name w:val="Heading 2 Char"/>
    <w:basedOn w:val="DefaultParagraphFont"/>
    <w:link w:val="Heading2"/>
    <w:rsid w:val="008F79FD"/>
    <w:rPr>
      <w:rFonts w:ascii="Times New Roman" w:eastAsia="Times New Roman" w:hAnsi="Times New Roman" w:cs="Times New Roman"/>
      <w:b/>
      <w:bCs/>
      <w:iCs/>
      <w:szCs w:val="24"/>
      <w:lang w:val="en-GB"/>
    </w:rPr>
  </w:style>
  <w:style w:type="character" w:customStyle="1" w:styleId="Heading2Char1">
    <w:name w:val="Heading 2 Char1"/>
    <w:basedOn w:val="DefaultParagraphFont"/>
    <w:uiPriority w:val="9"/>
    <w:semiHidden/>
    <w:rsid w:val="00BD0429"/>
    <w:rPr>
      <w:rFonts w:asciiTheme="majorHAnsi" w:eastAsiaTheme="majorEastAsia" w:hAnsiTheme="majorHAnsi" w:cstheme="majorBidi"/>
      <w:color w:val="365F91" w:themeColor="accent1" w:themeShade="BF"/>
      <w:sz w:val="26"/>
      <w:szCs w:val="26"/>
    </w:rPr>
  </w:style>
  <w:style w:type="paragraph" w:customStyle="1" w:styleId="Para1">
    <w:name w:val="Para1"/>
    <w:basedOn w:val="Normal"/>
    <w:link w:val="Para1Char"/>
    <w:rsid w:val="00FD21C5"/>
    <w:pPr>
      <w:numPr>
        <w:numId w:val="34"/>
      </w:numPr>
      <w:spacing w:before="120" w:after="120"/>
    </w:pPr>
    <w:rPr>
      <w:snapToGrid w:val="0"/>
      <w:szCs w:val="18"/>
    </w:rPr>
  </w:style>
  <w:style w:type="character" w:styleId="Hyperlink">
    <w:name w:val="Hyperlink"/>
    <w:rsid w:val="008F79FD"/>
    <w:rPr>
      <w:color w:val="0000FF"/>
      <w:sz w:val="18"/>
      <w:u w:val="single"/>
    </w:rPr>
  </w:style>
  <w:style w:type="character" w:styleId="UnresolvedMention">
    <w:name w:val="Unresolved Mention"/>
    <w:basedOn w:val="DefaultParagraphFont"/>
    <w:uiPriority w:val="99"/>
    <w:semiHidden/>
    <w:unhideWhenUsed/>
    <w:rsid w:val="00665FD6"/>
    <w:rPr>
      <w:color w:val="605E5C"/>
      <w:shd w:val="clear" w:color="auto" w:fill="E1DFDD"/>
    </w:rPr>
  </w:style>
  <w:style w:type="character" w:styleId="FollowedHyperlink">
    <w:name w:val="FollowedHyperlink"/>
    <w:rsid w:val="008F79FD"/>
    <w:rPr>
      <w:color w:val="800080"/>
      <w:u w:val="single"/>
    </w:rPr>
  </w:style>
  <w:style w:type="table" w:customStyle="1" w:styleId="TableGrid2">
    <w:name w:val="Table Grid2"/>
    <w:basedOn w:val="TableNormal"/>
    <w:next w:val="TableGrid"/>
    <w:uiPriority w:val="59"/>
    <w:rsid w:val="007E43B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79FD"/>
    <w:pPr>
      <w:spacing w:before="120" w:after="120"/>
      <w:ind w:firstLine="720"/>
    </w:pPr>
    <w:rPr>
      <w:iCs/>
    </w:rPr>
  </w:style>
  <w:style w:type="character" w:customStyle="1" w:styleId="BodyTextChar">
    <w:name w:val="Body Text Char"/>
    <w:basedOn w:val="DefaultParagraphFont"/>
    <w:link w:val="BodyText"/>
    <w:rsid w:val="008F79FD"/>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8F79FD"/>
    <w:pPr>
      <w:spacing w:before="120" w:after="120"/>
      <w:ind w:left="1440" w:hanging="720"/>
      <w:jc w:val="left"/>
    </w:pPr>
  </w:style>
  <w:style w:type="character" w:customStyle="1" w:styleId="BodyTextIndentChar">
    <w:name w:val="Body Text Indent Char"/>
    <w:basedOn w:val="DefaultParagraphFont"/>
    <w:link w:val="BodyTextIndent"/>
    <w:rsid w:val="008F79FD"/>
    <w:rPr>
      <w:rFonts w:ascii="Times New Roman" w:eastAsia="Times New Roman" w:hAnsi="Times New Roman" w:cs="Times New Roman"/>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F79FD"/>
    <w:pPr>
      <w:spacing w:after="160" w:line="240" w:lineRule="exact"/>
      <w:jc w:val="left"/>
    </w:pPr>
    <w:rPr>
      <w:rFonts w:asciiTheme="minorHAnsi" w:eastAsiaTheme="minorEastAsia" w:hAnsiTheme="minorHAnsi" w:cstheme="minorBidi"/>
      <w:vertAlign w:val="superscript"/>
      <w:lang w:val="fr-CA"/>
    </w:rPr>
  </w:style>
  <w:style w:type="paragraph" w:styleId="Caption">
    <w:name w:val="caption"/>
    <w:basedOn w:val="Normal"/>
    <w:next w:val="Normal"/>
    <w:uiPriority w:val="35"/>
    <w:unhideWhenUsed/>
    <w:qFormat/>
    <w:rsid w:val="008F79FD"/>
    <w:pPr>
      <w:keepNext/>
      <w:keepLines/>
      <w:spacing w:after="200"/>
    </w:pPr>
    <w:rPr>
      <w:b/>
      <w:iCs/>
      <w:szCs w:val="18"/>
    </w:rPr>
  </w:style>
  <w:style w:type="paragraph" w:customStyle="1" w:styleId="CBD-Doc">
    <w:name w:val="CBD-Doc"/>
    <w:basedOn w:val="Normal"/>
    <w:rsid w:val="008F79FD"/>
    <w:pPr>
      <w:keepLines/>
      <w:numPr>
        <w:numId w:val="31"/>
      </w:numPr>
      <w:spacing w:after="120"/>
    </w:pPr>
    <w:rPr>
      <w:rFonts w:cs="Angsana New"/>
    </w:rPr>
  </w:style>
  <w:style w:type="paragraph" w:customStyle="1" w:styleId="CBD-Doc-Type">
    <w:name w:val="CBD-Doc-Type"/>
    <w:basedOn w:val="Normal"/>
    <w:rsid w:val="008F79FD"/>
    <w:pPr>
      <w:keepLines/>
      <w:spacing w:before="240" w:after="120"/>
    </w:pPr>
    <w:rPr>
      <w:rFonts w:cs="Angsana New"/>
      <w:b/>
      <w:i/>
      <w:sz w:val="24"/>
    </w:rPr>
  </w:style>
  <w:style w:type="paragraph" w:customStyle="1" w:styleId="CBD-Para">
    <w:name w:val="CBD-Para"/>
    <w:basedOn w:val="Normal"/>
    <w:link w:val="CBD-ParaCharChar"/>
    <w:uiPriority w:val="99"/>
    <w:rsid w:val="008F79FD"/>
    <w:pPr>
      <w:keepLines/>
      <w:numPr>
        <w:numId w:val="32"/>
      </w:numPr>
      <w:spacing w:before="120" w:after="120"/>
    </w:pPr>
    <w:rPr>
      <w:szCs w:val="22"/>
      <w:lang w:val="en-US"/>
    </w:rPr>
  </w:style>
  <w:style w:type="character" w:customStyle="1" w:styleId="CBD-ParaCharChar">
    <w:name w:val="CBD-Para Char Char"/>
    <w:link w:val="CBD-Para"/>
    <w:uiPriority w:val="99"/>
    <w:locked/>
    <w:rsid w:val="008F79FD"/>
    <w:rPr>
      <w:rFonts w:ascii="Times New Roman" w:eastAsia="Times New Roman" w:hAnsi="Times New Roman" w:cs="Times New Roman"/>
      <w:lang w:val="en-US"/>
    </w:rPr>
  </w:style>
  <w:style w:type="paragraph" w:customStyle="1" w:styleId="Cornernotation">
    <w:name w:val="Corner notation"/>
    <w:basedOn w:val="Normal"/>
    <w:rsid w:val="008F79FD"/>
    <w:pPr>
      <w:ind w:left="170" w:right="3119" w:hanging="170"/>
      <w:jc w:val="left"/>
    </w:pPr>
  </w:style>
  <w:style w:type="character" w:styleId="EndnoteReference">
    <w:name w:val="endnote reference"/>
    <w:semiHidden/>
    <w:rsid w:val="008F79FD"/>
    <w:rPr>
      <w:vertAlign w:val="superscript"/>
    </w:rPr>
  </w:style>
  <w:style w:type="paragraph" w:styleId="EndnoteText">
    <w:name w:val="endnote text"/>
    <w:basedOn w:val="Normal"/>
    <w:link w:val="EndnoteTextChar"/>
    <w:semiHidden/>
    <w:rsid w:val="008F79FD"/>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8F79FD"/>
    <w:rPr>
      <w:rFonts w:ascii="Courier New" w:eastAsia="Times New Roman" w:hAnsi="Courier New" w:cs="Times New Roman"/>
      <w:szCs w:val="24"/>
      <w:lang w:val="en-GB"/>
    </w:rPr>
  </w:style>
  <w:style w:type="paragraph" w:customStyle="1" w:styleId="HEADING">
    <w:name w:val="HEADING"/>
    <w:basedOn w:val="Normal"/>
    <w:rsid w:val="008F79FD"/>
    <w:pPr>
      <w:keepNext/>
      <w:spacing w:before="240" w:after="120"/>
      <w:jc w:val="center"/>
    </w:pPr>
    <w:rPr>
      <w:b/>
      <w:bCs/>
      <w:caps/>
    </w:rPr>
  </w:style>
  <w:style w:type="paragraph" w:customStyle="1" w:styleId="HEADINGNOTFORTOC">
    <w:name w:val="HEADING (NOT FOR TOC)"/>
    <w:basedOn w:val="Heading1"/>
    <w:next w:val="Heading2"/>
    <w:rsid w:val="008F79FD"/>
  </w:style>
  <w:style w:type="paragraph" w:customStyle="1" w:styleId="Heading1multiline">
    <w:name w:val="Heading 1 (multiline)"/>
    <w:basedOn w:val="Heading1"/>
    <w:rsid w:val="008F79FD"/>
    <w:pPr>
      <w:ind w:left="1843" w:right="996" w:hanging="567"/>
      <w:jc w:val="left"/>
    </w:pPr>
  </w:style>
  <w:style w:type="paragraph" w:customStyle="1" w:styleId="Heading2multiline">
    <w:name w:val="Heading 2 (multiline)"/>
    <w:basedOn w:val="Heading1"/>
    <w:next w:val="Normal"/>
    <w:rsid w:val="008F79FD"/>
    <w:pPr>
      <w:spacing w:before="120"/>
      <w:ind w:left="1843" w:right="998" w:hanging="567"/>
      <w:jc w:val="left"/>
    </w:pPr>
    <w:rPr>
      <w:i/>
      <w:iCs/>
      <w:caps w:val="0"/>
    </w:rPr>
  </w:style>
  <w:style w:type="paragraph" w:customStyle="1" w:styleId="Heading2longmultiline">
    <w:name w:val="Heading 2 (long multiline)"/>
    <w:basedOn w:val="Heading2multiline"/>
    <w:rsid w:val="008F79FD"/>
    <w:pPr>
      <w:ind w:left="2127" w:hanging="1276"/>
    </w:pPr>
  </w:style>
  <w:style w:type="character" w:customStyle="1" w:styleId="Heading3Char">
    <w:name w:val="Heading 3 Char"/>
    <w:basedOn w:val="DefaultParagraphFont"/>
    <w:link w:val="Heading3"/>
    <w:rsid w:val="008F79FD"/>
    <w:rPr>
      <w:rFonts w:ascii="Times New Roman" w:eastAsia="Times New Roman" w:hAnsi="Times New Roman" w:cs="Times New Roman"/>
      <w:i/>
      <w:iCs/>
      <w:szCs w:val="24"/>
      <w:lang w:val="en-GB"/>
    </w:rPr>
  </w:style>
  <w:style w:type="paragraph" w:customStyle="1" w:styleId="heading2notforTOC">
    <w:name w:val="heading 2 not for TOC"/>
    <w:basedOn w:val="Heading3"/>
    <w:rsid w:val="008F79FD"/>
  </w:style>
  <w:style w:type="paragraph" w:customStyle="1" w:styleId="Heading3multiline">
    <w:name w:val="Heading 3 (multiline)"/>
    <w:basedOn w:val="Heading3"/>
    <w:next w:val="Normal"/>
    <w:rsid w:val="008F79FD"/>
    <w:pPr>
      <w:ind w:left="1418" w:hanging="425"/>
      <w:jc w:val="left"/>
    </w:pPr>
  </w:style>
  <w:style w:type="character" w:customStyle="1" w:styleId="Heading4Char">
    <w:name w:val="Heading 4 Char"/>
    <w:basedOn w:val="DefaultParagraphFont"/>
    <w:link w:val="Heading4"/>
    <w:rsid w:val="008F79FD"/>
    <w:rPr>
      <w:rFonts w:ascii="Times New Roman Bold" w:eastAsia="Arial Unicode MS" w:hAnsi="Times New Roman Bold" w:cs="Arial"/>
      <w:b/>
      <w:bCs/>
      <w:i/>
      <w:szCs w:val="24"/>
      <w:lang w:val="en-GB"/>
    </w:rPr>
  </w:style>
  <w:style w:type="paragraph" w:customStyle="1" w:styleId="Heading4indent">
    <w:name w:val="Heading 4 indent"/>
    <w:basedOn w:val="Heading4"/>
    <w:rsid w:val="008F79FD"/>
    <w:pPr>
      <w:ind w:left="720"/>
      <w:outlineLvl w:val="9"/>
    </w:pPr>
    <w:rPr>
      <w:rFonts w:ascii="Times New Roman" w:hAnsi="Times New Roman"/>
    </w:rPr>
  </w:style>
  <w:style w:type="character" w:customStyle="1" w:styleId="Heading5Char">
    <w:name w:val="Heading 5 Char"/>
    <w:basedOn w:val="DefaultParagraphFont"/>
    <w:link w:val="Heading5"/>
    <w:rsid w:val="008F79FD"/>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8F79FD"/>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8F79FD"/>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8F79FD"/>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8F79FD"/>
    <w:rPr>
      <w:rFonts w:ascii="Times New Roman" w:eastAsia="Times New Roman" w:hAnsi="Times New Roman" w:cs="Times New Roman"/>
      <w:i/>
      <w:iCs/>
      <w:szCs w:val="24"/>
      <w:lang w:val="en-GB"/>
    </w:rPr>
  </w:style>
  <w:style w:type="paragraph" w:customStyle="1" w:styleId="meetingname">
    <w:name w:val="meeting name"/>
    <w:basedOn w:val="Normal"/>
    <w:qFormat/>
    <w:rsid w:val="008F79FD"/>
    <w:pPr>
      <w:ind w:left="142" w:right="4218" w:hanging="142"/>
    </w:pPr>
    <w:rPr>
      <w:caps/>
      <w:szCs w:val="22"/>
    </w:rPr>
  </w:style>
  <w:style w:type="character" w:styleId="PageNumber">
    <w:name w:val="page number"/>
    <w:rsid w:val="008F79FD"/>
    <w:rPr>
      <w:rFonts w:ascii="Times New Roman" w:hAnsi="Times New Roman"/>
      <w:sz w:val="22"/>
    </w:rPr>
  </w:style>
  <w:style w:type="character" w:customStyle="1" w:styleId="Para1Char">
    <w:name w:val="Para1 Char"/>
    <w:link w:val="Para1"/>
    <w:locked/>
    <w:rsid w:val="008F79FD"/>
    <w:rPr>
      <w:rFonts w:ascii="Times New Roman" w:eastAsia="Times New Roman" w:hAnsi="Times New Roman" w:cs="Times New Roman"/>
      <w:snapToGrid w:val="0"/>
      <w:szCs w:val="18"/>
      <w:lang w:val="en-GB"/>
    </w:rPr>
  </w:style>
  <w:style w:type="paragraph" w:customStyle="1" w:styleId="Para2">
    <w:name w:val="Para2"/>
    <w:basedOn w:val="Para1"/>
    <w:rsid w:val="008F79FD"/>
    <w:pPr>
      <w:numPr>
        <w:numId w:val="0"/>
      </w:numPr>
      <w:autoSpaceDE w:val="0"/>
      <w:autoSpaceDN w:val="0"/>
    </w:pPr>
  </w:style>
  <w:style w:type="paragraph" w:customStyle="1" w:styleId="Para3">
    <w:name w:val="Para3"/>
    <w:basedOn w:val="Normal"/>
    <w:rsid w:val="008F79FD"/>
    <w:pPr>
      <w:numPr>
        <w:ilvl w:val="3"/>
        <w:numId w:val="35"/>
      </w:numPr>
      <w:tabs>
        <w:tab w:val="left" w:pos="1980"/>
      </w:tabs>
      <w:spacing w:before="80" w:after="80"/>
    </w:pPr>
    <w:rPr>
      <w:szCs w:val="20"/>
    </w:rPr>
  </w:style>
  <w:style w:type="paragraph" w:customStyle="1" w:styleId="para4">
    <w:name w:val="para4"/>
    <w:basedOn w:val="Normal"/>
    <w:rsid w:val="008F79FD"/>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79F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79FD"/>
    <w:pPr>
      <w:spacing w:before="120" w:after="120"/>
      <w:ind w:left="720" w:right="720"/>
    </w:pPr>
    <w:rPr>
      <w:bCs/>
    </w:rPr>
  </w:style>
  <w:style w:type="paragraph" w:customStyle="1" w:styleId="recommendationheader">
    <w:name w:val="recommendation header"/>
    <w:basedOn w:val="Heading2"/>
    <w:qFormat/>
    <w:rsid w:val="008F79FD"/>
  </w:style>
  <w:style w:type="paragraph" w:customStyle="1" w:styleId="recommendationheaderlong">
    <w:name w:val="recommendation header long"/>
    <w:basedOn w:val="Heading2longmultiline"/>
    <w:qFormat/>
    <w:rsid w:val="008F79FD"/>
  </w:style>
  <w:style w:type="paragraph" w:customStyle="1" w:styleId="reference">
    <w:name w:val="reference"/>
    <w:basedOn w:val="Heading9"/>
    <w:qFormat/>
    <w:rsid w:val="008F79FD"/>
    <w:rPr>
      <w:i w:val="0"/>
      <w:sz w:val="18"/>
    </w:rPr>
  </w:style>
  <w:style w:type="character" w:customStyle="1" w:styleId="StyleFootnoteReferenceNounderline">
    <w:name w:val="Style Footnote Reference + No underline"/>
    <w:rsid w:val="008F79FD"/>
    <w:rPr>
      <w:sz w:val="18"/>
      <w:u w:val="none"/>
      <w:vertAlign w:val="baseline"/>
    </w:rPr>
  </w:style>
  <w:style w:type="paragraph" w:customStyle="1" w:styleId="Style1">
    <w:name w:val="Style1"/>
    <w:basedOn w:val="Heading2"/>
    <w:qFormat/>
    <w:rsid w:val="008F79FD"/>
    <w:rPr>
      <w:i/>
    </w:rPr>
  </w:style>
  <w:style w:type="paragraph" w:styleId="Subtitle">
    <w:name w:val="Subtitle"/>
    <w:basedOn w:val="Normal"/>
    <w:next w:val="Normal"/>
    <w:link w:val="SubtitleChar"/>
    <w:uiPriority w:val="11"/>
    <w:qFormat/>
    <w:rsid w:val="008F79F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8F79FD"/>
    <w:rPr>
      <w:rFonts w:asciiTheme="majorHAnsi" w:eastAsiaTheme="majorEastAsia" w:hAnsiTheme="majorHAnsi" w:cstheme="majorBidi"/>
      <w:i/>
      <w:iCs/>
      <w:color w:val="4F81BD" w:themeColor="accent1"/>
      <w:spacing w:val="15"/>
      <w:sz w:val="24"/>
      <w:szCs w:val="24"/>
      <w:lang w:val="en-GB"/>
    </w:rPr>
  </w:style>
  <w:style w:type="paragraph" w:customStyle="1" w:styleId="tabletitle">
    <w:name w:val="table title"/>
    <w:basedOn w:val="Heading2"/>
    <w:qFormat/>
    <w:rsid w:val="008F79FD"/>
    <w:pPr>
      <w:jc w:val="left"/>
      <w:outlineLvl w:val="9"/>
    </w:pPr>
    <w:rPr>
      <w:i/>
    </w:rPr>
  </w:style>
  <w:style w:type="paragraph" w:styleId="Title">
    <w:name w:val="Title"/>
    <w:basedOn w:val="Normal"/>
    <w:next w:val="Normal"/>
    <w:link w:val="TitleChar"/>
    <w:uiPriority w:val="10"/>
    <w:qFormat/>
    <w:rsid w:val="008F79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79F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semiHidden/>
    <w:rsid w:val="008F79FD"/>
    <w:pPr>
      <w:spacing w:before="120"/>
    </w:pPr>
    <w:rPr>
      <w:rFonts w:cs="Arial"/>
      <w:b/>
      <w:bCs/>
      <w:sz w:val="24"/>
    </w:rPr>
  </w:style>
  <w:style w:type="paragraph" w:styleId="TOC1">
    <w:name w:val="toc 1"/>
    <w:basedOn w:val="Normal"/>
    <w:next w:val="Normal"/>
    <w:autoRedefine/>
    <w:semiHidden/>
    <w:rsid w:val="008F79FD"/>
    <w:pPr>
      <w:ind w:left="720" w:hanging="720"/>
    </w:pPr>
    <w:rPr>
      <w:caps/>
    </w:rPr>
  </w:style>
  <w:style w:type="paragraph" w:styleId="TOC2">
    <w:name w:val="toc 2"/>
    <w:basedOn w:val="Normal"/>
    <w:next w:val="Normal"/>
    <w:autoRedefine/>
    <w:semiHidden/>
    <w:rsid w:val="008F79FD"/>
    <w:pPr>
      <w:tabs>
        <w:tab w:val="right" w:leader="dot" w:pos="9356"/>
      </w:tabs>
      <w:ind w:left="1440" w:hanging="720"/>
    </w:pPr>
    <w:rPr>
      <w:noProof/>
      <w:szCs w:val="22"/>
    </w:rPr>
  </w:style>
  <w:style w:type="paragraph" w:styleId="TOC3">
    <w:name w:val="toc 3"/>
    <w:basedOn w:val="Normal"/>
    <w:next w:val="Normal"/>
    <w:autoRedefine/>
    <w:semiHidden/>
    <w:rsid w:val="008F79FD"/>
    <w:pPr>
      <w:ind w:left="2160" w:hanging="720"/>
    </w:pPr>
  </w:style>
  <w:style w:type="paragraph" w:styleId="TOC4">
    <w:name w:val="toc 4"/>
    <w:basedOn w:val="Normal"/>
    <w:next w:val="Normal"/>
    <w:autoRedefine/>
    <w:semiHidden/>
    <w:rsid w:val="008F79FD"/>
    <w:pPr>
      <w:spacing w:before="120" w:after="120"/>
      <w:ind w:left="660"/>
      <w:jc w:val="left"/>
    </w:pPr>
  </w:style>
  <w:style w:type="paragraph" w:styleId="TOC5">
    <w:name w:val="toc 5"/>
    <w:basedOn w:val="Normal"/>
    <w:next w:val="Normal"/>
    <w:autoRedefine/>
    <w:semiHidden/>
    <w:rsid w:val="008F79FD"/>
    <w:pPr>
      <w:spacing w:before="120" w:after="120"/>
      <w:ind w:left="880"/>
      <w:jc w:val="left"/>
    </w:pPr>
  </w:style>
  <w:style w:type="paragraph" w:styleId="TOC6">
    <w:name w:val="toc 6"/>
    <w:basedOn w:val="Normal"/>
    <w:next w:val="Normal"/>
    <w:autoRedefine/>
    <w:semiHidden/>
    <w:rsid w:val="008F79FD"/>
    <w:pPr>
      <w:spacing w:before="120" w:after="120"/>
      <w:ind w:left="1100"/>
      <w:jc w:val="left"/>
    </w:pPr>
  </w:style>
  <w:style w:type="paragraph" w:styleId="TOC7">
    <w:name w:val="toc 7"/>
    <w:basedOn w:val="Normal"/>
    <w:next w:val="Normal"/>
    <w:autoRedefine/>
    <w:semiHidden/>
    <w:rsid w:val="008F79FD"/>
    <w:pPr>
      <w:spacing w:before="120" w:after="120"/>
      <w:ind w:left="1320"/>
      <w:jc w:val="left"/>
    </w:pPr>
  </w:style>
  <w:style w:type="paragraph" w:styleId="TOC8">
    <w:name w:val="toc 8"/>
    <w:basedOn w:val="Normal"/>
    <w:next w:val="Normal"/>
    <w:autoRedefine/>
    <w:semiHidden/>
    <w:rsid w:val="008F79FD"/>
    <w:pPr>
      <w:spacing w:before="120" w:after="120"/>
      <w:ind w:left="1540"/>
      <w:jc w:val="left"/>
    </w:pPr>
  </w:style>
  <w:style w:type="paragraph" w:styleId="TOC9">
    <w:name w:val="toc 9"/>
    <w:basedOn w:val="Normal"/>
    <w:next w:val="Normal"/>
    <w:autoRedefine/>
    <w:semiHidden/>
    <w:rsid w:val="008F79FD"/>
    <w:pPr>
      <w:spacing w:before="120" w:after="120"/>
      <w:ind w:left="1760"/>
      <w:jc w:val="left"/>
    </w:pPr>
  </w:style>
  <w:style w:type="paragraph" w:styleId="Revision">
    <w:name w:val="Revision"/>
    <w:hidden/>
    <w:uiPriority w:val="99"/>
    <w:semiHidden/>
    <w:rsid w:val="00C546FD"/>
    <w:pPr>
      <w:spacing w:after="0" w:line="240" w:lineRule="auto"/>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677">
      <w:bodyDiv w:val="1"/>
      <w:marLeft w:val="0"/>
      <w:marRight w:val="0"/>
      <w:marTop w:val="0"/>
      <w:marBottom w:val="0"/>
      <w:divBdr>
        <w:top w:val="none" w:sz="0" w:space="0" w:color="auto"/>
        <w:left w:val="none" w:sz="0" w:space="0" w:color="auto"/>
        <w:bottom w:val="none" w:sz="0" w:space="0" w:color="auto"/>
        <w:right w:val="none" w:sz="0" w:space="0" w:color="auto"/>
      </w:divBdr>
    </w:div>
    <w:div w:id="58989644">
      <w:bodyDiv w:val="1"/>
      <w:marLeft w:val="0"/>
      <w:marRight w:val="0"/>
      <w:marTop w:val="0"/>
      <w:marBottom w:val="0"/>
      <w:divBdr>
        <w:top w:val="none" w:sz="0" w:space="0" w:color="auto"/>
        <w:left w:val="none" w:sz="0" w:space="0" w:color="auto"/>
        <w:bottom w:val="none" w:sz="0" w:space="0" w:color="auto"/>
        <w:right w:val="none" w:sz="0" w:space="0" w:color="auto"/>
      </w:divBdr>
    </w:div>
    <w:div w:id="233439958">
      <w:bodyDiv w:val="1"/>
      <w:marLeft w:val="0"/>
      <w:marRight w:val="0"/>
      <w:marTop w:val="0"/>
      <w:marBottom w:val="0"/>
      <w:divBdr>
        <w:top w:val="none" w:sz="0" w:space="0" w:color="auto"/>
        <w:left w:val="none" w:sz="0" w:space="0" w:color="auto"/>
        <w:bottom w:val="none" w:sz="0" w:space="0" w:color="auto"/>
        <w:right w:val="none" w:sz="0" w:space="0" w:color="auto"/>
      </w:divBdr>
    </w:div>
    <w:div w:id="902790216">
      <w:bodyDiv w:val="1"/>
      <w:marLeft w:val="0"/>
      <w:marRight w:val="0"/>
      <w:marTop w:val="0"/>
      <w:marBottom w:val="0"/>
      <w:divBdr>
        <w:top w:val="none" w:sz="0" w:space="0" w:color="auto"/>
        <w:left w:val="none" w:sz="0" w:space="0" w:color="auto"/>
        <w:bottom w:val="none" w:sz="0" w:space="0" w:color="auto"/>
        <w:right w:val="none" w:sz="0" w:space="0" w:color="auto"/>
      </w:divBdr>
    </w:div>
    <w:div w:id="1057389158">
      <w:bodyDiv w:val="1"/>
      <w:marLeft w:val="0"/>
      <w:marRight w:val="0"/>
      <w:marTop w:val="0"/>
      <w:marBottom w:val="0"/>
      <w:divBdr>
        <w:top w:val="none" w:sz="0" w:space="0" w:color="auto"/>
        <w:left w:val="none" w:sz="0" w:space="0" w:color="auto"/>
        <w:bottom w:val="none" w:sz="0" w:space="0" w:color="auto"/>
        <w:right w:val="none" w:sz="0" w:space="0" w:color="auto"/>
      </w:divBdr>
    </w:div>
    <w:div w:id="1258056955">
      <w:bodyDiv w:val="1"/>
      <w:marLeft w:val="0"/>
      <w:marRight w:val="0"/>
      <w:marTop w:val="0"/>
      <w:marBottom w:val="0"/>
      <w:divBdr>
        <w:top w:val="none" w:sz="0" w:space="0" w:color="auto"/>
        <w:left w:val="none" w:sz="0" w:space="0" w:color="auto"/>
        <w:bottom w:val="none" w:sz="0" w:space="0" w:color="auto"/>
        <w:right w:val="none" w:sz="0" w:space="0" w:color="auto"/>
      </w:divBdr>
    </w:div>
    <w:div w:id="1465657676">
      <w:bodyDiv w:val="1"/>
      <w:marLeft w:val="0"/>
      <w:marRight w:val="0"/>
      <w:marTop w:val="0"/>
      <w:marBottom w:val="0"/>
      <w:divBdr>
        <w:top w:val="none" w:sz="0" w:space="0" w:color="auto"/>
        <w:left w:val="none" w:sz="0" w:space="0" w:color="auto"/>
        <w:bottom w:val="none" w:sz="0" w:space="0" w:color="auto"/>
        <w:right w:val="none" w:sz="0" w:space="0" w:color="auto"/>
      </w:divBdr>
    </w:div>
    <w:div w:id="1480614992">
      <w:bodyDiv w:val="1"/>
      <w:marLeft w:val="0"/>
      <w:marRight w:val="0"/>
      <w:marTop w:val="0"/>
      <w:marBottom w:val="0"/>
      <w:divBdr>
        <w:top w:val="none" w:sz="0" w:space="0" w:color="auto"/>
        <w:left w:val="none" w:sz="0" w:space="0" w:color="auto"/>
        <w:bottom w:val="none" w:sz="0" w:space="0" w:color="auto"/>
        <w:right w:val="none" w:sz="0" w:space="0" w:color="auto"/>
      </w:divBdr>
    </w:div>
    <w:div w:id="1952858419">
      <w:bodyDiv w:val="1"/>
      <w:marLeft w:val="0"/>
      <w:marRight w:val="0"/>
      <w:marTop w:val="0"/>
      <w:marBottom w:val="0"/>
      <w:divBdr>
        <w:top w:val="none" w:sz="0" w:space="0" w:color="auto"/>
        <w:left w:val="none" w:sz="0" w:space="0" w:color="auto"/>
        <w:bottom w:val="none" w:sz="0" w:space="0" w:color="auto"/>
        <w:right w:val="none" w:sz="0" w:space="0" w:color="auto"/>
      </w:divBdr>
    </w:div>
    <w:div w:id="20481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A006806B442D0AD1F2355E0F5E50E"/>
        <w:category>
          <w:name w:val="General"/>
          <w:gallery w:val="placeholder"/>
        </w:category>
        <w:types>
          <w:type w:val="bbPlcHdr"/>
        </w:types>
        <w:behaviors>
          <w:behavior w:val="content"/>
        </w:behaviors>
        <w:guid w:val="{71AAC6AB-6061-498A-9D67-C5D78DE5856A}"/>
      </w:docPartPr>
      <w:docPartBody>
        <w:p w:rsidR="00814780" w:rsidRDefault="000C2715" w:rsidP="000C2715">
          <w:pPr>
            <w:pStyle w:val="E2AA006806B442D0AD1F2355E0F5E50E"/>
          </w:pPr>
          <w:r w:rsidRPr="006D0F48">
            <w:rPr>
              <w:rStyle w:val="PlaceholderText"/>
            </w:rPr>
            <w:t>[Subject]</w:t>
          </w:r>
        </w:p>
      </w:docPartBody>
    </w:docPart>
    <w:docPart>
      <w:docPartPr>
        <w:name w:val="996C540115DE44FCB7D29127AD839903"/>
        <w:category>
          <w:name w:val="General"/>
          <w:gallery w:val="placeholder"/>
        </w:category>
        <w:types>
          <w:type w:val="bbPlcHdr"/>
        </w:types>
        <w:behaviors>
          <w:behavior w:val="content"/>
        </w:behaviors>
        <w:guid w:val="{601505B1-6ACD-4EAE-A7E2-249405BFE68F}"/>
      </w:docPartPr>
      <w:docPartBody>
        <w:p w:rsidR="003A10A8" w:rsidRDefault="00B51886">
          <w:r w:rsidRPr="0042236B">
            <w:rPr>
              <w:rStyle w:val="PlaceholderText"/>
            </w:rPr>
            <w:t>[Title]</w:t>
          </w:r>
        </w:p>
      </w:docPartBody>
    </w:docPart>
    <w:docPart>
      <w:docPartPr>
        <w:name w:val="46CBDF5CE6364D01BEB293E548E3A54D"/>
        <w:category>
          <w:name w:val="General"/>
          <w:gallery w:val="placeholder"/>
        </w:category>
        <w:types>
          <w:type w:val="bbPlcHdr"/>
        </w:types>
        <w:behaviors>
          <w:behavior w:val="content"/>
        </w:behaviors>
        <w:guid w:val="{E3582BC3-D81E-4E02-9CE4-D4656339A543}"/>
      </w:docPartPr>
      <w:docPartBody>
        <w:p w:rsidR="003A10A8" w:rsidRDefault="00B51886" w:rsidP="00B51886">
          <w:pPr>
            <w:pStyle w:val="46CBDF5CE6364D01BEB293E548E3A54D"/>
          </w:pPr>
          <w:r w:rsidRPr="007E02EB">
            <w:rPr>
              <w:rStyle w:val="PlaceholderText"/>
            </w:rPr>
            <w:t>[Subject]</w:t>
          </w:r>
        </w:p>
      </w:docPartBody>
    </w:docPart>
    <w:docPart>
      <w:docPartPr>
        <w:name w:val="D1A058E1DDD849AE948955390D3A5AF0"/>
        <w:category>
          <w:name w:val="General"/>
          <w:gallery w:val="placeholder"/>
        </w:category>
        <w:types>
          <w:type w:val="bbPlcHdr"/>
        </w:types>
        <w:behaviors>
          <w:behavior w:val="content"/>
        </w:behaviors>
        <w:guid w:val="{0861286E-697D-414B-9D14-B31EE5272C3F}"/>
      </w:docPartPr>
      <w:docPartBody>
        <w:p w:rsidR="00A20813" w:rsidRDefault="00A85F80" w:rsidP="00A85F80">
          <w:pPr>
            <w:pStyle w:val="D1A058E1DDD849AE948955390D3A5AF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5"/>
    <w:rsid w:val="00034511"/>
    <w:rsid w:val="00046CA1"/>
    <w:rsid w:val="00085430"/>
    <w:rsid w:val="000C2715"/>
    <w:rsid w:val="00115AA6"/>
    <w:rsid w:val="00146740"/>
    <w:rsid w:val="001A5917"/>
    <w:rsid w:val="001A7672"/>
    <w:rsid w:val="00221447"/>
    <w:rsid w:val="003575E8"/>
    <w:rsid w:val="00367774"/>
    <w:rsid w:val="0036798D"/>
    <w:rsid w:val="003A10A8"/>
    <w:rsid w:val="00414E4C"/>
    <w:rsid w:val="00511677"/>
    <w:rsid w:val="00534E94"/>
    <w:rsid w:val="00560A14"/>
    <w:rsid w:val="00626950"/>
    <w:rsid w:val="00685B87"/>
    <w:rsid w:val="006C018F"/>
    <w:rsid w:val="006D7945"/>
    <w:rsid w:val="007C3A0C"/>
    <w:rsid w:val="007C55DB"/>
    <w:rsid w:val="00800977"/>
    <w:rsid w:val="00814780"/>
    <w:rsid w:val="008430E1"/>
    <w:rsid w:val="008467D3"/>
    <w:rsid w:val="00857B02"/>
    <w:rsid w:val="008D7C21"/>
    <w:rsid w:val="00906B8A"/>
    <w:rsid w:val="00961D3C"/>
    <w:rsid w:val="0097138E"/>
    <w:rsid w:val="00A20813"/>
    <w:rsid w:val="00A43594"/>
    <w:rsid w:val="00A44670"/>
    <w:rsid w:val="00A85F80"/>
    <w:rsid w:val="00AA1375"/>
    <w:rsid w:val="00AE04AF"/>
    <w:rsid w:val="00AF1DC0"/>
    <w:rsid w:val="00B01736"/>
    <w:rsid w:val="00B313E3"/>
    <w:rsid w:val="00B51886"/>
    <w:rsid w:val="00B70248"/>
    <w:rsid w:val="00B9401C"/>
    <w:rsid w:val="00BA7978"/>
    <w:rsid w:val="00C035F5"/>
    <w:rsid w:val="00C623F6"/>
    <w:rsid w:val="00CF4B6F"/>
    <w:rsid w:val="00D31854"/>
    <w:rsid w:val="00D51C7D"/>
    <w:rsid w:val="00F429A4"/>
    <w:rsid w:val="00FA49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401C"/>
    <w:rPr>
      <w:color w:val="808080"/>
    </w:rPr>
  </w:style>
  <w:style w:type="paragraph" w:customStyle="1" w:styleId="E2AA006806B442D0AD1F2355E0F5E50E">
    <w:name w:val="E2AA006806B442D0AD1F2355E0F5E50E"/>
    <w:rsid w:val="000C2715"/>
  </w:style>
  <w:style w:type="paragraph" w:customStyle="1" w:styleId="46CBDF5CE6364D01BEB293E548E3A54D">
    <w:name w:val="46CBDF5CE6364D01BEB293E548E3A54D"/>
    <w:rsid w:val="00B51886"/>
  </w:style>
  <w:style w:type="paragraph" w:customStyle="1" w:styleId="D1A058E1DDD849AE948955390D3A5AF0">
    <w:name w:val="D1A058E1DDD849AE948955390D3A5AF0"/>
    <w:rsid w:val="00A85F80"/>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3A4C132-34B4-441A-92BE-BED2BDD6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62220-CEE2-40AE-875C-35EE1B8104E9}">
  <ds:schemaRefs>
    <ds:schemaRef ds:uri="http://schemas.microsoft.com/sharepoint/v3/contenttype/forms"/>
  </ds:schemaRefs>
</ds:datastoreItem>
</file>

<file path=customXml/itemProps5.xml><?xml version="1.0" encoding="utf-8"?>
<ds:datastoreItem xmlns:ds="http://schemas.openxmlformats.org/officeDocument/2006/customXml" ds:itemID="{404E611C-1E13-4B21-90AB-530D4C65489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4A4946D-C6E9-4D41-B81D-15A06A79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Specialized international access and benefit-sharing instruments in the context of Article 4, paragraph 4, of the Nagoya Protocol</vt:lpstr>
      <vt:lpstr/>
    </vt:vector>
  </TitlesOfParts>
  <Company>United Nations</Company>
  <LinksUpToDate>false</LinksUpToDate>
  <CharactersWithSpaces>5917</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CBD/SBI/REC/3/16</dc:subject>
  <dc:creator>SBI-3</dc:creator>
  <cp:keywords>Subsidiary Body on Implementation, third meeting, online, 16 May -13 June 2021</cp:keywords>
  <dc:description/>
  <cp:lastModifiedBy>Veronique Lefebvre</cp:lastModifiedBy>
  <cp:revision>4</cp:revision>
  <cp:lastPrinted>2020-02-26T15:33:00Z</cp:lastPrinted>
  <dcterms:created xsi:type="dcterms:W3CDTF">2022-05-13T19:58:00Z</dcterms:created>
  <dcterms:modified xsi:type="dcterms:W3CDTF">2022-05-13T19:59:00Z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