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A5AD4" w:rsidRPr="00F80246" w14:paraId="1CDBC100" w14:textId="77777777" w:rsidTr="00B80B5E">
        <w:trPr>
          <w:trHeight w:val="851"/>
        </w:trPr>
        <w:tc>
          <w:tcPr>
            <w:tcW w:w="976" w:type="dxa"/>
            <w:tcBorders>
              <w:bottom w:val="single" w:sz="12" w:space="0" w:color="auto"/>
            </w:tcBorders>
          </w:tcPr>
          <w:p w14:paraId="2083C90B" w14:textId="77777777" w:rsidR="001A5AD4" w:rsidRPr="006F5C7A" w:rsidRDefault="001A5AD4" w:rsidP="009641C9">
            <w:pPr>
              <w:suppressLineNumbers/>
              <w:suppressAutoHyphens/>
              <w:rPr>
                <w:kern w:val="22"/>
              </w:rPr>
            </w:pPr>
            <w:r w:rsidRPr="006F5C7A">
              <w:rPr>
                <w:noProof/>
                <w:kern w:val="22"/>
              </w:rPr>
              <w:drawing>
                <wp:anchor distT="0" distB="0" distL="114300" distR="114300" simplePos="0" relativeHeight="251658241" behindDoc="0" locked="0" layoutInCell="1" allowOverlap="1" wp14:anchorId="64561D6F" wp14:editId="56B40503">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AC45BB2" w14:textId="295C0F81" w:rsidR="001A5AD4" w:rsidRPr="006F5C7A" w:rsidRDefault="007C71EE" w:rsidP="009641C9">
            <w:pPr>
              <w:suppressLineNumbers/>
              <w:suppressAutoHyphens/>
              <w:rPr>
                <w:kern w:val="22"/>
              </w:rPr>
            </w:pPr>
            <w:r w:rsidRPr="007C71EE">
              <w:rPr>
                <w:noProof/>
                <w:snapToGrid w:val="0"/>
                <w:lang w:val="fr-CA" w:eastAsia="fr-CA"/>
              </w:rPr>
              <w:drawing>
                <wp:inline distT="0" distB="0" distL="0" distR="0" wp14:anchorId="4BCB94D0" wp14:editId="5C18DE4E">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59FEBE6A" w14:textId="77777777" w:rsidR="001A5AD4" w:rsidRPr="006F5C7A" w:rsidRDefault="001A5AD4" w:rsidP="009641C9">
            <w:pPr>
              <w:suppressLineNumbers/>
              <w:suppressAutoHyphens/>
              <w:jc w:val="right"/>
              <w:rPr>
                <w:rFonts w:ascii="Arial" w:hAnsi="Arial" w:cs="Arial"/>
                <w:b/>
                <w:kern w:val="22"/>
                <w:sz w:val="32"/>
                <w:szCs w:val="32"/>
              </w:rPr>
            </w:pPr>
            <w:r>
              <w:rPr>
                <w:rFonts w:ascii="Arial" w:hAnsi="Arial" w:cs="Arial"/>
                <w:b/>
                <w:kern w:val="22"/>
                <w:sz w:val="32"/>
                <w:szCs w:val="32"/>
              </w:rPr>
              <w:t>CBD</w:t>
            </w:r>
          </w:p>
        </w:tc>
      </w:tr>
      <w:tr w:rsidR="00ED13F3" w:rsidRPr="00F80246" w14:paraId="291291FA" w14:textId="77777777" w:rsidTr="00ED13F3">
        <w:tc>
          <w:tcPr>
            <w:tcW w:w="6117" w:type="dxa"/>
            <w:gridSpan w:val="2"/>
            <w:tcBorders>
              <w:top w:val="single" w:sz="12" w:space="0" w:color="auto"/>
              <w:bottom w:val="single" w:sz="36" w:space="0" w:color="auto"/>
            </w:tcBorders>
            <w:vAlign w:val="center"/>
          </w:tcPr>
          <w:p w14:paraId="4BEDCC32" w14:textId="58FF643C" w:rsidR="00ED13F3" w:rsidRPr="00ED13F3" w:rsidRDefault="007C71EE" w:rsidP="00ED13F3">
            <w:pPr>
              <w:suppressLineNumbers/>
              <w:suppressAutoHyphens/>
              <w:rPr>
                <w:kern w:val="22"/>
              </w:rPr>
            </w:pPr>
            <w:r w:rsidRPr="00906E51">
              <w:rPr>
                <w:noProof/>
                <w:kern w:val="22"/>
                <w:lang w:val="fr-CA" w:eastAsia="fr-CA"/>
              </w:rPr>
              <w:drawing>
                <wp:inline distT="0" distB="0" distL="0" distR="0" wp14:anchorId="58B542DD" wp14:editId="3CD2F5CC">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9AF4691" w14:textId="28C60F84" w:rsidR="00ED13F3" w:rsidRPr="0092131E" w:rsidRDefault="00ED13F3" w:rsidP="00B75CBC">
            <w:pPr>
              <w:suppressLineNumbers/>
              <w:suppressAutoHyphens/>
              <w:ind w:left="1036"/>
              <w:rPr>
                <w:kern w:val="22"/>
                <w:szCs w:val="22"/>
              </w:rPr>
            </w:pPr>
            <w:proofErr w:type="spellStart"/>
            <w:r>
              <w:rPr>
                <w:kern w:val="22"/>
                <w:szCs w:val="22"/>
              </w:rPr>
              <w:t>Distr</w:t>
            </w:r>
            <w:proofErr w:type="spellEnd"/>
            <w:r>
              <w:rPr>
                <w:kern w:val="22"/>
                <w:szCs w:val="22"/>
              </w:rPr>
              <w:t>.</w:t>
            </w:r>
          </w:p>
          <w:p w14:paraId="34330883" w14:textId="57A7B56F" w:rsidR="00ED13F3" w:rsidRPr="0092131E" w:rsidRDefault="00B75CBC" w:rsidP="00B75CBC">
            <w:pPr>
              <w:suppressLineNumbers/>
              <w:suppressAutoHyphens/>
              <w:ind w:left="1036"/>
              <w:rPr>
                <w:kern w:val="22"/>
                <w:szCs w:val="22"/>
              </w:rPr>
            </w:pPr>
            <w:r>
              <w:rPr>
                <w:caps/>
                <w:kern w:val="22"/>
                <w:szCs w:val="22"/>
              </w:rPr>
              <w:t>GÉNÉRALE</w:t>
            </w:r>
          </w:p>
          <w:p w14:paraId="24DA4948" w14:textId="77777777" w:rsidR="00ED13F3" w:rsidRPr="0092131E" w:rsidRDefault="00ED13F3" w:rsidP="00B75CBC">
            <w:pPr>
              <w:suppressLineNumbers/>
              <w:suppressAutoHyphens/>
              <w:ind w:left="1036"/>
              <w:rPr>
                <w:kern w:val="22"/>
                <w:szCs w:val="22"/>
              </w:rPr>
            </w:pPr>
          </w:p>
          <w:p w14:paraId="653A11C4" w14:textId="0CF2875B" w:rsidR="00ED13F3" w:rsidRPr="0092131E" w:rsidRDefault="00830B57" w:rsidP="00B75CBC">
            <w:pPr>
              <w:suppressLineNumbers/>
              <w:suppressAutoHyphens/>
              <w:ind w:left="1036"/>
              <w:rPr>
                <w:kern w:val="22"/>
                <w:szCs w:val="22"/>
              </w:rPr>
            </w:pPr>
            <w:sdt>
              <w:sdtPr>
                <w:rPr>
                  <w:kern w:val="22"/>
                  <w:szCs w:val="22"/>
                </w:rPr>
                <w:alias w:val="Subject"/>
                <w:tag w:val=""/>
                <w:id w:val="2137136483"/>
                <w:placeholder>
                  <w:docPart w:val="D1A058E1DDD849AE948955390D3A5AF0"/>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sidRPr="0092131E">
                  <w:rPr>
                    <w:kern w:val="22"/>
                    <w:szCs w:val="22"/>
                  </w:rPr>
                  <w:t>CBD/SBI/REC/3/16</w:t>
                </w:r>
              </w:sdtContent>
            </w:sdt>
          </w:p>
          <w:p w14:paraId="33A71B10" w14:textId="77777777" w:rsidR="00241CF7" w:rsidRPr="002955D6" w:rsidRDefault="00241CF7" w:rsidP="00241CF7">
            <w:pPr>
              <w:suppressLineNumbers/>
              <w:suppressAutoHyphens/>
              <w:ind w:left="1036"/>
              <w:rPr>
                <w:kern w:val="22"/>
                <w:szCs w:val="22"/>
              </w:rPr>
            </w:pPr>
            <w:r>
              <w:rPr>
                <w:kern w:val="22"/>
                <w:szCs w:val="22"/>
              </w:rPr>
              <w:t>28 mars 2022</w:t>
            </w:r>
          </w:p>
          <w:p w14:paraId="48BFC5FC" w14:textId="77777777" w:rsidR="00ED13F3" w:rsidRPr="002955D6" w:rsidRDefault="00ED13F3" w:rsidP="00B75CBC">
            <w:pPr>
              <w:suppressLineNumbers/>
              <w:suppressAutoHyphens/>
              <w:ind w:left="1036"/>
              <w:rPr>
                <w:kern w:val="22"/>
                <w:szCs w:val="22"/>
              </w:rPr>
            </w:pPr>
          </w:p>
          <w:p w14:paraId="001B21CD" w14:textId="77777777" w:rsidR="00ED13F3" w:rsidRPr="0092131E" w:rsidRDefault="00ED13F3" w:rsidP="00B75CBC">
            <w:pPr>
              <w:suppressLineNumbers/>
              <w:suppressAutoHyphens/>
              <w:ind w:left="1036"/>
              <w:rPr>
                <w:kern w:val="22"/>
                <w:szCs w:val="22"/>
              </w:rPr>
            </w:pPr>
            <w:r>
              <w:rPr>
                <w:kern w:val="22"/>
                <w:szCs w:val="22"/>
              </w:rPr>
              <w:t xml:space="preserve">FRANÇAIS </w:t>
            </w:r>
            <w:r>
              <w:rPr>
                <w:kern w:val="22"/>
                <w:szCs w:val="22"/>
              </w:rPr>
              <w:br/>
              <w:t>ORIGINAL : ANGLAIS</w:t>
            </w:r>
          </w:p>
          <w:p w14:paraId="2BEC735D" w14:textId="77777777" w:rsidR="00ED13F3" w:rsidRPr="00ED13F3" w:rsidRDefault="00ED13F3" w:rsidP="00ED13F3">
            <w:pPr>
              <w:suppressLineNumbers/>
              <w:suppressAutoHyphens/>
              <w:rPr>
                <w:kern w:val="22"/>
              </w:rPr>
            </w:pPr>
          </w:p>
        </w:tc>
      </w:tr>
    </w:tbl>
    <w:p w14:paraId="6D2D7673" w14:textId="77777777" w:rsidR="00830B57" w:rsidRDefault="00BD0429" w:rsidP="00830B57">
      <w:pPr>
        <w:pStyle w:val="Cornernotation"/>
        <w:suppressLineNumbers/>
        <w:suppressAutoHyphens/>
        <w:kinsoku w:val="0"/>
        <w:overflowPunct w:val="0"/>
        <w:autoSpaceDE w:val="0"/>
        <w:autoSpaceDN w:val="0"/>
        <w:adjustRightInd w:val="0"/>
        <w:snapToGrid w:val="0"/>
        <w:ind w:left="180"/>
        <w:rPr>
          <w:kern w:val="22"/>
          <w:szCs w:val="22"/>
          <w:lang w:val="fr-CA" w:eastAsia="en-US"/>
        </w:rPr>
      </w:pPr>
      <w:bookmarkStart w:id="0" w:name="Meeting"/>
      <w:bookmarkStart w:id="1" w:name="_Hlk104282998"/>
      <w:bookmarkStart w:id="2" w:name="_GoBack"/>
      <w:r w:rsidRPr="00830B57">
        <w:rPr>
          <w:kern w:val="22"/>
          <w:szCs w:val="22"/>
          <w:lang w:val="fr-CA" w:eastAsia="en-US"/>
        </w:rPr>
        <w:t xml:space="preserve">ORGANE SUBSIDIAIRE CHARGÉ </w:t>
      </w:r>
    </w:p>
    <w:p w14:paraId="6076C85E" w14:textId="592986A5" w:rsidR="00804ABE" w:rsidRPr="00830B57" w:rsidRDefault="00830B57" w:rsidP="00830B57">
      <w:pPr>
        <w:pStyle w:val="Cornernotation"/>
        <w:suppressLineNumbers/>
        <w:suppressAutoHyphens/>
        <w:kinsoku w:val="0"/>
        <w:overflowPunct w:val="0"/>
        <w:autoSpaceDE w:val="0"/>
        <w:autoSpaceDN w:val="0"/>
        <w:adjustRightInd w:val="0"/>
        <w:snapToGrid w:val="0"/>
        <w:ind w:left="180"/>
        <w:rPr>
          <w:kern w:val="22"/>
          <w:szCs w:val="22"/>
          <w:lang w:val="fr-CA" w:eastAsia="en-US"/>
        </w:rPr>
      </w:pPr>
      <w:r>
        <w:rPr>
          <w:kern w:val="22"/>
          <w:szCs w:val="22"/>
          <w:lang w:val="fr-CA" w:eastAsia="en-US"/>
        </w:rPr>
        <w:t xml:space="preserve">   </w:t>
      </w:r>
      <w:r w:rsidR="00BD0429" w:rsidRPr="00830B57">
        <w:rPr>
          <w:kern w:val="22"/>
          <w:szCs w:val="22"/>
          <w:lang w:val="fr-CA" w:eastAsia="en-US"/>
        </w:rPr>
        <w:t>DE L’APPLICATION</w:t>
      </w:r>
      <w:bookmarkEnd w:id="0"/>
    </w:p>
    <w:bookmarkEnd w:id="1"/>
    <w:bookmarkEnd w:id="2"/>
    <w:p w14:paraId="2624C5CF" w14:textId="77777777" w:rsidR="00804ABE" w:rsidRPr="00ED13F3" w:rsidRDefault="00BD0429" w:rsidP="002955D6">
      <w:pPr>
        <w:suppressLineNumbers/>
        <w:suppressAutoHyphens/>
        <w:ind w:right="4398"/>
        <w:rPr>
          <w:caps/>
          <w:kern w:val="22"/>
        </w:rPr>
      </w:pPr>
      <w:r>
        <w:rPr>
          <w:snapToGrid w:val="0"/>
          <w:kern w:val="22"/>
          <w:szCs w:val="22"/>
        </w:rPr>
        <w:t>Troisième réunion</w:t>
      </w:r>
    </w:p>
    <w:p w14:paraId="3C4404C2" w14:textId="77777777" w:rsidR="008D135E" w:rsidRDefault="008D135E" w:rsidP="002955D6">
      <w:pPr>
        <w:jc w:val="left"/>
        <w:rPr>
          <w:snapToGrid w:val="0"/>
          <w:kern w:val="22"/>
          <w:szCs w:val="22"/>
          <w:lang w:eastAsia="nb-NO"/>
        </w:rPr>
      </w:pPr>
      <w:r>
        <w:rPr>
          <w:snapToGrid w:val="0"/>
          <w:kern w:val="22"/>
          <w:szCs w:val="22"/>
        </w:rPr>
        <w:t>En ligne, 16 mai-13 juin 2021 et</w:t>
      </w:r>
    </w:p>
    <w:p w14:paraId="187764F7" w14:textId="77777777" w:rsidR="008D135E" w:rsidRDefault="008D135E" w:rsidP="002955D6">
      <w:pPr>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rPr>
        <w:t>Genève (Suisse), 14</w:t>
      </w:r>
      <w:r>
        <w:rPr>
          <w:rFonts w:asciiTheme="majorBidi" w:hAnsiTheme="majorBidi" w:cstheme="majorBidi"/>
          <w:snapToGrid w:val="0"/>
          <w:kern w:val="22"/>
          <w:szCs w:val="22"/>
        </w:rPr>
        <w:noBreakHyphen/>
        <w:t>29 mars 2022</w:t>
      </w:r>
    </w:p>
    <w:p w14:paraId="6EDED8D2" w14:textId="16FCB89D" w:rsidR="00BD0429" w:rsidRPr="00ED13F3" w:rsidRDefault="00230623" w:rsidP="002955D6">
      <w:pPr>
        <w:suppressLineNumbers/>
        <w:suppressAutoHyphens/>
        <w:ind w:right="4398"/>
        <w:rPr>
          <w:caps/>
          <w:kern w:val="22"/>
        </w:rPr>
      </w:pPr>
      <w:r>
        <w:rPr>
          <w:snapToGrid w:val="0"/>
          <w:kern w:val="22"/>
          <w:szCs w:val="22"/>
        </w:rPr>
        <w:t>Point 12 de l’ordre du jour</w:t>
      </w:r>
    </w:p>
    <w:sdt>
      <w:sdtPr>
        <w:rPr>
          <w:rFonts w:asciiTheme="majorBidi" w:hAnsiTheme="majorBidi" w:cstheme="majorBidi"/>
          <w:bCs/>
          <w:iCs/>
          <w:snapToGrid w:val="0"/>
          <w:kern w:val="22"/>
        </w:rPr>
        <w:alias w:val="Title"/>
        <w:tag w:val=""/>
        <w:id w:val="1201202219"/>
        <w:placeholder>
          <w:docPart w:val="996C540115DE44FCB7D29127AD839903"/>
        </w:placeholder>
        <w:dataBinding w:prefixMappings="xmlns:ns0='http://purl.org/dc/elements/1.1/' xmlns:ns1='http://schemas.openxmlformats.org/package/2006/metadata/core-properties' " w:xpath="/ns1:coreProperties[1]/ns0:title[1]" w:storeItemID="{6C3C8BC8-F283-45AE-878A-BAB7291924A1}"/>
        <w:text/>
      </w:sdtPr>
      <w:sdtEndPr/>
      <w:sdtContent>
        <w:p w14:paraId="03D4A18A" w14:textId="15370761" w:rsidR="00CC4E33" w:rsidRPr="00BC79E2" w:rsidRDefault="00BC79E2" w:rsidP="00ED13F3">
          <w:pPr>
            <w:pStyle w:val="HEADINGNOTFORTOC"/>
            <w:suppressLineNumbers/>
            <w:tabs>
              <w:tab w:val="clear" w:pos="720"/>
            </w:tabs>
            <w:suppressAutoHyphens/>
            <w:rPr>
              <w:rStyle w:val="Heading2Char"/>
              <w:rFonts w:eastAsiaTheme="minorHAnsi"/>
              <w:kern w:val="22"/>
            </w:rPr>
          </w:pPr>
          <w:r w:rsidRPr="00BC79E2">
            <w:rPr>
              <w:rFonts w:asciiTheme="majorBidi" w:hAnsiTheme="majorBidi" w:cstheme="majorBidi"/>
              <w:bCs/>
              <w:iCs/>
              <w:snapToGrid w:val="0"/>
              <w:kern w:val="22"/>
            </w:rPr>
            <w:t>RECOMMANDATION ADOPTÉE PAR L'ORGANE SUBSIDIAIRE CHARGÉ DE L'APPLICATION</w:t>
          </w:r>
        </w:p>
      </w:sdtContent>
    </w:sdt>
    <w:p w14:paraId="2A93EFE1" w14:textId="2D4875CD" w:rsidR="00A71C6B" w:rsidRPr="007C71EE" w:rsidRDefault="00A71C6B" w:rsidP="002955D6">
      <w:pPr>
        <w:pStyle w:val="Heading2"/>
        <w:tabs>
          <w:tab w:val="clear" w:pos="720"/>
        </w:tabs>
        <w:spacing w:before="0" w:after="0"/>
        <w:ind w:left="851" w:hanging="851"/>
        <w:jc w:val="left"/>
      </w:pPr>
      <w:r>
        <w:t xml:space="preserve">3/16. </w:t>
      </w:r>
      <w:r>
        <w:tab/>
        <w:t>Instruments internationaux spécialisés en matière d'accès et de partage des avantages au titre de l'article 4, paragraphe 4 du Protocole de Nagoya</w:t>
      </w:r>
    </w:p>
    <w:p w14:paraId="622F111A" w14:textId="4FDC10D7" w:rsidR="00617E20" w:rsidRPr="007C71EE" w:rsidRDefault="00617E20" w:rsidP="00617E20">
      <w:pPr>
        <w:pStyle w:val="Para1"/>
        <w:numPr>
          <w:ilvl w:val="0"/>
          <w:numId w:val="0"/>
        </w:numPr>
        <w:ind w:firstLine="720"/>
      </w:pPr>
      <w:r>
        <w:t xml:space="preserve">L’Organe subsidiaire chargé de l’application </w:t>
      </w:r>
      <w:r>
        <w:rPr>
          <w:i/>
          <w:iCs/>
        </w:rPr>
        <w:t>recommande</w:t>
      </w:r>
      <w:r>
        <w:t xml:space="preserve"> que la Conférence des Parties siégeant en tant que réunion des Parties au Protocole de Nagoya adopte une décision dont le libellé serait le suivant :</w:t>
      </w:r>
    </w:p>
    <w:p w14:paraId="42B00E14" w14:textId="2CC6025D" w:rsidR="00617E20" w:rsidRPr="007C71EE" w:rsidRDefault="00241CF7" w:rsidP="00ED13F3">
      <w:pPr>
        <w:pStyle w:val="Para1"/>
        <w:numPr>
          <w:ilvl w:val="0"/>
          <w:numId w:val="0"/>
        </w:numPr>
        <w:ind w:firstLine="720"/>
        <w:rPr>
          <w:i/>
          <w:iCs/>
        </w:rPr>
      </w:pPr>
      <w:r>
        <w:t>[</w:t>
      </w:r>
      <w:r>
        <w:rPr>
          <w:i/>
          <w:iCs/>
        </w:rPr>
        <w:t>La Conférence des Parties siégeant en tant que réunion des Parties au Protocole de Nagoya sur l'accès et le partage des avantages,</w:t>
      </w:r>
    </w:p>
    <w:p w14:paraId="7718E3DD" w14:textId="77777777" w:rsidR="00617E20" w:rsidRPr="00C82C11" w:rsidRDefault="00617E20" w:rsidP="00ED13F3">
      <w:pPr>
        <w:suppressLineNumbers/>
        <w:suppressAutoHyphens/>
        <w:spacing w:before="120" w:after="120"/>
        <w:ind w:firstLine="720"/>
        <w:rPr>
          <w:bCs/>
          <w:i/>
          <w:iCs/>
          <w:kern w:val="22"/>
          <w:szCs w:val="22"/>
        </w:rPr>
      </w:pPr>
      <w:r>
        <w:rPr>
          <w:bCs/>
          <w:i/>
          <w:iCs/>
          <w:kern w:val="22"/>
          <w:szCs w:val="22"/>
        </w:rPr>
        <w:t>Rappelant</w:t>
      </w:r>
      <w:r>
        <w:rPr>
          <w:bCs/>
          <w:kern w:val="22"/>
          <w:szCs w:val="22"/>
        </w:rPr>
        <w:t xml:space="preserve"> l'article 4 du Protocole de Nagoya et la décision NP-3/14,</w:t>
      </w:r>
    </w:p>
    <w:p w14:paraId="10EA83E2" w14:textId="4590C053" w:rsidR="00617E20" w:rsidRPr="000B572A" w:rsidRDefault="00617E20" w:rsidP="00ED13F3">
      <w:pPr>
        <w:suppressLineNumbers/>
        <w:suppressAutoHyphens/>
        <w:spacing w:before="120" w:after="120"/>
        <w:ind w:firstLine="720"/>
        <w:rPr>
          <w:bCs/>
          <w:kern w:val="22"/>
          <w:szCs w:val="22"/>
        </w:rPr>
      </w:pPr>
      <w:r>
        <w:rPr>
          <w:kern w:val="22"/>
          <w:szCs w:val="22"/>
        </w:rPr>
        <w:t>[1.</w:t>
      </w:r>
      <w:r>
        <w:rPr>
          <w:i/>
          <w:iCs/>
          <w:kern w:val="22"/>
          <w:szCs w:val="22"/>
        </w:rPr>
        <w:tab/>
        <w:t xml:space="preserve">Prend note </w:t>
      </w:r>
      <w:r>
        <w:rPr>
          <w:kern w:val="22"/>
          <w:szCs w:val="22"/>
        </w:rPr>
        <w:t>des critères indicatifs relatifs aux instruments internationaux spécialisés en matière d'accès et de partage des avantages adoptés au titre de l'article 4[, paragraphe 4,] du Protocole de Nagoya, qui figurent dans l'annexe à la présente décision, notant qu'ils visent à renforcer la coordination et la complémentarité de la mise en œuvre du Protocole de Nagoya et d'autres instruments internationaux en matière d'accès et de partage des avantages, sans créer de hiérarchie entre eux ;]</w:t>
      </w:r>
    </w:p>
    <w:p w14:paraId="0FD22C7A" w14:textId="6FA51232" w:rsidR="00617E20" w:rsidRDefault="00617E20" w:rsidP="00ED13F3">
      <w:pPr>
        <w:suppressLineNumbers/>
        <w:suppressAutoHyphens/>
        <w:spacing w:before="120" w:after="120"/>
        <w:ind w:firstLine="720"/>
        <w:rPr>
          <w:kern w:val="22"/>
          <w:szCs w:val="22"/>
        </w:rPr>
      </w:pPr>
      <w:r>
        <w:rPr>
          <w:kern w:val="22"/>
          <w:szCs w:val="22"/>
        </w:rPr>
        <w:t>2.</w:t>
      </w:r>
      <w:r>
        <w:rPr>
          <w:kern w:val="22"/>
          <w:szCs w:val="22"/>
        </w:rPr>
        <w:tab/>
      </w:r>
      <w:r>
        <w:rPr>
          <w:i/>
          <w:iCs/>
          <w:kern w:val="22"/>
          <w:szCs w:val="22"/>
        </w:rPr>
        <w:t>Invite</w:t>
      </w:r>
      <w:r>
        <w:rPr>
          <w:kern w:val="22"/>
          <w:szCs w:val="22"/>
        </w:rPr>
        <w:t xml:space="preserve"> les Parties et les autres gouvernements à tenir compte, conformément [au paragraphe 4 </w:t>
      </w:r>
      <w:proofErr w:type="gramStart"/>
      <w:r>
        <w:rPr>
          <w:kern w:val="22"/>
          <w:szCs w:val="22"/>
        </w:rPr>
        <w:t>de][</w:t>
      </w:r>
      <w:proofErr w:type="gramEnd"/>
      <w:r>
        <w:rPr>
          <w:kern w:val="22"/>
          <w:szCs w:val="22"/>
        </w:rPr>
        <w:t>à] l'article 4 du Protocole de Nagoya, de chacun des critères indicatifs dans l'élaboration et/ou la mise en œuvre des mesures en matière d'accès et de partage des avantages et/ou dans le contexte de l’appui aux instruments internationaux comprenant des dispositions sur l’accès et le partage des avantages ;</w:t>
      </w:r>
    </w:p>
    <w:p w14:paraId="0D0100B7" w14:textId="46FD7349" w:rsidR="00617E20" w:rsidRDefault="00617E20" w:rsidP="00ED13F3">
      <w:pPr>
        <w:suppressLineNumbers/>
        <w:suppressAutoHyphens/>
        <w:spacing w:before="120" w:after="120"/>
        <w:ind w:firstLine="720"/>
        <w:rPr>
          <w:kern w:val="22"/>
          <w:szCs w:val="22"/>
        </w:rPr>
      </w:pPr>
      <w:r>
        <w:rPr>
          <w:kern w:val="22"/>
          <w:szCs w:val="22"/>
        </w:rPr>
        <w:t>3.</w:t>
      </w:r>
      <w:r>
        <w:rPr>
          <w:kern w:val="22"/>
          <w:szCs w:val="22"/>
        </w:rPr>
        <w:tab/>
      </w:r>
      <w:r>
        <w:rPr>
          <w:i/>
          <w:iCs/>
          <w:kern w:val="22"/>
          <w:szCs w:val="22"/>
        </w:rPr>
        <w:t>Invite</w:t>
      </w:r>
      <w:r>
        <w:rPr>
          <w:kern w:val="22"/>
          <w:szCs w:val="22"/>
        </w:rPr>
        <w:t xml:space="preserve"> également les organisations internationales et les instances intergouvernementales concernées à tenir compte des critères indicatifs dans le cadre de l'élaboration [ou de l’atteinte d’un consensus sur] [ou de la mise en œuvre] d'instruments internationaux spécialisés en matière d'accès et de partage des avantages ;</w:t>
      </w:r>
    </w:p>
    <w:p w14:paraId="7A852F63" w14:textId="2EAAA0DD" w:rsidR="00617E20" w:rsidRDefault="00617E20" w:rsidP="00ED13F3">
      <w:pPr>
        <w:suppressLineNumbers/>
        <w:suppressAutoHyphens/>
        <w:spacing w:before="120" w:after="120"/>
        <w:ind w:firstLine="720"/>
        <w:rPr>
          <w:kern w:val="22"/>
          <w:szCs w:val="22"/>
        </w:rPr>
      </w:pPr>
      <w:r>
        <w:rPr>
          <w:kern w:val="22"/>
          <w:szCs w:val="22"/>
        </w:rPr>
        <w:t>4.</w:t>
      </w:r>
      <w:r>
        <w:rPr>
          <w:kern w:val="22"/>
          <w:szCs w:val="22"/>
        </w:rPr>
        <w:tab/>
      </w:r>
      <w:r>
        <w:rPr>
          <w:i/>
          <w:iCs/>
          <w:kern w:val="22"/>
          <w:szCs w:val="22"/>
        </w:rPr>
        <w:t>Demande</w:t>
      </w:r>
      <w:r>
        <w:rPr>
          <w:kern w:val="22"/>
          <w:szCs w:val="22"/>
        </w:rPr>
        <w:t xml:space="preserve"> aux Parties d'inclure des informations dans leurs rapports nationaux et, selon qu'il convient, par le biais du Centre d'échange sur l'accès et le partage des avantages, et invite les autres gouvernements et les organisations internationales compétentes à partager des informations sur toute mesure prise en vue de l'élaboration et/ou de la mise en œuvre d'instruments internationaux spécialisés en matière d'accès et de partage des avantages [conformes aux] [qui soutiennent mutuellement les] objectifs de la Convention et du Protocole, y compris des informations sur la [les] ressource[s] génétique[s] et/ou utilisations spécifique[s][, y compris les connaissances traditionnelles associées aux ressources génétiques] visée[s] par l'instrument spécialisé ;</w:t>
      </w:r>
    </w:p>
    <w:p w14:paraId="73C28BCA" w14:textId="457E204B" w:rsidR="00A71C6B" w:rsidRDefault="00A71C6B" w:rsidP="00A71C6B">
      <w:pPr>
        <w:spacing w:before="120" w:after="120"/>
        <w:ind w:firstLine="720"/>
      </w:pPr>
      <w:r>
        <w:lastRenderedPageBreak/>
        <w:t xml:space="preserve">[5. </w:t>
      </w:r>
      <w:r>
        <w:tab/>
      </w:r>
      <w:r>
        <w:rPr>
          <w:i/>
          <w:iCs/>
        </w:rPr>
        <w:t>Décide</w:t>
      </w:r>
      <w:r>
        <w:t xml:space="preserve"> que la réunion des Parties au Protocole de Nagoya fera office d'autorité chargée d'évaluer, de déterminer, de réviser ou de mettre fin au statut des instruments en tant qu'instruments internationaux spécialisés en matière d'accès et de partage des avantages dans le contexte du paragraphe 4 de l'article 4 du Protocole de Nagoya sur la base des critères fournis dans l'annexe au présent projet de décision et que les Parties au Protocole de Nagoya peuvent s'adresser à la réunion des Parties pour déterminer ou mettre fin au statut des instruments ;]</w:t>
      </w:r>
    </w:p>
    <w:p w14:paraId="2732A836" w14:textId="0ABB6494" w:rsidR="00D90594" w:rsidRDefault="00A71C6B" w:rsidP="00A71C6B">
      <w:pPr>
        <w:ind w:firstLine="720"/>
      </w:pPr>
      <w:r>
        <w:t xml:space="preserve">[6. </w:t>
      </w:r>
      <w:r>
        <w:tab/>
      </w:r>
      <w:r>
        <w:rPr>
          <w:i/>
          <w:iCs/>
        </w:rPr>
        <w:t>Prie</w:t>
      </w:r>
      <w:r>
        <w:t xml:space="preserve"> la Secrétaire exécutive de recueillir et soumettre les instruments des Parties au Protocole de Nagoya aux fins d'examen par la réunion des Parties comme indiqué au paragraphe 5, quatre mois avant la réunion des Parties, à partir de la cinquième réunion] ;</w:t>
      </w:r>
    </w:p>
    <w:p w14:paraId="6277F108" w14:textId="7E2FFC0B" w:rsidR="00617E20" w:rsidRDefault="00D13BD5" w:rsidP="00ED13F3">
      <w:pPr>
        <w:pStyle w:val="Para1"/>
        <w:numPr>
          <w:ilvl w:val="0"/>
          <w:numId w:val="0"/>
        </w:numPr>
        <w:suppressLineNumbers/>
        <w:suppressAutoHyphens/>
        <w:ind w:firstLine="720"/>
        <w:rPr>
          <w:kern w:val="22"/>
          <w:szCs w:val="22"/>
        </w:rPr>
      </w:pPr>
      <w:r>
        <w:rPr>
          <w:kern w:val="22"/>
          <w:szCs w:val="22"/>
        </w:rPr>
        <w:t>7.</w:t>
      </w:r>
      <w:r>
        <w:rPr>
          <w:kern w:val="22"/>
          <w:szCs w:val="22"/>
        </w:rPr>
        <w:tab/>
      </w:r>
      <w:r>
        <w:rPr>
          <w:i/>
          <w:iCs/>
          <w:kern w:val="22"/>
          <w:szCs w:val="22"/>
        </w:rPr>
        <w:t>Décide</w:t>
      </w:r>
      <w:r>
        <w:rPr>
          <w:kern w:val="22"/>
          <w:szCs w:val="22"/>
        </w:rPr>
        <w:t xml:space="preserve"> de réexaminer la présente décision dans le cadre du processus d'évaluation et d'examen prévu à l'article 31 du Protocole, en tenant compte des évolutions pertinentes et afin de prendre toute mesure nécessaire visant à promouvoir la cohérence du régime international relatif à l'accès et au partage des avantages</w:t>
      </w:r>
      <w:r>
        <w:rPr>
          <w:i/>
          <w:iCs/>
          <w:kern w:val="22"/>
          <w:szCs w:val="22"/>
        </w:rPr>
        <w:t>.</w:t>
      </w:r>
    </w:p>
    <w:p w14:paraId="269F92CC" w14:textId="77777777" w:rsidR="00A71C6B" w:rsidRDefault="00A71C6B" w:rsidP="00ED13F3">
      <w:pPr>
        <w:pStyle w:val="Para1"/>
        <w:numPr>
          <w:ilvl w:val="0"/>
          <w:numId w:val="0"/>
        </w:numPr>
        <w:suppressLineNumbers/>
        <w:suppressAutoHyphens/>
        <w:ind w:firstLine="720"/>
        <w:rPr>
          <w:i/>
          <w:iCs/>
          <w:kern w:val="22"/>
          <w:szCs w:val="22"/>
        </w:rPr>
      </w:pPr>
    </w:p>
    <w:p w14:paraId="2E66BAB7" w14:textId="77777777" w:rsidR="00617E20" w:rsidRDefault="00617E20" w:rsidP="00ED13F3">
      <w:pPr>
        <w:pStyle w:val="Para1"/>
        <w:keepNext/>
        <w:numPr>
          <w:ilvl w:val="0"/>
          <w:numId w:val="0"/>
        </w:numPr>
        <w:suppressLineNumbers/>
        <w:suppressAutoHyphens/>
        <w:jc w:val="center"/>
        <w:rPr>
          <w:i/>
          <w:iCs/>
          <w:kern w:val="22"/>
          <w:szCs w:val="22"/>
        </w:rPr>
      </w:pPr>
      <w:r>
        <w:rPr>
          <w:i/>
          <w:iCs/>
          <w:kern w:val="22"/>
          <w:szCs w:val="22"/>
        </w:rPr>
        <w:t>Annexe</w:t>
      </w:r>
    </w:p>
    <w:p w14:paraId="3615CD28" w14:textId="6D519C11" w:rsidR="00617E20" w:rsidRPr="00CE7AC7" w:rsidRDefault="00617E20" w:rsidP="00ED13F3">
      <w:pPr>
        <w:pStyle w:val="Heading1"/>
        <w:suppressLineNumbers/>
        <w:tabs>
          <w:tab w:val="clear" w:pos="720"/>
        </w:tabs>
        <w:suppressAutoHyphens/>
        <w:spacing w:before="120"/>
        <w:rPr>
          <w:rFonts w:ascii="Times New Roman Bold" w:hAnsi="Times New Roman Bold" w:cs="Times New Roman Bold"/>
          <w:kern w:val="22"/>
          <w:szCs w:val="22"/>
        </w:rPr>
      </w:pPr>
      <w:r>
        <w:rPr>
          <w:rFonts w:ascii="Times New Roman Bold" w:hAnsi="Times New Roman Bold" w:cs="Times New Roman Bold"/>
          <w:kern w:val="22"/>
          <w:szCs w:val="22"/>
        </w:rPr>
        <w:t>CRITÈRES INDICATIFS CONCERNANT LES INSTRUMENTS INTERNATIONAUX SPÉCIALISÉS EN MATIÈRE D'ACCÈS ET DE PARTAGE DES AVANTAGES AU TITRE DU PARAGRAPHE 4 DE L'ARTICLE 4 DU PROTOCOLE DE NAGOYA SUR L'ACCÈS AUX RESSOURCES GÉNÉTIQUES ET LE PARTAGE JUSTE ET ÉQUITABLE DES AVANTAGES DÉCOULANT DE LEUR UTILISATION</w:t>
      </w:r>
    </w:p>
    <w:p w14:paraId="7D6C46BA" w14:textId="77777777" w:rsidR="00617E20" w:rsidRDefault="00617E20" w:rsidP="00ED13F3">
      <w:pPr>
        <w:pStyle w:val="Para1"/>
        <w:numPr>
          <w:ilvl w:val="0"/>
          <w:numId w:val="37"/>
        </w:numPr>
        <w:suppressLineNumbers/>
        <w:tabs>
          <w:tab w:val="clear" w:pos="360"/>
        </w:tabs>
        <w:suppressAutoHyphens/>
        <w:snapToGrid w:val="0"/>
        <w:rPr>
          <w:kern w:val="22"/>
          <w:szCs w:val="22"/>
        </w:rPr>
      </w:pPr>
      <w:r>
        <w:rPr>
          <w:kern w:val="22"/>
          <w:szCs w:val="22"/>
        </w:rPr>
        <w:t>Ces critères indicatifs servent de référence ou d'éléments à prendre en considération pour l'élaboration ou la mise en œuvre d'instruments internationaux spécialisés en matière d'accès et de partage des avantages. Ils visent à renforcer la coordination et le soutien mutuel dans la mise en œuvre du Protocole de Nagoya et des autres instruments internationaux relatifs à l'accès aux ressources génétiques et au partage des avantages, sans créer de hiérarchie entre eux.</w:t>
      </w:r>
    </w:p>
    <w:p w14:paraId="3DE24D8C" w14:textId="687E301A" w:rsidR="00617E20" w:rsidRDefault="00617E20" w:rsidP="00ED13F3">
      <w:pPr>
        <w:pStyle w:val="Para1"/>
        <w:numPr>
          <w:ilvl w:val="0"/>
          <w:numId w:val="37"/>
        </w:numPr>
        <w:suppressLineNumbers/>
        <w:tabs>
          <w:tab w:val="clear" w:pos="360"/>
        </w:tabs>
        <w:suppressAutoHyphens/>
        <w:snapToGrid w:val="0"/>
        <w:rPr>
          <w:kern w:val="22"/>
          <w:szCs w:val="22"/>
        </w:rPr>
      </w:pPr>
      <w:r>
        <w:rPr>
          <w:i/>
          <w:iCs/>
          <w:kern w:val="22"/>
          <w:szCs w:val="22"/>
        </w:rPr>
        <w:t xml:space="preserve">Accord intergouvernemental ou international </w:t>
      </w:r>
      <w:r>
        <w:rPr>
          <w:kern w:val="22"/>
          <w:szCs w:val="22"/>
        </w:rPr>
        <w:t xml:space="preserve">- L'instrument est convenu [ou adopté] par un processus intergouvernemental et/ou [explicitement] approuvé par les États [et/ou les </w:t>
      </w:r>
      <w:proofErr w:type="gramStart"/>
      <w:r>
        <w:rPr>
          <w:kern w:val="22"/>
          <w:szCs w:val="22"/>
        </w:rPr>
        <w:t>gouvernements][</w:t>
      </w:r>
      <w:proofErr w:type="gramEnd"/>
      <w:r>
        <w:rPr>
          <w:kern w:val="22"/>
          <w:szCs w:val="22"/>
        </w:rPr>
        <w:t>par la décision d'un organe directeur d'une organisation internationale]. [L’instrument peut être juridiquement contraignant ou non contraignant.]</w:t>
      </w:r>
    </w:p>
    <w:p w14:paraId="2DC5D6FE" w14:textId="77777777" w:rsidR="00617E20" w:rsidRDefault="00617E20" w:rsidP="00ED13F3">
      <w:pPr>
        <w:pStyle w:val="Para1"/>
        <w:numPr>
          <w:ilvl w:val="0"/>
          <w:numId w:val="37"/>
        </w:numPr>
        <w:suppressLineNumbers/>
        <w:tabs>
          <w:tab w:val="clear" w:pos="360"/>
        </w:tabs>
        <w:suppressAutoHyphens/>
        <w:snapToGrid w:val="0"/>
        <w:rPr>
          <w:kern w:val="22"/>
          <w:szCs w:val="22"/>
        </w:rPr>
      </w:pPr>
      <w:r>
        <w:rPr>
          <w:i/>
          <w:iCs/>
          <w:kern w:val="22"/>
          <w:szCs w:val="22"/>
        </w:rPr>
        <w:t xml:space="preserve">Spécialisé </w:t>
      </w:r>
      <w:r>
        <w:rPr>
          <w:kern w:val="22"/>
          <w:szCs w:val="22"/>
        </w:rPr>
        <w:t>- L'instrument :</w:t>
      </w:r>
    </w:p>
    <w:p w14:paraId="19D58DAA"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a)</w:t>
      </w:r>
      <w:r>
        <w:rPr>
          <w:kern w:val="22"/>
          <w:szCs w:val="22"/>
        </w:rPr>
        <w:tab/>
        <w:t>concerne un ensemble précis de ressources génétiques et/ou de connaissances traditionnelles associées à des ressources génétiques qui, autrement, relèveraient du Protocole de Nagoya ;</w:t>
      </w:r>
    </w:p>
    <w:p w14:paraId="30A87FDC" w14:textId="5C26EA1D"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b)</w:t>
      </w:r>
      <w:r>
        <w:rPr>
          <w:kern w:val="22"/>
          <w:szCs w:val="22"/>
        </w:rPr>
        <w:tab/>
        <w:t>s'applique aux utilisations spécifiques des ressources génétiques et/ou des connaissances traditionnelles associées aux ressources génétiques, ou à des fins spécifiques, qui nécessitent une approche différenciée et donc spécialisée.</w:t>
      </w:r>
    </w:p>
    <w:p w14:paraId="4B3DF13D" w14:textId="77777777" w:rsidR="00617E20" w:rsidRDefault="00617E20" w:rsidP="00ED13F3">
      <w:pPr>
        <w:pStyle w:val="Para1"/>
        <w:numPr>
          <w:ilvl w:val="0"/>
          <w:numId w:val="37"/>
        </w:numPr>
        <w:suppressLineNumbers/>
        <w:tabs>
          <w:tab w:val="clear" w:pos="360"/>
        </w:tabs>
        <w:suppressAutoHyphens/>
        <w:snapToGrid w:val="0"/>
        <w:rPr>
          <w:kern w:val="22"/>
          <w:szCs w:val="22"/>
        </w:rPr>
      </w:pPr>
      <w:r>
        <w:rPr>
          <w:i/>
          <w:iCs/>
          <w:kern w:val="22"/>
          <w:szCs w:val="22"/>
        </w:rPr>
        <w:t xml:space="preserve">Soutien mutuel </w:t>
      </w:r>
      <w:r>
        <w:rPr>
          <w:kern w:val="22"/>
          <w:szCs w:val="22"/>
        </w:rPr>
        <w:t>- L’instrument est complémentaire et compatible avec les objectifs de la Convention sur la diversité biologique et du Protocole de Nagoya, et ne va pas à l’encontre de ces objectifs, y compris en ce qui concerne les éléments suivants :</w:t>
      </w:r>
    </w:p>
    <w:p w14:paraId="225C9498"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a)</w:t>
      </w:r>
      <w:r>
        <w:rPr>
          <w:kern w:val="22"/>
          <w:szCs w:val="22"/>
        </w:rPr>
        <w:tab/>
        <w:t>La cohérence avec les objectifs de conservation et d’utilisation durable de la diversité biologique ;</w:t>
      </w:r>
    </w:p>
    <w:p w14:paraId="54BD401E"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b)</w:t>
      </w:r>
      <w:r>
        <w:rPr>
          <w:kern w:val="22"/>
          <w:szCs w:val="22"/>
        </w:rPr>
        <w:tab/>
        <w:t>La justice et l'équité dans le cadre du partage des avantages ;</w:t>
      </w:r>
    </w:p>
    <w:p w14:paraId="7B51A1E0" w14:textId="5DD017F3"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c)</w:t>
      </w:r>
      <w:r>
        <w:rPr>
          <w:kern w:val="22"/>
          <w:szCs w:val="22"/>
        </w:rPr>
        <w:tab/>
        <w:t xml:space="preserve">La sécurité juridique en matière d'accès aux ressources génétiques ou aux connaissances traditionnelles associées aux ressources génétiques, y </w:t>
      </w:r>
      <w:proofErr w:type="gramStart"/>
      <w:r>
        <w:rPr>
          <w:kern w:val="22"/>
          <w:szCs w:val="22"/>
        </w:rPr>
        <w:t>compris[</w:t>
      </w:r>
      <w:proofErr w:type="gramEnd"/>
      <w:r>
        <w:rPr>
          <w:kern w:val="22"/>
          <w:szCs w:val="22"/>
        </w:rPr>
        <w:t xml:space="preserve">, selon qu'il convient,] l'application du </w:t>
      </w:r>
      <w:r>
        <w:rPr>
          <w:kern w:val="22"/>
          <w:szCs w:val="22"/>
        </w:rPr>
        <w:lastRenderedPageBreak/>
        <w:t>consentement préalable en connaissance de cause, et de [du partage juste et équitable des avantages]partage des avantages ;</w:t>
      </w:r>
    </w:p>
    <w:p w14:paraId="05BC0C8F"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d)</w:t>
      </w:r>
      <w:r>
        <w:rPr>
          <w:kern w:val="22"/>
          <w:szCs w:val="22"/>
        </w:rPr>
        <w:tab/>
        <w:t>La participation pleine et effective des peuples autochtones et des communautés locales ;</w:t>
      </w:r>
    </w:p>
    <w:p w14:paraId="1A3A78EF" w14:textId="7777777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e)</w:t>
      </w:r>
      <w:r>
        <w:rPr>
          <w:kern w:val="22"/>
          <w:szCs w:val="22"/>
        </w:rPr>
        <w:tab/>
        <w:t>La contribution au développement durable, telle que reflétée dans les objectifs convenus au niveau international ;</w:t>
      </w:r>
    </w:p>
    <w:p w14:paraId="503E1807" w14:textId="0FCE0717" w:rsidR="00617E20" w:rsidRDefault="00617E20" w:rsidP="00ED13F3">
      <w:pPr>
        <w:pStyle w:val="Para1"/>
        <w:numPr>
          <w:ilvl w:val="0"/>
          <w:numId w:val="0"/>
        </w:numPr>
        <w:suppressLineNumbers/>
        <w:suppressAutoHyphens/>
        <w:snapToGrid w:val="0"/>
        <w:spacing w:before="0"/>
        <w:ind w:firstLine="720"/>
        <w:rPr>
          <w:kern w:val="22"/>
          <w:szCs w:val="22"/>
        </w:rPr>
      </w:pPr>
      <w:r>
        <w:rPr>
          <w:kern w:val="22"/>
          <w:szCs w:val="22"/>
        </w:rPr>
        <w:t>f)</w:t>
      </w:r>
      <w:r>
        <w:rPr>
          <w:kern w:val="22"/>
          <w:szCs w:val="22"/>
        </w:rPr>
        <w:tab/>
        <w:t>D'autres principes généraux du droit, notamment la bonne foi, l'applicabilité et les attentes légitimes.]</w:t>
      </w:r>
    </w:p>
    <w:p w14:paraId="792CAF03" w14:textId="77777777" w:rsidR="00617E20" w:rsidRPr="00C67EED" w:rsidRDefault="00617E20" w:rsidP="00ED13F3">
      <w:pPr>
        <w:pStyle w:val="Para1"/>
        <w:numPr>
          <w:ilvl w:val="0"/>
          <w:numId w:val="0"/>
        </w:numPr>
        <w:suppressLineNumbers/>
        <w:suppressAutoHyphens/>
        <w:jc w:val="center"/>
        <w:rPr>
          <w:kern w:val="22"/>
        </w:rPr>
      </w:pPr>
      <w:r>
        <w:rPr>
          <w:kern w:val="22"/>
        </w:rPr>
        <w:t>__________</w:t>
      </w:r>
    </w:p>
    <w:p w14:paraId="42430A90" w14:textId="77777777" w:rsidR="00617E20" w:rsidRPr="00C9161D" w:rsidRDefault="00617E20"/>
    <w:sectPr w:rsidR="00617E20" w:rsidRPr="00C9161D" w:rsidSect="00ED13F3">
      <w:headerReference w:type="even" r:id="rId16"/>
      <w:headerReference w:type="default" r:id="rId17"/>
      <w:footerReference w:type="even" r:id="rId18"/>
      <w:footerReference w:type="first" r:id="rId19"/>
      <w:pgSz w:w="12240" w:h="15840"/>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8823D" w14:textId="77777777" w:rsidR="005D3BA3" w:rsidRDefault="005D3BA3" w:rsidP="004872C4">
      <w:r>
        <w:separator/>
      </w:r>
    </w:p>
  </w:endnote>
  <w:endnote w:type="continuationSeparator" w:id="0">
    <w:p w14:paraId="7B89F3A5" w14:textId="77777777" w:rsidR="005D3BA3" w:rsidRDefault="005D3BA3" w:rsidP="004872C4">
      <w:r>
        <w:continuationSeparator/>
      </w:r>
    </w:p>
  </w:endnote>
  <w:endnote w:type="continuationNotice" w:id="1">
    <w:p w14:paraId="32D81FB2" w14:textId="77777777" w:rsidR="005D3BA3" w:rsidRDefault="005D3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4195" w14:textId="77777777" w:rsidR="001A2378" w:rsidRDefault="001A2378" w:rsidP="00ED13F3">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CD92" w14:textId="77777777" w:rsidR="001A2378" w:rsidRDefault="001A2378" w:rsidP="00ED13F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70CE0" w14:textId="77777777" w:rsidR="005D3BA3" w:rsidRDefault="005D3BA3" w:rsidP="004872C4">
      <w:r>
        <w:separator/>
      </w:r>
    </w:p>
  </w:footnote>
  <w:footnote w:type="continuationSeparator" w:id="0">
    <w:p w14:paraId="09D2F816" w14:textId="77777777" w:rsidR="005D3BA3" w:rsidRDefault="005D3BA3" w:rsidP="004872C4">
      <w:r>
        <w:continuationSeparator/>
      </w:r>
    </w:p>
  </w:footnote>
  <w:footnote w:type="continuationNotice" w:id="1">
    <w:p w14:paraId="4F99475C" w14:textId="77777777" w:rsidR="005D3BA3" w:rsidRDefault="005D3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757F" w14:textId="32E525F6" w:rsidR="003C50B3" w:rsidRPr="00A71C6B" w:rsidRDefault="00830B57" w:rsidP="00C20F6C">
    <w:pPr>
      <w:keepLines/>
      <w:suppressLineNumbers/>
      <w:suppressAutoHyphens/>
      <w:jc w:val="left"/>
      <w:rPr>
        <w:noProof/>
        <w:kern w:val="22"/>
        <w:lang w:val="fr-CA"/>
      </w:rPr>
    </w:pPr>
    <w:sdt>
      <w:sdtPr>
        <w:rPr>
          <w:noProof/>
          <w:kern w:val="22"/>
          <w:lang w:val="fr-CA"/>
        </w:rPr>
        <w:alias w:val="Subject"/>
        <w:tag w:val=""/>
        <w:id w:val="-41521684"/>
        <w:placeholder>
          <w:docPart w:val="46CBDF5CE6364D01BEB293E548E3A54D"/>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Pr>
            <w:noProof/>
            <w:kern w:val="22"/>
            <w:lang w:val="fr-CA"/>
          </w:rPr>
          <w:t>CBD/SBI/REC/3/16</w:t>
        </w:r>
      </w:sdtContent>
    </w:sdt>
  </w:p>
  <w:p w14:paraId="21741ADF" w14:textId="26F5C61F" w:rsidR="003C50B3" w:rsidRPr="00A71C6B" w:rsidRDefault="003C50B3" w:rsidP="00ED13F3">
    <w:pPr>
      <w:pStyle w:val="Header"/>
      <w:keepLines/>
      <w:suppressLineNumbers/>
      <w:suppressAutoHyphens/>
      <w:jc w:val="left"/>
      <w:rPr>
        <w:noProof/>
        <w:kern w:val="22"/>
        <w:lang w:val="fr-CA"/>
      </w:rPr>
    </w:pPr>
    <w:r>
      <w:rPr>
        <w:noProof/>
        <w:kern w:val="22"/>
      </w:rPr>
      <w:t xml:space="preserve">Page </w:t>
    </w:r>
    <w:r>
      <w:rPr>
        <w:noProof/>
        <w:kern w:val="22"/>
      </w:rPr>
      <w:fldChar w:fldCharType="begin"/>
    </w:r>
    <w:r>
      <w:rPr>
        <w:noProof/>
        <w:kern w:val="22"/>
      </w:rPr>
      <w:instrText xml:space="preserve"> PAGE   \* MERGEFORMAT </w:instrText>
    </w:r>
    <w:r>
      <w:fldChar w:fldCharType="separate"/>
    </w:r>
    <w:r>
      <w:rPr>
        <w:noProof/>
        <w:kern w:val="22"/>
      </w:rPr>
      <w:t>1</w:t>
    </w:r>
    <w:r>
      <w:fldChar w:fldCharType="end"/>
    </w:r>
  </w:p>
  <w:p w14:paraId="3DBE66F5" w14:textId="77777777" w:rsidR="003C50B3" w:rsidRPr="00A71C6B" w:rsidRDefault="003C50B3" w:rsidP="00ED13F3">
    <w:pPr>
      <w:pStyle w:val="Header"/>
      <w:keepLines/>
      <w:suppressLineNumbers/>
      <w:suppressAutoHyphens/>
      <w:jc w:val="left"/>
      <w:rPr>
        <w:noProof/>
        <w:kern w:val="22"/>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2490" w14:textId="1BEE2882" w:rsidR="003C50B3" w:rsidRPr="00A71C6B" w:rsidRDefault="00830B57" w:rsidP="00C20F6C">
    <w:pPr>
      <w:keepLines/>
      <w:suppressLineNumbers/>
      <w:tabs>
        <w:tab w:val="left" w:pos="1809"/>
      </w:tabs>
      <w:suppressAutoHyphens/>
      <w:jc w:val="right"/>
      <w:rPr>
        <w:noProof/>
        <w:kern w:val="22"/>
        <w:lang w:val="fr-CA"/>
      </w:rPr>
    </w:pPr>
    <w:sdt>
      <w:sdtPr>
        <w:rPr>
          <w:noProof/>
          <w:kern w:val="22"/>
          <w:lang w:val="fr-CA"/>
        </w:rPr>
        <w:alias w:val="Subject"/>
        <w:tag w:val=""/>
        <w:id w:val="-1885015078"/>
        <w:placeholder>
          <w:docPart w:val="E2AA006806B442D0AD1F2355E0F5E50E"/>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Pr>
            <w:noProof/>
            <w:kern w:val="22"/>
            <w:lang w:val="fr-CA"/>
          </w:rPr>
          <w:t>CBD/SBI/REC/3/16</w:t>
        </w:r>
      </w:sdtContent>
    </w:sdt>
  </w:p>
  <w:p w14:paraId="3A1126F4" w14:textId="67589118" w:rsidR="003C50B3" w:rsidRPr="00A71C6B" w:rsidRDefault="003C50B3" w:rsidP="00ED13F3">
    <w:pPr>
      <w:keepLines/>
      <w:suppressLineNumbers/>
      <w:tabs>
        <w:tab w:val="center" w:pos="4320"/>
        <w:tab w:val="right" w:pos="8640"/>
      </w:tabs>
      <w:suppressAutoHyphens/>
      <w:jc w:val="right"/>
      <w:rPr>
        <w:kern w:val="22"/>
        <w:lang w:val="fr-CA"/>
      </w:rPr>
    </w:pPr>
    <w:r>
      <w:rPr>
        <w:kern w:val="22"/>
      </w:rPr>
      <w:t xml:space="preserve">Page </w:t>
    </w:r>
    <w:r>
      <w:rPr>
        <w:kern w:val="22"/>
      </w:rPr>
      <w:fldChar w:fldCharType="begin"/>
    </w:r>
    <w:r>
      <w:rPr>
        <w:noProof/>
        <w:kern w:val="22"/>
      </w:rPr>
      <w:instrText xml:space="preserve"> PAGE   \* MERGEFORMAT </w:instrText>
    </w:r>
    <w:r>
      <w:fldChar w:fldCharType="separate"/>
    </w:r>
    <w:r>
      <w:rPr>
        <w:noProof/>
        <w:kern w:val="22"/>
      </w:rPr>
      <w:t>2</w:t>
    </w:r>
    <w:r>
      <w:fldChar w:fldCharType="end"/>
    </w:r>
  </w:p>
  <w:p w14:paraId="4BC340E7" w14:textId="77777777" w:rsidR="003C50B3" w:rsidRPr="00A71C6B" w:rsidRDefault="003C50B3" w:rsidP="00ED13F3">
    <w:pPr>
      <w:keepLines/>
      <w:suppressLineNumbers/>
      <w:suppressAutoHyphens/>
      <w:jc w:val="right"/>
      <w:rPr>
        <w:kern w:val="22"/>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45F2"/>
    <w:multiLevelType w:val="hybridMultilevel"/>
    <w:tmpl w:val="2F4A86EA"/>
    <w:lvl w:ilvl="0" w:tplc="10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7435F"/>
    <w:multiLevelType w:val="hybridMultilevel"/>
    <w:tmpl w:val="BD68E7CE"/>
    <w:lvl w:ilvl="0" w:tplc="5B3C62F6">
      <w:start w:val="1"/>
      <w:numFmt w:val="upperRoman"/>
      <w:lvlText w:val="%1."/>
      <w:lvlJc w:val="left"/>
      <w:pPr>
        <w:ind w:left="2160" w:hanging="720"/>
      </w:pPr>
      <w:rPr>
        <w:rFonts w:hint="default"/>
        <w:b/>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50A29"/>
    <w:multiLevelType w:val="hybridMultilevel"/>
    <w:tmpl w:val="90C2F1FC"/>
    <w:lvl w:ilvl="0" w:tplc="1009000F">
      <w:start w:val="1"/>
      <w:numFmt w:val="decimal"/>
      <w:lvlText w:val="%1."/>
      <w:lvlJc w:val="left"/>
      <w:pPr>
        <w:ind w:left="4320" w:hanging="360"/>
      </w:pPr>
    </w:lvl>
    <w:lvl w:ilvl="1" w:tplc="10090019">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E44CFC"/>
    <w:multiLevelType w:val="hybridMultilevel"/>
    <w:tmpl w:val="245AD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1E5FFB"/>
    <w:multiLevelType w:val="hybridMultilevel"/>
    <w:tmpl w:val="BA18B912"/>
    <w:lvl w:ilvl="0" w:tplc="6A8257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226A49"/>
    <w:multiLevelType w:val="hybridMultilevel"/>
    <w:tmpl w:val="37CE3FF0"/>
    <w:lvl w:ilvl="0" w:tplc="4E28B730">
      <w:start w:val="1"/>
      <w:numFmt w:val="upperRoman"/>
      <w:lvlText w:val="%1."/>
      <w:lvlJc w:val="left"/>
      <w:pPr>
        <w:ind w:left="2160" w:hanging="72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E51B5"/>
    <w:multiLevelType w:val="hybridMultilevel"/>
    <w:tmpl w:val="B33C9B4C"/>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3185686"/>
    <w:multiLevelType w:val="hybridMultilevel"/>
    <w:tmpl w:val="96FE1250"/>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346E232A"/>
    <w:multiLevelType w:val="hybridMultilevel"/>
    <w:tmpl w:val="91F0285C"/>
    <w:lvl w:ilvl="0" w:tplc="10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16AC6"/>
    <w:multiLevelType w:val="hybridMultilevel"/>
    <w:tmpl w:val="D3AAD1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6760D"/>
    <w:multiLevelType w:val="hybridMultilevel"/>
    <w:tmpl w:val="778238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3032FA"/>
    <w:multiLevelType w:val="hybridMultilevel"/>
    <w:tmpl w:val="90C2F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FAD7229"/>
    <w:multiLevelType w:val="hybridMultilevel"/>
    <w:tmpl w:val="37AAFEAE"/>
    <w:lvl w:ilvl="0" w:tplc="529466CC">
      <w:start w:val="1"/>
      <w:numFmt w:val="decimal"/>
      <w:lvlText w:val="%1."/>
      <w:lvlJc w:val="left"/>
      <w:pPr>
        <w:ind w:left="1080" w:hanging="720"/>
      </w:pPr>
      <w:rPr>
        <w:rFonts w:eastAsia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73026C3"/>
    <w:multiLevelType w:val="hybridMultilevel"/>
    <w:tmpl w:val="85C452EC"/>
    <w:lvl w:ilvl="0" w:tplc="B0620EB4">
      <w:start w:val="1"/>
      <w:numFmt w:val="lowerLetter"/>
      <w:lvlText w:val="(%1)"/>
      <w:lvlJc w:val="left"/>
      <w:pPr>
        <w:ind w:left="720" w:hanging="360"/>
      </w:pPr>
      <w:rPr>
        <w:rFonts w:ascii="Times New Roman" w:hAnsi="Times New Roman"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1690E"/>
    <w:multiLevelType w:val="hybridMultilevel"/>
    <w:tmpl w:val="23002178"/>
    <w:lvl w:ilvl="0" w:tplc="10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A76A3"/>
    <w:multiLevelType w:val="hybridMultilevel"/>
    <w:tmpl w:val="37CE3FF0"/>
    <w:lvl w:ilvl="0" w:tplc="4E28B730">
      <w:start w:val="1"/>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275DE"/>
    <w:multiLevelType w:val="hybridMultilevel"/>
    <w:tmpl w:val="971EFA62"/>
    <w:lvl w:ilvl="0" w:tplc="5858B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4"/>
  </w:num>
  <w:num w:numId="4">
    <w:abstractNumId w:val="6"/>
  </w:num>
  <w:num w:numId="5">
    <w:abstractNumId w:val="21"/>
  </w:num>
  <w:num w:numId="6">
    <w:abstractNumId w:val="11"/>
  </w:num>
  <w:num w:numId="7">
    <w:abstractNumId w:val="4"/>
  </w:num>
  <w:num w:numId="8">
    <w:abstractNumId w:val="20"/>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17"/>
  </w:num>
  <w:num w:numId="22">
    <w:abstractNumId w:val="19"/>
  </w:num>
  <w:num w:numId="23">
    <w:abstractNumId w:val="14"/>
  </w:num>
  <w:num w:numId="24">
    <w:abstractNumId w:val="3"/>
  </w:num>
  <w:num w:numId="25">
    <w:abstractNumId w:val="9"/>
  </w:num>
  <w:num w:numId="26">
    <w:abstractNumId w:val="26"/>
  </w:num>
  <w:num w:numId="27">
    <w:abstractNumId w:val="0"/>
  </w:num>
  <w:num w:numId="28">
    <w:abstractNumId w:val="8"/>
  </w:num>
  <w:num w:numId="29">
    <w:abstractNumId w:val="7"/>
  </w:num>
  <w:num w:numId="30">
    <w:abstractNumId w:val="28"/>
  </w:num>
  <w:num w:numId="31">
    <w:abstractNumId w:val="25"/>
  </w:num>
  <w:num w:numId="32">
    <w:abstractNumId w:val="15"/>
  </w:num>
  <w:num w:numId="33">
    <w:abstractNumId w:val="10"/>
  </w:num>
  <w:num w:numId="34">
    <w:abstractNumId w:val="19"/>
  </w:num>
  <w:num w:numId="35">
    <w:abstractNumId w:val="18"/>
  </w:num>
  <w:num w:numId="36">
    <w:abstractNumId w:val="19"/>
  </w:num>
  <w:num w:numId="3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
  </w:num>
  <w:num w:numId="40">
    <w:abstractNumId w:val="5"/>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23"/>
  </w:num>
  <w:num w:numId="47">
    <w:abstractNumId w:val="22"/>
  </w:num>
  <w:num w:numId="48">
    <w:abstractNumId w:val="2"/>
  </w:num>
  <w:num w:numId="49">
    <w:abstractNumId w:val="2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5"/>
    <w:rsid w:val="00002FA5"/>
    <w:rsid w:val="0000792C"/>
    <w:rsid w:val="0001252E"/>
    <w:rsid w:val="00013554"/>
    <w:rsid w:val="000178DA"/>
    <w:rsid w:val="0002292F"/>
    <w:rsid w:val="0003047E"/>
    <w:rsid w:val="00030C54"/>
    <w:rsid w:val="00034486"/>
    <w:rsid w:val="00041EC5"/>
    <w:rsid w:val="0004498D"/>
    <w:rsid w:val="0004559B"/>
    <w:rsid w:val="000513C6"/>
    <w:rsid w:val="0005213C"/>
    <w:rsid w:val="00052CF2"/>
    <w:rsid w:val="00053780"/>
    <w:rsid w:val="00055F6A"/>
    <w:rsid w:val="00061E8B"/>
    <w:rsid w:val="000662EE"/>
    <w:rsid w:val="0006645A"/>
    <w:rsid w:val="000673E6"/>
    <w:rsid w:val="0007171B"/>
    <w:rsid w:val="0007261F"/>
    <w:rsid w:val="00072859"/>
    <w:rsid w:val="00073940"/>
    <w:rsid w:val="00081D57"/>
    <w:rsid w:val="00083E61"/>
    <w:rsid w:val="0008637A"/>
    <w:rsid w:val="00092FC7"/>
    <w:rsid w:val="00095673"/>
    <w:rsid w:val="00097239"/>
    <w:rsid w:val="00097CD6"/>
    <w:rsid w:val="000A25C0"/>
    <w:rsid w:val="000A3D04"/>
    <w:rsid w:val="000A6841"/>
    <w:rsid w:val="000A7B45"/>
    <w:rsid w:val="000B0B17"/>
    <w:rsid w:val="000B0FE6"/>
    <w:rsid w:val="000B1491"/>
    <w:rsid w:val="000B19D7"/>
    <w:rsid w:val="000B572A"/>
    <w:rsid w:val="000B774C"/>
    <w:rsid w:val="000B78E3"/>
    <w:rsid w:val="000C2049"/>
    <w:rsid w:val="000C26E4"/>
    <w:rsid w:val="000C369C"/>
    <w:rsid w:val="000D36E2"/>
    <w:rsid w:val="000D51CE"/>
    <w:rsid w:val="000D7753"/>
    <w:rsid w:val="000E354A"/>
    <w:rsid w:val="000E673A"/>
    <w:rsid w:val="000E6C84"/>
    <w:rsid w:val="000F070C"/>
    <w:rsid w:val="000F08B7"/>
    <w:rsid w:val="000F3D76"/>
    <w:rsid w:val="000F43CE"/>
    <w:rsid w:val="000F5CAC"/>
    <w:rsid w:val="000F74F5"/>
    <w:rsid w:val="00105155"/>
    <w:rsid w:val="00105372"/>
    <w:rsid w:val="001057DA"/>
    <w:rsid w:val="0010656A"/>
    <w:rsid w:val="00110208"/>
    <w:rsid w:val="0011263E"/>
    <w:rsid w:val="00112AD2"/>
    <w:rsid w:val="001175FB"/>
    <w:rsid w:val="00120077"/>
    <w:rsid w:val="001212EA"/>
    <w:rsid w:val="00130E67"/>
    <w:rsid w:val="001312AD"/>
    <w:rsid w:val="00131E7A"/>
    <w:rsid w:val="0013331B"/>
    <w:rsid w:val="0013413C"/>
    <w:rsid w:val="00134728"/>
    <w:rsid w:val="00134846"/>
    <w:rsid w:val="00134A99"/>
    <w:rsid w:val="001352ED"/>
    <w:rsid w:val="0013716B"/>
    <w:rsid w:val="0014171B"/>
    <w:rsid w:val="0014510F"/>
    <w:rsid w:val="00150EEA"/>
    <w:rsid w:val="001512CB"/>
    <w:rsid w:val="00152AF5"/>
    <w:rsid w:val="00152F06"/>
    <w:rsid w:val="001534FB"/>
    <w:rsid w:val="00157708"/>
    <w:rsid w:val="0016033C"/>
    <w:rsid w:val="00164686"/>
    <w:rsid w:val="00165287"/>
    <w:rsid w:val="00166843"/>
    <w:rsid w:val="00167B46"/>
    <w:rsid w:val="0017056B"/>
    <w:rsid w:val="00172AF6"/>
    <w:rsid w:val="00175B01"/>
    <w:rsid w:val="00176CEE"/>
    <w:rsid w:val="001776E0"/>
    <w:rsid w:val="00177FD0"/>
    <w:rsid w:val="00180269"/>
    <w:rsid w:val="00181ECF"/>
    <w:rsid w:val="00186DD8"/>
    <w:rsid w:val="00190165"/>
    <w:rsid w:val="0019037D"/>
    <w:rsid w:val="001976AE"/>
    <w:rsid w:val="00197ABB"/>
    <w:rsid w:val="001A2378"/>
    <w:rsid w:val="001A2AA7"/>
    <w:rsid w:val="001A56DF"/>
    <w:rsid w:val="001A5AD4"/>
    <w:rsid w:val="001A6429"/>
    <w:rsid w:val="001A6863"/>
    <w:rsid w:val="001A7CFE"/>
    <w:rsid w:val="001B13FE"/>
    <w:rsid w:val="001B1EEA"/>
    <w:rsid w:val="001B4DEB"/>
    <w:rsid w:val="001C3914"/>
    <w:rsid w:val="001C43EC"/>
    <w:rsid w:val="001C6438"/>
    <w:rsid w:val="001D747E"/>
    <w:rsid w:val="001E0C19"/>
    <w:rsid w:val="001E28F4"/>
    <w:rsid w:val="001E47CA"/>
    <w:rsid w:val="001E539F"/>
    <w:rsid w:val="001E7543"/>
    <w:rsid w:val="001E7912"/>
    <w:rsid w:val="001F48B8"/>
    <w:rsid w:val="001F5025"/>
    <w:rsid w:val="001F5C99"/>
    <w:rsid w:val="001F72B4"/>
    <w:rsid w:val="00202B1D"/>
    <w:rsid w:val="00202E2A"/>
    <w:rsid w:val="00204FD0"/>
    <w:rsid w:val="00205323"/>
    <w:rsid w:val="00207DA9"/>
    <w:rsid w:val="00214C52"/>
    <w:rsid w:val="0021551A"/>
    <w:rsid w:val="00217293"/>
    <w:rsid w:val="00221D3E"/>
    <w:rsid w:val="00222D80"/>
    <w:rsid w:val="00222E57"/>
    <w:rsid w:val="0022525A"/>
    <w:rsid w:val="0022739C"/>
    <w:rsid w:val="00230623"/>
    <w:rsid w:val="00232A43"/>
    <w:rsid w:val="002339F2"/>
    <w:rsid w:val="00241CF7"/>
    <w:rsid w:val="00243322"/>
    <w:rsid w:val="00243495"/>
    <w:rsid w:val="00246BDA"/>
    <w:rsid w:val="0024794B"/>
    <w:rsid w:val="00247C3A"/>
    <w:rsid w:val="00250F42"/>
    <w:rsid w:val="0025132E"/>
    <w:rsid w:val="002634FE"/>
    <w:rsid w:val="002645EF"/>
    <w:rsid w:val="0026598F"/>
    <w:rsid w:val="0026656F"/>
    <w:rsid w:val="00266C57"/>
    <w:rsid w:val="0026715A"/>
    <w:rsid w:val="00267575"/>
    <w:rsid w:val="00271035"/>
    <w:rsid w:val="00271BC8"/>
    <w:rsid w:val="0027256B"/>
    <w:rsid w:val="00275899"/>
    <w:rsid w:val="0028022C"/>
    <w:rsid w:val="00280843"/>
    <w:rsid w:val="00280F48"/>
    <w:rsid w:val="00280F63"/>
    <w:rsid w:val="00282EF1"/>
    <w:rsid w:val="00283DC3"/>
    <w:rsid w:val="00283FE6"/>
    <w:rsid w:val="0028766A"/>
    <w:rsid w:val="00287E13"/>
    <w:rsid w:val="002907CD"/>
    <w:rsid w:val="00290C62"/>
    <w:rsid w:val="002933B5"/>
    <w:rsid w:val="0029398F"/>
    <w:rsid w:val="002955D6"/>
    <w:rsid w:val="002A01F6"/>
    <w:rsid w:val="002A2C32"/>
    <w:rsid w:val="002A5219"/>
    <w:rsid w:val="002A777A"/>
    <w:rsid w:val="002A7C4E"/>
    <w:rsid w:val="002B0FB4"/>
    <w:rsid w:val="002B3ED6"/>
    <w:rsid w:val="002C0E76"/>
    <w:rsid w:val="002C3A21"/>
    <w:rsid w:val="002C5762"/>
    <w:rsid w:val="002C622C"/>
    <w:rsid w:val="002D0C5C"/>
    <w:rsid w:val="002D55F1"/>
    <w:rsid w:val="002D5D26"/>
    <w:rsid w:val="002D60B6"/>
    <w:rsid w:val="002E093A"/>
    <w:rsid w:val="002F028B"/>
    <w:rsid w:val="002F77AD"/>
    <w:rsid w:val="002F7879"/>
    <w:rsid w:val="0030169D"/>
    <w:rsid w:val="00302C53"/>
    <w:rsid w:val="003060EB"/>
    <w:rsid w:val="00311FFD"/>
    <w:rsid w:val="00312D98"/>
    <w:rsid w:val="003153EB"/>
    <w:rsid w:val="00315A97"/>
    <w:rsid w:val="00321985"/>
    <w:rsid w:val="00323709"/>
    <w:rsid w:val="00323E23"/>
    <w:rsid w:val="00325605"/>
    <w:rsid w:val="0032611D"/>
    <w:rsid w:val="00330C8A"/>
    <w:rsid w:val="00333FC6"/>
    <w:rsid w:val="003405EA"/>
    <w:rsid w:val="0034395E"/>
    <w:rsid w:val="00343E3E"/>
    <w:rsid w:val="00343FE4"/>
    <w:rsid w:val="003465FE"/>
    <w:rsid w:val="00350B02"/>
    <w:rsid w:val="00351205"/>
    <w:rsid w:val="003575AD"/>
    <w:rsid w:val="00357A35"/>
    <w:rsid w:val="003605AB"/>
    <w:rsid w:val="0036171E"/>
    <w:rsid w:val="00364A2C"/>
    <w:rsid w:val="00364BC3"/>
    <w:rsid w:val="003717D7"/>
    <w:rsid w:val="00371A7E"/>
    <w:rsid w:val="00372F74"/>
    <w:rsid w:val="00376786"/>
    <w:rsid w:val="003770C8"/>
    <w:rsid w:val="00382446"/>
    <w:rsid w:val="0038258F"/>
    <w:rsid w:val="00385985"/>
    <w:rsid w:val="00387360"/>
    <w:rsid w:val="00390F4E"/>
    <w:rsid w:val="00391C72"/>
    <w:rsid w:val="00394D9B"/>
    <w:rsid w:val="00396CA4"/>
    <w:rsid w:val="0039772E"/>
    <w:rsid w:val="00397FD0"/>
    <w:rsid w:val="003A4B56"/>
    <w:rsid w:val="003A6320"/>
    <w:rsid w:val="003A6F5E"/>
    <w:rsid w:val="003A7D09"/>
    <w:rsid w:val="003B21FB"/>
    <w:rsid w:val="003C2941"/>
    <w:rsid w:val="003C50B3"/>
    <w:rsid w:val="003D34A2"/>
    <w:rsid w:val="003E0210"/>
    <w:rsid w:val="003E10D5"/>
    <w:rsid w:val="003E1C02"/>
    <w:rsid w:val="003E2B94"/>
    <w:rsid w:val="003E56E2"/>
    <w:rsid w:val="003E7F77"/>
    <w:rsid w:val="003F5590"/>
    <w:rsid w:val="003F7224"/>
    <w:rsid w:val="0040098E"/>
    <w:rsid w:val="00401342"/>
    <w:rsid w:val="00401A23"/>
    <w:rsid w:val="00402308"/>
    <w:rsid w:val="00402E9E"/>
    <w:rsid w:val="004036A6"/>
    <w:rsid w:val="004039B3"/>
    <w:rsid w:val="00405EEC"/>
    <w:rsid w:val="00412684"/>
    <w:rsid w:val="00412E76"/>
    <w:rsid w:val="0042281C"/>
    <w:rsid w:val="004248D8"/>
    <w:rsid w:val="0042574B"/>
    <w:rsid w:val="00426ACD"/>
    <w:rsid w:val="00427D21"/>
    <w:rsid w:val="00430CE4"/>
    <w:rsid w:val="00432C86"/>
    <w:rsid w:val="00437799"/>
    <w:rsid w:val="0044028D"/>
    <w:rsid w:val="00461F5E"/>
    <w:rsid w:val="00463C70"/>
    <w:rsid w:val="004640A0"/>
    <w:rsid w:val="004644C2"/>
    <w:rsid w:val="004666DF"/>
    <w:rsid w:val="004676C3"/>
    <w:rsid w:val="004677F9"/>
    <w:rsid w:val="00467F9C"/>
    <w:rsid w:val="00472BC3"/>
    <w:rsid w:val="0047522C"/>
    <w:rsid w:val="004758D4"/>
    <w:rsid w:val="00476F4F"/>
    <w:rsid w:val="0048243C"/>
    <w:rsid w:val="004829A0"/>
    <w:rsid w:val="004872C4"/>
    <w:rsid w:val="00487F98"/>
    <w:rsid w:val="00490BB7"/>
    <w:rsid w:val="00493D06"/>
    <w:rsid w:val="004A17D7"/>
    <w:rsid w:val="004A5400"/>
    <w:rsid w:val="004A5811"/>
    <w:rsid w:val="004B081C"/>
    <w:rsid w:val="004B3D1C"/>
    <w:rsid w:val="004B79EF"/>
    <w:rsid w:val="004B7F41"/>
    <w:rsid w:val="004C1D37"/>
    <w:rsid w:val="004C318F"/>
    <w:rsid w:val="004C6FFB"/>
    <w:rsid w:val="004D3499"/>
    <w:rsid w:val="004D577B"/>
    <w:rsid w:val="004E2EC6"/>
    <w:rsid w:val="004E5954"/>
    <w:rsid w:val="004E5A22"/>
    <w:rsid w:val="004E5B76"/>
    <w:rsid w:val="004F6217"/>
    <w:rsid w:val="004F69DC"/>
    <w:rsid w:val="004F7685"/>
    <w:rsid w:val="005009F8"/>
    <w:rsid w:val="0050364C"/>
    <w:rsid w:val="0051160A"/>
    <w:rsid w:val="00515099"/>
    <w:rsid w:val="0051659C"/>
    <w:rsid w:val="00523843"/>
    <w:rsid w:val="00523D7C"/>
    <w:rsid w:val="00525B9F"/>
    <w:rsid w:val="00526FF3"/>
    <w:rsid w:val="005276F3"/>
    <w:rsid w:val="005277ED"/>
    <w:rsid w:val="00534681"/>
    <w:rsid w:val="00537C5B"/>
    <w:rsid w:val="00541CFE"/>
    <w:rsid w:val="00544B5D"/>
    <w:rsid w:val="00557AAA"/>
    <w:rsid w:val="00563442"/>
    <w:rsid w:val="00564779"/>
    <w:rsid w:val="00565B42"/>
    <w:rsid w:val="005753AB"/>
    <w:rsid w:val="00575B2B"/>
    <w:rsid w:val="00581684"/>
    <w:rsid w:val="00582E27"/>
    <w:rsid w:val="00584278"/>
    <w:rsid w:val="00585592"/>
    <w:rsid w:val="00590F9D"/>
    <w:rsid w:val="005A0163"/>
    <w:rsid w:val="005A0279"/>
    <w:rsid w:val="005A1C97"/>
    <w:rsid w:val="005A4CB8"/>
    <w:rsid w:val="005B03F2"/>
    <w:rsid w:val="005B0F78"/>
    <w:rsid w:val="005B1A5E"/>
    <w:rsid w:val="005B5FC3"/>
    <w:rsid w:val="005C25E2"/>
    <w:rsid w:val="005C4CE6"/>
    <w:rsid w:val="005C5215"/>
    <w:rsid w:val="005D2C83"/>
    <w:rsid w:val="005D3BA3"/>
    <w:rsid w:val="005D6B1B"/>
    <w:rsid w:val="005E29B9"/>
    <w:rsid w:val="005F33EA"/>
    <w:rsid w:val="005F6B05"/>
    <w:rsid w:val="005F6F16"/>
    <w:rsid w:val="00606EA4"/>
    <w:rsid w:val="00607B87"/>
    <w:rsid w:val="00607E83"/>
    <w:rsid w:val="006122BA"/>
    <w:rsid w:val="0061555D"/>
    <w:rsid w:val="00615C01"/>
    <w:rsid w:val="00617267"/>
    <w:rsid w:val="00617935"/>
    <w:rsid w:val="00617E20"/>
    <w:rsid w:val="0062128A"/>
    <w:rsid w:val="006222D9"/>
    <w:rsid w:val="00626F54"/>
    <w:rsid w:val="00630CA6"/>
    <w:rsid w:val="00631D35"/>
    <w:rsid w:val="00633EC9"/>
    <w:rsid w:val="00640FF6"/>
    <w:rsid w:val="006413D8"/>
    <w:rsid w:val="006442C4"/>
    <w:rsid w:val="006457A1"/>
    <w:rsid w:val="0064621A"/>
    <w:rsid w:val="00651C5E"/>
    <w:rsid w:val="006531C0"/>
    <w:rsid w:val="00663928"/>
    <w:rsid w:val="00663BB8"/>
    <w:rsid w:val="0066578F"/>
    <w:rsid w:val="00665A8B"/>
    <w:rsid w:val="00665FD6"/>
    <w:rsid w:val="0066644E"/>
    <w:rsid w:val="0066647E"/>
    <w:rsid w:val="0066748C"/>
    <w:rsid w:val="00670F8E"/>
    <w:rsid w:val="00671C31"/>
    <w:rsid w:val="00673426"/>
    <w:rsid w:val="006741A4"/>
    <w:rsid w:val="006771AB"/>
    <w:rsid w:val="0068237B"/>
    <w:rsid w:val="00683B7A"/>
    <w:rsid w:val="00694B16"/>
    <w:rsid w:val="00695AA7"/>
    <w:rsid w:val="00697129"/>
    <w:rsid w:val="00697181"/>
    <w:rsid w:val="006A79F6"/>
    <w:rsid w:val="006B2290"/>
    <w:rsid w:val="006B7403"/>
    <w:rsid w:val="006D60DD"/>
    <w:rsid w:val="006D6983"/>
    <w:rsid w:val="006D7C0B"/>
    <w:rsid w:val="006E1F89"/>
    <w:rsid w:val="006E40C4"/>
    <w:rsid w:val="006E47AB"/>
    <w:rsid w:val="006E5C44"/>
    <w:rsid w:val="006E6032"/>
    <w:rsid w:val="006F122A"/>
    <w:rsid w:val="006F1B27"/>
    <w:rsid w:val="006F445F"/>
    <w:rsid w:val="006F5035"/>
    <w:rsid w:val="006F5C7A"/>
    <w:rsid w:val="00701A27"/>
    <w:rsid w:val="00702BC9"/>
    <w:rsid w:val="0070411D"/>
    <w:rsid w:val="0070416B"/>
    <w:rsid w:val="00704446"/>
    <w:rsid w:val="00705A16"/>
    <w:rsid w:val="00711F6F"/>
    <w:rsid w:val="00712D61"/>
    <w:rsid w:val="007176A8"/>
    <w:rsid w:val="00717D88"/>
    <w:rsid w:val="00720D70"/>
    <w:rsid w:val="0072402E"/>
    <w:rsid w:val="007271C7"/>
    <w:rsid w:val="00730D6B"/>
    <w:rsid w:val="0073127A"/>
    <w:rsid w:val="00733A08"/>
    <w:rsid w:val="0074314E"/>
    <w:rsid w:val="0074684A"/>
    <w:rsid w:val="007468CD"/>
    <w:rsid w:val="00747130"/>
    <w:rsid w:val="00747856"/>
    <w:rsid w:val="00750395"/>
    <w:rsid w:val="00750578"/>
    <w:rsid w:val="00752163"/>
    <w:rsid w:val="007547D8"/>
    <w:rsid w:val="00763184"/>
    <w:rsid w:val="00781EFD"/>
    <w:rsid w:val="007820AE"/>
    <w:rsid w:val="007826B6"/>
    <w:rsid w:val="00786056"/>
    <w:rsid w:val="00790C20"/>
    <w:rsid w:val="00791B91"/>
    <w:rsid w:val="007925DE"/>
    <w:rsid w:val="00793F4C"/>
    <w:rsid w:val="007942D3"/>
    <w:rsid w:val="00794CD1"/>
    <w:rsid w:val="007A2045"/>
    <w:rsid w:val="007A34DC"/>
    <w:rsid w:val="007A5615"/>
    <w:rsid w:val="007A7E47"/>
    <w:rsid w:val="007B2099"/>
    <w:rsid w:val="007B587F"/>
    <w:rsid w:val="007B6C09"/>
    <w:rsid w:val="007B7741"/>
    <w:rsid w:val="007C11D9"/>
    <w:rsid w:val="007C1B6D"/>
    <w:rsid w:val="007C365B"/>
    <w:rsid w:val="007C3B37"/>
    <w:rsid w:val="007C5415"/>
    <w:rsid w:val="007C5964"/>
    <w:rsid w:val="007C66B0"/>
    <w:rsid w:val="007C71EE"/>
    <w:rsid w:val="007C765F"/>
    <w:rsid w:val="007E09DA"/>
    <w:rsid w:val="007E0A78"/>
    <w:rsid w:val="007E1602"/>
    <w:rsid w:val="007E2A1E"/>
    <w:rsid w:val="007E3AC9"/>
    <w:rsid w:val="007E43B1"/>
    <w:rsid w:val="007F068A"/>
    <w:rsid w:val="007F682B"/>
    <w:rsid w:val="007F7CB7"/>
    <w:rsid w:val="0080115C"/>
    <w:rsid w:val="00804ABE"/>
    <w:rsid w:val="0080524A"/>
    <w:rsid w:val="00814F9F"/>
    <w:rsid w:val="008178B6"/>
    <w:rsid w:val="00822EFA"/>
    <w:rsid w:val="008245E7"/>
    <w:rsid w:val="00827B16"/>
    <w:rsid w:val="00830B57"/>
    <w:rsid w:val="008325A2"/>
    <w:rsid w:val="0083318A"/>
    <w:rsid w:val="008355F8"/>
    <w:rsid w:val="00840924"/>
    <w:rsid w:val="0084570D"/>
    <w:rsid w:val="00853A2F"/>
    <w:rsid w:val="00856E46"/>
    <w:rsid w:val="00864047"/>
    <w:rsid w:val="00865B74"/>
    <w:rsid w:val="00866D8D"/>
    <w:rsid w:val="00872350"/>
    <w:rsid w:val="00873B2B"/>
    <w:rsid w:val="00880F49"/>
    <w:rsid w:val="00882033"/>
    <w:rsid w:val="00883577"/>
    <w:rsid w:val="0088543B"/>
    <w:rsid w:val="0088653B"/>
    <w:rsid w:val="00887E4B"/>
    <w:rsid w:val="0089062A"/>
    <w:rsid w:val="00892F74"/>
    <w:rsid w:val="00892FE4"/>
    <w:rsid w:val="00895A75"/>
    <w:rsid w:val="008974F0"/>
    <w:rsid w:val="008A46BA"/>
    <w:rsid w:val="008A5A06"/>
    <w:rsid w:val="008A5DEA"/>
    <w:rsid w:val="008A6EA0"/>
    <w:rsid w:val="008B012A"/>
    <w:rsid w:val="008B2355"/>
    <w:rsid w:val="008B3CE2"/>
    <w:rsid w:val="008B6449"/>
    <w:rsid w:val="008C3616"/>
    <w:rsid w:val="008C4A43"/>
    <w:rsid w:val="008C5B4E"/>
    <w:rsid w:val="008D02DB"/>
    <w:rsid w:val="008D135E"/>
    <w:rsid w:val="008D6FDA"/>
    <w:rsid w:val="008D7652"/>
    <w:rsid w:val="008E1596"/>
    <w:rsid w:val="008E27AC"/>
    <w:rsid w:val="008F3168"/>
    <w:rsid w:val="008F3E0A"/>
    <w:rsid w:val="008F4E84"/>
    <w:rsid w:val="008F60D0"/>
    <w:rsid w:val="008F79FD"/>
    <w:rsid w:val="00900494"/>
    <w:rsid w:val="00906E17"/>
    <w:rsid w:val="00912F56"/>
    <w:rsid w:val="009137D9"/>
    <w:rsid w:val="00913BC2"/>
    <w:rsid w:val="0092131E"/>
    <w:rsid w:val="0092135D"/>
    <w:rsid w:val="009221FB"/>
    <w:rsid w:val="009243F5"/>
    <w:rsid w:val="00924457"/>
    <w:rsid w:val="00930BA1"/>
    <w:rsid w:val="0093169E"/>
    <w:rsid w:val="009369F4"/>
    <w:rsid w:val="00940F58"/>
    <w:rsid w:val="009420B6"/>
    <w:rsid w:val="009437F8"/>
    <w:rsid w:val="00945BDD"/>
    <w:rsid w:val="00945FB5"/>
    <w:rsid w:val="009470BE"/>
    <w:rsid w:val="009505C9"/>
    <w:rsid w:val="00950752"/>
    <w:rsid w:val="00950774"/>
    <w:rsid w:val="00954762"/>
    <w:rsid w:val="009566A9"/>
    <w:rsid w:val="00956CB0"/>
    <w:rsid w:val="009610D2"/>
    <w:rsid w:val="00961A9F"/>
    <w:rsid w:val="009641C9"/>
    <w:rsid w:val="00966424"/>
    <w:rsid w:val="00967389"/>
    <w:rsid w:val="00971112"/>
    <w:rsid w:val="0097540D"/>
    <w:rsid w:val="00981AF5"/>
    <w:rsid w:val="009824C5"/>
    <w:rsid w:val="009876C4"/>
    <w:rsid w:val="0098785B"/>
    <w:rsid w:val="00991AC4"/>
    <w:rsid w:val="0099588D"/>
    <w:rsid w:val="009A12E4"/>
    <w:rsid w:val="009A3E99"/>
    <w:rsid w:val="009B12E2"/>
    <w:rsid w:val="009B21EE"/>
    <w:rsid w:val="009B2D13"/>
    <w:rsid w:val="009B2E3E"/>
    <w:rsid w:val="009B30D3"/>
    <w:rsid w:val="009B474C"/>
    <w:rsid w:val="009B506F"/>
    <w:rsid w:val="009C0323"/>
    <w:rsid w:val="009C0446"/>
    <w:rsid w:val="009C2037"/>
    <w:rsid w:val="009C2DE6"/>
    <w:rsid w:val="009C788B"/>
    <w:rsid w:val="009D153F"/>
    <w:rsid w:val="009F604D"/>
    <w:rsid w:val="009F665A"/>
    <w:rsid w:val="00A06642"/>
    <w:rsid w:val="00A07AF2"/>
    <w:rsid w:val="00A10993"/>
    <w:rsid w:val="00A11285"/>
    <w:rsid w:val="00A131EC"/>
    <w:rsid w:val="00A15B36"/>
    <w:rsid w:val="00A214FC"/>
    <w:rsid w:val="00A22702"/>
    <w:rsid w:val="00A253A5"/>
    <w:rsid w:val="00A2688E"/>
    <w:rsid w:val="00A31911"/>
    <w:rsid w:val="00A34CD3"/>
    <w:rsid w:val="00A41636"/>
    <w:rsid w:val="00A42E38"/>
    <w:rsid w:val="00A45D45"/>
    <w:rsid w:val="00A6177B"/>
    <w:rsid w:val="00A63AEC"/>
    <w:rsid w:val="00A6694F"/>
    <w:rsid w:val="00A67EA3"/>
    <w:rsid w:val="00A70325"/>
    <w:rsid w:val="00A71C6B"/>
    <w:rsid w:val="00A74CAF"/>
    <w:rsid w:val="00A8073A"/>
    <w:rsid w:val="00A82BAB"/>
    <w:rsid w:val="00A94F35"/>
    <w:rsid w:val="00AA31FD"/>
    <w:rsid w:val="00AA4038"/>
    <w:rsid w:val="00AA4E6A"/>
    <w:rsid w:val="00AA6F92"/>
    <w:rsid w:val="00AB2F34"/>
    <w:rsid w:val="00AB5CDF"/>
    <w:rsid w:val="00AB6391"/>
    <w:rsid w:val="00AB6934"/>
    <w:rsid w:val="00AC5F87"/>
    <w:rsid w:val="00AC7D42"/>
    <w:rsid w:val="00AD244C"/>
    <w:rsid w:val="00AD548E"/>
    <w:rsid w:val="00AE07C1"/>
    <w:rsid w:val="00AE07D5"/>
    <w:rsid w:val="00AE3AB5"/>
    <w:rsid w:val="00AE4BB3"/>
    <w:rsid w:val="00AF02C6"/>
    <w:rsid w:val="00AF133E"/>
    <w:rsid w:val="00AF18B5"/>
    <w:rsid w:val="00AF2B76"/>
    <w:rsid w:val="00AF42DE"/>
    <w:rsid w:val="00B00707"/>
    <w:rsid w:val="00B1103F"/>
    <w:rsid w:val="00B11133"/>
    <w:rsid w:val="00B11DF7"/>
    <w:rsid w:val="00B143F6"/>
    <w:rsid w:val="00B15ABE"/>
    <w:rsid w:val="00B167D3"/>
    <w:rsid w:val="00B21985"/>
    <w:rsid w:val="00B25EE3"/>
    <w:rsid w:val="00B30D3C"/>
    <w:rsid w:val="00B3369F"/>
    <w:rsid w:val="00B34F7A"/>
    <w:rsid w:val="00B36041"/>
    <w:rsid w:val="00B36CDD"/>
    <w:rsid w:val="00B50864"/>
    <w:rsid w:val="00B511DF"/>
    <w:rsid w:val="00B5749F"/>
    <w:rsid w:val="00B578B3"/>
    <w:rsid w:val="00B61636"/>
    <w:rsid w:val="00B66C4D"/>
    <w:rsid w:val="00B70197"/>
    <w:rsid w:val="00B73081"/>
    <w:rsid w:val="00B7419C"/>
    <w:rsid w:val="00B75CBC"/>
    <w:rsid w:val="00B80659"/>
    <w:rsid w:val="00B80772"/>
    <w:rsid w:val="00B80B5E"/>
    <w:rsid w:val="00B83893"/>
    <w:rsid w:val="00B83C43"/>
    <w:rsid w:val="00B87C8F"/>
    <w:rsid w:val="00B90C64"/>
    <w:rsid w:val="00B928FA"/>
    <w:rsid w:val="00B93789"/>
    <w:rsid w:val="00B94E6C"/>
    <w:rsid w:val="00B955C5"/>
    <w:rsid w:val="00B971AD"/>
    <w:rsid w:val="00BA201B"/>
    <w:rsid w:val="00BA2191"/>
    <w:rsid w:val="00BA269C"/>
    <w:rsid w:val="00BA2BF1"/>
    <w:rsid w:val="00BA570B"/>
    <w:rsid w:val="00BB1159"/>
    <w:rsid w:val="00BB2D63"/>
    <w:rsid w:val="00BB4606"/>
    <w:rsid w:val="00BB4658"/>
    <w:rsid w:val="00BB7FC1"/>
    <w:rsid w:val="00BC0048"/>
    <w:rsid w:val="00BC08F4"/>
    <w:rsid w:val="00BC1934"/>
    <w:rsid w:val="00BC24DD"/>
    <w:rsid w:val="00BC4F33"/>
    <w:rsid w:val="00BC79E2"/>
    <w:rsid w:val="00BC7B4C"/>
    <w:rsid w:val="00BD0429"/>
    <w:rsid w:val="00BD48FB"/>
    <w:rsid w:val="00BE0C71"/>
    <w:rsid w:val="00BE7A48"/>
    <w:rsid w:val="00BF3D93"/>
    <w:rsid w:val="00BF58AC"/>
    <w:rsid w:val="00BF78CA"/>
    <w:rsid w:val="00C13090"/>
    <w:rsid w:val="00C20430"/>
    <w:rsid w:val="00C2057C"/>
    <w:rsid w:val="00C20F6C"/>
    <w:rsid w:val="00C2106D"/>
    <w:rsid w:val="00C2218B"/>
    <w:rsid w:val="00C23BF7"/>
    <w:rsid w:val="00C23D2F"/>
    <w:rsid w:val="00C24279"/>
    <w:rsid w:val="00C31665"/>
    <w:rsid w:val="00C32F86"/>
    <w:rsid w:val="00C43529"/>
    <w:rsid w:val="00C443BD"/>
    <w:rsid w:val="00C451C5"/>
    <w:rsid w:val="00C546B2"/>
    <w:rsid w:val="00C546FD"/>
    <w:rsid w:val="00C571F7"/>
    <w:rsid w:val="00C6157E"/>
    <w:rsid w:val="00C65693"/>
    <w:rsid w:val="00C71237"/>
    <w:rsid w:val="00C75F51"/>
    <w:rsid w:val="00C8123D"/>
    <w:rsid w:val="00C8251F"/>
    <w:rsid w:val="00C82C11"/>
    <w:rsid w:val="00C83D72"/>
    <w:rsid w:val="00C84259"/>
    <w:rsid w:val="00C86061"/>
    <w:rsid w:val="00C9050F"/>
    <w:rsid w:val="00C9161D"/>
    <w:rsid w:val="00C91C8D"/>
    <w:rsid w:val="00C92C4B"/>
    <w:rsid w:val="00C94DDB"/>
    <w:rsid w:val="00CA0C1D"/>
    <w:rsid w:val="00CA2383"/>
    <w:rsid w:val="00CA6546"/>
    <w:rsid w:val="00CB465C"/>
    <w:rsid w:val="00CB5384"/>
    <w:rsid w:val="00CC3E76"/>
    <w:rsid w:val="00CC4E33"/>
    <w:rsid w:val="00CD1F85"/>
    <w:rsid w:val="00CD7606"/>
    <w:rsid w:val="00CD7D5A"/>
    <w:rsid w:val="00CE09A1"/>
    <w:rsid w:val="00CE343F"/>
    <w:rsid w:val="00CE3CC4"/>
    <w:rsid w:val="00CE4687"/>
    <w:rsid w:val="00CE491B"/>
    <w:rsid w:val="00CE717C"/>
    <w:rsid w:val="00CE7AC7"/>
    <w:rsid w:val="00CF1848"/>
    <w:rsid w:val="00CF3F1F"/>
    <w:rsid w:val="00CF57E6"/>
    <w:rsid w:val="00CF777C"/>
    <w:rsid w:val="00D01D7E"/>
    <w:rsid w:val="00D06F3F"/>
    <w:rsid w:val="00D07EE9"/>
    <w:rsid w:val="00D12044"/>
    <w:rsid w:val="00D1284E"/>
    <w:rsid w:val="00D13BD5"/>
    <w:rsid w:val="00D1532D"/>
    <w:rsid w:val="00D16732"/>
    <w:rsid w:val="00D23A59"/>
    <w:rsid w:val="00D25BA9"/>
    <w:rsid w:val="00D32695"/>
    <w:rsid w:val="00D33EFC"/>
    <w:rsid w:val="00D347C1"/>
    <w:rsid w:val="00D36832"/>
    <w:rsid w:val="00D40DBC"/>
    <w:rsid w:val="00D428B5"/>
    <w:rsid w:val="00D44AD5"/>
    <w:rsid w:val="00D455A2"/>
    <w:rsid w:val="00D47CC7"/>
    <w:rsid w:val="00D54C17"/>
    <w:rsid w:val="00D576D9"/>
    <w:rsid w:val="00D61E2B"/>
    <w:rsid w:val="00D6212B"/>
    <w:rsid w:val="00D64A63"/>
    <w:rsid w:val="00D64EC4"/>
    <w:rsid w:val="00D66664"/>
    <w:rsid w:val="00D72499"/>
    <w:rsid w:val="00D72CE7"/>
    <w:rsid w:val="00D7402E"/>
    <w:rsid w:val="00D76A18"/>
    <w:rsid w:val="00D80849"/>
    <w:rsid w:val="00D82E8F"/>
    <w:rsid w:val="00D82F61"/>
    <w:rsid w:val="00D860D1"/>
    <w:rsid w:val="00D87E73"/>
    <w:rsid w:val="00D90594"/>
    <w:rsid w:val="00D94D15"/>
    <w:rsid w:val="00D96A2B"/>
    <w:rsid w:val="00DA1FA6"/>
    <w:rsid w:val="00DA2975"/>
    <w:rsid w:val="00DA4A2A"/>
    <w:rsid w:val="00DA4EF9"/>
    <w:rsid w:val="00DA537D"/>
    <w:rsid w:val="00DA5EB1"/>
    <w:rsid w:val="00DA666C"/>
    <w:rsid w:val="00DB74EB"/>
    <w:rsid w:val="00DC082A"/>
    <w:rsid w:val="00DC6744"/>
    <w:rsid w:val="00DC687F"/>
    <w:rsid w:val="00DC7366"/>
    <w:rsid w:val="00DD118C"/>
    <w:rsid w:val="00DD13FD"/>
    <w:rsid w:val="00DD33EF"/>
    <w:rsid w:val="00DD555F"/>
    <w:rsid w:val="00DD6E98"/>
    <w:rsid w:val="00DE00D1"/>
    <w:rsid w:val="00DE0746"/>
    <w:rsid w:val="00DE5690"/>
    <w:rsid w:val="00DE6EEF"/>
    <w:rsid w:val="00DF0D3B"/>
    <w:rsid w:val="00DF2F08"/>
    <w:rsid w:val="00DF4E87"/>
    <w:rsid w:val="00DF6AE8"/>
    <w:rsid w:val="00E03429"/>
    <w:rsid w:val="00E04478"/>
    <w:rsid w:val="00E04573"/>
    <w:rsid w:val="00E04726"/>
    <w:rsid w:val="00E056E5"/>
    <w:rsid w:val="00E103CB"/>
    <w:rsid w:val="00E127B9"/>
    <w:rsid w:val="00E12973"/>
    <w:rsid w:val="00E13264"/>
    <w:rsid w:val="00E14B74"/>
    <w:rsid w:val="00E15370"/>
    <w:rsid w:val="00E16DAE"/>
    <w:rsid w:val="00E17289"/>
    <w:rsid w:val="00E17BCD"/>
    <w:rsid w:val="00E231F9"/>
    <w:rsid w:val="00E263B7"/>
    <w:rsid w:val="00E272E8"/>
    <w:rsid w:val="00E32DB3"/>
    <w:rsid w:val="00E403DF"/>
    <w:rsid w:val="00E445A5"/>
    <w:rsid w:val="00E44DD9"/>
    <w:rsid w:val="00E6024D"/>
    <w:rsid w:val="00E66235"/>
    <w:rsid w:val="00E673D2"/>
    <w:rsid w:val="00E75253"/>
    <w:rsid w:val="00E80D2B"/>
    <w:rsid w:val="00E8126B"/>
    <w:rsid w:val="00E83C24"/>
    <w:rsid w:val="00E87078"/>
    <w:rsid w:val="00E87B3A"/>
    <w:rsid w:val="00E9088E"/>
    <w:rsid w:val="00E912DD"/>
    <w:rsid w:val="00E91791"/>
    <w:rsid w:val="00E9318D"/>
    <w:rsid w:val="00E96AE0"/>
    <w:rsid w:val="00EA1121"/>
    <w:rsid w:val="00EA1B7B"/>
    <w:rsid w:val="00EA7D61"/>
    <w:rsid w:val="00EB19CC"/>
    <w:rsid w:val="00EB3CB0"/>
    <w:rsid w:val="00EB6610"/>
    <w:rsid w:val="00EB6EB3"/>
    <w:rsid w:val="00EB758D"/>
    <w:rsid w:val="00EC1076"/>
    <w:rsid w:val="00EC207E"/>
    <w:rsid w:val="00EC3DA8"/>
    <w:rsid w:val="00EC3DCC"/>
    <w:rsid w:val="00ED13F3"/>
    <w:rsid w:val="00ED4555"/>
    <w:rsid w:val="00EE3EE9"/>
    <w:rsid w:val="00EF074D"/>
    <w:rsid w:val="00EF1FC8"/>
    <w:rsid w:val="00F02132"/>
    <w:rsid w:val="00F05315"/>
    <w:rsid w:val="00F058AC"/>
    <w:rsid w:val="00F062D4"/>
    <w:rsid w:val="00F075A8"/>
    <w:rsid w:val="00F11CAB"/>
    <w:rsid w:val="00F161F6"/>
    <w:rsid w:val="00F1775D"/>
    <w:rsid w:val="00F17E10"/>
    <w:rsid w:val="00F2369D"/>
    <w:rsid w:val="00F336BF"/>
    <w:rsid w:val="00F40EC7"/>
    <w:rsid w:val="00F41C6D"/>
    <w:rsid w:val="00F421A2"/>
    <w:rsid w:val="00F465E6"/>
    <w:rsid w:val="00F53193"/>
    <w:rsid w:val="00F5322B"/>
    <w:rsid w:val="00F538EC"/>
    <w:rsid w:val="00F55E7F"/>
    <w:rsid w:val="00F56EF9"/>
    <w:rsid w:val="00F642EE"/>
    <w:rsid w:val="00F6501C"/>
    <w:rsid w:val="00F65393"/>
    <w:rsid w:val="00F6586C"/>
    <w:rsid w:val="00F746E5"/>
    <w:rsid w:val="00F769FB"/>
    <w:rsid w:val="00F80246"/>
    <w:rsid w:val="00F81CD7"/>
    <w:rsid w:val="00F94774"/>
    <w:rsid w:val="00F96862"/>
    <w:rsid w:val="00F96E4E"/>
    <w:rsid w:val="00FA0B9C"/>
    <w:rsid w:val="00FA1FC3"/>
    <w:rsid w:val="00FA3AD5"/>
    <w:rsid w:val="00FA3E86"/>
    <w:rsid w:val="00FA4087"/>
    <w:rsid w:val="00FA609B"/>
    <w:rsid w:val="00FA65AF"/>
    <w:rsid w:val="00FA663B"/>
    <w:rsid w:val="00FA7F31"/>
    <w:rsid w:val="00FB60A6"/>
    <w:rsid w:val="00FC53DB"/>
    <w:rsid w:val="00FD0699"/>
    <w:rsid w:val="00FD21C5"/>
    <w:rsid w:val="00FD50EE"/>
    <w:rsid w:val="00FD54D8"/>
    <w:rsid w:val="00FD73B2"/>
    <w:rsid w:val="00FE08E8"/>
    <w:rsid w:val="00FE26BD"/>
    <w:rsid w:val="00FE4643"/>
    <w:rsid w:val="00FF0AC4"/>
    <w:rsid w:val="00FF3D8E"/>
    <w:rsid w:val="00FF7E9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C808"/>
  <w15:chartTrackingRefBased/>
  <w15:docId w15:val="{80556517-BB7A-4DC1-832A-E6A1799C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1C5"/>
    <w:pPr>
      <w:spacing w:after="0" w:line="240" w:lineRule="auto"/>
      <w:jc w:val="both"/>
    </w:pPr>
    <w:rPr>
      <w:rFonts w:ascii="Times New Roman" w:eastAsia="Times New Roman" w:hAnsi="Times New Roman" w:cs="Times New Roman"/>
      <w:szCs w:val="24"/>
    </w:rPr>
  </w:style>
  <w:style w:type="paragraph" w:styleId="Heading1">
    <w:name w:val="heading 1"/>
    <w:basedOn w:val="Normal"/>
    <w:next w:val="Heading2"/>
    <w:link w:val="Heading1Char"/>
    <w:qFormat/>
    <w:rsid w:val="008F79FD"/>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8F79FD"/>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8F79FD"/>
    <w:pPr>
      <w:keepNext/>
      <w:tabs>
        <w:tab w:val="left" w:pos="567"/>
      </w:tabs>
      <w:spacing w:before="120" w:after="120"/>
      <w:jc w:val="center"/>
      <w:outlineLvl w:val="2"/>
    </w:pPr>
    <w:rPr>
      <w:i/>
      <w:iCs/>
    </w:rPr>
  </w:style>
  <w:style w:type="paragraph" w:styleId="Heading4">
    <w:name w:val="heading 4"/>
    <w:basedOn w:val="Normal"/>
    <w:link w:val="Heading4Char"/>
    <w:qFormat/>
    <w:rsid w:val="008F79FD"/>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8F79FD"/>
    <w:pPr>
      <w:keepNext/>
      <w:numPr>
        <w:ilvl w:val="4"/>
        <w:numId w:val="33"/>
      </w:numPr>
      <w:spacing w:before="120" w:after="120"/>
      <w:jc w:val="left"/>
      <w:outlineLvl w:val="4"/>
    </w:pPr>
    <w:rPr>
      <w:bCs/>
      <w:i/>
      <w:szCs w:val="26"/>
    </w:rPr>
  </w:style>
  <w:style w:type="paragraph" w:styleId="Heading6">
    <w:name w:val="heading 6"/>
    <w:basedOn w:val="Normal"/>
    <w:next w:val="Normal"/>
    <w:link w:val="Heading6Char"/>
    <w:qFormat/>
    <w:rsid w:val="008F79FD"/>
    <w:pPr>
      <w:keepNext/>
      <w:spacing w:after="240" w:line="240" w:lineRule="exact"/>
      <w:ind w:left="720"/>
      <w:outlineLvl w:val="5"/>
    </w:pPr>
    <w:rPr>
      <w:u w:val="single"/>
    </w:rPr>
  </w:style>
  <w:style w:type="paragraph" w:styleId="Heading7">
    <w:name w:val="heading 7"/>
    <w:basedOn w:val="Normal"/>
    <w:next w:val="Normal"/>
    <w:link w:val="Heading7Char"/>
    <w:rsid w:val="008F79FD"/>
    <w:pPr>
      <w:keepNext/>
      <w:jc w:val="right"/>
      <w:outlineLvl w:val="6"/>
    </w:pPr>
    <w:rPr>
      <w:rFonts w:ascii="Univers" w:hAnsi="Univers"/>
      <w:b/>
      <w:sz w:val="28"/>
    </w:rPr>
  </w:style>
  <w:style w:type="paragraph" w:styleId="Heading8">
    <w:name w:val="heading 8"/>
    <w:basedOn w:val="Normal"/>
    <w:next w:val="Normal"/>
    <w:link w:val="Heading8Char"/>
    <w:qFormat/>
    <w:rsid w:val="008F79FD"/>
    <w:pPr>
      <w:keepNext/>
      <w:jc w:val="right"/>
      <w:outlineLvl w:val="7"/>
    </w:pPr>
    <w:rPr>
      <w:rFonts w:ascii="Univers" w:hAnsi="Univers"/>
      <w:b/>
      <w:sz w:val="32"/>
    </w:rPr>
  </w:style>
  <w:style w:type="paragraph" w:styleId="Heading9">
    <w:name w:val="heading 9"/>
    <w:basedOn w:val="Normal"/>
    <w:next w:val="Normal"/>
    <w:link w:val="Heading9Char"/>
    <w:rsid w:val="008F79F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9FD"/>
    <w:pPr>
      <w:ind w:left="720"/>
      <w:contextualSpacing/>
    </w:pPr>
  </w:style>
  <w:style w:type="character" w:styleId="CommentReference">
    <w:name w:val="annotation reference"/>
    <w:semiHidden/>
    <w:rsid w:val="008F79FD"/>
    <w:rPr>
      <w:sz w:val="16"/>
    </w:rPr>
  </w:style>
  <w:style w:type="paragraph" w:styleId="CommentText">
    <w:name w:val="annotation text"/>
    <w:basedOn w:val="Normal"/>
    <w:link w:val="CommentTextChar"/>
    <w:rsid w:val="00FD21C5"/>
    <w:pPr>
      <w:spacing w:after="120" w:line="240" w:lineRule="exact"/>
    </w:pPr>
  </w:style>
  <w:style w:type="character" w:customStyle="1" w:styleId="CommentTextChar">
    <w:name w:val="Comment Text Char"/>
    <w:basedOn w:val="DefaultParagraphFont"/>
    <w:link w:val="CommentText"/>
    <w:rsid w:val="008F79FD"/>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FD21C5"/>
    <w:rPr>
      <w:b/>
      <w:bCs/>
    </w:rPr>
  </w:style>
  <w:style w:type="character" w:customStyle="1" w:styleId="CommentSubjectChar">
    <w:name w:val="Comment Subject Char"/>
    <w:basedOn w:val="CommentTextChar"/>
    <w:link w:val="CommentSubject"/>
    <w:uiPriority w:val="99"/>
    <w:semiHidden/>
    <w:rsid w:val="00BF78CA"/>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8F7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9FD"/>
    <w:rPr>
      <w:rFonts w:ascii="Lucida Grande" w:eastAsia="Times New Roman" w:hAnsi="Lucida Grande" w:cs="Lucida Grande"/>
      <w:sz w:val="18"/>
      <w:szCs w:val="18"/>
    </w:rPr>
  </w:style>
  <w:style w:type="paragraph" w:styleId="Header">
    <w:name w:val="header"/>
    <w:basedOn w:val="Normal"/>
    <w:link w:val="HeaderChar"/>
    <w:rsid w:val="008F79FD"/>
    <w:pPr>
      <w:tabs>
        <w:tab w:val="center" w:pos="4320"/>
        <w:tab w:val="right" w:pos="8640"/>
      </w:tabs>
    </w:pPr>
  </w:style>
  <w:style w:type="character" w:customStyle="1" w:styleId="HeaderChar">
    <w:name w:val="Header Char"/>
    <w:basedOn w:val="DefaultParagraphFont"/>
    <w:link w:val="Header"/>
    <w:rsid w:val="008F79FD"/>
    <w:rPr>
      <w:rFonts w:ascii="Times New Roman" w:eastAsia="Times New Roman" w:hAnsi="Times New Roman" w:cs="Times New Roman"/>
      <w:szCs w:val="24"/>
    </w:rPr>
  </w:style>
  <w:style w:type="paragraph" w:styleId="Footer">
    <w:name w:val="footer"/>
    <w:basedOn w:val="Normal"/>
    <w:link w:val="FooterChar"/>
    <w:rsid w:val="008F79FD"/>
    <w:pPr>
      <w:tabs>
        <w:tab w:val="center" w:pos="4320"/>
        <w:tab w:val="right" w:pos="8640"/>
      </w:tabs>
      <w:ind w:firstLine="720"/>
      <w:jc w:val="right"/>
    </w:pPr>
  </w:style>
  <w:style w:type="character" w:customStyle="1" w:styleId="FooterChar">
    <w:name w:val="Footer Char"/>
    <w:basedOn w:val="DefaultParagraphFont"/>
    <w:link w:val="Footer"/>
    <w:rsid w:val="008F79FD"/>
    <w:rPr>
      <w:rFonts w:ascii="Times New Roman" w:eastAsia="Times New Roman" w:hAnsi="Times New Roman" w:cs="Times New Roman"/>
      <w:szCs w:val="24"/>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FD21C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8F79FD"/>
    <w:rPr>
      <w:rFonts w:ascii="Times New Roman" w:eastAsia="Times New Roman" w:hAnsi="Times New Roman" w:cs="Times New Roman"/>
      <w:sz w:val="18"/>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8F79FD"/>
    <w:rPr>
      <w:rFonts w:ascii="Calibri" w:eastAsiaTheme="minorEastAsia" w:hAnsi="Calibri"/>
      <w:szCs w:val="24"/>
      <w:vertAlign w:val="superscript"/>
    </w:rPr>
  </w:style>
  <w:style w:type="character" w:styleId="Strong">
    <w:name w:val="Strong"/>
    <w:basedOn w:val="DefaultParagraphFont"/>
    <w:uiPriority w:val="22"/>
    <w:qFormat/>
    <w:rsid w:val="006531C0"/>
    <w:rPr>
      <w:b/>
      <w:bCs/>
    </w:rPr>
  </w:style>
  <w:style w:type="character" w:customStyle="1" w:styleId="highlight">
    <w:name w:val="highlight"/>
    <w:basedOn w:val="DefaultParagraphFont"/>
    <w:rsid w:val="004A5400"/>
    <w:rPr>
      <w:rFonts w:ascii="Calibri" w:hAnsi="Calibri"/>
    </w:rPr>
  </w:style>
  <w:style w:type="paragraph" w:customStyle="1" w:styleId="Heading1longmultiline">
    <w:name w:val="Heading 1 (long multiline)"/>
    <w:basedOn w:val="Heading1"/>
    <w:rsid w:val="008F79FD"/>
    <w:pPr>
      <w:ind w:left="1843" w:hanging="1134"/>
      <w:jc w:val="left"/>
    </w:pPr>
  </w:style>
  <w:style w:type="character" w:customStyle="1" w:styleId="Heading1Char">
    <w:name w:val="Heading 1 Char"/>
    <w:basedOn w:val="DefaultParagraphFont"/>
    <w:link w:val="Heading1"/>
    <w:rsid w:val="008F79FD"/>
    <w:rPr>
      <w:rFonts w:ascii="Times New Roman" w:eastAsia="Times New Roman" w:hAnsi="Times New Roman" w:cs="Times New Roman"/>
      <w:b/>
      <w:caps/>
      <w:szCs w:val="24"/>
    </w:rPr>
  </w:style>
  <w:style w:type="table" w:customStyle="1" w:styleId="TableGrid1">
    <w:name w:val="Table Grid1"/>
    <w:basedOn w:val="TableNormal"/>
    <w:next w:val="TableGrid"/>
    <w:uiPriority w:val="59"/>
    <w:rsid w:val="001A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F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79FD"/>
    <w:rPr>
      <w:color w:val="808080"/>
    </w:rPr>
  </w:style>
  <w:style w:type="character" w:customStyle="1" w:styleId="Heading2Char">
    <w:name w:val="Heading 2 Char"/>
    <w:basedOn w:val="DefaultParagraphFont"/>
    <w:link w:val="Heading2"/>
    <w:rsid w:val="008F79FD"/>
    <w:rPr>
      <w:rFonts w:ascii="Times New Roman" w:eastAsia="Times New Roman" w:hAnsi="Times New Roman" w:cs="Times New Roman"/>
      <w:b/>
      <w:bCs/>
      <w:iCs/>
      <w:szCs w:val="24"/>
    </w:rPr>
  </w:style>
  <w:style w:type="character" w:customStyle="1" w:styleId="Heading2Char1">
    <w:name w:val="Heading 2 Char1"/>
    <w:basedOn w:val="DefaultParagraphFont"/>
    <w:uiPriority w:val="9"/>
    <w:semiHidden/>
    <w:rsid w:val="00BD0429"/>
    <w:rPr>
      <w:rFonts w:asciiTheme="majorHAnsi" w:eastAsiaTheme="majorEastAsia" w:hAnsiTheme="majorHAnsi" w:cstheme="majorBidi"/>
      <w:color w:val="365F91" w:themeColor="accent1" w:themeShade="BF"/>
      <w:sz w:val="26"/>
      <w:szCs w:val="26"/>
    </w:rPr>
  </w:style>
  <w:style w:type="paragraph" w:customStyle="1" w:styleId="Para1">
    <w:name w:val="Para1"/>
    <w:basedOn w:val="Normal"/>
    <w:link w:val="Para1Char"/>
    <w:rsid w:val="00FD21C5"/>
    <w:pPr>
      <w:numPr>
        <w:numId w:val="34"/>
      </w:numPr>
      <w:spacing w:before="120" w:after="120"/>
    </w:pPr>
    <w:rPr>
      <w:snapToGrid w:val="0"/>
      <w:szCs w:val="18"/>
    </w:rPr>
  </w:style>
  <w:style w:type="character" w:styleId="Hyperlink">
    <w:name w:val="Hyperlink"/>
    <w:rsid w:val="008F79FD"/>
    <w:rPr>
      <w:color w:val="0000FF"/>
      <w:sz w:val="18"/>
      <w:u w:val="single"/>
    </w:rPr>
  </w:style>
  <w:style w:type="character" w:styleId="UnresolvedMention">
    <w:name w:val="Unresolved Mention"/>
    <w:basedOn w:val="DefaultParagraphFont"/>
    <w:uiPriority w:val="99"/>
    <w:semiHidden/>
    <w:unhideWhenUsed/>
    <w:rsid w:val="00665FD6"/>
    <w:rPr>
      <w:color w:val="605E5C"/>
      <w:shd w:val="clear" w:color="auto" w:fill="E1DFDD"/>
    </w:rPr>
  </w:style>
  <w:style w:type="character" w:styleId="FollowedHyperlink">
    <w:name w:val="FollowedHyperlink"/>
    <w:rsid w:val="008F79FD"/>
    <w:rPr>
      <w:color w:val="800080"/>
      <w:u w:val="single"/>
    </w:rPr>
  </w:style>
  <w:style w:type="table" w:customStyle="1" w:styleId="TableGrid2">
    <w:name w:val="Table Grid2"/>
    <w:basedOn w:val="TableNormal"/>
    <w:next w:val="TableGrid"/>
    <w:uiPriority w:val="59"/>
    <w:rsid w:val="007E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79FD"/>
    <w:pPr>
      <w:spacing w:before="120" w:after="120"/>
      <w:ind w:firstLine="720"/>
    </w:pPr>
    <w:rPr>
      <w:iCs/>
    </w:rPr>
  </w:style>
  <w:style w:type="character" w:customStyle="1" w:styleId="BodyTextChar">
    <w:name w:val="Body Text Char"/>
    <w:basedOn w:val="DefaultParagraphFont"/>
    <w:link w:val="BodyText"/>
    <w:rsid w:val="008F79FD"/>
    <w:rPr>
      <w:rFonts w:ascii="Times New Roman" w:eastAsia="Times New Roman" w:hAnsi="Times New Roman" w:cs="Times New Roman"/>
      <w:iCs/>
      <w:szCs w:val="24"/>
    </w:rPr>
  </w:style>
  <w:style w:type="paragraph" w:styleId="BodyTextIndent">
    <w:name w:val="Body Text Indent"/>
    <w:basedOn w:val="Normal"/>
    <w:link w:val="BodyTextIndentChar"/>
    <w:rsid w:val="008F79FD"/>
    <w:pPr>
      <w:spacing w:before="120" w:after="120"/>
      <w:ind w:left="1440" w:hanging="720"/>
      <w:jc w:val="left"/>
    </w:pPr>
  </w:style>
  <w:style w:type="character" w:customStyle="1" w:styleId="BodyTextIndentChar">
    <w:name w:val="Body Text Indent Char"/>
    <w:basedOn w:val="DefaultParagraphFont"/>
    <w:link w:val="BodyTextIndent"/>
    <w:rsid w:val="008F79FD"/>
    <w:rPr>
      <w:rFonts w:ascii="Times New Roman" w:eastAsia="Times New Roman" w:hAnsi="Times New Roman" w:cs="Times New Roman"/>
      <w:szCs w:val="24"/>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F79FD"/>
    <w:pPr>
      <w:spacing w:after="160" w:line="240" w:lineRule="exact"/>
      <w:jc w:val="left"/>
    </w:pPr>
    <w:rPr>
      <w:rFonts w:asciiTheme="minorHAnsi" w:eastAsiaTheme="minorEastAsia" w:hAnsiTheme="minorHAnsi" w:cstheme="minorBidi"/>
      <w:vertAlign w:val="superscript"/>
    </w:rPr>
  </w:style>
  <w:style w:type="paragraph" w:styleId="Caption">
    <w:name w:val="caption"/>
    <w:basedOn w:val="Normal"/>
    <w:next w:val="Normal"/>
    <w:uiPriority w:val="35"/>
    <w:unhideWhenUsed/>
    <w:qFormat/>
    <w:rsid w:val="008F79FD"/>
    <w:pPr>
      <w:keepNext/>
      <w:keepLines/>
      <w:spacing w:after="200"/>
    </w:pPr>
    <w:rPr>
      <w:b/>
      <w:iCs/>
      <w:szCs w:val="18"/>
    </w:rPr>
  </w:style>
  <w:style w:type="paragraph" w:customStyle="1" w:styleId="CBD-Doc">
    <w:name w:val="CBD-Doc"/>
    <w:basedOn w:val="Normal"/>
    <w:rsid w:val="008F79FD"/>
    <w:pPr>
      <w:keepLines/>
      <w:numPr>
        <w:numId w:val="31"/>
      </w:numPr>
      <w:spacing w:after="120"/>
    </w:pPr>
    <w:rPr>
      <w:rFonts w:cs="Angsana New"/>
    </w:rPr>
  </w:style>
  <w:style w:type="paragraph" w:customStyle="1" w:styleId="CBD-Doc-Type">
    <w:name w:val="CBD-Doc-Type"/>
    <w:basedOn w:val="Normal"/>
    <w:rsid w:val="008F79FD"/>
    <w:pPr>
      <w:keepLines/>
      <w:spacing w:before="240" w:after="120"/>
    </w:pPr>
    <w:rPr>
      <w:rFonts w:cs="Angsana New"/>
      <w:b/>
      <w:i/>
      <w:sz w:val="24"/>
    </w:rPr>
  </w:style>
  <w:style w:type="paragraph" w:customStyle="1" w:styleId="CBD-Para">
    <w:name w:val="CBD-Para"/>
    <w:basedOn w:val="Normal"/>
    <w:link w:val="CBD-ParaCharChar"/>
    <w:uiPriority w:val="99"/>
    <w:rsid w:val="008F79FD"/>
    <w:pPr>
      <w:keepLines/>
      <w:numPr>
        <w:numId w:val="32"/>
      </w:numPr>
      <w:spacing w:before="120" w:after="120"/>
    </w:pPr>
    <w:rPr>
      <w:szCs w:val="22"/>
    </w:rPr>
  </w:style>
  <w:style w:type="character" w:customStyle="1" w:styleId="CBD-ParaCharChar">
    <w:name w:val="CBD-Para Char Char"/>
    <w:link w:val="CBD-Para"/>
    <w:uiPriority w:val="99"/>
    <w:locked/>
    <w:rsid w:val="008F79FD"/>
    <w:rPr>
      <w:rFonts w:ascii="Times New Roman" w:eastAsia="Times New Roman" w:hAnsi="Times New Roman" w:cs="Times New Roman"/>
    </w:rPr>
  </w:style>
  <w:style w:type="paragraph" w:customStyle="1" w:styleId="Cornernotation">
    <w:name w:val="Corner notation"/>
    <w:basedOn w:val="Normal"/>
    <w:rsid w:val="008F79FD"/>
    <w:pPr>
      <w:ind w:left="170" w:right="3119" w:hanging="170"/>
      <w:jc w:val="left"/>
    </w:pPr>
  </w:style>
  <w:style w:type="character" w:styleId="EndnoteReference">
    <w:name w:val="endnote reference"/>
    <w:semiHidden/>
    <w:rsid w:val="008F79FD"/>
    <w:rPr>
      <w:vertAlign w:val="superscript"/>
    </w:rPr>
  </w:style>
  <w:style w:type="paragraph" w:styleId="EndnoteText">
    <w:name w:val="endnote text"/>
    <w:basedOn w:val="Normal"/>
    <w:link w:val="EndnoteTextChar"/>
    <w:semiHidden/>
    <w:rsid w:val="008F79FD"/>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8F79FD"/>
    <w:rPr>
      <w:rFonts w:ascii="Courier New" w:eastAsia="Times New Roman" w:hAnsi="Courier New" w:cs="Times New Roman"/>
      <w:szCs w:val="24"/>
    </w:rPr>
  </w:style>
  <w:style w:type="paragraph" w:customStyle="1" w:styleId="HEADING">
    <w:name w:val="HEADING"/>
    <w:basedOn w:val="Normal"/>
    <w:rsid w:val="008F79FD"/>
    <w:pPr>
      <w:keepNext/>
      <w:spacing w:before="240" w:after="120"/>
      <w:jc w:val="center"/>
    </w:pPr>
    <w:rPr>
      <w:b/>
      <w:bCs/>
      <w:caps/>
    </w:rPr>
  </w:style>
  <w:style w:type="paragraph" w:customStyle="1" w:styleId="HEADINGNOTFORTOC">
    <w:name w:val="HEADING (NOT FOR TOC)"/>
    <w:basedOn w:val="Heading1"/>
    <w:next w:val="Heading2"/>
    <w:rsid w:val="008F79FD"/>
  </w:style>
  <w:style w:type="paragraph" w:customStyle="1" w:styleId="Heading1multiline">
    <w:name w:val="Heading 1 (multiline)"/>
    <w:basedOn w:val="Heading1"/>
    <w:rsid w:val="008F79FD"/>
    <w:pPr>
      <w:ind w:left="1843" w:right="996" w:hanging="567"/>
      <w:jc w:val="left"/>
    </w:pPr>
  </w:style>
  <w:style w:type="paragraph" w:customStyle="1" w:styleId="Heading2multiline">
    <w:name w:val="Heading 2 (multiline)"/>
    <w:basedOn w:val="Heading1"/>
    <w:next w:val="Normal"/>
    <w:rsid w:val="008F79FD"/>
    <w:pPr>
      <w:spacing w:before="120"/>
      <w:ind w:left="1843" w:right="998" w:hanging="567"/>
      <w:jc w:val="left"/>
    </w:pPr>
    <w:rPr>
      <w:i/>
      <w:iCs/>
      <w:caps w:val="0"/>
    </w:rPr>
  </w:style>
  <w:style w:type="paragraph" w:customStyle="1" w:styleId="Heading2longmultiline">
    <w:name w:val="Heading 2 (long multiline)"/>
    <w:basedOn w:val="Heading2multiline"/>
    <w:rsid w:val="008F79FD"/>
    <w:pPr>
      <w:ind w:left="2127" w:hanging="1276"/>
    </w:pPr>
  </w:style>
  <w:style w:type="character" w:customStyle="1" w:styleId="Heading3Char">
    <w:name w:val="Heading 3 Char"/>
    <w:basedOn w:val="DefaultParagraphFont"/>
    <w:link w:val="Heading3"/>
    <w:rsid w:val="008F79FD"/>
    <w:rPr>
      <w:rFonts w:ascii="Times New Roman" w:eastAsia="Times New Roman" w:hAnsi="Times New Roman" w:cs="Times New Roman"/>
      <w:i/>
      <w:iCs/>
      <w:szCs w:val="24"/>
    </w:rPr>
  </w:style>
  <w:style w:type="paragraph" w:customStyle="1" w:styleId="heading2notforTOC">
    <w:name w:val="heading 2 not for TOC"/>
    <w:basedOn w:val="Heading3"/>
    <w:rsid w:val="008F79FD"/>
  </w:style>
  <w:style w:type="paragraph" w:customStyle="1" w:styleId="Heading3multiline">
    <w:name w:val="Heading 3 (multiline)"/>
    <w:basedOn w:val="Heading3"/>
    <w:next w:val="Normal"/>
    <w:rsid w:val="008F79FD"/>
    <w:pPr>
      <w:ind w:left="1418" w:hanging="425"/>
      <w:jc w:val="left"/>
    </w:pPr>
  </w:style>
  <w:style w:type="character" w:customStyle="1" w:styleId="Heading4Char">
    <w:name w:val="Heading 4 Char"/>
    <w:basedOn w:val="DefaultParagraphFont"/>
    <w:link w:val="Heading4"/>
    <w:rsid w:val="008F79FD"/>
    <w:rPr>
      <w:rFonts w:ascii="Times New Roman Bold" w:eastAsia="Arial Unicode MS" w:hAnsi="Times New Roman Bold" w:cs="Arial"/>
      <w:b/>
      <w:bCs/>
      <w:i/>
      <w:szCs w:val="24"/>
    </w:rPr>
  </w:style>
  <w:style w:type="paragraph" w:customStyle="1" w:styleId="Heading4indent">
    <w:name w:val="Heading 4 indent"/>
    <w:basedOn w:val="Heading4"/>
    <w:rsid w:val="008F79FD"/>
    <w:pPr>
      <w:ind w:left="720"/>
      <w:outlineLvl w:val="9"/>
    </w:pPr>
    <w:rPr>
      <w:rFonts w:ascii="Times New Roman" w:hAnsi="Times New Roman"/>
    </w:rPr>
  </w:style>
  <w:style w:type="character" w:customStyle="1" w:styleId="Heading5Char">
    <w:name w:val="Heading 5 Char"/>
    <w:basedOn w:val="DefaultParagraphFont"/>
    <w:link w:val="Heading5"/>
    <w:rsid w:val="008F79FD"/>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8F79FD"/>
    <w:rPr>
      <w:rFonts w:ascii="Times New Roman" w:eastAsia="Times New Roman" w:hAnsi="Times New Roman" w:cs="Times New Roman"/>
      <w:szCs w:val="24"/>
      <w:u w:val="single"/>
    </w:rPr>
  </w:style>
  <w:style w:type="character" w:customStyle="1" w:styleId="Heading7Char">
    <w:name w:val="Heading 7 Char"/>
    <w:basedOn w:val="DefaultParagraphFont"/>
    <w:link w:val="Heading7"/>
    <w:rsid w:val="008F79FD"/>
    <w:rPr>
      <w:rFonts w:ascii="Univers" w:eastAsia="Times New Roman" w:hAnsi="Univers" w:cs="Times New Roman"/>
      <w:b/>
      <w:sz w:val="28"/>
      <w:szCs w:val="24"/>
    </w:rPr>
  </w:style>
  <w:style w:type="character" w:customStyle="1" w:styleId="Heading8Char">
    <w:name w:val="Heading 8 Char"/>
    <w:basedOn w:val="DefaultParagraphFont"/>
    <w:link w:val="Heading8"/>
    <w:rsid w:val="008F79FD"/>
    <w:rPr>
      <w:rFonts w:ascii="Univers" w:eastAsia="Times New Roman" w:hAnsi="Univers" w:cs="Times New Roman"/>
      <w:b/>
      <w:sz w:val="32"/>
      <w:szCs w:val="24"/>
    </w:rPr>
  </w:style>
  <w:style w:type="character" w:customStyle="1" w:styleId="Heading9Char">
    <w:name w:val="Heading 9 Char"/>
    <w:basedOn w:val="DefaultParagraphFont"/>
    <w:link w:val="Heading9"/>
    <w:rsid w:val="008F79FD"/>
    <w:rPr>
      <w:rFonts w:ascii="Times New Roman" w:eastAsia="Times New Roman" w:hAnsi="Times New Roman" w:cs="Times New Roman"/>
      <w:i/>
      <w:iCs/>
      <w:szCs w:val="24"/>
    </w:rPr>
  </w:style>
  <w:style w:type="paragraph" w:customStyle="1" w:styleId="meetingname">
    <w:name w:val="meeting name"/>
    <w:basedOn w:val="Normal"/>
    <w:qFormat/>
    <w:rsid w:val="008F79FD"/>
    <w:pPr>
      <w:ind w:left="142" w:right="4218" w:hanging="142"/>
    </w:pPr>
    <w:rPr>
      <w:caps/>
      <w:szCs w:val="22"/>
    </w:rPr>
  </w:style>
  <w:style w:type="character" w:styleId="PageNumber">
    <w:name w:val="page number"/>
    <w:rsid w:val="008F79FD"/>
    <w:rPr>
      <w:rFonts w:ascii="Times New Roman" w:hAnsi="Times New Roman"/>
      <w:sz w:val="22"/>
    </w:rPr>
  </w:style>
  <w:style w:type="character" w:customStyle="1" w:styleId="Para1Char">
    <w:name w:val="Para1 Char"/>
    <w:link w:val="Para1"/>
    <w:locked/>
    <w:rsid w:val="008F79FD"/>
    <w:rPr>
      <w:rFonts w:ascii="Times New Roman" w:eastAsia="Times New Roman" w:hAnsi="Times New Roman" w:cs="Times New Roman"/>
      <w:snapToGrid w:val="0"/>
      <w:szCs w:val="18"/>
    </w:rPr>
  </w:style>
  <w:style w:type="paragraph" w:customStyle="1" w:styleId="Para2">
    <w:name w:val="Para2"/>
    <w:basedOn w:val="Para1"/>
    <w:rsid w:val="008F79FD"/>
    <w:pPr>
      <w:numPr>
        <w:numId w:val="0"/>
      </w:numPr>
      <w:autoSpaceDE w:val="0"/>
      <w:autoSpaceDN w:val="0"/>
    </w:pPr>
  </w:style>
  <w:style w:type="paragraph" w:customStyle="1" w:styleId="Para3">
    <w:name w:val="Para3"/>
    <w:basedOn w:val="Normal"/>
    <w:rsid w:val="008F79FD"/>
    <w:pPr>
      <w:numPr>
        <w:ilvl w:val="3"/>
        <w:numId w:val="35"/>
      </w:numPr>
      <w:tabs>
        <w:tab w:val="left" w:pos="1980"/>
      </w:tabs>
      <w:spacing w:before="80" w:after="80"/>
    </w:pPr>
    <w:rPr>
      <w:szCs w:val="20"/>
    </w:rPr>
  </w:style>
  <w:style w:type="paragraph" w:customStyle="1" w:styleId="para4">
    <w:name w:val="para4"/>
    <w:basedOn w:val="Normal"/>
    <w:rsid w:val="008F79FD"/>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79F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79FD"/>
    <w:pPr>
      <w:spacing w:before="120" w:after="120"/>
      <w:ind w:left="720" w:right="720"/>
    </w:pPr>
    <w:rPr>
      <w:bCs/>
    </w:rPr>
  </w:style>
  <w:style w:type="paragraph" w:customStyle="1" w:styleId="recommendationheader">
    <w:name w:val="recommendation header"/>
    <w:basedOn w:val="Heading2"/>
    <w:qFormat/>
    <w:rsid w:val="008F79FD"/>
  </w:style>
  <w:style w:type="paragraph" w:customStyle="1" w:styleId="recommendationheaderlong">
    <w:name w:val="recommendation header long"/>
    <w:basedOn w:val="Heading2longmultiline"/>
    <w:qFormat/>
    <w:rsid w:val="008F79FD"/>
  </w:style>
  <w:style w:type="paragraph" w:customStyle="1" w:styleId="reference">
    <w:name w:val="reference"/>
    <w:basedOn w:val="Heading9"/>
    <w:qFormat/>
    <w:rsid w:val="008F79FD"/>
    <w:rPr>
      <w:i w:val="0"/>
      <w:sz w:val="18"/>
    </w:rPr>
  </w:style>
  <w:style w:type="character" w:customStyle="1" w:styleId="StyleFootnoteReferenceNounderline">
    <w:name w:val="Style Footnote Reference + No underline"/>
    <w:rsid w:val="008F79FD"/>
    <w:rPr>
      <w:sz w:val="18"/>
      <w:u w:val="none"/>
      <w:vertAlign w:val="baseline"/>
    </w:rPr>
  </w:style>
  <w:style w:type="paragraph" w:customStyle="1" w:styleId="Style1">
    <w:name w:val="Style1"/>
    <w:basedOn w:val="Heading2"/>
    <w:qFormat/>
    <w:rsid w:val="008F79FD"/>
    <w:rPr>
      <w:i/>
    </w:rPr>
  </w:style>
  <w:style w:type="paragraph" w:styleId="Subtitle">
    <w:name w:val="Subtitle"/>
    <w:basedOn w:val="Normal"/>
    <w:next w:val="Normal"/>
    <w:link w:val="SubtitleChar"/>
    <w:uiPriority w:val="11"/>
    <w:qFormat/>
    <w:rsid w:val="008F79F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8F79FD"/>
    <w:rPr>
      <w:rFonts w:asciiTheme="majorHAnsi" w:eastAsiaTheme="majorEastAsia" w:hAnsiTheme="majorHAnsi" w:cstheme="majorBidi"/>
      <w:i/>
      <w:iCs/>
      <w:color w:val="4F81BD" w:themeColor="accent1"/>
      <w:spacing w:val="15"/>
      <w:sz w:val="24"/>
      <w:szCs w:val="24"/>
    </w:rPr>
  </w:style>
  <w:style w:type="paragraph" w:customStyle="1" w:styleId="tabletitle">
    <w:name w:val="table title"/>
    <w:basedOn w:val="Heading2"/>
    <w:qFormat/>
    <w:rsid w:val="008F79FD"/>
    <w:pPr>
      <w:jc w:val="left"/>
      <w:outlineLvl w:val="9"/>
    </w:pPr>
    <w:rPr>
      <w:i/>
    </w:rPr>
  </w:style>
  <w:style w:type="paragraph" w:styleId="Title">
    <w:name w:val="Title"/>
    <w:basedOn w:val="Normal"/>
    <w:next w:val="Normal"/>
    <w:link w:val="TitleChar"/>
    <w:uiPriority w:val="10"/>
    <w:qFormat/>
    <w:rsid w:val="008F79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79F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8F79FD"/>
    <w:pPr>
      <w:spacing w:before="120"/>
    </w:pPr>
    <w:rPr>
      <w:rFonts w:cs="Arial"/>
      <w:b/>
      <w:bCs/>
      <w:sz w:val="24"/>
    </w:rPr>
  </w:style>
  <w:style w:type="paragraph" w:styleId="TOC1">
    <w:name w:val="toc 1"/>
    <w:basedOn w:val="Normal"/>
    <w:next w:val="Normal"/>
    <w:autoRedefine/>
    <w:semiHidden/>
    <w:rsid w:val="008F79FD"/>
    <w:pPr>
      <w:ind w:left="720" w:hanging="720"/>
    </w:pPr>
    <w:rPr>
      <w:caps/>
    </w:rPr>
  </w:style>
  <w:style w:type="paragraph" w:styleId="TOC2">
    <w:name w:val="toc 2"/>
    <w:basedOn w:val="Normal"/>
    <w:next w:val="Normal"/>
    <w:autoRedefine/>
    <w:semiHidden/>
    <w:rsid w:val="008F79FD"/>
    <w:pPr>
      <w:tabs>
        <w:tab w:val="right" w:leader="dot" w:pos="9356"/>
      </w:tabs>
      <w:ind w:left="1440" w:hanging="720"/>
    </w:pPr>
    <w:rPr>
      <w:noProof/>
      <w:szCs w:val="22"/>
    </w:rPr>
  </w:style>
  <w:style w:type="paragraph" w:styleId="TOC3">
    <w:name w:val="toc 3"/>
    <w:basedOn w:val="Normal"/>
    <w:next w:val="Normal"/>
    <w:autoRedefine/>
    <w:semiHidden/>
    <w:rsid w:val="008F79FD"/>
    <w:pPr>
      <w:ind w:left="2160" w:hanging="720"/>
    </w:pPr>
  </w:style>
  <w:style w:type="paragraph" w:styleId="TOC4">
    <w:name w:val="toc 4"/>
    <w:basedOn w:val="Normal"/>
    <w:next w:val="Normal"/>
    <w:autoRedefine/>
    <w:semiHidden/>
    <w:rsid w:val="008F79FD"/>
    <w:pPr>
      <w:spacing w:before="120" w:after="120"/>
      <w:ind w:left="660"/>
      <w:jc w:val="left"/>
    </w:pPr>
  </w:style>
  <w:style w:type="paragraph" w:styleId="TOC5">
    <w:name w:val="toc 5"/>
    <w:basedOn w:val="Normal"/>
    <w:next w:val="Normal"/>
    <w:autoRedefine/>
    <w:semiHidden/>
    <w:rsid w:val="008F79FD"/>
    <w:pPr>
      <w:spacing w:before="120" w:after="120"/>
      <w:ind w:left="880"/>
      <w:jc w:val="left"/>
    </w:pPr>
  </w:style>
  <w:style w:type="paragraph" w:styleId="TOC6">
    <w:name w:val="toc 6"/>
    <w:basedOn w:val="Normal"/>
    <w:next w:val="Normal"/>
    <w:autoRedefine/>
    <w:semiHidden/>
    <w:rsid w:val="008F79FD"/>
    <w:pPr>
      <w:spacing w:before="120" w:after="120"/>
      <w:ind w:left="1100"/>
      <w:jc w:val="left"/>
    </w:pPr>
  </w:style>
  <w:style w:type="paragraph" w:styleId="TOC7">
    <w:name w:val="toc 7"/>
    <w:basedOn w:val="Normal"/>
    <w:next w:val="Normal"/>
    <w:autoRedefine/>
    <w:semiHidden/>
    <w:rsid w:val="008F79FD"/>
    <w:pPr>
      <w:spacing w:before="120" w:after="120"/>
      <w:ind w:left="1320"/>
      <w:jc w:val="left"/>
    </w:pPr>
  </w:style>
  <w:style w:type="paragraph" w:styleId="TOC8">
    <w:name w:val="toc 8"/>
    <w:basedOn w:val="Normal"/>
    <w:next w:val="Normal"/>
    <w:autoRedefine/>
    <w:semiHidden/>
    <w:rsid w:val="008F79FD"/>
    <w:pPr>
      <w:spacing w:before="120" w:after="120"/>
      <w:ind w:left="1540"/>
      <w:jc w:val="left"/>
    </w:pPr>
  </w:style>
  <w:style w:type="paragraph" w:styleId="TOC9">
    <w:name w:val="toc 9"/>
    <w:basedOn w:val="Normal"/>
    <w:next w:val="Normal"/>
    <w:autoRedefine/>
    <w:semiHidden/>
    <w:rsid w:val="008F79FD"/>
    <w:pPr>
      <w:spacing w:before="120" w:after="120"/>
      <w:ind w:left="1760"/>
      <w:jc w:val="left"/>
    </w:pPr>
  </w:style>
  <w:style w:type="paragraph" w:styleId="Revision">
    <w:name w:val="Revision"/>
    <w:hidden/>
    <w:uiPriority w:val="99"/>
    <w:semiHidden/>
    <w:rsid w:val="00C546FD"/>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677">
      <w:bodyDiv w:val="1"/>
      <w:marLeft w:val="0"/>
      <w:marRight w:val="0"/>
      <w:marTop w:val="0"/>
      <w:marBottom w:val="0"/>
      <w:divBdr>
        <w:top w:val="none" w:sz="0" w:space="0" w:color="auto"/>
        <w:left w:val="none" w:sz="0" w:space="0" w:color="auto"/>
        <w:bottom w:val="none" w:sz="0" w:space="0" w:color="auto"/>
        <w:right w:val="none" w:sz="0" w:space="0" w:color="auto"/>
      </w:divBdr>
    </w:div>
    <w:div w:id="58989644">
      <w:bodyDiv w:val="1"/>
      <w:marLeft w:val="0"/>
      <w:marRight w:val="0"/>
      <w:marTop w:val="0"/>
      <w:marBottom w:val="0"/>
      <w:divBdr>
        <w:top w:val="none" w:sz="0" w:space="0" w:color="auto"/>
        <w:left w:val="none" w:sz="0" w:space="0" w:color="auto"/>
        <w:bottom w:val="none" w:sz="0" w:space="0" w:color="auto"/>
        <w:right w:val="none" w:sz="0" w:space="0" w:color="auto"/>
      </w:divBdr>
    </w:div>
    <w:div w:id="233439958">
      <w:bodyDiv w:val="1"/>
      <w:marLeft w:val="0"/>
      <w:marRight w:val="0"/>
      <w:marTop w:val="0"/>
      <w:marBottom w:val="0"/>
      <w:divBdr>
        <w:top w:val="none" w:sz="0" w:space="0" w:color="auto"/>
        <w:left w:val="none" w:sz="0" w:space="0" w:color="auto"/>
        <w:bottom w:val="none" w:sz="0" w:space="0" w:color="auto"/>
        <w:right w:val="none" w:sz="0" w:space="0" w:color="auto"/>
      </w:divBdr>
    </w:div>
    <w:div w:id="902790216">
      <w:bodyDiv w:val="1"/>
      <w:marLeft w:val="0"/>
      <w:marRight w:val="0"/>
      <w:marTop w:val="0"/>
      <w:marBottom w:val="0"/>
      <w:divBdr>
        <w:top w:val="none" w:sz="0" w:space="0" w:color="auto"/>
        <w:left w:val="none" w:sz="0" w:space="0" w:color="auto"/>
        <w:bottom w:val="none" w:sz="0" w:space="0" w:color="auto"/>
        <w:right w:val="none" w:sz="0" w:space="0" w:color="auto"/>
      </w:divBdr>
    </w:div>
    <w:div w:id="1057389158">
      <w:bodyDiv w:val="1"/>
      <w:marLeft w:val="0"/>
      <w:marRight w:val="0"/>
      <w:marTop w:val="0"/>
      <w:marBottom w:val="0"/>
      <w:divBdr>
        <w:top w:val="none" w:sz="0" w:space="0" w:color="auto"/>
        <w:left w:val="none" w:sz="0" w:space="0" w:color="auto"/>
        <w:bottom w:val="none" w:sz="0" w:space="0" w:color="auto"/>
        <w:right w:val="none" w:sz="0" w:space="0" w:color="auto"/>
      </w:divBdr>
    </w:div>
    <w:div w:id="1258056955">
      <w:bodyDiv w:val="1"/>
      <w:marLeft w:val="0"/>
      <w:marRight w:val="0"/>
      <w:marTop w:val="0"/>
      <w:marBottom w:val="0"/>
      <w:divBdr>
        <w:top w:val="none" w:sz="0" w:space="0" w:color="auto"/>
        <w:left w:val="none" w:sz="0" w:space="0" w:color="auto"/>
        <w:bottom w:val="none" w:sz="0" w:space="0" w:color="auto"/>
        <w:right w:val="none" w:sz="0" w:space="0" w:color="auto"/>
      </w:divBdr>
    </w:div>
    <w:div w:id="1465657676">
      <w:bodyDiv w:val="1"/>
      <w:marLeft w:val="0"/>
      <w:marRight w:val="0"/>
      <w:marTop w:val="0"/>
      <w:marBottom w:val="0"/>
      <w:divBdr>
        <w:top w:val="none" w:sz="0" w:space="0" w:color="auto"/>
        <w:left w:val="none" w:sz="0" w:space="0" w:color="auto"/>
        <w:bottom w:val="none" w:sz="0" w:space="0" w:color="auto"/>
        <w:right w:val="none" w:sz="0" w:space="0" w:color="auto"/>
      </w:divBdr>
    </w:div>
    <w:div w:id="1480614992">
      <w:bodyDiv w:val="1"/>
      <w:marLeft w:val="0"/>
      <w:marRight w:val="0"/>
      <w:marTop w:val="0"/>
      <w:marBottom w:val="0"/>
      <w:divBdr>
        <w:top w:val="none" w:sz="0" w:space="0" w:color="auto"/>
        <w:left w:val="none" w:sz="0" w:space="0" w:color="auto"/>
        <w:bottom w:val="none" w:sz="0" w:space="0" w:color="auto"/>
        <w:right w:val="none" w:sz="0" w:space="0" w:color="auto"/>
      </w:divBdr>
    </w:div>
    <w:div w:id="1952858419">
      <w:bodyDiv w:val="1"/>
      <w:marLeft w:val="0"/>
      <w:marRight w:val="0"/>
      <w:marTop w:val="0"/>
      <w:marBottom w:val="0"/>
      <w:divBdr>
        <w:top w:val="none" w:sz="0" w:space="0" w:color="auto"/>
        <w:left w:val="none" w:sz="0" w:space="0" w:color="auto"/>
        <w:bottom w:val="none" w:sz="0" w:space="0" w:color="auto"/>
        <w:right w:val="none" w:sz="0" w:space="0" w:color="auto"/>
      </w:divBdr>
    </w:div>
    <w:div w:id="20481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AA006806B442D0AD1F2355E0F5E50E"/>
        <w:category>
          <w:name w:val="General"/>
          <w:gallery w:val="placeholder"/>
        </w:category>
        <w:types>
          <w:type w:val="bbPlcHdr"/>
        </w:types>
        <w:behaviors>
          <w:behavior w:val="content"/>
        </w:behaviors>
        <w:guid w:val="{71AAC6AB-6061-498A-9D67-C5D78DE5856A}"/>
      </w:docPartPr>
      <w:docPartBody>
        <w:p w:rsidR="00814780" w:rsidRDefault="000C2715" w:rsidP="000C2715">
          <w:pPr>
            <w:pStyle w:val="E2AA006806B442D0AD1F2355E0F5E50E"/>
          </w:pPr>
          <w:r w:rsidRPr="006D0F48">
            <w:rPr>
              <w:rStyle w:val="PlaceholderText"/>
            </w:rPr>
            <w:t>[Subject]</w:t>
          </w:r>
        </w:p>
      </w:docPartBody>
    </w:docPart>
    <w:docPart>
      <w:docPartPr>
        <w:name w:val="996C540115DE44FCB7D29127AD839903"/>
        <w:category>
          <w:name w:val="General"/>
          <w:gallery w:val="placeholder"/>
        </w:category>
        <w:types>
          <w:type w:val="bbPlcHdr"/>
        </w:types>
        <w:behaviors>
          <w:behavior w:val="content"/>
        </w:behaviors>
        <w:guid w:val="{601505B1-6ACD-4EAE-A7E2-249405BFE68F}"/>
      </w:docPartPr>
      <w:docPartBody>
        <w:p w:rsidR="003A10A8" w:rsidRDefault="00B51886">
          <w:r w:rsidRPr="0042236B">
            <w:rPr>
              <w:rStyle w:val="PlaceholderText"/>
            </w:rPr>
            <w:t>[Title]</w:t>
          </w:r>
        </w:p>
      </w:docPartBody>
    </w:docPart>
    <w:docPart>
      <w:docPartPr>
        <w:name w:val="46CBDF5CE6364D01BEB293E548E3A54D"/>
        <w:category>
          <w:name w:val="General"/>
          <w:gallery w:val="placeholder"/>
        </w:category>
        <w:types>
          <w:type w:val="bbPlcHdr"/>
        </w:types>
        <w:behaviors>
          <w:behavior w:val="content"/>
        </w:behaviors>
        <w:guid w:val="{E3582BC3-D81E-4E02-9CE4-D4656339A543}"/>
      </w:docPartPr>
      <w:docPartBody>
        <w:p w:rsidR="003A10A8" w:rsidRDefault="00B51886" w:rsidP="00B51886">
          <w:pPr>
            <w:pStyle w:val="46CBDF5CE6364D01BEB293E548E3A54D"/>
          </w:pPr>
          <w:r w:rsidRPr="007E02EB">
            <w:rPr>
              <w:rStyle w:val="PlaceholderText"/>
            </w:rPr>
            <w:t>[Subject]</w:t>
          </w:r>
        </w:p>
      </w:docPartBody>
    </w:docPart>
    <w:docPart>
      <w:docPartPr>
        <w:name w:val="D1A058E1DDD849AE948955390D3A5AF0"/>
        <w:category>
          <w:name w:val="General"/>
          <w:gallery w:val="placeholder"/>
        </w:category>
        <w:types>
          <w:type w:val="bbPlcHdr"/>
        </w:types>
        <w:behaviors>
          <w:behavior w:val="content"/>
        </w:behaviors>
        <w:guid w:val="{0861286E-697D-414B-9D14-B31EE5272C3F}"/>
      </w:docPartPr>
      <w:docPartBody>
        <w:p w:rsidR="00A20813" w:rsidRDefault="00A85F80" w:rsidP="00A85F80">
          <w:pPr>
            <w:pStyle w:val="D1A058E1DDD849AE948955390D3A5AF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5"/>
    <w:rsid w:val="00034511"/>
    <w:rsid w:val="00046CA1"/>
    <w:rsid w:val="00085430"/>
    <w:rsid w:val="000C2715"/>
    <w:rsid w:val="00115AA6"/>
    <w:rsid w:val="00146740"/>
    <w:rsid w:val="001A5917"/>
    <w:rsid w:val="001A7672"/>
    <w:rsid w:val="00221447"/>
    <w:rsid w:val="00253004"/>
    <w:rsid w:val="003575E8"/>
    <w:rsid w:val="00367774"/>
    <w:rsid w:val="0036798D"/>
    <w:rsid w:val="003A10A8"/>
    <w:rsid w:val="00414E4C"/>
    <w:rsid w:val="00446E0F"/>
    <w:rsid w:val="00511677"/>
    <w:rsid w:val="00534E94"/>
    <w:rsid w:val="00560A14"/>
    <w:rsid w:val="00626950"/>
    <w:rsid w:val="00685B87"/>
    <w:rsid w:val="006C018F"/>
    <w:rsid w:val="006D7945"/>
    <w:rsid w:val="00730724"/>
    <w:rsid w:val="007C3A0C"/>
    <w:rsid w:val="007C55DB"/>
    <w:rsid w:val="00800977"/>
    <w:rsid w:val="00814780"/>
    <w:rsid w:val="008430E1"/>
    <w:rsid w:val="008467D3"/>
    <w:rsid w:val="00857B02"/>
    <w:rsid w:val="008D7C21"/>
    <w:rsid w:val="00906B8A"/>
    <w:rsid w:val="00961D3C"/>
    <w:rsid w:val="0097138E"/>
    <w:rsid w:val="00A20813"/>
    <w:rsid w:val="00A43594"/>
    <w:rsid w:val="00A44670"/>
    <w:rsid w:val="00A85F80"/>
    <w:rsid w:val="00AA1375"/>
    <w:rsid w:val="00AE04AF"/>
    <w:rsid w:val="00AF1DC0"/>
    <w:rsid w:val="00B01736"/>
    <w:rsid w:val="00B313E3"/>
    <w:rsid w:val="00B51886"/>
    <w:rsid w:val="00B70248"/>
    <w:rsid w:val="00B9401C"/>
    <w:rsid w:val="00BA43B0"/>
    <w:rsid w:val="00BA7978"/>
    <w:rsid w:val="00C035F5"/>
    <w:rsid w:val="00C623F6"/>
    <w:rsid w:val="00CF4B6F"/>
    <w:rsid w:val="00D31854"/>
    <w:rsid w:val="00D51C7D"/>
    <w:rsid w:val="00F429A4"/>
    <w:rsid w:val="00FA49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401C"/>
    <w:rPr>
      <w:color w:val="808080"/>
    </w:rPr>
  </w:style>
  <w:style w:type="paragraph" w:customStyle="1" w:styleId="E2AA006806B442D0AD1F2355E0F5E50E">
    <w:name w:val="E2AA006806B442D0AD1F2355E0F5E50E"/>
    <w:rsid w:val="000C2715"/>
  </w:style>
  <w:style w:type="paragraph" w:customStyle="1" w:styleId="46CBDF5CE6364D01BEB293E548E3A54D">
    <w:name w:val="46CBDF5CE6364D01BEB293E548E3A54D"/>
    <w:rsid w:val="00B51886"/>
  </w:style>
  <w:style w:type="paragraph" w:customStyle="1" w:styleId="D1A058E1DDD849AE948955390D3A5AF0">
    <w:name w:val="D1A058E1DDD849AE948955390D3A5AF0"/>
    <w:rsid w:val="00A85F80"/>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611C-1E13-4B21-90AB-530D4C6548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3A4C132-34B4-441A-92BE-BED2BDD6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62220-CEE2-40AE-875C-35EE1B8104E9}">
  <ds:schemaRefs>
    <ds:schemaRef ds:uri="http://schemas.microsoft.com/sharepoint/v3/contenttype/forms"/>
  </ds:schemaRefs>
</ds:datastoreItem>
</file>

<file path=customXml/itemProps6.xml><?xml version="1.0" encoding="utf-8"?>
<ds:datastoreItem xmlns:ds="http://schemas.openxmlformats.org/officeDocument/2006/customXml" ds:itemID="{02E17FCC-A5C9-46BD-90D9-E7CE5ED3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Specialized international access and benefit-sharing instruments in the context of Article 4, paragraph 4, of the Nagoya Protocol</vt:lpstr>
      <vt:lpstr/>
    </vt:vector>
  </TitlesOfParts>
  <Company>United Nations</Company>
  <LinksUpToDate>false</LinksUpToDate>
  <CharactersWithSpaces>6672</CharactersWithSpaces>
  <SharedDoc>false</SharedDoc>
  <HyperlinkBase>https://www.cbd.int/sbi/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CBD/SBI/REC/3/16</dc:subject>
  <dc:creator>SBI-3</dc:creator>
  <cp:keywords>Subsidiary Body on Implementation, third meeting, online, 16 May -13 June 2021</cp:keywords>
  <dc:description/>
  <cp:lastModifiedBy>Xue He Yan</cp:lastModifiedBy>
  <cp:revision>6</cp:revision>
  <cp:lastPrinted>2020-02-26T15:33:00Z</cp:lastPrinted>
  <dcterms:created xsi:type="dcterms:W3CDTF">2022-05-24T08:00:00Z</dcterms:created>
  <dcterms:modified xsi:type="dcterms:W3CDTF">2022-05-24T15:10:00Z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