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0925A9">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46B07F9A" w:rsidR="00C9161D" w:rsidRPr="00C9161D" w:rsidRDefault="00911C9F"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59559C5E" w:rsidR="00C9161D" w:rsidRPr="007B3D05" w:rsidRDefault="00584BA6" w:rsidP="00176CEE">
            <w:pPr>
              <w:ind w:left="1215"/>
              <w:rPr>
                <w:szCs w:val="22"/>
                <w:lang w:val="en-US"/>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911C9F" w:rsidRPr="007B3D05">
                  <w:rPr>
                    <w:lang w:val="en-US"/>
                  </w:rPr>
                  <w:t>CBD/SBI/</w:t>
                </w:r>
                <w:r w:rsidR="00911C9F">
                  <w:rPr>
                    <w:lang w:val="en-US"/>
                  </w:rPr>
                  <w:t>REC/3/17</w:t>
                </w:r>
              </w:sdtContent>
            </w:sdt>
          </w:p>
          <w:p w14:paraId="0DF1F033" w14:textId="45E05CC2" w:rsidR="00C9161D" w:rsidRPr="00911C9F" w:rsidRDefault="00BB12DD" w:rsidP="00176CEE">
            <w:pPr>
              <w:ind w:left="1215"/>
              <w:rPr>
                <w:szCs w:val="22"/>
                <w:lang w:val="en-US"/>
              </w:rPr>
            </w:pPr>
            <w:r w:rsidRPr="00911C9F">
              <w:rPr>
                <w:szCs w:val="22"/>
                <w:lang w:val="en-US"/>
              </w:rPr>
              <w:t>28</w:t>
            </w:r>
            <w:r w:rsidR="00FF6D53" w:rsidRPr="00911C9F">
              <w:rPr>
                <w:szCs w:val="22"/>
                <w:lang w:val="en-US"/>
              </w:rPr>
              <w:t xml:space="preserve"> </w:t>
            </w:r>
            <w:r w:rsidR="0078614A" w:rsidRPr="00911C9F">
              <w:rPr>
                <w:szCs w:val="22"/>
                <w:lang w:val="en-US"/>
              </w:rPr>
              <w:t>March</w:t>
            </w:r>
            <w:r w:rsidR="00F6586C" w:rsidRPr="00911C9F">
              <w:rPr>
                <w:szCs w:val="22"/>
                <w:lang w:val="en-US"/>
              </w:rPr>
              <w:t xml:space="preserve"> 20</w:t>
            </w:r>
            <w:r w:rsidR="00FF6D53" w:rsidRPr="00911C9F">
              <w:rPr>
                <w:szCs w:val="22"/>
                <w:lang w:val="en-US"/>
              </w:rPr>
              <w:t>2</w:t>
            </w:r>
            <w:r w:rsidR="008C56E3" w:rsidRPr="00911C9F">
              <w:rPr>
                <w:szCs w:val="22"/>
                <w:lang w:val="en-US"/>
              </w:rPr>
              <w:t>2</w:t>
            </w:r>
          </w:p>
          <w:p w14:paraId="159892DF" w14:textId="77777777" w:rsidR="00C9161D" w:rsidRPr="00911C9F" w:rsidRDefault="00C9161D" w:rsidP="00176CEE">
            <w:pPr>
              <w:ind w:left="1215"/>
              <w:rPr>
                <w:szCs w:val="22"/>
                <w:lang w:val="en-US"/>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545320C7" w14:textId="77777777" w:rsidR="00CE163A" w:rsidRPr="00853A7F" w:rsidRDefault="00CE163A" w:rsidP="00CE163A">
      <w:pPr>
        <w:pStyle w:val="meetingname"/>
        <w:ind w:left="284" w:right="4398" w:hanging="284"/>
        <w:rPr>
          <w:kern w:val="22"/>
        </w:rPr>
      </w:pPr>
      <w:bookmarkStart w:id="0" w:name="Meeting"/>
      <w:r w:rsidRPr="00853A7F">
        <w:rPr>
          <w:kern w:val="22"/>
        </w:rPr>
        <w:t>SUBSIDIARY BODY ON IMPLEMENTATION</w:t>
      </w:r>
      <w:bookmarkEnd w:id="0"/>
    </w:p>
    <w:p w14:paraId="141D5799" w14:textId="7913D219" w:rsidR="00CE163A" w:rsidRPr="00853A7F" w:rsidRDefault="00CE163A" w:rsidP="00CE163A">
      <w:pPr>
        <w:ind w:left="284" w:hanging="284"/>
        <w:jc w:val="left"/>
        <w:rPr>
          <w:snapToGrid w:val="0"/>
          <w:kern w:val="22"/>
          <w:szCs w:val="22"/>
          <w:lang w:eastAsia="nb-NO"/>
        </w:rPr>
      </w:pPr>
      <w:r w:rsidRPr="00853A7F">
        <w:rPr>
          <w:snapToGrid w:val="0"/>
          <w:kern w:val="22"/>
          <w:szCs w:val="22"/>
          <w:lang w:eastAsia="nb-NO"/>
        </w:rPr>
        <w:t>Third meeting</w:t>
      </w:r>
    </w:p>
    <w:p w14:paraId="77B520B6" w14:textId="77777777" w:rsidR="00C932D0" w:rsidRPr="000C6FB3" w:rsidRDefault="00C932D0" w:rsidP="00C932D0">
      <w:pPr>
        <w:ind w:left="426" w:hanging="426"/>
        <w:jc w:val="left"/>
        <w:rPr>
          <w:snapToGrid w:val="0"/>
          <w:kern w:val="22"/>
          <w:szCs w:val="22"/>
          <w:lang w:eastAsia="nb-NO"/>
        </w:rPr>
      </w:pPr>
      <w:r w:rsidRPr="000C6FB3">
        <w:rPr>
          <w:snapToGrid w:val="0"/>
          <w:kern w:val="22"/>
          <w:szCs w:val="22"/>
          <w:lang w:eastAsia="nb-NO"/>
        </w:rPr>
        <w:t>Online, 16 May-13 June 2021</w:t>
      </w:r>
      <w:r>
        <w:rPr>
          <w:snapToGrid w:val="0"/>
          <w:kern w:val="22"/>
          <w:szCs w:val="22"/>
          <w:lang w:eastAsia="nb-NO"/>
        </w:rPr>
        <w:t xml:space="preserve"> and</w:t>
      </w:r>
    </w:p>
    <w:p w14:paraId="5A7470BF" w14:textId="11EB95A4" w:rsidR="00BE7A85" w:rsidRPr="00554253" w:rsidRDefault="00554253" w:rsidP="00554253">
      <w:pPr>
        <w:suppressLineNumbers/>
        <w:suppressAutoHyphens/>
        <w:adjustRightInd w:val="0"/>
        <w:snapToGrid w:val="0"/>
        <w:rPr>
          <w:rFonts w:asciiTheme="majorBidi" w:hAnsiTheme="majorBidi" w:cstheme="majorBidi"/>
          <w:snapToGrid w:val="0"/>
          <w:kern w:val="22"/>
          <w:szCs w:val="22"/>
          <w:lang w:eastAsia="nb-NO"/>
        </w:rPr>
      </w:pPr>
      <w:r w:rsidRPr="007677FF">
        <w:rPr>
          <w:rFonts w:asciiTheme="majorBidi" w:hAnsiTheme="majorBidi" w:cstheme="majorBidi"/>
          <w:snapToGrid w:val="0"/>
          <w:kern w:val="22"/>
          <w:lang w:eastAsia="nb-NO"/>
        </w:rPr>
        <w:t>Geneva, Switzerland, 14-29 March 2022</w:t>
      </w:r>
    </w:p>
    <w:p w14:paraId="40162601" w14:textId="3047A0C7" w:rsidR="00BE7A85" w:rsidRPr="00C9161D" w:rsidRDefault="00453BCD" w:rsidP="00BE7A85">
      <w:r>
        <w:rPr>
          <w:snapToGrid w:val="0"/>
          <w:kern w:val="22"/>
          <w:szCs w:val="22"/>
        </w:rPr>
        <w:t>Agenda i</w:t>
      </w:r>
      <w:r w:rsidR="00BE7A85" w:rsidRPr="004B44DE">
        <w:rPr>
          <w:snapToGrid w:val="0"/>
          <w:kern w:val="22"/>
          <w:szCs w:val="22"/>
        </w:rPr>
        <w:t xml:space="preserve">tem </w:t>
      </w:r>
      <w:r w:rsidR="00BB12DD">
        <w:rPr>
          <w:snapToGrid w:val="0"/>
          <w:kern w:val="22"/>
          <w:szCs w:val="22"/>
        </w:rPr>
        <w:t>13</w:t>
      </w:r>
    </w:p>
    <w:p w14:paraId="57F6B7A1" w14:textId="3DAC2512" w:rsidR="00C9161D" w:rsidRDefault="00584BA6" w:rsidP="008C68C0">
      <w:pPr>
        <w:keepNext/>
        <w:spacing w:before="240" w:after="240"/>
        <w:jc w:val="center"/>
        <w:rPr>
          <w:b/>
          <w:caps/>
        </w:rPr>
      </w:pPr>
      <w:sdt>
        <w:sdtPr>
          <w:rPr>
            <w:b/>
            <w:bCs/>
            <w:caps/>
            <w:color w:val="000000"/>
            <w:szCs w:val="22"/>
            <w:bdr w:val="none" w:sz="0" w:space="0" w:color="auto" w:frame="1"/>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911C9F">
            <w:rPr>
              <w:b/>
              <w:bCs/>
              <w:caps/>
              <w:color w:val="000000"/>
              <w:szCs w:val="22"/>
              <w:bdr w:val="none" w:sz="0" w:space="0" w:color="auto" w:frame="1"/>
            </w:rPr>
            <w:t>RECOMMENDATION ADOPTED BY THE SUBSIDIARY BODY ON IMPLEMENTATION</w:t>
          </w:r>
        </w:sdtContent>
      </w:sdt>
      <w:r w:rsidR="00105372" w:rsidRPr="00105372">
        <w:rPr>
          <w:b/>
          <w:caps/>
        </w:rPr>
        <w:t xml:space="preserve"> </w:t>
      </w:r>
    </w:p>
    <w:p w14:paraId="753B7F74" w14:textId="22DDFA3D" w:rsidR="00C9161D" w:rsidRDefault="003953B6" w:rsidP="00C9161D">
      <w:pPr>
        <w:jc w:val="center"/>
        <w:rPr>
          <w:b/>
          <w:bCs/>
        </w:rPr>
      </w:pPr>
      <w:r>
        <w:rPr>
          <w:b/>
          <w:bCs/>
        </w:rPr>
        <w:t>3/17.</w:t>
      </w:r>
      <w:r w:rsidR="000A1EF6">
        <w:rPr>
          <w:b/>
          <w:bCs/>
        </w:rPr>
        <w:tab/>
      </w:r>
      <w:r w:rsidRPr="000A1EF6">
        <w:rPr>
          <w:b/>
          <w:bCs/>
        </w:rPr>
        <w:t>Global multilateral benefit-sharing mechanism (</w:t>
      </w:r>
      <w:r>
        <w:rPr>
          <w:b/>
          <w:bCs/>
        </w:rPr>
        <w:t>A</w:t>
      </w:r>
      <w:r w:rsidRPr="000A1EF6">
        <w:rPr>
          <w:b/>
          <w:bCs/>
        </w:rPr>
        <w:t xml:space="preserve">rticle 10 of the </w:t>
      </w:r>
      <w:r>
        <w:rPr>
          <w:b/>
          <w:bCs/>
        </w:rPr>
        <w:t>N</w:t>
      </w:r>
      <w:r w:rsidRPr="000A1EF6">
        <w:rPr>
          <w:b/>
          <w:bCs/>
        </w:rPr>
        <w:t xml:space="preserve">agoya </w:t>
      </w:r>
      <w:r>
        <w:rPr>
          <w:b/>
          <w:bCs/>
        </w:rPr>
        <w:t>P</w:t>
      </w:r>
      <w:r w:rsidRPr="000A1EF6">
        <w:rPr>
          <w:b/>
          <w:bCs/>
        </w:rPr>
        <w:t>rotocol)</w:t>
      </w:r>
    </w:p>
    <w:p w14:paraId="0B24186E" w14:textId="6038861C" w:rsidR="00BB12DD" w:rsidRPr="00BB12DD" w:rsidRDefault="00BB12DD" w:rsidP="00BB12DD">
      <w:pPr>
        <w:spacing w:before="120" w:after="120"/>
        <w:ind w:firstLine="720"/>
        <w:rPr>
          <w:snapToGrid w:val="0"/>
          <w:szCs w:val="22"/>
        </w:rPr>
      </w:pPr>
      <w:r w:rsidRPr="00BB12DD">
        <w:rPr>
          <w:i/>
          <w:snapToGrid w:val="0"/>
          <w:szCs w:val="22"/>
        </w:rPr>
        <w:t xml:space="preserve">The Subsidiary Body on </w:t>
      </w:r>
      <w:r w:rsidRPr="00BB12DD">
        <w:rPr>
          <w:i/>
          <w:iCs/>
          <w:snapToGrid w:val="0"/>
          <w:szCs w:val="22"/>
        </w:rPr>
        <w:t>Implementation</w:t>
      </w:r>
    </w:p>
    <w:p w14:paraId="02C9E711" w14:textId="77777777" w:rsidR="00BB12DD" w:rsidRPr="00BB12DD" w:rsidRDefault="00BB12DD" w:rsidP="00BB12DD">
      <w:pPr>
        <w:spacing w:before="120" w:after="120"/>
        <w:ind w:firstLine="720"/>
        <w:textAlignment w:val="baseline"/>
        <w:rPr>
          <w:szCs w:val="22"/>
          <w:lang w:eastAsia="en-CA"/>
        </w:rPr>
      </w:pPr>
      <w:r w:rsidRPr="00BB12DD">
        <w:rPr>
          <w:i/>
          <w:iCs/>
          <w:szCs w:val="22"/>
          <w:lang w:eastAsia="en-CA"/>
        </w:rPr>
        <w:t>Recommends</w:t>
      </w:r>
      <w:r w:rsidRPr="00BB12DD">
        <w:rPr>
          <w:szCs w:val="22"/>
          <w:lang w:eastAsia="en-CA"/>
        </w:rPr>
        <w:t xml:space="preserve"> that the Conference of the Parties serving as the meeting of the Parties to the Nagoya Protocol adopt a decision along the following lines:</w:t>
      </w:r>
    </w:p>
    <w:p w14:paraId="16B22602" w14:textId="77777777" w:rsidR="00BB12DD" w:rsidRPr="00BB12DD" w:rsidRDefault="00BB12DD" w:rsidP="00BB12DD">
      <w:pPr>
        <w:spacing w:before="120" w:after="120"/>
        <w:ind w:left="720" w:firstLine="720"/>
        <w:textAlignment w:val="baseline"/>
        <w:rPr>
          <w:iCs/>
          <w:szCs w:val="22"/>
          <w:lang w:eastAsia="en-CA"/>
        </w:rPr>
      </w:pPr>
      <w:r w:rsidRPr="00BB12DD">
        <w:rPr>
          <w:i/>
          <w:szCs w:val="22"/>
          <w:lang w:eastAsia="en-CA"/>
        </w:rPr>
        <w:t>The Conference of the Parties</w:t>
      </w:r>
      <w:r w:rsidRPr="00BB12DD">
        <w:rPr>
          <w:i/>
          <w:iCs/>
          <w:szCs w:val="22"/>
          <w:lang w:eastAsia="en-CA"/>
        </w:rPr>
        <w:t xml:space="preserve"> </w:t>
      </w:r>
      <w:r w:rsidRPr="00BB12DD">
        <w:rPr>
          <w:i/>
          <w:szCs w:val="22"/>
          <w:lang w:eastAsia="en-CA"/>
        </w:rPr>
        <w:t xml:space="preserve">serving as the meeting </w:t>
      </w:r>
      <w:r w:rsidRPr="00BB12DD">
        <w:rPr>
          <w:i/>
          <w:iCs/>
          <w:szCs w:val="22"/>
          <w:lang w:eastAsia="en-CA"/>
        </w:rPr>
        <w:t>of</w:t>
      </w:r>
      <w:r w:rsidRPr="00BB12DD">
        <w:rPr>
          <w:i/>
          <w:szCs w:val="22"/>
          <w:lang w:eastAsia="en-CA"/>
        </w:rPr>
        <w:t xml:space="preserve"> the Parties to the Nagoya Protocol</w:t>
      </w:r>
      <w:r w:rsidRPr="00BB12DD">
        <w:rPr>
          <w:iCs/>
          <w:szCs w:val="22"/>
          <w:lang w:eastAsia="en-CA"/>
        </w:rPr>
        <w:t>,</w:t>
      </w:r>
    </w:p>
    <w:p w14:paraId="4B68E25C"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i/>
          <w:iCs/>
          <w:snapToGrid w:val="0"/>
          <w:szCs w:val="22"/>
        </w:rPr>
        <w:t xml:space="preserve">[[[Recalling </w:t>
      </w:r>
      <w:r w:rsidRPr="00BB12DD">
        <w:rPr>
          <w:snapToGrid w:val="0"/>
          <w:szCs w:val="22"/>
        </w:rPr>
        <w:t xml:space="preserve">the </w:t>
      </w:r>
      <w:r w:rsidRPr="00BB12DD">
        <w:rPr>
          <w:iCs/>
          <w:snapToGrid w:val="0"/>
          <w:kern w:val="22"/>
          <w:szCs w:val="22"/>
        </w:rPr>
        <w:t>sovereign</w:t>
      </w:r>
      <w:r w:rsidRPr="00BB12DD">
        <w:rPr>
          <w:snapToGrid w:val="0"/>
          <w:szCs w:val="22"/>
        </w:rPr>
        <w:t xml:space="preserve"> rights of States over their natural resources and that the authority to determine access to genetic resources rests with the national Governments and is subject to national legislation, as recognized in Article 15, paragraph 1, of the Convention,</w:t>
      </w:r>
    </w:p>
    <w:p w14:paraId="11C0C6C8"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i/>
          <w:snapToGrid w:val="0"/>
          <w:szCs w:val="22"/>
        </w:rPr>
        <w:t>Recalling</w:t>
      </w:r>
      <w:r w:rsidRPr="00BB12DD">
        <w:rPr>
          <w:i/>
          <w:iCs/>
          <w:snapToGrid w:val="0"/>
          <w:szCs w:val="22"/>
        </w:rPr>
        <w:t xml:space="preserve"> </w:t>
      </w:r>
      <w:r w:rsidRPr="00BB12DD">
        <w:rPr>
          <w:i/>
          <w:snapToGrid w:val="0"/>
          <w:szCs w:val="22"/>
        </w:rPr>
        <w:t>also</w:t>
      </w:r>
      <w:r w:rsidRPr="00BB12DD">
        <w:rPr>
          <w:i/>
          <w:iCs/>
          <w:snapToGrid w:val="0"/>
          <w:szCs w:val="22"/>
        </w:rPr>
        <w:t xml:space="preserve"> </w:t>
      </w:r>
      <w:r w:rsidRPr="00BB12DD">
        <w:rPr>
          <w:snapToGrid w:val="0"/>
          <w:szCs w:val="22"/>
        </w:rPr>
        <w:t xml:space="preserve">the </w:t>
      </w:r>
      <w:r w:rsidRPr="00BB12DD">
        <w:rPr>
          <w:iCs/>
          <w:snapToGrid w:val="0"/>
          <w:kern w:val="22"/>
          <w:szCs w:val="22"/>
        </w:rPr>
        <w:t>objective</w:t>
      </w:r>
      <w:r w:rsidRPr="00BB12DD">
        <w:rPr>
          <w:snapToGrid w:val="0"/>
          <w:szCs w:val="22"/>
        </w:rPr>
        <w:t xml:space="preserve"> of the Nagoya Protocol,]</w:t>
      </w:r>
    </w:p>
    <w:p w14:paraId="2B969497"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snapToGrid w:val="0"/>
          <w:szCs w:val="22"/>
        </w:rPr>
        <w:t xml:space="preserve">[Alt. </w:t>
      </w:r>
      <w:r w:rsidRPr="00BB12DD">
        <w:rPr>
          <w:i/>
          <w:iCs/>
          <w:snapToGrid w:val="0"/>
          <w:szCs w:val="22"/>
        </w:rPr>
        <w:t>Recalling</w:t>
      </w:r>
      <w:r w:rsidRPr="00BB12DD">
        <w:rPr>
          <w:snapToGrid w:val="0"/>
          <w:szCs w:val="22"/>
        </w:rPr>
        <w:t xml:space="preserve"> Article 15 of the Convention and the objective of the Nagoya Protocol,]</w:t>
      </w:r>
    </w:p>
    <w:p w14:paraId="4ACF2598"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i/>
          <w:iCs/>
          <w:snapToGrid w:val="0"/>
          <w:szCs w:val="22"/>
        </w:rPr>
        <w:t>Recalling further</w:t>
      </w:r>
      <w:r w:rsidRPr="00BB12DD">
        <w:rPr>
          <w:snapToGrid w:val="0"/>
          <w:szCs w:val="22"/>
        </w:rPr>
        <w:t xml:space="preserve"> the recognition, as specified in the preamble to the Nagoya Protocol, of the requirement for an </w:t>
      </w:r>
      <w:r w:rsidRPr="00BB12DD">
        <w:rPr>
          <w:iCs/>
          <w:snapToGrid w:val="0"/>
          <w:kern w:val="22"/>
          <w:szCs w:val="22"/>
        </w:rPr>
        <w:t>innovative</w:t>
      </w:r>
      <w:r w:rsidRPr="00BB12DD">
        <w:rPr>
          <w:snapToGrid w:val="0"/>
          <w:szCs w:val="22"/>
        </w:rPr>
        <w:t xml:space="preserve"> solution to address the fair and equitable sharing of benefits derived from the utilization of genetic resources and traditional knowledge associated with genetic resources that occur in transboundary situations or for which it is not possible to grant or obtain prior informed consent,</w:t>
      </w:r>
    </w:p>
    <w:p w14:paraId="07E20FAA"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i/>
          <w:snapToGrid w:val="0"/>
          <w:szCs w:val="22"/>
        </w:rPr>
        <w:t>Recalling</w:t>
      </w:r>
      <w:r w:rsidRPr="00BB12DD">
        <w:rPr>
          <w:snapToGrid w:val="0"/>
          <w:szCs w:val="22"/>
        </w:rPr>
        <w:t xml:space="preserve"> Article 11 </w:t>
      </w:r>
      <w:r w:rsidRPr="00BB12DD">
        <w:rPr>
          <w:iCs/>
          <w:snapToGrid w:val="0"/>
          <w:kern w:val="22"/>
          <w:szCs w:val="22"/>
        </w:rPr>
        <w:t>of</w:t>
      </w:r>
      <w:r w:rsidRPr="00BB12DD">
        <w:rPr>
          <w:snapToGrid w:val="0"/>
          <w:szCs w:val="22"/>
        </w:rPr>
        <w:t xml:space="preserve"> the Nagoya Protocol, which requires Parties to endeavour to cooperate, as appropriate, in instances where the same genetic resources are found in transboundary situations and where the same traditional knowledge associated with genetic resources are shared by one or more indigenous peoples and local communities in several Parties, with a view to implementing the Protocol,</w:t>
      </w:r>
    </w:p>
    <w:p w14:paraId="067F9F43" w14:textId="737DBECE"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i/>
          <w:iCs/>
          <w:snapToGrid w:val="0"/>
          <w:szCs w:val="22"/>
        </w:rPr>
        <w:t xml:space="preserve">Emphasizing </w:t>
      </w:r>
      <w:r w:rsidRPr="00BB12DD">
        <w:rPr>
          <w:snapToGrid w:val="0"/>
          <w:szCs w:val="22"/>
        </w:rPr>
        <w:t>the need for all Parties to reinforce the effective implementation of the Nagoya Protocol to make it fully operational</w:t>
      </w:r>
      <w:r w:rsidR="005F5069">
        <w:rPr>
          <w:snapToGrid w:val="0"/>
          <w:szCs w:val="22"/>
        </w:rPr>
        <w:t>,</w:t>
      </w:r>
    </w:p>
    <w:p w14:paraId="690D9126"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i/>
          <w:iCs/>
          <w:snapToGrid w:val="0"/>
          <w:szCs w:val="22"/>
        </w:rPr>
        <w:t xml:space="preserve">[Determined </w:t>
      </w:r>
      <w:r w:rsidRPr="00BB12DD">
        <w:rPr>
          <w:snapToGrid w:val="0"/>
          <w:szCs w:val="22"/>
        </w:rPr>
        <w:t xml:space="preserve">to enhance </w:t>
      </w:r>
      <w:r w:rsidRPr="00BB12DD">
        <w:rPr>
          <w:iCs/>
          <w:snapToGrid w:val="0"/>
          <w:kern w:val="22"/>
          <w:szCs w:val="22"/>
        </w:rPr>
        <w:t>access</w:t>
      </w:r>
      <w:r w:rsidRPr="00BB12DD">
        <w:rPr>
          <w:snapToGrid w:val="0"/>
          <w:szCs w:val="22"/>
        </w:rPr>
        <w:t xml:space="preserve"> and benefit-sharing provisions and systems in order to contribute</w:t>
      </w:r>
      <w:r w:rsidRPr="00BB12DD">
        <w:rPr>
          <w:i/>
          <w:iCs/>
          <w:snapToGrid w:val="0"/>
          <w:szCs w:val="22"/>
        </w:rPr>
        <w:t xml:space="preserve"> </w:t>
      </w:r>
      <w:r w:rsidRPr="00BB12DD">
        <w:rPr>
          <w:snapToGrid w:val="0"/>
          <w:szCs w:val="22"/>
        </w:rPr>
        <w:t>to [create] an ambitious and transformative resource mobilization strategy for the post-2020 global biodiversity framework,]</w:t>
      </w:r>
    </w:p>
    <w:p w14:paraId="48864768"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i/>
          <w:iCs/>
          <w:snapToGrid w:val="0"/>
          <w:szCs w:val="22"/>
        </w:rPr>
        <w:t>[Further determined</w:t>
      </w:r>
      <w:r w:rsidRPr="00BB12DD">
        <w:rPr>
          <w:snapToGrid w:val="0"/>
          <w:szCs w:val="22"/>
        </w:rPr>
        <w:t xml:space="preserve"> to create a practical system to ensure fair and equitable sharing of the benefits arising from the use of digital sequence information on genetic resources and associated traditional knowledge,]]</w:t>
      </w:r>
    </w:p>
    <w:p w14:paraId="626E2A22"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snapToGrid w:val="0"/>
          <w:szCs w:val="22"/>
        </w:rPr>
        <w:t>1.</w:t>
      </w:r>
      <w:r w:rsidRPr="00BB12DD">
        <w:rPr>
          <w:snapToGrid w:val="0"/>
          <w:szCs w:val="22"/>
        </w:rPr>
        <w:tab/>
      </w:r>
      <w:r w:rsidRPr="00BB12DD">
        <w:rPr>
          <w:i/>
          <w:snapToGrid w:val="0"/>
          <w:szCs w:val="22"/>
        </w:rPr>
        <w:t>Takes note</w:t>
      </w:r>
      <w:r w:rsidRPr="00BB12DD">
        <w:rPr>
          <w:snapToGrid w:val="0"/>
          <w:szCs w:val="22"/>
        </w:rPr>
        <w:t xml:space="preserve"> of the submissions of views and information and the peer-reviewed study commissioned by the </w:t>
      </w:r>
      <w:r w:rsidRPr="00BB12DD">
        <w:rPr>
          <w:iCs/>
          <w:snapToGrid w:val="0"/>
          <w:kern w:val="22"/>
          <w:szCs w:val="22"/>
        </w:rPr>
        <w:t>Executive</w:t>
      </w:r>
      <w:r w:rsidRPr="00BB12DD">
        <w:rPr>
          <w:snapToGrid w:val="0"/>
          <w:szCs w:val="22"/>
        </w:rPr>
        <w:t xml:space="preserve"> Secretary to identify specific cases of genetic resources and </w:t>
      </w:r>
      <w:r w:rsidRPr="00BB12DD">
        <w:rPr>
          <w:snapToGrid w:val="0"/>
          <w:szCs w:val="22"/>
        </w:rPr>
        <w:lastRenderedPageBreak/>
        <w:t>traditional knowledge associated with genetic resources that occur in transboundary situations or for which it is not possible to grant or obtain prior informed consent;</w:t>
      </w:r>
      <w:r w:rsidRPr="00BB12DD">
        <w:rPr>
          <w:snapToGrid w:val="0"/>
          <w:szCs w:val="22"/>
          <w:vertAlign w:val="superscript"/>
        </w:rPr>
        <w:footnoteReference w:id="1"/>
      </w:r>
    </w:p>
    <w:p w14:paraId="375353E3"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snapToGrid w:val="0"/>
          <w:szCs w:val="22"/>
        </w:rPr>
        <w:t>[2.</w:t>
      </w:r>
      <w:r w:rsidRPr="00BB12DD">
        <w:rPr>
          <w:snapToGrid w:val="0"/>
          <w:szCs w:val="22"/>
        </w:rPr>
        <w:tab/>
      </w:r>
      <w:r w:rsidRPr="00BB12DD">
        <w:rPr>
          <w:i/>
          <w:iCs/>
          <w:snapToGrid w:val="0"/>
          <w:szCs w:val="22"/>
        </w:rPr>
        <w:t>Also notes</w:t>
      </w:r>
      <w:r w:rsidRPr="00BB12DD">
        <w:rPr>
          <w:snapToGrid w:val="0"/>
          <w:szCs w:val="22"/>
        </w:rPr>
        <w:t xml:space="preserve"> possible weaknesses in multilateral systems;]</w:t>
      </w:r>
    </w:p>
    <w:p w14:paraId="12C5F6C5" w14:textId="77777777" w:rsidR="00BB12DD" w:rsidRPr="00BB12DD" w:rsidRDefault="00BB12DD" w:rsidP="00BB12DD">
      <w:pPr>
        <w:keepNext/>
        <w:snapToGrid w:val="0"/>
        <w:spacing w:before="120" w:after="120"/>
        <w:ind w:left="720" w:firstLine="720"/>
        <w:textAlignment w:val="baseline"/>
        <w:rPr>
          <w:szCs w:val="22"/>
          <w:lang w:eastAsia="en-CA"/>
        </w:rPr>
      </w:pPr>
      <w:r w:rsidRPr="00BB12DD">
        <w:rPr>
          <w:i/>
          <w:iCs/>
          <w:szCs w:val="22"/>
          <w:lang w:eastAsia="en-CA"/>
        </w:rPr>
        <w:t>Option 1</w:t>
      </w:r>
    </w:p>
    <w:p w14:paraId="4F98AC19"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snapToGrid w:val="0"/>
          <w:szCs w:val="22"/>
        </w:rPr>
        <w:t>[3.</w:t>
      </w:r>
      <w:r w:rsidRPr="00BB12DD">
        <w:rPr>
          <w:snapToGrid w:val="0"/>
          <w:szCs w:val="22"/>
        </w:rPr>
        <w:tab/>
      </w:r>
      <w:r w:rsidRPr="00BB12DD">
        <w:rPr>
          <w:i/>
          <w:snapToGrid w:val="0"/>
          <w:szCs w:val="22"/>
        </w:rPr>
        <w:t>Considers</w:t>
      </w:r>
      <w:r w:rsidRPr="00BB12DD">
        <w:rPr>
          <w:snapToGrid w:val="0"/>
          <w:szCs w:val="22"/>
        </w:rPr>
        <w:t xml:space="preserve"> the cases identified in the submissions as well as the peer reviewed study [instructive] on the need for a global multilateral benefit-sharing mechanism and [in revealing potential] the limitations [or challenges] of the bilateral approach under the Nagoya Protocol, in particular regarding efficiency, practicability, feasibility and effectiveness [and decides to proceed to explore potential modalities of a global multilateral benefit-sharing mechanism];]</w:t>
      </w:r>
    </w:p>
    <w:p w14:paraId="2F0F0E54" w14:textId="77777777" w:rsidR="00BB12DD" w:rsidRPr="00BB12DD" w:rsidRDefault="00BB12DD" w:rsidP="00BB12DD">
      <w:pPr>
        <w:snapToGrid w:val="0"/>
        <w:spacing w:before="120" w:after="120"/>
        <w:ind w:left="720" w:firstLine="720"/>
        <w:textAlignment w:val="baseline"/>
        <w:rPr>
          <w:szCs w:val="22"/>
          <w:lang w:eastAsia="en-CA"/>
        </w:rPr>
      </w:pPr>
      <w:r w:rsidRPr="00BB12DD">
        <w:rPr>
          <w:i/>
          <w:iCs/>
          <w:szCs w:val="22"/>
          <w:lang w:eastAsia="en-CA"/>
        </w:rPr>
        <w:t>Option 2</w:t>
      </w:r>
    </w:p>
    <w:p w14:paraId="6FA57EC9"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snapToGrid w:val="0"/>
          <w:szCs w:val="22"/>
        </w:rPr>
        <w:t>[3.</w:t>
      </w:r>
      <w:r w:rsidRPr="00BB12DD">
        <w:rPr>
          <w:snapToGrid w:val="0"/>
          <w:szCs w:val="22"/>
        </w:rPr>
        <w:tab/>
      </w:r>
      <w:r w:rsidRPr="00BB12DD">
        <w:rPr>
          <w:i/>
          <w:iCs/>
          <w:snapToGrid w:val="0"/>
          <w:szCs w:val="22"/>
        </w:rPr>
        <w:t>Considers</w:t>
      </w:r>
      <w:r w:rsidRPr="00BB12DD">
        <w:rPr>
          <w:snapToGrid w:val="0"/>
          <w:szCs w:val="22"/>
        </w:rPr>
        <w:t xml:space="preserve"> the cases identified in the submissions as well as the peer reviewed study provide information on cases, which, however, do not justify the need for a global multilateral benefit-sharing mechanism under Article 10 of the Nagoya Protocol;</w:t>
      </w:r>
    </w:p>
    <w:p w14:paraId="3AFDCFCB" w14:textId="2548D7B1"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93ABC">
        <w:rPr>
          <w:snapToGrid w:val="0"/>
          <w:szCs w:val="22"/>
        </w:rPr>
        <w:t>3 </w:t>
      </w:r>
      <w:r w:rsidRPr="00B93ABC">
        <w:rPr>
          <w:i/>
          <w:iCs/>
          <w:snapToGrid w:val="0"/>
          <w:szCs w:val="22"/>
        </w:rPr>
        <w:t>bis</w:t>
      </w:r>
      <w:r w:rsidRPr="00B93ABC">
        <w:rPr>
          <w:snapToGrid w:val="0"/>
          <w:szCs w:val="22"/>
        </w:rPr>
        <w:t>.</w:t>
      </w:r>
      <w:r w:rsidRPr="00BB12DD">
        <w:rPr>
          <w:snapToGrid w:val="0"/>
          <w:szCs w:val="22"/>
        </w:rPr>
        <w:tab/>
      </w:r>
      <w:r w:rsidRPr="00BB12DD">
        <w:rPr>
          <w:i/>
          <w:iCs/>
          <w:snapToGrid w:val="0"/>
          <w:szCs w:val="22"/>
        </w:rPr>
        <w:t>Considers</w:t>
      </w:r>
      <w:r w:rsidRPr="00BB12DD">
        <w:rPr>
          <w:snapToGrid w:val="0"/>
          <w:szCs w:val="22"/>
        </w:rPr>
        <w:t xml:space="preserve"> </w:t>
      </w:r>
      <w:r w:rsidR="00E214DB" w:rsidRPr="00584BA6">
        <w:rPr>
          <w:i/>
          <w:iCs/>
          <w:snapToGrid w:val="0"/>
          <w:szCs w:val="22"/>
        </w:rPr>
        <w:t>also</w:t>
      </w:r>
      <w:r w:rsidR="00E214DB">
        <w:rPr>
          <w:snapToGrid w:val="0"/>
          <w:szCs w:val="22"/>
        </w:rPr>
        <w:t xml:space="preserve"> </w:t>
      </w:r>
      <w:r w:rsidRPr="00BB12DD">
        <w:rPr>
          <w:snapToGrid w:val="0"/>
          <w:szCs w:val="22"/>
        </w:rPr>
        <w:t>that the process has generated views on the potential limitations or challenges of the bilateral approach under the Nagoya Protocol, in particular regarding efficiency, practicability, feasibility and effectiveness, that merit further discussion [under the Nagoya Protocol][taking into account Articles 4(4), 11, and discussions at other related fora][, this limitation could be addressed through a multilateral approach;]]</w:t>
      </w:r>
    </w:p>
    <w:p w14:paraId="36197271" w14:textId="41B7DD5C" w:rsidR="00BB12DD" w:rsidRPr="00BB12DD" w:rsidRDefault="00452C9A" w:rsidP="00BB12DD">
      <w:pPr>
        <w:suppressLineNumbers/>
        <w:suppressAutoHyphens/>
        <w:kinsoku w:val="0"/>
        <w:overflowPunct w:val="0"/>
        <w:autoSpaceDE w:val="0"/>
        <w:autoSpaceDN w:val="0"/>
        <w:snapToGrid w:val="0"/>
        <w:spacing w:before="120" w:after="120"/>
        <w:ind w:left="720" w:firstLine="720"/>
        <w:rPr>
          <w:snapToGrid w:val="0"/>
          <w:szCs w:val="22"/>
        </w:rPr>
      </w:pPr>
      <w:r>
        <w:rPr>
          <w:snapToGrid w:val="0"/>
          <w:szCs w:val="22"/>
        </w:rPr>
        <w:t>[</w:t>
      </w:r>
      <w:r w:rsidR="00BB12DD" w:rsidRPr="00BB12DD">
        <w:rPr>
          <w:snapToGrid w:val="0"/>
          <w:szCs w:val="22"/>
        </w:rPr>
        <w:t>4.</w:t>
      </w:r>
      <w:r w:rsidR="00BB12DD" w:rsidRPr="00BB12DD">
        <w:rPr>
          <w:snapToGrid w:val="0"/>
          <w:szCs w:val="22"/>
        </w:rPr>
        <w:tab/>
      </w:r>
      <w:r w:rsidR="00DE2F3B">
        <w:rPr>
          <w:i/>
          <w:iCs/>
          <w:snapToGrid w:val="0"/>
          <w:szCs w:val="22"/>
        </w:rPr>
        <w:t>C</w:t>
      </w:r>
      <w:r w:rsidR="00BB12DD" w:rsidRPr="00BB12DD">
        <w:rPr>
          <w:i/>
          <w:iCs/>
          <w:snapToGrid w:val="0"/>
          <w:szCs w:val="22"/>
        </w:rPr>
        <w:t>onsiders</w:t>
      </w:r>
      <w:r w:rsidR="00414903">
        <w:rPr>
          <w:i/>
          <w:iCs/>
          <w:snapToGrid w:val="0"/>
          <w:szCs w:val="22"/>
        </w:rPr>
        <w:t xml:space="preserve"> further</w:t>
      </w:r>
      <w:r w:rsidR="00BB12DD" w:rsidRPr="00BB12DD">
        <w:rPr>
          <w:i/>
          <w:iCs/>
          <w:snapToGrid w:val="0"/>
          <w:szCs w:val="22"/>
        </w:rPr>
        <w:t xml:space="preserve"> </w:t>
      </w:r>
      <w:r w:rsidR="00BB12DD" w:rsidRPr="00BB12DD">
        <w:rPr>
          <w:snapToGrid w:val="0"/>
          <w:szCs w:val="22"/>
        </w:rPr>
        <w:t xml:space="preserve">that an evaluation of these potential limitations or challenges based on concrete cases will be needed to </w:t>
      </w:r>
      <w:r w:rsidR="00BB12DD" w:rsidRPr="00BB12DD">
        <w:rPr>
          <w:iCs/>
          <w:snapToGrid w:val="0"/>
          <w:kern w:val="22"/>
          <w:szCs w:val="22"/>
        </w:rPr>
        <w:t>explore</w:t>
      </w:r>
      <w:r w:rsidR="00BB12DD" w:rsidRPr="00BB12DD">
        <w:rPr>
          <w:snapToGrid w:val="0"/>
          <w:szCs w:val="22"/>
        </w:rPr>
        <w:t xml:space="preserve"> the underlying causes, [including questions on the scope of the Nagoya Protocol,] the lack of capacity to implement the bilateral approach, or any other factor, and to explore how these limitations and challenges could be addressed, including through transboundary cooperation as well as with a multilateral approach;]</w:t>
      </w:r>
    </w:p>
    <w:p w14:paraId="09482EC6" w14:textId="45B3F32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snapToGrid w:val="0"/>
          <w:szCs w:val="22"/>
        </w:rPr>
        <w:t>[4 </w:t>
      </w:r>
      <w:r w:rsidRPr="00BB12DD">
        <w:rPr>
          <w:i/>
          <w:iCs/>
          <w:snapToGrid w:val="0"/>
          <w:szCs w:val="22"/>
        </w:rPr>
        <w:t>alt</w:t>
      </w:r>
      <w:r w:rsidRPr="00BB12DD">
        <w:rPr>
          <w:snapToGrid w:val="0"/>
          <w:szCs w:val="22"/>
        </w:rPr>
        <w:t>.</w:t>
      </w:r>
      <w:r w:rsidRPr="00BB12DD">
        <w:rPr>
          <w:snapToGrid w:val="0"/>
          <w:szCs w:val="22"/>
        </w:rPr>
        <w:tab/>
      </w:r>
      <w:r w:rsidR="00DE2F3B">
        <w:rPr>
          <w:i/>
          <w:iCs/>
          <w:snapToGrid w:val="0"/>
          <w:szCs w:val="22"/>
        </w:rPr>
        <w:t>C</w:t>
      </w:r>
      <w:r w:rsidRPr="00BB12DD">
        <w:rPr>
          <w:i/>
          <w:iCs/>
          <w:snapToGrid w:val="0"/>
          <w:szCs w:val="22"/>
        </w:rPr>
        <w:t>onsiders</w:t>
      </w:r>
      <w:r w:rsidR="00414903">
        <w:rPr>
          <w:i/>
          <w:iCs/>
          <w:snapToGrid w:val="0"/>
          <w:szCs w:val="22"/>
        </w:rPr>
        <w:t xml:space="preserve"> further</w:t>
      </w:r>
      <w:r w:rsidRPr="00BB12DD">
        <w:rPr>
          <w:snapToGrid w:val="0"/>
          <w:szCs w:val="22"/>
        </w:rPr>
        <w:t xml:space="preserve"> that an evaluation of potential modalities for a multilateral approach to address the fair and equitable sharing of benefits derived from the utilization of genetic resources and traditional </w:t>
      </w:r>
      <w:r w:rsidRPr="00BB12DD">
        <w:rPr>
          <w:iCs/>
          <w:snapToGrid w:val="0"/>
          <w:kern w:val="22"/>
          <w:szCs w:val="22"/>
        </w:rPr>
        <w:t>knowledge</w:t>
      </w:r>
      <w:r w:rsidRPr="00BB12DD">
        <w:rPr>
          <w:snapToGrid w:val="0"/>
          <w:szCs w:val="22"/>
        </w:rPr>
        <w:t xml:space="preserve"> associated with genetic resources that occur in transboundary situations or for which it is not possible to grant or obtain prior informed consent, as well as for transboundary cooperation that is needed to address the potential limitations or challenges based on concrete cases;]</w:t>
      </w:r>
    </w:p>
    <w:p w14:paraId="31370D9D" w14:textId="23840C1E" w:rsidR="00BB12DD" w:rsidRPr="00BB12DD" w:rsidRDefault="00A43E52" w:rsidP="00BB12DD">
      <w:pPr>
        <w:suppressLineNumbers/>
        <w:suppressAutoHyphens/>
        <w:kinsoku w:val="0"/>
        <w:overflowPunct w:val="0"/>
        <w:autoSpaceDE w:val="0"/>
        <w:autoSpaceDN w:val="0"/>
        <w:snapToGrid w:val="0"/>
        <w:spacing w:before="120" w:after="120"/>
        <w:ind w:left="720" w:firstLine="720"/>
        <w:rPr>
          <w:snapToGrid w:val="0"/>
          <w:szCs w:val="22"/>
        </w:rPr>
      </w:pPr>
      <w:r>
        <w:rPr>
          <w:snapToGrid w:val="0"/>
          <w:szCs w:val="22"/>
        </w:rPr>
        <w:t>[</w:t>
      </w:r>
      <w:r w:rsidR="00BB12DD" w:rsidRPr="00BB12DD">
        <w:rPr>
          <w:snapToGrid w:val="0"/>
          <w:szCs w:val="22"/>
        </w:rPr>
        <w:t>5.</w:t>
      </w:r>
      <w:r w:rsidR="00BB12DD" w:rsidRPr="00BB12DD">
        <w:rPr>
          <w:snapToGrid w:val="0"/>
          <w:szCs w:val="22"/>
        </w:rPr>
        <w:tab/>
      </w:r>
      <w:r w:rsidR="00BB12DD" w:rsidRPr="00BB12DD">
        <w:rPr>
          <w:i/>
          <w:snapToGrid w:val="0"/>
          <w:szCs w:val="22"/>
        </w:rPr>
        <w:t>Invites</w:t>
      </w:r>
      <w:r w:rsidR="00BB12DD" w:rsidRPr="00BB12DD">
        <w:rPr>
          <w:snapToGrid w:val="0"/>
          <w:szCs w:val="22"/>
        </w:rPr>
        <w:t xml:space="preserve"> Parties, other Governments, indigenous peoples and local communities, relevant stakeholders and </w:t>
      </w:r>
      <w:r w:rsidR="00BB12DD" w:rsidRPr="00BB12DD">
        <w:rPr>
          <w:iCs/>
          <w:snapToGrid w:val="0"/>
          <w:kern w:val="22"/>
          <w:szCs w:val="22"/>
        </w:rPr>
        <w:t>organizations</w:t>
      </w:r>
      <w:r w:rsidR="00BB12DD" w:rsidRPr="00BB12DD">
        <w:rPr>
          <w:snapToGrid w:val="0"/>
          <w:szCs w:val="22"/>
        </w:rPr>
        <w:t xml:space="preserve"> to submit to the Executive Secretary views and information on [possible modalities of a multilateral benefit-sharing mechanism, including options for modes of participation, sharing of benefits and governance as well as options for cooperation to address instances described in Article 11 of the Nagoya Protocol][potential limitations or challenges of the bilateral approach based on concrete cases, on potential underlying causes, and on how these limitations and challenges could be addressed, including through transboundary cooperation as well as with a multilateral approach;]]</w:t>
      </w:r>
    </w:p>
    <w:p w14:paraId="281215E8" w14:textId="1BD1926C" w:rsidR="00BB12DD" w:rsidRPr="00BB12DD" w:rsidRDefault="00A43E52" w:rsidP="00BB12DD">
      <w:pPr>
        <w:suppressLineNumbers/>
        <w:suppressAutoHyphens/>
        <w:kinsoku w:val="0"/>
        <w:overflowPunct w:val="0"/>
        <w:autoSpaceDE w:val="0"/>
        <w:autoSpaceDN w:val="0"/>
        <w:snapToGrid w:val="0"/>
        <w:spacing w:before="120" w:after="120"/>
        <w:ind w:left="720" w:firstLine="720"/>
        <w:rPr>
          <w:snapToGrid w:val="0"/>
          <w:szCs w:val="22"/>
        </w:rPr>
      </w:pPr>
      <w:r>
        <w:rPr>
          <w:snapToGrid w:val="0"/>
          <w:szCs w:val="22"/>
        </w:rPr>
        <w:t>[</w:t>
      </w:r>
      <w:r w:rsidR="00BB12DD" w:rsidRPr="00BB12DD">
        <w:rPr>
          <w:snapToGrid w:val="0"/>
          <w:szCs w:val="22"/>
        </w:rPr>
        <w:t>6.</w:t>
      </w:r>
      <w:r w:rsidR="00BB12DD" w:rsidRPr="00BB12DD">
        <w:rPr>
          <w:snapToGrid w:val="0"/>
          <w:szCs w:val="22"/>
        </w:rPr>
        <w:tab/>
      </w:r>
      <w:r w:rsidR="00BB12DD" w:rsidRPr="00BB12DD">
        <w:rPr>
          <w:i/>
          <w:snapToGrid w:val="0"/>
          <w:szCs w:val="22"/>
        </w:rPr>
        <w:t>Decides</w:t>
      </w:r>
      <w:r w:rsidR="00BB12DD" w:rsidRPr="00BB12DD">
        <w:rPr>
          <w:snapToGrid w:val="0"/>
          <w:szCs w:val="22"/>
        </w:rPr>
        <w:t xml:space="preserve"> to </w:t>
      </w:r>
      <w:r w:rsidR="00BB12DD" w:rsidRPr="00BB12DD">
        <w:rPr>
          <w:iCs/>
          <w:snapToGrid w:val="0"/>
          <w:kern w:val="22"/>
          <w:szCs w:val="22"/>
        </w:rPr>
        <w:t>establish</w:t>
      </w:r>
      <w:r w:rsidR="00BB12DD" w:rsidRPr="00BB12DD">
        <w:rPr>
          <w:snapToGrid w:val="0"/>
          <w:szCs w:val="22"/>
        </w:rPr>
        <w:t xml:space="preserve"> an ad hoc technical expert group, with the terms of reference set out in the annex to the present decision;]</w:t>
      </w:r>
    </w:p>
    <w:p w14:paraId="58DF1EE6"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snapToGrid w:val="0"/>
          <w:szCs w:val="22"/>
        </w:rPr>
        <w:t>[6 </w:t>
      </w:r>
      <w:r w:rsidRPr="00BB12DD">
        <w:rPr>
          <w:i/>
          <w:iCs/>
          <w:snapToGrid w:val="0"/>
          <w:szCs w:val="22"/>
        </w:rPr>
        <w:t>alt</w:t>
      </w:r>
      <w:r w:rsidRPr="00BB12DD">
        <w:rPr>
          <w:snapToGrid w:val="0"/>
          <w:szCs w:val="22"/>
        </w:rPr>
        <w:t>.</w:t>
      </w:r>
      <w:r w:rsidRPr="00BB12DD">
        <w:rPr>
          <w:snapToGrid w:val="0"/>
          <w:szCs w:val="22"/>
        </w:rPr>
        <w:tab/>
      </w:r>
      <w:r w:rsidRPr="00BB12DD">
        <w:rPr>
          <w:i/>
          <w:iCs/>
          <w:snapToGrid w:val="0"/>
          <w:szCs w:val="22"/>
        </w:rPr>
        <w:t>Decides</w:t>
      </w:r>
      <w:r w:rsidRPr="00BB12DD">
        <w:rPr>
          <w:snapToGrid w:val="0"/>
          <w:szCs w:val="22"/>
        </w:rPr>
        <w:t xml:space="preserve">, in </w:t>
      </w:r>
      <w:r w:rsidRPr="00BB12DD">
        <w:rPr>
          <w:iCs/>
          <w:snapToGrid w:val="0"/>
          <w:kern w:val="22"/>
          <w:szCs w:val="22"/>
        </w:rPr>
        <w:t>the</w:t>
      </w:r>
      <w:r w:rsidRPr="00BB12DD">
        <w:rPr>
          <w:snapToGrid w:val="0"/>
          <w:szCs w:val="22"/>
        </w:rPr>
        <w:t xml:space="preserve"> exercise of their sovereign rights over genetic resources, to establish a multilateral benefit-sharing mechanism, to operate as follows:</w:t>
      </w:r>
    </w:p>
    <w:p w14:paraId="02B1518C" w14:textId="77777777" w:rsidR="00BB12DD" w:rsidRPr="00BB12DD" w:rsidRDefault="00BB12DD" w:rsidP="00BB12DD">
      <w:pPr>
        <w:snapToGrid w:val="0"/>
        <w:spacing w:after="120"/>
        <w:ind w:left="720" w:firstLine="720"/>
        <w:textAlignment w:val="baseline"/>
        <w:rPr>
          <w:szCs w:val="22"/>
          <w:lang w:eastAsia="en-CA"/>
        </w:rPr>
      </w:pPr>
      <w:r w:rsidRPr="00BB12DD">
        <w:rPr>
          <w:szCs w:val="22"/>
          <w:lang w:eastAsia="en-CA"/>
        </w:rPr>
        <w:t>(a)</w:t>
      </w:r>
      <w:r w:rsidRPr="00BB12DD">
        <w:rPr>
          <w:szCs w:val="22"/>
          <w:lang w:eastAsia="en-CA"/>
        </w:rPr>
        <w:tab/>
        <w:t xml:space="preserve">Each developed country Party shall, in accordance with Articles 20 and 15.7 of the Convention, take legislative, administrative or policy </w:t>
      </w:r>
      <w:r w:rsidRPr="00BB12DD">
        <w:rPr>
          <w:iCs/>
          <w:snapToGrid w:val="0"/>
          <w:kern w:val="22"/>
          <w:szCs w:val="22"/>
        </w:rPr>
        <w:t>measures</w:t>
      </w:r>
      <w:r w:rsidRPr="00BB12DD">
        <w:rPr>
          <w:szCs w:val="22"/>
          <w:lang w:eastAsia="en-CA"/>
        </w:rPr>
        <w:t xml:space="preserve">, as appropriate, to ensure that 1 per cent of the retail price of all commercial income resulting from all utilization of genetic resources, traditional knowledge associated with genetic resources or digital sequence information on genetic </w:t>
      </w:r>
      <w:r w:rsidRPr="00BB12DD">
        <w:rPr>
          <w:szCs w:val="22"/>
          <w:lang w:eastAsia="en-CA"/>
        </w:rPr>
        <w:lastRenderedPageBreak/>
        <w:t>resources is shared through the multilateral benefit-sharing mechanism to support the conservation and sustainable use of biological diversity, unless such benefits are otherwise being shared on mutually agreed terms established under the bilateral system;</w:t>
      </w:r>
    </w:p>
    <w:p w14:paraId="6792223A" w14:textId="77777777" w:rsidR="00BB12DD" w:rsidRPr="00BB12DD" w:rsidRDefault="00BB12DD" w:rsidP="00BB12DD">
      <w:pPr>
        <w:snapToGrid w:val="0"/>
        <w:spacing w:after="120"/>
        <w:ind w:left="720" w:firstLine="720"/>
        <w:textAlignment w:val="baseline"/>
        <w:rPr>
          <w:szCs w:val="22"/>
          <w:lang w:eastAsia="en-CA"/>
        </w:rPr>
      </w:pPr>
      <w:r w:rsidRPr="00BB12DD">
        <w:rPr>
          <w:szCs w:val="22"/>
          <w:lang w:eastAsia="en-CA"/>
        </w:rPr>
        <w:t>(b)</w:t>
      </w:r>
      <w:r w:rsidRPr="00BB12DD">
        <w:rPr>
          <w:szCs w:val="22"/>
          <w:lang w:eastAsia="en-CA"/>
        </w:rPr>
        <w:tab/>
        <w:t xml:space="preserve">All monetary </w:t>
      </w:r>
      <w:r w:rsidRPr="00BB12DD">
        <w:rPr>
          <w:iCs/>
          <w:snapToGrid w:val="0"/>
          <w:kern w:val="22"/>
          <w:szCs w:val="22"/>
        </w:rPr>
        <w:t>benefits</w:t>
      </w:r>
      <w:r w:rsidRPr="00BB12DD">
        <w:rPr>
          <w:szCs w:val="22"/>
          <w:lang w:eastAsia="en-CA"/>
        </w:rPr>
        <w:t xml:space="preserve"> shared under the multilateral benefit-sharing mechanism shall be deposited in a global biodiversity fund operated by the Global Environment Facility, as the financial mechanism of the Convention, and this global fund shall also be open for voluntary contributions from all sources;</w:t>
      </w:r>
    </w:p>
    <w:p w14:paraId="6C37F804" w14:textId="77777777" w:rsidR="00BB12DD" w:rsidRPr="00BB12DD" w:rsidRDefault="00BB12DD" w:rsidP="00BB12DD">
      <w:pPr>
        <w:snapToGrid w:val="0"/>
        <w:spacing w:after="120"/>
        <w:ind w:left="720" w:firstLine="720"/>
        <w:textAlignment w:val="baseline"/>
        <w:rPr>
          <w:szCs w:val="22"/>
          <w:lang w:eastAsia="en-CA"/>
        </w:rPr>
      </w:pPr>
      <w:r w:rsidRPr="00BB12DD">
        <w:rPr>
          <w:szCs w:val="22"/>
          <w:lang w:eastAsia="en-CA"/>
        </w:rPr>
        <w:t>(c)</w:t>
      </w:r>
      <w:r w:rsidRPr="00BB12DD">
        <w:rPr>
          <w:szCs w:val="22"/>
          <w:lang w:eastAsia="en-CA"/>
        </w:rPr>
        <w:tab/>
        <w:t xml:space="preserve">The global biodiversity fund shall be used, in an open, competitive, project-based manner, to support on the ground </w:t>
      </w:r>
      <w:r w:rsidRPr="00BB12DD">
        <w:rPr>
          <w:iCs/>
          <w:snapToGrid w:val="0"/>
          <w:kern w:val="22"/>
          <w:szCs w:val="22"/>
        </w:rPr>
        <w:t>activities</w:t>
      </w:r>
      <w:r w:rsidRPr="00BB12DD">
        <w:rPr>
          <w:szCs w:val="22"/>
          <w:lang w:eastAsia="en-CA"/>
        </w:rPr>
        <w:t xml:space="preserve"> aimed at the conservation of biological diversity and the sustainable use of its components, in line with the ecosystem-based approach, caried out by indigenous peoples, local communities and others, in pursuit of spending priorities identified from time to time by the Intergovernmental Science-Policy Platform on Biodiversity and Ecosystem Services through scientific assessments;]</w:t>
      </w:r>
    </w:p>
    <w:p w14:paraId="3A32A658" w14:textId="51EB0390" w:rsidR="00BB12DD" w:rsidRPr="00BB12DD" w:rsidRDefault="00462605" w:rsidP="00BB12DD">
      <w:pPr>
        <w:suppressLineNumbers/>
        <w:suppressAutoHyphens/>
        <w:kinsoku w:val="0"/>
        <w:overflowPunct w:val="0"/>
        <w:autoSpaceDE w:val="0"/>
        <w:autoSpaceDN w:val="0"/>
        <w:snapToGrid w:val="0"/>
        <w:spacing w:before="120" w:after="120"/>
        <w:ind w:left="720" w:firstLine="720"/>
        <w:rPr>
          <w:snapToGrid w:val="0"/>
          <w:szCs w:val="22"/>
        </w:rPr>
      </w:pPr>
      <w:r>
        <w:rPr>
          <w:snapToGrid w:val="0"/>
          <w:szCs w:val="22"/>
        </w:rPr>
        <w:t>[</w:t>
      </w:r>
      <w:r w:rsidR="00BB12DD" w:rsidRPr="00BB12DD">
        <w:rPr>
          <w:snapToGrid w:val="0"/>
          <w:szCs w:val="22"/>
        </w:rPr>
        <w:t>7.</w:t>
      </w:r>
      <w:r w:rsidR="00BB12DD" w:rsidRPr="00BB12DD">
        <w:rPr>
          <w:snapToGrid w:val="0"/>
          <w:szCs w:val="22"/>
        </w:rPr>
        <w:tab/>
      </w:r>
      <w:r w:rsidR="00BB12DD" w:rsidRPr="00BB12DD">
        <w:rPr>
          <w:i/>
          <w:snapToGrid w:val="0"/>
          <w:szCs w:val="22"/>
        </w:rPr>
        <w:t>Requests</w:t>
      </w:r>
      <w:r w:rsidR="00BB12DD" w:rsidRPr="00BB12DD">
        <w:rPr>
          <w:snapToGrid w:val="0"/>
          <w:szCs w:val="22"/>
        </w:rPr>
        <w:t xml:space="preserve"> the Subsidiary Body on Implementation to consider the report of the ad hoc technical expert group referred to in paragraph 6 above and make recommendations to the Conference of the Parties serving as the meeting of the Parties to the Nagoya Protocol, for consideration at its fifth meeting;]</w:t>
      </w:r>
    </w:p>
    <w:p w14:paraId="44243F3B" w14:textId="3FF48C58" w:rsidR="00BB12DD" w:rsidRPr="00BB12DD" w:rsidRDefault="00462605" w:rsidP="00BB12DD">
      <w:pPr>
        <w:suppressLineNumbers/>
        <w:suppressAutoHyphens/>
        <w:kinsoku w:val="0"/>
        <w:overflowPunct w:val="0"/>
        <w:autoSpaceDE w:val="0"/>
        <w:autoSpaceDN w:val="0"/>
        <w:snapToGrid w:val="0"/>
        <w:spacing w:before="120" w:after="120"/>
        <w:ind w:left="720" w:firstLine="720"/>
        <w:rPr>
          <w:snapToGrid w:val="0"/>
          <w:szCs w:val="22"/>
        </w:rPr>
      </w:pPr>
      <w:r>
        <w:rPr>
          <w:snapToGrid w:val="0"/>
          <w:szCs w:val="22"/>
        </w:rPr>
        <w:t>[</w:t>
      </w:r>
      <w:r w:rsidR="00BB12DD" w:rsidRPr="00BB12DD">
        <w:rPr>
          <w:snapToGrid w:val="0"/>
          <w:szCs w:val="22"/>
        </w:rPr>
        <w:t>8.</w:t>
      </w:r>
      <w:r w:rsidR="00BB12DD" w:rsidRPr="00BB12DD">
        <w:rPr>
          <w:snapToGrid w:val="0"/>
          <w:szCs w:val="22"/>
        </w:rPr>
        <w:tab/>
      </w:r>
      <w:r w:rsidR="00BB12DD" w:rsidRPr="00BB12DD">
        <w:rPr>
          <w:i/>
          <w:snapToGrid w:val="0"/>
          <w:szCs w:val="22"/>
        </w:rPr>
        <w:t>Requests</w:t>
      </w:r>
      <w:r w:rsidR="00BB12DD" w:rsidRPr="00BB12DD">
        <w:rPr>
          <w:snapToGrid w:val="0"/>
          <w:szCs w:val="22"/>
        </w:rPr>
        <w:t xml:space="preserve"> the Executive Secretary to facilitate the work of the ad hoc technical expert group referred to in paragraph 6 by, among other things:</w:t>
      </w:r>
    </w:p>
    <w:p w14:paraId="3D9A9C4A" w14:textId="77777777" w:rsidR="00BB12DD" w:rsidRPr="00BB12DD" w:rsidRDefault="00BB12DD" w:rsidP="00BB12DD">
      <w:pPr>
        <w:snapToGrid w:val="0"/>
        <w:spacing w:after="120"/>
        <w:ind w:left="720" w:firstLine="720"/>
        <w:textAlignment w:val="baseline"/>
        <w:rPr>
          <w:szCs w:val="22"/>
          <w:lang w:val="en-CA" w:eastAsia="en-CA"/>
        </w:rPr>
      </w:pPr>
      <w:bookmarkStart w:id="1" w:name="_Hlk44400819"/>
      <w:r w:rsidRPr="00BB12DD">
        <w:rPr>
          <w:szCs w:val="22"/>
          <w:lang w:val="en-CA" w:eastAsia="en-CA"/>
        </w:rPr>
        <w:t>(a)</w:t>
      </w:r>
      <w:r w:rsidRPr="00BB12DD">
        <w:rPr>
          <w:szCs w:val="22"/>
          <w:lang w:val="en-CA" w:eastAsia="en-CA"/>
        </w:rPr>
        <w:tab/>
        <w:t>Preparing a synthesis of the views and information referred to in paragraph</w:t>
      </w:r>
      <w:r w:rsidRPr="00BB12DD">
        <w:rPr>
          <w:szCs w:val="22"/>
          <w:lang w:eastAsia="en-CA"/>
        </w:rPr>
        <w:t> 5 </w:t>
      </w:r>
      <w:r w:rsidRPr="00BB12DD">
        <w:rPr>
          <w:szCs w:val="22"/>
          <w:lang w:val="en-CA" w:eastAsia="en-CA"/>
        </w:rPr>
        <w:t>above;</w:t>
      </w:r>
    </w:p>
    <w:bookmarkEnd w:id="1"/>
    <w:p w14:paraId="6F6AA543" w14:textId="77777777" w:rsidR="00BB12DD" w:rsidRPr="00BB12DD" w:rsidRDefault="00BB12DD" w:rsidP="00BB12DD">
      <w:pPr>
        <w:snapToGrid w:val="0"/>
        <w:spacing w:after="120"/>
        <w:ind w:left="720" w:firstLine="720"/>
        <w:textAlignment w:val="baseline"/>
        <w:rPr>
          <w:szCs w:val="22"/>
          <w:lang w:val="en-CA" w:eastAsia="en-CA"/>
        </w:rPr>
      </w:pPr>
      <w:r w:rsidRPr="00BB12DD">
        <w:rPr>
          <w:szCs w:val="22"/>
          <w:lang w:val="en-CA" w:eastAsia="en-CA"/>
        </w:rPr>
        <w:t>(b)</w:t>
      </w:r>
      <w:r w:rsidRPr="00BB12DD">
        <w:rPr>
          <w:szCs w:val="22"/>
          <w:lang w:val="en-CA" w:eastAsia="en-CA"/>
        </w:rPr>
        <w:tab/>
        <w:t>Establishing</w:t>
      </w:r>
      <w:r w:rsidRPr="00BB12DD">
        <w:rPr>
          <w:szCs w:val="22"/>
          <w:lang w:eastAsia="en-CA"/>
        </w:rPr>
        <w:t xml:space="preserve"> </w:t>
      </w:r>
      <w:r w:rsidRPr="00BB12DD">
        <w:rPr>
          <w:szCs w:val="22"/>
          <w:lang w:val="en-CA" w:eastAsia="en-CA"/>
        </w:rPr>
        <w:t>an online forum to consider the synthesis of the views and information referred to above;</w:t>
      </w:r>
    </w:p>
    <w:p w14:paraId="6952E822" w14:textId="77777777" w:rsidR="00BB12DD" w:rsidRPr="00BB12DD" w:rsidRDefault="00BB12DD" w:rsidP="00BB12DD">
      <w:pPr>
        <w:snapToGrid w:val="0"/>
        <w:spacing w:after="120"/>
        <w:ind w:left="720" w:firstLine="720"/>
        <w:textAlignment w:val="baseline"/>
        <w:rPr>
          <w:szCs w:val="22"/>
          <w:lang w:val="en-CA" w:eastAsia="en-CA"/>
        </w:rPr>
      </w:pPr>
      <w:r w:rsidRPr="00BB12DD">
        <w:rPr>
          <w:szCs w:val="22"/>
          <w:lang w:val="en-CA" w:eastAsia="en-CA"/>
        </w:rPr>
        <w:t>(c)</w:t>
      </w:r>
      <w:r w:rsidRPr="00BB12DD">
        <w:rPr>
          <w:szCs w:val="22"/>
          <w:lang w:val="en-CA" w:eastAsia="en-CA"/>
        </w:rPr>
        <w:tab/>
        <w:t xml:space="preserve">Preparing a summary report on the outcomes of the online forum and submitting it to the </w:t>
      </w:r>
      <w:r w:rsidRPr="00BB12DD">
        <w:rPr>
          <w:szCs w:val="22"/>
          <w:lang w:eastAsia="en-CA"/>
        </w:rPr>
        <w:t>ad hoc</w:t>
      </w:r>
      <w:r w:rsidRPr="00BB12DD">
        <w:rPr>
          <w:szCs w:val="22"/>
          <w:lang w:val="en-CA" w:eastAsia="en-CA"/>
        </w:rPr>
        <w:t xml:space="preserve"> technical expert group</w:t>
      </w:r>
      <w:r w:rsidRPr="00BB12DD">
        <w:rPr>
          <w:szCs w:val="22"/>
          <w:lang w:eastAsia="en-CA"/>
        </w:rPr>
        <w:t>.]</w:t>
      </w:r>
    </w:p>
    <w:p w14:paraId="2CA056AA" w14:textId="77777777" w:rsidR="00BB12DD" w:rsidRPr="00BB12DD" w:rsidRDefault="00BB12DD" w:rsidP="00BB12DD">
      <w:pPr>
        <w:suppressLineNumbers/>
        <w:suppressAutoHyphens/>
        <w:kinsoku w:val="0"/>
        <w:overflowPunct w:val="0"/>
        <w:autoSpaceDE w:val="0"/>
        <w:autoSpaceDN w:val="0"/>
        <w:snapToGrid w:val="0"/>
        <w:spacing w:before="120" w:after="120"/>
        <w:ind w:left="720" w:firstLine="720"/>
        <w:rPr>
          <w:snapToGrid w:val="0"/>
          <w:szCs w:val="22"/>
        </w:rPr>
      </w:pPr>
      <w:r w:rsidRPr="00BB12DD">
        <w:rPr>
          <w:snapToGrid w:val="0"/>
          <w:szCs w:val="22"/>
        </w:rPr>
        <w:t>[8 </w:t>
      </w:r>
      <w:r w:rsidRPr="00BB12DD">
        <w:rPr>
          <w:i/>
          <w:iCs/>
          <w:snapToGrid w:val="0"/>
          <w:szCs w:val="22"/>
        </w:rPr>
        <w:t>alt</w:t>
      </w:r>
      <w:r w:rsidRPr="00BB12DD">
        <w:rPr>
          <w:snapToGrid w:val="0"/>
          <w:szCs w:val="22"/>
        </w:rPr>
        <w:t>.</w:t>
      </w:r>
      <w:r w:rsidRPr="00BB12DD">
        <w:rPr>
          <w:snapToGrid w:val="0"/>
          <w:szCs w:val="22"/>
        </w:rPr>
        <w:tab/>
      </w:r>
      <w:r w:rsidRPr="00BB12DD">
        <w:rPr>
          <w:i/>
          <w:iCs/>
          <w:snapToGrid w:val="0"/>
          <w:szCs w:val="22"/>
        </w:rPr>
        <w:t xml:space="preserve">Requests </w:t>
      </w:r>
      <w:r w:rsidRPr="00BB12DD">
        <w:rPr>
          <w:snapToGrid w:val="0"/>
          <w:szCs w:val="22"/>
        </w:rPr>
        <w:t>the Executive Secretary, in consultation with all Parties and the Global Environment Facility, to prepare options for national legislative, administrative or policy measures to implement the multilateral benefit-sharing system and to report back to the Conference of the Parties at its sixteenth meeting.]</w:t>
      </w:r>
    </w:p>
    <w:p w14:paraId="1E298A55" w14:textId="77777777" w:rsidR="00BB12DD" w:rsidRPr="00BB12DD" w:rsidRDefault="00BB12DD" w:rsidP="00BB12DD">
      <w:pPr>
        <w:ind w:left="720"/>
        <w:jc w:val="center"/>
        <w:textAlignment w:val="baseline"/>
        <w:rPr>
          <w:szCs w:val="22"/>
          <w:lang w:eastAsia="en-CA"/>
        </w:rPr>
      </w:pPr>
    </w:p>
    <w:p w14:paraId="3AAC98CD" w14:textId="77777777" w:rsidR="00BB12DD" w:rsidRPr="00BB12DD" w:rsidRDefault="00BB12DD" w:rsidP="00BB12DD">
      <w:pPr>
        <w:spacing w:after="120"/>
        <w:ind w:left="720"/>
        <w:jc w:val="center"/>
        <w:textAlignment w:val="baseline"/>
        <w:rPr>
          <w:szCs w:val="22"/>
          <w:lang w:eastAsia="en-CA"/>
        </w:rPr>
      </w:pPr>
      <w:r w:rsidRPr="00BB12DD">
        <w:rPr>
          <w:szCs w:val="22"/>
          <w:lang w:eastAsia="en-CA"/>
        </w:rPr>
        <w:t>[</w:t>
      </w:r>
      <w:r w:rsidRPr="00BB12DD">
        <w:rPr>
          <w:i/>
          <w:iCs/>
          <w:szCs w:val="22"/>
          <w:lang w:eastAsia="en-CA"/>
        </w:rPr>
        <w:t>Annex</w:t>
      </w:r>
    </w:p>
    <w:p w14:paraId="0A6EB39D" w14:textId="77777777" w:rsidR="00BB12DD" w:rsidRPr="00BB12DD" w:rsidRDefault="00BB12DD" w:rsidP="00BB12DD">
      <w:pPr>
        <w:keepNext/>
        <w:spacing w:before="120" w:after="120"/>
        <w:ind w:left="720"/>
        <w:jc w:val="center"/>
        <w:textAlignment w:val="baseline"/>
        <w:rPr>
          <w:b/>
          <w:bCs/>
          <w:caps/>
          <w:szCs w:val="22"/>
          <w:lang w:eastAsia="en-CA"/>
        </w:rPr>
      </w:pPr>
      <w:r w:rsidRPr="00BB12DD">
        <w:rPr>
          <w:b/>
          <w:bCs/>
          <w:caps/>
          <w:szCs w:val="22"/>
          <w:lang w:eastAsia="en-CA"/>
        </w:rPr>
        <w:t>Terms of reference of the Ad Hoc Technical Expert Group</w:t>
      </w:r>
    </w:p>
    <w:p w14:paraId="53ED37EB" w14:textId="77777777" w:rsidR="00BB12DD" w:rsidRPr="00BB12DD" w:rsidRDefault="00BB12DD" w:rsidP="00BB12DD">
      <w:pPr>
        <w:suppressLineNumbers/>
        <w:tabs>
          <w:tab w:val="left" w:pos="720"/>
        </w:tabs>
        <w:suppressAutoHyphens/>
        <w:kinsoku w:val="0"/>
        <w:overflowPunct w:val="0"/>
        <w:autoSpaceDE w:val="0"/>
        <w:autoSpaceDN w:val="0"/>
        <w:snapToGrid w:val="0"/>
        <w:spacing w:before="120" w:after="120"/>
        <w:ind w:left="720"/>
        <w:rPr>
          <w:snapToGrid w:val="0"/>
          <w:szCs w:val="22"/>
        </w:rPr>
      </w:pPr>
      <w:r w:rsidRPr="00BB12DD">
        <w:rPr>
          <w:snapToGrid w:val="0"/>
          <w:szCs w:val="22"/>
        </w:rPr>
        <w:t>1.</w:t>
      </w:r>
      <w:r w:rsidRPr="00BB12DD">
        <w:rPr>
          <w:snapToGrid w:val="0"/>
          <w:szCs w:val="22"/>
        </w:rPr>
        <w:tab/>
        <w:t xml:space="preserve">The Ad Hoc Technical Expert Group shall [consider possible modalities of a multilateral benefit-sharing mechanism of Article 10 of the Nagoya Protocol][evaluate potential limitations or challenges of the bilateral approach to access and benefit-sharing, including their underlying causes and how these limitations and challenges could be addressed, including through transboundary cooperation as well as with a multilateral approach,] taking into </w:t>
      </w:r>
      <w:r w:rsidRPr="00BB12DD">
        <w:rPr>
          <w:iCs/>
          <w:snapToGrid w:val="0"/>
          <w:kern w:val="22"/>
          <w:szCs w:val="22"/>
        </w:rPr>
        <w:t>account</w:t>
      </w:r>
      <w:r w:rsidRPr="00BB12DD">
        <w:rPr>
          <w:snapToGrid w:val="0"/>
          <w:szCs w:val="22"/>
        </w:rPr>
        <w:t xml:space="preserve"> the synthesis of views and information and the outcomes of the online forum;</w:t>
      </w:r>
    </w:p>
    <w:p w14:paraId="4E8720D1" w14:textId="77777777" w:rsidR="00BB12DD" w:rsidRPr="00BB12DD" w:rsidRDefault="00BB12DD" w:rsidP="00BB12DD">
      <w:pPr>
        <w:suppressLineNumbers/>
        <w:tabs>
          <w:tab w:val="left" w:pos="720"/>
        </w:tabs>
        <w:suppressAutoHyphens/>
        <w:kinsoku w:val="0"/>
        <w:overflowPunct w:val="0"/>
        <w:autoSpaceDE w:val="0"/>
        <w:autoSpaceDN w:val="0"/>
        <w:snapToGrid w:val="0"/>
        <w:spacing w:before="120" w:after="120"/>
        <w:ind w:left="720"/>
        <w:rPr>
          <w:snapToGrid w:val="0"/>
          <w:szCs w:val="22"/>
        </w:rPr>
      </w:pPr>
      <w:r w:rsidRPr="00BB12DD">
        <w:rPr>
          <w:snapToGrid w:val="0"/>
          <w:szCs w:val="22"/>
        </w:rPr>
        <w:t>[2.</w:t>
      </w:r>
      <w:r w:rsidRPr="00BB12DD">
        <w:rPr>
          <w:snapToGrid w:val="0"/>
          <w:szCs w:val="22"/>
        </w:rPr>
        <w:tab/>
        <w:t xml:space="preserve">The Ad Hoc Technical Expert Group shall also identify options for modes of participation in the mechanism, sharing of benefits and governance as well as options for cooperation to address instances described in Article 11 of the Nagoya </w:t>
      </w:r>
      <w:r w:rsidRPr="00BB12DD">
        <w:rPr>
          <w:iCs/>
          <w:snapToGrid w:val="0"/>
          <w:kern w:val="22"/>
          <w:szCs w:val="22"/>
        </w:rPr>
        <w:t>Protocol</w:t>
      </w:r>
      <w:r w:rsidRPr="00BB12DD">
        <w:rPr>
          <w:snapToGrid w:val="0"/>
          <w:szCs w:val="22"/>
        </w:rPr>
        <w:t>;]</w:t>
      </w:r>
    </w:p>
    <w:p w14:paraId="3102C1BA" w14:textId="77777777" w:rsidR="00BB12DD" w:rsidRPr="00BB12DD" w:rsidRDefault="00BB12DD" w:rsidP="00BB12DD">
      <w:pPr>
        <w:suppressLineNumbers/>
        <w:tabs>
          <w:tab w:val="left" w:pos="720"/>
        </w:tabs>
        <w:suppressAutoHyphens/>
        <w:kinsoku w:val="0"/>
        <w:overflowPunct w:val="0"/>
        <w:autoSpaceDE w:val="0"/>
        <w:autoSpaceDN w:val="0"/>
        <w:snapToGrid w:val="0"/>
        <w:spacing w:before="120" w:after="120"/>
        <w:ind w:left="720"/>
        <w:rPr>
          <w:snapToGrid w:val="0"/>
          <w:szCs w:val="22"/>
        </w:rPr>
      </w:pPr>
      <w:r w:rsidRPr="00BB12DD">
        <w:rPr>
          <w:snapToGrid w:val="0"/>
          <w:szCs w:val="22"/>
        </w:rPr>
        <w:t>3.</w:t>
      </w:r>
      <w:r w:rsidRPr="00BB12DD">
        <w:rPr>
          <w:snapToGrid w:val="0"/>
          <w:szCs w:val="22"/>
        </w:rPr>
        <w:tab/>
        <w:t>The Ad Hoc Technical Expert Group shall:</w:t>
      </w:r>
    </w:p>
    <w:p w14:paraId="51CEC134" w14:textId="77777777" w:rsidR="00BB12DD" w:rsidRPr="00BB12DD" w:rsidRDefault="00BB12DD" w:rsidP="00BB12DD">
      <w:pPr>
        <w:spacing w:after="120"/>
        <w:ind w:left="720" w:firstLine="720"/>
        <w:textAlignment w:val="baseline"/>
        <w:rPr>
          <w:szCs w:val="22"/>
          <w:lang w:eastAsia="en-CA"/>
        </w:rPr>
      </w:pPr>
      <w:r w:rsidRPr="00BB12DD">
        <w:rPr>
          <w:szCs w:val="22"/>
          <w:lang w:eastAsia="en-CA"/>
        </w:rPr>
        <w:t>(a)</w:t>
      </w:r>
      <w:r w:rsidRPr="00BB12DD">
        <w:rPr>
          <w:szCs w:val="22"/>
          <w:lang w:eastAsia="en-CA"/>
        </w:rPr>
        <w:tab/>
        <w:t>Meet, subject to the availability of financial resources, at least once prior to the fourth meeting of the Subsidiary Body on Implementation;</w:t>
      </w:r>
    </w:p>
    <w:p w14:paraId="03D6D06B" w14:textId="77777777" w:rsidR="00BB12DD" w:rsidRPr="00BB12DD" w:rsidRDefault="00BB12DD" w:rsidP="00BB12DD">
      <w:pPr>
        <w:spacing w:after="120"/>
        <w:ind w:left="720" w:firstLine="720"/>
        <w:textAlignment w:val="baseline"/>
        <w:rPr>
          <w:szCs w:val="22"/>
          <w:lang w:eastAsia="en-CA"/>
        </w:rPr>
      </w:pPr>
      <w:r w:rsidRPr="00BB12DD">
        <w:rPr>
          <w:szCs w:val="22"/>
          <w:lang w:eastAsia="en-CA"/>
        </w:rPr>
        <w:lastRenderedPageBreak/>
        <w:t>(b)</w:t>
      </w:r>
      <w:r w:rsidRPr="00BB12DD">
        <w:rPr>
          <w:szCs w:val="22"/>
          <w:lang w:eastAsia="en-CA"/>
        </w:rPr>
        <w:tab/>
        <w:t>Include experts selected on the basis of their expertise on the issues under consideration, and participants representing indigenous peoples and local communities, and ensure equitable regional representation;</w:t>
      </w:r>
    </w:p>
    <w:p w14:paraId="63065B41" w14:textId="77777777" w:rsidR="00BB12DD" w:rsidRPr="00BB12DD" w:rsidRDefault="00BB12DD" w:rsidP="00BB12DD">
      <w:pPr>
        <w:spacing w:after="120"/>
        <w:ind w:left="720" w:firstLine="720"/>
        <w:textAlignment w:val="baseline"/>
        <w:rPr>
          <w:szCs w:val="22"/>
          <w:lang w:eastAsia="en-CA"/>
        </w:rPr>
      </w:pPr>
      <w:r w:rsidRPr="00BB12DD">
        <w:rPr>
          <w:szCs w:val="22"/>
          <w:lang w:eastAsia="en-CA"/>
        </w:rPr>
        <w:t>(c)</w:t>
      </w:r>
      <w:r w:rsidRPr="00BB12DD">
        <w:rPr>
          <w:szCs w:val="22"/>
          <w:lang w:eastAsia="en-CA"/>
        </w:rPr>
        <w:tab/>
        <w:t>Submit its outcomes to the Subsidiary Body on Implementation for consideration at its fourth meeting.</w:t>
      </w:r>
    </w:p>
    <w:p w14:paraId="05E7CA46" w14:textId="0497D89A" w:rsidR="00BB12DD" w:rsidRDefault="00BB12DD" w:rsidP="00BB12DD">
      <w:pPr>
        <w:suppressLineNumbers/>
        <w:tabs>
          <w:tab w:val="left" w:pos="720"/>
        </w:tabs>
        <w:suppressAutoHyphens/>
        <w:kinsoku w:val="0"/>
        <w:overflowPunct w:val="0"/>
        <w:autoSpaceDE w:val="0"/>
        <w:autoSpaceDN w:val="0"/>
        <w:snapToGrid w:val="0"/>
        <w:spacing w:before="120" w:after="120"/>
        <w:ind w:left="720"/>
        <w:rPr>
          <w:snapToGrid w:val="0"/>
          <w:szCs w:val="22"/>
        </w:rPr>
      </w:pPr>
      <w:r w:rsidRPr="00BB12DD">
        <w:rPr>
          <w:snapToGrid w:val="0"/>
          <w:szCs w:val="22"/>
        </w:rPr>
        <w:t>4.</w:t>
      </w:r>
      <w:r w:rsidRPr="00BB12DD">
        <w:rPr>
          <w:snapToGrid w:val="0"/>
          <w:szCs w:val="22"/>
        </w:rPr>
        <w:tab/>
        <w:t>The Ad Hoc Technical Expert Group will be convened in accordance with the procedure specified in paragraph 4, section C, of the annex to decision </w:t>
      </w:r>
      <w:hyperlink r:id="rId15" w:tgtFrame="_blank" w:history="1">
        <w:r w:rsidRPr="00BB12DD">
          <w:rPr>
            <w:snapToGrid w:val="0"/>
            <w:szCs w:val="22"/>
          </w:rPr>
          <w:t>XIII/25</w:t>
        </w:r>
      </w:hyperlink>
      <w:r w:rsidRPr="00BB12DD">
        <w:rPr>
          <w:snapToGrid w:val="0"/>
          <w:szCs w:val="22"/>
        </w:rPr>
        <w:t>, on the modus operandi of the Subsidiary Body on Implementation, which also applies, mutatis mutandis, to processes under the Nagoya Protocol. The procedure for avoiding or managing conflicts of interest in expert groups set out in the annex to decision 14/33 shall apply to the Ad Hoc Technical Expert Group.]]</w:t>
      </w:r>
    </w:p>
    <w:p w14:paraId="505D377A" w14:textId="77777777" w:rsidR="00BB12DD" w:rsidRDefault="00BB12DD" w:rsidP="00BB12DD">
      <w:pPr>
        <w:suppressLineNumbers/>
        <w:tabs>
          <w:tab w:val="left" w:pos="720"/>
        </w:tabs>
        <w:suppressAutoHyphens/>
        <w:kinsoku w:val="0"/>
        <w:overflowPunct w:val="0"/>
        <w:autoSpaceDE w:val="0"/>
        <w:autoSpaceDN w:val="0"/>
        <w:snapToGrid w:val="0"/>
        <w:spacing w:before="120" w:after="120"/>
        <w:ind w:left="720"/>
        <w:rPr>
          <w:snapToGrid w:val="0"/>
          <w:szCs w:val="22"/>
        </w:rPr>
      </w:pPr>
    </w:p>
    <w:p w14:paraId="03305883" w14:textId="77777777" w:rsidR="00BB12DD" w:rsidRPr="00BB12DD" w:rsidRDefault="00BB12DD" w:rsidP="00BB12DD">
      <w:pPr>
        <w:spacing w:before="120" w:after="120"/>
        <w:jc w:val="center"/>
        <w:rPr>
          <w:snapToGrid w:val="0"/>
          <w:szCs w:val="22"/>
        </w:rPr>
      </w:pPr>
      <w:r w:rsidRPr="00BB12DD">
        <w:rPr>
          <w:snapToGrid w:val="0"/>
          <w:szCs w:val="22"/>
          <w:shd w:val="clear" w:color="auto" w:fill="FFFFFF"/>
        </w:rPr>
        <w:t>__________</w:t>
      </w:r>
    </w:p>
    <w:p w14:paraId="77F0E034" w14:textId="77777777" w:rsidR="00BB12DD" w:rsidRPr="00BB12DD" w:rsidRDefault="00BB12DD" w:rsidP="00BB12DD">
      <w:pPr>
        <w:suppressLineNumbers/>
        <w:tabs>
          <w:tab w:val="left" w:pos="720"/>
        </w:tabs>
        <w:suppressAutoHyphens/>
        <w:kinsoku w:val="0"/>
        <w:overflowPunct w:val="0"/>
        <w:autoSpaceDE w:val="0"/>
        <w:autoSpaceDN w:val="0"/>
        <w:snapToGrid w:val="0"/>
        <w:spacing w:before="120" w:after="120"/>
        <w:ind w:left="720"/>
        <w:rPr>
          <w:snapToGrid w:val="0"/>
          <w:szCs w:val="22"/>
        </w:rPr>
      </w:pPr>
    </w:p>
    <w:p w14:paraId="7AE8A864" w14:textId="237B5728" w:rsidR="00544B6F" w:rsidRDefault="00544B6F" w:rsidP="00BB12DD">
      <w:pPr>
        <w:pStyle w:val="Para1"/>
        <w:numPr>
          <w:ilvl w:val="0"/>
          <w:numId w:val="0"/>
        </w:numPr>
      </w:pPr>
    </w:p>
    <w:p w14:paraId="4DCB625C" w14:textId="0E89528B" w:rsidR="00BB12DD" w:rsidRDefault="00BB12DD" w:rsidP="00BB12DD">
      <w:pPr>
        <w:pStyle w:val="Para1"/>
        <w:numPr>
          <w:ilvl w:val="0"/>
          <w:numId w:val="0"/>
        </w:numPr>
      </w:pPr>
    </w:p>
    <w:p w14:paraId="45306048" w14:textId="77777777" w:rsidR="00BB12DD" w:rsidRPr="00544B6F" w:rsidRDefault="00BB12DD" w:rsidP="00BB12DD">
      <w:pPr>
        <w:pStyle w:val="Para1"/>
        <w:numPr>
          <w:ilvl w:val="0"/>
          <w:numId w:val="0"/>
        </w:numPr>
      </w:pPr>
    </w:p>
    <w:sectPr w:rsidR="00BB12DD" w:rsidRPr="00544B6F" w:rsidSect="00E60F12">
      <w:headerReference w:type="even" r:id="rId16"/>
      <w:headerReference w:type="default" r:id="rId17"/>
      <w:pgSz w:w="12240" w:h="15840" w:code="1"/>
      <w:pgMar w:top="360" w:right="1440" w:bottom="1138" w:left="1440" w:header="525"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88610" w14:textId="77777777" w:rsidR="00F95828" w:rsidRDefault="00F95828" w:rsidP="00CF1848">
      <w:r>
        <w:separator/>
      </w:r>
    </w:p>
  </w:endnote>
  <w:endnote w:type="continuationSeparator" w:id="0">
    <w:p w14:paraId="3BA4E70D" w14:textId="77777777" w:rsidR="00F95828" w:rsidRDefault="00F9582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D56FE" w14:textId="77777777" w:rsidR="00F95828" w:rsidRDefault="00F95828" w:rsidP="00CF1848">
      <w:r>
        <w:separator/>
      </w:r>
    </w:p>
  </w:footnote>
  <w:footnote w:type="continuationSeparator" w:id="0">
    <w:p w14:paraId="2EE9604E" w14:textId="77777777" w:rsidR="00F95828" w:rsidRDefault="00F95828" w:rsidP="00CF1848">
      <w:r>
        <w:continuationSeparator/>
      </w:r>
    </w:p>
  </w:footnote>
  <w:footnote w:id="1">
    <w:p w14:paraId="284783FF" w14:textId="77777777" w:rsidR="00BB12DD" w:rsidRPr="0048594D" w:rsidRDefault="00BB12DD" w:rsidP="00BB12DD">
      <w:pPr>
        <w:pStyle w:val="FootnoteText"/>
        <w:jc w:val="left"/>
        <w:rPr>
          <w:szCs w:val="18"/>
          <w:lang w:val="en-CA"/>
        </w:rPr>
      </w:pPr>
      <w:r w:rsidRPr="0048594D">
        <w:rPr>
          <w:rStyle w:val="FootnoteReference"/>
          <w:sz w:val="18"/>
          <w:szCs w:val="18"/>
        </w:rPr>
        <w:footnoteRef/>
      </w:r>
      <w:r w:rsidRPr="0048594D">
        <w:rPr>
          <w:szCs w:val="18"/>
        </w:rPr>
        <w:t xml:space="preserve"> CBD/SBI/3/15/Add.1.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3B8EE6D" w:rsidR="00534681" w:rsidRPr="00134846" w:rsidRDefault="00911C9F" w:rsidP="00534681">
        <w:pPr>
          <w:pStyle w:val="Header"/>
          <w:rPr>
            <w:lang w:val="fr-FR"/>
          </w:rPr>
        </w:pPr>
        <w:r>
          <w:rPr>
            <w:lang w:val="fr-FR"/>
          </w:rPr>
          <w:t>CBD/SBI/REC/3/17</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089F9901" w:rsidR="009505C9" w:rsidRPr="00134846" w:rsidRDefault="00911C9F" w:rsidP="009505C9">
        <w:pPr>
          <w:pStyle w:val="Header"/>
          <w:jc w:val="right"/>
          <w:rPr>
            <w:lang w:val="fr-FR"/>
          </w:rPr>
        </w:pPr>
        <w:r>
          <w:rPr>
            <w:lang w:val="fr-FR"/>
          </w:rPr>
          <w:t>CBD/SBI/REC/3/17</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289"/>
    <w:multiLevelType w:val="hybridMultilevel"/>
    <w:tmpl w:val="F2044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B10AC"/>
    <w:multiLevelType w:val="hybridMultilevel"/>
    <w:tmpl w:val="9FCE1CFC"/>
    <w:lvl w:ilvl="0" w:tplc="3FB0B6D4">
      <w:start w:val="1"/>
      <w:numFmt w:val="decimal"/>
      <w:lvlText w:val="%1."/>
      <w:lvlJc w:val="left"/>
      <w:pPr>
        <w:ind w:left="72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36675"/>
    <w:multiLevelType w:val="hybridMultilevel"/>
    <w:tmpl w:val="5644F936"/>
    <w:lvl w:ilvl="0" w:tplc="A336B7D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D7E55"/>
    <w:multiLevelType w:val="hybridMultilevel"/>
    <w:tmpl w:val="C966F52A"/>
    <w:lvl w:ilvl="0" w:tplc="10090003">
      <w:start w:val="1"/>
      <w:numFmt w:val="bullet"/>
      <w:lvlText w:val="o"/>
      <w:lvlJc w:val="left"/>
      <w:pPr>
        <w:ind w:left="2479" w:hanging="360"/>
      </w:pPr>
      <w:rPr>
        <w:rFonts w:ascii="Courier New" w:hAnsi="Courier New" w:cs="Courier New" w:hint="default"/>
      </w:rPr>
    </w:lvl>
    <w:lvl w:ilvl="1" w:tplc="10090003" w:tentative="1">
      <w:start w:val="1"/>
      <w:numFmt w:val="bullet"/>
      <w:lvlText w:val="o"/>
      <w:lvlJc w:val="left"/>
      <w:pPr>
        <w:ind w:left="3199" w:hanging="360"/>
      </w:pPr>
      <w:rPr>
        <w:rFonts w:ascii="Courier New" w:hAnsi="Courier New" w:cs="Courier New" w:hint="default"/>
      </w:rPr>
    </w:lvl>
    <w:lvl w:ilvl="2" w:tplc="10090005" w:tentative="1">
      <w:start w:val="1"/>
      <w:numFmt w:val="bullet"/>
      <w:lvlText w:val=""/>
      <w:lvlJc w:val="left"/>
      <w:pPr>
        <w:ind w:left="3919" w:hanging="360"/>
      </w:pPr>
      <w:rPr>
        <w:rFonts w:ascii="Wingdings" w:hAnsi="Wingdings" w:hint="default"/>
      </w:rPr>
    </w:lvl>
    <w:lvl w:ilvl="3" w:tplc="10090001" w:tentative="1">
      <w:start w:val="1"/>
      <w:numFmt w:val="bullet"/>
      <w:lvlText w:val=""/>
      <w:lvlJc w:val="left"/>
      <w:pPr>
        <w:ind w:left="4639" w:hanging="360"/>
      </w:pPr>
      <w:rPr>
        <w:rFonts w:ascii="Symbol" w:hAnsi="Symbol" w:hint="default"/>
      </w:rPr>
    </w:lvl>
    <w:lvl w:ilvl="4" w:tplc="10090003" w:tentative="1">
      <w:start w:val="1"/>
      <w:numFmt w:val="bullet"/>
      <w:lvlText w:val="o"/>
      <w:lvlJc w:val="left"/>
      <w:pPr>
        <w:ind w:left="5359" w:hanging="360"/>
      </w:pPr>
      <w:rPr>
        <w:rFonts w:ascii="Courier New" w:hAnsi="Courier New" w:cs="Courier New" w:hint="default"/>
      </w:rPr>
    </w:lvl>
    <w:lvl w:ilvl="5" w:tplc="10090005" w:tentative="1">
      <w:start w:val="1"/>
      <w:numFmt w:val="bullet"/>
      <w:lvlText w:val=""/>
      <w:lvlJc w:val="left"/>
      <w:pPr>
        <w:ind w:left="6079" w:hanging="360"/>
      </w:pPr>
      <w:rPr>
        <w:rFonts w:ascii="Wingdings" w:hAnsi="Wingdings" w:hint="default"/>
      </w:rPr>
    </w:lvl>
    <w:lvl w:ilvl="6" w:tplc="10090001" w:tentative="1">
      <w:start w:val="1"/>
      <w:numFmt w:val="bullet"/>
      <w:lvlText w:val=""/>
      <w:lvlJc w:val="left"/>
      <w:pPr>
        <w:ind w:left="6799" w:hanging="360"/>
      </w:pPr>
      <w:rPr>
        <w:rFonts w:ascii="Symbol" w:hAnsi="Symbol" w:hint="default"/>
      </w:rPr>
    </w:lvl>
    <w:lvl w:ilvl="7" w:tplc="10090003" w:tentative="1">
      <w:start w:val="1"/>
      <w:numFmt w:val="bullet"/>
      <w:lvlText w:val="o"/>
      <w:lvlJc w:val="left"/>
      <w:pPr>
        <w:ind w:left="7519" w:hanging="360"/>
      </w:pPr>
      <w:rPr>
        <w:rFonts w:ascii="Courier New" w:hAnsi="Courier New" w:cs="Courier New" w:hint="default"/>
      </w:rPr>
    </w:lvl>
    <w:lvl w:ilvl="8" w:tplc="10090005" w:tentative="1">
      <w:start w:val="1"/>
      <w:numFmt w:val="bullet"/>
      <w:lvlText w:val=""/>
      <w:lvlJc w:val="left"/>
      <w:pPr>
        <w:ind w:left="8239" w:hanging="360"/>
      </w:pPr>
      <w:rPr>
        <w:rFonts w:ascii="Wingdings" w:hAnsi="Wingdings" w:hint="default"/>
      </w:rPr>
    </w:lvl>
  </w:abstractNum>
  <w:abstractNum w:abstractNumId="6" w15:restartNumberingAfterBreak="0">
    <w:nsid w:val="11772D19"/>
    <w:multiLevelType w:val="hybridMultilevel"/>
    <w:tmpl w:val="8892BB70"/>
    <w:lvl w:ilvl="0" w:tplc="FFFFFFFF">
      <w:start w:val="1"/>
      <w:numFmt w:val="bullet"/>
      <w:lvlText w:val="o"/>
      <w:lvlJc w:val="left"/>
      <w:pPr>
        <w:ind w:left="2173" w:hanging="360"/>
      </w:pPr>
      <w:rPr>
        <w:rFonts w:ascii="Courier New" w:hAnsi="Courier New" w:hint="default"/>
        <w:b w:val="0"/>
        <w:bCs w:val="0"/>
        <w:i w:val="0"/>
        <w:iCs w:val="0"/>
        <w:w w:val="100"/>
        <w:sz w:val="22"/>
        <w:szCs w:val="22"/>
        <w:lang w:val="en-US" w:eastAsia="en-US" w:bidi="ar-SA"/>
      </w:rPr>
    </w:lvl>
    <w:lvl w:ilvl="1" w:tplc="06E2859A">
      <w:numFmt w:val="bullet"/>
      <w:lvlText w:val="•"/>
      <w:lvlJc w:val="left"/>
      <w:pPr>
        <w:ind w:left="3048" w:hanging="360"/>
      </w:pPr>
      <w:rPr>
        <w:rFonts w:hint="default"/>
        <w:lang w:val="en-US" w:eastAsia="en-US" w:bidi="ar-SA"/>
      </w:rPr>
    </w:lvl>
    <w:lvl w:ilvl="2" w:tplc="DA7C8540">
      <w:numFmt w:val="bullet"/>
      <w:lvlText w:val="•"/>
      <w:lvlJc w:val="left"/>
      <w:pPr>
        <w:ind w:left="3916" w:hanging="360"/>
      </w:pPr>
      <w:rPr>
        <w:rFonts w:hint="default"/>
        <w:lang w:val="en-US" w:eastAsia="en-US" w:bidi="ar-SA"/>
      </w:rPr>
    </w:lvl>
    <w:lvl w:ilvl="3" w:tplc="5F1C3F0A">
      <w:numFmt w:val="bullet"/>
      <w:lvlText w:val="•"/>
      <w:lvlJc w:val="left"/>
      <w:pPr>
        <w:ind w:left="4784" w:hanging="360"/>
      </w:pPr>
      <w:rPr>
        <w:rFonts w:hint="default"/>
        <w:lang w:val="en-US" w:eastAsia="en-US" w:bidi="ar-SA"/>
      </w:rPr>
    </w:lvl>
    <w:lvl w:ilvl="4" w:tplc="E1DC5BE0">
      <w:numFmt w:val="bullet"/>
      <w:lvlText w:val="•"/>
      <w:lvlJc w:val="left"/>
      <w:pPr>
        <w:ind w:left="5652" w:hanging="360"/>
      </w:pPr>
      <w:rPr>
        <w:rFonts w:hint="default"/>
        <w:lang w:val="en-US" w:eastAsia="en-US" w:bidi="ar-SA"/>
      </w:rPr>
    </w:lvl>
    <w:lvl w:ilvl="5" w:tplc="FD728994">
      <w:numFmt w:val="bullet"/>
      <w:lvlText w:val="•"/>
      <w:lvlJc w:val="left"/>
      <w:pPr>
        <w:ind w:left="6520" w:hanging="360"/>
      </w:pPr>
      <w:rPr>
        <w:rFonts w:hint="default"/>
        <w:lang w:val="en-US" w:eastAsia="en-US" w:bidi="ar-SA"/>
      </w:rPr>
    </w:lvl>
    <w:lvl w:ilvl="6" w:tplc="7092EC9A">
      <w:numFmt w:val="bullet"/>
      <w:lvlText w:val="•"/>
      <w:lvlJc w:val="left"/>
      <w:pPr>
        <w:ind w:left="7388" w:hanging="360"/>
      </w:pPr>
      <w:rPr>
        <w:rFonts w:hint="default"/>
        <w:lang w:val="en-US" w:eastAsia="en-US" w:bidi="ar-SA"/>
      </w:rPr>
    </w:lvl>
    <w:lvl w:ilvl="7" w:tplc="7FA454A0">
      <w:numFmt w:val="bullet"/>
      <w:lvlText w:val="•"/>
      <w:lvlJc w:val="left"/>
      <w:pPr>
        <w:ind w:left="8256" w:hanging="360"/>
      </w:pPr>
      <w:rPr>
        <w:rFonts w:hint="default"/>
        <w:lang w:val="en-US" w:eastAsia="en-US" w:bidi="ar-SA"/>
      </w:rPr>
    </w:lvl>
    <w:lvl w:ilvl="8" w:tplc="E4D6875E">
      <w:numFmt w:val="bullet"/>
      <w:lvlText w:val="•"/>
      <w:lvlJc w:val="left"/>
      <w:pPr>
        <w:ind w:left="9124" w:hanging="360"/>
      </w:pPr>
      <w:rPr>
        <w:rFonts w:hint="default"/>
        <w:lang w:val="en-US" w:eastAsia="en-US" w:bidi="ar-SA"/>
      </w:rPr>
    </w:lvl>
  </w:abstractNum>
  <w:abstractNum w:abstractNumId="7" w15:restartNumberingAfterBreak="0">
    <w:nsid w:val="129C2C88"/>
    <w:multiLevelType w:val="hybridMultilevel"/>
    <w:tmpl w:val="3556B542"/>
    <w:lvl w:ilvl="0" w:tplc="3EDCE0F4">
      <w:start w:val="1"/>
      <w:numFmt w:val="lowerRoman"/>
      <w:lvlText w:val="%1)"/>
      <w:lvlJc w:val="left"/>
      <w:pPr>
        <w:ind w:left="1453" w:hanging="308"/>
      </w:pPr>
      <w:rPr>
        <w:rFonts w:ascii="Arial" w:eastAsia="Arial" w:hAnsi="Arial" w:cs="Arial" w:hint="default"/>
        <w:b w:val="0"/>
        <w:bCs w:val="0"/>
        <w:i w:val="0"/>
        <w:iCs w:val="0"/>
        <w:spacing w:val="-2"/>
        <w:w w:val="100"/>
        <w:sz w:val="22"/>
        <w:szCs w:val="22"/>
        <w:lang w:val="en-US" w:eastAsia="en-US" w:bidi="ar-SA"/>
      </w:rPr>
    </w:lvl>
    <w:lvl w:ilvl="1" w:tplc="6ED8E412">
      <w:numFmt w:val="bullet"/>
      <w:lvlText w:val="•"/>
      <w:lvlJc w:val="left"/>
      <w:pPr>
        <w:ind w:left="2400" w:hanging="308"/>
      </w:pPr>
      <w:rPr>
        <w:rFonts w:hint="default"/>
        <w:lang w:val="en-US" w:eastAsia="en-US" w:bidi="ar-SA"/>
      </w:rPr>
    </w:lvl>
    <w:lvl w:ilvl="2" w:tplc="4D8E9194">
      <w:numFmt w:val="bullet"/>
      <w:lvlText w:val="•"/>
      <w:lvlJc w:val="left"/>
      <w:pPr>
        <w:ind w:left="3340" w:hanging="308"/>
      </w:pPr>
      <w:rPr>
        <w:rFonts w:hint="default"/>
        <w:lang w:val="en-US" w:eastAsia="en-US" w:bidi="ar-SA"/>
      </w:rPr>
    </w:lvl>
    <w:lvl w:ilvl="3" w:tplc="68CE3D80">
      <w:numFmt w:val="bullet"/>
      <w:lvlText w:val="•"/>
      <w:lvlJc w:val="left"/>
      <w:pPr>
        <w:ind w:left="4280" w:hanging="308"/>
      </w:pPr>
      <w:rPr>
        <w:rFonts w:hint="default"/>
        <w:lang w:val="en-US" w:eastAsia="en-US" w:bidi="ar-SA"/>
      </w:rPr>
    </w:lvl>
    <w:lvl w:ilvl="4" w:tplc="C8143CE6">
      <w:numFmt w:val="bullet"/>
      <w:lvlText w:val="•"/>
      <w:lvlJc w:val="left"/>
      <w:pPr>
        <w:ind w:left="5220" w:hanging="308"/>
      </w:pPr>
      <w:rPr>
        <w:rFonts w:hint="default"/>
        <w:lang w:val="en-US" w:eastAsia="en-US" w:bidi="ar-SA"/>
      </w:rPr>
    </w:lvl>
    <w:lvl w:ilvl="5" w:tplc="8DE61B56">
      <w:numFmt w:val="bullet"/>
      <w:lvlText w:val="•"/>
      <w:lvlJc w:val="left"/>
      <w:pPr>
        <w:ind w:left="6160" w:hanging="308"/>
      </w:pPr>
      <w:rPr>
        <w:rFonts w:hint="default"/>
        <w:lang w:val="en-US" w:eastAsia="en-US" w:bidi="ar-SA"/>
      </w:rPr>
    </w:lvl>
    <w:lvl w:ilvl="6" w:tplc="34FAA44A">
      <w:numFmt w:val="bullet"/>
      <w:lvlText w:val="•"/>
      <w:lvlJc w:val="left"/>
      <w:pPr>
        <w:ind w:left="7100" w:hanging="308"/>
      </w:pPr>
      <w:rPr>
        <w:rFonts w:hint="default"/>
        <w:lang w:val="en-US" w:eastAsia="en-US" w:bidi="ar-SA"/>
      </w:rPr>
    </w:lvl>
    <w:lvl w:ilvl="7" w:tplc="41F4BEF4">
      <w:numFmt w:val="bullet"/>
      <w:lvlText w:val="•"/>
      <w:lvlJc w:val="left"/>
      <w:pPr>
        <w:ind w:left="8040" w:hanging="308"/>
      </w:pPr>
      <w:rPr>
        <w:rFonts w:hint="default"/>
        <w:lang w:val="en-US" w:eastAsia="en-US" w:bidi="ar-SA"/>
      </w:rPr>
    </w:lvl>
    <w:lvl w:ilvl="8" w:tplc="49F24FA4">
      <w:numFmt w:val="bullet"/>
      <w:lvlText w:val="•"/>
      <w:lvlJc w:val="left"/>
      <w:pPr>
        <w:ind w:left="8980" w:hanging="308"/>
      </w:pPr>
      <w:rPr>
        <w:rFonts w:hint="default"/>
        <w:lang w:val="en-US" w:eastAsia="en-US" w:bidi="ar-SA"/>
      </w:rPr>
    </w:lvl>
  </w:abstractNum>
  <w:abstractNum w:abstractNumId="8" w15:restartNumberingAfterBreak="0">
    <w:nsid w:val="12A33386"/>
    <w:multiLevelType w:val="hybridMultilevel"/>
    <w:tmpl w:val="678844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81B8C"/>
    <w:multiLevelType w:val="hybridMultilevel"/>
    <w:tmpl w:val="CA3E2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92592C"/>
    <w:multiLevelType w:val="hybridMultilevel"/>
    <w:tmpl w:val="90E062E0"/>
    <w:lvl w:ilvl="0" w:tplc="1708EBD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A0A14"/>
    <w:multiLevelType w:val="hybridMultilevel"/>
    <w:tmpl w:val="B3987D48"/>
    <w:lvl w:ilvl="0" w:tplc="10090003">
      <w:start w:val="1"/>
      <w:numFmt w:val="bullet"/>
      <w:lvlText w:val="o"/>
      <w:lvlJc w:val="left"/>
      <w:pPr>
        <w:ind w:left="2173" w:hanging="360"/>
      </w:pPr>
      <w:rPr>
        <w:rFonts w:ascii="Courier New" w:hAnsi="Courier New" w:cs="Courier New" w:hint="default"/>
      </w:rPr>
    </w:lvl>
    <w:lvl w:ilvl="1" w:tplc="10090003" w:tentative="1">
      <w:start w:val="1"/>
      <w:numFmt w:val="bullet"/>
      <w:lvlText w:val="o"/>
      <w:lvlJc w:val="left"/>
      <w:pPr>
        <w:ind w:left="2893" w:hanging="360"/>
      </w:pPr>
      <w:rPr>
        <w:rFonts w:ascii="Courier New" w:hAnsi="Courier New" w:cs="Courier New" w:hint="default"/>
      </w:rPr>
    </w:lvl>
    <w:lvl w:ilvl="2" w:tplc="10090005" w:tentative="1">
      <w:start w:val="1"/>
      <w:numFmt w:val="bullet"/>
      <w:lvlText w:val=""/>
      <w:lvlJc w:val="left"/>
      <w:pPr>
        <w:ind w:left="3613" w:hanging="360"/>
      </w:pPr>
      <w:rPr>
        <w:rFonts w:ascii="Wingdings" w:hAnsi="Wingdings" w:hint="default"/>
      </w:rPr>
    </w:lvl>
    <w:lvl w:ilvl="3" w:tplc="10090001" w:tentative="1">
      <w:start w:val="1"/>
      <w:numFmt w:val="bullet"/>
      <w:lvlText w:val=""/>
      <w:lvlJc w:val="left"/>
      <w:pPr>
        <w:ind w:left="4333" w:hanging="360"/>
      </w:pPr>
      <w:rPr>
        <w:rFonts w:ascii="Symbol" w:hAnsi="Symbol" w:hint="default"/>
      </w:rPr>
    </w:lvl>
    <w:lvl w:ilvl="4" w:tplc="10090003" w:tentative="1">
      <w:start w:val="1"/>
      <w:numFmt w:val="bullet"/>
      <w:lvlText w:val="o"/>
      <w:lvlJc w:val="left"/>
      <w:pPr>
        <w:ind w:left="5053" w:hanging="360"/>
      </w:pPr>
      <w:rPr>
        <w:rFonts w:ascii="Courier New" w:hAnsi="Courier New" w:cs="Courier New" w:hint="default"/>
      </w:rPr>
    </w:lvl>
    <w:lvl w:ilvl="5" w:tplc="10090005" w:tentative="1">
      <w:start w:val="1"/>
      <w:numFmt w:val="bullet"/>
      <w:lvlText w:val=""/>
      <w:lvlJc w:val="left"/>
      <w:pPr>
        <w:ind w:left="5773" w:hanging="360"/>
      </w:pPr>
      <w:rPr>
        <w:rFonts w:ascii="Wingdings" w:hAnsi="Wingdings" w:hint="default"/>
      </w:rPr>
    </w:lvl>
    <w:lvl w:ilvl="6" w:tplc="10090001" w:tentative="1">
      <w:start w:val="1"/>
      <w:numFmt w:val="bullet"/>
      <w:lvlText w:val=""/>
      <w:lvlJc w:val="left"/>
      <w:pPr>
        <w:ind w:left="6493" w:hanging="360"/>
      </w:pPr>
      <w:rPr>
        <w:rFonts w:ascii="Symbol" w:hAnsi="Symbol" w:hint="default"/>
      </w:rPr>
    </w:lvl>
    <w:lvl w:ilvl="7" w:tplc="10090003" w:tentative="1">
      <w:start w:val="1"/>
      <w:numFmt w:val="bullet"/>
      <w:lvlText w:val="o"/>
      <w:lvlJc w:val="left"/>
      <w:pPr>
        <w:ind w:left="7213" w:hanging="360"/>
      </w:pPr>
      <w:rPr>
        <w:rFonts w:ascii="Courier New" w:hAnsi="Courier New" w:cs="Courier New" w:hint="default"/>
      </w:rPr>
    </w:lvl>
    <w:lvl w:ilvl="8" w:tplc="10090005" w:tentative="1">
      <w:start w:val="1"/>
      <w:numFmt w:val="bullet"/>
      <w:lvlText w:val=""/>
      <w:lvlJc w:val="left"/>
      <w:pPr>
        <w:ind w:left="7933" w:hanging="360"/>
      </w:pPr>
      <w:rPr>
        <w:rFonts w:ascii="Wingdings" w:hAnsi="Wingdings" w:hint="default"/>
      </w:rPr>
    </w:lvl>
  </w:abstractNum>
  <w:abstractNum w:abstractNumId="13" w15:restartNumberingAfterBreak="0">
    <w:nsid w:val="28D93DEE"/>
    <w:multiLevelType w:val="hybridMultilevel"/>
    <w:tmpl w:val="230604CE"/>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049FC"/>
    <w:multiLevelType w:val="hybridMultilevel"/>
    <w:tmpl w:val="0C4A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F480B8B"/>
    <w:multiLevelType w:val="hybridMultilevel"/>
    <w:tmpl w:val="001A2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C7A3C"/>
    <w:multiLevelType w:val="hybridMultilevel"/>
    <w:tmpl w:val="C598D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97B23"/>
    <w:multiLevelType w:val="hybridMultilevel"/>
    <w:tmpl w:val="18A23C62"/>
    <w:lvl w:ilvl="0" w:tplc="37EA7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84A63"/>
    <w:multiLevelType w:val="hybridMultilevel"/>
    <w:tmpl w:val="5824B092"/>
    <w:lvl w:ilvl="0" w:tplc="1BFCF478">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6748D"/>
    <w:multiLevelType w:val="hybridMultilevel"/>
    <w:tmpl w:val="1B90DAB4"/>
    <w:lvl w:ilvl="0" w:tplc="0306347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163DD"/>
    <w:multiLevelType w:val="hybridMultilevel"/>
    <w:tmpl w:val="AF8886FA"/>
    <w:lvl w:ilvl="0" w:tplc="D1BCADD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27A55"/>
    <w:multiLevelType w:val="hybridMultilevel"/>
    <w:tmpl w:val="27540C00"/>
    <w:lvl w:ilvl="0" w:tplc="B0A684E8">
      <w:start w:val="2"/>
      <w:numFmt w:val="lowerLetter"/>
      <w:lvlText w:val="%1."/>
      <w:lvlJc w:val="left"/>
      <w:pPr>
        <w:ind w:left="2172" w:hanging="360"/>
      </w:pPr>
      <w:rPr>
        <w:rFonts w:hint="default"/>
        <w:u w:val="single"/>
      </w:rPr>
    </w:lvl>
    <w:lvl w:ilvl="1" w:tplc="04090019" w:tentative="1">
      <w:start w:val="1"/>
      <w:numFmt w:val="lowerLetter"/>
      <w:lvlText w:val="%2."/>
      <w:lvlJc w:val="left"/>
      <w:pPr>
        <w:ind w:left="2892" w:hanging="360"/>
      </w:pPr>
    </w:lvl>
    <w:lvl w:ilvl="2" w:tplc="0409001B" w:tentative="1">
      <w:start w:val="1"/>
      <w:numFmt w:val="lowerRoman"/>
      <w:lvlText w:val="%3."/>
      <w:lvlJc w:val="right"/>
      <w:pPr>
        <w:ind w:left="3612" w:hanging="180"/>
      </w:pPr>
    </w:lvl>
    <w:lvl w:ilvl="3" w:tplc="0409000F" w:tentative="1">
      <w:start w:val="1"/>
      <w:numFmt w:val="decimal"/>
      <w:lvlText w:val="%4."/>
      <w:lvlJc w:val="left"/>
      <w:pPr>
        <w:ind w:left="4332" w:hanging="360"/>
      </w:pPr>
    </w:lvl>
    <w:lvl w:ilvl="4" w:tplc="04090019" w:tentative="1">
      <w:start w:val="1"/>
      <w:numFmt w:val="lowerLetter"/>
      <w:lvlText w:val="%5."/>
      <w:lvlJc w:val="left"/>
      <w:pPr>
        <w:ind w:left="5052" w:hanging="360"/>
      </w:pPr>
    </w:lvl>
    <w:lvl w:ilvl="5" w:tplc="0409001B" w:tentative="1">
      <w:start w:val="1"/>
      <w:numFmt w:val="lowerRoman"/>
      <w:lvlText w:val="%6."/>
      <w:lvlJc w:val="right"/>
      <w:pPr>
        <w:ind w:left="5772" w:hanging="180"/>
      </w:pPr>
    </w:lvl>
    <w:lvl w:ilvl="6" w:tplc="0409000F" w:tentative="1">
      <w:start w:val="1"/>
      <w:numFmt w:val="decimal"/>
      <w:lvlText w:val="%7."/>
      <w:lvlJc w:val="left"/>
      <w:pPr>
        <w:ind w:left="6492" w:hanging="360"/>
      </w:pPr>
    </w:lvl>
    <w:lvl w:ilvl="7" w:tplc="04090019" w:tentative="1">
      <w:start w:val="1"/>
      <w:numFmt w:val="lowerLetter"/>
      <w:lvlText w:val="%8."/>
      <w:lvlJc w:val="left"/>
      <w:pPr>
        <w:ind w:left="7212" w:hanging="360"/>
      </w:pPr>
    </w:lvl>
    <w:lvl w:ilvl="8" w:tplc="0409001B" w:tentative="1">
      <w:start w:val="1"/>
      <w:numFmt w:val="lowerRoman"/>
      <w:lvlText w:val="%9."/>
      <w:lvlJc w:val="right"/>
      <w:pPr>
        <w:ind w:left="7932" w:hanging="180"/>
      </w:pPr>
    </w:lvl>
  </w:abstractNum>
  <w:abstractNum w:abstractNumId="23" w15:restartNumberingAfterBreak="0">
    <w:nsid w:val="42A14C4A"/>
    <w:multiLevelType w:val="hybridMultilevel"/>
    <w:tmpl w:val="7590A91A"/>
    <w:lvl w:ilvl="0" w:tplc="9030E3FE">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D0871"/>
    <w:multiLevelType w:val="hybridMultilevel"/>
    <w:tmpl w:val="431ACA90"/>
    <w:lvl w:ilvl="0" w:tplc="A4EA1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455D53EA"/>
    <w:multiLevelType w:val="hybridMultilevel"/>
    <w:tmpl w:val="6318F498"/>
    <w:lvl w:ilvl="0" w:tplc="310CF5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5C4155"/>
    <w:multiLevelType w:val="hybridMultilevel"/>
    <w:tmpl w:val="0E2CE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F262BA2"/>
    <w:multiLevelType w:val="hybridMultilevel"/>
    <w:tmpl w:val="4A0E74EC"/>
    <w:lvl w:ilvl="0" w:tplc="1E3424CC">
      <w:start w:val="3"/>
      <w:numFmt w:val="lowerRoman"/>
      <w:lvlText w:val="%1."/>
      <w:lvlJc w:val="left"/>
      <w:pPr>
        <w:ind w:left="2730" w:hanging="918"/>
      </w:pPr>
      <w:rPr>
        <w:rFonts w:ascii="Arial" w:eastAsia="Arial" w:hAnsi="Arial" w:cs="Arial" w:hint="default"/>
        <w:b w:val="0"/>
        <w:bCs w:val="0"/>
        <w:i w:val="0"/>
        <w:iCs w:val="0"/>
        <w:spacing w:val="-2"/>
        <w:w w:val="100"/>
        <w:sz w:val="22"/>
        <w:szCs w:val="22"/>
        <w:lang w:val="en-US" w:eastAsia="en-US" w:bidi="ar-SA"/>
      </w:rPr>
    </w:lvl>
    <w:lvl w:ilvl="1" w:tplc="0306347E">
      <w:numFmt w:val="bullet"/>
      <w:lvlText w:val="•"/>
      <w:lvlJc w:val="left"/>
      <w:pPr>
        <w:ind w:left="3552" w:hanging="918"/>
      </w:pPr>
      <w:rPr>
        <w:rFonts w:hint="default"/>
        <w:lang w:val="en-US" w:eastAsia="en-US" w:bidi="ar-SA"/>
      </w:rPr>
    </w:lvl>
    <w:lvl w:ilvl="2" w:tplc="293407AA">
      <w:numFmt w:val="bullet"/>
      <w:lvlText w:val="•"/>
      <w:lvlJc w:val="left"/>
      <w:pPr>
        <w:ind w:left="4364" w:hanging="918"/>
      </w:pPr>
      <w:rPr>
        <w:rFonts w:hint="default"/>
        <w:lang w:val="en-US" w:eastAsia="en-US" w:bidi="ar-SA"/>
      </w:rPr>
    </w:lvl>
    <w:lvl w:ilvl="3" w:tplc="4852DE2C">
      <w:numFmt w:val="bullet"/>
      <w:lvlText w:val="•"/>
      <w:lvlJc w:val="left"/>
      <w:pPr>
        <w:ind w:left="5176" w:hanging="918"/>
      </w:pPr>
      <w:rPr>
        <w:rFonts w:hint="default"/>
        <w:lang w:val="en-US" w:eastAsia="en-US" w:bidi="ar-SA"/>
      </w:rPr>
    </w:lvl>
    <w:lvl w:ilvl="4" w:tplc="FF4252FC">
      <w:numFmt w:val="bullet"/>
      <w:lvlText w:val="•"/>
      <w:lvlJc w:val="left"/>
      <w:pPr>
        <w:ind w:left="5988" w:hanging="918"/>
      </w:pPr>
      <w:rPr>
        <w:rFonts w:hint="default"/>
        <w:lang w:val="en-US" w:eastAsia="en-US" w:bidi="ar-SA"/>
      </w:rPr>
    </w:lvl>
    <w:lvl w:ilvl="5" w:tplc="0A747D26">
      <w:numFmt w:val="bullet"/>
      <w:lvlText w:val="•"/>
      <w:lvlJc w:val="left"/>
      <w:pPr>
        <w:ind w:left="6800" w:hanging="918"/>
      </w:pPr>
      <w:rPr>
        <w:rFonts w:hint="default"/>
        <w:lang w:val="en-US" w:eastAsia="en-US" w:bidi="ar-SA"/>
      </w:rPr>
    </w:lvl>
    <w:lvl w:ilvl="6" w:tplc="AA0E88BE">
      <w:numFmt w:val="bullet"/>
      <w:lvlText w:val="•"/>
      <w:lvlJc w:val="left"/>
      <w:pPr>
        <w:ind w:left="7612" w:hanging="918"/>
      </w:pPr>
      <w:rPr>
        <w:rFonts w:hint="default"/>
        <w:lang w:val="en-US" w:eastAsia="en-US" w:bidi="ar-SA"/>
      </w:rPr>
    </w:lvl>
    <w:lvl w:ilvl="7" w:tplc="6ACEDFBE">
      <w:numFmt w:val="bullet"/>
      <w:lvlText w:val="•"/>
      <w:lvlJc w:val="left"/>
      <w:pPr>
        <w:ind w:left="8424" w:hanging="918"/>
      </w:pPr>
      <w:rPr>
        <w:rFonts w:hint="default"/>
        <w:lang w:val="en-US" w:eastAsia="en-US" w:bidi="ar-SA"/>
      </w:rPr>
    </w:lvl>
    <w:lvl w:ilvl="8" w:tplc="05B06B76">
      <w:numFmt w:val="bullet"/>
      <w:lvlText w:val="•"/>
      <w:lvlJc w:val="left"/>
      <w:pPr>
        <w:ind w:left="9236" w:hanging="918"/>
      </w:pPr>
      <w:rPr>
        <w:rFonts w:hint="default"/>
        <w:lang w:val="en-US" w:eastAsia="en-US" w:bidi="ar-SA"/>
      </w:rPr>
    </w:lvl>
  </w:abstractNum>
  <w:abstractNum w:abstractNumId="31"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38719FD"/>
    <w:multiLevelType w:val="hybridMultilevel"/>
    <w:tmpl w:val="52F278B8"/>
    <w:lvl w:ilvl="0" w:tplc="2EFAB52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A2B6B"/>
    <w:multiLevelType w:val="hybridMultilevel"/>
    <w:tmpl w:val="AF560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CD4629"/>
    <w:multiLevelType w:val="multilevel"/>
    <w:tmpl w:val="93CC9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297318"/>
    <w:multiLevelType w:val="hybridMultilevel"/>
    <w:tmpl w:val="AF7A7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C60181"/>
    <w:multiLevelType w:val="hybridMultilevel"/>
    <w:tmpl w:val="24E864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C65651A"/>
    <w:multiLevelType w:val="hybridMultilevel"/>
    <w:tmpl w:val="F21A5C6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5A1E73"/>
    <w:multiLevelType w:val="hybridMultilevel"/>
    <w:tmpl w:val="99827BF8"/>
    <w:lvl w:ilvl="0" w:tplc="9030E3FE">
      <w:start w:val="1"/>
      <w:numFmt w:val="lowerLetter"/>
      <w:lvlText w:val="%1."/>
      <w:lvlJc w:val="left"/>
      <w:pPr>
        <w:ind w:left="1880" w:hanging="428"/>
      </w:pPr>
      <w:rPr>
        <w:rFonts w:ascii="Arial" w:eastAsia="Arial" w:hAnsi="Arial" w:cs="Arial" w:hint="default"/>
        <w:b w:val="0"/>
        <w:bCs w:val="0"/>
        <w:i w:val="0"/>
        <w:iCs w:val="0"/>
        <w:spacing w:val="-1"/>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E5A5D4D"/>
    <w:multiLevelType w:val="hybridMultilevel"/>
    <w:tmpl w:val="8226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D5296E"/>
    <w:multiLevelType w:val="hybridMultilevel"/>
    <w:tmpl w:val="4D80B0F0"/>
    <w:lvl w:ilvl="0" w:tplc="69E04860">
      <w:start w:val="1"/>
      <w:numFmt w:val="decimal"/>
      <w:lvlText w:val="%1"/>
      <w:lvlJc w:val="left"/>
      <w:pPr>
        <w:ind w:left="471" w:hanging="152"/>
      </w:pPr>
      <w:rPr>
        <w:rFonts w:hint="default"/>
        <w:w w:val="99"/>
        <w:u w:val="single" w:color="000000"/>
        <w:lang w:val="en-US" w:eastAsia="en-US" w:bidi="ar-SA"/>
      </w:rPr>
    </w:lvl>
    <w:lvl w:ilvl="1" w:tplc="F99EDB5A">
      <w:start w:val="1"/>
      <w:numFmt w:val="lowerRoman"/>
      <w:lvlText w:val="%2."/>
      <w:lvlJc w:val="left"/>
      <w:pPr>
        <w:ind w:left="2022" w:hanging="291"/>
      </w:pPr>
      <w:rPr>
        <w:rFonts w:ascii="Arial" w:eastAsia="Arial" w:hAnsi="Arial" w:cs="Arial" w:hint="default"/>
        <w:b w:val="0"/>
        <w:bCs w:val="0"/>
        <w:i w:val="0"/>
        <w:iCs w:val="0"/>
        <w:spacing w:val="-2"/>
        <w:w w:val="100"/>
        <w:sz w:val="22"/>
        <w:szCs w:val="22"/>
        <w:lang w:val="en-US" w:eastAsia="en-US" w:bidi="ar-SA"/>
      </w:rPr>
    </w:lvl>
    <w:lvl w:ilvl="2" w:tplc="9482C668">
      <w:numFmt w:val="bullet"/>
      <w:lvlText w:val="•"/>
      <w:lvlJc w:val="left"/>
      <w:pPr>
        <w:ind w:left="3002" w:hanging="291"/>
      </w:pPr>
      <w:rPr>
        <w:rFonts w:hint="default"/>
        <w:lang w:val="en-US" w:eastAsia="en-US" w:bidi="ar-SA"/>
      </w:rPr>
    </w:lvl>
    <w:lvl w:ilvl="3" w:tplc="142AD4E4">
      <w:numFmt w:val="bullet"/>
      <w:lvlText w:val="•"/>
      <w:lvlJc w:val="left"/>
      <w:pPr>
        <w:ind w:left="3984" w:hanging="291"/>
      </w:pPr>
      <w:rPr>
        <w:rFonts w:hint="default"/>
        <w:lang w:val="en-US" w:eastAsia="en-US" w:bidi="ar-SA"/>
      </w:rPr>
    </w:lvl>
    <w:lvl w:ilvl="4" w:tplc="C7A0BD80">
      <w:numFmt w:val="bullet"/>
      <w:lvlText w:val="•"/>
      <w:lvlJc w:val="left"/>
      <w:pPr>
        <w:ind w:left="4966" w:hanging="291"/>
      </w:pPr>
      <w:rPr>
        <w:rFonts w:hint="default"/>
        <w:lang w:val="en-US" w:eastAsia="en-US" w:bidi="ar-SA"/>
      </w:rPr>
    </w:lvl>
    <w:lvl w:ilvl="5" w:tplc="5A2CBB50">
      <w:numFmt w:val="bullet"/>
      <w:lvlText w:val="•"/>
      <w:lvlJc w:val="left"/>
      <w:pPr>
        <w:ind w:left="5948" w:hanging="291"/>
      </w:pPr>
      <w:rPr>
        <w:rFonts w:hint="default"/>
        <w:lang w:val="en-US" w:eastAsia="en-US" w:bidi="ar-SA"/>
      </w:rPr>
    </w:lvl>
    <w:lvl w:ilvl="6" w:tplc="69287FA2">
      <w:numFmt w:val="bullet"/>
      <w:lvlText w:val="•"/>
      <w:lvlJc w:val="left"/>
      <w:pPr>
        <w:ind w:left="6931" w:hanging="291"/>
      </w:pPr>
      <w:rPr>
        <w:rFonts w:hint="default"/>
        <w:lang w:val="en-US" w:eastAsia="en-US" w:bidi="ar-SA"/>
      </w:rPr>
    </w:lvl>
    <w:lvl w:ilvl="7" w:tplc="C7582308">
      <w:numFmt w:val="bullet"/>
      <w:lvlText w:val="•"/>
      <w:lvlJc w:val="left"/>
      <w:pPr>
        <w:ind w:left="7913" w:hanging="291"/>
      </w:pPr>
      <w:rPr>
        <w:rFonts w:hint="default"/>
        <w:lang w:val="en-US" w:eastAsia="en-US" w:bidi="ar-SA"/>
      </w:rPr>
    </w:lvl>
    <w:lvl w:ilvl="8" w:tplc="2FCC2154">
      <w:numFmt w:val="bullet"/>
      <w:lvlText w:val="•"/>
      <w:lvlJc w:val="left"/>
      <w:pPr>
        <w:ind w:left="8895" w:hanging="291"/>
      </w:pPr>
      <w:rPr>
        <w:rFonts w:hint="default"/>
        <w:lang w:val="en-US" w:eastAsia="en-US" w:bidi="ar-SA"/>
      </w:rPr>
    </w:lvl>
  </w:abstractNum>
  <w:abstractNum w:abstractNumId="43" w15:restartNumberingAfterBreak="0">
    <w:nsid w:val="60A32032"/>
    <w:multiLevelType w:val="hybridMultilevel"/>
    <w:tmpl w:val="F072F3D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EE46A3"/>
    <w:multiLevelType w:val="hybridMultilevel"/>
    <w:tmpl w:val="B834303A"/>
    <w:lvl w:ilvl="0" w:tplc="5652EF34">
      <w:start w:val="1"/>
      <w:numFmt w:val="decimal"/>
      <w:lvlText w:val="%1."/>
      <w:lvlJc w:val="left"/>
      <w:pPr>
        <w:ind w:left="107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3038B6"/>
    <w:multiLevelType w:val="hybridMultilevel"/>
    <w:tmpl w:val="17A803BE"/>
    <w:lvl w:ilvl="0" w:tplc="49B07DB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871A0B"/>
    <w:multiLevelType w:val="hybridMultilevel"/>
    <w:tmpl w:val="4D80B0F0"/>
    <w:lvl w:ilvl="0" w:tplc="69E04860">
      <w:start w:val="1"/>
      <w:numFmt w:val="decimal"/>
      <w:lvlText w:val="%1"/>
      <w:lvlJc w:val="left"/>
      <w:pPr>
        <w:ind w:left="471" w:hanging="152"/>
      </w:pPr>
      <w:rPr>
        <w:rFonts w:hint="default"/>
        <w:w w:val="99"/>
        <w:u w:val="single" w:color="000000"/>
        <w:lang w:val="en-US" w:eastAsia="en-US" w:bidi="ar-SA"/>
      </w:rPr>
    </w:lvl>
    <w:lvl w:ilvl="1" w:tplc="F99EDB5A">
      <w:start w:val="1"/>
      <w:numFmt w:val="lowerRoman"/>
      <w:lvlText w:val="%2."/>
      <w:lvlJc w:val="left"/>
      <w:pPr>
        <w:ind w:left="2022" w:hanging="291"/>
      </w:pPr>
      <w:rPr>
        <w:rFonts w:ascii="Arial" w:eastAsia="Arial" w:hAnsi="Arial" w:cs="Arial" w:hint="default"/>
        <w:b w:val="0"/>
        <w:bCs w:val="0"/>
        <w:i w:val="0"/>
        <w:iCs w:val="0"/>
        <w:spacing w:val="-2"/>
        <w:w w:val="100"/>
        <w:sz w:val="22"/>
        <w:szCs w:val="22"/>
        <w:lang w:val="en-US" w:eastAsia="en-US" w:bidi="ar-SA"/>
      </w:rPr>
    </w:lvl>
    <w:lvl w:ilvl="2" w:tplc="9482C668">
      <w:numFmt w:val="bullet"/>
      <w:lvlText w:val="•"/>
      <w:lvlJc w:val="left"/>
      <w:pPr>
        <w:ind w:left="3002" w:hanging="291"/>
      </w:pPr>
      <w:rPr>
        <w:rFonts w:hint="default"/>
        <w:lang w:val="en-US" w:eastAsia="en-US" w:bidi="ar-SA"/>
      </w:rPr>
    </w:lvl>
    <w:lvl w:ilvl="3" w:tplc="142AD4E4">
      <w:numFmt w:val="bullet"/>
      <w:lvlText w:val="•"/>
      <w:lvlJc w:val="left"/>
      <w:pPr>
        <w:ind w:left="3984" w:hanging="291"/>
      </w:pPr>
      <w:rPr>
        <w:rFonts w:hint="default"/>
        <w:lang w:val="en-US" w:eastAsia="en-US" w:bidi="ar-SA"/>
      </w:rPr>
    </w:lvl>
    <w:lvl w:ilvl="4" w:tplc="C7A0BD80">
      <w:numFmt w:val="bullet"/>
      <w:lvlText w:val="•"/>
      <w:lvlJc w:val="left"/>
      <w:pPr>
        <w:ind w:left="4966" w:hanging="291"/>
      </w:pPr>
      <w:rPr>
        <w:rFonts w:hint="default"/>
        <w:lang w:val="en-US" w:eastAsia="en-US" w:bidi="ar-SA"/>
      </w:rPr>
    </w:lvl>
    <w:lvl w:ilvl="5" w:tplc="5A2CBB50">
      <w:numFmt w:val="bullet"/>
      <w:lvlText w:val="•"/>
      <w:lvlJc w:val="left"/>
      <w:pPr>
        <w:ind w:left="5948" w:hanging="291"/>
      </w:pPr>
      <w:rPr>
        <w:rFonts w:hint="default"/>
        <w:lang w:val="en-US" w:eastAsia="en-US" w:bidi="ar-SA"/>
      </w:rPr>
    </w:lvl>
    <w:lvl w:ilvl="6" w:tplc="69287FA2">
      <w:numFmt w:val="bullet"/>
      <w:lvlText w:val="•"/>
      <w:lvlJc w:val="left"/>
      <w:pPr>
        <w:ind w:left="6931" w:hanging="291"/>
      </w:pPr>
      <w:rPr>
        <w:rFonts w:hint="default"/>
        <w:lang w:val="en-US" w:eastAsia="en-US" w:bidi="ar-SA"/>
      </w:rPr>
    </w:lvl>
    <w:lvl w:ilvl="7" w:tplc="C7582308">
      <w:numFmt w:val="bullet"/>
      <w:lvlText w:val="•"/>
      <w:lvlJc w:val="left"/>
      <w:pPr>
        <w:ind w:left="7913" w:hanging="291"/>
      </w:pPr>
      <w:rPr>
        <w:rFonts w:hint="default"/>
        <w:lang w:val="en-US" w:eastAsia="en-US" w:bidi="ar-SA"/>
      </w:rPr>
    </w:lvl>
    <w:lvl w:ilvl="8" w:tplc="2FCC2154">
      <w:numFmt w:val="bullet"/>
      <w:lvlText w:val="•"/>
      <w:lvlJc w:val="left"/>
      <w:pPr>
        <w:ind w:left="8895" w:hanging="291"/>
      </w:pPr>
      <w:rPr>
        <w:rFonts w:hint="default"/>
        <w:lang w:val="en-US" w:eastAsia="en-US" w:bidi="ar-SA"/>
      </w:rPr>
    </w:lvl>
  </w:abstractNum>
  <w:abstractNum w:abstractNumId="47" w15:restartNumberingAfterBreak="0">
    <w:nsid w:val="6B7B0F45"/>
    <w:multiLevelType w:val="hybridMultilevel"/>
    <w:tmpl w:val="7EBC6B62"/>
    <w:lvl w:ilvl="0" w:tplc="30102D50">
      <w:start w:val="1"/>
      <w:numFmt w:val="decimal"/>
      <w:lvlText w:val="%1."/>
      <w:lvlJc w:val="left"/>
      <w:pPr>
        <w:ind w:left="320" w:hanging="720"/>
      </w:pPr>
      <w:rPr>
        <w:rFonts w:ascii="Times New Roman" w:eastAsia="Times New Roman" w:hAnsi="Times New Roman" w:cs="Times New Roman" w:hint="default"/>
        <w:b w:val="0"/>
        <w:bCs w:val="0"/>
        <w:i w:val="0"/>
        <w:iCs w:val="0"/>
        <w:w w:val="100"/>
        <w:sz w:val="22"/>
        <w:szCs w:val="22"/>
        <w:lang w:val="en-US" w:eastAsia="en-US" w:bidi="ar-SA"/>
      </w:rPr>
    </w:lvl>
    <w:lvl w:ilvl="1" w:tplc="DB18C406">
      <w:start w:val="1"/>
      <w:numFmt w:val="decimal"/>
      <w:lvlText w:val="%2."/>
      <w:lvlJc w:val="left"/>
      <w:pPr>
        <w:ind w:left="1400" w:hanging="360"/>
      </w:pPr>
      <w:rPr>
        <w:rFonts w:hint="default"/>
        <w:spacing w:val="-1"/>
        <w:w w:val="100"/>
        <w:lang w:val="en-US" w:eastAsia="en-US" w:bidi="ar-SA"/>
      </w:rPr>
    </w:lvl>
    <w:lvl w:ilvl="2" w:tplc="9030E3FE">
      <w:start w:val="1"/>
      <w:numFmt w:val="lowerLetter"/>
      <w:lvlText w:val="%3."/>
      <w:lvlJc w:val="left"/>
      <w:pPr>
        <w:ind w:left="1812" w:hanging="360"/>
      </w:pPr>
      <w:rPr>
        <w:rFonts w:ascii="Arial" w:eastAsia="Arial" w:hAnsi="Arial" w:cs="Arial" w:hint="default"/>
        <w:b w:val="0"/>
        <w:bCs w:val="0"/>
        <w:i w:val="0"/>
        <w:iCs w:val="0"/>
        <w:spacing w:val="-1"/>
        <w:w w:val="100"/>
        <w:sz w:val="22"/>
        <w:szCs w:val="22"/>
        <w:lang w:val="en-US" w:eastAsia="en-US" w:bidi="ar-SA"/>
      </w:rPr>
    </w:lvl>
    <w:lvl w:ilvl="3" w:tplc="07E0843A">
      <w:numFmt w:val="bullet"/>
      <w:lvlText w:val="•"/>
      <w:lvlJc w:val="left"/>
      <w:pPr>
        <w:ind w:left="1880" w:hanging="428"/>
      </w:pPr>
      <w:rPr>
        <w:rFonts w:hint="default"/>
        <w:lang w:val="en-US" w:eastAsia="en-US" w:bidi="ar-SA"/>
      </w:rPr>
    </w:lvl>
    <w:lvl w:ilvl="4" w:tplc="3398BCBE">
      <w:numFmt w:val="bullet"/>
      <w:lvlText w:val="•"/>
      <w:lvlJc w:val="left"/>
      <w:pPr>
        <w:ind w:left="3162" w:hanging="428"/>
      </w:pPr>
      <w:rPr>
        <w:rFonts w:hint="default"/>
        <w:lang w:val="en-US" w:eastAsia="en-US" w:bidi="ar-SA"/>
      </w:rPr>
    </w:lvl>
    <w:lvl w:ilvl="5" w:tplc="66CC26F4">
      <w:numFmt w:val="bullet"/>
      <w:lvlText w:val="•"/>
      <w:lvlJc w:val="left"/>
      <w:pPr>
        <w:ind w:left="4445" w:hanging="428"/>
      </w:pPr>
      <w:rPr>
        <w:rFonts w:hint="default"/>
        <w:lang w:val="en-US" w:eastAsia="en-US" w:bidi="ar-SA"/>
      </w:rPr>
    </w:lvl>
    <w:lvl w:ilvl="6" w:tplc="CE96CBA2">
      <w:numFmt w:val="bullet"/>
      <w:lvlText w:val="•"/>
      <w:lvlJc w:val="left"/>
      <w:pPr>
        <w:ind w:left="5728" w:hanging="428"/>
      </w:pPr>
      <w:rPr>
        <w:rFonts w:hint="default"/>
        <w:lang w:val="en-US" w:eastAsia="en-US" w:bidi="ar-SA"/>
      </w:rPr>
    </w:lvl>
    <w:lvl w:ilvl="7" w:tplc="955A456C">
      <w:numFmt w:val="bullet"/>
      <w:lvlText w:val="•"/>
      <w:lvlJc w:val="left"/>
      <w:pPr>
        <w:ind w:left="7011" w:hanging="428"/>
      </w:pPr>
      <w:rPr>
        <w:rFonts w:hint="default"/>
        <w:lang w:val="en-US" w:eastAsia="en-US" w:bidi="ar-SA"/>
      </w:rPr>
    </w:lvl>
    <w:lvl w:ilvl="8" w:tplc="A5B21A76">
      <w:numFmt w:val="bullet"/>
      <w:lvlText w:val="•"/>
      <w:lvlJc w:val="left"/>
      <w:pPr>
        <w:ind w:left="8294" w:hanging="428"/>
      </w:pPr>
      <w:rPr>
        <w:rFonts w:hint="default"/>
        <w:lang w:val="en-US" w:eastAsia="en-US" w:bidi="ar-SA"/>
      </w:rPr>
    </w:lvl>
  </w:abstractNum>
  <w:abstractNum w:abstractNumId="48" w15:restartNumberingAfterBreak="0">
    <w:nsid w:val="6C2F194F"/>
    <w:multiLevelType w:val="hybridMultilevel"/>
    <w:tmpl w:val="18A23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16B594C"/>
    <w:multiLevelType w:val="hybridMultilevel"/>
    <w:tmpl w:val="153CD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4A4048"/>
    <w:multiLevelType w:val="hybridMultilevel"/>
    <w:tmpl w:val="7ED4EA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7058A5"/>
    <w:multiLevelType w:val="hybridMultilevel"/>
    <w:tmpl w:val="4F1A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8A3173"/>
    <w:multiLevelType w:val="hybridMultilevel"/>
    <w:tmpl w:val="9AE02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25"/>
  </w:num>
  <w:num w:numId="4">
    <w:abstractNumId w:val="29"/>
  </w:num>
  <w:num w:numId="5">
    <w:abstractNumId w:val="28"/>
  </w:num>
  <w:num w:numId="6">
    <w:abstractNumId w:val="3"/>
  </w:num>
  <w:num w:numId="7">
    <w:abstractNumId w:val="10"/>
  </w:num>
  <w:num w:numId="8">
    <w:abstractNumId w:val="25"/>
    <w:lvlOverride w:ilvl="0">
      <w:startOverride w:val="1"/>
    </w:lvlOverride>
  </w:num>
  <w:num w:numId="9">
    <w:abstractNumId w:val="49"/>
  </w:num>
  <w:num w:numId="10">
    <w:abstractNumId w:val="25"/>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39"/>
  </w:num>
  <w:num w:numId="15">
    <w:abstractNumId w:val="35"/>
  </w:num>
  <w:num w:numId="16">
    <w:abstractNumId w:val="4"/>
  </w:num>
  <w:num w:numId="17">
    <w:abstractNumId w:val="51"/>
  </w:num>
  <w:num w:numId="18">
    <w:abstractNumId w:val="53"/>
  </w:num>
  <w:num w:numId="19">
    <w:abstractNumId w:val="44"/>
  </w:num>
  <w:num w:numId="20">
    <w:abstractNumId w:val="6"/>
  </w:num>
  <w:num w:numId="21">
    <w:abstractNumId w:val="30"/>
  </w:num>
  <w:num w:numId="22">
    <w:abstractNumId w:val="7"/>
  </w:num>
  <w:num w:numId="23">
    <w:abstractNumId w:val="42"/>
  </w:num>
  <w:num w:numId="24">
    <w:abstractNumId w:val="47"/>
  </w:num>
  <w:num w:numId="25">
    <w:abstractNumId w:val="5"/>
  </w:num>
  <w:num w:numId="26">
    <w:abstractNumId w:val="12"/>
  </w:num>
  <w:num w:numId="27">
    <w:abstractNumId w:val="40"/>
  </w:num>
  <w:num w:numId="28">
    <w:abstractNumId w:val="46"/>
  </w:num>
  <w:num w:numId="29">
    <w:abstractNumId w:val="34"/>
  </w:num>
  <w:num w:numId="30">
    <w:abstractNumId w:val="21"/>
  </w:num>
  <w:num w:numId="31">
    <w:abstractNumId w:val="22"/>
  </w:num>
  <w:num w:numId="32">
    <w:abstractNumId w:val="19"/>
  </w:num>
  <w:num w:numId="33">
    <w:abstractNumId w:val="50"/>
  </w:num>
  <w:num w:numId="34">
    <w:abstractNumId w:val="41"/>
  </w:num>
  <w:num w:numId="35">
    <w:abstractNumId w:val="23"/>
  </w:num>
  <w:num w:numId="36">
    <w:abstractNumId w:val="32"/>
  </w:num>
  <w:num w:numId="37">
    <w:abstractNumId w:val="45"/>
  </w:num>
  <w:num w:numId="38">
    <w:abstractNumId w:val="11"/>
  </w:num>
  <w:num w:numId="39">
    <w:abstractNumId w:val="26"/>
  </w:num>
  <w:num w:numId="40">
    <w:abstractNumId w:val="37"/>
  </w:num>
  <w:num w:numId="41">
    <w:abstractNumId w:val="24"/>
  </w:num>
  <w:num w:numId="42">
    <w:abstractNumId w:val="8"/>
  </w:num>
  <w:num w:numId="43">
    <w:abstractNumId w:val="13"/>
  </w:num>
  <w:num w:numId="44">
    <w:abstractNumId w:val="38"/>
  </w:num>
  <w:num w:numId="45">
    <w:abstractNumId w:val="54"/>
  </w:num>
  <w:num w:numId="46">
    <w:abstractNumId w:val="36"/>
  </w:num>
  <w:num w:numId="47">
    <w:abstractNumId w:val="17"/>
  </w:num>
  <w:num w:numId="48">
    <w:abstractNumId w:val="55"/>
  </w:num>
  <w:num w:numId="49">
    <w:abstractNumId w:val="2"/>
  </w:num>
  <w:num w:numId="50">
    <w:abstractNumId w:val="9"/>
  </w:num>
  <w:num w:numId="51">
    <w:abstractNumId w:val="27"/>
  </w:num>
  <w:num w:numId="52">
    <w:abstractNumId w:val="52"/>
  </w:num>
  <w:num w:numId="53">
    <w:abstractNumId w:val="20"/>
  </w:num>
  <w:num w:numId="54">
    <w:abstractNumId w:val="18"/>
  </w:num>
  <w:num w:numId="55">
    <w:abstractNumId w:val="43"/>
  </w:num>
  <w:num w:numId="56">
    <w:abstractNumId w:val="48"/>
  </w:num>
  <w:num w:numId="57">
    <w:abstractNumId w:val="31"/>
  </w:num>
  <w:num w:numId="58">
    <w:abstractNumId w:val="16"/>
  </w:num>
  <w:num w:numId="59">
    <w:abstractNumId w:val="14"/>
  </w:num>
  <w:num w:numId="60">
    <w:abstractNumId w:val="33"/>
  </w:num>
  <w:num w:numId="61">
    <w:abstractNumId w:val="0"/>
  </w:num>
  <w:num w:numId="62">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55488"/>
    <w:rsid w:val="0007171B"/>
    <w:rsid w:val="000925A9"/>
    <w:rsid w:val="000A1EF6"/>
    <w:rsid w:val="000E673A"/>
    <w:rsid w:val="000F74F5"/>
    <w:rsid w:val="00105372"/>
    <w:rsid w:val="001312AD"/>
    <w:rsid w:val="00131E7A"/>
    <w:rsid w:val="00134846"/>
    <w:rsid w:val="00165CF1"/>
    <w:rsid w:val="00172AF6"/>
    <w:rsid w:val="00176CEE"/>
    <w:rsid w:val="00186DD8"/>
    <w:rsid w:val="001B13FE"/>
    <w:rsid w:val="001D68E9"/>
    <w:rsid w:val="00210096"/>
    <w:rsid w:val="002836A7"/>
    <w:rsid w:val="0030169D"/>
    <w:rsid w:val="00304F9B"/>
    <w:rsid w:val="003060EB"/>
    <w:rsid w:val="00306200"/>
    <w:rsid w:val="003153EB"/>
    <w:rsid w:val="00321985"/>
    <w:rsid w:val="003219EC"/>
    <w:rsid w:val="00351205"/>
    <w:rsid w:val="00372F74"/>
    <w:rsid w:val="003953B6"/>
    <w:rsid w:val="003E2221"/>
    <w:rsid w:val="003E3DC0"/>
    <w:rsid w:val="003F7224"/>
    <w:rsid w:val="00414903"/>
    <w:rsid w:val="00427D21"/>
    <w:rsid w:val="00452C9A"/>
    <w:rsid w:val="00453BCD"/>
    <w:rsid w:val="00462605"/>
    <w:rsid w:val="004644C2"/>
    <w:rsid w:val="00467F9C"/>
    <w:rsid w:val="00481A42"/>
    <w:rsid w:val="00504BFF"/>
    <w:rsid w:val="00534681"/>
    <w:rsid w:val="00544B6F"/>
    <w:rsid w:val="00546693"/>
    <w:rsid w:val="00554253"/>
    <w:rsid w:val="00563442"/>
    <w:rsid w:val="00565B42"/>
    <w:rsid w:val="00584BA6"/>
    <w:rsid w:val="005A035C"/>
    <w:rsid w:val="005C4CE6"/>
    <w:rsid w:val="005C541F"/>
    <w:rsid w:val="005F5069"/>
    <w:rsid w:val="006004AA"/>
    <w:rsid w:val="006122BA"/>
    <w:rsid w:val="00631312"/>
    <w:rsid w:val="006B2290"/>
    <w:rsid w:val="006B70CA"/>
    <w:rsid w:val="006C5D8B"/>
    <w:rsid w:val="006F6F64"/>
    <w:rsid w:val="00717D88"/>
    <w:rsid w:val="0074789C"/>
    <w:rsid w:val="00786056"/>
    <w:rsid w:val="0078614A"/>
    <w:rsid w:val="007942D3"/>
    <w:rsid w:val="007B2099"/>
    <w:rsid w:val="007B3D05"/>
    <w:rsid w:val="007B6C09"/>
    <w:rsid w:val="007B7741"/>
    <w:rsid w:val="007C12BF"/>
    <w:rsid w:val="007D672C"/>
    <w:rsid w:val="007E09DA"/>
    <w:rsid w:val="007F305C"/>
    <w:rsid w:val="008178B6"/>
    <w:rsid w:val="00865B74"/>
    <w:rsid w:val="008974F0"/>
    <w:rsid w:val="008A242B"/>
    <w:rsid w:val="008B012A"/>
    <w:rsid w:val="008B78FF"/>
    <w:rsid w:val="008C56E3"/>
    <w:rsid w:val="008C68C0"/>
    <w:rsid w:val="0090084A"/>
    <w:rsid w:val="00905A3C"/>
    <w:rsid w:val="00906E17"/>
    <w:rsid w:val="009104EB"/>
    <w:rsid w:val="00911C9F"/>
    <w:rsid w:val="00930BA1"/>
    <w:rsid w:val="0093169E"/>
    <w:rsid w:val="009505C9"/>
    <w:rsid w:val="00950752"/>
    <w:rsid w:val="00966424"/>
    <w:rsid w:val="009C2DE6"/>
    <w:rsid w:val="009E19D5"/>
    <w:rsid w:val="00A43E52"/>
    <w:rsid w:val="00A86C55"/>
    <w:rsid w:val="00AA6F92"/>
    <w:rsid w:val="00AB6934"/>
    <w:rsid w:val="00AF3300"/>
    <w:rsid w:val="00AF42DE"/>
    <w:rsid w:val="00B3369F"/>
    <w:rsid w:val="00B43BAC"/>
    <w:rsid w:val="00B93ABC"/>
    <w:rsid w:val="00B94E6C"/>
    <w:rsid w:val="00BB12DD"/>
    <w:rsid w:val="00BB1D5F"/>
    <w:rsid w:val="00BB4606"/>
    <w:rsid w:val="00BB5FED"/>
    <w:rsid w:val="00BC6E78"/>
    <w:rsid w:val="00BE7A85"/>
    <w:rsid w:val="00C23D2F"/>
    <w:rsid w:val="00C443BD"/>
    <w:rsid w:val="00C451C5"/>
    <w:rsid w:val="00C9161D"/>
    <w:rsid w:val="00C92717"/>
    <w:rsid w:val="00C932D0"/>
    <w:rsid w:val="00CA0C1D"/>
    <w:rsid w:val="00CE163A"/>
    <w:rsid w:val="00CF1848"/>
    <w:rsid w:val="00D12044"/>
    <w:rsid w:val="00D33EFC"/>
    <w:rsid w:val="00D40DBC"/>
    <w:rsid w:val="00D716FC"/>
    <w:rsid w:val="00D74A55"/>
    <w:rsid w:val="00D76A18"/>
    <w:rsid w:val="00D80849"/>
    <w:rsid w:val="00D82E8F"/>
    <w:rsid w:val="00DD118C"/>
    <w:rsid w:val="00DE2F3B"/>
    <w:rsid w:val="00E214DB"/>
    <w:rsid w:val="00E4609F"/>
    <w:rsid w:val="00E55657"/>
    <w:rsid w:val="00E60F12"/>
    <w:rsid w:val="00E66235"/>
    <w:rsid w:val="00E83C24"/>
    <w:rsid w:val="00E9201E"/>
    <w:rsid w:val="00E9318D"/>
    <w:rsid w:val="00F0559A"/>
    <w:rsid w:val="00F53193"/>
    <w:rsid w:val="00F5357E"/>
    <w:rsid w:val="00F6586C"/>
    <w:rsid w:val="00F94774"/>
    <w:rsid w:val="00F95828"/>
    <w:rsid w:val="00FA663B"/>
    <w:rsid w:val="00FC53DB"/>
    <w:rsid w:val="00FF6D5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uiPriority w:val="9"/>
    <w:rsid w:val="007E09DA"/>
    <w:rPr>
      <w:rFonts w:ascii="Times New Roman" w:eastAsia="Times New Roman" w:hAnsi="Times New Roman" w:cs="Times New Roman"/>
      <w:b/>
      <w:caps/>
      <w:sz w:val="22"/>
      <w:lang w:val="en-GB"/>
    </w:rPr>
  </w:style>
  <w:style w:type="paragraph" w:styleId="BodyText">
    <w:name w:val="Body Text"/>
    <w:basedOn w:val="Normal"/>
    <w:link w:val="BodyTextChar"/>
    <w:uiPriority w:val="1"/>
    <w:qFormat/>
    <w:rsid w:val="007E09DA"/>
    <w:pPr>
      <w:spacing w:before="120" w:after="120"/>
      <w:ind w:firstLine="720"/>
    </w:pPr>
    <w:rPr>
      <w:iCs/>
    </w:rPr>
  </w:style>
  <w:style w:type="character" w:customStyle="1" w:styleId="BodyTextChar">
    <w:name w:val="Body Text Char"/>
    <w:basedOn w:val="DefaultParagraphFont"/>
    <w:link w:val="BodyText"/>
    <w:uiPriority w:val="1"/>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1"/>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104EB"/>
    <w:pPr>
      <w:spacing w:after="160" w:line="240" w:lineRule="exact"/>
      <w:jc w:val="left"/>
    </w:pPr>
    <w:rPr>
      <w:rFonts w:asciiTheme="minorHAnsi" w:eastAsiaTheme="minorEastAsia" w:hAnsiTheme="minorHAnsi" w:cstheme="minorBidi"/>
      <w:vertAlign w:val="superscript"/>
      <w:lang w:val="fr-CA"/>
    </w:rPr>
  </w:style>
  <w:style w:type="paragraph" w:customStyle="1" w:styleId="TableParagraph">
    <w:name w:val="Table Paragraph"/>
    <w:basedOn w:val="Normal"/>
    <w:uiPriority w:val="1"/>
    <w:qFormat/>
    <w:rsid w:val="002836A7"/>
    <w:pPr>
      <w:widowControl w:val="0"/>
      <w:autoSpaceDE w:val="0"/>
      <w:autoSpaceDN w:val="0"/>
      <w:spacing w:before="123"/>
      <w:jc w:val="right"/>
    </w:pPr>
    <w:rPr>
      <w:rFonts w:ascii="Arial" w:eastAsia="Arial" w:hAnsi="Arial" w:cs="Arial"/>
      <w:szCs w:val="22"/>
      <w:lang w:val="en-US"/>
    </w:rPr>
  </w:style>
  <w:style w:type="paragraph" w:styleId="CommentSubject">
    <w:name w:val="annotation subject"/>
    <w:basedOn w:val="CommentText"/>
    <w:next w:val="CommentText"/>
    <w:link w:val="CommentSubjectChar"/>
    <w:uiPriority w:val="99"/>
    <w:semiHidden/>
    <w:unhideWhenUsed/>
    <w:rsid w:val="002836A7"/>
    <w:pPr>
      <w:widowControl w:val="0"/>
      <w:autoSpaceDE w:val="0"/>
      <w:autoSpaceDN w:val="0"/>
      <w:spacing w:after="0" w:line="240" w:lineRule="auto"/>
      <w:jc w:val="left"/>
    </w:pPr>
    <w:rPr>
      <w:rFonts w:ascii="Arial" w:eastAsia="Arial" w:hAnsi="Arial" w:cs="Arial"/>
      <w:b/>
      <w:bCs/>
      <w:sz w:val="20"/>
      <w:szCs w:val="20"/>
      <w:lang w:val="en-US"/>
    </w:rPr>
  </w:style>
  <w:style w:type="character" w:customStyle="1" w:styleId="CommentSubjectChar">
    <w:name w:val="Comment Subject Char"/>
    <w:basedOn w:val="CommentTextChar"/>
    <w:link w:val="CommentSubject"/>
    <w:uiPriority w:val="99"/>
    <w:semiHidden/>
    <w:rsid w:val="002836A7"/>
    <w:rPr>
      <w:rFonts w:ascii="Arial" w:eastAsia="Arial" w:hAnsi="Arial" w:cs="Arial"/>
      <w:b/>
      <w:bCs/>
      <w:sz w:val="20"/>
      <w:szCs w:val="20"/>
      <w:lang w:val="en-US"/>
    </w:rPr>
  </w:style>
  <w:style w:type="character" w:styleId="UnresolvedMention">
    <w:name w:val="Unresolved Mention"/>
    <w:basedOn w:val="DefaultParagraphFont"/>
    <w:uiPriority w:val="99"/>
    <w:semiHidden/>
    <w:unhideWhenUsed/>
    <w:rsid w:val="002836A7"/>
    <w:rPr>
      <w:color w:val="605E5C"/>
      <w:shd w:val="clear" w:color="auto" w:fill="E1DFDD"/>
    </w:rPr>
  </w:style>
  <w:style w:type="paragraph" w:styleId="Revision">
    <w:name w:val="Revision"/>
    <w:hidden/>
    <w:uiPriority w:val="99"/>
    <w:semiHidden/>
    <w:rsid w:val="002836A7"/>
    <w:rPr>
      <w:rFonts w:ascii="Arial" w:eastAsia="Arial" w:hAnsi="Arial" w:cs="Arial"/>
      <w:sz w:val="22"/>
      <w:szCs w:val="22"/>
      <w:lang w:val="en-US"/>
    </w:rPr>
  </w:style>
  <w:style w:type="paragraph" w:styleId="NormalWeb">
    <w:name w:val="Normal (Web)"/>
    <w:basedOn w:val="Normal"/>
    <w:uiPriority w:val="99"/>
    <w:semiHidden/>
    <w:unhideWhenUsed/>
    <w:rsid w:val="002836A7"/>
    <w:pPr>
      <w:widowControl w:val="0"/>
      <w:autoSpaceDE w:val="0"/>
      <w:autoSpaceDN w:val="0"/>
      <w:jc w:val="left"/>
    </w:pPr>
    <w:rPr>
      <w:rFonts w:eastAsia="Arial"/>
      <w:sz w:val="24"/>
      <w:lang w:val="en-US"/>
    </w:rPr>
  </w:style>
  <w:style w:type="table" w:customStyle="1" w:styleId="TableGrid1">
    <w:name w:val="Table Grid1"/>
    <w:basedOn w:val="TableNormal"/>
    <w:next w:val="TableGrid"/>
    <w:uiPriority w:val="59"/>
    <w:rsid w:val="00283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5-en.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3F12"/>
    <w:rsid w:val="000641B5"/>
    <w:rsid w:val="000C3AD0"/>
    <w:rsid w:val="0020738D"/>
    <w:rsid w:val="0046422C"/>
    <w:rsid w:val="004760CF"/>
    <w:rsid w:val="004966EC"/>
    <w:rsid w:val="004E092F"/>
    <w:rsid w:val="00500A2B"/>
    <w:rsid w:val="0058288D"/>
    <w:rsid w:val="00665C6B"/>
    <w:rsid w:val="006801B3"/>
    <w:rsid w:val="00810A55"/>
    <w:rsid w:val="008C6619"/>
    <w:rsid w:val="008D420E"/>
    <w:rsid w:val="0098642F"/>
    <w:rsid w:val="00A07CD9"/>
    <w:rsid w:val="00BF162C"/>
    <w:rsid w:val="00C52106"/>
    <w:rsid w:val="00C8104B"/>
    <w:rsid w:val="00D31D12"/>
    <w:rsid w:val="00E142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9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76DD2D-4E65-41BF-97FE-B541F0707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CBD/SBI/REC/3/17</dc:subject>
  <dc:creator>SCBD</dc:creator>
  <cp:keywords>Convention on Biological Diversity</cp:keywords>
  <cp:lastModifiedBy>Veronique Lefebvre</cp:lastModifiedBy>
  <cp:revision>3</cp:revision>
  <cp:lastPrinted>2020-01-21T16:56:00Z</cp:lastPrinted>
  <dcterms:created xsi:type="dcterms:W3CDTF">2022-05-11T13:57:00Z</dcterms:created>
  <dcterms:modified xsi:type="dcterms:W3CDTF">2022-05-11T13:57:00Z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