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
        <w:gridCol w:w="3844"/>
        <w:gridCol w:w="5387"/>
      </w:tblGrid>
      <w:tr w:rsidR="00A96B21" w:rsidRPr="00EA442C" w14:paraId="12A8969E" w14:textId="77777777" w:rsidTr="00F1568A">
        <w:trPr>
          <w:trHeight w:val="851"/>
        </w:trPr>
        <w:tc>
          <w:tcPr>
            <w:tcW w:w="478" w:type="pct"/>
            <w:tcBorders>
              <w:bottom w:val="single" w:sz="8" w:space="0" w:color="auto"/>
            </w:tcBorders>
            <w:vAlign w:val="bottom"/>
          </w:tcPr>
          <w:p w14:paraId="46237E83" w14:textId="77777777" w:rsidR="00A96B21" w:rsidRPr="00550DCE" w:rsidRDefault="00A96B21" w:rsidP="00B53987">
            <w:pPr>
              <w:spacing w:after="120"/>
              <w:jc w:val="left"/>
            </w:pPr>
            <w:bookmarkStart w:id="0" w:name="_Hlk137651738"/>
            <w:r w:rsidRPr="00550DCE">
              <w:rPr>
                <w:noProof/>
              </w:rPr>
              <w:drawing>
                <wp:inline distT="0" distB="0" distL="0" distR="0" wp14:anchorId="4C1604AD" wp14:editId="03BE378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3" w:type="pct"/>
            <w:tcBorders>
              <w:bottom w:val="single" w:sz="8" w:space="0" w:color="auto"/>
            </w:tcBorders>
            <w:shd w:val="clear" w:color="auto" w:fill="auto"/>
            <w:tcFitText/>
            <w:vAlign w:val="bottom"/>
          </w:tcPr>
          <w:p w14:paraId="5AB93E6E" w14:textId="77777777" w:rsidR="00A96B21" w:rsidRPr="00550DCE" w:rsidRDefault="00A96B21" w:rsidP="00B53987">
            <w:pPr>
              <w:spacing w:after="120"/>
              <w:jc w:val="left"/>
            </w:pPr>
            <w:r w:rsidRPr="00D17E67">
              <w:rPr>
                <w:noProof/>
              </w:rPr>
              <w:drawing>
                <wp:inline distT="0" distB="0" distL="0" distR="0" wp14:anchorId="3365890B" wp14:editId="594731A7">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639" w:type="pct"/>
            <w:tcBorders>
              <w:bottom w:val="single" w:sz="8" w:space="0" w:color="auto"/>
            </w:tcBorders>
            <w:vAlign w:val="bottom"/>
          </w:tcPr>
          <w:p w14:paraId="0F9CEFCF" w14:textId="28AEA58D" w:rsidR="00A96B21" w:rsidRPr="00D053E3" w:rsidRDefault="00A96B21" w:rsidP="00184909">
            <w:pPr>
              <w:spacing w:after="120"/>
              <w:ind w:left="2021"/>
              <w:jc w:val="right"/>
              <w:rPr>
                <w:szCs w:val="22"/>
              </w:rPr>
            </w:pPr>
            <w:r w:rsidRPr="000B1539">
              <w:rPr>
                <w:sz w:val="40"/>
                <w:szCs w:val="40"/>
              </w:rPr>
              <w:t>CBD</w:t>
            </w:r>
            <w:r w:rsidRPr="007E1A82">
              <w:rPr>
                <w:szCs w:val="22"/>
              </w:rPr>
              <w:t>/</w:t>
            </w:r>
            <w:r w:rsidR="003E0A26" w:rsidRPr="000B1539">
              <w:rPr>
                <w:szCs w:val="22"/>
              </w:rPr>
              <w:t>SBI</w:t>
            </w:r>
            <w:r w:rsidR="003E0A26" w:rsidRPr="007E1A82">
              <w:rPr>
                <w:szCs w:val="22"/>
              </w:rPr>
              <w:t>/</w:t>
            </w:r>
            <w:r w:rsidR="004A1145" w:rsidRPr="000B1539">
              <w:rPr>
                <w:szCs w:val="22"/>
              </w:rPr>
              <w:t>REC</w:t>
            </w:r>
            <w:r w:rsidR="004A1145" w:rsidRPr="007E1A82">
              <w:rPr>
                <w:szCs w:val="22"/>
              </w:rPr>
              <w:t>/</w:t>
            </w:r>
            <w:r w:rsidR="003E0A26" w:rsidRPr="007E1A82">
              <w:rPr>
                <w:szCs w:val="22"/>
              </w:rPr>
              <w:t>4/</w:t>
            </w:r>
            <w:r w:rsidR="004A1145" w:rsidRPr="007E1A82">
              <w:rPr>
                <w:szCs w:val="22"/>
              </w:rPr>
              <w:t>4</w:t>
            </w:r>
          </w:p>
        </w:tc>
      </w:tr>
      <w:tr w:rsidR="00A96B21" w:rsidRPr="00EA442C" w14:paraId="2D97EE22" w14:textId="77777777" w:rsidTr="00F1568A">
        <w:tc>
          <w:tcPr>
            <w:tcW w:w="2361" w:type="pct"/>
            <w:gridSpan w:val="2"/>
            <w:tcBorders>
              <w:top w:val="single" w:sz="8" w:space="0" w:color="auto"/>
              <w:bottom w:val="single" w:sz="12" w:space="0" w:color="auto"/>
            </w:tcBorders>
          </w:tcPr>
          <w:p w14:paraId="68A6EAA3" w14:textId="77777777" w:rsidR="00A96B21" w:rsidRPr="00550DCE" w:rsidRDefault="00A96B21" w:rsidP="00B53987">
            <w:pPr>
              <w:pStyle w:val="Cornernotation"/>
              <w:suppressLineNumbers/>
              <w:suppressAutoHyphens/>
              <w:spacing w:before="120" w:after="120"/>
              <w:ind w:left="0" w:right="0" w:firstLine="0"/>
            </w:pPr>
            <w:r w:rsidRPr="00550DCE">
              <w:rPr>
                <w:b w:val="0"/>
                <w:bCs/>
                <w:noProof/>
              </w:rPr>
              <w:drawing>
                <wp:inline distT="0" distB="0" distL="0" distR="0" wp14:anchorId="1B48B886" wp14:editId="4FDBB2E3">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639" w:type="pct"/>
            <w:tcBorders>
              <w:top w:val="single" w:sz="8" w:space="0" w:color="auto"/>
              <w:bottom w:val="single" w:sz="12" w:space="0" w:color="auto"/>
            </w:tcBorders>
          </w:tcPr>
          <w:p w14:paraId="668454BE" w14:textId="7CED86BE" w:rsidR="00A96B21" w:rsidRPr="00D053E3" w:rsidRDefault="00A96B21" w:rsidP="003C6F10">
            <w:pPr>
              <w:ind w:left="2584"/>
              <w:rPr>
                <w:sz w:val="22"/>
                <w:szCs w:val="22"/>
              </w:rPr>
            </w:pPr>
            <w:r w:rsidRPr="00D053E3">
              <w:rPr>
                <w:sz w:val="22"/>
                <w:szCs w:val="22"/>
              </w:rPr>
              <w:t>Distr.</w:t>
            </w:r>
            <w:r w:rsidRPr="007E1A82">
              <w:rPr>
                <w:szCs w:val="22"/>
              </w:rPr>
              <w:t xml:space="preserve">: </w:t>
            </w:r>
            <w:r w:rsidR="004A1145" w:rsidRPr="007E1A82">
              <w:rPr>
                <w:sz w:val="22"/>
                <w:szCs w:val="22"/>
              </w:rPr>
              <w:t>General</w:t>
            </w:r>
          </w:p>
          <w:p w14:paraId="7DB3DB94" w14:textId="3F57201C" w:rsidR="00A96B21" w:rsidRPr="00D053E3" w:rsidRDefault="007749F6" w:rsidP="003C6F10">
            <w:pPr>
              <w:ind w:left="2584"/>
              <w:rPr>
                <w:sz w:val="22"/>
                <w:szCs w:val="22"/>
              </w:rPr>
            </w:pPr>
            <w:r w:rsidRPr="00D053E3">
              <w:rPr>
                <w:sz w:val="22"/>
                <w:szCs w:val="22"/>
              </w:rPr>
              <w:t>2</w:t>
            </w:r>
            <w:r w:rsidR="004A1145">
              <w:rPr>
                <w:sz w:val="22"/>
                <w:szCs w:val="22"/>
              </w:rPr>
              <w:t>9</w:t>
            </w:r>
            <w:r w:rsidRPr="00D053E3">
              <w:rPr>
                <w:sz w:val="22"/>
                <w:szCs w:val="22"/>
              </w:rPr>
              <w:t xml:space="preserve"> </w:t>
            </w:r>
            <w:r w:rsidR="00E148AC" w:rsidRPr="00D053E3">
              <w:rPr>
                <w:sz w:val="22"/>
                <w:szCs w:val="22"/>
              </w:rPr>
              <w:t>May</w:t>
            </w:r>
            <w:r w:rsidR="00D17E67" w:rsidRPr="00D053E3">
              <w:rPr>
                <w:sz w:val="22"/>
                <w:szCs w:val="22"/>
              </w:rPr>
              <w:t xml:space="preserve"> </w:t>
            </w:r>
            <w:r w:rsidR="00A96B21" w:rsidRPr="00D053E3">
              <w:rPr>
                <w:sz w:val="22"/>
                <w:szCs w:val="22"/>
              </w:rPr>
              <w:t>202</w:t>
            </w:r>
            <w:r w:rsidR="0092346F" w:rsidRPr="00D053E3">
              <w:rPr>
                <w:sz w:val="22"/>
                <w:szCs w:val="22"/>
              </w:rPr>
              <w:t>4</w:t>
            </w:r>
          </w:p>
          <w:p w14:paraId="77FBC5CE" w14:textId="77777777" w:rsidR="00A96B21" w:rsidRPr="00D053E3" w:rsidRDefault="00A96B21" w:rsidP="003C6F10">
            <w:pPr>
              <w:ind w:left="2584"/>
              <w:rPr>
                <w:sz w:val="22"/>
                <w:szCs w:val="22"/>
              </w:rPr>
            </w:pPr>
          </w:p>
          <w:p w14:paraId="10E07895" w14:textId="77777777" w:rsidR="00A96B21" w:rsidRPr="00D053E3" w:rsidRDefault="00A96B21" w:rsidP="003C6F10">
            <w:pPr>
              <w:ind w:left="2584"/>
              <w:rPr>
                <w:sz w:val="22"/>
                <w:szCs w:val="22"/>
              </w:rPr>
            </w:pPr>
            <w:r w:rsidRPr="00D053E3">
              <w:rPr>
                <w:sz w:val="22"/>
                <w:szCs w:val="22"/>
              </w:rPr>
              <w:t>Original</w:t>
            </w:r>
            <w:r w:rsidRPr="007E1A82">
              <w:rPr>
                <w:sz w:val="22"/>
                <w:szCs w:val="22"/>
              </w:rPr>
              <w:t>: English</w:t>
            </w:r>
          </w:p>
          <w:p w14:paraId="0E7EB2A4" w14:textId="77777777" w:rsidR="00A96B21" w:rsidRPr="00D053E3" w:rsidRDefault="00A96B21" w:rsidP="00B53987"/>
        </w:tc>
      </w:tr>
    </w:tbl>
    <w:p w14:paraId="38975CCD" w14:textId="77777777" w:rsidR="00874541" w:rsidRDefault="003E0A26" w:rsidP="00A96B21">
      <w:pPr>
        <w:pStyle w:val="Cornernotation"/>
        <w:rPr>
          <w:bCs/>
        </w:rPr>
      </w:pPr>
      <w:r>
        <w:rPr>
          <w:bCs/>
        </w:rPr>
        <w:t>Subsidiary Body on Implementation</w:t>
      </w:r>
    </w:p>
    <w:p w14:paraId="21D00522" w14:textId="77777777" w:rsidR="00A96B21" w:rsidRDefault="003E0A26" w:rsidP="00A96B21">
      <w:pPr>
        <w:pStyle w:val="Cornernotation"/>
        <w:rPr>
          <w:bCs/>
          <w:sz w:val="22"/>
          <w:szCs w:val="22"/>
        </w:rPr>
      </w:pPr>
      <w:r>
        <w:rPr>
          <w:bCs/>
          <w:sz w:val="22"/>
          <w:szCs w:val="22"/>
        </w:rPr>
        <w:t>Fourth</w:t>
      </w:r>
      <w:r w:rsidR="00A96B21" w:rsidRPr="00A96B21">
        <w:rPr>
          <w:bCs/>
          <w:sz w:val="22"/>
          <w:szCs w:val="22"/>
        </w:rPr>
        <w:t xml:space="preserve"> meeting </w:t>
      </w:r>
    </w:p>
    <w:p w14:paraId="4461A8F7" w14:textId="77777777" w:rsidR="00A96B21" w:rsidRPr="00D17E67" w:rsidRDefault="003E0A26" w:rsidP="00A96B21">
      <w:pPr>
        <w:pStyle w:val="Venuedate"/>
        <w:rPr>
          <w:lang w:val="en-CA"/>
        </w:rPr>
      </w:pPr>
      <w:r>
        <w:rPr>
          <w:lang w:val="en-CA"/>
        </w:rPr>
        <w:t>Nairobi</w:t>
      </w:r>
      <w:r w:rsidR="00A96B21" w:rsidRPr="00935461">
        <w:rPr>
          <w:lang w:val="en-CA"/>
        </w:rPr>
        <w:t xml:space="preserve">, </w:t>
      </w:r>
      <w:r>
        <w:rPr>
          <w:lang w:val="en-CA"/>
        </w:rPr>
        <w:t xml:space="preserve">21–29 </w:t>
      </w:r>
      <w:r w:rsidRPr="00D17E67">
        <w:rPr>
          <w:lang w:val="en-CA"/>
        </w:rPr>
        <w:t>May 202</w:t>
      </w:r>
      <w:r w:rsidR="0089575F" w:rsidRPr="00D17E67">
        <w:rPr>
          <w:lang w:val="en-CA"/>
        </w:rPr>
        <w:t>4</w:t>
      </w:r>
    </w:p>
    <w:p w14:paraId="719BEDBC" w14:textId="101E43A0" w:rsidR="00A96B21" w:rsidRPr="00D17E67" w:rsidRDefault="00E148AC" w:rsidP="00A96B21">
      <w:pPr>
        <w:pStyle w:val="Cornernotation-Item"/>
        <w:rPr>
          <w:b w:val="0"/>
          <w:bCs w:val="0"/>
        </w:rPr>
      </w:pPr>
      <w:r>
        <w:rPr>
          <w:b w:val="0"/>
          <w:bCs w:val="0"/>
        </w:rPr>
        <w:t>Agenda i</w:t>
      </w:r>
      <w:r w:rsidR="00A96B21" w:rsidRPr="00D17E67">
        <w:rPr>
          <w:b w:val="0"/>
          <w:bCs w:val="0"/>
        </w:rPr>
        <w:t xml:space="preserve">tem </w:t>
      </w:r>
      <w:r w:rsidR="00D31BE6" w:rsidRPr="00D17E67">
        <w:rPr>
          <w:b w:val="0"/>
          <w:bCs w:val="0"/>
        </w:rPr>
        <w:t xml:space="preserve">4 </w:t>
      </w:r>
      <w:r w:rsidR="00AB7898" w:rsidRPr="00D17E67">
        <w:rPr>
          <w:b w:val="0"/>
          <w:bCs w:val="0"/>
        </w:rPr>
        <w:t>(b)</w:t>
      </w:r>
    </w:p>
    <w:p w14:paraId="05FC359E" w14:textId="2FA515C3" w:rsidR="00A96B21" w:rsidRDefault="00786412" w:rsidP="003D3F00">
      <w:pPr>
        <w:pStyle w:val="Cornernotation-Item"/>
        <w:ind w:left="0" w:right="4398" w:firstLine="0"/>
      </w:pPr>
      <w:r>
        <w:t>Resource mobilization and financial mechanism: f</w:t>
      </w:r>
      <w:r w:rsidR="00AB7898" w:rsidRPr="00D17E67">
        <w:t>inancial mechanism</w:t>
      </w:r>
    </w:p>
    <w:bookmarkEnd w:id="0"/>
    <w:p w14:paraId="0103D970" w14:textId="77777777" w:rsidR="004A1145" w:rsidRPr="001F34B5" w:rsidRDefault="004A1145" w:rsidP="000B1539">
      <w:pPr>
        <w:pStyle w:val="CBDTitle"/>
        <w:rPr>
          <w:rFonts w:hint="eastAsia"/>
          <w:b w:val="0"/>
        </w:rPr>
      </w:pPr>
      <w:r w:rsidRPr="001F34B5">
        <w:rPr>
          <w:rFonts w:ascii="Times New Roman Bold" w:hAnsi="Times New Roman Bold"/>
          <w:bCs/>
          <w:spacing w:val="5"/>
          <w:szCs w:val="28"/>
        </w:rPr>
        <w:t xml:space="preserve">Recommendation </w:t>
      </w:r>
      <w:r w:rsidRPr="004A1145">
        <w:t>adopted</w:t>
      </w:r>
      <w:r w:rsidRPr="001F34B5">
        <w:rPr>
          <w:rFonts w:ascii="Times New Roman Bold" w:hAnsi="Times New Roman Bold"/>
          <w:bCs/>
          <w:spacing w:val="5"/>
          <w:szCs w:val="28"/>
        </w:rPr>
        <w:t xml:space="preserve"> by the Subsidiary Body on Implementation on 29 May 2024</w:t>
      </w:r>
    </w:p>
    <w:p w14:paraId="37A1ACAA" w14:textId="74D263D5" w:rsidR="00A96B21" w:rsidRDefault="004A1145" w:rsidP="000B1539">
      <w:pPr>
        <w:pStyle w:val="CBDTitle"/>
        <w:rPr>
          <w:rFonts w:hint="eastAsia"/>
        </w:rPr>
      </w:pPr>
      <w:r>
        <w:t>4/4.</w:t>
      </w:r>
      <w:r>
        <w:tab/>
      </w:r>
      <w:r w:rsidR="00E6179B">
        <w:t>Financial mechanism</w:t>
      </w:r>
    </w:p>
    <w:p w14:paraId="759CE72E" w14:textId="4AD9A8EB" w:rsidR="00134F7B" w:rsidRDefault="00134F7B" w:rsidP="003D3F00">
      <w:pPr>
        <w:pStyle w:val="Para1"/>
        <w:numPr>
          <w:ilvl w:val="0"/>
          <w:numId w:val="0"/>
        </w:numPr>
        <w:tabs>
          <w:tab w:val="clear" w:pos="1134"/>
          <w:tab w:val="left" w:pos="1701"/>
        </w:tabs>
        <w:ind w:left="567" w:firstLine="567"/>
      </w:pPr>
      <w:r w:rsidRPr="003D3F00">
        <w:rPr>
          <w:i/>
          <w:iCs/>
        </w:rPr>
        <w:t>The Subsidiary Body on Implementation</w:t>
      </w:r>
      <w:r w:rsidR="00BA5F3F">
        <w:t>,</w:t>
      </w:r>
    </w:p>
    <w:p w14:paraId="257B3E98" w14:textId="155A4EB7" w:rsidR="00436167" w:rsidRDefault="00436167" w:rsidP="003D3F00">
      <w:pPr>
        <w:pStyle w:val="Para1"/>
        <w:numPr>
          <w:ilvl w:val="0"/>
          <w:numId w:val="0"/>
        </w:numPr>
        <w:tabs>
          <w:tab w:val="clear" w:pos="1134"/>
          <w:tab w:val="left" w:pos="1701"/>
        </w:tabs>
        <w:ind w:left="567" w:firstLine="567"/>
      </w:pPr>
      <w:r w:rsidRPr="00436167">
        <w:rPr>
          <w:bCs/>
          <w:i/>
        </w:rPr>
        <w:t>Recalling</w:t>
      </w:r>
      <w:r w:rsidRPr="00436167">
        <w:rPr>
          <w:bCs/>
        </w:rPr>
        <w:t xml:space="preserve"> paragraph 15 of </w:t>
      </w:r>
      <w:r w:rsidRPr="00E56CA2">
        <w:rPr>
          <w:bCs/>
        </w:rPr>
        <w:t xml:space="preserve">decision </w:t>
      </w:r>
      <w:r w:rsidRPr="00E90C26">
        <w:rPr>
          <w:bCs/>
        </w:rPr>
        <w:t>15/15</w:t>
      </w:r>
      <w:r w:rsidR="00E56CA2" w:rsidRPr="00E56CA2">
        <w:rPr>
          <w:bCs/>
        </w:rPr>
        <w:t xml:space="preserve"> of 19 December 2022</w:t>
      </w:r>
      <w:r w:rsidRPr="00E56CA2">
        <w:rPr>
          <w:bCs/>
        </w:rPr>
        <w:t xml:space="preserve">, </w:t>
      </w:r>
      <w:r w:rsidR="007E581B">
        <w:rPr>
          <w:bCs/>
        </w:rPr>
        <w:t>in</w:t>
      </w:r>
      <w:r w:rsidR="007E581B" w:rsidRPr="00E56CA2">
        <w:rPr>
          <w:bCs/>
        </w:rPr>
        <w:t xml:space="preserve"> </w:t>
      </w:r>
      <w:r w:rsidRPr="00E56CA2">
        <w:rPr>
          <w:bCs/>
        </w:rPr>
        <w:t xml:space="preserve">which the Conference of the Parties </w:t>
      </w:r>
      <w:r w:rsidR="00D4766F">
        <w:rPr>
          <w:bCs/>
        </w:rPr>
        <w:t>to the</w:t>
      </w:r>
      <w:r w:rsidR="00AB0B50">
        <w:rPr>
          <w:bCs/>
        </w:rPr>
        <w:t xml:space="preserve"> Convention on Biological Diversity </w:t>
      </w:r>
      <w:r w:rsidRPr="00E56CA2">
        <w:rPr>
          <w:bCs/>
        </w:rPr>
        <w:t xml:space="preserve">invited </w:t>
      </w:r>
      <w:r w:rsidRPr="00E56CA2">
        <w:t>developing country Parties and Parties with economies</w:t>
      </w:r>
      <w:r w:rsidRPr="00436167">
        <w:t xml:space="preserve"> in transition to identify related national funding priorities, including nationally prioritized funding needs that could be considered eligible for funding under the financial mechanism</w:t>
      </w:r>
      <w:r w:rsidR="00B472EA">
        <w:t>,</w:t>
      </w:r>
      <w:r w:rsidRPr="00436167">
        <w:t xml:space="preserve"> specifically for the period </w:t>
      </w:r>
      <w:r w:rsidR="00D306DF">
        <w:t xml:space="preserve">from </w:t>
      </w:r>
      <w:r w:rsidRPr="00436167">
        <w:t xml:space="preserve">July 2026 to June </w:t>
      </w:r>
      <w:r w:rsidRPr="007E1A82">
        <w:t>2030, and</w:t>
      </w:r>
      <w:r w:rsidRPr="00436167">
        <w:t xml:space="preserve"> submit the results to the Executive Secretary for inclusion in the funding needs assessment</w:t>
      </w:r>
      <w:r>
        <w:t>,</w:t>
      </w:r>
    </w:p>
    <w:p w14:paraId="5F410B73" w14:textId="1096B5C3" w:rsidR="00436167" w:rsidRPr="00952D20" w:rsidRDefault="00436167" w:rsidP="003D3F00">
      <w:pPr>
        <w:pStyle w:val="Para1"/>
        <w:numPr>
          <w:ilvl w:val="0"/>
          <w:numId w:val="0"/>
        </w:numPr>
        <w:tabs>
          <w:tab w:val="clear" w:pos="1134"/>
          <w:tab w:val="left" w:pos="1701"/>
        </w:tabs>
        <w:ind w:left="567" w:firstLine="567"/>
      </w:pPr>
      <w:r>
        <w:rPr>
          <w:i/>
          <w:iCs/>
        </w:rPr>
        <w:t>Recognizing</w:t>
      </w:r>
      <w:r w:rsidRPr="00436167">
        <w:t xml:space="preserve"> that most </w:t>
      </w:r>
      <w:r w:rsidR="00224D51">
        <w:t xml:space="preserve">eligible </w:t>
      </w:r>
      <w:r w:rsidRPr="00436167">
        <w:t xml:space="preserve">countries are still in the process of updating their national biodiversity </w:t>
      </w:r>
      <w:r w:rsidRPr="00CB0013">
        <w:t>strategies and action plan</w:t>
      </w:r>
      <w:r w:rsidRPr="003D3F00">
        <w:t>s</w:t>
      </w:r>
      <w:r w:rsidR="003716A2">
        <w:t xml:space="preserve"> and </w:t>
      </w:r>
      <w:r w:rsidRPr="00CB0013">
        <w:t>developing national biodiversity finance plans</w:t>
      </w:r>
      <w:r w:rsidR="00F56F26">
        <w:t xml:space="preserve"> or other relevant </w:t>
      </w:r>
      <w:r w:rsidR="00F56F26" w:rsidRPr="00952D20">
        <w:t>instruments</w:t>
      </w:r>
      <w:r w:rsidRPr="000B1539">
        <w:t xml:space="preserve"> and</w:t>
      </w:r>
      <w:r w:rsidRPr="00952D20">
        <w:t xml:space="preserve"> </w:t>
      </w:r>
      <w:r w:rsidR="00890067" w:rsidRPr="00952D20">
        <w:t xml:space="preserve">that </w:t>
      </w:r>
      <w:r w:rsidRPr="00952D20">
        <w:t xml:space="preserve">robust funding needs assessments should build upon the funding priorities identified </w:t>
      </w:r>
      <w:r w:rsidR="00F4057E" w:rsidRPr="00952D20">
        <w:t>in</w:t>
      </w:r>
      <w:r w:rsidRPr="00952D20">
        <w:t xml:space="preserve"> national planning processes,</w:t>
      </w:r>
    </w:p>
    <w:p w14:paraId="5066FF02" w14:textId="003C9B9A" w:rsidR="00436167" w:rsidRPr="00D053E3" w:rsidRDefault="0045024A" w:rsidP="003D3F00">
      <w:pPr>
        <w:pStyle w:val="Para1"/>
        <w:numPr>
          <w:ilvl w:val="0"/>
          <w:numId w:val="0"/>
        </w:numPr>
        <w:tabs>
          <w:tab w:val="clear" w:pos="1134"/>
          <w:tab w:val="left" w:pos="1701"/>
        </w:tabs>
        <w:ind w:left="567" w:firstLine="567"/>
      </w:pPr>
      <w:r w:rsidRPr="00952D20">
        <w:rPr>
          <w:i/>
          <w:iCs/>
        </w:rPr>
        <w:t>Noting</w:t>
      </w:r>
      <w:r w:rsidR="00153AF3" w:rsidRPr="00952D20">
        <w:rPr>
          <w:i/>
          <w:iCs/>
        </w:rPr>
        <w:t xml:space="preserve"> with regret</w:t>
      </w:r>
      <w:r w:rsidR="00E5373C" w:rsidRPr="00952D20">
        <w:t xml:space="preserve"> </w:t>
      </w:r>
      <w:r w:rsidR="00436167" w:rsidRPr="00952D20">
        <w:t xml:space="preserve">the lack of voluntary contributions to finance the implementation of the terms of reference for a full assessment of the amount of funds needed for the implementation of the </w:t>
      </w:r>
      <w:r w:rsidR="00436167" w:rsidRPr="000B1539">
        <w:t xml:space="preserve">Convention </w:t>
      </w:r>
      <w:r w:rsidR="00DD1E6B" w:rsidRPr="000B1539">
        <w:t>on Biological Diversity</w:t>
      </w:r>
      <w:r w:rsidR="0048489A">
        <w:rPr>
          <w:rStyle w:val="FootnoteReference"/>
        </w:rPr>
        <w:footnoteReference w:id="2"/>
      </w:r>
      <w:r w:rsidR="00DD1E6B" w:rsidRPr="00952D20">
        <w:t xml:space="preserve"> </w:t>
      </w:r>
      <w:r w:rsidR="00436167" w:rsidRPr="00952D20">
        <w:t>and its Protocols</w:t>
      </w:r>
      <w:r w:rsidR="0075511E" w:rsidRPr="00952D20">
        <w:t>,</w:t>
      </w:r>
      <w:r w:rsidR="00436167" w:rsidRPr="00952D20">
        <w:t xml:space="preserve"> </w:t>
      </w:r>
      <w:r w:rsidR="008949B8" w:rsidRPr="00952D20">
        <w:t xml:space="preserve">in particular </w:t>
      </w:r>
      <w:r w:rsidR="0075511E" w:rsidRPr="00952D20">
        <w:t xml:space="preserve">the </w:t>
      </w:r>
      <w:r w:rsidR="0075511E" w:rsidRPr="000B1539">
        <w:t>Kunming-Montreal Global Biodiversity Framework</w:t>
      </w:r>
      <w:r w:rsidR="0075511E" w:rsidRPr="00952D20">
        <w:t>,</w:t>
      </w:r>
      <w:r w:rsidR="003471ED" w:rsidRPr="00952D20">
        <w:rPr>
          <w:rStyle w:val="FootnoteReference"/>
        </w:rPr>
        <w:footnoteReference w:id="3"/>
      </w:r>
      <w:r w:rsidR="0075511E" w:rsidRPr="00952D20">
        <w:t xml:space="preserve"> </w:t>
      </w:r>
      <w:r w:rsidR="00436167" w:rsidRPr="00952D20">
        <w:t xml:space="preserve">for the ninth replenishment period of the </w:t>
      </w:r>
      <w:r w:rsidR="00436167" w:rsidRPr="000B1539">
        <w:t>Global Environment Facility</w:t>
      </w:r>
      <w:r w:rsidR="00436167" w:rsidRPr="00952D20">
        <w:t xml:space="preserve"> </w:t>
      </w:r>
      <w:r w:rsidR="00436167" w:rsidRPr="000B1539">
        <w:t>Trust Fund</w:t>
      </w:r>
      <w:r w:rsidR="005D1F0A" w:rsidRPr="00952D20">
        <w:t>,</w:t>
      </w:r>
      <w:r w:rsidR="008D0D71" w:rsidRPr="00952D20">
        <w:rPr>
          <w:rStyle w:val="FootnoteReference"/>
        </w:rPr>
        <w:footnoteReference w:id="4"/>
      </w:r>
    </w:p>
    <w:p w14:paraId="039EB038" w14:textId="78B5BD8A" w:rsidR="00597F4A" w:rsidRPr="00D053E3" w:rsidRDefault="00F70FB3" w:rsidP="003D3F00">
      <w:pPr>
        <w:pStyle w:val="Para1"/>
        <w:numPr>
          <w:ilvl w:val="0"/>
          <w:numId w:val="0"/>
        </w:numPr>
        <w:tabs>
          <w:tab w:val="clear" w:pos="1134"/>
          <w:tab w:val="left" w:pos="1701"/>
        </w:tabs>
        <w:ind w:left="567" w:firstLine="567"/>
      </w:pPr>
      <w:r w:rsidRPr="00D053E3">
        <w:rPr>
          <w:i/>
          <w:iCs/>
        </w:rPr>
        <w:t>R</w:t>
      </w:r>
      <w:r w:rsidR="00597F4A" w:rsidRPr="00D053E3">
        <w:rPr>
          <w:i/>
          <w:iCs/>
        </w:rPr>
        <w:t>egretting</w:t>
      </w:r>
      <w:r w:rsidRPr="00D053E3">
        <w:rPr>
          <w:i/>
          <w:iCs/>
        </w:rPr>
        <w:t xml:space="preserve"> </w:t>
      </w:r>
      <w:r w:rsidR="00597F4A" w:rsidRPr="00D053E3">
        <w:t>that the lack of voluntary contributions to implement the terms of reference for the sixth review of the effectiveness of the financial mechanism</w:t>
      </w:r>
      <w:r w:rsidR="00091445">
        <w:t>, as</w:t>
      </w:r>
      <w:r w:rsidR="00597F4A" w:rsidRPr="00D053E3">
        <w:t xml:space="preserve"> set out in annex </w:t>
      </w:r>
      <w:r w:rsidR="00597F4A" w:rsidRPr="007E1A82">
        <w:t>IV</w:t>
      </w:r>
      <w:r w:rsidR="00597F4A" w:rsidRPr="00D053E3">
        <w:t xml:space="preserve"> to decision</w:t>
      </w:r>
      <w:r w:rsidR="00091445">
        <w:t> </w:t>
      </w:r>
      <w:r w:rsidR="00597F4A" w:rsidRPr="00D053E3">
        <w:t>15/15</w:t>
      </w:r>
      <w:r w:rsidR="00091445">
        <w:t>,</w:t>
      </w:r>
      <w:r w:rsidR="00597F4A" w:rsidRPr="00D053E3">
        <w:t xml:space="preserve"> </w:t>
      </w:r>
      <w:r w:rsidR="00742986">
        <w:t xml:space="preserve">has </w:t>
      </w:r>
      <w:r w:rsidR="00597F4A" w:rsidRPr="00D053E3">
        <w:t xml:space="preserve">delayed </w:t>
      </w:r>
      <w:r w:rsidR="00075369">
        <w:t>the</w:t>
      </w:r>
      <w:r w:rsidR="00597F4A" w:rsidRPr="00D053E3">
        <w:t xml:space="preserve"> timely preparation </w:t>
      </w:r>
      <w:r w:rsidR="00075369">
        <w:t xml:space="preserve">of the review </w:t>
      </w:r>
      <w:r w:rsidR="00597F4A" w:rsidRPr="00D053E3">
        <w:t>and limited its scope,</w:t>
      </w:r>
    </w:p>
    <w:p w14:paraId="4E1EBDDB" w14:textId="6DAD7124" w:rsidR="00E01399" w:rsidRPr="00D053E3" w:rsidRDefault="00E01399" w:rsidP="003D3F00">
      <w:pPr>
        <w:pStyle w:val="Para1"/>
        <w:numPr>
          <w:ilvl w:val="0"/>
          <w:numId w:val="0"/>
        </w:numPr>
        <w:tabs>
          <w:tab w:val="clear" w:pos="1134"/>
          <w:tab w:val="left" w:pos="1701"/>
        </w:tabs>
        <w:ind w:left="567" w:firstLine="567"/>
      </w:pPr>
      <w:r w:rsidRPr="00D053E3">
        <w:rPr>
          <w:i/>
          <w:iCs/>
        </w:rPr>
        <w:t>Taking note</w:t>
      </w:r>
      <w:r w:rsidRPr="00D053E3">
        <w:t xml:space="preserve"> of </w:t>
      </w:r>
      <w:r w:rsidR="00EF138D">
        <w:t xml:space="preserve">the </w:t>
      </w:r>
      <w:r w:rsidR="00EF138D" w:rsidRPr="00D053E3">
        <w:t xml:space="preserve">information contained </w:t>
      </w:r>
      <w:r w:rsidR="00EF138D">
        <w:t xml:space="preserve">in </w:t>
      </w:r>
      <w:r w:rsidRPr="00D053E3">
        <w:t xml:space="preserve">the </w:t>
      </w:r>
      <w:r w:rsidR="00B8060C">
        <w:t>note by</w:t>
      </w:r>
      <w:r w:rsidR="00BA655E" w:rsidRPr="00D053E3">
        <w:t xml:space="preserve"> </w:t>
      </w:r>
      <w:r w:rsidRPr="00D053E3">
        <w:t>the Secretariat</w:t>
      </w:r>
      <w:r w:rsidR="00D459AE">
        <w:t xml:space="preserve"> on the f</w:t>
      </w:r>
      <w:r w:rsidR="00D459AE" w:rsidRPr="00D459AE">
        <w:t>inancial mechanism</w:t>
      </w:r>
      <w:r w:rsidRPr="00D053E3">
        <w:t>,</w:t>
      </w:r>
      <w:r w:rsidR="00D459AE">
        <w:rPr>
          <w:rStyle w:val="FootnoteReference"/>
        </w:rPr>
        <w:footnoteReference w:id="5"/>
      </w:r>
    </w:p>
    <w:p w14:paraId="3E1FDB24" w14:textId="2DA3FB86" w:rsidR="00134F7B" w:rsidRPr="00616C1C" w:rsidRDefault="00833BC6" w:rsidP="003D3F00">
      <w:pPr>
        <w:pStyle w:val="Para1"/>
        <w:numPr>
          <w:ilvl w:val="0"/>
          <w:numId w:val="0"/>
        </w:numPr>
        <w:tabs>
          <w:tab w:val="clear" w:pos="1134"/>
          <w:tab w:val="left" w:pos="1701"/>
        </w:tabs>
        <w:ind w:left="567" w:firstLine="567"/>
      </w:pPr>
      <w:r w:rsidRPr="00D053E3">
        <w:t>1.</w:t>
      </w:r>
      <w:r w:rsidRPr="00D053E3">
        <w:tab/>
      </w:r>
      <w:r w:rsidR="002D3996">
        <w:rPr>
          <w:i/>
          <w:iCs/>
        </w:rPr>
        <w:t>Takes n</w:t>
      </w:r>
      <w:r w:rsidR="00134F7B" w:rsidRPr="00D053E3">
        <w:rPr>
          <w:i/>
          <w:iCs/>
        </w:rPr>
        <w:t>ote</w:t>
      </w:r>
      <w:r w:rsidR="00134F7B" w:rsidRPr="00D053E3">
        <w:t xml:space="preserve"> </w:t>
      </w:r>
      <w:r w:rsidR="002D3996">
        <w:t xml:space="preserve">of </w:t>
      </w:r>
      <w:r w:rsidR="00134F7B" w:rsidRPr="00D053E3">
        <w:t xml:space="preserve">the preliminary report of the Council of </w:t>
      </w:r>
      <w:r w:rsidR="00134F7B" w:rsidRPr="00616C1C">
        <w:t xml:space="preserve">the </w:t>
      </w:r>
      <w:r w:rsidR="00134F7B" w:rsidRPr="000B1539">
        <w:t>Global Environment Facility</w:t>
      </w:r>
      <w:r w:rsidR="00134F7B" w:rsidRPr="00616C1C">
        <w:t xml:space="preserve"> </w:t>
      </w:r>
      <w:r w:rsidR="00B333D7">
        <w:t>for</w:t>
      </w:r>
      <w:r w:rsidR="00134F7B" w:rsidRPr="00616C1C">
        <w:t xml:space="preserve"> the sixteenth meeting of the Conference of the Parties,</w:t>
      </w:r>
      <w:r w:rsidR="00134F7B" w:rsidRPr="00616C1C">
        <w:rPr>
          <w:rStyle w:val="FootnoteReference"/>
        </w:rPr>
        <w:footnoteReference w:id="6"/>
      </w:r>
      <w:r w:rsidR="00134F7B" w:rsidRPr="00616C1C">
        <w:t xml:space="preserve"> which includes a table of </w:t>
      </w:r>
      <w:r w:rsidR="00882AAA" w:rsidRPr="00616C1C">
        <w:t xml:space="preserve">its </w:t>
      </w:r>
      <w:r w:rsidR="00134F7B" w:rsidRPr="00616C1C">
        <w:t xml:space="preserve">responses to the guidance </w:t>
      </w:r>
      <w:r w:rsidR="004016F1" w:rsidRPr="00616C1C">
        <w:t xml:space="preserve">adopted by </w:t>
      </w:r>
      <w:r w:rsidR="00134F7B" w:rsidRPr="00616C1C">
        <w:t xml:space="preserve">the Conference of the Parties at its fifteenth meeting </w:t>
      </w:r>
      <w:r w:rsidR="004016F1" w:rsidRPr="00616C1C">
        <w:t xml:space="preserve">in </w:t>
      </w:r>
      <w:r w:rsidR="00134F7B" w:rsidRPr="00616C1C">
        <w:t>its decision 15/15</w:t>
      </w:r>
      <w:r w:rsidR="00D96CF9" w:rsidRPr="00616C1C">
        <w:t>;</w:t>
      </w:r>
    </w:p>
    <w:p w14:paraId="3095B820" w14:textId="3F583382" w:rsidR="00D96CF9" w:rsidRPr="00616C1C" w:rsidRDefault="00833BC6" w:rsidP="003D3F00">
      <w:pPr>
        <w:pStyle w:val="Para1"/>
        <w:numPr>
          <w:ilvl w:val="0"/>
          <w:numId w:val="0"/>
        </w:numPr>
        <w:tabs>
          <w:tab w:val="clear" w:pos="1134"/>
          <w:tab w:val="left" w:pos="1701"/>
        </w:tabs>
        <w:ind w:left="567" w:firstLine="567"/>
      </w:pPr>
      <w:r w:rsidRPr="00616C1C">
        <w:t>2.</w:t>
      </w:r>
      <w:r w:rsidRPr="00616C1C">
        <w:tab/>
      </w:r>
      <w:r w:rsidR="00BD7C0C">
        <w:rPr>
          <w:i/>
          <w:iCs/>
        </w:rPr>
        <w:t>N</w:t>
      </w:r>
      <w:r w:rsidR="00D96CF9" w:rsidRPr="00616C1C">
        <w:rPr>
          <w:i/>
          <w:iCs/>
        </w:rPr>
        <w:t>otes</w:t>
      </w:r>
      <w:r w:rsidR="00D96CF9" w:rsidRPr="00616C1C">
        <w:t xml:space="preserve"> the </w:t>
      </w:r>
      <w:r w:rsidR="00A04B64" w:rsidRPr="00616C1C">
        <w:t>relatively</w:t>
      </w:r>
      <w:r w:rsidR="00D37841" w:rsidRPr="00616C1C">
        <w:t xml:space="preserve"> </w:t>
      </w:r>
      <w:r w:rsidR="00D96CF9" w:rsidRPr="00616C1C">
        <w:t xml:space="preserve">rapid </w:t>
      </w:r>
      <w:r w:rsidR="00FD7A7E">
        <w:t xml:space="preserve">provision of </w:t>
      </w:r>
      <w:r w:rsidR="00D96CF9" w:rsidRPr="00616C1C">
        <w:t xml:space="preserve">support from the </w:t>
      </w:r>
      <w:r w:rsidR="00D96CF9" w:rsidRPr="000B1539">
        <w:t>Global Environment Facility</w:t>
      </w:r>
      <w:r w:rsidR="00D96CF9" w:rsidRPr="00616C1C">
        <w:t xml:space="preserve"> </w:t>
      </w:r>
      <w:r w:rsidR="007A3328">
        <w:t>for</w:t>
      </w:r>
      <w:r w:rsidR="00D96CF9" w:rsidRPr="00616C1C">
        <w:t xml:space="preserve"> the revision and updating of national biodiversity strategies and action plans</w:t>
      </w:r>
      <w:r w:rsidR="002E4A2E" w:rsidRPr="00616C1C">
        <w:t>,</w:t>
      </w:r>
      <w:r w:rsidR="00D96CF9" w:rsidRPr="00616C1C">
        <w:t xml:space="preserve"> as well as </w:t>
      </w:r>
      <w:r w:rsidR="00270FAC" w:rsidRPr="00616C1C">
        <w:t xml:space="preserve">national </w:t>
      </w:r>
      <w:r w:rsidR="00D96CF9" w:rsidRPr="00616C1C">
        <w:t xml:space="preserve">biodiversity finance plans aligned with the </w:t>
      </w:r>
      <w:r w:rsidR="00D96CF9" w:rsidRPr="000B1539">
        <w:t>Kunming-Montreal Global Biodiversity Framework, and</w:t>
      </w:r>
      <w:r w:rsidR="00D96CF9" w:rsidRPr="00616C1C">
        <w:t xml:space="preserve"> urges the </w:t>
      </w:r>
      <w:r w:rsidR="00ED5C67" w:rsidRPr="00616C1C">
        <w:t>eligible</w:t>
      </w:r>
      <w:r w:rsidR="005F7443" w:rsidRPr="00616C1C">
        <w:t xml:space="preserve"> countries</w:t>
      </w:r>
      <w:r w:rsidR="008955B8" w:rsidRPr="00616C1C">
        <w:t>, with the support of the relevant implementing agencies,</w:t>
      </w:r>
      <w:r w:rsidR="00D96CF9" w:rsidRPr="00616C1C">
        <w:t xml:space="preserve"> to expedite the implementation of enabling activity projects</w:t>
      </w:r>
      <w:r w:rsidR="00774613" w:rsidRPr="00616C1C">
        <w:t xml:space="preserve"> financed by the </w:t>
      </w:r>
      <w:r w:rsidR="00774613" w:rsidRPr="000B1539">
        <w:t>Global Environment Facility</w:t>
      </w:r>
      <w:r w:rsidR="00D96CF9" w:rsidRPr="00616C1C">
        <w:t>;</w:t>
      </w:r>
    </w:p>
    <w:p w14:paraId="75B33414" w14:textId="2A58E98B" w:rsidR="00B02A27" w:rsidRPr="00D053E3" w:rsidRDefault="001A6338" w:rsidP="003D3F00">
      <w:pPr>
        <w:pStyle w:val="Para1"/>
        <w:numPr>
          <w:ilvl w:val="0"/>
          <w:numId w:val="0"/>
        </w:numPr>
        <w:tabs>
          <w:tab w:val="clear" w:pos="1134"/>
          <w:tab w:val="left" w:pos="1701"/>
        </w:tabs>
        <w:ind w:left="567" w:firstLine="567"/>
      </w:pPr>
      <w:r w:rsidRPr="00616C1C">
        <w:t>3.</w:t>
      </w:r>
      <w:r w:rsidRPr="00616C1C">
        <w:tab/>
      </w:r>
      <w:r w:rsidRPr="00616C1C">
        <w:rPr>
          <w:i/>
          <w:iCs/>
        </w:rPr>
        <w:t>Encourages</w:t>
      </w:r>
      <w:r w:rsidRPr="00616C1C">
        <w:t xml:space="preserve"> the </w:t>
      </w:r>
      <w:r w:rsidRPr="000B1539">
        <w:t>Global Environment Facility</w:t>
      </w:r>
      <w:r w:rsidRPr="00616C1C">
        <w:t xml:space="preserve"> to continue and further strengthen the collaboration with </w:t>
      </w:r>
      <w:r w:rsidR="00FB1832" w:rsidRPr="00616C1C">
        <w:t xml:space="preserve">the </w:t>
      </w:r>
      <w:r w:rsidR="000D5FEB" w:rsidRPr="00616C1C">
        <w:t xml:space="preserve">Biodiversity Finance </w:t>
      </w:r>
      <w:r w:rsidR="00FB1832" w:rsidRPr="00616C1C">
        <w:t>Initiative</w:t>
      </w:r>
      <w:r w:rsidRPr="00616C1C">
        <w:t xml:space="preserve"> </w:t>
      </w:r>
      <w:r w:rsidR="003B7B74">
        <w:t>on</w:t>
      </w:r>
      <w:r w:rsidRPr="00616C1C">
        <w:t xml:space="preserve"> develop</w:t>
      </w:r>
      <w:r w:rsidR="003B7B74">
        <w:t>ing</w:t>
      </w:r>
      <w:r w:rsidRPr="00616C1C">
        <w:t xml:space="preserve"> and updat</w:t>
      </w:r>
      <w:r w:rsidR="003B7B74">
        <w:t>in</w:t>
      </w:r>
      <w:r w:rsidR="004C0096">
        <w:t>g</w:t>
      </w:r>
      <w:r w:rsidRPr="00616C1C">
        <w:t xml:space="preserve"> national biodiversity finance plans and to support their implementation;</w:t>
      </w:r>
    </w:p>
    <w:p w14:paraId="0C2786EF" w14:textId="697126A3" w:rsidR="00EA0222" w:rsidRPr="00823EB1" w:rsidRDefault="00794D52" w:rsidP="00F42442">
      <w:pPr>
        <w:pStyle w:val="Para1"/>
        <w:numPr>
          <w:ilvl w:val="0"/>
          <w:numId w:val="0"/>
        </w:numPr>
        <w:tabs>
          <w:tab w:val="clear" w:pos="1134"/>
          <w:tab w:val="left" w:pos="1701"/>
        </w:tabs>
        <w:ind w:left="567" w:firstLine="567"/>
      </w:pPr>
      <w:r>
        <w:t>4</w:t>
      </w:r>
      <w:r w:rsidR="00673FE1">
        <w:t>.</w:t>
      </w:r>
      <w:r w:rsidR="0037045D">
        <w:tab/>
      </w:r>
      <w:r w:rsidR="002C056D" w:rsidRPr="00985808">
        <w:rPr>
          <w:i/>
          <w:iCs/>
        </w:rPr>
        <w:t>Req</w:t>
      </w:r>
      <w:r w:rsidR="00194E57" w:rsidRPr="00985808">
        <w:rPr>
          <w:i/>
          <w:iCs/>
        </w:rPr>
        <w:t>u</w:t>
      </w:r>
      <w:r w:rsidR="002C056D" w:rsidRPr="00985808">
        <w:rPr>
          <w:i/>
          <w:iCs/>
        </w:rPr>
        <w:t>ests</w:t>
      </w:r>
      <w:r w:rsidR="002C056D">
        <w:t xml:space="preserve"> </w:t>
      </w:r>
      <w:r w:rsidR="002C056D" w:rsidRPr="00823EB1">
        <w:t xml:space="preserve">the Council </w:t>
      </w:r>
      <w:r w:rsidRPr="00823EB1">
        <w:t xml:space="preserve">of the Global Biodiversity Framework </w:t>
      </w:r>
      <w:r w:rsidRPr="000B1539">
        <w:t xml:space="preserve">Fund </w:t>
      </w:r>
      <w:r w:rsidR="002C056D" w:rsidRPr="00823EB1">
        <w:t xml:space="preserve">to adopt at its second meeting </w:t>
      </w:r>
      <w:r w:rsidR="00272F2E" w:rsidRPr="00823EB1">
        <w:t xml:space="preserve">terms of reference for the auxiliary body and </w:t>
      </w:r>
      <w:r w:rsidR="00E52D22" w:rsidRPr="00823EB1">
        <w:t xml:space="preserve">the </w:t>
      </w:r>
      <w:r w:rsidR="00272F2E" w:rsidRPr="00823EB1">
        <w:t>advisory group;</w:t>
      </w:r>
    </w:p>
    <w:p w14:paraId="28FDD4E9" w14:textId="3004537C" w:rsidR="00D96CF9" w:rsidRPr="00D053E3" w:rsidRDefault="003850A1" w:rsidP="003D3F00">
      <w:pPr>
        <w:pStyle w:val="Para1"/>
        <w:numPr>
          <w:ilvl w:val="0"/>
          <w:numId w:val="0"/>
        </w:numPr>
        <w:tabs>
          <w:tab w:val="clear" w:pos="1134"/>
          <w:tab w:val="left" w:pos="1701"/>
        </w:tabs>
        <w:ind w:left="567" w:firstLine="567"/>
      </w:pPr>
      <w:r w:rsidRPr="00823EB1">
        <w:t>5</w:t>
      </w:r>
      <w:r w:rsidR="00833BC6" w:rsidRPr="00823EB1">
        <w:t>.</w:t>
      </w:r>
      <w:r w:rsidR="00833BC6" w:rsidRPr="00823EB1">
        <w:tab/>
      </w:r>
      <w:r w:rsidR="00D96CF9" w:rsidRPr="00823EB1">
        <w:rPr>
          <w:i/>
          <w:iCs/>
        </w:rPr>
        <w:t>Encourages</w:t>
      </w:r>
      <w:r w:rsidR="00D96CF9" w:rsidRPr="00823EB1">
        <w:t xml:space="preserve"> </w:t>
      </w:r>
      <w:r w:rsidR="00436167" w:rsidRPr="00823EB1">
        <w:t>eligible</w:t>
      </w:r>
      <w:r w:rsidR="00D96CF9" w:rsidRPr="00823EB1">
        <w:t xml:space="preserve"> Parties to the </w:t>
      </w:r>
      <w:r w:rsidR="00D96CF9" w:rsidRPr="000B1539">
        <w:t xml:space="preserve">Convention </w:t>
      </w:r>
      <w:r w:rsidR="00DD1E6B" w:rsidRPr="000B1539">
        <w:t>on Biological Diversity</w:t>
      </w:r>
      <w:r w:rsidR="00DD1E6B" w:rsidRPr="00823EB1">
        <w:t xml:space="preserve"> </w:t>
      </w:r>
      <w:r w:rsidR="00D96CF9" w:rsidRPr="00823EB1">
        <w:t>and its Protocols to accelerate their use of their country allocations made available under the System for Transparent Allocation of Resources</w:t>
      </w:r>
      <w:r w:rsidR="00996144" w:rsidRPr="00823EB1">
        <w:t xml:space="preserve"> </w:t>
      </w:r>
      <w:r w:rsidR="001C2FC5">
        <w:t>for</w:t>
      </w:r>
      <w:r w:rsidR="00996144" w:rsidRPr="00823EB1">
        <w:t xml:space="preserve"> the </w:t>
      </w:r>
      <w:r w:rsidR="00ED193B" w:rsidRPr="00823EB1">
        <w:t>eighth</w:t>
      </w:r>
      <w:r w:rsidR="00996144" w:rsidRPr="00823EB1">
        <w:t xml:space="preserve"> replenishment cycle</w:t>
      </w:r>
      <w:r w:rsidR="00ED193B" w:rsidRPr="00823EB1">
        <w:t xml:space="preserve"> of the </w:t>
      </w:r>
      <w:r w:rsidR="00ED193B" w:rsidRPr="000B1539">
        <w:t>Global Environment Facility</w:t>
      </w:r>
      <w:r w:rsidR="00ED193B" w:rsidRPr="00823EB1">
        <w:t xml:space="preserve"> </w:t>
      </w:r>
      <w:r w:rsidR="00ED193B" w:rsidRPr="000B1539">
        <w:t>Trust Fund</w:t>
      </w:r>
      <w:r w:rsidR="00D96CF9" w:rsidRPr="00823EB1">
        <w:t>;</w:t>
      </w:r>
    </w:p>
    <w:p w14:paraId="59185480" w14:textId="31039BA8" w:rsidR="00D96CF9" w:rsidRPr="00023D91" w:rsidRDefault="003850A1" w:rsidP="003D3F00">
      <w:pPr>
        <w:pStyle w:val="Para1"/>
        <w:numPr>
          <w:ilvl w:val="0"/>
          <w:numId w:val="0"/>
        </w:numPr>
        <w:tabs>
          <w:tab w:val="clear" w:pos="1134"/>
          <w:tab w:val="left" w:pos="1701"/>
        </w:tabs>
        <w:ind w:left="567" w:firstLine="567"/>
      </w:pPr>
      <w:r w:rsidRPr="00D053E3">
        <w:t>6</w:t>
      </w:r>
      <w:r w:rsidR="00833BC6" w:rsidRPr="00D053E3">
        <w:t>.</w:t>
      </w:r>
      <w:r w:rsidR="00833BC6" w:rsidRPr="00D053E3">
        <w:tab/>
      </w:r>
      <w:r w:rsidR="002627C6">
        <w:rPr>
          <w:i/>
          <w:iCs/>
        </w:rPr>
        <w:t>E</w:t>
      </w:r>
      <w:r w:rsidR="00D96CF9" w:rsidRPr="00D053E3">
        <w:rPr>
          <w:i/>
          <w:iCs/>
        </w:rPr>
        <w:t>ncourages</w:t>
      </w:r>
      <w:r w:rsidR="00D96CF9" w:rsidRPr="00D053E3">
        <w:t xml:space="preserve"> </w:t>
      </w:r>
      <w:r w:rsidR="00D15D83" w:rsidRPr="00D053E3">
        <w:t>eligible</w:t>
      </w:r>
      <w:r w:rsidR="00D96CF9" w:rsidRPr="00D053E3">
        <w:t xml:space="preserve"> Parties to the Cartagena Protocol on Biosafety </w:t>
      </w:r>
      <w:r w:rsidR="00D007C3">
        <w:t>to the Convention</w:t>
      </w:r>
      <w:r w:rsidR="00D931FA">
        <w:rPr>
          <w:rStyle w:val="FootnoteReference"/>
        </w:rPr>
        <w:footnoteReference w:id="7"/>
      </w:r>
      <w:r w:rsidR="00D007C3">
        <w:t xml:space="preserve"> </w:t>
      </w:r>
      <w:r w:rsidR="00D96CF9" w:rsidRPr="00D053E3">
        <w:t xml:space="preserve">and the Nagoya Protocol on </w:t>
      </w:r>
      <w:r w:rsidR="00695E8C" w:rsidRPr="00D053E3">
        <w:t>A</w:t>
      </w:r>
      <w:r w:rsidR="00D96CF9" w:rsidRPr="00D053E3">
        <w:t xml:space="preserve">ccess to </w:t>
      </w:r>
      <w:r w:rsidR="00695E8C" w:rsidRPr="00D053E3">
        <w:t>G</w:t>
      </w:r>
      <w:r w:rsidR="00D96CF9" w:rsidRPr="00D053E3">
        <w:t xml:space="preserve">enetic </w:t>
      </w:r>
      <w:r w:rsidR="00695E8C" w:rsidRPr="00D053E3">
        <w:t>R</w:t>
      </w:r>
      <w:r w:rsidR="00D96CF9" w:rsidRPr="00D053E3">
        <w:t xml:space="preserve">esources and the </w:t>
      </w:r>
      <w:r w:rsidR="00695E8C" w:rsidRPr="00D053E3">
        <w:t>F</w:t>
      </w:r>
      <w:r w:rsidR="00D96CF9" w:rsidRPr="00D053E3">
        <w:t xml:space="preserve">air and </w:t>
      </w:r>
      <w:r w:rsidR="00695E8C" w:rsidRPr="00D053E3">
        <w:t>E</w:t>
      </w:r>
      <w:r w:rsidR="00D96CF9" w:rsidRPr="00D053E3">
        <w:t xml:space="preserve">quitable </w:t>
      </w:r>
      <w:r w:rsidR="00695E8C" w:rsidRPr="00D053E3">
        <w:t>S</w:t>
      </w:r>
      <w:r w:rsidR="00D96CF9" w:rsidRPr="00D053E3">
        <w:t xml:space="preserve">haring of </w:t>
      </w:r>
      <w:r w:rsidR="00695E8C" w:rsidRPr="00D053E3">
        <w:t>B</w:t>
      </w:r>
      <w:r w:rsidR="00D96CF9" w:rsidRPr="00D053E3">
        <w:t xml:space="preserve">enefits </w:t>
      </w:r>
      <w:r w:rsidR="00695E8C" w:rsidRPr="00D053E3">
        <w:t>A</w:t>
      </w:r>
      <w:r w:rsidR="00D96CF9" w:rsidRPr="00D053E3">
        <w:t xml:space="preserve">rising from </w:t>
      </w:r>
      <w:r w:rsidR="00E23B9C">
        <w:t>T</w:t>
      </w:r>
      <w:r w:rsidR="00D96CF9" w:rsidRPr="00D053E3">
        <w:t xml:space="preserve">heir </w:t>
      </w:r>
      <w:r w:rsidR="00695E8C" w:rsidRPr="00D053E3">
        <w:t>U</w:t>
      </w:r>
      <w:r w:rsidR="00D96CF9" w:rsidRPr="00D053E3">
        <w:t xml:space="preserve">tilization </w:t>
      </w:r>
      <w:r w:rsidR="00D007C3">
        <w:t>to the Convention</w:t>
      </w:r>
      <w:r w:rsidR="00CB484C">
        <w:rPr>
          <w:rStyle w:val="FootnoteReference"/>
        </w:rPr>
        <w:footnoteReference w:id="8"/>
      </w:r>
      <w:r w:rsidR="00D007C3">
        <w:t xml:space="preserve"> </w:t>
      </w:r>
      <w:r w:rsidR="00D96CF9" w:rsidRPr="00D053E3">
        <w:t xml:space="preserve">to take note of the relevant information </w:t>
      </w:r>
      <w:r w:rsidR="00B1796D">
        <w:t xml:space="preserve">in </w:t>
      </w:r>
      <w:r w:rsidR="00D96CF9" w:rsidRPr="00D053E3">
        <w:t xml:space="preserve">the </w:t>
      </w:r>
      <w:r w:rsidR="00D96CF9" w:rsidRPr="00023D91">
        <w:t xml:space="preserve">preliminary report </w:t>
      </w:r>
      <w:r w:rsidR="001800FA" w:rsidRPr="00023D91">
        <w:t xml:space="preserve">of the </w:t>
      </w:r>
      <w:r w:rsidR="001800FA" w:rsidRPr="000B1539">
        <w:t>Global Environment Facility</w:t>
      </w:r>
      <w:r w:rsidR="001800FA" w:rsidRPr="00023D91">
        <w:t xml:space="preserve"> </w:t>
      </w:r>
      <w:r w:rsidR="00D96CF9" w:rsidRPr="00023D91">
        <w:t xml:space="preserve">when submitting project proposals for consideration and approval by the </w:t>
      </w:r>
      <w:r w:rsidR="001800FA" w:rsidRPr="00023D91">
        <w:t>Facility</w:t>
      </w:r>
      <w:r w:rsidR="00D96CF9" w:rsidRPr="00023D91">
        <w:t>;</w:t>
      </w:r>
    </w:p>
    <w:p w14:paraId="2EDB047C" w14:textId="6F9E1E21" w:rsidR="00536129" w:rsidRPr="00023D91" w:rsidRDefault="00581B89" w:rsidP="003D3F00">
      <w:pPr>
        <w:pStyle w:val="Para1"/>
        <w:numPr>
          <w:ilvl w:val="0"/>
          <w:numId w:val="0"/>
        </w:numPr>
        <w:tabs>
          <w:tab w:val="clear" w:pos="1134"/>
          <w:tab w:val="left" w:pos="1701"/>
        </w:tabs>
        <w:ind w:left="567" w:firstLine="567"/>
      </w:pPr>
      <w:r w:rsidRPr="00023D91">
        <w:t>7.</w:t>
      </w:r>
      <w:r w:rsidRPr="00023D91">
        <w:tab/>
      </w:r>
      <w:r w:rsidR="001E4EC9" w:rsidRPr="00023D91">
        <w:rPr>
          <w:i/>
          <w:iCs/>
        </w:rPr>
        <w:t>E</w:t>
      </w:r>
      <w:r w:rsidR="00C87654" w:rsidRPr="00023D91">
        <w:rPr>
          <w:i/>
          <w:iCs/>
        </w:rPr>
        <w:t>ncourages</w:t>
      </w:r>
      <w:r w:rsidR="00C87654" w:rsidRPr="00023D91">
        <w:t xml:space="preserve"> </w:t>
      </w:r>
      <w:r w:rsidRPr="00023D91">
        <w:t xml:space="preserve">the </w:t>
      </w:r>
      <w:r w:rsidRPr="000B1539">
        <w:t>G</w:t>
      </w:r>
      <w:r w:rsidR="00C87654" w:rsidRPr="000B1539">
        <w:t xml:space="preserve">lobal </w:t>
      </w:r>
      <w:r w:rsidRPr="000B1539">
        <w:t>E</w:t>
      </w:r>
      <w:r w:rsidR="00C87654" w:rsidRPr="000B1539">
        <w:t xml:space="preserve">nvironment </w:t>
      </w:r>
      <w:r w:rsidRPr="000B1539">
        <w:t>F</w:t>
      </w:r>
      <w:r w:rsidR="00C87654" w:rsidRPr="000B1539">
        <w:t>acility</w:t>
      </w:r>
      <w:r w:rsidR="008E3144" w:rsidRPr="00023D91">
        <w:t xml:space="preserve">, when </w:t>
      </w:r>
      <w:r w:rsidR="00F65400" w:rsidRPr="00023D91">
        <w:t>considering project proposals,</w:t>
      </w:r>
      <w:r w:rsidR="00C87654" w:rsidRPr="00023D91">
        <w:t xml:space="preserve"> to</w:t>
      </w:r>
      <w:r w:rsidRPr="00023D91">
        <w:t xml:space="preserve"> </w:t>
      </w:r>
      <w:proofErr w:type="gramStart"/>
      <w:r w:rsidRPr="00023D91">
        <w:t>take into account</w:t>
      </w:r>
      <w:proofErr w:type="gramEnd"/>
      <w:r w:rsidRPr="00023D91">
        <w:t xml:space="preserve"> in </w:t>
      </w:r>
      <w:r w:rsidR="00C715DE" w:rsidRPr="00023D91">
        <w:t xml:space="preserve">a </w:t>
      </w:r>
      <w:r w:rsidRPr="00023D91">
        <w:t xml:space="preserve">balanced </w:t>
      </w:r>
      <w:r w:rsidR="00FA60A0" w:rsidRPr="00023D91">
        <w:t>manner</w:t>
      </w:r>
      <w:r w:rsidRPr="00023D91">
        <w:t xml:space="preserve"> project</w:t>
      </w:r>
      <w:r w:rsidR="003C2192" w:rsidRPr="00023D91">
        <w:t xml:space="preserve"> proposal</w:t>
      </w:r>
      <w:r w:rsidRPr="00023D91">
        <w:t xml:space="preserve">s </w:t>
      </w:r>
      <w:r w:rsidR="00FC3906" w:rsidRPr="00023D91">
        <w:t xml:space="preserve">related to </w:t>
      </w:r>
      <w:r w:rsidR="003C2192" w:rsidRPr="00023D91">
        <w:t>the Cartagena Protocol and the Nagoya Protocol</w:t>
      </w:r>
      <w:r w:rsidR="00FC3906" w:rsidRPr="00023D91">
        <w:t>;</w:t>
      </w:r>
    </w:p>
    <w:p w14:paraId="4A8E09B2" w14:textId="4F2A7FD9" w:rsidR="00542258" w:rsidRPr="00D053E3" w:rsidRDefault="008D4944" w:rsidP="003D3F00">
      <w:pPr>
        <w:pStyle w:val="Para1"/>
        <w:numPr>
          <w:ilvl w:val="0"/>
          <w:numId w:val="0"/>
        </w:numPr>
        <w:tabs>
          <w:tab w:val="clear" w:pos="1134"/>
          <w:tab w:val="left" w:pos="1701"/>
        </w:tabs>
        <w:ind w:left="567" w:firstLine="567"/>
      </w:pPr>
      <w:r w:rsidRPr="00023D91">
        <w:t>8</w:t>
      </w:r>
      <w:r w:rsidR="00542258" w:rsidRPr="00023D91">
        <w:t>.</w:t>
      </w:r>
      <w:r w:rsidR="00542258" w:rsidRPr="00023D91">
        <w:tab/>
      </w:r>
      <w:r w:rsidR="00F2276E" w:rsidRPr="00023D91">
        <w:rPr>
          <w:i/>
          <w:iCs/>
        </w:rPr>
        <w:t>E</w:t>
      </w:r>
      <w:r w:rsidR="00707510" w:rsidRPr="00023D91">
        <w:rPr>
          <w:i/>
          <w:iCs/>
        </w:rPr>
        <w:t>ncourages</w:t>
      </w:r>
      <w:r w:rsidR="00707510" w:rsidRPr="00023D91">
        <w:t xml:space="preserve"> Parties to consider, at the sixteenth meeting of the Conference of the Parties, elements of advice developed </w:t>
      </w:r>
      <w:r w:rsidR="00882365" w:rsidRPr="00023D91">
        <w:t xml:space="preserve">and submitted by </w:t>
      </w:r>
      <w:r w:rsidR="00B1796D" w:rsidRPr="00023D91">
        <w:t xml:space="preserve">the </w:t>
      </w:r>
      <w:r w:rsidR="00277ED7" w:rsidRPr="00023D91">
        <w:t xml:space="preserve">governing bodies </w:t>
      </w:r>
      <w:r w:rsidR="00B1796D" w:rsidRPr="00023D91">
        <w:t xml:space="preserve">of </w:t>
      </w:r>
      <w:r w:rsidR="00882365" w:rsidRPr="00023D91">
        <w:t>other biodiversity-related conventions</w:t>
      </w:r>
      <w:r w:rsidR="00FE114F" w:rsidRPr="00023D91">
        <w:t xml:space="preserve"> </w:t>
      </w:r>
      <w:r w:rsidR="00707510" w:rsidRPr="00023D91">
        <w:t xml:space="preserve">so that they may be referred to the </w:t>
      </w:r>
      <w:r w:rsidR="00707510" w:rsidRPr="000B1539">
        <w:t>Global Environment Facility</w:t>
      </w:r>
      <w:r w:rsidR="00707510" w:rsidRPr="00023D91">
        <w:t>;</w:t>
      </w:r>
    </w:p>
    <w:p w14:paraId="47DE997E" w14:textId="4DFA7109" w:rsidR="00E01399" w:rsidRPr="00FC7F11" w:rsidRDefault="008D4944" w:rsidP="003D3F00">
      <w:pPr>
        <w:pStyle w:val="Para1"/>
        <w:numPr>
          <w:ilvl w:val="0"/>
          <w:numId w:val="0"/>
        </w:numPr>
        <w:tabs>
          <w:tab w:val="clear" w:pos="1134"/>
          <w:tab w:val="left" w:pos="1701"/>
        </w:tabs>
        <w:ind w:left="567" w:firstLine="567"/>
      </w:pPr>
      <w:r>
        <w:t>9</w:t>
      </w:r>
      <w:r w:rsidR="00833BC6" w:rsidRPr="00D053E3">
        <w:t>.</w:t>
      </w:r>
      <w:r w:rsidR="00833BC6" w:rsidRPr="00D053E3">
        <w:tab/>
      </w:r>
      <w:r w:rsidR="00EA31B6" w:rsidRPr="00D053E3">
        <w:rPr>
          <w:i/>
          <w:iCs/>
        </w:rPr>
        <w:t>Strongly encourages</w:t>
      </w:r>
      <w:r w:rsidR="00EA31B6" w:rsidRPr="00D053E3">
        <w:t xml:space="preserve"> </w:t>
      </w:r>
      <w:r w:rsidR="00D15D83" w:rsidRPr="00D053E3">
        <w:t>eligible Parties</w:t>
      </w:r>
      <w:r w:rsidR="00D15D83" w:rsidRPr="00FC7F11">
        <w:t xml:space="preserve"> to contribute to </w:t>
      </w:r>
      <w:r w:rsidR="00E01399" w:rsidRPr="00FC7F11">
        <w:t xml:space="preserve">the </w:t>
      </w:r>
      <w:r w:rsidR="00D15D83" w:rsidRPr="00FC7F11">
        <w:t xml:space="preserve">survey of </w:t>
      </w:r>
      <w:r w:rsidR="00E01399" w:rsidRPr="00FC7F11">
        <w:t xml:space="preserve">national funding priorities and needs </w:t>
      </w:r>
      <w:r w:rsidR="008C6477">
        <w:t xml:space="preserve">which is </w:t>
      </w:r>
      <w:r w:rsidR="00882AAA">
        <w:t xml:space="preserve">being </w:t>
      </w:r>
      <w:r w:rsidR="00D15D83" w:rsidRPr="00FC7F11">
        <w:t>prepared by the Secretariat</w:t>
      </w:r>
      <w:r w:rsidR="00E01399" w:rsidRPr="00997CDD">
        <w:t>;</w:t>
      </w:r>
    </w:p>
    <w:p w14:paraId="36E48A21" w14:textId="0154628A" w:rsidR="00D96CF9" w:rsidRPr="00461434" w:rsidRDefault="008D4944" w:rsidP="003D3F00">
      <w:pPr>
        <w:pStyle w:val="Para1"/>
        <w:numPr>
          <w:ilvl w:val="0"/>
          <w:numId w:val="0"/>
        </w:numPr>
        <w:tabs>
          <w:tab w:val="clear" w:pos="1134"/>
          <w:tab w:val="left" w:pos="1701"/>
        </w:tabs>
        <w:ind w:left="567" w:firstLine="567"/>
      </w:pPr>
      <w:r>
        <w:t>10</w:t>
      </w:r>
      <w:r w:rsidR="00833BC6" w:rsidRPr="00461434">
        <w:t>.</w:t>
      </w:r>
      <w:r w:rsidR="00833BC6" w:rsidRPr="00461434">
        <w:tab/>
      </w:r>
      <w:r w:rsidR="00322AE9">
        <w:rPr>
          <w:i/>
          <w:iCs/>
        </w:rPr>
        <w:t>Encourages</w:t>
      </w:r>
      <w:r w:rsidR="00461434" w:rsidRPr="00461434">
        <w:t xml:space="preserve"> </w:t>
      </w:r>
      <w:r w:rsidR="00D15D83">
        <w:t xml:space="preserve">Parties to </w:t>
      </w:r>
      <w:r w:rsidR="00D15D83" w:rsidRPr="00D15D83">
        <w:t xml:space="preserve">participate in the evaluation process </w:t>
      </w:r>
      <w:r w:rsidR="00D15D83">
        <w:t>being conducted by</w:t>
      </w:r>
      <w:r w:rsidR="00461434" w:rsidRPr="00461434">
        <w:t xml:space="preserve"> the independent evaluator recruited by the Executive Secretary to implement the terms of reference for the sixth review of the effectiveness of the financial mechanism</w:t>
      </w:r>
      <w:r w:rsidR="00973211">
        <w:t>;</w:t>
      </w:r>
    </w:p>
    <w:p w14:paraId="286B8869" w14:textId="1D54E92E" w:rsidR="003E60ED" w:rsidRPr="00E031C7" w:rsidRDefault="00C27A53" w:rsidP="003D3F00">
      <w:pPr>
        <w:pStyle w:val="Para1"/>
        <w:numPr>
          <w:ilvl w:val="0"/>
          <w:numId w:val="0"/>
        </w:numPr>
        <w:tabs>
          <w:tab w:val="clear" w:pos="1134"/>
          <w:tab w:val="left" w:pos="1701"/>
        </w:tabs>
        <w:ind w:left="567" w:firstLine="567"/>
      </w:pPr>
      <w:r>
        <w:t>1</w:t>
      </w:r>
      <w:r w:rsidR="008D4944">
        <w:t>1</w:t>
      </w:r>
      <w:r w:rsidR="00833BC6" w:rsidRPr="00E031C7">
        <w:t>.</w:t>
      </w:r>
      <w:r w:rsidR="00833BC6" w:rsidRPr="00E031C7">
        <w:tab/>
      </w:r>
      <w:r w:rsidR="003E60ED" w:rsidRPr="00D17E67">
        <w:rPr>
          <w:i/>
          <w:iCs/>
        </w:rPr>
        <w:t xml:space="preserve">Requests </w:t>
      </w:r>
      <w:r w:rsidR="003E60ED" w:rsidRPr="00D96CF9">
        <w:t>the Executive Secretary</w:t>
      </w:r>
      <w:r w:rsidR="007972C4">
        <w:t>:</w:t>
      </w:r>
    </w:p>
    <w:p w14:paraId="204EDA45" w14:textId="6DFBE7EC" w:rsidR="003E60ED" w:rsidRDefault="00833BC6" w:rsidP="003D3F00">
      <w:pPr>
        <w:pStyle w:val="Para2"/>
        <w:ind w:firstLine="564"/>
      </w:pPr>
      <w:r>
        <w:t>(a)</w:t>
      </w:r>
      <w:r>
        <w:tab/>
      </w:r>
      <w:r w:rsidR="000B6C93">
        <w:t>To p</w:t>
      </w:r>
      <w:r w:rsidR="003E60ED">
        <w:t>resent the outcomes of the funding needs survey</w:t>
      </w:r>
      <w:r w:rsidR="003E60ED" w:rsidRPr="003E60ED">
        <w:t xml:space="preserve"> for consideration by the Conference of the Parties at its sixteenth meeting</w:t>
      </w:r>
      <w:r w:rsidR="00E031C7">
        <w:t xml:space="preserve">, </w:t>
      </w:r>
      <w:r w:rsidR="00E031C7" w:rsidRPr="00E031C7">
        <w:t>the Conference of the Parties serving as the meeting of the Parties to the Cartagena Protocol at its eleventh meeting and the Conference of the Parties serving as the meeting of the Parties to the Nagoya Protocol at its fifth meeting</w:t>
      </w:r>
      <w:r w:rsidR="003E60ED">
        <w:t>;</w:t>
      </w:r>
    </w:p>
    <w:p w14:paraId="49BF1911" w14:textId="73FD40D7" w:rsidR="003E60ED" w:rsidRPr="00EE33D5" w:rsidRDefault="00833BC6" w:rsidP="003D3F00">
      <w:pPr>
        <w:pStyle w:val="Para2"/>
        <w:ind w:firstLine="564"/>
      </w:pPr>
      <w:r>
        <w:t>(b)</w:t>
      </w:r>
      <w:r>
        <w:tab/>
      </w:r>
      <w:r w:rsidR="000B6C93">
        <w:t>To p</w:t>
      </w:r>
      <w:r w:rsidR="003E60ED">
        <w:t xml:space="preserve">resent the report of the independent evaluator on the effectiveness of the financial mechanism </w:t>
      </w:r>
      <w:r w:rsidR="003E60ED" w:rsidRPr="003E60ED">
        <w:t>for consideration by the Conference of the Parties at its sixteenth meeting</w:t>
      </w:r>
      <w:r w:rsidR="00E031C7">
        <w:t>,</w:t>
      </w:r>
      <w:r w:rsidR="00E031C7" w:rsidRPr="00E031C7">
        <w:t xml:space="preserve"> the Conference of the Parties serving as the meeting of the Parties to the Cartagena Protocol at its eleventh meeting</w:t>
      </w:r>
      <w:r w:rsidR="00E031C7">
        <w:t xml:space="preserve"> and </w:t>
      </w:r>
      <w:r w:rsidR="00E031C7" w:rsidRPr="00E031C7">
        <w:t xml:space="preserve">the Conference of the Parties serving as the meeting of the Parties to the Nagoya Protocol </w:t>
      </w:r>
      <w:r w:rsidR="00E031C7">
        <w:t>at its fifth meeting</w:t>
      </w:r>
      <w:r w:rsidR="003E60ED" w:rsidRPr="00EE33D5">
        <w:t>;</w:t>
      </w:r>
    </w:p>
    <w:p w14:paraId="3D3698AB" w14:textId="72774D2D" w:rsidR="003E60ED" w:rsidRPr="00D053E3" w:rsidRDefault="00833BC6" w:rsidP="003D3F00">
      <w:pPr>
        <w:pStyle w:val="Para2"/>
        <w:ind w:firstLine="564"/>
        <w:rPr>
          <w:bCs/>
          <w:lang w:val="en-GB"/>
        </w:rPr>
      </w:pPr>
      <w:r w:rsidRPr="00EE33D5">
        <w:rPr>
          <w:bCs/>
          <w:lang w:val="en-GB"/>
        </w:rPr>
        <w:t>(c)</w:t>
      </w:r>
      <w:r w:rsidRPr="00EE33D5">
        <w:rPr>
          <w:bCs/>
          <w:lang w:val="en-GB"/>
        </w:rPr>
        <w:tab/>
      </w:r>
      <w:r w:rsidR="000B6C93">
        <w:rPr>
          <w:bCs/>
          <w:lang w:val="en-GB"/>
        </w:rPr>
        <w:t xml:space="preserve">To </w:t>
      </w:r>
      <w:r w:rsidR="000B6C93">
        <w:rPr>
          <w:lang w:val="en-GB"/>
        </w:rPr>
        <w:t>i</w:t>
      </w:r>
      <w:r w:rsidR="003E60ED" w:rsidRPr="00EE33D5">
        <w:rPr>
          <w:lang w:val="en-GB"/>
        </w:rPr>
        <w:t xml:space="preserve">ncorporate the information </w:t>
      </w:r>
      <w:r w:rsidR="003E60ED" w:rsidRPr="00D053E3">
        <w:rPr>
          <w:lang w:val="en-GB"/>
        </w:rPr>
        <w:t xml:space="preserve">provided by </w:t>
      </w:r>
      <w:r w:rsidR="003E60ED" w:rsidRPr="00CA0D68">
        <w:rPr>
          <w:lang w:val="en-GB"/>
        </w:rPr>
        <w:t xml:space="preserve">the </w:t>
      </w:r>
      <w:r w:rsidR="003E60ED" w:rsidRPr="000B1539">
        <w:rPr>
          <w:lang w:val="en-GB"/>
        </w:rPr>
        <w:t>Global Environment Facility</w:t>
      </w:r>
      <w:r w:rsidR="003E60ED" w:rsidRPr="00CA0D68">
        <w:rPr>
          <w:lang w:val="en-GB"/>
        </w:rPr>
        <w:t xml:space="preserve"> through</w:t>
      </w:r>
      <w:r w:rsidR="003E60ED" w:rsidRPr="00D053E3">
        <w:rPr>
          <w:lang w:val="en-GB"/>
        </w:rPr>
        <w:t xml:space="preserve"> its final report in</w:t>
      </w:r>
      <w:r w:rsidR="0045301D">
        <w:rPr>
          <w:lang w:val="en-GB"/>
        </w:rPr>
        <w:t>to</w:t>
      </w:r>
      <w:r w:rsidR="003E60ED" w:rsidRPr="00D053E3">
        <w:rPr>
          <w:lang w:val="en-GB"/>
        </w:rPr>
        <w:t xml:space="preserve"> the relevant documentation to be prepared </w:t>
      </w:r>
      <w:bookmarkStart w:id="1" w:name="_Hlk164423986"/>
      <w:r w:rsidR="003E60ED" w:rsidRPr="00D053E3">
        <w:rPr>
          <w:lang w:val="en-GB"/>
        </w:rPr>
        <w:t>for consideration by the Conference of the Parties at its sixteenth meeting</w:t>
      </w:r>
      <w:bookmarkEnd w:id="1"/>
      <w:r w:rsidR="003E60ED" w:rsidRPr="00D053E3">
        <w:rPr>
          <w:lang w:val="en-GB"/>
        </w:rPr>
        <w:t xml:space="preserve"> and to collaborate with the </w:t>
      </w:r>
      <w:r w:rsidR="003E60ED" w:rsidRPr="00F1568A">
        <w:rPr>
          <w:lang w:val="en-GB"/>
        </w:rPr>
        <w:t>Facility</w:t>
      </w:r>
      <w:r w:rsidR="003E60ED" w:rsidRPr="00D053E3">
        <w:rPr>
          <w:lang w:val="en-GB"/>
        </w:rPr>
        <w:t xml:space="preserve"> </w:t>
      </w:r>
      <w:r w:rsidR="009E52C0">
        <w:rPr>
          <w:lang w:val="en-GB"/>
        </w:rPr>
        <w:t>on</w:t>
      </w:r>
      <w:r w:rsidR="003E60ED" w:rsidRPr="00D053E3">
        <w:rPr>
          <w:lang w:val="en-GB"/>
        </w:rPr>
        <w:t xml:space="preserve"> identify</w:t>
      </w:r>
      <w:r w:rsidR="009E52C0">
        <w:rPr>
          <w:lang w:val="en-GB"/>
        </w:rPr>
        <w:t>ing</w:t>
      </w:r>
      <w:r w:rsidR="003E60ED" w:rsidRPr="00D053E3">
        <w:rPr>
          <w:lang w:val="en-GB"/>
        </w:rPr>
        <w:t xml:space="preserve"> potential issues and areas requiring the attention of the Conference of the Parties at </w:t>
      </w:r>
      <w:r w:rsidR="00510549">
        <w:rPr>
          <w:lang w:val="en-GB"/>
        </w:rPr>
        <w:t>the same</w:t>
      </w:r>
      <w:r w:rsidR="003E60ED" w:rsidRPr="00D053E3">
        <w:rPr>
          <w:lang w:val="en-GB"/>
        </w:rPr>
        <w:t xml:space="preserve"> meeting</w:t>
      </w:r>
      <w:r w:rsidR="00973211" w:rsidRPr="00D053E3">
        <w:rPr>
          <w:lang w:val="en-GB"/>
        </w:rPr>
        <w:t>;</w:t>
      </w:r>
    </w:p>
    <w:p w14:paraId="6707C2CF" w14:textId="5D824128" w:rsidR="0093627A" w:rsidRPr="00FC7F11" w:rsidRDefault="00A13E44" w:rsidP="003D3F00">
      <w:pPr>
        <w:pStyle w:val="Para1"/>
        <w:numPr>
          <w:ilvl w:val="0"/>
          <w:numId w:val="0"/>
        </w:numPr>
        <w:tabs>
          <w:tab w:val="clear" w:pos="1134"/>
          <w:tab w:val="left" w:pos="1701"/>
        </w:tabs>
        <w:ind w:left="567" w:firstLine="567"/>
      </w:pPr>
      <w:r w:rsidRPr="00D053E3">
        <w:t>1</w:t>
      </w:r>
      <w:r w:rsidR="008D4944">
        <w:t>2</w:t>
      </w:r>
      <w:r w:rsidR="00833BC6" w:rsidRPr="00D053E3">
        <w:t>.</w:t>
      </w:r>
      <w:r w:rsidR="00833BC6" w:rsidRPr="00D053E3">
        <w:tab/>
      </w:r>
      <w:r w:rsidR="004E71C1" w:rsidRPr="00D053E3">
        <w:rPr>
          <w:i/>
          <w:iCs/>
        </w:rPr>
        <w:t xml:space="preserve">Also </w:t>
      </w:r>
      <w:r w:rsidR="003E60ED" w:rsidRPr="00D053E3">
        <w:rPr>
          <w:i/>
          <w:iCs/>
        </w:rPr>
        <w:t>r</w:t>
      </w:r>
      <w:r w:rsidR="0093627A" w:rsidRPr="00D053E3">
        <w:rPr>
          <w:i/>
          <w:iCs/>
        </w:rPr>
        <w:t>equests</w:t>
      </w:r>
      <w:r w:rsidR="0093627A" w:rsidRPr="00D053E3">
        <w:t xml:space="preserve"> the Executive Secretary to develop, for consideration </w:t>
      </w:r>
      <w:r w:rsidR="004E71C1" w:rsidRPr="00D053E3">
        <w:t xml:space="preserve">by </w:t>
      </w:r>
      <w:r w:rsidR="0093627A" w:rsidRPr="00D053E3">
        <w:t xml:space="preserve">the Conference of the Parties at its sixteenth meeting, elements of guidance to support the implementation of those </w:t>
      </w:r>
      <w:r w:rsidRPr="00D053E3">
        <w:t xml:space="preserve">goals, </w:t>
      </w:r>
      <w:r w:rsidR="0093627A" w:rsidRPr="00D053E3">
        <w:t xml:space="preserve">targets </w:t>
      </w:r>
      <w:r w:rsidRPr="00D053E3">
        <w:t xml:space="preserve">and sections </w:t>
      </w:r>
      <w:r w:rsidR="0093627A" w:rsidRPr="00D053E3">
        <w:t xml:space="preserve">of the Framework that have not been covered specifically or comprehensively in any previous </w:t>
      </w:r>
      <w:r w:rsidR="0093627A" w:rsidRPr="009D2E8A">
        <w:t xml:space="preserve">guidance </w:t>
      </w:r>
      <w:r w:rsidR="00D875BD" w:rsidRPr="009D2E8A">
        <w:t xml:space="preserve">for </w:t>
      </w:r>
      <w:r w:rsidR="0093627A" w:rsidRPr="009D2E8A">
        <w:t xml:space="preserve">the </w:t>
      </w:r>
      <w:r w:rsidR="0093627A" w:rsidRPr="000B1539">
        <w:t>Global Environment Facility</w:t>
      </w:r>
      <w:r w:rsidR="0093627A" w:rsidRPr="009D2E8A">
        <w:t>, including</w:t>
      </w:r>
      <w:r w:rsidR="0093627A" w:rsidRPr="00D053E3">
        <w:t xml:space="preserve"> </w:t>
      </w:r>
      <w:r w:rsidR="004E71C1" w:rsidRPr="00D053E3">
        <w:t>T</w:t>
      </w:r>
      <w:r w:rsidR="0093627A" w:rsidRPr="00D053E3">
        <w:t>argets 1, 2, 7, 9, 11, 16, 22</w:t>
      </w:r>
      <w:r w:rsidR="00077864" w:rsidRPr="00D053E3">
        <w:t xml:space="preserve"> and 23</w:t>
      </w:r>
      <w:r w:rsidR="00D875BD">
        <w:t xml:space="preserve"> and </w:t>
      </w:r>
      <w:r w:rsidR="003C0186" w:rsidRPr="00D053E3">
        <w:t>section C</w:t>
      </w:r>
      <w:r w:rsidR="00973211" w:rsidRPr="00D053E3">
        <w:t>;</w:t>
      </w:r>
    </w:p>
    <w:p w14:paraId="0ED8CABD" w14:textId="690A90C1" w:rsidR="00461434" w:rsidRDefault="00833BC6" w:rsidP="003D3F00">
      <w:pPr>
        <w:pStyle w:val="Para1"/>
        <w:numPr>
          <w:ilvl w:val="0"/>
          <w:numId w:val="0"/>
        </w:numPr>
        <w:tabs>
          <w:tab w:val="clear" w:pos="1134"/>
          <w:tab w:val="left" w:pos="1701"/>
        </w:tabs>
        <w:ind w:left="567" w:firstLine="567"/>
      </w:pPr>
      <w:r w:rsidRPr="003D3F00">
        <w:rPr>
          <w:iCs/>
        </w:rPr>
        <w:t>1</w:t>
      </w:r>
      <w:r w:rsidR="008D4944">
        <w:rPr>
          <w:iCs/>
        </w:rPr>
        <w:t>3</w:t>
      </w:r>
      <w:r w:rsidRPr="003D3F00">
        <w:rPr>
          <w:iCs/>
        </w:rPr>
        <w:t>.</w:t>
      </w:r>
      <w:r>
        <w:rPr>
          <w:i/>
        </w:rPr>
        <w:tab/>
      </w:r>
      <w:r w:rsidR="00461434" w:rsidRPr="00461434">
        <w:rPr>
          <w:i/>
        </w:rPr>
        <w:t>Recommends</w:t>
      </w:r>
      <w:r w:rsidR="00461434" w:rsidRPr="00461434">
        <w:t xml:space="preserve"> that</w:t>
      </w:r>
      <w:r w:rsidR="00D875BD">
        <w:t>,</w:t>
      </w:r>
      <w:r w:rsidR="00461434" w:rsidRPr="00461434">
        <w:t xml:space="preserve"> </w:t>
      </w:r>
      <w:r w:rsidR="00D875BD" w:rsidRPr="00461434">
        <w:t>at its sixteenth meeting</w:t>
      </w:r>
      <w:r w:rsidR="00D875BD">
        <w:t>,</w:t>
      </w:r>
      <w:r w:rsidR="00D875BD" w:rsidRPr="00461434">
        <w:t xml:space="preserve"> </w:t>
      </w:r>
      <w:r w:rsidR="00461434" w:rsidRPr="00461434">
        <w:t xml:space="preserve">the Conference of the Parties adopt a decision along the </w:t>
      </w:r>
      <w:r w:rsidR="00461434" w:rsidRPr="00461434">
        <w:rPr>
          <w:bCs/>
        </w:rPr>
        <w:t>following</w:t>
      </w:r>
      <w:r w:rsidR="00461434" w:rsidRPr="00461434">
        <w:t xml:space="preserve"> lines:</w:t>
      </w:r>
      <w:r w:rsidR="00461434" w:rsidRPr="00461434">
        <w:rPr>
          <w:bCs/>
          <w:vertAlign w:val="superscript"/>
        </w:rPr>
        <w:footnoteReference w:id="9"/>
      </w:r>
    </w:p>
    <w:p w14:paraId="48BB16FC" w14:textId="22AEB296" w:rsidR="00E30C11" w:rsidRPr="003D3F00" w:rsidRDefault="00E30C11" w:rsidP="003D3F00">
      <w:pPr>
        <w:pStyle w:val="Para1"/>
        <w:numPr>
          <w:ilvl w:val="0"/>
          <w:numId w:val="0"/>
        </w:numPr>
        <w:ind w:left="1134" w:firstLine="567"/>
        <w:rPr>
          <w:i/>
          <w:iCs/>
        </w:rPr>
      </w:pPr>
      <w:r w:rsidRPr="003D3F00">
        <w:rPr>
          <w:i/>
          <w:iCs/>
        </w:rPr>
        <w:t>The Conference of the Parties</w:t>
      </w:r>
      <w:r w:rsidRPr="00F1568A">
        <w:t>,</w:t>
      </w:r>
    </w:p>
    <w:p w14:paraId="1DDC8E17" w14:textId="4465A0CC" w:rsidR="00B47C9D" w:rsidRPr="000B1539" w:rsidRDefault="004C0214" w:rsidP="003D3F00">
      <w:pPr>
        <w:pStyle w:val="Para1"/>
        <w:numPr>
          <w:ilvl w:val="0"/>
          <w:numId w:val="0"/>
        </w:numPr>
        <w:ind w:left="1134" w:firstLine="567"/>
        <w:rPr>
          <w:iCs/>
        </w:rPr>
      </w:pPr>
      <w:r w:rsidRPr="000B1539">
        <w:rPr>
          <w:iCs/>
        </w:rPr>
        <w:t>[</w:t>
      </w:r>
      <w:r w:rsidR="00AD46EA" w:rsidRPr="000B1539">
        <w:rPr>
          <w:i/>
        </w:rPr>
        <w:t xml:space="preserve">Reaffirming </w:t>
      </w:r>
      <w:r w:rsidR="00AD46EA" w:rsidRPr="000B1539">
        <w:rPr>
          <w:iCs/>
        </w:rPr>
        <w:t>the importance of the full application of the provisions of A</w:t>
      </w:r>
      <w:r w:rsidR="00AD46EA" w:rsidRPr="002C224D">
        <w:rPr>
          <w:iCs/>
        </w:rPr>
        <w:t xml:space="preserve">rticle 21 </w:t>
      </w:r>
      <w:r w:rsidR="00106C5C" w:rsidRPr="002C224D">
        <w:t>of</w:t>
      </w:r>
      <w:r w:rsidR="00106C5C" w:rsidRPr="000B1539">
        <w:t xml:space="preserve"> the Convention on Biological Diversity</w:t>
      </w:r>
      <w:r w:rsidR="00106C5C" w:rsidRPr="000B1539">
        <w:rPr>
          <w:rStyle w:val="FootnoteReference"/>
        </w:rPr>
        <w:footnoteReference w:id="10"/>
      </w:r>
      <w:r w:rsidR="00106C5C" w:rsidRPr="000B1539">
        <w:t xml:space="preserve"> </w:t>
      </w:r>
      <w:r w:rsidR="00AD46EA" w:rsidRPr="000B1539">
        <w:rPr>
          <w:iCs/>
        </w:rPr>
        <w:t xml:space="preserve">and of access </w:t>
      </w:r>
      <w:r w:rsidR="003E2C96">
        <w:rPr>
          <w:iCs/>
        </w:rPr>
        <w:t>f</w:t>
      </w:r>
      <w:r w:rsidR="003E2C96" w:rsidRPr="008929D7">
        <w:rPr>
          <w:iCs/>
        </w:rPr>
        <w:t>or all eligible Parties</w:t>
      </w:r>
      <w:r w:rsidR="003E2C96" w:rsidRPr="003E2C96">
        <w:rPr>
          <w:iCs/>
        </w:rPr>
        <w:t xml:space="preserve"> </w:t>
      </w:r>
      <w:r w:rsidR="00AD46EA" w:rsidRPr="000B1539">
        <w:rPr>
          <w:iCs/>
        </w:rPr>
        <w:t>to the financial mechanism for the full implementation of the Convention,</w:t>
      </w:r>
      <w:r w:rsidRPr="000B1539">
        <w:rPr>
          <w:iCs/>
        </w:rPr>
        <w:t>]</w:t>
      </w:r>
    </w:p>
    <w:p w14:paraId="58946DB2" w14:textId="77777777" w:rsidR="00B47C9D" w:rsidRPr="000B1539" w:rsidRDefault="00025378" w:rsidP="003D3F00">
      <w:pPr>
        <w:pStyle w:val="Para1"/>
        <w:numPr>
          <w:ilvl w:val="0"/>
          <w:numId w:val="0"/>
        </w:numPr>
        <w:ind w:left="1134" w:firstLine="567"/>
        <w:rPr>
          <w:iCs/>
        </w:rPr>
      </w:pPr>
      <w:r w:rsidRPr="000B1539">
        <w:rPr>
          <w:iCs/>
        </w:rPr>
        <w:t>[</w:t>
      </w:r>
      <w:r w:rsidR="008654CE" w:rsidRPr="000B1539">
        <w:rPr>
          <w:i/>
        </w:rPr>
        <w:t>W</w:t>
      </w:r>
      <w:r w:rsidR="00AD46EA" w:rsidRPr="000B1539">
        <w:rPr>
          <w:i/>
        </w:rPr>
        <w:t xml:space="preserve">elcoming </w:t>
      </w:r>
      <w:r w:rsidR="00AD46EA" w:rsidRPr="000B1539">
        <w:rPr>
          <w:iCs/>
        </w:rPr>
        <w:t>the valuable role of the Global Environmental Facility as the institutional structure operating the financial mechanism of the Convention on an interim and ongoing basis</w:t>
      </w:r>
      <w:r w:rsidR="008F3D68" w:rsidRPr="000B1539">
        <w:rPr>
          <w:iCs/>
        </w:rPr>
        <w:t>,</w:t>
      </w:r>
      <w:r w:rsidRPr="000B1539">
        <w:rPr>
          <w:iCs/>
        </w:rPr>
        <w:t>]</w:t>
      </w:r>
    </w:p>
    <w:p w14:paraId="1B5489FF" w14:textId="02D376F4" w:rsidR="00B47C9D" w:rsidRDefault="00E30C11" w:rsidP="003D3F00">
      <w:pPr>
        <w:pStyle w:val="Para1"/>
        <w:numPr>
          <w:ilvl w:val="0"/>
          <w:numId w:val="0"/>
        </w:numPr>
        <w:ind w:left="1134" w:firstLine="567"/>
      </w:pPr>
      <w:r w:rsidRPr="00D053E3">
        <w:rPr>
          <w:i/>
        </w:rPr>
        <w:t>Recalling</w:t>
      </w:r>
      <w:r w:rsidRPr="007E1A82">
        <w:rPr>
          <w:i/>
        </w:rPr>
        <w:t xml:space="preserve"> </w:t>
      </w:r>
      <w:r w:rsidR="005165C7" w:rsidRPr="002C224D">
        <w:t>paragraph 3 o</w:t>
      </w:r>
      <w:r w:rsidR="005165C7" w:rsidRPr="000B1539">
        <w:t xml:space="preserve">f </w:t>
      </w:r>
      <w:r w:rsidRPr="000B1539">
        <w:t>Article</w:t>
      </w:r>
      <w:r w:rsidRPr="002C224D">
        <w:t xml:space="preserve"> 21</w:t>
      </w:r>
      <w:r w:rsidR="008D1F4B">
        <w:t xml:space="preserve"> of the Convention</w:t>
      </w:r>
      <w:r w:rsidR="007B17CF" w:rsidRPr="002C224D">
        <w:t>,</w:t>
      </w:r>
      <w:r w:rsidRPr="002C224D">
        <w:t xml:space="preserve"> </w:t>
      </w:r>
      <w:r w:rsidR="007B17CF" w:rsidRPr="002C224D">
        <w:t>which</w:t>
      </w:r>
      <w:r w:rsidR="007B17CF">
        <w:t xml:space="preserve"> </w:t>
      </w:r>
      <w:r w:rsidRPr="00D053E3">
        <w:t>provid</w:t>
      </w:r>
      <w:r w:rsidR="007B17CF">
        <w:t>es</w:t>
      </w:r>
      <w:r w:rsidRPr="00D053E3">
        <w:t xml:space="preserve"> that the Conference of the Parties </w:t>
      </w:r>
      <w:r w:rsidR="00EA3C4F">
        <w:t>shall</w:t>
      </w:r>
      <w:r w:rsidR="00911A5A" w:rsidRPr="00D053E3">
        <w:t xml:space="preserve"> </w:t>
      </w:r>
      <w:r w:rsidRPr="00D053E3">
        <w:t>review the effectiveness of the financial mechanism,</w:t>
      </w:r>
    </w:p>
    <w:p w14:paraId="35F13764" w14:textId="77777777" w:rsidR="00731C42" w:rsidRPr="000D533F" w:rsidRDefault="00E30C11" w:rsidP="003D3F00">
      <w:pPr>
        <w:pStyle w:val="Para1"/>
        <w:numPr>
          <w:ilvl w:val="0"/>
          <w:numId w:val="0"/>
        </w:numPr>
        <w:ind w:left="1134" w:firstLine="567"/>
      </w:pPr>
      <w:r w:rsidRPr="00D053E3">
        <w:rPr>
          <w:i/>
        </w:rPr>
        <w:t xml:space="preserve">Reaffirming </w:t>
      </w:r>
      <w:r w:rsidRPr="00D053E3">
        <w:t>the commitment of the Conference of the Parties to review</w:t>
      </w:r>
      <w:r w:rsidR="001F7BBA">
        <w:t>ing</w:t>
      </w:r>
      <w:r w:rsidRPr="00D053E3">
        <w:t xml:space="preserve"> the effectiveness of </w:t>
      </w:r>
      <w:r w:rsidRPr="000D533F">
        <w:t xml:space="preserve">the financial mechanism </w:t>
      </w:r>
      <w:r w:rsidR="001F7BBA" w:rsidRPr="000D533F">
        <w:t xml:space="preserve">periodically, </w:t>
      </w:r>
      <w:r w:rsidRPr="000D533F">
        <w:t xml:space="preserve">as </w:t>
      </w:r>
      <w:r w:rsidR="00784A3E" w:rsidRPr="000D533F">
        <w:t xml:space="preserve">reflected </w:t>
      </w:r>
      <w:r w:rsidRPr="000D533F">
        <w:t xml:space="preserve">in the memorandum of understanding with the Council of the </w:t>
      </w:r>
      <w:r w:rsidRPr="000B1539">
        <w:t>Global Environment Facility</w:t>
      </w:r>
      <w:r w:rsidRPr="000D533F">
        <w:t>,</w:t>
      </w:r>
      <w:r w:rsidR="009D4D05" w:rsidRPr="000D533F">
        <w:rPr>
          <w:rStyle w:val="FootnoteReference"/>
        </w:rPr>
        <w:footnoteReference w:id="11"/>
      </w:r>
    </w:p>
    <w:p w14:paraId="68B675EC" w14:textId="6B91D2E5" w:rsidR="00731C42" w:rsidRDefault="00F356F8" w:rsidP="003D3F00">
      <w:pPr>
        <w:pStyle w:val="Para1"/>
        <w:numPr>
          <w:ilvl w:val="0"/>
          <w:numId w:val="0"/>
        </w:numPr>
        <w:ind w:left="1134" w:firstLine="567"/>
      </w:pPr>
      <w:r w:rsidRPr="000D533F">
        <w:rPr>
          <w:i/>
        </w:rPr>
        <w:t>R</w:t>
      </w:r>
      <w:r w:rsidR="00E30C11" w:rsidRPr="000D533F">
        <w:rPr>
          <w:i/>
        </w:rPr>
        <w:t>eaffirming</w:t>
      </w:r>
      <w:r w:rsidRPr="000D533F">
        <w:rPr>
          <w:i/>
        </w:rPr>
        <w:t xml:space="preserve"> also</w:t>
      </w:r>
      <w:r w:rsidR="00E30C11" w:rsidRPr="000D533F">
        <w:t xml:space="preserve"> the importance of the review of the effectiveness of the financial mechanism in the </w:t>
      </w:r>
      <w:r w:rsidR="00D361D5">
        <w:t xml:space="preserve">context of the </w:t>
      </w:r>
      <w:r w:rsidR="00E30C11" w:rsidRPr="000D533F">
        <w:t>implementation of the Convention and its Protocols, strategies and programmes,</w:t>
      </w:r>
    </w:p>
    <w:p w14:paraId="202817E4" w14:textId="5D9C4838" w:rsidR="00731C42" w:rsidRPr="00FF01A3" w:rsidRDefault="003F35CF" w:rsidP="003D3F00">
      <w:pPr>
        <w:pStyle w:val="Para1"/>
        <w:numPr>
          <w:ilvl w:val="0"/>
          <w:numId w:val="0"/>
        </w:numPr>
        <w:ind w:left="1134" w:firstLine="567"/>
        <w:rPr>
          <w:lang w:val="en-CA"/>
        </w:rPr>
      </w:pPr>
      <w:r w:rsidRPr="00D053E3">
        <w:rPr>
          <w:i/>
          <w:iCs/>
          <w:lang w:val="en-CA"/>
        </w:rPr>
        <w:t>Noting with concern</w:t>
      </w:r>
      <w:r w:rsidRPr="00D053E3">
        <w:rPr>
          <w:lang w:val="en-CA"/>
        </w:rPr>
        <w:t xml:space="preserve"> the lack of financial voluntary contributions to finance the implementation of the terms of reference for a full assessment of the amount of funds needed </w:t>
      </w:r>
      <w:r w:rsidRPr="00FF01A3">
        <w:rPr>
          <w:lang w:val="en-CA"/>
        </w:rPr>
        <w:t xml:space="preserve">for the implementation of the Convention and its Protocols for the ninth replenishment period of the </w:t>
      </w:r>
      <w:r w:rsidRPr="000B1539">
        <w:rPr>
          <w:lang w:val="en-CA"/>
        </w:rPr>
        <w:t>Global Environment Facility</w:t>
      </w:r>
      <w:r w:rsidRPr="00FF01A3">
        <w:rPr>
          <w:lang w:val="en-CA"/>
        </w:rPr>
        <w:t xml:space="preserve"> </w:t>
      </w:r>
      <w:r w:rsidRPr="000B1539">
        <w:rPr>
          <w:lang w:val="en-CA"/>
        </w:rPr>
        <w:t>Trust Fund</w:t>
      </w:r>
      <w:r w:rsidR="00736948" w:rsidRPr="00FF01A3">
        <w:rPr>
          <w:lang w:val="en-CA"/>
        </w:rPr>
        <w:t>,</w:t>
      </w:r>
      <w:r w:rsidR="00412C2C" w:rsidRPr="00FF01A3">
        <w:rPr>
          <w:rStyle w:val="FootnoteReference"/>
          <w:lang w:val="en-CA"/>
        </w:rPr>
        <w:footnoteReference w:id="12"/>
      </w:r>
      <w:r w:rsidR="00736948" w:rsidRPr="00FF01A3">
        <w:rPr>
          <w:lang w:val="en-CA"/>
        </w:rPr>
        <w:t xml:space="preserve"> </w:t>
      </w:r>
      <w:r w:rsidRPr="00FF01A3">
        <w:rPr>
          <w:lang w:val="en-CA"/>
        </w:rPr>
        <w:t xml:space="preserve">resulting in the use of </w:t>
      </w:r>
      <w:r w:rsidR="00A24953" w:rsidRPr="00FF01A3">
        <w:rPr>
          <w:lang w:val="en-CA"/>
        </w:rPr>
        <w:t xml:space="preserve">the </w:t>
      </w:r>
      <w:r w:rsidRPr="00FF01A3">
        <w:rPr>
          <w:lang w:val="en-CA"/>
        </w:rPr>
        <w:t xml:space="preserve">core budget and </w:t>
      </w:r>
      <w:r w:rsidR="00674C84" w:rsidRPr="00FF01A3">
        <w:rPr>
          <w:lang w:val="en-CA"/>
        </w:rPr>
        <w:t xml:space="preserve">in </w:t>
      </w:r>
      <w:r w:rsidRPr="00FF01A3">
        <w:rPr>
          <w:lang w:val="en-CA"/>
        </w:rPr>
        <w:t xml:space="preserve">a limited report for </w:t>
      </w:r>
      <w:r w:rsidR="008128AF">
        <w:rPr>
          <w:lang w:val="en-CA"/>
        </w:rPr>
        <w:t>th</w:t>
      </w:r>
      <w:r w:rsidR="00252482">
        <w:rPr>
          <w:lang w:val="en-CA"/>
        </w:rPr>
        <w:t>e</w:t>
      </w:r>
      <w:r w:rsidR="008128AF">
        <w:rPr>
          <w:lang w:val="en-CA"/>
        </w:rPr>
        <w:t xml:space="preserve"> </w:t>
      </w:r>
      <w:r w:rsidRPr="00FF01A3">
        <w:rPr>
          <w:lang w:val="en-CA"/>
        </w:rPr>
        <w:t xml:space="preserve">consideration of </w:t>
      </w:r>
      <w:r w:rsidR="00A94552" w:rsidRPr="00FF01A3">
        <w:rPr>
          <w:lang w:val="en-CA"/>
        </w:rPr>
        <w:t>the Conference of the Parties at its sixteenth meeting</w:t>
      </w:r>
      <w:r w:rsidRPr="00FF01A3">
        <w:rPr>
          <w:lang w:val="en-CA"/>
        </w:rPr>
        <w:t>,</w:t>
      </w:r>
    </w:p>
    <w:p w14:paraId="09831030" w14:textId="106224BD" w:rsidR="00E30C11" w:rsidRPr="009A7503" w:rsidRDefault="00E30C11" w:rsidP="003D3F00">
      <w:pPr>
        <w:pStyle w:val="Para1"/>
        <w:numPr>
          <w:ilvl w:val="0"/>
          <w:numId w:val="0"/>
        </w:numPr>
        <w:ind w:left="1134" w:firstLine="567"/>
      </w:pPr>
      <w:r w:rsidRPr="00FF01A3">
        <w:rPr>
          <w:i/>
        </w:rPr>
        <w:t xml:space="preserve">Taking note </w:t>
      </w:r>
      <w:r w:rsidRPr="00FF01A3">
        <w:rPr>
          <w:iCs/>
        </w:rPr>
        <w:t xml:space="preserve">of </w:t>
      </w:r>
      <w:r w:rsidRPr="00FF01A3">
        <w:t xml:space="preserve">the report of the Council of the </w:t>
      </w:r>
      <w:r w:rsidRPr="000B1539">
        <w:t>Global Environment Facility</w:t>
      </w:r>
      <w:r w:rsidRPr="00FF01A3">
        <w:t xml:space="preserve"> to the </w:t>
      </w:r>
      <w:r w:rsidRPr="009A7503">
        <w:t>Conference of the Parties at its sixteenth meeting,</w:t>
      </w:r>
      <w:r w:rsidRPr="009A7503">
        <w:rPr>
          <w:rStyle w:val="FootnoteReference"/>
        </w:rPr>
        <w:footnoteReference w:id="13"/>
      </w:r>
    </w:p>
    <w:p w14:paraId="448D7BFD" w14:textId="697B5513" w:rsidR="00731C42" w:rsidRDefault="00E30C11" w:rsidP="003D3F00">
      <w:pPr>
        <w:pStyle w:val="Para1"/>
        <w:numPr>
          <w:ilvl w:val="0"/>
          <w:numId w:val="0"/>
        </w:numPr>
        <w:ind w:left="1134" w:firstLine="567"/>
      </w:pPr>
      <w:r w:rsidRPr="009A7503">
        <w:rPr>
          <w:i/>
        </w:rPr>
        <w:t>Welcoming</w:t>
      </w:r>
      <w:r w:rsidRPr="009A7503">
        <w:t xml:space="preserve"> </w:t>
      </w:r>
      <w:r w:rsidR="00C777CA" w:rsidRPr="000B1539">
        <w:t>[</w:t>
      </w:r>
      <w:r w:rsidR="00FC1F12" w:rsidRPr="000B1539">
        <w:rPr>
          <w:i/>
          <w:iCs/>
        </w:rPr>
        <w:t>with appreciation</w:t>
      </w:r>
      <w:r w:rsidR="00C777CA" w:rsidRPr="000B1539">
        <w:t>]</w:t>
      </w:r>
      <w:r w:rsidR="00FC1F12" w:rsidRPr="009A7503">
        <w:t xml:space="preserve"> </w:t>
      </w:r>
      <w:r w:rsidRPr="009A7503">
        <w:t xml:space="preserve">the actions </w:t>
      </w:r>
      <w:r w:rsidR="00185724">
        <w:t xml:space="preserve">taken </w:t>
      </w:r>
      <w:r w:rsidRPr="009A7503">
        <w:t xml:space="preserve">by the </w:t>
      </w:r>
      <w:r w:rsidRPr="000B1539">
        <w:t>Global Environment Facility</w:t>
      </w:r>
      <w:r w:rsidRPr="009A7503">
        <w:t xml:space="preserve"> to support developing country Parties</w:t>
      </w:r>
      <w:r w:rsidR="001F58E9" w:rsidRPr="009A7503">
        <w:t xml:space="preserve"> and countries with economies in transition</w:t>
      </w:r>
      <w:r w:rsidR="006F6981" w:rsidRPr="009A7503">
        <w:t xml:space="preserve">, in particular the least developed countries and </w:t>
      </w:r>
      <w:r w:rsidR="006F6981" w:rsidRPr="000B1539">
        <w:t>small island developing States</w:t>
      </w:r>
      <w:r w:rsidR="00CB0825" w:rsidRPr="000B1539">
        <w:t>,</w:t>
      </w:r>
      <w:r w:rsidRPr="000B1539">
        <w:t xml:space="preserve"> and</w:t>
      </w:r>
      <w:r w:rsidRPr="009A7503">
        <w:t xml:space="preserve"> </w:t>
      </w:r>
      <w:r w:rsidR="002C20D8" w:rsidRPr="000B1539">
        <w:t>indigenous people</w:t>
      </w:r>
      <w:r w:rsidR="002C20D8" w:rsidRPr="009A7503">
        <w:t>s</w:t>
      </w:r>
      <w:r w:rsidR="00D21812" w:rsidRPr="009A7503">
        <w:t xml:space="preserve"> and local communities</w:t>
      </w:r>
      <w:r w:rsidR="002C20D8" w:rsidRPr="009A7503">
        <w:t>, women and youth</w:t>
      </w:r>
      <w:r w:rsidRPr="009A7503">
        <w:t xml:space="preserve"> in the implementation of the objectives of the Convention, its Protocols and </w:t>
      </w:r>
      <w:r w:rsidR="00D86038" w:rsidRPr="009A7503">
        <w:t xml:space="preserve">the </w:t>
      </w:r>
      <w:r w:rsidRPr="000B1539">
        <w:t>Kunming-Montreal Global Biodiversity Framework</w:t>
      </w:r>
      <w:r w:rsidRPr="009A7503">
        <w:t>,</w:t>
      </w:r>
      <w:r w:rsidR="004527F6" w:rsidRPr="000B1539">
        <w:rPr>
          <w:rStyle w:val="FootnoteReference"/>
        </w:rPr>
        <w:footnoteReference w:id="14"/>
      </w:r>
      <w:r w:rsidRPr="000B1539">
        <w:t xml:space="preserve"> including</w:t>
      </w:r>
      <w:r w:rsidRPr="009A7503">
        <w:t xml:space="preserve"> through its programming associated with the seventh and eight</w:t>
      </w:r>
      <w:r w:rsidR="00882AAA" w:rsidRPr="009A7503">
        <w:t>h</w:t>
      </w:r>
      <w:r w:rsidRPr="009A7503">
        <w:t xml:space="preserve"> replenishments of its </w:t>
      </w:r>
      <w:r w:rsidRPr="000B1539">
        <w:t>Trust Fund</w:t>
      </w:r>
      <w:r w:rsidRPr="009A7503">
        <w:t xml:space="preserve"> and the establishment and </w:t>
      </w:r>
      <w:r w:rsidR="002C7046" w:rsidRPr="000B1539">
        <w:t>[</w:t>
      </w:r>
      <w:r w:rsidR="001F58E9" w:rsidRPr="000B1539">
        <w:t>steps taken to operationalize</w:t>
      </w:r>
      <w:r w:rsidR="00C777CA" w:rsidRPr="000B1539">
        <w:t>][</w:t>
      </w:r>
      <w:r w:rsidRPr="000B1539">
        <w:t>operationalization of</w:t>
      </w:r>
      <w:r w:rsidR="002C7046" w:rsidRPr="000B1539">
        <w:t>]</w:t>
      </w:r>
      <w:r w:rsidR="00827E0F">
        <w:t xml:space="preserve"> </w:t>
      </w:r>
      <w:r w:rsidRPr="009A7503">
        <w:t>the Global Biodiversity Framework Fund,</w:t>
      </w:r>
    </w:p>
    <w:p w14:paraId="42F9B921" w14:textId="4D4754D0" w:rsidR="00175DE7" w:rsidRPr="007537C0" w:rsidRDefault="00D02215" w:rsidP="003D3F00">
      <w:pPr>
        <w:pStyle w:val="Para1"/>
        <w:numPr>
          <w:ilvl w:val="0"/>
          <w:numId w:val="0"/>
        </w:numPr>
        <w:ind w:left="1134" w:firstLine="567"/>
      </w:pPr>
      <w:r w:rsidRPr="00D053E3">
        <w:rPr>
          <w:i/>
          <w:iCs/>
        </w:rPr>
        <w:t>Recogni</w:t>
      </w:r>
      <w:r w:rsidR="00912B1B" w:rsidRPr="00D053E3">
        <w:rPr>
          <w:i/>
          <w:iCs/>
        </w:rPr>
        <w:t>z</w:t>
      </w:r>
      <w:r w:rsidRPr="00D053E3">
        <w:rPr>
          <w:i/>
          <w:iCs/>
        </w:rPr>
        <w:t>ing</w:t>
      </w:r>
      <w:r w:rsidRPr="00D053E3">
        <w:t xml:space="preserve"> the integrated and indivisible nature of the components of the Framework, which include considerations for its implementation (sect</w:t>
      </w:r>
      <w:r w:rsidR="004C6773" w:rsidRPr="00D053E3">
        <w:t>. </w:t>
      </w:r>
      <w:r w:rsidRPr="00D053E3">
        <w:t>C</w:t>
      </w:r>
      <w:r w:rsidR="00694920">
        <w:t xml:space="preserve"> of the Framework</w:t>
      </w:r>
      <w:r w:rsidRPr="00D053E3">
        <w:t>), implementation and support mechanism and enabling conditions (sect</w:t>
      </w:r>
      <w:r w:rsidR="004C6773" w:rsidRPr="00D053E3">
        <w:t>. </w:t>
      </w:r>
      <w:r w:rsidRPr="00D053E3">
        <w:t>I)</w:t>
      </w:r>
      <w:r w:rsidRPr="00F1568A">
        <w:t xml:space="preserve"> and</w:t>
      </w:r>
      <w:r w:rsidRPr="00D053E3">
        <w:t xml:space="preserve"> responsibility </w:t>
      </w:r>
      <w:r w:rsidRPr="007537C0">
        <w:t>and transparency (sect</w:t>
      </w:r>
      <w:r w:rsidR="004C6773" w:rsidRPr="007537C0">
        <w:t>. </w:t>
      </w:r>
      <w:r w:rsidRPr="007537C0">
        <w:t>J),</w:t>
      </w:r>
    </w:p>
    <w:p w14:paraId="6705A724" w14:textId="2DBA87B7" w:rsidR="007B60B6" w:rsidRPr="000B1539" w:rsidRDefault="00E30C11" w:rsidP="00281FE6">
      <w:pPr>
        <w:pStyle w:val="Para1"/>
        <w:numPr>
          <w:ilvl w:val="0"/>
          <w:numId w:val="0"/>
        </w:numPr>
        <w:ind w:left="1134" w:firstLine="567"/>
      </w:pPr>
      <w:r w:rsidRPr="007537C0">
        <w:rPr>
          <w:i/>
          <w:iCs/>
        </w:rPr>
        <w:t xml:space="preserve">Noting with concern </w:t>
      </w:r>
      <w:r w:rsidR="001A4A67" w:rsidRPr="000B1539">
        <w:t>[</w:t>
      </w:r>
      <w:r w:rsidRPr="000B1539">
        <w:t xml:space="preserve">the lack of project proposals from </w:t>
      </w:r>
      <w:r w:rsidR="007972C4" w:rsidRPr="000B1539">
        <w:t>eligible</w:t>
      </w:r>
      <w:r w:rsidRPr="000B1539">
        <w:t xml:space="preserve"> countries to support </w:t>
      </w:r>
      <w:r w:rsidR="00073575" w:rsidRPr="000B1539">
        <w:t xml:space="preserve">the </w:t>
      </w:r>
      <w:r w:rsidRPr="000B1539">
        <w:t>implementation of the Cartagena Protocol on Biosafety</w:t>
      </w:r>
      <w:r w:rsidR="003660D0">
        <w:t xml:space="preserve"> to the Convention</w:t>
      </w:r>
      <w:r w:rsidR="00D01D41" w:rsidRPr="000B1539">
        <w:rPr>
          <w:rStyle w:val="FootnoteReference"/>
        </w:rPr>
        <w:footnoteReference w:id="15"/>
      </w:r>
      <w:r w:rsidRPr="000B1539">
        <w:t xml:space="preserve"> and the limited number of project proposals from </w:t>
      </w:r>
      <w:r w:rsidR="007972C4" w:rsidRPr="000B1539">
        <w:t>eligible</w:t>
      </w:r>
      <w:r w:rsidRPr="000B1539">
        <w:t xml:space="preserve"> countries to support </w:t>
      </w:r>
      <w:r w:rsidR="002322A7" w:rsidRPr="000B1539">
        <w:t xml:space="preserve">the </w:t>
      </w:r>
      <w:r w:rsidRPr="000B1539">
        <w:t xml:space="preserve">implementation of the Nagoya Protocol on Access to Genetic Resources and the Fair and Equitable Sharing of Benefits </w:t>
      </w:r>
      <w:r w:rsidR="00FA4624">
        <w:t>A</w:t>
      </w:r>
      <w:r w:rsidRPr="000B1539">
        <w:t xml:space="preserve">rising from </w:t>
      </w:r>
      <w:r w:rsidR="00BB0130">
        <w:t>T</w:t>
      </w:r>
      <w:r w:rsidRPr="000B1539">
        <w:t>heir Utilization</w:t>
      </w:r>
      <w:r w:rsidR="003660D0">
        <w:t xml:space="preserve"> to the Convention</w:t>
      </w:r>
      <w:r w:rsidRPr="000B1539">
        <w:t>,</w:t>
      </w:r>
      <w:r w:rsidR="00072A42" w:rsidRPr="000B1539">
        <w:rPr>
          <w:rStyle w:val="FootnoteReference"/>
        </w:rPr>
        <w:footnoteReference w:id="16"/>
      </w:r>
      <w:r w:rsidR="001A4A67" w:rsidRPr="000B1539">
        <w:t>]</w:t>
      </w:r>
    </w:p>
    <w:p w14:paraId="69B429DA" w14:textId="67F537D7" w:rsidR="007C1567" w:rsidRPr="000B1539" w:rsidRDefault="00A0326F" w:rsidP="00E361F7">
      <w:pPr>
        <w:pStyle w:val="Para1"/>
        <w:numPr>
          <w:ilvl w:val="0"/>
          <w:numId w:val="0"/>
        </w:numPr>
        <w:ind w:left="1134" w:firstLine="567"/>
      </w:pPr>
      <w:r w:rsidRPr="000B1539">
        <w:t>[</w:t>
      </w:r>
      <w:r w:rsidR="00A428F8" w:rsidRPr="000B1539">
        <w:rPr>
          <w:i/>
          <w:iCs/>
        </w:rPr>
        <w:t>N</w:t>
      </w:r>
      <w:r w:rsidR="007B60B6" w:rsidRPr="000B1539">
        <w:rPr>
          <w:i/>
          <w:iCs/>
        </w:rPr>
        <w:t>oting with concern</w:t>
      </w:r>
      <w:r w:rsidR="00A428F8" w:rsidRPr="000B1539">
        <w:rPr>
          <w:i/>
          <w:iCs/>
        </w:rPr>
        <w:t xml:space="preserve"> also</w:t>
      </w:r>
      <w:r w:rsidR="007B60B6" w:rsidRPr="000B1539">
        <w:rPr>
          <w:i/>
          <w:iCs/>
        </w:rPr>
        <w:t xml:space="preserve"> </w:t>
      </w:r>
      <w:r w:rsidRPr="000B1539">
        <w:t>that the G</w:t>
      </w:r>
      <w:r w:rsidR="00C3617A" w:rsidRPr="000B1539">
        <w:t xml:space="preserve">lobal </w:t>
      </w:r>
      <w:r w:rsidRPr="000B1539">
        <w:t>E</w:t>
      </w:r>
      <w:r w:rsidR="00C3617A" w:rsidRPr="000B1539">
        <w:t xml:space="preserve">nvironment </w:t>
      </w:r>
      <w:r w:rsidRPr="000B1539">
        <w:t>F</w:t>
      </w:r>
      <w:r w:rsidR="00C3617A" w:rsidRPr="000B1539">
        <w:t>acility</w:t>
      </w:r>
      <w:r w:rsidRPr="000B1539">
        <w:t xml:space="preserve"> does not </w:t>
      </w:r>
      <w:proofErr w:type="gramStart"/>
      <w:r w:rsidRPr="000B1539">
        <w:t>take into account</w:t>
      </w:r>
      <w:proofErr w:type="gramEnd"/>
      <w:r w:rsidRPr="000B1539">
        <w:t xml:space="preserve"> in </w:t>
      </w:r>
      <w:r w:rsidR="00FA60A0" w:rsidRPr="000B1539">
        <w:t xml:space="preserve">a </w:t>
      </w:r>
      <w:r w:rsidRPr="000B1539">
        <w:t xml:space="preserve">balanced </w:t>
      </w:r>
      <w:r w:rsidR="00FA60A0" w:rsidRPr="000B1539">
        <w:t>manner</w:t>
      </w:r>
      <w:r w:rsidRPr="000B1539">
        <w:t xml:space="preserve"> project proposals </w:t>
      </w:r>
      <w:r w:rsidR="00FA60A0" w:rsidRPr="000B1539">
        <w:t>related to</w:t>
      </w:r>
      <w:r w:rsidRPr="000B1539">
        <w:t xml:space="preserve"> the Cartagena Protocol and the Nagoya Protocol</w:t>
      </w:r>
      <w:r w:rsidR="00EF3962">
        <w:t>,</w:t>
      </w:r>
      <w:r w:rsidRPr="000B1539">
        <w:t>]</w:t>
      </w:r>
    </w:p>
    <w:p w14:paraId="392FB06E" w14:textId="456C346F" w:rsidR="00E435AA" w:rsidRDefault="00EB47D8" w:rsidP="00E361F7">
      <w:pPr>
        <w:pStyle w:val="Para1"/>
        <w:numPr>
          <w:ilvl w:val="0"/>
          <w:numId w:val="0"/>
        </w:numPr>
        <w:ind w:left="1134" w:firstLine="567"/>
      </w:pPr>
      <w:r w:rsidRPr="000B1539">
        <w:t>[</w:t>
      </w:r>
      <w:r w:rsidR="00A428F8" w:rsidRPr="000B1539">
        <w:rPr>
          <w:i/>
          <w:iCs/>
        </w:rPr>
        <w:t>N</w:t>
      </w:r>
      <w:r w:rsidR="005F6AF4" w:rsidRPr="000B1539">
        <w:rPr>
          <w:i/>
          <w:iCs/>
        </w:rPr>
        <w:t>oting with concern</w:t>
      </w:r>
      <w:r w:rsidR="00A428F8" w:rsidRPr="000B1539">
        <w:rPr>
          <w:i/>
          <w:iCs/>
        </w:rPr>
        <w:t xml:space="preserve"> further</w:t>
      </w:r>
      <w:r w:rsidR="005F6AF4" w:rsidRPr="000B1539">
        <w:t xml:space="preserve"> the </w:t>
      </w:r>
      <w:r w:rsidR="00035902" w:rsidRPr="000B1539">
        <w:t xml:space="preserve">[insufficiency of </w:t>
      </w:r>
      <w:proofErr w:type="gramStart"/>
      <w:r w:rsidR="00035902" w:rsidRPr="000B1539">
        <w:t>resources][</w:t>
      </w:r>
      <w:proofErr w:type="gramEnd"/>
      <w:r w:rsidR="005F6AF4" w:rsidRPr="000B1539">
        <w:t>lack of resources</w:t>
      </w:r>
      <w:r w:rsidR="00711DFE" w:rsidRPr="000B1539">
        <w:t>]</w:t>
      </w:r>
      <w:r w:rsidR="005F6AF4" w:rsidRPr="00DC35EF">
        <w:t xml:space="preserve"> made available to the </w:t>
      </w:r>
      <w:r w:rsidR="0028271C" w:rsidRPr="000B1539">
        <w:t>[</w:t>
      </w:r>
      <w:r w:rsidR="00C35F97" w:rsidRPr="000B1539">
        <w:t xml:space="preserve">Global Environment Facility, including </w:t>
      </w:r>
      <w:r w:rsidR="0028271C" w:rsidRPr="000B1539">
        <w:t>the]</w:t>
      </w:r>
      <w:r w:rsidR="001A01AD" w:rsidRPr="00DC35EF">
        <w:t xml:space="preserve"> </w:t>
      </w:r>
      <w:r w:rsidR="005F6AF4" w:rsidRPr="00DC35EF">
        <w:t xml:space="preserve">Global Biodiversity Framework </w:t>
      </w:r>
      <w:r w:rsidR="005F6AF4" w:rsidRPr="000B1539">
        <w:t>Fund</w:t>
      </w:r>
      <w:r w:rsidR="00A36A35" w:rsidRPr="000B1539">
        <w:t xml:space="preserve">[, </w:t>
      </w:r>
      <w:r w:rsidR="008318C4">
        <w:t xml:space="preserve">while </w:t>
      </w:r>
      <w:r w:rsidR="00A36A35" w:rsidRPr="000B1539">
        <w:t xml:space="preserve">recalling </w:t>
      </w:r>
      <w:r w:rsidR="00F7227F" w:rsidRPr="000B1539">
        <w:t>A</w:t>
      </w:r>
      <w:r w:rsidR="00F7227F" w:rsidRPr="00DC35EF">
        <w:t xml:space="preserve">rticle 20 </w:t>
      </w:r>
      <w:r w:rsidR="00F70962" w:rsidRPr="00DC35EF">
        <w:t>of</w:t>
      </w:r>
      <w:r w:rsidR="00F70962" w:rsidRPr="000B1539">
        <w:t xml:space="preserve"> the Convention </w:t>
      </w:r>
      <w:r w:rsidR="00F7227F" w:rsidRPr="000B1539">
        <w:t>and Target 19</w:t>
      </w:r>
      <w:r w:rsidR="00F70962" w:rsidRPr="000B1539">
        <w:t xml:space="preserve"> of the </w:t>
      </w:r>
      <w:r w:rsidR="008505C3" w:rsidRPr="000B1539">
        <w:t xml:space="preserve">Kunming-Montreal Global Biodiversity </w:t>
      </w:r>
      <w:r w:rsidR="00F70962" w:rsidRPr="000B1539">
        <w:t>Framework</w:t>
      </w:r>
      <w:r w:rsidR="00A36A35" w:rsidRPr="000B1539">
        <w:t>,]</w:t>
      </w:r>
      <w:r w:rsidR="005F6AF4" w:rsidRPr="00DC35EF">
        <w:t xml:space="preserve"> in a manner commensurate with the challenges and needs of developing country Parties,</w:t>
      </w:r>
      <w:r w:rsidRPr="00DC35EF">
        <w:t>]</w:t>
      </w:r>
    </w:p>
    <w:p w14:paraId="56CFC65B" w14:textId="2725B5FF" w:rsidR="00E435AA" w:rsidRPr="000B1539" w:rsidRDefault="00A130F9" w:rsidP="00E361F7">
      <w:pPr>
        <w:pStyle w:val="Para1"/>
        <w:numPr>
          <w:ilvl w:val="0"/>
          <w:numId w:val="0"/>
        </w:numPr>
        <w:ind w:left="1134" w:firstLine="567"/>
      </w:pPr>
      <w:r w:rsidRPr="000B1539">
        <w:t>[</w:t>
      </w:r>
      <w:r w:rsidR="00A428F8" w:rsidRPr="000B1539">
        <w:rPr>
          <w:i/>
          <w:iCs/>
        </w:rPr>
        <w:t>N</w:t>
      </w:r>
      <w:r w:rsidR="005F6AF4" w:rsidRPr="000B1539">
        <w:rPr>
          <w:i/>
          <w:iCs/>
        </w:rPr>
        <w:t>oting with concern</w:t>
      </w:r>
      <w:r w:rsidR="005F6AF4" w:rsidRPr="000B1539">
        <w:t xml:space="preserve"> the exclusion of </w:t>
      </w:r>
      <w:proofErr w:type="gramStart"/>
      <w:r w:rsidR="005F6AF4" w:rsidRPr="000B1539">
        <w:t>a number of</w:t>
      </w:r>
      <w:proofErr w:type="gramEnd"/>
      <w:r w:rsidR="005F6AF4" w:rsidRPr="000B1539">
        <w:t xml:space="preserve"> eligible Parties from access to support from the Global Environment Facility</w:t>
      </w:r>
      <w:r w:rsidR="00433B75" w:rsidRPr="000B1539">
        <w:t>,</w:t>
      </w:r>
      <w:r w:rsidR="005F6AF4" w:rsidRPr="000B1539">
        <w:t xml:space="preserve"> including through its programming associated with the seventh and eighth replenishments of its Trust Fund</w:t>
      </w:r>
      <w:r w:rsidR="00FD7DA2">
        <w:t xml:space="preserve"> </w:t>
      </w:r>
      <w:r w:rsidR="00DE64CE">
        <w:t xml:space="preserve">and </w:t>
      </w:r>
      <w:r w:rsidR="005F6AF4" w:rsidRPr="000B1539">
        <w:t>System for Transparent Allocation of Resources</w:t>
      </w:r>
      <w:r w:rsidR="00DE64CE">
        <w:t xml:space="preserve">, </w:t>
      </w:r>
      <w:r w:rsidR="005F6AF4" w:rsidRPr="000B1539">
        <w:t>in particular</w:t>
      </w:r>
      <w:r w:rsidR="00291CD0">
        <w:t xml:space="preserve"> for</w:t>
      </w:r>
      <w:r w:rsidR="005F6AF4" w:rsidRPr="000B1539">
        <w:t xml:space="preserve"> the revision and updating of national biodiversity strategies and action plans</w:t>
      </w:r>
      <w:r w:rsidR="006C37B7">
        <w:t xml:space="preserve"> </w:t>
      </w:r>
      <w:r w:rsidR="00291CD0">
        <w:t xml:space="preserve">and </w:t>
      </w:r>
      <w:r w:rsidR="00B309AB" w:rsidRPr="000B1539">
        <w:t xml:space="preserve">national </w:t>
      </w:r>
      <w:r w:rsidR="005F6AF4" w:rsidRPr="000B1539">
        <w:t>biodiversity finance plans aligned with the Framework,</w:t>
      </w:r>
      <w:r w:rsidRPr="000B1539">
        <w:t>]</w:t>
      </w:r>
    </w:p>
    <w:p w14:paraId="715367D7" w14:textId="23883D2D" w:rsidR="00335834" w:rsidRPr="0003270A" w:rsidRDefault="00E30C11" w:rsidP="00E361F7">
      <w:pPr>
        <w:pStyle w:val="Para1"/>
        <w:numPr>
          <w:ilvl w:val="0"/>
          <w:numId w:val="0"/>
        </w:numPr>
        <w:ind w:left="1134" w:firstLine="567"/>
      </w:pPr>
      <w:r w:rsidRPr="00063184">
        <w:rPr>
          <w:i/>
          <w:iCs/>
        </w:rPr>
        <w:t>Noting</w:t>
      </w:r>
      <w:r w:rsidRPr="00063184">
        <w:t xml:space="preserve"> the contributions of the </w:t>
      </w:r>
      <w:r w:rsidR="00227B5C" w:rsidRPr="00063184">
        <w:t xml:space="preserve">integrated programmes of the </w:t>
      </w:r>
      <w:r w:rsidRPr="000B1539">
        <w:t>Global Environment Facility</w:t>
      </w:r>
      <w:r w:rsidRPr="00063184">
        <w:t xml:space="preserve"> to</w:t>
      </w:r>
      <w:r w:rsidR="00DA078A" w:rsidRPr="00063184">
        <w:t xml:space="preserve">wards </w:t>
      </w:r>
      <w:r w:rsidR="00F81934">
        <w:t xml:space="preserve">achieving </w:t>
      </w:r>
      <w:r w:rsidRPr="00063184">
        <w:t xml:space="preserve">the targets of the Framework and that </w:t>
      </w:r>
      <w:proofErr w:type="gramStart"/>
      <w:r w:rsidRPr="00063184">
        <w:t xml:space="preserve">all </w:t>
      </w:r>
      <w:r w:rsidR="003D6DD3">
        <w:t>of</w:t>
      </w:r>
      <w:proofErr w:type="gramEnd"/>
      <w:r w:rsidR="003D6DD3">
        <w:t xml:space="preserve"> </w:t>
      </w:r>
      <w:r w:rsidRPr="00063184">
        <w:t xml:space="preserve">the integrated programmes </w:t>
      </w:r>
      <w:r w:rsidRPr="000B1539">
        <w:t>contribute to</w:t>
      </w:r>
      <w:r w:rsidR="00DA078A" w:rsidRPr="000B1539">
        <w:t>wards</w:t>
      </w:r>
      <w:r w:rsidRPr="00063184">
        <w:t xml:space="preserve"> </w:t>
      </w:r>
      <w:r w:rsidR="00F81934">
        <w:t xml:space="preserve">achieving </w:t>
      </w:r>
      <w:r w:rsidRPr="00063184">
        <w:t xml:space="preserve">Targets 8, 10, 11, 20, 21, 22 </w:t>
      </w:r>
      <w:r w:rsidRPr="0003270A">
        <w:t>and 23,</w:t>
      </w:r>
    </w:p>
    <w:p w14:paraId="3774EAD4" w14:textId="1944C69C" w:rsidR="0014703F" w:rsidRDefault="00BD58BA" w:rsidP="00985808">
      <w:pPr>
        <w:pStyle w:val="Para1"/>
        <w:numPr>
          <w:ilvl w:val="0"/>
          <w:numId w:val="0"/>
        </w:numPr>
        <w:ind w:left="1134" w:firstLine="567"/>
      </w:pPr>
      <w:r w:rsidRPr="0003270A">
        <w:rPr>
          <w:i/>
          <w:iCs/>
        </w:rPr>
        <w:t>Welcom</w:t>
      </w:r>
      <w:r w:rsidR="00732B8D" w:rsidRPr="0003270A">
        <w:rPr>
          <w:i/>
          <w:iCs/>
        </w:rPr>
        <w:t>ing</w:t>
      </w:r>
      <w:r w:rsidR="00E30C11" w:rsidRPr="0003270A">
        <w:t xml:space="preserve"> the significant portion of </w:t>
      </w:r>
      <w:r w:rsidR="00F81934" w:rsidRPr="0003270A">
        <w:t xml:space="preserve">other focal area resources </w:t>
      </w:r>
      <w:r w:rsidR="00F81934">
        <w:t xml:space="preserve">under the </w:t>
      </w:r>
      <w:r w:rsidR="00E30C11" w:rsidRPr="000B1539">
        <w:t>Global Environment Facility</w:t>
      </w:r>
      <w:r w:rsidR="00E30C11" w:rsidRPr="0003270A">
        <w:t xml:space="preserve"> that contribute to the implementation of the Framework,</w:t>
      </w:r>
    </w:p>
    <w:p w14:paraId="71448FF9" w14:textId="77777777" w:rsidR="0014703F" w:rsidRPr="00377131" w:rsidRDefault="00093334" w:rsidP="00985808">
      <w:pPr>
        <w:pStyle w:val="Para1"/>
        <w:numPr>
          <w:ilvl w:val="0"/>
          <w:numId w:val="0"/>
        </w:numPr>
        <w:ind w:left="1134" w:firstLine="567"/>
      </w:pPr>
      <w:r>
        <w:rPr>
          <w:i/>
          <w:iCs/>
        </w:rPr>
        <w:t>W</w:t>
      </w:r>
      <w:r w:rsidR="00785D61" w:rsidRPr="00D053E3">
        <w:rPr>
          <w:i/>
          <w:iCs/>
        </w:rPr>
        <w:t>elcoming</w:t>
      </w:r>
      <w:r w:rsidR="00BC2516">
        <w:rPr>
          <w:i/>
          <w:iCs/>
        </w:rPr>
        <w:t xml:space="preserve"> also</w:t>
      </w:r>
      <w:r w:rsidR="00785D61" w:rsidRPr="00D053E3">
        <w:rPr>
          <w:i/>
          <w:iCs/>
        </w:rPr>
        <w:t xml:space="preserve"> </w:t>
      </w:r>
      <w:r w:rsidR="00785D61" w:rsidRPr="00D053E3">
        <w:t xml:space="preserve">the efforts </w:t>
      </w:r>
      <w:r w:rsidR="0035302D">
        <w:t xml:space="preserve">by </w:t>
      </w:r>
      <w:r w:rsidR="0035302D" w:rsidRPr="00377131">
        <w:t xml:space="preserve">the </w:t>
      </w:r>
      <w:r w:rsidR="0035302D" w:rsidRPr="000B1539">
        <w:t>Global Environment Facility</w:t>
      </w:r>
      <w:r w:rsidR="0035302D" w:rsidRPr="00377131">
        <w:t xml:space="preserve"> </w:t>
      </w:r>
      <w:r w:rsidR="00785D61" w:rsidRPr="00377131">
        <w:t xml:space="preserve">to harness synergies </w:t>
      </w:r>
      <w:r w:rsidR="008654CE" w:rsidRPr="00377131">
        <w:t>among</w:t>
      </w:r>
      <w:r w:rsidR="00785D61" w:rsidRPr="00377131">
        <w:t xml:space="preserve"> other biodiversity-related conventions and </w:t>
      </w:r>
      <w:r w:rsidR="00B2672E" w:rsidRPr="00377131">
        <w:t xml:space="preserve">to </w:t>
      </w:r>
      <w:r w:rsidR="00785D61" w:rsidRPr="00377131">
        <w:t>address multiple environmental challenges</w:t>
      </w:r>
      <w:r w:rsidR="0035302D" w:rsidRPr="00377131">
        <w:t xml:space="preserve"> </w:t>
      </w:r>
      <w:r w:rsidR="009C6F97" w:rsidRPr="00377131">
        <w:t xml:space="preserve">in a </w:t>
      </w:r>
      <w:r w:rsidR="0035302D" w:rsidRPr="00377131">
        <w:t>holistic</w:t>
      </w:r>
      <w:r w:rsidR="009C6F97" w:rsidRPr="00377131">
        <w:t xml:space="preserve"> manner</w:t>
      </w:r>
      <w:r w:rsidR="00E92166" w:rsidRPr="00377131">
        <w:t>,</w:t>
      </w:r>
    </w:p>
    <w:p w14:paraId="75102B2E" w14:textId="0C0685B8" w:rsidR="009A1C74" w:rsidRPr="00377131" w:rsidRDefault="00E30C11" w:rsidP="00985808">
      <w:pPr>
        <w:pStyle w:val="Para1"/>
        <w:numPr>
          <w:ilvl w:val="0"/>
          <w:numId w:val="0"/>
        </w:numPr>
        <w:ind w:left="1134" w:firstLine="567"/>
      </w:pPr>
      <w:r w:rsidRPr="00377131">
        <w:rPr>
          <w:i/>
          <w:iCs/>
        </w:rPr>
        <w:t xml:space="preserve">Noting </w:t>
      </w:r>
      <w:r w:rsidR="003432E5" w:rsidRPr="000B1539">
        <w:t>[</w:t>
      </w:r>
      <w:r w:rsidRPr="000B1539">
        <w:rPr>
          <w:i/>
          <w:iCs/>
        </w:rPr>
        <w:t>with appreciation</w:t>
      </w:r>
      <w:r w:rsidR="003432E5" w:rsidRPr="000B1539">
        <w:t>]</w:t>
      </w:r>
      <w:r w:rsidRPr="00377131">
        <w:rPr>
          <w:i/>
          <w:iCs/>
        </w:rPr>
        <w:t xml:space="preserve"> </w:t>
      </w:r>
      <w:r w:rsidRPr="00377131">
        <w:t xml:space="preserve">the enhanced support provided by the </w:t>
      </w:r>
      <w:r w:rsidRPr="000B1539">
        <w:t>Global Environment Facility</w:t>
      </w:r>
      <w:r w:rsidRPr="00377131">
        <w:t xml:space="preserve"> to </w:t>
      </w:r>
      <w:r w:rsidRPr="000B1539">
        <w:t>indigenous people</w:t>
      </w:r>
      <w:r w:rsidRPr="00377131">
        <w:t>s and local communities for the implementation of the Framework,</w:t>
      </w:r>
      <w:r w:rsidR="00C23A56" w:rsidRPr="00377131">
        <w:t xml:space="preserve"> including through the aspirational programming share of 20 per cent at portfolio level by 2030 in the Global Biodiversity Framework Fund,</w:t>
      </w:r>
    </w:p>
    <w:p w14:paraId="2D925100" w14:textId="68D53A20" w:rsidR="00335834" w:rsidRPr="00377131" w:rsidRDefault="00483B71" w:rsidP="00EC7D1F">
      <w:pPr>
        <w:pStyle w:val="Para1"/>
        <w:numPr>
          <w:ilvl w:val="0"/>
          <w:numId w:val="0"/>
        </w:numPr>
        <w:ind w:left="1134" w:firstLine="567"/>
      </w:pPr>
      <w:r w:rsidRPr="00377131">
        <w:rPr>
          <w:i/>
          <w:iCs/>
        </w:rPr>
        <w:t>Welcoming</w:t>
      </w:r>
      <w:r w:rsidRPr="00377131">
        <w:t xml:space="preserve"> the efforts by the </w:t>
      </w:r>
      <w:r w:rsidRPr="000B1539">
        <w:t>Global Environment Facility</w:t>
      </w:r>
      <w:r w:rsidRPr="00377131">
        <w:t xml:space="preserve"> to support policy coherence and streamlining measures,</w:t>
      </w:r>
    </w:p>
    <w:p w14:paraId="3348483F" w14:textId="3B397683" w:rsidR="00093277" w:rsidRPr="00377131" w:rsidRDefault="00833BC6" w:rsidP="0031044A">
      <w:pPr>
        <w:pStyle w:val="Para1"/>
        <w:numPr>
          <w:ilvl w:val="0"/>
          <w:numId w:val="0"/>
        </w:numPr>
        <w:tabs>
          <w:tab w:val="clear" w:pos="1134"/>
          <w:tab w:val="left" w:pos="2268"/>
        </w:tabs>
        <w:ind w:left="1134" w:firstLine="567"/>
      </w:pPr>
      <w:r w:rsidRPr="00377131">
        <w:t>1.</w:t>
      </w:r>
      <w:r w:rsidRPr="00377131">
        <w:tab/>
      </w:r>
      <w:r w:rsidR="00751B26" w:rsidRPr="00377131">
        <w:rPr>
          <w:i/>
        </w:rPr>
        <w:t>Notes</w:t>
      </w:r>
      <w:r w:rsidR="00895CB3" w:rsidRPr="00377131">
        <w:rPr>
          <w:i/>
        </w:rPr>
        <w:t xml:space="preserve"> with appreciation</w:t>
      </w:r>
      <w:r w:rsidR="00483B71" w:rsidRPr="00377131">
        <w:t xml:space="preserve"> the report of the Council of the </w:t>
      </w:r>
      <w:r w:rsidR="00483B71" w:rsidRPr="000B1539">
        <w:t>Global Environment Facility</w:t>
      </w:r>
      <w:r w:rsidR="00483B71" w:rsidRPr="00377131">
        <w:t xml:space="preserve"> to the Conference of the Parties at its sixteenth meeting;</w:t>
      </w:r>
    </w:p>
    <w:p w14:paraId="610EA30C" w14:textId="54B0FEF7" w:rsidR="00395DAA" w:rsidRPr="00D053E3" w:rsidRDefault="00395DAA" w:rsidP="003D3F00">
      <w:pPr>
        <w:pStyle w:val="Para1"/>
        <w:numPr>
          <w:ilvl w:val="0"/>
          <w:numId w:val="0"/>
        </w:numPr>
        <w:tabs>
          <w:tab w:val="clear" w:pos="1134"/>
          <w:tab w:val="left" w:pos="2268"/>
        </w:tabs>
        <w:ind w:left="1134"/>
        <w:rPr>
          <w:b/>
          <w:bCs/>
        </w:rPr>
      </w:pPr>
      <w:r w:rsidRPr="000B1539">
        <w:rPr>
          <w:b/>
          <w:bCs/>
        </w:rPr>
        <w:t>G</w:t>
      </w:r>
      <w:r w:rsidR="00FC7F11" w:rsidRPr="000B1539">
        <w:rPr>
          <w:b/>
          <w:bCs/>
        </w:rPr>
        <w:t>lobal Environment Facility</w:t>
      </w:r>
      <w:r w:rsidR="00FC7F11" w:rsidRPr="00377131">
        <w:rPr>
          <w:b/>
          <w:bCs/>
        </w:rPr>
        <w:t xml:space="preserve"> </w:t>
      </w:r>
      <w:r w:rsidRPr="000B1539">
        <w:rPr>
          <w:b/>
          <w:bCs/>
        </w:rPr>
        <w:t>Trust Fund</w:t>
      </w:r>
    </w:p>
    <w:p w14:paraId="4745CA6C" w14:textId="7E841DF1" w:rsidR="001E05FA" w:rsidRDefault="00833BC6" w:rsidP="0009004A">
      <w:pPr>
        <w:pStyle w:val="Para1"/>
        <w:numPr>
          <w:ilvl w:val="0"/>
          <w:numId w:val="0"/>
        </w:numPr>
        <w:tabs>
          <w:tab w:val="clear" w:pos="1134"/>
          <w:tab w:val="left" w:pos="2268"/>
        </w:tabs>
        <w:ind w:left="1134" w:firstLine="567"/>
      </w:pPr>
      <w:r w:rsidRPr="002C36C3">
        <w:t>2.</w:t>
      </w:r>
      <w:r w:rsidRPr="002C36C3">
        <w:tab/>
      </w:r>
      <w:r w:rsidR="00525946" w:rsidRPr="000B1539">
        <w:t>[</w:t>
      </w:r>
      <w:r w:rsidR="00483B71" w:rsidRPr="000B1539">
        <w:rPr>
          <w:i/>
          <w:iCs/>
        </w:rPr>
        <w:t>Invites</w:t>
      </w:r>
      <w:r w:rsidR="00525946" w:rsidRPr="000B1539">
        <w:t>][</w:t>
      </w:r>
      <w:r w:rsidR="00412F43" w:rsidRPr="000B1539">
        <w:rPr>
          <w:i/>
          <w:iCs/>
        </w:rPr>
        <w:t>E</w:t>
      </w:r>
      <w:r w:rsidR="00726530" w:rsidRPr="000B1539">
        <w:rPr>
          <w:i/>
          <w:iCs/>
        </w:rPr>
        <w:t>ncourages</w:t>
      </w:r>
      <w:r w:rsidR="00525946" w:rsidRPr="000B1539">
        <w:t>]</w:t>
      </w:r>
      <w:r w:rsidR="00A80B34" w:rsidRPr="000B1539">
        <w:t>[</w:t>
      </w:r>
      <w:r w:rsidR="00A80B34" w:rsidRPr="000B1539">
        <w:rPr>
          <w:i/>
          <w:iCs/>
        </w:rPr>
        <w:t>Instructs</w:t>
      </w:r>
      <w:r w:rsidR="00A80B34" w:rsidRPr="000B1539">
        <w:t>]</w:t>
      </w:r>
      <w:r w:rsidR="00726530" w:rsidRPr="002C36C3">
        <w:t xml:space="preserve"> </w:t>
      </w:r>
      <w:r w:rsidR="00483B71" w:rsidRPr="002C36C3">
        <w:t xml:space="preserve">the </w:t>
      </w:r>
      <w:r w:rsidR="00483B71" w:rsidRPr="000B1539">
        <w:t>Global Environment Facility</w:t>
      </w:r>
      <w:r w:rsidR="00483B71" w:rsidRPr="002C36C3">
        <w:t xml:space="preserve">, in collaboration with the Executive Secretary, to </w:t>
      </w:r>
      <w:r w:rsidR="00525946" w:rsidRPr="000B1539">
        <w:t>[</w:t>
      </w:r>
      <w:r w:rsidR="000053C4" w:rsidRPr="000B1539">
        <w:t>encourage</w:t>
      </w:r>
      <w:r w:rsidR="00525946" w:rsidRPr="000B1539">
        <w:t>]</w:t>
      </w:r>
      <w:r w:rsidR="0009004A" w:rsidRPr="000B1539">
        <w:t>[invite]</w:t>
      </w:r>
      <w:r w:rsidR="000053C4" w:rsidRPr="002C36C3">
        <w:t xml:space="preserve"> </w:t>
      </w:r>
      <w:r w:rsidR="00902AEE" w:rsidRPr="000B1539">
        <w:t>[all eligible]</w:t>
      </w:r>
      <w:r w:rsidR="00902AEE" w:rsidRPr="002C36C3">
        <w:t xml:space="preserve"> </w:t>
      </w:r>
      <w:r w:rsidR="00186DC7" w:rsidRPr="000B1539">
        <w:t>[</w:t>
      </w:r>
      <w:r w:rsidR="000053C4" w:rsidRPr="000B1539">
        <w:t>recipient</w:t>
      </w:r>
      <w:r w:rsidR="00186DC7" w:rsidRPr="000B1539">
        <w:t>]</w:t>
      </w:r>
      <w:r w:rsidR="000053C4" w:rsidRPr="002C36C3">
        <w:t xml:space="preserve"> countries to submit</w:t>
      </w:r>
      <w:r w:rsidR="00222868" w:rsidRPr="002C36C3">
        <w:t xml:space="preserve"> </w:t>
      </w:r>
      <w:r w:rsidR="00483B71" w:rsidRPr="002C36C3">
        <w:t xml:space="preserve">project proposals in support of the implementation of </w:t>
      </w:r>
      <w:r w:rsidR="00584FED" w:rsidRPr="002C36C3">
        <w:t>T</w:t>
      </w:r>
      <w:r w:rsidR="00483B71" w:rsidRPr="002C36C3">
        <w:t>arget 17 of the</w:t>
      </w:r>
      <w:r w:rsidR="00483B71" w:rsidRPr="00584FED">
        <w:t xml:space="preserve"> </w:t>
      </w:r>
      <w:r w:rsidR="00483B71" w:rsidRPr="003D3F00">
        <w:t>Framework</w:t>
      </w:r>
      <w:r w:rsidR="0068779F">
        <w:t xml:space="preserve"> and the Implementation Plan</w:t>
      </w:r>
      <w:r w:rsidR="00D667F9">
        <w:rPr>
          <w:rStyle w:val="FootnoteReference"/>
        </w:rPr>
        <w:footnoteReference w:id="17"/>
      </w:r>
      <w:r w:rsidR="0068779F">
        <w:t xml:space="preserve"> and Capacity</w:t>
      </w:r>
      <w:r w:rsidR="008958E8">
        <w:t>-</w:t>
      </w:r>
      <w:r w:rsidR="00A40DD6">
        <w:t>b</w:t>
      </w:r>
      <w:r w:rsidR="000F735E">
        <w:t>uilding</w:t>
      </w:r>
      <w:r w:rsidR="0068779F">
        <w:t xml:space="preserve"> Action Plan</w:t>
      </w:r>
      <w:r w:rsidR="00B10113" w:rsidRPr="00A40DD6">
        <w:rPr>
          <w:rStyle w:val="FootnoteReference"/>
        </w:rPr>
        <w:footnoteReference w:id="18"/>
      </w:r>
      <w:r w:rsidR="0068779F">
        <w:t xml:space="preserve"> for the Cartagena Protocol</w:t>
      </w:r>
      <w:r w:rsidR="00483B71" w:rsidRPr="00A40DD6">
        <w:t>;</w:t>
      </w:r>
    </w:p>
    <w:p w14:paraId="01F6A408" w14:textId="2569F727" w:rsidR="00F807D2" w:rsidRPr="009F23E8" w:rsidRDefault="00833BC6" w:rsidP="00985808">
      <w:pPr>
        <w:pStyle w:val="Para1"/>
        <w:numPr>
          <w:ilvl w:val="0"/>
          <w:numId w:val="0"/>
        </w:numPr>
        <w:tabs>
          <w:tab w:val="clear" w:pos="1134"/>
          <w:tab w:val="left" w:pos="2268"/>
        </w:tabs>
        <w:ind w:left="1134" w:firstLine="567"/>
      </w:pPr>
      <w:r>
        <w:t>3.</w:t>
      </w:r>
      <w:r>
        <w:tab/>
      </w:r>
      <w:r w:rsidR="00483B71" w:rsidRPr="00D17E67">
        <w:rPr>
          <w:i/>
          <w:iCs/>
        </w:rPr>
        <w:t>Invites</w:t>
      </w:r>
      <w:r w:rsidR="00483B71" w:rsidRPr="00483B71">
        <w:t xml:space="preserve"> relevant Parties to the Cartagena </w:t>
      </w:r>
      <w:r w:rsidR="00483B71" w:rsidRPr="009F23E8">
        <w:t xml:space="preserve">Protocol </w:t>
      </w:r>
      <w:r w:rsidR="00483B71" w:rsidRPr="000B1539">
        <w:t>to access</w:t>
      </w:r>
      <w:r w:rsidR="00483B71" w:rsidRPr="009F23E8">
        <w:t xml:space="preserve"> </w:t>
      </w:r>
      <w:r w:rsidR="00DF152C" w:rsidRPr="009F23E8">
        <w:t xml:space="preserve">proactively </w:t>
      </w:r>
      <w:r w:rsidR="00483B71" w:rsidRPr="009F23E8">
        <w:t xml:space="preserve">the notional allocations available </w:t>
      </w:r>
      <w:r w:rsidR="00285B44" w:rsidRPr="009F23E8">
        <w:t xml:space="preserve">for the Protocol </w:t>
      </w:r>
      <w:r w:rsidR="00483B71" w:rsidRPr="009F23E8">
        <w:t>from the eighth replenishment programming directions;</w:t>
      </w:r>
    </w:p>
    <w:p w14:paraId="54CB6672" w14:textId="639C00A6" w:rsidR="00F807D2" w:rsidRPr="00D053E3" w:rsidRDefault="00833BC6" w:rsidP="00381835">
      <w:pPr>
        <w:pStyle w:val="Para1"/>
        <w:numPr>
          <w:ilvl w:val="0"/>
          <w:numId w:val="0"/>
        </w:numPr>
        <w:tabs>
          <w:tab w:val="clear" w:pos="1134"/>
          <w:tab w:val="left" w:pos="2268"/>
        </w:tabs>
        <w:ind w:left="1134" w:firstLine="567"/>
      </w:pPr>
      <w:r w:rsidRPr="009F23E8">
        <w:t>4.</w:t>
      </w:r>
      <w:r w:rsidRPr="009F23E8">
        <w:tab/>
      </w:r>
      <w:r w:rsidR="00483B71" w:rsidRPr="009F23E8">
        <w:rPr>
          <w:i/>
          <w:iCs/>
        </w:rPr>
        <w:t>Requests</w:t>
      </w:r>
      <w:r w:rsidR="00483B71" w:rsidRPr="009F23E8">
        <w:t xml:space="preserve"> the Executive Secretary and the </w:t>
      </w:r>
      <w:r w:rsidR="00483B71" w:rsidRPr="000B1539">
        <w:t>Global Environment Facility</w:t>
      </w:r>
      <w:r w:rsidR="00483B71" w:rsidRPr="009F23E8">
        <w:t xml:space="preserve"> to promote the sharing of experience and knowledge in project development and implementation in support of the implementation of </w:t>
      </w:r>
      <w:r w:rsidR="00607338" w:rsidRPr="009F23E8">
        <w:t>T</w:t>
      </w:r>
      <w:r w:rsidR="00483B71" w:rsidRPr="009F23E8">
        <w:t>arget 13 of the Framework;</w:t>
      </w:r>
    </w:p>
    <w:p w14:paraId="6EADEEDA" w14:textId="4975C038" w:rsidR="006C181E" w:rsidRPr="00323E81" w:rsidRDefault="00833BC6" w:rsidP="00381835">
      <w:pPr>
        <w:pStyle w:val="Para1"/>
        <w:numPr>
          <w:ilvl w:val="0"/>
          <w:numId w:val="0"/>
        </w:numPr>
        <w:tabs>
          <w:tab w:val="clear" w:pos="1134"/>
          <w:tab w:val="left" w:pos="2268"/>
        </w:tabs>
        <w:ind w:left="1134" w:firstLine="567"/>
        <w:rPr>
          <w:lang w:val="en-US"/>
        </w:rPr>
      </w:pPr>
      <w:r w:rsidRPr="00D053E3">
        <w:t>5.</w:t>
      </w:r>
      <w:r w:rsidRPr="00D053E3">
        <w:tab/>
      </w:r>
      <w:r w:rsidR="00483B71" w:rsidRPr="00D053E3">
        <w:rPr>
          <w:i/>
          <w:iCs/>
          <w:lang w:val="en-US"/>
        </w:rPr>
        <w:t>Invites</w:t>
      </w:r>
      <w:r w:rsidR="00483B71" w:rsidRPr="00D053E3">
        <w:rPr>
          <w:lang w:val="en-US"/>
        </w:rPr>
        <w:t xml:space="preserve"> relevant Parties to the Nagoya Protocol on Access to Genetic Resources and the Fair and Equitable Sharing of Benefits </w:t>
      </w:r>
      <w:r w:rsidR="00FC5650">
        <w:rPr>
          <w:lang w:val="en-US"/>
        </w:rPr>
        <w:t>A</w:t>
      </w:r>
      <w:r w:rsidR="00483B71" w:rsidRPr="00D053E3">
        <w:rPr>
          <w:lang w:val="en-US"/>
        </w:rPr>
        <w:t xml:space="preserve">rising from </w:t>
      </w:r>
      <w:r w:rsidR="004E1F15">
        <w:rPr>
          <w:lang w:val="en-US"/>
        </w:rPr>
        <w:t>T</w:t>
      </w:r>
      <w:r w:rsidR="00483B71" w:rsidRPr="00D053E3">
        <w:rPr>
          <w:lang w:val="en-US"/>
        </w:rPr>
        <w:t xml:space="preserve">heir </w:t>
      </w:r>
      <w:r w:rsidR="00483B71" w:rsidRPr="00323E81">
        <w:rPr>
          <w:lang w:val="en-US"/>
        </w:rPr>
        <w:t xml:space="preserve">Utilization </w:t>
      </w:r>
      <w:r w:rsidR="00483B71" w:rsidRPr="000B1539">
        <w:rPr>
          <w:lang w:val="en-US"/>
        </w:rPr>
        <w:t>to access</w:t>
      </w:r>
      <w:r w:rsidR="00483B71" w:rsidRPr="00323E81">
        <w:rPr>
          <w:lang w:val="en-US"/>
        </w:rPr>
        <w:t xml:space="preserve"> </w:t>
      </w:r>
      <w:r w:rsidR="00C67A95" w:rsidRPr="00323E81">
        <w:rPr>
          <w:lang w:val="en-US"/>
        </w:rPr>
        <w:t xml:space="preserve">proactively </w:t>
      </w:r>
      <w:r w:rsidR="00483B71" w:rsidRPr="00323E81">
        <w:rPr>
          <w:lang w:val="en-US"/>
        </w:rPr>
        <w:t xml:space="preserve">the notional allocations available </w:t>
      </w:r>
      <w:r w:rsidR="00285B44" w:rsidRPr="00323E81">
        <w:rPr>
          <w:lang w:val="en-US"/>
        </w:rPr>
        <w:t xml:space="preserve">for the Protocol </w:t>
      </w:r>
      <w:r w:rsidR="00483B71" w:rsidRPr="00323E81">
        <w:rPr>
          <w:lang w:val="en-US"/>
        </w:rPr>
        <w:t>from the eighth replenishment programming directions;</w:t>
      </w:r>
    </w:p>
    <w:p w14:paraId="5998EBF2" w14:textId="61FDD619" w:rsidR="00AD6ED7" w:rsidRPr="00D053E3" w:rsidRDefault="00833BC6" w:rsidP="00381835">
      <w:pPr>
        <w:pStyle w:val="Para1"/>
        <w:numPr>
          <w:ilvl w:val="0"/>
          <w:numId w:val="0"/>
        </w:numPr>
        <w:tabs>
          <w:tab w:val="clear" w:pos="1134"/>
          <w:tab w:val="left" w:pos="2268"/>
        </w:tabs>
        <w:ind w:left="1134" w:firstLine="567"/>
      </w:pPr>
      <w:r w:rsidRPr="00323E81">
        <w:t>6.</w:t>
      </w:r>
      <w:r w:rsidRPr="00323E81">
        <w:tab/>
      </w:r>
      <w:r w:rsidR="00E901D7" w:rsidRPr="00323E81">
        <w:rPr>
          <w:i/>
          <w:iCs/>
        </w:rPr>
        <w:t>Encourages</w:t>
      </w:r>
      <w:r w:rsidR="00E901D7" w:rsidRPr="00323E81">
        <w:t xml:space="preserve"> the </w:t>
      </w:r>
      <w:r w:rsidR="00E901D7" w:rsidRPr="000B1539">
        <w:t>Global Environment Facility</w:t>
      </w:r>
      <w:r w:rsidR="00E901D7" w:rsidRPr="00323E81">
        <w:t xml:space="preserve"> to continue to explore potential opportunities </w:t>
      </w:r>
      <w:r w:rsidR="00C67A95" w:rsidRPr="00323E81">
        <w:t>for</w:t>
      </w:r>
      <w:r w:rsidR="00E901D7" w:rsidRPr="00323E81">
        <w:t xml:space="preserve"> maximizing the contribution of its integrated programmes to the implementation of the </w:t>
      </w:r>
      <w:r w:rsidR="00B309AB" w:rsidRPr="000B1539">
        <w:t xml:space="preserve">Kunming-Montreal Global Biodiversity </w:t>
      </w:r>
      <w:r w:rsidR="00E901D7" w:rsidRPr="000B1539">
        <w:t>Framework</w:t>
      </w:r>
      <w:r w:rsidR="0042052B" w:rsidRPr="00323E81">
        <w:t>,</w:t>
      </w:r>
      <w:r w:rsidR="00427B95" w:rsidRPr="00323E81">
        <w:t xml:space="preserve"> including through dedicated support to </w:t>
      </w:r>
      <w:r w:rsidR="00A94552" w:rsidRPr="000B1539">
        <w:t>i</w:t>
      </w:r>
      <w:r w:rsidR="00427B95" w:rsidRPr="000B1539">
        <w:t xml:space="preserve">ndigenous </w:t>
      </w:r>
      <w:r w:rsidR="00A94552" w:rsidRPr="000B1539">
        <w:t>p</w:t>
      </w:r>
      <w:r w:rsidR="00427B95" w:rsidRPr="000B1539">
        <w:t>eople</w:t>
      </w:r>
      <w:r w:rsidR="00427B95" w:rsidRPr="00323E81">
        <w:t xml:space="preserve">s and local </w:t>
      </w:r>
      <w:r w:rsidR="00427B95" w:rsidRPr="0003270A">
        <w:t xml:space="preserve">communities, women and </w:t>
      </w:r>
      <w:r w:rsidR="00427B95" w:rsidRPr="000B1539">
        <w:t>youth</w:t>
      </w:r>
      <w:r w:rsidR="00E901D7" w:rsidRPr="000B1539">
        <w:t>;</w:t>
      </w:r>
    </w:p>
    <w:p w14:paraId="5D618E29" w14:textId="7A7920AC" w:rsidR="0020668F" w:rsidRPr="004F50AE" w:rsidRDefault="00833BC6" w:rsidP="007D0422">
      <w:pPr>
        <w:pStyle w:val="Para1"/>
        <w:numPr>
          <w:ilvl w:val="0"/>
          <w:numId w:val="0"/>
        </w:numPr>
        <w:tabs>
          <w:tab w:val="clear" w:pos="1134"/>
          <w:tab w:val="left" w:pos="2268"/>
        </w:tabs>
        <w:ind w:left="1134" w:firstLine="567"/>
      </w:pPr>
      <w:r w:rsidRPr="00D053E3">
        <w:t>7.</w:t>
      </w:r>
      <w:r w:rsidRPr="00D053E3">
        <w:tab/>
      </w:r>
      <w:r w:rsidR="00A11BAE" w:rsidRPr="004F50AE">
        <w:rPr>
          <w:i/>
          <w:iCs/>
        </w:rPr>
        <w:t>E</w:t>
      </w:r>
      <w:r w:rsidR="00E901D7" w:rsidRPr="004F50AE">
        <w:rPr>
          <w:i/>
          <w:iCs/>
        </w:rPr>
        <w:t>ncourages</w:t>
      </w:r>
      <w:r w:rsidR="00E901D7" w:rsidRPr="004F50AE">
        <w:t xml:space="preserve"> the </w:t>
      </w:r>
      <w:r w:rsidR="00E901D7" w:rsidRPr="000B1539">
        <w:t>Global Environment Facility</w:t>
      </w:r>
      <w:r w:rsidR="00E901D7" w:rsidRPr="004F50AE">
        <w:t xml:space="preserve"> and recipient countries to maintain the contribution of the </w:t>
      </w:r>
      <w:r w:rsidR="00DA2252">
        <w:t>i</w:t>
      </w:r>
      <w:r w:rsidR="00E901D7" w:rsidRPr="004F50AE">
        <w:t xml:space="preserve">nternational </w:t>
      </w:r>
      <w:r w:rsidR="00DA2252">
        <w:t>w</w:t>
      </w:r>
      <w:r w:rsidR="00E901D7" w:rsidRPr="004F50AE">
        <w:t>aters focal area to the implementation of the Framework and to extend th</w:t>
      </w:r>
      <w:r w:rsidR="00CC383E">
        <w:t>at</w:t>
      </w:r>
      <w:r w:rsidR="00E901D7" w:rsidRPr="004F50AE">
        <w:t xml:space="preserve"> practice to other focal areas, including climate change, land degradation</w:t>
      </w:r>
      <w:r w:rsidR="00E901D7" w:rsidRPr="000B1539">
        <w:t>, and</w:t>
      </w:r>
      <w:r w:rsidR="00E901D7" w:rsidRPr="004F50AE">
        <w:t xml:space="preserve"> chemicals and waste</w:t>
      </w:r>
      <w:r w:rsidR="00342A08" w:rsidRPr="004F50AE">
        <w:t>, in line with different national circumstances and priorities</w:t>
      </w:r>
      <w:r w:rsidR="00E901D7" w:rsidRPr="004F50AE">
        <w:t>;</w:t>
      </w:r>
    </w:p>
    <w:p w14:paraId="7A26E7D6" w14:textId="13E76EC8" w:rsidR="00855508" w:rsidRPr="00D053E3" w:rsidRDefault="00FB548C" w:rsidP="007D0422">
      <w:pPr>
        <w:pStyle w:val="Para1"/>
        <w:numPr>
          <w:ilvl w:val="0"/>
          <w:numId w:val="0"/>
        </w:numPr>
        <w:tabs>
          <w:tab w:val="clear" w:pos="1134"/>
          <w:tab w:val="left" w:pos="2268"/>
        </w:tabs>
        <w:ind w:left="1134" w:firstLine="567"/>
      </w:pPr>
      <w:r w:rsidRPr="004F50AE">
        <w:t>8.</w:t>
      </w:r>
      <w:r w:rsidRPr="004F50AE">
        <w:tab/>
      </w:r>
      <w:r w:rsidR="00AE1BEF" w:rsidRPr="004F50AE">
        <w:rPr>
          <w:i/>
          <w:iCs/>
        </w:rPr>
        <w:t>Invites</w:t>
      </w:r>
      <w:r w:rsidR="00AE1BEF" w:rsidRPr="004F50AE">
        <w:t xml:space="preserve"> all </w:t>
      </w:r>
      <w:proofErr w:type="gramStart"/>
      <w:r w:rsidR="00AE1BEF" w:rsidRPr="004F50AE">
        <w:t>Parties</w:t>
      </w:r>
      <w:r w:rsidR="00C7144A" w:rsidRPr="000B1539">
        <w:t>[</w:t>
      </w:r>
      <w:proofErr w:type="gramEnd"/>
      <w:r w:rsidR="00F27BE5" w:rsidRPr="000B1539">
        <w:t>,</w:t>
      </w:r>
      <w:r w:rsidR="00BD1CBD" w:rsidRPr="000B1539">
        <w:t xml:space="preserve"> in particular developed country Parties,</w:t>
      </w:r>
      <w:r w:rsidR="00C7144A" w:rsidRPr="000B1539">
        <w:t>]</w:t>
      </w:r>
      <w:r w:rsidR="00AE1BEF" w:rsidRPr="004F50AE">
        <w:t xml:space="preserve"> and other Governments that are in a position to do so to participate in the ninth replenishment of the </w:t>
      </w:r>
      <w:r w:rsidR="00AE1BEF" w:rsidRPr="000B1539">
        <w:t>Global Environment Facility</w:t>
      </w:r>
      <w:r w:rsidR="00AE1BEF" w:rsidRPr="004F50AE">
        <w:t xml:space="preserve"> </w:t>
      </w:r>
      <w:r w:rsidR="00AE1BEF" w:rsidRPr="000B1539">
        <w:t>Trust Fund</w:t>
      </w:r>
      <w:r w:rsidR="00AE1BEF" w:rsidRPr="004F50AE">
        <w:t xml:space="preserve"> to support eligible developing countries</w:t>
      </w:r>
      <w:r w:rsidR="00437BFE" w:rsidRPr="004F50AE">
        <w:t xml:space="preserve"> as well as countries with econo</w:t>
      </w:r>
      <w:r w:rsidR="007315CE" w:rsidRPr="004F50AE">
        <w:t>m</w:t>
      </w:r>
      <w:r w:rsidR="00437BFE" w:rsidRPr="004F50AE">
        <w:t>ies in transition</w:t>
      </w:r>
      <w:r w:rsidR="00C45BE5" w:rsidRPr="004F50AE">
        <w:t xml:space="preserve">, </w:t>
      </w:r>
      <w:r w:rsidR="009B1302" w:rsidRPr="004F50AE">
        <w:t>in particular the least developed countries</w:t>
      </w:r>
      <w:r w:rsidR="00C45BE5" w:rsidRPr="004F50AE">
        <w:t xml:space="preserve"> and </w:t>
      </w:r>
      <w:r w:rsidR="009B1302" w:rsidRPr="000B1539">
        <w:t>small island developing States</w:t>
      </w:r>
      <w:r w:rsidR="00AE1BEF" w:rsidRPr="004F50AE">
        <w:t>;</w:t>
      </w:r>
    </w:p>
    <w:p w14:paraId="52225EFA" w14:textId="2355EC24" w:rsidR="00395DAA" w:rsidRPr="00507728" w:rsidRDefault="00395DAA" w:rsidP="003D3F00">
      <w:pPr>
        <w:pStyle w:val="Para1"/>
        <w:numPr>
          <w:ilvl w:val="0"/>
          <w:numId w:val="0"/>
        </w:numPr>
        <w:tabs>
          <w:tab w:val="clear" w:pos="1134"/>
          <w:tab w:val="left" w:pos="2268"/>
        </w:tabs>
        <w:ind w:left="1134"/>
        <w:rPr>
          <w:b/>
          <w:bCs/>
        </w:rPr>
      </w:pPr>
      <w:r w:rsidRPr="00507728">
        <w:rPr>
          <w:b/>
          <w:bCs/>
        </w:rPr>
        <w:t>Global Biodiversity Framework Fund</w:t>
      </w:r>
    </w:p>
    <w:p w14:paraId="2B768C27" w14:textId="77777777" w:rsidR="00EC1A00" w:rsidRDefault="00CD4274" w:rsidP="00F83849">
      <w:pPr>
        <w:pStyle w:val="Para1"/>
        <w:numPr>
          <w:ilvl w:val="0"/>
          <w:numId w:val="0"/>
        </w:numPr>
        <w:tabs>
          <w:tab w:val="clear" w:pos="1134"/>
          <w:tab w:val="left" w:pos="2268"/>
        </w:tabs>
        <w:ind w:left="1134" w:firstLine="567"/>
      </w:pPr>
      <w:r w:rsidRPr="000B1539">
        <w:t>[</w:t>
      </w:r>
      <w:r w:rsidR="00F94C90" w:rsidRPr="000B1539">
        <w:t>9</w:t>
      </w:r>
      <w:r w:rsidR="00833BC6" w:rsidRPr="000B1539">
        <w:t>.</w:t>
      </w:r>
      <w:r w:rsidR="00833BC6" w:rsidRPr="000B1539">
        <w:tab/>
      </w:r>
      <w:r w:rsidR="00395DAA" w:rsidRPr="000B1539">
        <w:rPr>
          <w:i/>
          <w:iCs/>
        </w:rPr>
        <w:t xml:space="preserve">Expresses its appreciation </w:t>
      </w:r>
      <w:r w:rsidR="00395DAA" w:rsidRPr="000B1539">
        <w:t xml:space="preserve">to the Global Environment Facility for </w:t>
      </w:r>
      <w:r w:rsidR="00861D68" w:rsidRPr="000B1539">
        <w:t xml:space="preserve">the </w:t>
      </w:r>
      <w:r w:rsidR="00365975" w:rsidRPr="000B1539">
        <w:t>[</w:t>
      </w:r>
      <w:r w:rsidR="0024284B" w:rsidRPr="000B1539">
        <w:t xml:space="preserve">progress made in </w:t>
      </w:r>
      <w:r w:rsidR="00365975" w:rsidRPr="000B1539">
        <w:t>the]</w:t>
      </w:r>
      <w:r w:rsidR="00365975" w:rsidRPr="004F50AE">
        <w:t xml:space="preserve"> </w:t>
      </w:r>
      <w:r w:rsidR="00365975" w:rsidRPr="000B1539">
        <w:t>[</w:t>
      </w:r>
      <w:r w:rsidR="00395DAA" w:rsidRPr="000B1539">
        <w:t>timely</w:t>
      </w:r>
      <w:r w:rsidR="00365975" w:rsidRPr="000B1539">
        <w:t>]</w:t>
      </w:r>
      <w:r w:rsidR="00395DAA" w:rsidRPr="004F50AE">
        <w:t xml:space="preserve"> establishment and operationalization of the Global Biodiversity Framework Fund</w:t>
      </w:r>
      <w:r w:rsidR="00A94552" w:rsidRPr="004F50AE">
        <w:t>;</w:t>
      </w:r>
    </w:p>
    <w:p w14:paraId="31950A32" w14:textId="77777777" w:rsidR="00EC1A00" w:rsidRPr="004210D1" w:rsidRDefault="005375CB" w:rsidP="00F83849">
      <w:pPr>
        <w:pStyle w:val="Para1"/>
        <w:numPr>
          <w:ilvl w:val="0"/>
          <w:numId w:val="0"/>
        </w:numPr>
        <w:tabs>
          <w:tab w:val="clear" w:pos="1134"/>
          <w:tab w:val="left" w:pos="2268"/>
        </w:tabs>
        <w:ind w:left="1134" w:firstLine="567"/>
      </w:pPr>
      <w:r w:rsidRPr="00F1568A">
        <w:t>10.</w:t>
      </w:r>
      <w:r w:rsidRPr="00507728">
        <w:rPr>
          <w:i/>
          <w:iCs/>
        </w:rPr>
        <w:tab/>
      </w:r>
      <w:r w:rsidR="00A94552" w:rsidRPr="00507728">
        <w:rPr>
          <w:i/>
          <w:iCs/>
        </w:rPr>
        <w:t>R</w:t>
      </w:r>
      <w:r w:rsidR="00306337" w:rsidRPr="00507728">
        <w:rPr>
          <w:i/>
          <w:iCs/>
        </w:rPr>
        <w:t xml:space="preserve">egrets </w:t>
      </w:r>
      <w:r w:rsidR="00306337" w:rsidRPr="00507728">
        <w:t xml:space="preserve">that </w:t>
      </w:r>
      <w:r w:rsidR="00A94552" w:rsidRPr="00507728">
        <w:t>the</w:t>
      </w:r>
      <w:r w:rsidR="00306337" w:rsidRPr="00507728">
        <w:t xml:space="preserve"> </w:t>
      </w:r>
      <w:bookmarkStart w:id="2" w:name="_Hlk167448182"/>
      <w:r w:rsidR="00306337" w:rsidRPr="00507728">
        <w:t xml:space="preserve">Council </w:t>
      </w:r>
      <w:r w:rsidR="00A94552" w:rsidRPr="00507728">
        <w:t xml:space="preserve">of the </w:t>
      </w:r>
      <w:r w:rsidR="00A94552" w:rsidRPr="004210D1">
        <w:t xml:space="preserve">Global Biodiversity Framework </w:t>
      </w:r>
      <w:r w:rsidR="00A94552" w:rsidRPr="000B1539">
        <w:t xml:space="preserve">Fund </w:t>
      </w:r>
      <w:bookmarkEnd w:id="2"/>
      <w:r w:rsidR="00EB4478" w:rsidRPr="004210D1">
        <w:t xml:space="preserve">did </w:t>
      </w:r>
      <w:r w:rsidR="00306337" w:rsidRPr="004210D1">
        <w:t xml:space="preserve">not adopt terms of reference for the auxiliary body and </w:t>
      </w:r>
      <w:r w:rsidR="00EB4478" w:rsidRPr="004210D1">
        <w:t xml:space="preserve">the </w:t>
      </w:r>
      <w:r w:rsidR="00306337" w:rsidRPr="004210D1">
        <w:t>advisory group</w:t>
      </w:r>
      <w:r w:rsidR="00EB4478" w:rsidRPr="004210D1">
        <w:t xml:space="preserve"> at its first meeting</w:t>
      </w:r>
      <w:r w:rsidR="00395DAA" w:rsidRPr="004210D1">
        <w:t>;</w:t>
      </w:r>
      <w:r w:rsidR="00A94552" w:rsidRPr="004210D1">
        <w:rPr>
          <w:rStyle w:val="FootnoteReference"/>
        </w:rPr>
        <w:footnoteReference w:id="19"/>
      </w:r>
      <w:r w:rsidR="00D76E3B" w:rsidRPr="004210D1">
        <w:t>]</w:t>
      </w:r>
    </w:p>
    <w:p w14:paraId="5D371D60" w14:textId="4AA00325" w:rsidR="00720759" w:rsidRPr="004210D1" w:rsidRDefault="00CA6EDB" w:rsidP="00805787">
      <w:pPr>
        <w:pStyle w:val="Para1"/>
        <w:numPr>
          <w:ilvl w:val="0"/>
          <w:numId w:val="0"/>
        </w:numPr>
        <w:tabs>
          <w:tab w:val="clear" w:pos="1134"/>
          <w:tab w:val="left" w:pos="2268"/>
        </w:tabs>
        <w:ind w:left="1134" w:firstLine="567"/>
      </w:pPr>
      <w:r w:rsidRPr="000B1539">
        <w:t>[</w:t>
      </w:r>
      <w:r w:rsidR="00F94C90" w:rsidRPr="000B1539">
        <w:t>1</w:t>
      </w:r>
      <w:r w:rsidR="005375CB" w:rsidRPr="000B1539">
        <w:t>1</w:t>
      </w:r>
      <w:r w:rsidR="00833BC6" w:rsidRPr="000B1539">
        <w:t>.</w:t>
      </w:r>
      <w:r w:rsidR="00833BC6" w:rsidRPr="000B1539">
        <w:tab/>
      </w:r>
      <w:r w:rsidR="00395DAA" w:rsidRPr="000B1539">
        <w:rPr>
          <w:i/>
          <w:iCs/>
        </w:rPr>
        <w:t xml:space="preserve">Notes with appreciation </w:t>
      </w:r>
      <w:r w:rsidR="00395DAA" w:rsidRPr="000B1539">
        <w:t xml:space="preserve">the contributions made to the capitalization of the Global Biodiversity Framework Fund by several donor countries, </w:t>
      </w:r>
      <w:r w:rsidR="00844A10" w:rsidRPr="000B1539">
        <w:t xml:space="preserve">namely, </w:t>
      </w:r>
      <w:r w:rsidR="00395DAA" w:rsidRPr="000B1539">
        <w:t xml:space="preserve">Canada, Germany, Japan, Luxembourg, Spain and the United Kingdom of Great Britain and </w:t>
      </w:r>
      <w:r w:rsidR="00395DAA" w:rsidRPr="004210D1">
        <w:t>Norther</w:t>
      </w:r>
      <w:r w:rsidR="00B077E7" w:rsidRPr="004210D1">
        <w:t>n</w:t>
      </w:r>
      <w:r w:rsidR="00395DAA" w:rsidRPr="004210D1">
        <w:t xml:space="preserve"> Ireland</w:t>
      </w:r>
      <w:r w:rsidR="00102FD9" w:rsidRPr="000B1539">
        <w:t xml:space="preserve">, which amount to </w:t>
      </w:r>
      <w:r w:rsidR="00F46CCE" w:rsidRPr="000B1539">
        <w:t>[</w:t>
      </w:r>
      <w:r w:rsidR="008654CE" w:rsidRPr="000B1539">
        <w:t>about 23</w:t>
      </w:r>
      <w:r w:rsidR="007D1142">
        <w:t>1</w:t>
      </w:r>
      <w:r w:rsidR="001D716C">
        <w:t>.0</w:t>
      </w:r>
      <w:r w:rsidR="00B96C5A" w:rsidRPr="000B1539">
        <w:t xml:space="preserve"> million </w:t>
      </w:r>
      <w:r w:rsidR="00957F8D" w:rsidRPr="000B1539">
        <w:t>United States dollars</w:t>
      </w:r>
      <w:r w:rsidR="00395DAA" w:rsidRPr="000B1539">
        <w:t>;</w:t>
      </w:r>
      <w:r w:rsidR="00805787" w:rsidRPr="000B1539">
        <w:rPr>
          <w:vertAlign w:val="superscript"/>
        </w:rPr>
        <w:footnoteReference w:id="20"/>
      </w:r>
      <w:r w:rsidR="00B16DCE">
        <w:rPr>
          <w:rFonts w:eastAsia="Raleway" w:cs="Raleway"/>
          <w:color w:val="000000" w:themeColor="text1"/>
          <w:vertAlign w:val="superscript"/>
        </w:rPr>
        <w:t>,</w:t>
      </w:r>
      <w:r w:rsidR="000D6CCC" w:rsidRPr="000B1539">
        <w:rPr>
          <w:rStyle w:val="FootnoteReference"/>
        </w:rPr>
        <w:footnoteReference w:id="21"/>
      </w:r>
      <w:r w:rsidR="006E2887" w:rsidRPr="000B1539">
        <w:t>]</w:t>
      </w:r>
      <w:r w:rsidR="00F83849" w:rsidRPr="004210D1">
        <w:t>]</w:t>
      </w:r>
    </w:p>
    <w:p w14:paraId="353323A8" w14:textId="2122445E" w:rsidR="00EC1A00" w:rsidRDefault="00833BC6" w:rsidP="00A729F2">
      <w:pPr>
        <w:pStyle w:val="Para1"/>
        <w:numPr>
          <w:ilvl w:val="0"/>
          <w:numId w:val="0"/>
        </w:numPr>
        <w:tabs>
          <w:tab w:val="clear" w:pos="1134"/>
          <w:tab w:val="left" w:pos="2268"/>
        </w:tabs>
        <w:ind w:left="1134" w:firstLine="567"/>
      </w:pPr>
      <w:r w:rsidRPr="004210D1">
        <w:t>1</w:t>
      </w:r>
      <w:r w:rsidR="005375CB" w:rsidRPr="004210D1">
        <w:t>2</w:t>
      </w:r>
      <w:r w:rsidRPr="004210D1">
        <w:t>.</w:t>
      </w:r>
      <w:r w:rsidRPr="004210D1">
        <w:tab/>
      </w:r>
      <w:r w:rsidR="004D1647" w:rsidRPr="004210D1">
        <w:rPr>
          <w:i/>
          <w:iCs/>
        </w:rPr>
        <w:t>Invites</w:t>
      </w:r>
      <w:r w:rsidR="00395DAA" w:rsidRPr="004210D1">
        <w:t xml:space="preserve"> </w:t>
      </w:r>
      <w:r w:rsidR="00C563EF" w:rsidRPr="000B1539">
        <w:t>[</w:t>
      </w:r>
      <w:r w:rsidR="00395DAA" w:rsidRPr="000B1539">
        <w:t xml:space="preserve">all </w:t>
      </w:r>
      <w:r w:rsidR="008B7506" w:rsidRPr="000B1539">
        <w:t xml:space="preserve">Parties, in particular </w:t>
      </w:r>
      <w:r w:rsidR="00A24FB6" w:rsidRPr="000B1539">
        <w:t xml:space="preserve">developed country </w:t>
      </w:r>
      <w:r w:rsidR="00395DAA" w:rsidRPr="000B1539">
        <w:t>Parties</w:t>
      </w:r>
      <w:r w:rsidR="00DE5EB0" w:rsidRPr="000B1539">
        <w:t>]</w:t>
      </w:r>
      <w:r w:rsidR="00395DAA" w:rsidRPr="00507728">
        <w:t xml:space="preserve"> and other Governments that </w:t>
      </w:r>
      <w:r w:rsidR="00B077E7" w:rsidRPr="00507728">
        <w:t xml:space="preserve">are </w:t>
      </w:r>
      <w:r w:rsidR="00395DAA" w:rsidRPr="00507728">
        <w:t xml:space="preserve">in a position to do so, </w:t>
      </w:r>
      <w:r w:rsidR="00340813" w:rsidRPr="00507728">
        <w:t xml:space="preserve">as well as </w:t>
      </w:r>
      <w:r w:rsidR="00D9516E" w:rsidRPr="00507728">
        <w:t xml:space="preserve">the private </w:t>
      </w:r>
      <w:r w:rsidR="00D35A12">
        <w:t xml:space="preserve">and financial </w:t>
      </w:r>
      <w:r w:rsidR="00D9516E" w:rsidRPr="00507728">
        <w:t>sector</w:t>
      </w:r>
      <w:r w:rsidR="00D816B4">
        <w:t>s</w:t>
      </w:r>
      <w:r w:rsidR="00296B1B" w:rsidRPr="00507728">
        <w:t xml:space="preserve"> and </w:t>
      </w:r>
      <w:r w:rsidR="00A05E5E" w:rsidRPr="00507728">
        <w:t xml:space="preserve">philanthropic </w:t>
      </w:r>
      <w:r w:rsidR="00A05E5E" w:rsidRPr="004210D1">
        <w:t>organizations</w:t>
      </w:r>
      <w:r w:rsidR="00340813" w:rsidRPr="004210D1">
        <w:t>,</w:t>
      </w:r>
      <w:r w:rsidR="00296B1B" w:rsidRPr="004210D1">
        <w:t xml:space="preserve"> </w:t>
      </w:r>
      <w:r w:rsidR="00296B1B" w:rsidRPr="000B1539">
        <w:t xml:space="preserve">non-governmental </w:t>
      </w:r>
      <w:r w:rsidR="00A05E5E" w:rsidRPr="000B1539">
        <w:t>organization</w:t>
      </w:r>
      <w:r w:rsidR="00A05E5E" w:rsidRPr="004210D1">
        <w:t>s</w:t>
      </w:r>
      <w:r w:rsidR="00296B1B" w:rsidRPr="004210D1">
        <w:t xml:space="preserve"> and non-sovereign entities </w:t>
      </w:r>
      <w:r w:rsidR="00A05E5E" w:rsidRPr="004210D1">
        <w:t xml:space="preserve">and other </w:t>
      </w:r>
      <w:r w:rsidR="00340813" w:rsidRPr="004210D1">
        <w:t xml:space="preserve">stakeholders, </w:t>
      </w:r>
      <w:r w:rsidR="00395DAA" w:rsidRPr="004210D1">
        <w:t xml:space="preserve">to make </w:t>
      </w:r>
      <w:r w:rsidR="00E031C7" w:rsidRPr="004210D1">
        <w:t xml:space="preserve">contributions or </w:t>
      </w:r>
      <w:r w:rsidR="00395DAA" w:rsidRPr="004210D1">
        <w:t xml:space="preserve">further contributions to the Global Biodiversity Framework </w:t>
      </w:r>
      <w:r w:rsidR="00395DAA" w:rsidRPr="000B1539">
        <w:t xml:space="preserve">Fund </w:t>
      </w:r>
      <w:r w:rsidR="00395DAA" w:rsidRPr="004210D1">
        <w:t xml:space="preserve">in order </w:t>
      </w:r>
      <w:r w:rsidR="001263B0">
        <w:t>for it</w:t>
      </w:r>
      <w:r w:rsidR="00ED2156">
        <w:t xml:space="preserve"> </w:t>
      </w:r>
      <w:r w:rsidR="00395DAA" w:rsidRPr="004210D1">
        <w:t>to</w:t>
      </w:r>
      <w:r w:rsidR="001A6C59" w:rsidRPr="004210D1">
        <w:t xml:space="preserve"> continu</w:t>
      </w:r>
      <w:r w:rsidR="00ED2156">
        <w:t>e</w:t>
      </w:r>
      <w:r w:rsidR="00395DAA" w:rsidRPr="004210D1">
        <w:t xml:space="preserve"> its </w:t>
      </w:r>
      <w:r w:rsidR="00E031C7" w:rsidRPr="004210D1">
        <w:t xml:space="preserve">rapid </w:t>
      </w:r>
      <w:r w:rsidR="00395DAA" w:rsidRPr="004210D1">
        <w:t xml:space="preserve">capitalization </w:t>
      </w:r>
      <w:r w:rsidR="005C6662" w:rsidRPr="004210D1">
        <w:t xml:space="preserve">to support the implementation of the Framework, to complement existing support and </w:t>
      </w:r>
      <w:r w:rsidR="00A75E3A">
        <w:t xml:space="preserve">to </w:t>
      </w:r>
      <w:r w:rsidR="005C6662" w:rsidRPr="004210D1">
        <w:t>scale</w:t>
      </w:r>
      <w:r w:rsidR="005C6662" w:rsidRPr="00D053E3">
        <w:t xml:space="preserve"> up financing to ensure </w:t>
      </w:r>
      <w:r w:rsidR="00A75E3A">
        <w:t>the</w:t>
      </w:r>
      <w:r w:rsidR="006B27D8">
        <w:t xml:space="preserve"> </w:t>
      </w:r>
      <w:r w:rsidR="005C6662" w:rsidRPr="00D053E3">
        <w:t>timely implementation</w:t>
      </w:r>
      <w:r w:rsidR="006B27D8">
        <w:t xml:space="preserve"> of the Framework</w:t>
      </w:r>
      <w:r w:rsidR="005C6662" w:rsidRPr="00D053E3">
        <w:t>, taking into account the need for adequacy, predictability</w:t>
      </w:r>
      <w:r w:rsidR="005C6662" w:rsidRPr="00F1568A">
        <w:t xml:space="preserve"> and</w:t>
      </w:r>
      <w:r w:rsidR="005C6662" w:rsidRPr="00D053E3">
        <w:t xml:space="preserve"> </w:t>
      </w:r>
      <w:r w:rsidR="009440B0">
        <w:t xml:space="preserve">the </w:t>
      </w:r>
      <w:r w:rsidR="005C6662" w:rsidRPr="00D053E3">
        <w:t xml:space="preserve">timely flow </w:t>
      </w:r>
      <w:r w:rsidR="005C6662" w:rsidRPr="008D0550">
        <w:t>of funds</w:t>
      </w:r>
      <w:r w:rsidR="00080F3E" w:rsidRPr="008D0550">
        <w:t xml:space="preserve">, </w:t>
      </w:r>
      <w:r w:rsidR="00DE5EB0" w:rsidRPr="000B1539">
        <w:t>[</w:t>
      </w:r>
      <w:r w:rsidR="00B77470" w:rsidRPr="000B1539">
        <w:t xml:space="preserve">commensurate with </w:t>
      </w:r>
      <w:r w:rsidR="00993497" w:rsidRPr="000B1539">
        <w:t xml:space="preserve">the quantitative ambition set in </w:t>
      </w:r>
      <w:r w:rsidR="00B77470" w:rsidRPr="000B1539">
        <w:t>Target 19</w:t>
      </w:r>
      <w:r w:rsidR="00DE5EB0" w:rsidRPr="000B1539">
        <w:t>]</w:t>
      </w:r>
      <w:r w:rsidR="00395DAA" w:rsidRPr="008D0550">
        <w:t>;</w:t>
      </w:r>
    </w:p>
    <w:p w14:paraId="7BBA5F46" w14:textId="61E326BA" w:rsidR="00EC1A00" w:rsidRPr="000B1539" w:rsidRDefault="00AF2947" w:rsidP="00A729F2">
      <w:pPr>
        <w:pStyle w:val="Para1"/>
        <w:numPr>
          <w:ilvl w:val="0"/>
          <w:numId w:val="0"/>
        </w:numPr>
        <w:tabs>
          <w:tab w:val="clear" w:pos="1134"/>
          <w:tab w:val="left" w:pos="2268"/>
        </w:tabs>
        <w:ind w:left="1134" w:firstLine="567"/>
      </w:pPr>
      <w:r w:rsidRPr="000B1539">
        <w:t>[</w:t>
      </w:r>
      <w:r w:rsidR="00F94C90" w:rsidRPr="000B1539">
        <w:t>1</w:t>
      </w:r>
      <w:r w:rsidR="005375CB" w:rsidRPr="000B1539">
        <w:t>3</w:t>
      </w:r>
      <w:r w:rsidR="00F94C90" w:rsidRPr="000B1539">
        <w:t>.</w:t>
      </w:r>
      <w:r w:rsidR="00F94C90" w:rsidRPr="000B1539">
        <w:tab/>
      </w:r>
      <w:r w:rsidR="00620300" w:rsidRPr="000B1539">
        <w:rPr>
          <w:i/>
          <w:iCs/>
        </w:rPr>
        <w:t>Urges</w:t>
      </w:r>
      <w:r w:rsidR="00620300" w:rsidRPr="000B1539">
        <w:t xml:space="preserve"> the </w:t>
      </w:r>
      <w:r w:rsidR="009440B0" w:rsidRPr="000B1539">
        <w:t xml:space="preserve">Secretariat of the </w:t>
      </w:r>
      <w:r w:rsidR="00620300" w:rsidRPr="000B1539">
        <w:t>G</w:t>
      </w:r>
      <w:r w:rsidR="008D7FE5" w:rsidRPr="000B1539">
        <w:t xml:space="preserve">lobal </w:t>
      </w:r>
      <w:r w:rsidR="00620300" w:rsidRPr="000B1539">
        <w:t>E</w:t>
      </w:r>
      <w:r w:rsidR="008D7FE5" w:rsidRPr="000B1539">
        <w:t xml:space="preserve">nvironment </w:t>
      </w:r>
      <w:r w:rsidR="00620300" w:rsidRPr="000B1539">
        <w:t>F</w:t>
      </w:r>
      <w:r w:rsidR="008D7FE5" w:rsidRPr="000B1539">
        <w:t>acility</w:t>
      </w:r>
      <w:r w:rsidR="00620300" w:rsidRPr="000B1539">
        <w:t xml:space="preserve"> to </w:t>
      </w:r>
      <w:r w:rsidR="00E213E8" w:rsidRPr="000B1539">
        <w:t>continue to</w:t>
      </w:r>
      <w:r w:rsidR="007834C3" w:rsidRPr="000B1539">
        <w:t xml:space="preserve"> </w:t>
      </w:r>
      <w:r w:rsidR="00620300" w:rsidRPr="000B1539">
        <w:t>strengthen</w:t>
      </w:r>
      <w:r w:rsidR="00E213E8" w:rsidRPr="000B1539">
        <w:t xml:space="preserve"> </w:t>
      </w:r>
      <w:r w:rsidR="00620300" w:rsidRPr="000B1539">
        <w:t xml:space="preserve">its resource mobilization efforts, including </w:t>
      </w:r>
      <w:r w:rsidR="001C0DF5">
        <w:t xml:space="preserve">efforts directed </w:t>
      </w:r>
      <w:r w:rsidR="00620300" w:rsidRPr="000B1539">
        <w:t>towards new contributors, in accordance with funding needs identified through the assessment refer</w:t>
      </w:r>
      <w:r w:rsidR="0063589E" w:rsidRPr="000B1539">
        <w:t>r</w:t>
      </w:r>
      <w:r w:rsidR="00620300" w:rsidRPr="000B1539">
        <w:t>e</w:t>
      </w:r>
      <w:r w:rsidR="0063589E" w:rsidRPr="000B1539">
        <w:t xml:space="preserve">d to </w:t>
      </w:r>
      <w:r w:rsidR="00620300" w:rsidRPr="000B1539">
        <w:t>in</w:t>
      </w:r>
      <w:r w:rsidR="00620300" w:rsidRPr="005A3D7A">
        <w:t xml:space="preserve"> para</w:t>
      </w:r>
      <w:r w:rsidR="000B5736" w:rsidRPr="005A3D7A">
        <w:t>graph</w:t>
      </w:r>
      <w:r w:rsidR="00620300" w:rsidRPr="005A3D7A">
        <w:t xml:space="preserve"> </w:t>
      </w:r>
      <w:r w:rsidR="00A05E5E" w:rsidRPr="005A3D7A">
        <w:t>2</w:t>
      </w:r>
      <w:r w:rsidR="008C4501" w:rsidRPr="005A3D7A">
        <w:t>0</w:t>
      </w:r>
      <w:r w:rsidR="00620300" w:rsidRPr="005A3D7A">
        <w:t xml:space="preserve"> b</w:t>
      </w:r>
      <w:r w:rsidR="00620300" w:rsidRPr="000B1539">
        <w:t>elow</w:t>
      </w:r>
      <w:r w:rsidR="008F3D68" w:rsidRPr="000B1539">
        <w:t>;</w:t>
      </w:r>
      <w:r w:rsidRPr="000B1539">
        <w:t>]</w:t>
      </w:r>
    </w:p>
    <w:p w14:paraId="38A1377A" w14:textId="3AA57C20" w:rsidR="00AA6A3F" w:rsidRPr="00E209FD" w:rsidRDefault="00A96B89" w:rsidP="00A729F2">
      <w:pPr>
        <w:pStyle w:val="Para1"/>
        <w:numPr>
          <w:ilvl w:val="0"/>
          <w:numId w:val="0"/>
        </w:numPr>
        <w:tabs>
          <w:tab w:val="clear" w:pos="1134"/>
          <w:tab w:val="left" w:pos="2268"/>
        </w:tabs>
        <w:ind w:left="1134" w:firstLine="567"/>
      </w:pPr>
      <w:r w:rsidRPr="00D053E3">
        <w:t>1</w:t>
      </w:r>
      <w:r w:rsidR="005375CB" w:rsidRPr="00D053E3">
        <w:t>4</w:t>
      </w:r>
      <w:r w:rsidRPr="00D053E3">
        <w:t>.</w:t>
      </w:r>
      <w:r w:rsidRPr="00D053E3">
        <w:tab/>
      </w:r>
      <w:r w:rsidR="00AA6A3F" w:rsidRPr="00E209FD">
        <w:rPr>
          <w:i/>
          <w:iCs/>
        </w:rPr>
        <w:t>Welcomes</w:t>
      </w:r>
      <w:r w:rsidR="00375C50" w:rsidRPr="00E209FD">
        <w:t xml:space="preserve"> the aspirational programming share of 20</w:t>
      </w:r>
      <w:r w:rsidR="008C4501" w:rsidRPr="00E209FD">
        <w:t xml:space="preserve"> per cent</w:t>
      </w:r>
      <w:r w:rsidR="00375C50" w:rsidRPr="00E209FD">
        <w:t xml:space="preserve"> by 2030 from the total amount of resources allocated under the G</w:t>
      </w:r>
      <w:r w:rsidR="008D7FE5" w:rsidRPr="00E209FD">
        <w:t xml:space="preserve">lobal </w:t>
      </w:r>
      <w:r w:rsidR="00375C50" w:rsidRPr="00E209FD">
        <w:t>B</w:t>
      </w:r>
      <w:r w:rsidR="008D7FE5" w:rsidRPr="00E209FD">
        <w:t xml:space="preserve">iodiversity </w:t>
      </w:r>
      <w:r w:rsidR="00375C50" w:rsidRPr="00E209FD">
        <w:t>F</w:t>
      </w:r>
      <w:r w:rsidR="008D7FE5" w:rsidRPr="00E209FD">
        <w:t xml:space="preserve">ramework </w:t>
      </w:r>
      <w:r w:rsidR="00375C50" w:rsidRPr="000B1539">
        <w:t>F</w:t>
      </w:r>
      <w:r w:rsidR="008D7FE5" w:rsidRPr="000B1539">
        <w:t>und</w:t>
      </w:r>
      <w:r w:rsidR="00375C50" w:rsidRPr="000B1539">
        <w:t xml:space="preserve"> </w:t>
      </w:r>
      <w:r w:rsidR="00375C50" w:rsidRPr="00E209FD">
        <w:t xml:space="preserve">to support actions by </w:t>
      </w:r>
      <w:r w:rsidR="00375C50" w:rsidRPr="000B1539">
        <w:t>indigenous people</w:t>
      </w:r>
      <w:r w:rsidR="00375C50" w:rsidRPr="00E209FD">
        <w:t>s and local communities</w:t>
      </w:r>
      <w:r w:rsidR="00375C50" w:rsidRPr="000B1539">
        <w:t xml:space="preserve"> and</w:t>
      </w:r>
      <w:r w:rsidR="00375C50" w:rsidRPr="00E209FD">
        <w:t xml:space="preserve"> urges the </w:t>
      </w:r>
      <w:r w:rsidR="00CC4A4E" w:rsidRPr="000B1539">
        <w:t>G</w:t>
      </w:r>
      <w:r w:rsidR="008D7FE5" w:rsidRPr="000B1539">
        <w:t>lobal Environment Facility</w:t>
      </w:r>
      <w:r w:rsidR="00375C50" w:rsidRPr="00E209FD">
        <w:t xml:space="preserve"> to </w:t>
      </w:r>
      <w:r w:rsidR="0054345F" w:rsidRPr="00E209FD">
        <w:t xml:space="preserve">ensure </w:t>
      </w:r>
      <w:r w:rsidR="00A240E2" w:rsidRPr="00E209FD">
        <w:t xml:space="preserve">that </w:t>
      </w:r>
      <w:r w:rsidR="0054345F" w:rsidRPr="00E209FD">
        <w:t>country-driven projects contributin</w:t>
      </w:r>
      <w:r w:rsidR="00A240E2" w:rsidRPr="00E209FD">
        <w:t>g</w:t>
      </w:r>
      <w:r w:rsidR="0054345F" w:rsidRPr="00E209FD">
        <w:t xml:space="preserve"> to th</w:t>
      </w:r>
      <w:r w:rsidR="00EE4923" w:rsidRPr="00E209FD">
        <w:t>at</w:t>
      </w:r>
      <w:r w:rsidR="0054345F" w:rsidRPr="00E209FD">
        <w:t xml:space="preserve"> </w:t>
      </w:r>
      <w:r w:rsidR="009A4298" w:rsidRPr="00E209FD">
        <w:t xml:space="preserve">target are </w:t>
      </w:r>
      <w:r w:rsidR="00375C50" w:rsidRPr="00E209FD">
        <w:t>design</w:t>
      </w:r>
      <w:r w:rsidR="009A4298" w:rsidRPr="00E209FD">
        <w:t>ed and implemented</w:t>
      </w:r>
      <w:r w:rsidR="00375C50" w:rsidRPr="00E209FD">
        <w:t xml:space="preserve"> in consultation and partnership with </w:t>
      </w:r>
      <w:r w:rsidR="00375C50" w:rsidRPr="000B1539">
        <w:t>indigenous people</w:t>
      </w:r>
      <w:r w:rsidR="00375C50" w:rsidRPr="00E209FD">
        <w:t>s and local communities;</w:t>
      </w:r>
    </w:p>
    <w:p w14:paraId="58C8DD5F" w14:textId="7997B761" w:rsidR="00155876" w:rsidRPr="000B1539" w:rsidRDefault="00DC0E29" w:rsidP="00EC1A00">
      <w:pPr>
        <w:pStyle w:val="Para1"/>
        <w:numPr>
          <w:ilvl w:val="0"/>
          <w:numId w:val="0"/>
        </w:numPr>
        <w:tabs>
          <w:tab w:val="clear" w:pos="1134"/>
          <w:tab w:val="left" w:pos="2268"/>
        </w:tabs>
        <w:ind w:left="1134" w:firstLine="567"/>
      </w:pPr>
      <w:r w:rsidRPr="000B1539">
        <w:t>[</w:t>
      </w:r>
      <w:r w:rsidR="00833BC6" w:rsidRPr="000B1539">
        <w:t>1</w:t>
      </w:r>
      <w:r w:rsidR="005375CB" w:rsidRPr="000B1539">
        <w:t>5</w:t>
      </w:r>
      <w:r w:rsidR="00833BC6" w:rsidRPr="000B1539">
        <w:t>.</w:t>
      </w:r>
      <w:r w:rsidR="00833BC6" w:rsidRPr="000B1539">
        <w:tab/>
      </w:r>
      <w:r w:rsidR="00395DAA" w:rsidRPr="000B1539">
        <w:rPr>
          <w:i/>
          <w:iCs/>
        </w:rPr>
        <w:t>Emphasi</w:t>
      </w:r>
      <w:r w:rsidR="000C7FC7" w:rsidRPr="000B1539">
        <w:rPr>
          <w:i/>
          <w:iCs/>
        </w:rPr>
        <w:t>z</w:t>
      </w:r>
      <w:r w:rsidR="00395DAA" w:rsidRPr="000B1539">
        <w:rPr>
          <w:i/>
          <w:iCs/>
        </w:rPr>
        <w:t>es</w:t>
      </w:r>
      <w:r w:rsidR="00395DAA" w:rsidRPr="000B1539">
        <w:t xml:space="preserve"> that guidance from the Conference of the Parties in accordance with</w:t>
      </w:r>
      <w:r w:rsidR="00395DAA" w:rsidRPr="00E209FD">
        <w:t xml:space="preserve"> paragraph</w:t>
      </w:r>
      <w:r w:rsidR="00F27ED8" w:rsidRPr="00E209FD">
        <w:t>s</w:t>
      </w:r>
      <w:r w:rsidR="00395DAA" w:rsidRPr="00E209FD">
        <w:t xml:space="preserve"> 1 </w:t>
      </w:r>
      <w:r w:rsidR="00BA294C" w:rsidRPr="00E209FD">
        <w:t>and 3</w:t>
      </w:r>
      <w:r w:rsidR="00BA294C" w:rsidRPr="000B1539">
        <w:t xml:space="preserve"> </w:t>
      </w:r>
      <w:r w:rsidR="00395DAA" w:rsidRPr="000B1539">
        <w:t>of A</w:t>
      </w:r>
      <w:r w:rsidR="00395DAA" w:rsidRPr="00E209FD">
        <w:t>rticle 21 of</w:t>
      </w:r>
      <w:r w:rsidR="00395DAA" w:rsidRPr="000B1539">
        <w:t xml:space="preserve"> the Convention is applicable to the Global Biodiversity Framework Fund;</w:t>
      </w:r>
      <w:r w:rsidRPr="000B1539">
        <w:t>]</w:t>
      </w:r>
      <w:bookmarkStart w:id="3" w:name="_Hlk164296833"/>
    </w:p>
    <w:p w14:paraId="6C61D4E7" w14:textId="753F2868" w:rsidR="00FE541C" w:rsidRPr="00E209FD" w:rsidRDefault="00B640AF" w:rsidP="00155876">
      <w:pPr>
        <w:pStyle w:val="Para1"/>
        <w:numPr>
          <w:ilvl w:val="0"/>
          <w:numId w:val="0"/>
        </w:numPr>
        <w:tabs>
          <w:tab w:val="clear" w:pos="1134"/>
          <w:tab w:val="left" w:pos="2268"/>
        </w:tabs>
        <w:ind w:left="1134"/>
        <w:rPr>
          <w:b/>
          <w:bCs/>
        </w:rPr>
      </w:pPr>
      <w:r w:rsidRPr="00E209FD">
        <w:rPr>
          <w:b/>
          <w:bCs/>
        </w:rPr>
        <w:t xml:space="preserve">Four-year outcome-oriented framework of </w:t>
      </w:r>
      <w:r w:rsidR="00864993" w:rsidRPr="00864993">
        <w:rPr>
          <w:b/>
          <w:bCs/>
        </w:rPr>
        <w:t xml:space="preserve">biodiversity </w:t>
      </w:r>
      <w:r w:rsidRPr="00E209FD">
        <w:rPr>
          <w:b/>
          <w:bCs/>
        </w:rPr>
        <w:t>programme priorities</w:t>
      </w:r>
      <w:r w:rsidR="00864993" w:rsidRPr="00864993">
        <w:rPr>
          <w:lang w:val="en-US"/>
        </w:rPr>
        <w:t xml:space="preserve"> </w:t>
      </w:r>
      <w:r w:rsidR="00864993" w:rsidRPr="00864993">
        <w:rPr>
          <w:b/>
          <w:bCs/>
          <w:lang w:val="en-US"/>
        </w:rPr>
        <w:t>of the Convention on Biological Diversity and it</w:t>
      </w:r>
      <w:r w:rsidR="00CF71BC">
        <w:rPr>
          <w:b/>
          <w:bCs/>
          <w:lang w:val="en-US"/>
        </w:rPr>
        <w:t>s</w:t>
      </w:r>
      <w:r w:rsidR="00864993" w:rsidRPr="00864993">
        <w:rPr>
          <w:b/>
          <w:bCs/>
          <w:lang w:val="en-US"/>
        </w:rPr>
        <w:t xml:space="preserve"> Protocols</w:t>
      </w:r>
    </w:p>
    <w:p w14:paraId="34EBEF59" w14:textId="4C6309AF" w:rsidR="00155876" w:rsidRPr="000B1539" w:rsidRDefault="002925B0" w:rsidP="005677EF">
      <w:pPr>
        <w:pStyle w:val="Para1"/>
        <w:numPr>
          <w:ilvl w:val="0"/>
          <w:numId w:val="0"/>
        </w:numPr>
        <w:tabs>
          <w:tab w:val="clear" w:pos="1134"/>
          <w:tab w:val="left" w:pos="2268"/>
        </w:tabs>
        <w:ind w:left="1134" w:firstLine="567"/>
      </w:pPr>
      <w:r w:rsidRPr="000B1539">
        <w:t>[</w:t>
      </w:r>
      <w:r w:rsidR="00833BC6" w:rsidRPr="000B1539">
        <w:t>1</w:t>
      </w:r>
      <w:r w:rsidR="005375CB" w:rsidRPr="000B1539">
        <w:t>6</w:t>
      </w:r>
      <w:r w:rsidR="00833BC6" w:rsidRPr="000B1539">
        <w:t>.</w:t>
      </w:r>
      <w:r w:rsidR="00833BC6" w:rsidRPr="000B1539">
        <w:tab/>
      </w:r>
      <w:r w:rsidR="00821B7B" w:rsidRPr="000B1539">
        <w:rPr>
          <w:i/>
        </w:rPr>
        <w:t>Adopts</w:t>
      </w:r>
      <w:r w:rsidR="00821B7B" w:rsidRPr="000B1539">
        <w:t xml:space="preserve"> the </w:t>
      </w:r>
      <w:bookmarkStart w:id="4" w:name="_Hlk163216087"/>
      <w:r w:rsidR="00821B7B" w:rsidRPr="000B1539">
        <w:t>four-year outcome-oriented framework of biodiversity programm</w:t>
      </w:r>
      <w:r w:rsidR="006F5767">
        <w:t>e</w:t>
      </w:r>
      <w:r w:rsidR="00821B7B" w:rsidRPr="000B1539">
        <w:t xml:space="preserve"> priorities </w:t>
      </w:r>
      <w:r w:rsidR="008B5BF6" w:rsidRPr="008B5BF6">
        <w:rPr>
          <w:lang w:val="en-US"/>
        </w:rPr>
        <w:t xml:space="preserve">of the Convention on Biological Diversity </w:t>
      </w:r>
      <w:r w:rsidR="005B1F6A">
        <w:rPr>
          <w:lang w:val="en-US"/>
        </w:rPr>
        <w:t xml:space="preserve">and its Protocols </w:t>
      </w:r>
      <w:r w:rsidR="00821B7B" w:rsidRPr="000B1539">
        <w:t xml:space="preserve">for the ninth replenishment period </w:t>
      </w:r>
      <w:bookmarkEnd w:id="4"/>
      <w:r w:rsidR="00821B7B" w:rsidRPr="000B1539">
        <w:t>of the Global Environment Facility Trust Fund</w:t>
      </w:r>
      <w:r w:rsidR="00424608" w:rsidRPr="000B1539">
        <w:t xml:space="preserve"> (July 2026</w:t>
      </w:r>
      <w:r w:rsidR="00EF5EC0" w:rsidRPr="000B1539">
        <w:sym w:font="Symbol" w:char="F02D"/>
      </w:r>
      <w:r w:rsidR="00424608" w:rsidRPr="000B1539">
        <w:t>June 2030)</w:t>
      </w:r>
      <w:r w:rsidR="00821B7B" w:rsidRPr="000B1539">
        <w:t xml:space="preserve">, aligned with the Kunming-Montreal Global Biodiversity Framework, </w:t>
      </w:r>
      <w:r w:rsidR="00E4284B">
        <w:t xml:space="preserve">as </w:t>
      </w:r>
      <w:r w:rsidR="00821B7B" w:rsidRPr="000B1539">
        <w:t xml:space="preserve">contained in </w:t>
      </w:r>
      <w:r w:rsidR="00164756" w:rsidRPr="000B1539">
        <w:t xml:space="preserve">the </w:t>
      </w:r>
      <w:r w:rsidR="00821B7B" w:rsidRPr="000B1539">
        <w:t>annex to the present decision;</w:t>
      </w:r>
      <w:r w:rsidRPr="000B1539">
        <w:t>]</w:t>
      </w:r>
      <w:bookmarkEnd w:id="3"/>
    </w:p>
    <w:p w14:paraId="575FACBF" w14:textId="4139FA5E" w:rsidR="00997E3B" w:rsidRPr="00985808" w:rsidRDefault="00833BC6" w:rsidP="005677EF">
      <w:pPr>
        <w:pStyle w:val="Para1"/>
        <w:numPr>
          <w:ilvl w:val="0"/>
          <w:numId w:val="0"/>
        </w:numPr>
        <w:tabs>
          <w:tab w:val="clear" w:pos="1134"/>
          <w:tab w:val="left" w:pos="2268"/>
        </w:tabs>
        <w:ind w:left="1134" w:firstLine="567"/>
        <w:rPr>
          <w:bCs/>
        </w:rPr>
      </w:pPr>
      <w:r w:rsidRPr="00D053E3">
        <w:t>1</w:t>
      </w:r>
      <w:r w:rsidR="005375CB" w:rsidRPr="00D053E3">
        <w:t>7</w:t>
      </w:r>
      <w:r w:rsidRPr="00D053E3">
        <w:t>.</w:t>
      </w:r>
      <w:r w:rsidRPr="00D053E3">
        <w:tab/>
      </w:r>
      <w:r w:rsidR="00821B7B" w:rsidRPr="007F2604">
        <w:rPr>
          <w:i/>
          <w:iCs/>
          <w:lang w:val="en-US"/>
        </w:rPr>
        <w:t>Requests</w:t>
      </w:r>
      <w:r w:rsidR="00821B7B" w:rsidRPr="007F2604">
        <w:rPr>
          <w:lang w:val="en-US"/>
        </w:rPr>
        <w:t xml:space="preserve"> the </w:t>
      </w:r>
      <w:r w:rsidR="00821B7B" w:rsidRPr="000B1539">
        <w:rPr>
          <w:lang w:val="en-US"/>
        </w:rPr>
        <w:t>Global Environment Facility</w:t>
      </w:r>
      <w:r w:rsidR="00821B7B" w:rsidRPr="007F2604">
        <w:rPr>
          <w:lang w:val="en-US"/>
        </w:rPr>
        <w:t xml:space="preserve"> to</w:t>
      </w:r>
      <w:r w:rsidR="00821B7B" w:rsidRPr="007F2604">
        <w:rPr>
          <w:bCs/>
          <w:lang w:val="en-US"/>
        </w:rPr>
        <w:t xml:space="preserve"> </w:t>
      </w:r>
      <w:r w:rsidR="00821B7B" w:rsidRPr="007F2604">
        <w:rPr>
          <w:bCs/>
        </w:rPr>
        <w:t xml:space="preserve">include in its report to the Conference of the Parties </w:t>
      </w:r>
      <w:r w:rsidR="00351A38">
        <w:rPr>
          <w:bCs/>
        </w:rPr>
        <w:t xml:space="preserve">information on </w:t>
      </w:r>
      <w:r w:rsidR="00821B7B" w:rsidRPr="007F2604">
        <w:rPr>
          <w:lang w:val="en-US"/>
        </w:rPr>
        <w:t>it</w:t>
      </w:r>
      <w:r w:rsidR="00E4284B">
        <w:rPr>
          <w:lang w:val="en-US"/>
        </w:rPr>
        <w:t>s</w:t>
      </w:r>
      <w:r w:rsidR="00821B7B" w:rsidRPr="007F2604">
        <w:rPr>
          <w:lang w:val="en-US"/>
        </w:rPr>
        <w:t xml:space="preserve"> respons</w:t>
      </w:r>
      <w:r w:rsidR="00227C46">
        <w:rPr>
          <w:lang w:val="en-US"/>
        </w:rPr>
        <w:t>es</w:t>
      </w:r>
      <w:r w:rsidR="00821B7B" w:rsidRPr="007F2604">
        <w:rPr>
          <w:lang w:val="en-US"/>
        </w:rPr>
        <w:t xml:space="preserve"> to the four-year outcome-oriented framework of </w:t>
      </w:r>
      <w:r w:rsidR="00E4284B">
        <w:rPr>
          <w:lang w:val="en-US"/>
        </w:rPr>
        <w:t xml:space="preserve">biodiversity </w:t>
      </w:r>
      <w:proofErr w:type="spellStart"/>
      <w:r w:rsidR="00821B7B" w:rsidRPr="007F2604">
        <w:rPr>
          <w:lang w:val="en-US"/>
        </w:rPr>
        <w:t>programm</w:t>
      </w:r>
      <w:r w:rsidR="005B1F6A">
        <w:rPr>
          <w:lang w:val="en-US"/>
        </w:rPr>
        <w:t>e</w:t>
      </w:r>
      <w:proofErr w:type="spellEnd"/>
      <w:r w:rsidR="00821B7B" w:rsidRPr="007F2604">
        <w:rPr>
          <w:lang w:val="en-US"/>
        </w:rPr>
        <w:t xml:space="preserve"> priorities of the </w:t>
      </w:r>
      <w:r w:rsidR="00821B7B" w:rsidRPr="000B1539">
        <w:rPr>
          <w:lang w:val="en-US"/>
        </w:rPr>
        <w:t>Convention on Biological Diversity</w:t>
      </w:r>
      <w:r w:rsidR="00821B7B" w:rsidRPr="007F2604">
        <w:rPr>
          <w:lang w:val="en-US"/>
        </w:rPr>
        <w:t xml:space="preserve"> and its Protocols</w:t>
      </w:r>
      <w:r w:rsidR="00821B7B" w:rsidRPr="000B1539">
        <w:rPr>
          <w:lang w:val="en-US"/>
        </w:rPr>
        <w:t xml:space="preserve"> and</w:t>
      </w:r>
      <w:r w:rsidR="00821B7B" w:rsidRPr="007F2604">
        <w:rPr>
          <w:lang w:val="en-US"/>
        </w:rPr>
        <w:t xml:space="preserve"> how</w:t>
      </w:r>
      <w:r w:rsidR="00227C46">
        <w:rPr>
          <w:lang w:val="en-US"/>
        </w:rPr>
        <w:t xml:space="preserve"> those</w:t>
      </w:r>
      <w:r w:rsidR="00821B7B" w:rsidRPr="007F2604">
        <w:rPr>
          <w:lang w:val="en-US"/>
        </w:rPr>
        <w:t xml:space="preserve"> responses </w:t>
      </w:r>
      <w:r w:rsidR="00821B7B" w:rsidRPr="007F2604">
        <w:rPr>
          <w:bCs/>
        </w:rPr>
        <w:t xml:space="preserve">contribute to </w:t>
      </w:r>
      <w:r w:rsidR="00D31071" w:rsidRPr="007F2604">
        <w:rPr>
          <w:bCs/>
        </w:rPr>
        <w:t>the achievement</w:t>
      </w:r>
      <w:r w:rsidR="00CA3451" w:rsidRPr="007F2604">
        <w:rPr>
          <w:bCs/>
        </w:rPr>
        <w:t xml:space="preserve"> of </w:t>
      </w:r>
      <w:r w:rsidR="00821B7B" w:rsidRPr="007F2604">
        <w:rPr>
          <w:bCs/>
        </w:rPr>
        <w:t xml:space="preserve">each target of the </w:t>
      </w:r>
      <w:r w:rsidR="00F17678" w:rsidRPr="000B1539">
        <w:t>Kunming-Montreal Global Biodiversity</w:t>
      </w:r>
      <w:r w:rsidR="00F17678" w:rsidRPr="000B1539">
        <w:rPr>
          <w:bCs/>
        </w:rPr>
        <w:t xml:space="preserve"> </w:t>
      </w:r>
      <w:r w:rsidR="00821B7B" w:rsidRPr="000B1539">
        <w:rPr>
          <w:bCs/>
        </w:rPr>
        <w:t>Framework</w:t>
      </w:r>
      <w:r w:rsidR="009C270E" w:rsidRPr="007F2604">
        <w:rPr>
          <w:bCs/>
        </w:rPr>
        <w:t>,</w:t>
      </w:r>
      <w:r w:rsidR="0010190B" w:rsidRPr="007F2604">
        <w:rPr>
          <w:bCs/>
        </w:rPr>
        <w:t xml:space="preserve"> as well as consideration</w:t>
      </w:r>
      <w:r w:rsidR="00C47F1D" w:rsidRPr="007F2604">
        <w:rPr>
          <w:bCs/>
        </w:rPr>
        <w:t>s</w:t>
      </w:r>
      <w:r w:rsidR="0010190B" w:rsidRPr="007F2604">
        <w:rPr>
          <w:bCs/>
        </w:rPr>
        <w:t xml:space="preserve"> for its implementation (sect</w:t>
      </w:r>
      <w:r w:rsidR="009C270E" w:rsidRPr="007F2604">
        <w:rPr>
          <w:bCs/>
        </w:rPr>
        <w:t>. </w:t>
      </w:r>
      <w:r w:rsidR="0010190B" w:rsidRPr="007F2604">
        <w:rPr>
          <w:bCs/>
        </w:rPr>
        <w:t>C</w:t>
      </w:r>
      <w:r w:rsidR="00C47F1D" w:rsidRPr="007F2604">
        <w:rPr>
          <w:bCs/>
        </w:rPr>
        <w:t xml:space="preserve"> of the Framework</w:t>
      </w:r>
      <w:r w:rsidR="0010190B" w:rsidRPr="007F2604">
        <w:rPr>
          <w:bCs/>
        </w:rPr>
        <w:t>)</w:t>
      </w:r>
      <w:r w:rsidR="006B7D27">
        <w:rPr>
          <w:bCs/>
        </w:rPr>
        <w:t>,</w:t>
      </w:r>
      <w:r w:rsidR="00821B7B" w:rsidRPr="007F2604">
        <w:rPr>
          <w:bCs/>
        </w:rPr>
        <w:t xml:space="preserve"> and </w:t>
      </w:r>
      <w:r w:rsidR="006B7D27">
        <w:rPr>
          <w:bCs/>
        </w:rPr>
        <w:t xml:space="preserve"> </w:t>
      </w:r>
      <w:r w:rsidR="00821B7B" w:rsidRPr="007F2604">
        <w:rPr>
          <w:bCs/>
        </w:rPr>
        <w:t xml:space="preserve">the </w:t>
      </w:r>
      <w:r w:rsidR="003F39F3" w:rsidRPr="007F2604">
        <w:rPr>
          <w:bCs/>
        </w:rPr>
        <w:t xml:space="preserve">achievement </w:t>
      </w:r>
      <w:r w:rsidR="00821B7B" w:rsidRPr="007F2604">
        <w:rPr>
          <w:bCs/>
        </w:rPr>
        <w:t>of the objectives of the Convention and its Protocols;</w:t>
      </w:r>
    </w:p>
    <w:p w14:paraId="7905A273" w14:textId="7B53B22F" w:rsidR="00087BC2" w:rsidRPr="003617C2" w:rsidRDefault="00833BC6" w:rsidP="00B34F2B">
      <w:pPr>
        <w:pStyle w:val="Para1"/>
        <w:numPr>
          <w:ilvl w:val="0"/>
          <w:numId w:val="0"/>
        </w:numPr>
        <w:tabs>
          <w:tab w:val="clear" w:pos="1134"/>
          <w:tab w:val="left" w:pos="2268"/>
        </w:tabs>
        <w:ind w:left="1134" w:firstLine="567"/>
      </w:pPr>
      <w:r w:rsidRPr="00D053E3">
        <w:t>1</w:t>
      </w:r>
      <w:r w:rsidR="005375CB" w:rsidRPr="00D053E3">
        <w:t>8</w:t>
      </w:r>
      <w:r w:rsidRPr="00D053E3">
        <w:t>.</w:t>
      </w:r>
      <w:r w:rsidRPr="00D053E3">
        <w:tab/>
      </w:r>
      <w:r w:rsidR="00282B1C" w:rsidRPr="00985808">
        <w:rPr>
          <w:i/>
          <w:iCs/>
        </w:rPr>
        <w:t>Encourages</w:t>
      </w:r>
      <w:r w:rsidR="00821B7B" w:rsidRPr="00D053E3">
        <w:t xml:space="preserve"> the governing bodies of the various biodiversity-related conventions to include a standing item </w:t>
      </w:r>
      <w:r w:rsidR="009C270E" w:rsidRPr="00D053E3">
        <w:t>i</w:t>
      </w:r>
      <w:r w:rsidR="00821B7B" w:rsidRPr="00D053E3">
        <w:t xml:space="preserve">n the agenda of their meetings for the provision of strategic advice, as appropriate, concerning national </w:t>
      </w:r>
      <w:r w:rsidR="0085353F" w:rsidRPr="00D053E3">
        <w:t xml:space="preserve">actions </w:t>
      </w:r>
      <w:r w:rsidR="00F32F5A" w:rsidRPr="003617C2">
        <w:t>that may support collaboration, cooperation and synergies</w:t>
      </w:r>
      <w:r w:rsidR="001B186E" w:rsidRPr="003617C2">
        <w:t xml:space="preserve">, as appropriate, </w:t>
      </w:r>
      <w:r w:rsidR="0085353F" w:rsidRPr="003617C2">
        <w:t>to achieve</w:t>
      </w:r>
      <w:r w:rsidR="00821B7B" w:rsidRPr="003617C2">
        <w:t xml:space="preserve"> the objectives of the Convention</w:t>
      </w:r>
      <w:r w:rsidR="009437FB" w:rsidRPr="003617C2">
        <w:t xml:space="preserve"> and</w:t>
      </w:r>
      <w:r w:rsidR="00821B7B" w:rsidRPr="003617C2">
        <w:t xml:space="preserve"> its Protocols and </w:t>
      </w:r>
      <w:r w:rsidR="00FE652A" w:rsidRPr="003617C2">
        <w:t xml:space="preserve">the </w:t>
      </w:r>
      <w:r w:rsidR="009437FB" w:rsidRPr="003617C2">
        <w:t xml:space="preserve">goals and targets of the </w:t>
      </w:r>
      <w:r w:rsidR="00821B7B" w:rsidRPr="003617C2">
        <w:t xml:space="preserve">Framework, </w:t>
      </w:r>
      <w:r w:rsidR="00991092" w:rsidRPr="003617C2">
        <w:t>which</w:t>
      </w:r>
      <w:r w:rsidR="00821B7B" w:rsidRPr="003617C2">
        <w:t xml:space="preserve"> may be referred to the </w:t>
      </w:r>
      <w:r w:rsidR="00821B7B" w:rsidRPr="000B1539">
        <w:t>Global Environment Facility</w:t>
      </w:r>
      <w:r w:rsidR="00821B7B" w:rsidRPr="003617C2">
        <w:t xml:space="preserve"> through the </w:t>
      </w:r>
      <w:r w:rsidR="00821B7B" w:rsidRPr="000B1539">
        <w:t>Conference of the Parties to the Convention, and</w:t>
      </w:r>
      <w:r w:rsidR="00821B7B" w:rsidRPr="003617C2">
        <w:t xml:space="preserve"> to request their respective secretariats to communicate such advice to the Executive Secretary of the </w:t>
      </w:r>
      <w:r w:rsidR="00821B7B" w:rsidRPr="000B1539">
        <w:t>Convention</w:t>
      </w:r>
      <w:r w:rsidR="00821B7B" w:rsidRPr="003617C2">
        <w:t>;</w:t>
      </w:r>
    </w:p>
    <w:p w14:paraId="1FBE305F" w14:textId="399C42C1" w:rsidR="000478F1" w:rsidRDefault="00833BC6" w:rsidP="00FF093C">
      <w:pPr>
        <w:pStyle w:val="Para1"/>
        <w:numPr>
          <w:ilvl w:val="0"/>
          <w:numId w:val="0"/>
        </w:numPr>
        <w:tabs>
          <w:tab w:val="clear" w:pos="1134"/>
          <w:tab w:val="left" w:pos="2268"/>
        </w:tabs>
        <w:ind w:left="1134" w:firstLine="567"/>
      </w:pPr>
      <w:r w:rsidRPr="003617C2">
        <w:t>1</w:t>
      </w:r>
      <w:r w:rsidR="005375CB" w:rsidRPr="003617C2">
        <w:t>9</w:t>
      </w:r>
      <w:r w:rsidRPr="003617C2">
        <w:t>.</w:t>
      </w:r>
      <w:r w:rsidRPr="003617C2">
        <w:tab/>
      </w:r>
      <w:r w:rsidR="00340CD1" w:rsidRPr="000B1539">
        <w:t>[</w:t>
      </w:r>
      <w:r w:rsidR="00C932D3">
        <w:rPr>
          <w:i/>
          <w:iCs/>
        </w:rPr>
        <w:t>E</w:t>
      </w:r>
      <w:r w:rsidR="00340CD1" w:rsidRPr="000B1539">
        <w:rPr>
          <w:i/>
          <w:iCs/>
        </w:rPr>
        <w:t>ncourages</w:t>
      </w:r>
      <w:r w:rsidR="00340CD1" w:rsidRPr="000B1539">
        <w:t>]</w:t>
      </w:r>
      <w:r w:rsidR="00B34F2B" w:rsidRPr="000B1539">
        <w:t>[</w:t>
      </w:r>
      <w:r w:rsidR="00821B7B" w:rsidRPr="000B1539">
        <w:rPr>
          <w:i/>
          <w:iCs/>
        </w:rPr>
        <w:t>Invites</w:t>
      </w:r>
      <w:r w:rsidR="00B34F2B" w:rsidRPr="000B1539">
        <w:t>]</w:t>
      </w:r>
      <w:r w:rsidR="00821B7B" w:rsidRPr="003617C2">
        <w:t xml:space="preserve"> the secretariats of the biodiversity-related conventions to participate in and provide input to the </w:t>
      </w:r>
      <w:proofErr w:type="spellStart"/>
      <w:r w:rsidR="00821B7B" w:rsidRPr="003617C2">
        <w:t>intersecretariat</w:t>
      </w:r>
      <w:proofErr w:type="spellEnd"/>
      <w:r w:rsidR="00821B7B" w:rsidRPr="00D053E3">
        <w:t xml:space="preserve"> consultation to be convened by the Executive Secretary when developing the </w:t>
      </w:r>
      <w:r w:rsidR="00DA140F" w:rsidRPr="00D053E3">
        <w:t xml:space="preserve">inputs </w:t>
      </w:r>
      <w:r w:rsidR="00DA140F">
        <w:t xml:space="preserve">of the </w:t>
      </w:r>
      <w:r w:rsidR="00821B7B" w:rsidRPr="00D053E3">
        <w:t xml:space="preserve">Secretariat to draft programming directions </w:t>
      </w:r>
      <w:r w:rsidR="00821B7B" w:rsidRPr="003617C2">
        <w:t xml:space="preserve">and policy recommendations for the negotiations of the ninth replenishment of the </w:t>
      </w:r>
      <w:r w:rsidR="00821B7B" w:rsidRPr="000B1539">
        <w:t xml:space="preserve">Global Environment </w:t>
      </w:r>
      <w:r w:rsidR="003F39F3" w:rsidRPr="000B1539">
        <w:t>F</w:t>
      </w:r>
      <w:r w:rsidR="00821B7B" w:rsidRPr="000B1539">
        <w:t>acility</w:t>
      </w:r>
      <w:r w:rsidR="00821B7B" w:rsidRPr="003617C2">
        <w:t xml:space="preserve"> </w:t>
      </w:r>
      <w:r w:rsidR="00821B7B" w:rsidRPr="000B1539">
        <w:t>Trust Fund</w:t>
      </w:r>
      <w:r w:rsidR="00821B7B" w:rsidRPr="003617C2">
        <w:t xml:space="preserve">, in which </w:t>
      </w:r>
      <w:r w:rsidR="00143842">
        <w:t>the Facility</w:t>
      </w:r>
      <w:r w:rsidR="000C1785">
        <w:t xml:space="preserve"> </w:t>
      </w:r>
      <w:r w:rsidR="00821B7B" w:rsidRPr="003617C2">
        <w:t xml:space="preserve">will participate in line with paragraph 7 of the </w:t>
      </w:r>
      <w:r w:rsidR="009269B6" w:rsidRPr="003617C2">
        <w:t>m</w:t>
      </w:r>
      <w:r w:rsidR="00821B7B" w:rsidRPr="003617C2">
        <w:t xml:space="preserve">emorandum of </w:t>
      </w:r>
      <w:r w:rsidR="009269B6" w:rsidRPr="003617C2">
        <w:t>u</w:t>
      </w:r>
      <w:r w:rsidR="00821B7B" w:rsidRPr="003617C2">
        <w:t xml:space="preserve">nderstanding between the Conference of the Parties and the </w:t>
      </w:r>
      <w:r w:rsidR="00543DB5" w:rsidRPr="003617C2">
        <w:t xml:space="preserve">Council of the </w:t>
      </w:r>
      <w:r w:rsidR="00821B7B" w:rsidRPr="000B1539">
        <w:t>Global Environment Facility</w:t>
      </w:r>
      <w:r w:rsidR="006904F9" w:rsidRPr="003617C2">
        <w:t>;</w:t>
      </w:r>
      <w:r w:rsidR="007508AA" w:rsidRPr="003617C2">
        <w:rPr>
          <w:rStyle w:val="FootnoteReference"/>
        </w:rPr>
        <w:footnoteReference w:id="22"/>
      </w:r>
    </w:p>
    <w:p w14:paraId="1C5D0E22" w14:textId="78C7B02A" w:rsidR="00B640AF" w:rsidRPr="00D053E3" w:rsidRDefault="00B640AF" w:rsidP="00954343">
      <w:pPr>
        <w:pStyle w:val="Para1"/>
        <w:keepNext/>
        <w:numPr>
          <w:ilvl w:val="0"/>
          <w:numId w:val="0"/>
        </w:numPr>
        <w:tabs>
          <w:tab w:val="clear" w:pos="1134"/>
          <w:tab w:val="left" w:pos="2268"/>
        </w:tabs>
        <w:ind w:left="1134"/>
        <w:rPr>
          <w:b/>
          <w:bCs/>
        </w:rPr>
      </w:pPr>
      <w:r w:rsidRPr="00D053E3">
        <w:rPr>
          <w:b/>
          <w:bCs/>
        </w:rPr>
        <w:t>Funding needs assessment</w:t>
      </w:r>
    </w:p>
    <w:p w14:paraId="5FEC1F91" w14:textId="77777777" w:rsidR="000478F1" w:rsidRPr="000B1539" w:rsidRDefault="00F53DC5" w:rsidP="005D7E4C">
      <w:pPr>
        <w:pStyle w:val="Para1"/>
        <w:numPr>
          <w:ilvl w:val="0"/>
          <w:numId w:val="0"/>
        </w:numPr>
        <w:tabs>
          <w:tab w:val="clear" w:pos="1134"/>
          <w:tab w:val="left" w:pos="2268"/>
        </w:tabs>
        <w:ind w:left="1134" w:firstLine="567"/>
      </w:pPr>
      <w:r w:rsidRPr="000B1539">
        <w:t>[</w:t>
      </w:r>
      <w:r w:rsidR="005375CB" w:rsidRPr="000B1539">
        <w:t>20</w:t>
      </w:r>
      <w:r w:rsidR="00FC3B93" w:rsidRPr="000B1539">
        <w:t>.</w:t>
      </w:r>
      <w:r w:rsidR="003213D1" w:rsidRPr="000B1539">
        <w:tab/>
      </w:r>
      <w:r w:rsidR="00CA0D82" w:rsidRPr="000B1539">
        <w:rPr>
          <w:i/>
          <w:iCs/>
        </w:rPr>
        <w:t>Takes n</w:t>
      </w:r>
      <w:r w:rsidR="003213D1" w:rsidRPr="000B1539">
        <w:rPr>
          <w:i/>
          <w:iCs/>
        </w:rPr>
        <w:t>ote</w:t>
      </w:r>
      <w:r w:rsidR="003213D1" w:rsidRPr="000B1539">
        <w:t xml:space="preserve"> </w:t>
      </w:r>
      <w:r w:rsidR="00CA0D82" w:rsidRPr="000B1539">
        <w:t xml:space="preserve">of </w:t>
      </w:r>
      <w:r w:rsidR="003213D1" w:rsidRPr="000B1539">
        <w:t>the report on estimated funding needs for the ninth replenishment</w:t>
      </w:r>
      <w:r w:rsidR="00471EB1" w:rsidRPr="000B1539">
        <w:t xml:space="preserve"> of the Global Environment Facility Trust Fund</w:t>
      </w:r>
      <w:r w:rsidR="003213D1" w:rsidRPr="000B1539">
        <w:t>, based on information received to date</w:t>
      </w:r>
      <w:r w:rsidR="008F3D68" w:rsidRPr="000B1539">
        <w:t>;</w:t>
      </w:r>
      <w:r w:rsidR="00870F54" w:rsidRPr="000B1539">
        <w:rPr>
          <w:rStyle w:val="FootnoteReference"/>
        </w:rPr>
        <w:footnoteReference w:id="23"/>
      </w:r>
      <w:r w:rsidRPr="000B1539">
        <w:t>]</w:t>
      </w:r>
    </w:p>
    <w:p w14:paraId="4BA06067" w14:textId="77777777" w:rsidR="000478F1" w:rsidRPr="000B1539" w:rsidRDefault="00D7513E" w:rsidP="005D7E4C">
      <w:pPr>
        <w:pStyle w:val="Para1"/>
        <w:numPr>
          <w:ilvl w:val="0"/>
          <w:numId w:val="0"/>
        </w:numPr>
        <w:tabs>
          <w:tab w:val="clear" w:pos="1134"/>
          <w:tab w:val="left" w:pos="2268"/>
        </w:tabs>
        <w:ind w:left="1134" w:firstLine="567"/>
      </w:pPr>
      <w:r w:rsidRPr="000B1539">
        <w:t>[</w:t>
      </w:r>
      <w:r w:rsidR="00137F4E" w:rsidRPr="000B1539">
        <w:t>2</w:t>
      </w:r>
      <w:r w:rsidR="005375CB" w:rsidRPr="000B1539">
        <w:t>1</w:t>
      </w:r>
      <w:r w:rsidR="00833BC6" w:rsidRPr="000B1539">
        <w:t>.</w:t>
      </w:r>
      <w:r w:rsidR="00833BC6" w:rsidRPr="000B1539">
        <w:tab/>
      </w:r>
      <w:r w:rsidR="00821B7B" w:rsidRPr="000B1539">
        <w:rPr>
          <w:i/>
          <w:iCs/>
        </w:rPr>
        <w:t>Requests</w:t>
      </w:r>
      <w:r w:rsidR="00821B7B" w:rsidRPr="000B1539">
        <w:t xml:space="preserve"> the Executive Secretary to compile and transmit, </w:t>
      </w:r>
      <w:r w:rsidR="00E71932" w:rsidRPr="000B1539">
        <w:t xml:space="preserve">as </w:t>
      </w:r>
      <w:r w:rsidR="00A93FBE" w:rsidRPr="000B1539">
        <w:t xml:space="preserve">soon as practical, </w:t>
      </w:r>
      <w:r w:rsidR="00821B7B" w:rsidRPr="000B1539">
        <w:t xml:space="preserve">the information on funding needs received from </w:t>
      </w:r>
      <w:r w:rsidR="00A93FBE" w:rsidRPr="000B1539">
        <w:t>all eligible</w:t>
      </w:r>
      <w:r w:rsidR="00821B7B" w:rsidRPr="000B1539">
        <w:t xml:space="preserve"> country Parties to </w:t>
      </w:r>
      <w:r w:rsidR="00CB6BC0" w:rsidRPr="000B1539">
        <w:t xml:space="preserve">the Secretariat of </w:t>
      </w:r>
      <w:r w:rsidR="00821B7B" w:rsidRPr="000B1539">
        <w:t>the Global Environment Facility and the participants in the negotiations of the ninth replenishment of the Global Environment Facility Trust Fund;</w:t>
      </w:r>
      <w:r w:rsidRPr="000B1539">
        <w:t>]</w:t>
      </w:r>
    </w:p>
    <w:p w14:paraId="58BED266" w14:textId="3AB9C379" w:rsidR="00E06CFF" w:rsidRPr="004866D6" w:rsidRDefault="00C02CAE" w:rsidP="005D7E4C">
      <w:pPr>
        <w:pStyle w:val="Para1"/>
        <w:numPr>
          <w:ilvl w:val="0"/>
          <w:numId w:val="0"/>
        </w:numPr>
        <w:tabs>
          <w:tab w:val="clear" w:pos="1134"/>
          <w:tab w:val="left" w:pos="2268"/>
        </w:tabs>
        <w:ind w:left="1134" w:firstLine="567"/>
      </w:pPr>
      <w:r w:rsidRPr="00D053E3">
        <w:t>2</w:t>
      </w:r>
      <w:r w:rsidR="005375CB" w:rsidRPr="00D053E3">
        <w:t>2</w:t>
      </w:r>
      <w:r w:rsidR="00833BC6" w:rsidRPr="00D053E3">
        <w:t>.</w:t>
      </w:r>
      <w:r w:rsidR="00833BC6" w:rsidRPr="00D053E3">
        <w:tab/>
      </w:r>
      <w:r w:rsidR="00A946D6" w:rsidRPr="00F1568A">
        <w:rPr>
          <w:i/>
          <w:iCs/>
        </w:rPr>
        <w:t xml:space="preserve">Also </w:t>
      </w:r>
      <w:r w:rsidR="00A946D6" w:rsidRPr="00D053E3">
        <w:rPr>
          <w:i/>
          <w:iCs/>
        </w:rPr>
        <w:t>r</w:t>
      </w:r>
      <w:r w:rsidR="00821B7B" w:rsidRPr="00D053E3">
        <w:rPr>
          <w:i/>
          <w:iCs/>
        </w:rPr>
        <w:t>equests</w:t>
      </w:r>
      <w:r w:rsidR="00821B7B" w:rsidRPr="00D053E3">
        <w:t xml:space="preserve"> the Executive </w:t>
      </w:r>
      <w:r w:rsidR="00821B7B" w:rsidRPr="004866D6">
        <w:t xml:space="preserve">Secretary to </w:t>
      </w:r>
      <w:r w:rsidR="00821B7B" w:rsidRPr="000B1539">
        <w:t>draw upon</w:t>
      </w:r>
      <w:r w:rsidR="00821B7B" w:rsidRPr="004866D6">
        <w:t xml:space="preserve"> the experience and lessons learned in implementing the terms of reference for the assessment of funding needs from the </w:t>
      </w:r>
      <w:r w:rsidR="00821B7B" w:rsidRPr="000B1539">
        <w:t>Global Environment Facility</w:t>
      </w:r>
      <w:r w:rsidR="00821B7B" w:rsidRPr="004866D6">
        <w:t xml:space="preserve"> for the implementation of the Convention and its Protocols</w:t>
      </w:r>
      <w:r w:rsidR="00821B7B" w:rsidRPr="000B1539">
        <w:t xml:space="preserve"> and</w:t>
      </w:r>
      <w:r w:rsidR="00821B7B" w:rsidRPr="004866D6">
        <w:t xml:space="preserve"> prepare draft terms of reference for conducting the fifth determination of funding needs for the period of the tenth replenishment of the </w:t>
      </w:r>
      <w:r w:rsidR="00821B7B" w:rsidRPr="000B1539">
        <w:t>Global Environment Facility</w:t>
      </w:r>
      <w:r w:rsidR="00821B7B" w:rsidRPr="004866D6">
        <w:t xml:space="preserve"> </w:t>
      </w:r>
      <w:r w:rsidR="00821B7B" w:rsidRPr="000B1539">
        <w:t>Trust Fund</w:t>
      </w:r>
      <w:r w:rsidR="00821B7B" w:rsidRPr="004866D6">
        <w:t xml:space="preserve">, </w:t>
      </w:r>
      <w:r w:rsidR="0029145C" w:rsidRPr="004866D6">
        <w:t xml:space="preserve">for the period </w:t>
      </w:r>
      <w:r w:rsidR="00EF27C1" w:rsidRPr="004866D6">
        <w:t xml:space="preserve">from </w:t>
      </w:r>
      <w:r w:rsidR="00821B7B" w:rsidRPr="004866D6">
        <w:t xml:space="preserve">July 2030 to June 2034, for consideration by the Subsidiary Body on Implementation at its </w:t>
      </w:r>
      <w:r w:rsidR="00B077E7" w:rsidRPr="004866D6">
        <w:t xml:space="preserve">sixth </w:t>
      </w:r>
      <w:r w:rsidR="00821B7B" w:rsidRPr="004866D6">
        <w:t>meeting and the Conference of the Parties at its seventeenth meeting;</w:t>
      </w:r>
    </w:p>
    <w:p w14:paraId="40F4CFC3" w14:textId="24F68A61" w:rsidR="007972C4" w:rsidRPr="00D053E3" w:rsidRDefault="007972C4" w:rsidP="003D3F00">
      <w:pPr>
        <w:pStyle w:val="Para1"/>
        <w:numPr>
          <w:ilvl w:val="0"/>
          <w:numId w:val="0"/>
        </w:numPr>
        <w:tabs>
          <w:tab w:val="clear" w:pos="1134"/>
          <w:tab w:val="left" w:pos="2268"/>
        </w:tabs>
        <w:ind w:left="1134"/>
        <w:rPr>
          <w:b/>
          <w:bCs/>
        </w:rPr>
      </w:pPr>
      <w:r w:rsidRPr="004866D6">
        <w:rPr>
          <w:b/>
          <w:bCs/>
        </w:rPr>
        <w:t xml:space="preserve">Further guidance to the </w:t>
      </w:r>
      <w:r w:rsidRPr="000B1539">
        <w:rPr>
          <w:b/>
          <w:bCs/>
        </w:rPr>
        <w:t>Global Environment Facility</w:t>
      </w:r>
    </w:p>
    <w:p w14:paraId="72417189" w14:textId="3818F017" w:rsidR="007972C4" w:rsidRDefault="002000B1" w:rsidP="003D3F00">
      <w:pPr>
        <w:pStyle w:val="Para1"/>
        <w:numPr>
          <w:ilvl w:val="0"/>
          <w:numId w:val="0"/>
        </w:numPr>
        <w:tabs>
          <w:tab w:val="clear" w:pos="1134"/>
          <w:tab w:val="left" w:pos="2268"/>
        </w:tabs>
        <w:ind w:left="1134" w:firstLine="567"/>
      </w:pPr>
      <w:r w:rsidRPr="000B1539">
        <w:t>[</w:t>
      </w:r>
      <w:r w:rsidR="008D6432" w:rsidRPr="000B1539">
        <w:t>2</w:t>
      </w:r>
      <w:r w:rsidR="005375CB" w:rsidRPr="000B1539">
        <w:t>3</w:t>
      </w:r>
      <w:r w:rsidR="00833BC6" w:rsidRPr="000B1539">
        <w:t>.</w:t>
      </w:r>
      <w:r w:rsidR="00833BC6" w:rsidRPr="000B1539">
        <w:tab/>
      </w:r>
      <w:r w:rsidRPr="000B1539">
        <w:t>P</w:t>
      </w:r>
      <w:r w:rsidR="007972C4" w:rsidRPr="000B1539">
        <w:t>laceholder</w:t>
      </w:r>
      <w:r w:rsidR="00AF1233" w:rsidRPr="000B1539">
        <w:t>]</w:t>
      </w:r>
      <w:r w:rsidR="007972C4" w:rsidRPr="0022307D">
        <w:rPr>
          <w:vertAlign w:val="superscript"/>
        </w:rPr>
        <w:footnoteReference w:id="24"/>
      </w:r>
    </w:p>
    <w:p w14:paraId="12BBFC38" w14:textId="038CDF3D" w:rsidR="00E06CFF" w:rsidRPr="00D053E3" w:rsidRDefault="008D6432" w:rsidP="005D7E4C">
      <w:pPr>
        <w:pStyle w:val="Para1"/>
        <w:numPr>
          <w:ilvl w:val="0"/>
          <w:numId w:val="0"/>
        </w:numPr>
        <w:tabs>
          <w:tab w:val="clear" w:pos="1134"/>
          <w:tab w:val="left" w:pos="2268"/>
        </w:tabs>
        <w:ind w:left="1134" w:firstLine="567"/>
      </w:pPr>
      <w:r w:rsidRPr="0022307D">
        <w:t>2</w:t>
      </w:r>
      <w:r w:rsidR="005375CB" w:rsidRPr="0022307D">
        <w:t>4</w:t>
      </w:r>
      <w:r w:rsidRPr="0022307D">
        <w:t>.</w:t>
      </w:r>
      <w:r w:rsidRPr="0022307D">
        <w:tab/>
      </w:r>
      <w:r w:rsidR="002F5297" w:rsidRPr="0022307D">
        <w:rPr>
          <w:i/>
          <w:iCs/>
        </w:rPr>
        <w:t>Recalls</w:t>
      </w:r>
      <w:r w:rsidR="002F5297" w:rsidRPr="0022307D">
        <w:t xml:space="preserve"> paragraphs 2,</w:t>
      </w:r>
      <w:r w:rsidR="002F5297" w:rsidRPr="000B1539">
        <w:t xml:space="preserve"> 3 a</w:t>
      </w:r>
      <w:r w:rsidR="002F5297" w:rsidRPr="0022307D">
        <w:t>nd</w:t>
      </w:r>
      <w:r w:rsidR="002F5297" w:rsidRPr="000B1539">
        <w:t xml:space="preserve"> 4 o</w:t>
      </w:r>
      <w:r w:rsidR="002F5297" w:rsidRPr="0022307D">
        <w:t xml:space="preserve">f decision </w:t>
      </w:r>
      <w:r w:rsidR="002F5297" w:rsidRPr="000B1539">
        <w:t>X</w:t>
      </w:r>
      <w:r w:rsidR="002F5297" w:rsidRPr="0022307D">
        <w:t>II/30</w:t>
      </w:r>
      <w:r w:rsidR="0021351F" w:rsidRPr="0022307D">
        <w:t xml:space="preserve"> of </w:t>
      </w:r>
      <w:r w:rsidR="00D235D4">
        <w:t xml:space="preserve">the Conference of the Parties </w:t>
      </w:r>
      <w:r w:rsidR="00E005A2">
        <w:t xml:space="preserve">of </w:t>
      </w:r>
      <w:r w:rsidR="0021351F" w:rsidRPr="0022307D">
        <w:t>17 October 2014</w:t>
      </w:r>
      <w:r w:rsidR="002F5297" w:rsidRPr="0022307D">
        <w:t xml:space="preserve"> and requests the Executive Secretary to continue </w:t>
      </w:r>
      <w:r w:rsidR="003F6AD1" w:rsidRPr="0022307D">
        <w:t xml:space="preserve">to </w:t>
      </w:r>
      <w:r w:rsidR="002F5297" w:rsidRPr="0022307D">
        <w:t>liais</w:t>
      </w:r>
      <w:r w:rsidR="003F6AD1" w:rsidRPr="0022307D">
        <w:t>e</w:t>
      </w:r>
      <w:r w:rsidR="002F5297" w:rsidRPr="0022307D">
        <w:t xml:space="preserve"> with the various biodiversity-related conventions and the </w:t>
      </w:r>
      <w:r w:rsidR="002F5297" w:rsidRPr="000B1539">
        <w:t>Global Environment Facility</w:t>
      </w:r>
      <w:r w:rsidR="002F5297" w:rsidRPr="0022307D">
        <w:t xml:space="preserve"> </w:t>
      </w:r>
      <w:proofErr w:type="gramStart"/>
      <w:r w:rsidR="002F5297" w:rsidRPr="0022307D">
        <w:t>in order to</w:t>
      </w:r>
      <w:proofErr w:type="gramEnd"/>
      <w:r w:rsidR="002F5297" w:rsidRPr="0022307D">
        <w:t xml:space="preserve"> explore opportunities to enhance support </w:t>
      </w:r>
      <w:r w:rsidR="003F6AD1" w:rsidRPr="0022307D">
        <w:t xml:space="preserve">from </w:t>
      </w:r>
      <w:r w:rsidR="000C59D9" w:rsidRPr="0022307D">
        <w:t xml:space="preserve">the Facility </w:t>
      </w:r>
      <w:r w:rsidR="003F6AD1" w:rsidRPr="0022307D">
        <w:t>for</w:t>
      </w:r>
      <w:r w:rsidR="002F5297" w:rsidRPr="0022307D">
        <w:t xml:space="preserve"> countries </w:t>
      </w:r>
      <w:r w:rsidR="00B42EB4" w:rsidRPr="0022307D">
        <w:t>with regard to</w:t>
      </w:r>
      <w:r w:rsidR="002F5297" w:rsidRPr="0022307D">
        <w:t xml:space="preserve"> activities relevant to the implementation of the various biodiversity-related conventions;</w:t>
      </w:r>
    </w:p>
    <w:p w14:paraId="134B94E0" w14:textId="5AE354E5" w:rsidR="00630163" w:rsidRPr="007D74DD" w:rsidRDefault="00574E11" w:rsidP="008037B3">
      <w:pPr>
        <w:pStyle w:val="Para1"/>
        <w:numPr>
          <w:ilvl w:val="0"/>
          <w:numId w:val="0"/>
        </w:numPr>
        <w:tabs>
          <w:tab w:val="clear" w:pos="1134"/>
          <w:tab w:val="left" w:pos="2268"/>
        </w:tabs>
        <w:ind w:left="1134" w:firstLine="567"/>
        <w:rPr>
          <w:lang w:val="en-US"/>
        </w:rPr>
      </w:pPr>
      <w:r w:rsidRPr="0022307D">
        <w:t>2</w:t>
      </w:r>
      <w:r w:rsidR="005375CB" w:rsidRPr="0022307D">
        <w:t>5</w:t>
      </w:r>
      <w:r w:rsidRPr="0022307D">
        <w:t>.</w:t>
      </w:r>
      <w:r w:rsidRPr="0022307D">
        <w:tab/>
      </w:r>
      <w:r w:rsidR="00B857CF" w:rsidRPr="000B1539">
        <w:t>[</w:t>
      </w:r>
      <w:r w:rsidR="00C74FEC" w:rsidRPr="000B1539">
        <w:rPr>
          <w:i/>
          <w:iCs/>
        </w:rPr>
        <w:t>Request</w:t>
      </w:r>
      <w:r w:rsidR="009D1D47" w:rsidRPr="000B1539">
        <w:rPr>
          <w:i/>
          <w:iCs/>
        </w:rPr>
        <w:t>s</w:t>
      </w:r>
      <w:r w:rsidR="00B857CF" w:rsidRPr="000B1539">
        <w:t>]</w:t>
      </w:r>
      <w:r w:rsidR="00446E9D" w:rsidRPr="000B1539">
        <w:t>[</w:t>
      </w:r>
      <w:r w:rsidR="00736079" w:rsidRPr="000B1539">
        <w:rPr>
          <w:i/>
          <w:iCs/>
        </w:rPr>
        <w:t>Instruct</w:t>
      </w:r>
      <w:r w:rsidR="00491ACF" w:rsidRPr="000B1539">
        <w:rPr>
          <w:i/>
          <w:iCs/>
        </w:rPr>
        <w:t>s</w:t>
      </w:r>
      <w:r w:rsidR="00736079" w:rsidRPr="000B1539">
        <w:t>]</w:t>
      </w:r>
      <w:r w:rsidRPr="0022307D">
        <w:t xml:space="preserve"> the </w:t>
      </w:r>
      <w:r w:rsidRPr="000B1539">
        <w:t>G</w:t>
      </w:r>
      <w:r w:rsidR="00CC5197" w:rsidRPr="000B1539">
        <w:t xml:space="preserve">lobal </w:t>
      </w:r>
      <w:r w:rsidRPr="000B1539">
        <w:t>E</w:t>
      </w:r>
      <w:r w:rsidR="00CC5197" w:rsidRPr="000B1539">
        <w:t xml:space="preserve">nvironment </w:t>
      </w:r>
      <w:r w:rsidRPr="000B1539">
        <w:t>F</w:t>
      </w:r>
      <w:r w:rsidR="00CC5197" w:rsidRPr="000B1539">
        <w:t>acility</w:t>
      </w:r>
      <w:r w:rsidRPr="0022307D">
        <w:t xml:space="preserve"> to </w:t>
      </w:r>
      <w:r w:rsidR="00224C4C" w:rsidRPr="0022307D">
        <w:t xml:space="preserve">continue to </w:t>
      </w:r>
      <w:r w:rsidRPr="0022307D">
        <w:t xml:space="preserve">support partnerships with </w:t>
      </w:r>
      <w:r w:rsidRPr="000B1539">
        <w:t>indigenous people</w:t>
      </w:r>
      <w:r w:rsidRPr="0022307D">
        <w:t xml:space="preserve">s and local communities, </w:t>
      </w:r>
      <w:r w:rsidR="009D1D47" w:rsidRPr="000B1539">
        <w:t>[</w:t>
      </w:r>
      <w:r w:rsidR="00FC2A1F" w:rsidRPr="000B1539">
        <w:t>p</w:t>
      </w:r>
      <w:r w:rsidR="0001003F" w:rsidRPr="000B1539">
        <w:t xml:space="preserve">eople of </w:t>
      </w:r>
      <w:r w:rsidR="002F5C68" w:rsidRPr="000B1539">
        <w:t>Afr</w:t>
      </w:r>
      <w:r w:rsidR="00FC2A1F" w:rsidRPr="000B1539">
        <w:t>ican</w:t>
      </w:r>
      <w:r w:rsidR="0047538C" w:rsidRPr="000B1539">
        <w:t xml:space="preserve"> </w:t>
      </w:r>
      <w:r w:rsidR="009F1252" w:rsidRPr="000B1539">
        <w:t>descen</w:t>
      </w:r>
      <w:r w:rsidR="0047538C" w:rsidRPr="000B1539">
        <w:t>t</w:t>
      </w:r>
      <w:r w:rsidR="0087366E" w:rsidRPr="000B1539">
        <w:t>,</w:t>
      </w:r>
      <w:r w:rsidR="009D1D47" w:rsidRPr="000B1539">
        <w:t>]</w:t>
      </w:r>
      <w:r w:rsidR="002F5C68" w:rsidRPr="0022307D">
        <w:t xml:space="preserve"> </w:t>
      </w:r>
      <w:r w:rsidRPr="007D74DD">
        <w:t xml:space="preserve">women and </w:t>
      </w:r>
      <w:r w:rsidRPr="000B1539">
        <w:t>youth and</w:t>
      </w:r>
      <w:r w:rsidRPr="007D74DD">
        <w:t xml:space="preserve"> recognize and promote their contributions to the implementation of the targets of the </w:t>
      </w:r>
      <w:r w:rsidR="00CC5197" w:rsidRPr="007D74DD">
        <w:t>Framework</w:t>
      </w:r>
      <w:r w:rsidR="000E0741" w:rsidRPr="007D74DD">
        <w:t>;</w:t>
      </w:r>
    </w:p>
    <w:p w14:paraId="3E237EBB" w14:textId="5E3CBB3E" w:rsidR="000478F1" w:rsidRPr="007D74DD" w:rsidRDefault="000E0741" w:rsidP="005A2CD3">
      <w:pPr>
        <w:pStyle w:val="Para1"/>
        <w:numPr>
          <w:ilvl w:val="0"/>
          <w:numId w:val="0"/>
        </w:numPr>
        <w:tabs>
          <w:tab w:val="clear" w:pos="1134"/>
          <w:tab w:val="left" w:pos="2268"/>
        </w:tabs>
        <w:ind w:left="1134" w:firstLine="567"/>
      </w:pPr>
      <w:r w:rsidRPr="007D74DD">
        <w:t>2</w:t>
      </w:r>
      <w:r w:rsidR="005375CB" w:rsidRPr="007D74DD">
        <w:t>6</w:t>
      </w:r>
      <w:r w:rsidRPr="007D74DD">
        <w:t>.</w:t>
      </w:r>
      <w:r w:rsidRPr="007D74DD">
        <w:tab/>
      </w:r>
      <w:proofErr w:type="gramStart"/>
      <w:r w:rsidR="00A946D6" w:rsidRPr="007D74DD">
        <w:rPr>
          <w:i/>
          <w:iCs/>
        </w:rPr>
        <w:t>Also</w:t>
      </w:r>
      <w:proofErr w:type="gramEnd"/>
      <w:r w:rsidR="00A946D6" w:rsidRPr="007D74DD">
        <w:t xml:space="preserve"> </w:t>
      </w:r>
      <w:r w:rsidR="00A403D6" w:rsidRPr="000B1539">
        <w:t>[</w:t>
      </w:r>
      <w:r w:rsidR="00946E8D" w:rsidRPr="000B1539">
        <w:rPr>
          <w:i/>
          <w:iCs/>
        </w:rPr>
        <w:t>requests</w:t>
      </w:r>
      <w:r w:rsidR="00A403D6" w:rsidRPr="000B1539">
        <w:t>]</w:t>
      </w:r>
      <w:r w:rsidR="00E8419F" w:rsidRPr="000B1539">
        <w:t>[</w:t>
      </w:r>
      <w:r w:rsidR="001327B9" w:rsidRPr="000B1539">
        <w:rPr>
          <w:i/>
          <w:iCs/>
        </w:rPr>
        <w:t>instructs</w:t>
      </w:r>
      <w:r w:rsidR="00E8419F" w:rsidRPr="000B1539">
        <w:t>]</w:t>
      </w:r>
      <w:r w:rsidR="00F80028" w:rsidRPr="007D74DD">
        <w:t xml:space="preserve"> the </w:t>
      </w:r>
      <w:r w:rsidR="00F80028" w:rsidRPr="000B1539">
        <w:t>G</w:t>
      </w:r>
      <w:r w:rsidR="00CC5197" w:rsidRPr="000B1539">
        <w:t>lobal Environment Facility</w:t>
      </w:r>
      <w:r w:rsidR="00F80028" w:rsidRPr="007D74DD">
        <w:t xml:space="preserve"> to inform the </w:t>
      </w:r>
      <w:r w:rsidR="009D43B2" w:rsidRPr="007D74DD">
        <w:t>C</w:t>
      </w:r>
      <w:r w:rsidR="00F80028" w:rsidRPr="007D74DD">
        <w:t xml:space="preserve">onference of </w:t>
      </w:r>
      <w:r w:rsidR="00AB52BA" w:rsidRPr="007D74DD">
        <w:t xml:space="preserve">the </w:t>
      </w:r>
      <w:r w:rsidR="00C66516" w:rsidRPr="007D74DD">
        <w:t>P</w:t>
      </w:r>
      <w:r w:rsidR="00F80028" w:rsidRPr="007D74DD">
        <w:t xml:space="preserve">arties </w:t>
      </w:r>
      <w:r w:rsidR="00E65D15" w:rsidRPr="007D74DD">
        <w:t>o</w:t>
      </w:r>
      <w:r w:rsidR="002141DD">
        <w:t>n</w:t>
      </w:r>
      <w:r w:rsidR="00F80028" w:rsidRPr="007D74DD">
        <w:t xml:space="preserve"> how it is taking into account the </w:t>
      </w:r>
      <w:r w:rsidR="00247C42" w:rsidRPr="000B1539">
        <w:t>[</w:t>
      </w:r>
      <w:r w:rsidR="00F80028" w:rsidRPr="000B1539">
        <w:t>voluntary</w:t>
      </w:r>
      <w:r w:rsidR="008E32E7" w:rsidRPr="000B1539">
        <w:t>]</w:t>
      </w:r>
      <w:r w:rsidR="00F80028" w:rsidRPr="007D74DD">
        <w:t xml:space="preserve"> guidelines on safeguards in biodiversity financing mechanism</w:t>
      </w:r>
      <w:r w:rsidR="00CC5197" w:rsidRPr="007D74DD">
        <w:t>s</w:t>
      </w:r>
      <w:r w:rsidR="00F206B6" w:rsidRPr="007D74DD">
        <w:t xml:space="preserve"> developed under the Convention</w:t>
      </w:r>
      <w:r w:rsidR="006E1809" w:rsidRPr="007D74DD">
        <w:t xml:space="preserve">, recalling </w:t>
      </w:r>
      <w:r w:rsidR="002141DD">
        <w:t xml:space="preserve">in that regard </w:t>
      </w:r>
      <w:r w:rsidR="000C59D9" w:rsidRPr="007D74DD">
        <w:rPr>
          <w:szCs w:val="22"/>
        </w:rPr>
        <w:t xml:space="preserve">paragraph 6 of </w:t>
      </w:r>
      <w:r w:rsidR="00CC5197" w:rsidRPr="007D74DD">
        <w:rPr>
          <w:szCs w:val="22"/>
        </w:rPr>
        <w:t>d</w:t>
      </w:r>
      <w:r w:rsidR="006E1809" w:rsidRPr="007D74DD">
        <w:rPr>
          <w:szCs w:val="22"/>
        </w:rPr>
        <w:t>ecision</w:t>
      </w:r>
      <w:r w:rsidR="00E041E5" w:rsidRPr="007D74DD">
        <w:rPr>
          <w:szCs w:val="22"/>
        </w:rPr>
        <w:t> </w:t>
      </w:r>
      <w:r w:rsidR="00995669" w:rsidRPr="007D74DD">
        <w:rPr>
          <w:szCs w:val="22"/>
        </w:rPr>
        <w:t>14</w:t>
      </w:r>
      <w:r w:rsidR="006E1809" w:rsidRPr="007D74DD">
        <w:rPr>
          <w:szCs w:val="22"/>
        </w:rPr>
        <w:t>/15</w:t>
      </w:r>
      <w:r w:rsidR="00907967" w:rsidRPr="007D74DD">
        <w:rPr>
          <w:szCs w:val="22"/>
        </w:rPr>
        <w:t xml:space="preserve"> of 29 November 2018</w:t>
      </w:r>
      <w:r w:rsidR="00F80028" w:rsidRPr="007D74DD">
        <w:t>;</w:t>
      </w:r>
    </w:p>
    <w:p w14:paraId="56C2127A" w14:textId="5AE8227F" w:rsidR="002A3D32" w:rsidRPr="00D053E3" w:rsidRDefault="00BD412E" w:rsidP="005A2CD3">
      <w:pPr>
        <w:pStyle w:val="Para1"/>
        <w:numPr>
          <w:ilvl w:val="0"/>
          <w:numId w:val="0"/>
        </w:numPr>
        <w:tabs>
          <w:tab w:val="clear" w:pos="1134"/>
          <w:tab w:val="left" w:pos="2268"/>
        </w:tabs>
        <w:ind w:left="1134" w:firstLine="567"/>
      </w:pPr>
      <w:r w:rsidRPr="007D74DD">
        <w:t>2</w:t>
      </w:r>
      <w:r w:rsidR="005375CB" w:rsidRPr="007D74DD">
        <w:t>7</w:t>
      </w:r>
      <w:r w:rsidRPr="007D74DD">
        <w:t>.</w:t>
      </w:r>
      <w:r w:rsidRPr="007D74DD">
        <w:tab/>
      </w:r>
      <w:r w:rsidR="00BE534F" w:rsidRPr="007D74DD">
        <w:rPr>
          <w:i/>
          <w:iCs/>
        </w:rPr>
        <w:t xml:space="preserve">Further </w:t>
      </w:r>
      <w:r w:rsidR="003A4A5D" w:rsidRPr="000B1539">
        <w:t>[</w:t>
      </w:r>
      <w:r w:rsidR="003A4A5D" w:rsidRPr="000B1539">
        <w:rPr>
          <w:i/>
          <w:iCs/>
        </w:rPr>
        <w:t>requests</w:t>
      </w:r>
      <w:r w:rsidR="003A4A5D" w:rsidRPr="000B1539">
        <w:t>]</w:t>
      </w:r>
      <w:r w:rsidR="00276A58" w:rsidRPr="000B1539">
        <w:t>[</w:t>
      </w:r>
      <w:r w:rsidR="00276A58" w:rsidRPr="000B1539">
        <w:rPr>
          <w:i/>
          <w:iCs/>
        </w:rPr>
        <w:t>instructs</w:t>
      </w:r>
      <w:r w:rsidR="00276A58" w:rsidRPr="000B1539">
        <w:t>]</w:t>
      </w:r>
      <w:r w:rsidRPr="007D74DD">
        <w:t xml:space="preserve"> the </w:t>
      </w:r>
      <w:r w:rsidRPr="000B1539">
        <w:t>Global Environment Facility</w:t>
      </w:r>
      <w:r w:rsidRPr="007D74DD">
        <w:t xml:space="preserve"> to explore ways to further improve, facilitate access to and increase </w:t>
      </w:r>
      <w:r w:rsidR="00A95D22" w:rsidRPr="000B1539">
        <w:t>[</w:t>
      </w:r>
      <w:r w:rsidR="006D67F8" w:rsidRPr="000B1539">
        <w:t>direct</w:t>
      </w:r>
      <w:r w:rsidR="00A95D22" w:rsidRPr="000B1539">
        <w:t>]</w:t>
      </w:r>
      <w:r w:rsidR="006D67F8" w:rsidRPr="007D74DD">
        <w:t xml:space="preserve"> </w:t>
      </w:r>
      <w:r w:rsidRPr="007D74DD">
        <w:t xml:space="preserve">funding for </w:t>
      </w:r>
      <w:r w:rsidRPr="000B1539">
        <w:t>indigenous people</w:t>
      </w:r>
      <w:r w:rsidRPr="007D74DD">
        <w:t>s</w:t>
      </w:r>
      <w:r w:rsidR="00093E8D" w:rsidRPr="007D74DD">
        <w:t xml:space="preserve"> and</w:t>
      </w:r>
      <w:r w:rsidRPr="007D74DD">
        <w:t xml:space="preserve"> local communities, </w:t>
      </w:r>
      <w:r w:rsidR="00247C42" w:rsidRPr="000B1539">
        <w:t>[</w:t>
      </w:r>
      <w:r w:rsidR="0047538C" w:rsidRPr="000B1539">
        <w:t>p</w:t>
      </w:r>
      <w:r w:rsidR="00F51DA1" w:rsidRPr="000B1539">
        <w:t>eople</w:t>
      </w:r>
      <w:r w:rsidR="0001003F" w:rsidRPr="000B1539">
        <w:t xml:space="preserve"> of </w:t>
      </w:r>
      <w:r w:rsidR="008037B3" w:rsidRPr="000B1539">
        <w:t>A</w:t>
      </w:r>
      <w:r w:rsidR="00247C42" w:rsidRPr="000B1539">
        <w:t>fr</w:t>
      </w:r>
      <w:r w:rsidR="0047538C" w:rsidRPr="000B1539">
        <w:t xml:space="preserve">ican </w:t>
      </w:r>
      <w:r w:rsidR="00247C42" w:rsidRPr="000B1539">
        <w:t>descen</w:t>
      </w:r>
      <w:r w:rsidR="0047538C" w:rsidRPr="000B1539">
        <w:t>t</w:t>
      </w:r>
      <w:r w:rsidR="00247C42" w:rsidRPr="000B1539">
        <w:t>,]</w:t>
      </w:r>
      <w:r w:rsidR="00247C42" w:rsidRPr="007D74DD">
        <w:t xml:space="preserve"> </w:t>
      </w:r>
      <w:r w:rsidRPr="007D74DD">
        <w:t xml:space="preserve">women and </w:t>
      </w:r>
      <w:r w:rsidRPr="000B1539">
        <w:t>youth;</w:t>
      </w:r>
    </w:p>
    <w:p w14:paraId="082F7484" w14:textId="0AE4AA3D" w:rsidR="00B640AF" w:rsidRPr="00D053E3" w:rsidRDefault="00B640AF" w:rsidP="003D3F00">
      <w:pPr>
        <w:pStyle w:val="Para1"/>
        <w:numPr>
          <w:ilvl w:val="0"/>
          <w:numId w:val="0"/>
        </w:numPr>
        <w:tabs>
          <w:tab w:val="clear" w:pos="1134"/>
          <w:tab w:val="left" w:pos="2268"/>
        </w:tabs>
        <w:ind w:left="1134"/>
        <w:rPr>
          <w:b/>
          <w:bCs/>
        </w:rPr>
      </w:pPr>
      <w:r w:rsidRPr="00D053E3">
        <w:rPr>
          <w:b/>
          <w:bCs/>
        </w:rPr>
        <w:t>Review of the effectiveness of the financial mechanism</w:t>
      </w:r>
    </w:p>
    <w:p w14:paraId="336DBAA6" w14:textId="718585E6" w:rsidR="00E06CFF" w:rsidRPr="000B1539" w:rsidRDefault="00407C7E" w:rsidP="00EC0940">
      <w:pPr>
        <w:pStyle w:val="Para1"/>
        <w:numPr>
          <w:ilvl w:val="0"/>
          <w:numId w:val="0"/>
        </w:numPr>
        <w:tabs>
          <w:tab w:val="clear" w:pos="1134"/>
          <w:tab w:val="left" w:pos="2268"/>
        </w:tabs>
        <w:ind w:left="1134" w:firstLine="567"/>
      </w:pPr>
      <w:r w:rsidRPr="000B1539">
        <w:t>[</w:t>
      </w:r>
      <w:r w:rsidR="00F15357" w:rsidRPr="000B1539">
        <w:t>2</w:t>
      </w:r>
      <w:r w:rsidR="005375CB" w:rsidRPr="000B1539">
        <w:t>8</w:t>
      </w:r>
      <w:r w:rsidR="00F15357" w:rsidRPr="000B1539">
        <w:t>.</w:t>
      </w:r>
      <w:r w:rsidR="00F15357" w:rsidRPr="000B1539">
        <w:tab/>
      </w:r>
      <w:r w:rsidR="00E90486" w:rsidRPr="000B1539">
        <w:rPr>
          <w:i/>
          <w:iCs/>
        </w:rPr>
        <w:t>Welcomes</w:t>
      </w:r>
      <w:r w:rsidR="00E90486" w:rsidRPr="000B1539">
        <w:t xml:space="preserve"> the sixth review of the effectiveness of the financial mechanism</w:t>
      </w:r>
      <w:r w:rsidR="001D6739" w:rsidRPr="000B1539">
        <w:t>;</w:t>
      </w:r>
      <w:r w:rsidR="001D6739" w:rsidRPr="000B1539">
        <w:rPr>
          <w:rStyle w:val="FootnoteReference"/>
        </w:rPr>
        <w:footnoteReference w:id="25"/>
      </w:r>
      <w:r w:rsidR="00BC2A1C" w:rsidRPr="000B1539">
        <w:t>]</w:t>
      </w:r>
    </w:p>
    <w:p w14:paraId="6E6CA027" w14:textId="16804E56" w:rsidR="00787908" w:rsidRDefault="00E90486" w:rsidP="00787908">
      <w:pPr>
        <w:pStyle w:val="Para1"/>
        <w:numPr>
          <w:ilvl w:val="0"/>
          <w:numId w:val="0"/>
        </w:numPr>
        <w:tabs>
          <w:tab w:val="clear" w:pos="1134"/>
          <w:tab w:val="left" w:pos="2268"/>
        </w:tabs>
        <w:ind w:left="1134" w:firstLine="567"/>
      </w:pPr>
      <w:r w:rsidRPr="00197835">
        <w:t>2</w:t>
      </w:r>
      <w:r w:rsidR="005375CB" w:rsidRPr="00197835">
        <w:t>9</w:t>
      </w:r>
      <w:r w:rsidR="00833BC6" w:rsidRPr="00197835">
        <w:t>.</w:t>
      </w:r>
      <w:r w:rsidR="00833BC6" w:rsidRPr="00197835">
        <w:tab/>
      </w:r>
      <w:r w:rsidR="00821B7B" w:rsidRPr="00197835">
        <w:rPr>
          <w:i/>
          <w:iCs/>
        </w:rPr>
        <w:t xml:space="preserve">Requests </w:t>
      </w:r>
      <w:r w:rsidR="00821B7B" w:rsidRPr="00197835">
        <w:t xml:space="preserve">the Executive Secretary to prepare draft terms of reference </w:t>
      </w:r>
      <w:r w:rsidR="00692B46">
        <w:t>for</w:t>
      </w:r>
      <w:r w:rsidR="00821B7B" w:rsidRPr="00197835">
        <w:t xml:space="preserve"> the seventh review of the effectiveness of the financial mechanism, </w:t>
      </w:r>
      <w:r w:rsidR="00C473F6" w:rsidRPr="00197835">
        <w:t xml:space="preserve">ensuring that the review </w:t>
      </w:r>
      <w:r w:rsidR="00AA75E0" w:rsidRPr="00197835">
        <w:t>includ</w:t>
      </w:r>
      <w:r w:rsidR="00C473F6" w:rsidRPr="00197835">
        <w:t>es</w:t>
      </w:r>
      <w:r w:rsidR="00AA75E0" w:rsidRPr="00197835">
        <w:t xml:space="preserve"> </w:t>
      </w:r>
      <w:r w:rsidR="00C473F6" w:rsidRPr="00197835">
        <w:t xml:space="preserve">the </w:t>
      </w:r>
      <w:r w:rsidR="00AA75E0" w:rsidRPr="00197835">
        <w:t xml:space="preserve">views from </w:t>
      </w:r>
      <w:r w:rsidR="00E417A3" w:rsidRPr="000B1539">
        <w:t>[and possible impacts on the rights of]</w:t>
      </w:r>
      <w:r w:rsidR="00E417A3" w:rsidRPr="00197835">
        <w:t xml:space="preserve"> </w:t>
      </w:r>
      <w:r w:rsidR="00AA75E0" w:rsidRPr="000B1539">
        <w:t>indigenous people</w:t>
      </w:r>
      <w:r w:rsidR="00AA75E0" w:rsidRPr="00197835">
        <w:t>s and local communities</w:t>
      </w:r>
      <w:r w:rsidR="001D6739" w:rsidRPr="00197835">
        <w:t>,</w:t>
      </w:r>
      <w:r w:rsidR="00AA75E0" w:rsidRPr="00197835">
        <w:t xml:space="preserve"> </w:t>
      </w:r>
      <w:r w:rsidR="00E31674" w:rsidRPr="00197835">
        <w:t xml:space="preserve">women and </w:t>
      </w:r>
      <w:r w:rsidR="00E31674" w:rsidRPr="000B1539">
        <w:t>youth,</w:t>
      </w:r>
      <w:r w:rsidR="00E31674" w:rsidRPr="00197835">
        <w:t xml:space="preserve"> </w:t>
      </w:r>
      <w:r w:rsidR="00821B7B" w:rsidRPr="00197835">
        <w:t xml:space="preserve">for consideration by the Subsidiary Body on Implementation at its </w:t>
      </w:r>
      <w:r w:rsidR="00B077E7" w:rsidRPr="00197835">
        <w:t xml:space="preserve">sixth </w:t>
      </w:r>
      <w:r w:rsidR="00821B7B" w:rsidRPr="00197835">
        <w:t>meeting and the Conference of the Parties at its seventeenth</w:t>
      </w:r>
      <w:r w:rsidR="00B077E7" w:rsidRPr="00197835">
        <w:t xml:space="preserve"> meeting</w:t>
      </w:r>
      <w:r w:rsidR="00586C70" w:rsidRPr="000B1539">
        <w:t>[</w:t>
      </w:r>
      <w:r w:rsidR="00E20138" w:rsidRPr="000B1539">
        <w:t>, to be implemented with resources from the core budget</w:t>
      </w:r>
      <w:r w:rsidR="00586C70" w:rsidRPr="000B1539">
        <w:t>]</w:t>
      </w:r>
      <w:r w:rsidR="00973211" w:rsidRPr="00197835">
        <w:t>.</w:t>
      </w:r>
    </w:p>
    <w:p w14:paraId="042474F5" w14:textId="57CF5B26" w:rsidR="00B83802" w:rsidRPr="000B1539" w:rsidRDefault="00A43C84" w:rsidP="00E20E23">
      <w:pPr>
        <w:keepNext/>
        <w:keepLines/>
        <w:suppressLineNumbers/>
        <w:suppressAutoHyphens/>
        <w:adjustRightInd w:val="0"/>
        <w:snapToGrid w:val="0"/>
        <w:spacing w:before="240"/>
        <w:ind w:left="1134"/>
        <w:jc w:val="left"/>
        <w:outlineLvl w:val="2"/>
        <w:rPr>
          <w:b/>
          <w:bCs/>
          <w:iCs/>
          <w:snapToGrid w:val="0"/>
          <w:kern w:val="22"/>
          <w:sz w:val="24"/>
        </w:rPr>
      </w:pPr>
      <w:bookmarkStart w:id="5" w:name="_Toc118354994"/>
      <w:r w:rsidRPr="000B1539">
        <w:rPr>
          <w:b/>
          <w:bCs/>
          <w:iCs/>
          <w:snapToGrid w:val="0"/>
          <w:kern w:val="22"/>
          <w:sz w:val="24"/>
        </w:rPr>
        <w:t>[</w:t>
      </w:r>
      <w:r w:rsidR="00B83802" w:rsidRPr="000B1539">
        <w:rPr>
          <w:b/>
          <w:bCs/>
          <w:iCs/>
          <w:snapToGrid w:val="0"/>
          <w:kern w:val="22"/>
          <w:sz w:val="24"/>
        </w:rPr>
        <w:t>Annex</w:t>
      </w:r>
      <w:bookmarkEnd w:id="5"/>
    </w:p>
    <w:p w14:paraId="05A79E98" w14:textId="16B69E10" w:rsidR="00B83802" w:rsidRPr="000B1539" w:rsidRDefault="00A24235" w:rsidP="00E20E23">
      <w:pPr>
        <w:keepNext/>
        <w:spacing w:after="120"/>
        <w:ind w:left="1134" w:right="571"/>
        <w:jc w:val="left"/>
        <w:outlineLvl w:val="0"/>
        <w:rPr>
          <w:rFonts w:ascii="Times New Roman Bold" w:hAnsi="Times New Roman Bold" w:cs="Times New Roman Bold"/>
          <w:b/>
          <w:bCs/>
          <w:caps/>
          <w:sz w:val="24"/>
          <w:lang w:val="en-US" w:eastAsia="en-CA"/>
        </w:rPr>
      </w:pPr>
      <w:bookmarkStart w:id="6" w:name="_Toc118354995"/>
      <w:r w:rsidRPr="000B1539">
        <w:rPr>
          <w:rFonts w:ascii="Times New Roman Bold" w:hAnsi="Times New Roman Bold" w:cs="Times New Roman Bold"/>
          <w:b/>
          <w:bCs/>
          <w:sz w:val="24"/>
        </w:rPr>
        <w:t>Four</w:t>
      </w:r>
      <w:r w:rsidR="00B83802" w:rsidRPr="000B1539">
        <w:rPr>
          <w:rFonts w:ascii="Times New Roman Bold" w:hAnsi="Times New Roman Bold" w:cs="Times New Roman Bold"/>
          <w:b/>
          <w:bCs/>
          <w:caps/>
          <w:sz w:val="24"/>
        </w:rPr>
        <w:t>-</w:t>
      </w:r>
      <w:r w:rsidRPr="000B1539">
        <w:rPr>
          <w:rFonts w:ascii="Times New Roman Bold" w:hAnsi="Times New Roman Bold" w:cs="Times New Roman Bold"/>
          <w:b/>
          <w:bCs/>
          <w:sz w:val="24"/>
        </w:rPr>
        <w:t>year</w:t>
      </w:r>
      <w:r w:rsidR="00B83802" w:rsidRPr="000B1539">
        <w:rPr>
          <w:rFonts w:ascii="Times New Roman Bold" w:hAnsi="Times New Roman Bold" w:cs="Times New Roman Bold"/>
          <w:b/>
          <w:bCs/>
          <w:caps/>
          <w:sz w:val="24"/>
        </w:rPr>
        <w:t xml:space="preserve"> </w:t>
      </w:r>
      <w:r w:rsidRPr="000B1539">
        <w:rPr>
          <w:rFonts w:ascii="Times New Roman Bold" w:hAnsi="Times New Roman Bold" w:cs="Times New Roman Bold"/>
          <w:b/>
          <w:bCs/>
          <w:sz w:val="24"/>
        </w:rPr>
        <w:t>outcome</w:t>
      </w:r>
      <w:r w:rsidR="00B83802" w:rsidRPr="000B1539">
        <w:rPr>
          <w:rFonts w:ascii="Times New Roman Bold" w:hAnsi="Times New Roman Bold" w:cs="Times New Roman Bold"/>
          <w:b/>
          <w:bCs/>
          <w:caps/>
          <w:sz w:val="24"/>
        </w:rPr>
        <w:t>-</w:t>
      </w:r>
      <w:r w:rsidRPr="000B1539">
        <w:rPr>
          <w:rFonts w:ascii="Times New Roman Bold" w:hAnsi="Times New Roman Bold" w:cs="Times New Roman Bold"/>
          <w:b/>
          <w:bCs/>
          <w:sz w:val="24"/>
        </w:rPr>
        <w:t>oriented</w:t>
      </w:r>
      <w:r w:rsidR="00B83802" w:rsidRPr="000B1539">
        <w:rPr>
          <w:rFonts w:ascii="Times New Roman Bold" w:hAnsi="Times New Roman Bold" w:cs="Times New Roman Bold"/>
          <w:b/>
          <w:bCs/>
          <w:caps/>
          <w:sz w:val="24"/>
        </w:rPr>
        <w:t xml:space="preserve"> </w:t>
      </w:r>
      <w:r w:rsidRPr="000B1539">
        <w:rPr>
          <w:rFonts w:ascii="Times New Roman Bold" w:hAnsi="Times New Roman Bold" w:cs="Times New Roman Bold"/>
          <w:b/>
          <w:bCs/>
          <w:sz w:val="24"/>
        </w:rPr>
        <w:t>framework</w:t>
      </w:r>
      <w:r w:rsidR="00B83802" w:rsidRPr="000B1539">
        <w:rPr>
          <w:rFonts w:ascii="Times New Roman Bold" w:hAnsi="Times New Roman Bold" w:cs="Times New Roman Bold"/>
          <w:b/>
          <w:bCs/>
          <w:caps/>
          <w:sz w:val="24"/>
        </w:rPr>
        <w:t xml:space="preserve"> </w:t>
      </w:r>
      <w:r w:rsidRPr="000B1539">
        <w:rPr>
          <w:rFonts w:ascii="Times New Roman Bold" w:hAnsi="Times New Roman Bold" w:cs="Times New Roman Bold"/>
          <w:b/>
          <w:bCs/>
          <w:sz w:val="24"/>
        </w:rPr>
        <w:t>of</w:t>
      </w:r>
      <w:r w:rsidR="005243B4">
        <w:rPr>
          <w:rFonts w:ascii="Times New Roman Bold" w:hAnsi="Times New Roman Bold" w:cs="Times New Roman Bold"/>
          <w:b/>
          <w:bCs/>
          <w:caps/>
          <w:sz w:val="24"/>
        </w:rPr>
        <w:t xml:space="preserve"> </w:t>
      </w:r>
      <w:r w:rsidR="005243B4">
        <w:rPr>
          <w:rFonts w:ascii="Times New Roman Bold" w:hAnsi="Times New Roman Bold" w:cs="Times New Roman Bold"/>
          <w:b/>
          <w:bCs/>
          <w:sz w:val="24"/>
        </w:rPr>
        <w:t>biodiversity</w:t>
      </w:r>
      <w:r w:rsidR="005243B4" w:rsidRPr="005243B4">
        <w:rPr>
          <w:rFonts w:ascii="Times New Roman Bold" w:hAnsi="Times New Roman Bold" w:cs="Times New Roman Bold"/>
          <w:b/>
          <w:bCs/>
          <w:sz w:val="24"/>
        </w:rPr>
        <w:t xml:space="preserve"> </w:t>
      </w:r>
      <w:r w:rsidRPr="000B1539">
        <w:rPr>
          <w:rFonts w:ascii="Times New Roman Bold" w:hAnsi="Times New Roman Bold" w:cs="Times New Roman Bold"/>
          <w:b/>
          <w:bCs/>
          <w:sz w:val="24"/>
        </w:rPr>
        <w:t>programme</w:t>
      </w:r>
      <w:r w:rsidR="00B83802" w:rsidRPr="000B1539">
        <w:rPr>
          <w:rFonts w:ascii="Times New Roman Bold" w:hAnsi="Times New Roman Bold" w:cs="Times New Roman Bold"/>
          <w:b/>
          <w:bCs/>
          <w:caps/>
          <w:sz w:val="24"/>
        </w:rPr>
        <w:t xml:space="preserve"> </w:t>
      </w:r>
      <w:r w:rsidRPr="000B1539">
        <w:rPr>
          <w:rFonts w:ascii="Times New Roman Bold" w:hAnsi="Times New Roman Bold" w:cs="Times New Roman Bold"/>
          <w:b/>
          <w:bCs/>
          <w:sz w:val="24"/>
        </w:rPr>
        <w:t>priorities</w:t>
      </w:r>
      <w:r w:rsidR="0073601F">
        <w:rPr>
          <w:rFonts w:ascii="Times New Roman Bold" w:hAnsi="Times New Roman Bold" w:cs="Times New Roman Bold"/>
          <w:b/>
          <w:bCs/>
          <w:caps/>
          <w:sz w:val="24"/>
        </w:rPr>
        <w:t xml:space="preserve"> </w:t>
      </w:r>
      <w:r w:rsidRPr="000B1539">
        <w:rPr>
          <w:rFonts w:ascii="Times New Roman Bold" w:hAnsi="Times New Roman Bold" w:cs="Times New Roman Bold"/>
          <w:b/>
          <w:bCs/>
          <w:sz w:val="24"/>
        </w:rPr>
        <w:t>of</w:t>
      </w:r>
      <w:r w:rsidR="00B83802" w:rsidRPr="000B1539">
        <w:rPr>
          <w:rFonts w:ascii="Times New Roman Bold" w:hAnsi="Times New Roman Bold" w:cs="Times New Roman Bold"/>
          <w:b/>
          <w:bCs/>
          <w:caps/>
          <w:sz w:val="24"/>
        </w:rPr>
        <w:t xml:space="preserve"> </w:t>
      </w:r>
      <w:r w:rsidRPr="000B1539">
        <w:rPr>
          <w:rFonts w:ascii="Times New Roman Bold" w:hAnsi="Times New Roman Bold" w:cs="Times New Roman Bold"/>
          <w:b/>
          <w:bCs/>
          <w:sz w:val="24"/>
        </w:rPr>
        <w:t>the</w:t>
      </w:r>
      <w:r w:rsidR="00B83802" w:rsidRPr="000B1539">
        <w:rPr>
          <w:rFonts w:ascii="Times New Roman Bold" w:hAnsi="Times New Roman Bold" w:cs="Times New Roman Bold"/>
          <w:b/>
          <w:bCs/>
          <w:caps/>
          <w:sz w:val="24"/>
        </w:rPr>
        <w:t xml:space="preserve"> </w:t>
      </w:r>
      <w:r w:rsidR="002C01D9" w:rsidRPr="000B1539">
        <w:rPr>
          <w:rFonts w:ascii="Times New Roman Bold" w:hAnsi="Times New Roman Bold" w:cs="Times New Roman Bold"/>
          <w:b/>
          <w:bCs/>
          <w:sz w:val="24"/>
        </w:rPr>
        <w:t>C</w:t>
      </w:r>
      <w:r w:rsidRPr="000B1539">
        <w:rPr>
          <w:rFonts w:ascii="Times New Roman Bold" w:hAnsi="Times New Roman Bold" w:cs="Times New Roman Bold"/>
          <w:b/>
          <w:bCs/>
          <w:sz w:val="24"/>
        </w:rPr>
        <w:t>onvention</w:t>
      </w:r>
      <w:r w:rsidR="00B83802" w:rsidRPr="000B1539">
        <w:rPr>
          <w:rFonts w:ascii="Times New Roman Bold" w:hAnsi="Times New Roman Bold" w:cs="Times New Roman Bold"/>
          <w:b/>
          <w:bCs/>
          <w:caps/>
          <w:sz w:val="24"/>
        </w:rPr>
        <w:t xml:space="preserve"> </w:t>
      </w:r>
      <w:r w:rsidRPr="000B1539">
        <w:rPr>
          <w:rFonts w:ascii="Times New Roman Bold" w:hAnsi="Times New Roman Bold" w:cs="Times New Roman Bold"/>
          <w:b/>
          <w:bCs/>
          <w:sz w:val="24"/>
        </w:rPr>
        <w:t>on</w:t>
      </w:r>
      <w:r w:rsidR="00B83802" w:rsidRPr="000B1539">
        <w:rPr>
          <w:rFonts w:ascii="Times New Roman Bold" w:hAnsi="Times New Roman Bold" w:cs="Times New Roman Bold"/>
          <w:b/>
          <w:bCs/>
          <w:caps/>
          <w:sz w:val="24"/>
        </w:rPr>
        <w:t xml:space="preserve"> </w:t>
      </w:r>
      <w:r w:rsidR="002C01D9" w:rsidRPr="000B1539">
        <w:rPr>
          <w:rFonts w:ascii="Times New Roman Bold" w:hAnsi="Times New Roman Bold" w:cs="Times New Roman Bold"/>
          <w:b/>
          <w:bCs/>
          <w:sz w:val="24"/>
        </w:rPr>
        <w:t>B</w:t>
      </w:r>
      <w:r w:rsidRPr="000B1539">
        <w:rPr>
          <w:rFonts w:ascii="Times New Roman Bold" w:hAnsi="Times New Roman Bold" w:cs="Times New Roman Bold"/>
          <w:b/>
          <w:bCs/>
          <w:sz w:val="24"/>
        </w:rPr>
        <w:t>iological</w:t>
      </w:r>
      <w:r w:rsidR="00B83802" w:rsidRPr="000B1539">
        <w:rPr>
          <w:rFonts w:ascii="Times New Roman Bold" w:hAnsi="Times New Roman Bold" w:cs="Times New Roman Bold"/>
          <w:b/>
          <w:bCs/>
          <w:caps/>
          <w:sz w:val="24"/>
        </w:rPr>
        <w:t xml:space="preserve"> </w:t>
      </w:r>
      <w:r w:rsidR="002C01D9" w:rsidRPr="000B1539">
        <w:rPr>
          <w:rFonts w:ascii="Times New Roman Bold" w:hAnsi="Times New Roman Bold" w:cs="Times New Roman Bold"/>
          <w:b/>
          <w:bCs/>
          <w:sz w:val="24"/>
        </w:rPr>
        <w:t>D</w:t>
      </w:r>
      <w:r w:rsidRPr="000B1539">
        <w:rPr>
          <w:rFonts w:ascii="Times New Roman Bold" w:hAnsi="Times New Roman Bold" w:cs="Times New Roman Bold"/>
          <w:b/>
          <w:bCs/>
          <w:sz w:val="24"/>
        </w:rPr>
        <w:t>iversity</w:t>
      </w:r>
      <w:r w:rsidR="005243B4">
        <w:rPr>
          <w:rFonts w:ascii="Times New Roman Bold" w:hAnsi="Times New Roman Bold" w:cs="Times New Roman Bold"/>
          <w:b/>
          <w:bCs/>
          <w:caps/>
          <w:sz w:val="24"/>
        </w:rPr>
        <w:t xml:space="preserve"> </w:t>
      </w:r>
      <w:r w:rsidR="005243B4">
        <w:rPr>
          <w:rFonts w:ascii="Times New Roman Bold" w:hAnsi="Times New Roman Bold" w:cs="Times New Roman Bold"/>
          <w:b/>
          <w:bCs/>
          <w:sz w:val="24"/>
        </w:rPr>
        <w:t>and its Protocols</w:t>
      </w:r>
      <w:r w:rsidR="005243B4" w:rsidRPr="005243B4">
        <w:rPr>
          <w:rFonts w:ascii="Times New Roman Bold" w:hAnsi="Times New Roman Bold" w:cs="Times New Roman Bold"/>
          <w:b/>
          <w:bCs/>
          <w:sz w:val="24"/>
        </w:rPr>
        <w:t xml:space="preserve"> </w:t>
      </w:r>
      <w:r w:rsidRPr="000B1539">
        <w:rPr>
          <w:rFonts w:ascii="Times New Roman Bold" w:hAnsi="Times New Roman Bold" w:cs="Times New Roman Bold"/>
          <w:b/>
          <w:bCs/>
          <w:sz w:val="24"/>
        </w:rPr>
        <w:t>for</w:t>
      </w:r>
      <w:r w:rsidR="00B83802" w:rsidRPr="000B1539">
        <w:rPr>
          <w:rFonts w:ascii="Times New Roman Bold" w:hAnsi="Times New Roman Bold" w:cs="Times New Roman Bold"/>
          <w:b/>
          <w:bCs/>
          <w:caps/>
          <w:sz w:val="24"/>
        </w:rPr>
        <w:t xml:space="preserve"> </w:t>
      </w:r>
      <w:r w:rsidRPr="000B1539">
        <w:rPr>
          <w:rFonts w:ascii="Times New Roman Bold" w:hAnsi="Times New Roman Bold" w:cs="Times New Roman Bold"/>
          <w:b/>
          <w:bCs/>
          <w:sz w:val="24"/>
        </w:rPr>
        <w:t>the ninth replenishment</w:t>
      </w:r>
      <w:r w:rsidR="00B83802" w:rsidRPr="000B1539">
        <w:rPr>
          <w:rFonts w:ascii="Times New Roman Bold" w:hAnsi="Times New Roman Bold" w:cs="Times New Roman Bold"/>
          <w:b/>
          <w:bCs/>
          <w:caps/>
          <w:sz w:val="24"/>
        </w:rPr>
        <w:t xml:space="preserve"> </w:t>
      </w:r>
      <w:r w:rsidRPr="000B1539">
        <w:rPr>
          <w:rFonts w:ascii="Times New Roman Bold" w:hAnsi="Times New Roman Bold" w:cs="Times New Roman Bold"/>
          <w:b/>
          <w:bCs/>
          <w:sz w:val="24"/>
        </w:rPr>
        <w:t>period</w:t>
      </w:r>
      <w:r w:rsidR="00B83802" w:rsidRPr="000B1539">
        <w:rPr>
          <w:rFonts w:ascii="Times New Roman Bold" w:hAnsi="Times New Roman Bold" w:cs="Times New Roman Bold"/>
          <w:b/>
          <w:bCs/>
          <w:caps/>
          <w:sz w:val="24"/>
        </w:rPr>
        <w:t xml:space="preserve"> </w:t>
      </w:r>
      <w:r w:rsidR="003C6D37">
        <w:rPr>
          <w:rFonts w:ascii="Times New Roman Bold" w:hAnsi="Times New Roman Bold" w:cs="Times New Roman Bold"/>
          <w:b/>
          <w:bCs/>
          <w:caps/>
          <w:sz w:val="24"/>
        </w:rPr>
        <w:br/>
      </w:r>
      <w:r w:rsidRPr="000B1539">
        <w:rPr>
          <w:rFonts w:ascii="Times New Roman Bold" w:hAnsi="Times New Roman Bold" w:cs="Times New Roman Bold"/>
          <w:b/>
          <w:bCs/>
          <w:sz w:val="24"/>
        </w:rPr>
        <w:t>of</w:t>
      </w:r>
      <w:r w:rsidR="00B83802" w:rsidRPr="000B1539">
        <w:rPr>
          <w:rFonts w:ascii="Times New Roman Bold" w:hAnsi="Times New Roman Bold" w:cs="Times New Roman Bold"/>
          <w:b/>
          <w:bCs/>
          <w:caps/>
          <w:sz w:val="24"/>
        </w:rPr>
        <w:t xml:space="preserve"> </w:t>
      </w:r>
      <w:r w:rsidRPr="000B1539">
        <w:rPr>
          <w:rFonts w:ascii="Times New Roman Bold" w:hAnsi="Times New Roman Bold" w:cs="Times New Roman Bold"/>
          <w:b/>
          <w:bCs/>
          <w:sz w:val="24"/>
        </w:rPr>
        <w:t>the</w:t>
      </w:r>
      <w:r w:rsidR="00B83802" w:rsidRPr="000B1539">
        <w:rPr>
          <w:rFonts w:ascii="Times New Roman Bold" w:hAnsi="Times New Roman Bold" w:cs="Times New Roman Bold"/>
          <w:b/>
          <w:bCs/>
          <w:caps/>
          <w:sz w:val="24"/>
        </w:rPr>
        <w:t xml:space="preserve"> </w:t>
      </w:r>
      <w:r w:rsidR="002C01D9" w:rsidRPr="000B1539">
        <w:rPr>
          <w:rFonts w:ascii="Times New Roman Bold" w:hAnsi="Times New Roman Bold" w:cs="Times New Roman Bold"/>
          <w:b/>
          <w:bCs/>
          <w:sz w:val="24"/>
        </w:rPr>
        <w:t>G</w:t>
      </w:r>
      <w:r w:rsidRPr="000B1539">
        <w:rPr>
          <w:rFonts w:ascii="Times New Roman Bold" w:hAnsi="Times New Roman Bold" w:cs="Times New Roman Bold"/>
          <w:b/>
          <w:bCs/>
          <w:sz w:val="24"/>
        </w:rPr>
        <w:t>lobal</w:t>
      </w:r>
      <w:r w:rsidR="00B83802" w:rsidRPr="000B1539">
        <w:rPr>
          <w:rFonts w:ascii="Times New Roman Bold" w:hAnsi="Times New Roman Bold" w:cs="Times New Roman Bold"/>
          <w:b/>
          <w:bCs/>
          <w:caps/>
          <w:sz w:val="24"/>
        </w:rPr>
        <w:t xml:space="preserve"> </w:t>
      </w:r>
      <w:r w:rsidR="002C01D9" w:rsidRPr="000B1539">
        <w:rPr>
          <w:rFonts w:ascii="Times New Roman Bold" w:hAnsi="Times New Roman Bold" w:cs="Times New Roman Bold"/>
          <w:b/>
          <w:bCs/>
          <w:sz w:val="24"/>
        </w:rPr>
        <w:t>E</w:t>
      </w:r>
      <w:r w:rsidRPr="000B1539">
        <w:rPr>
          <w:rFonts w:ascii="Times New Roman Bold" w:hAnsi="Times New Roman Bold" w:cs="Times New Roman Bold"/>
          <w:b/>
          <w:bCs/>
          <w:sz w:val="24"/>
        </w:rPr>
        <w:t>nvironment</w:t>
      </w:r>
      <w:r w:rsidR="00B83802" w:rsidRPr="000B1539">
        <w:rPr>
          <w:rFonts w:ascii="Times New Roman Bold" w:hAnsi="Times New Roman Bold" w:cs="Times New Roman Bold"/>
          <w:b/>
          <w:bCs/>
          <w:caps/>
          <w:sz w:val="24"/>
        </w:rPr>
        <w:t xml:space="preserve"> </w:t>
      </w:r>
      <w:r w:rsidR="002C01D9" w:rsidRPr="000B1539">
        <w:rPr>
          <w:rFonts w:ascii="Times New Roman Bold" w:hAnsi="Times New Roman Bold" w:cs="Times New Roman Bold"/>
          <w:b/>
          <w:bCs/>
          <w:sz w:val="24"/>
        </w:rPr>
        <w:t>F</w:t>
      </w:r>
      <w:r w:rsidRPr="000B1539">
        <w:rPr>
          <w:rFonts w:ascii="Times New Roman Bold" w:hAnsi="Times New Roman Bold" w:cs="Times New Roman Bold"/>
          <w:b/>
          <w:bCs/>
          <w:sz w:val="24"/>
        </w:rPr>
        <w:t>acility</w:t>
      </w:r>
      <w:r w:rsidR="00B83802" w:rsidRPr="000B1539">
        <w:rPr>
          <w:rFonts w:ascii="Times New Roman Bold" w:hAnsi="Times New Roman Bold" w:cs="Times New Roman Bold"/>
          <w:b/>
          <w:bCs/>
          <w:caps/>
          <w:sz w:val="24"/>
        </w:rPr>
        <w:t xml:space="preserve"> </w:t>
      </w:r>
      <w:r w:rsidR="002C01D9" w:rsidRPr="000B1539">
        <w:rPr>
          <w:rFonts w:ascii="Times New Roman Bold" w:hAnsi="Times New Roman Bold" w:cs="Times New Roman Bold"/>
          <w:b/>
          <w:bCs/>
          <w:sz w:val="24"/>
        </w:rPr>
        <w:t>T</w:t>
      </w:r>
      <w:r w:rsidRPr="000B1539">
        <w:rPr>
          <w:rFonts w:ascii="Times New Roman Bold" w:hAnsi="Times New Roman Bold" w:cs="Times New Roman Bold"/>
          <w:b/>
          <w:bCs/>
          <w:sz w:val="24"/>
        </w:rPr>
        <w:t>rust</w:t>
      </w:r>
      <w:r w:rsidR="00B83802" w:rsidRPr="000B1539">
        <w:rPr>
          <w:rFonts w:ascii="Times New Roman Bold" w:hAnsi="Times New Roman Bold" w:cs="Times New Roman Bold"/>
          <w:b/>
          <w:bCs/>
          <w:caps/>
          <w:sz w:val="24"/>
        </w:rPr>
        <w:t xml:space="preserve"> </w:t>
      </w:r>
      <w:r w:rsidR="002C01D9" w:rsidRPr="000B1539">
        <w:rPr>
          <w:rFonts w:ascii="Times New Roman Bold" w:hAnsi="Times New Roman Bold" w:cs="Times New Roman Bold"/>
          <w:b/>
          <w:bCs/>
          <w:sz w:val="24"/>
        </w:rPr>
        <w:t>F</w:t>
      </w:r>
      <w:r w:rsidRPr="000B1539">
        <w:rPr>
          <w:rFonts w:ascii="Times New Roman Bold" w:hAnsi="Times New Roman Bold" w:cs="Times New Roman Bold"/>
          <w:b/>
          <w:bCs/>
          <w:sz w:val="24"/>
        </w:rPr>
        <w:t>und</w:t>
      </w:r>
      <w:bookmarkEnd w:id="6"/>
      <w:r w:rsidR="007843C1" w:rsidRPr="000B1539">
        <w:rPr>
          <w:rFonts w:ascii="Times New Roman Bold" w:hAnsi="Times New Roman Bold" w:cs="Times New Roman Bold"/>
          <w:b/>
          <w:bCs/>
          <w:sz w:val="24"/>
        </w:rPr>
        <w:t xml:space="preserve"> (2026–2030)</w:t>
      </w:r>
      <w:r w:rsidR="005243B4">
        <w:rPr>
          <w:rFonts w:ascii="Times New Roman Bold" w:hAnsi="Times New Roman Bold" w:cs="Times New Roman Bold"/>
          <w:b/>
          <w:bCs/>
          <w:sz w:val="24"/>
        </w:rPr>
        <w:t xml:space="preserve"> </w:t>
      </w:r>
    </w:p>
    <w:p w14:paraId="0A7BDA8E" w14:textId="77777777" w:rsidR="00B83802" w:rsidRPr="000B1539" w:rsidRDefault="00B83802" w:rsidP="003D3F00">
      <w:pPr>
        <w:keepNext/>
        <w:tabs>
          <w:tab w:val="left" w:pos="567"/>
        </w:tabs>
        <w:spacing w:before="120" w:after="120"/>
        <w:ind w:left="1134" w:hanging="567"/>
        <w:jc w:val="left"/>
        <w:outlineLvl w:val="1"/>
        <w:rPr>
          <w:b/>
          <w:bCs/>
          <w:szCs w:val="22"/>
          <w:lang w:val="en-US"/>
        </w:rPr>
      </w:pPr>
      <w:r w:rsidRPr="000B1539">
        <w:rPr>
          <w:b/>
          <w:bCs/>
          <w:szCs w:val="22"/>
          <w:lang w:val="en-US"/>
        </w:rPr>
        <w:t>A.</w:t>
      </w:r>
      <w:r w:rsidRPr="000B1539">
        <w:rPr>
          <w:b/>
          <w:bCs/>
          <w:szCs w:val="22"/>
          <w:lang w:val="en-US"/>
        </w:rPr>
        <w:tab/>
        <w:t>Objective</w:t>
      </w:r>
    </w:p>
    <w:p w14:paraId="5F10B50E" w14:textId="5752D22C" w:rsidR="00BD6A00" w:rsidRPr="000B1539" w:rsidRDefault="00E63AC6" w:rsidP="00E63AC6">
      <w:pPr>
        <w:pStyle w:val="Para1"/>
        <w:numPr>
          <w:ilvl w:val="0"/>
          <w:numId w:val="0"/>
        </w:numPr>
        <w:tabs>
          <w:tab w:val="left" w:pos="1701"/>
        </w:tabs>
        <w:ind w:left="1134"/>
      </w:pPr>
      <w:r w:rsidRPr="000B1539">
        <w:t>1.</w:t>
      </w:r>
      <w:r w:rsidRPr="003C6D37">
        <w:tab/>
      </w:r>
      <w:r w:rsidR="00B83802" w:rsidRPr="003C6D37">
        <w:rPr>
          <w:lang w:val="en-US"/>
        </w:rPr>
        <w:t>Th</w:t>
      </w:r>
      <w:r w:rsidR="0097607C" w:rsidRPr="003C6D37">
        <w:rPr>
          <w:lang w:val="en-US"/>
        </w:rPr>
        <w:t>e</w:t>
      </w:r>
      <w:r w:rsidR="00B83802" w:rsidRPr="000B1539">
        <w:rPr>
          <w:lang w:val="en-US"/>
        </w:rPr>
        <w:t xml:space="preserve"> </w:t>
      </w:r>
      <w:r w:rsidR="0097607C" w:rsidRPr="000B1539">
        <w:rPr>
          <w:lang w:val="en-US"/>
        </w:rPr>
        <w:t xml:space="preserve">present </w:t>
      </w:r>
      <w:r w:rsidR="00B83802" w:rsidRPr="000B1539">
        <w:t xml:space="preserve">four-year outcome-oriented framework of </w:t>
      </w:r>
      <w:r w:rsidR="00195BDD">
        <w:t xml:space="preserve">biodiversity </w:t>
      </w:r>
      <w:r w:rsidR="00B83802" w:rsidRPr="000B1539">
        <w:t xml:space="preserve">programme priorities </w:t>
      </w:r>
      <w:r w:rsidR="00215A5B" w:rsidRPr="000B1539">
        <w:t xml:space="preserve">serves as </w:t>
      </w:r>
      <w:r w:rsidR="00B83802" w:rsidRPr="000B1539">
        <w:t xml:space="preserve">guidance </w:t>
      </w:r>
      <w:r w:rsidR="007D0996">
        <w:t>related to</w:t>
      </w:r>
      <w:r w:rsidR="00486166" w:rsidRPr="000B1539">
        <w:t xml:space="preserve"> the Convention on Biological Diversity</w:t>
      </w:r>
      <w:r w:rsidR="00573F55" w:rsidRPr="000B1539">
        <w:rPr>
          <w:rStyle w:val="FootnoteReference"/>
        </w:rPr>
        <w:footnoteReference w:id="26"/>
      </w:r>
      <w:r w:rsidR="00486166" w:rsidRPr="000B1539">
        <w:t xml:space="preserve"> and its Protocols </w:t>
      </w:r>
      <w:r w:rsidR="00D4663B" w:rsidRPr="000B1539">
        <w:t xml:space="preserve">for </w:t>
      </w:r>
      <w:r w:rsidR="00B83802" w:rsidRPr="000B1539">
        <w:t xml:space="preserve">the Global Environment Facility for the ninth replenishment period </w:t>
      </w:r>
      <w:r w:rsidR="00BD6A00" w:rsidRPr="000B1539">
        <w:t>of the Global Environment Facility Trust Fund</w:t>
      </w:r>
      <w:r w:rsidR="00B83802" w:rsidRPr="000B1539">
        <w:t xml:space="preserve"> </w:t>
      </w:r>
      <w:r w:rsidR="001C1D7E" w:rsidRPr="000B1539">
        <w:t>(</w:t>
      </w:r>
      <w:r w:rsidR="00B83802" w:rsidRPr="000B1539">
        <w:t>2026</w:t>
      </w:r>
      <w:r w:rsidR="00B83802" w:rsidRPr="000B1539">
        <w:rPr>
          <w:b/>
          <w:bCs/>
        </w:rPr>
        <w:t>–</w:t>
      </w:r>
      <w:r w:rsidR="00B83802" w:rsidRPr="000B1539">
        <w:t>2030</w:t>
      </w:r>
      <w:r w:rsidR="001C1D7E" w:rsidRPr="000B1539">
        <w:t>)</w:t>
      </w:r>
      <w:r w:rsidR="00486166" w:rsidRPr="000B1539">
        <w:t>.</w:t>
      </w:r>
    </w:p>
    <w:p w14:paraId="5E2164F3" w14:textId="56F0A5EB" w:rsidR="00BD6A00" w:rsidRPr="000B1539" w:rsidRDefault="00E63AC6" w:rsidP="00E63AC6">
      <w:pPr>
        <w:pStyle w:val="Para1"/>
        <w:numPr>
          <w:ilvl w:val="0"/>
          <w:numId w:val="0"/>
        </w:numPr>
        <w:tabs>
          <w:tab w:val="clear" w:pos="1134"/>
          <w:tab w:val="left" w:pos="1701"/>
        </w:tabs>
        <w:ind w:left="1134"/>
      </w:pPr>
      <w:r w:rsidRPr="000B1539">
        <w:t>2.</w:t>
      </w:r>
      <w:r w:rsidRPr="00FE2A1E">
        <w:tab/>
      </w:r>
      <w:r w:rsidR="001C1D7E" w:rsidRPr="00FE2A1E">
        <w:t>The</w:t>
      </w:r>
      <w:r w:rsidR="001C1D7E" w:rsidRPr="000B1539">
        <w:t xml:space="preserve"> framework</w:t>
      </w:r>
      <w:r w:rsidR="00486166" w:rsidRPr="000B1539">
        <w:t xml:space="preserve"> is provided</w:t>
      </w:r>
      <w:r w:rsidR="00BD6A00" w:rsidRPr="000B1539">
        <w:t xml:space="preserve"> by the Conference of the Parties to the Convention </w:t>
      </w:r>
      <w:r w:rsidR="00F84408">
        <w:t xml:space="preserve">based </w:t>
      </w:r>
      <w:r w:rsidR="00BD6A00" w:rsidRPr="000B1539">
        <w:t xml:space="preserve">on the expectation that it </w:t>
      </w:r>
      <w:r w:rsidR="000C208B">
        <w:t xml:space="preserve">will </w:t>
      </w:r>
      <w:r w:rsidR="00BD6A00" w:rsidRPr="000B1539">
        <w:t xml:space="preserve">be used by the Secretariat of the Global Environment Facility and the </w:t>
      </w:r>
      <w:r w:rsidR="00FA5F59" w:rsidRPr="000B1539">
        <w:t>p</w:t>
      </w:r>
      <w:r w:rsidR="00BD6A00" w:rsidRPr="000B1539">
        <w:t>articipants in the replenishment negotiations in determining the programming directions and policy recommendations for the ninth replenishment of the Global Environment Facility</w:t>
      </w:r>
      <w:r w:rsidR="00111914" w:rsidRPr="000B1539">
        <w:t xml:space="preserve"> Trust Fund</w:t>
      </w:r>
      <w:r w:rsidR="00BD6A00" w:rsidRPr="000B1539">
        <w:t>.</w:t>
      </w:r>
    </w:p>
    <w:p w14:paraId="28E6461B" w14:textId="08DEA8D6" w:rsidR="00BD6A00" w:rsidRPr="000B1539" w:rsidRDefault="00E63AC6" w:rsidP="00E63AC6">
      <w:pPr>
        <w:pStyle w:val="Para1"/>
        <w:numPr>
          <w:ilvl w:val="0"/>
          <w:numId w:val="0"/>
        </w:numPr>
        <w:tabs>
          <w:tab w:val="clear" w:pos="1134"/>
          <w:tab w:val="left" w:pos="1701"/>
        </w:tabs>
        <w:ind w:left="1134"/>
      </w:pPr>
      <w:r w:rsidRPr="000B1539">
        <w:t>3.</w:t>
      </w:r>
      <w:r w:rsidRPr="000B1539">
        <w:tab/>
      </w:r>
      <w:r w:rsidR="00252A0C">
        <w:t>The framework</w:t>
      </w:r>
      <w:r w:rsidR="00BD6A00" w:rsidRPr="000B1539">
        <w:t xml:space="preserve"> is provided</w:t>
      </w:r>
      <w:r w:rsidR="00486166" w:rsidRPr="000B1539">
        <w:t xml:space="preserve"> </w:t>
      </w:r>
      <w:r w:rsidR="00195BDD">
        <w:t>with</w:t>
      </w:r>
      <w:r w:rsidR="00486166" w:rsidRPr="000B1539">
        <w:t>in</w:t>
      </w:r>
      <w:r w:rsidR="00B83802" w:rsidRPr="000B1539">
        <w:t xml:space="preserve"> the context of the mandate </w:t>
      </w:r>
      <w:r w:rsidR="00486166" w:rsidRPr="000B1539">
        <w:t xml:space="preserve">of the </w:t>
      </w:r>
      <w:r w:rsidR="00BD6A00" w:rsidRPr="000B1539">
        <w:t>Global Environment Facility</w:t>
      </w:r>
      <w:r w:rsidR="00486166" w:rsidRPr="000B1539">
        <w:t xml:space="preserve"> </w:t>
      </w:r>
      <w:r w:rsidR="00B83802" w:rsidRPr="000B1539">
        <w:t xml:space="preserve">to provide resources </w:t>
      </w:r>
      <w:r w:rsidR="00252A0C">
        <w:t>for</w:t>
      </w:r>
      <w:r w:rsidR="00B83802" w:rsidRPr="000B1539">
        <w:t xml:space="preserve"> achiev</w:t>
      </w:r>
      <w:r w:rsidR="00252A0C">
        <w:t>ing</w:t>
      </w:r>
      <w:r w:rsidR="00B83802" w:rsidRPr="000B1539">
        <w:t xml:space="preserve"> global environmental benefits and the mandate provided to </w:t>
      </w:r>
      <w:r w:rsidR="00BD6A00" w:rsidRPr="000B1539">
        <w:t>the Facility</w:t>
      </w:r>
      <w:r w:rsidR="00B83802" w:rsidRPr="000B1539">
        <w:t xml:space="preserve"> by the Conference of the Parties</w:t>
      </w:r>
      <w:r w:rsidR="00BD6A00" w:rsidRPr="000B1539">
        <w:t xml:space="preserve"> in the </w:t>
      </w:r>
      <w:r w:rsidR="00BA7FFE" w:rsidRPr="000B1539">
        <w:t>m</w:t>
      </w:r>
      <w:r w:rsidR="00BD6A00" w:rsidRPr="000B1539">
        <w:t xml:space="preserve">emorandum of </w:t>
      </w:r>
      <w:r w:rsidR="00BA7FFE" w:rsidRPr="000B1539">
        <w:t>u</w:t>
      </w:r>
      <w:r w:rsidR="00BD6A00" w:rsidRPr="000B1539">
        <w:t xml:space="preserve">nderstanding </w:t>
      </w:r>
      <w:r w:rsidR="00DC0939" w:rsidRPr="000B1539">
        <w:t xml:space="preserve">between </w:t>
      </w:r>
      <w:r w:rsidR="00BD6A00" w:rsidRPr="000B1539">
        <w:t xml:space="preserve">the Conference of the Parties </w:t>
      </w:r>
      <w:r w:rsidR="00DC0939" w:rsidRPr="000B1539">
        <w:t xml:space="preserve">and the </w:t>
      </w:r>
      <w:r w:rsidR="00137D03" w:rsidRPr="000B1539">
        <w:t xml:space="preserve">Council of the </w:t>
      </w:r>
      <w:r w:rsidR="00543DB5" w:rsidRPr="000B1539">
        <w:t xml:space="preserve">Global Environment </w:t>
      </w:r>
      <w:r w:rsidR="00DC0939" w:rsidRPr="000B1539">
        <w:t>Facility.</w:t>
      </w:r>
      <w:r w:rsidR="00137D03" w:rsidRPr="000B1539">
        <w:rPr>
          <w:rStyle w:val="FootnoteReference"/>
        </w:rPr>
        <w:footnoteReference w:id="27"/>
      </w:r>
    </w:p>
    <w:p w14:paraId="07B7C861" w14:textId="5347EE4C" w:rsidR="00BD6A00" w:rsidRPr="000B1539" w:rsidRDefault="00E63AC6" w:rsidP="00E63AC6">
      <w:pPr>
        <w:pStyle w:val="Para1"/>
        <w:numPr>
          <w:ilvl w:val="0"/>
          <w:numId w:val="0"/>
        </w:numPr>
        <w:tabs>
          <w:tab w:val="clear" w:pos="1134"/>
          <w:tab w:val="left" w:pos="1701"/>
        </w:tabs>
        <w:ind w:left="1134"/>
      </w:pPr>
      <w:r w:rsidRPr="000B1539">
        <w:t>4.</w:t>
      </w:r>
      <w:r w:rsidRPr="000B1539">
        <w:tab/>
      </w:r>
      <w:r w:rsidR="0094443F">
        <w:t>The framework</w:t>
      </w:r>
      <w:r w:rsidR="00B83802" w:rsidRPr="000B1539">
        <w:t xml:space="preserve"> </w:t>
      </w:r>
      <w:r w:rsidR="009C4734" w:rsidRPr="000B1539">
        <w:t xml:space="preserve">uses </w:t>
      </w:r>
      <w:r w:rsidR="00B83802" w:rsidRPr="000B1539">
        <w:t>the Convention</w:t>
      </w:r>
      <w:r w:rsidR="009C4734" w:rsidRPr="000B1539">
        <w:t xml:space="preserve"> and</w:t>
      </w:r>
      <w:r w:rsidR="00B83802" w:rsidRPr="000B1539">
        <w:t xml:space="preserve"> its Protocols and </w:t>
      </w:r>
      <w:r w:rsidR="00D86038" w:rsidRPr="000B1539">
        <w:t>the</w:t>
      </w:r>
      <w:r w:rsidR="00B83802" w:rsidRPr="000B1539">
        <w:t xml:space="preserve"> </w:t>
      </w:r>
      <w:r w:rsidR="00B83802" w:rsidRPr="000B1539">
        <w:rPr>
          <w:snapToGrid w:val="0"/>
          <w:kern w:val="22"/>
          <w:lang w:eastAsia="zh-CN"/>
        </w:rPr>
        <w:t>Kunming-Montreal Global Biodiversity Framework</w:t>
      </w:r>
      <w:r w:rsidR="0094443F">
        <w:rPr>
          <w:rStyle w:val="FootnoteReference"/>
          <w:snapToGrid w:val="0"/>
          <w:kern w:val="22"/>
          <w:lang w:eastAsia="zh-CN"/>
        </w:rPr>
        <w:footnoteReference w:id="28"/>
      </w:r>
      <w:r w:rsidR="00B83802" w:rsidRPr="000B1539">
        <w:rPr>
          <w:snapToGrid w:val="0"/>
          <w:kern w:val="22"/>
          <w:lang w:eastAsia="zh-CN"/>
        </w:rPr>
        <w:t xml:space="preserve"> </w:t>
      </w:r>
      <w:r w:rsidR="00B83802" w:rsidRPr="000B1539">
        <w:t xml:space="preserve">to set </w:t>
      </w:r>
      <w:r w:rsidR="009A098A" w:rsidRPr="000B1539">
        <w:t xml:space="preserve">the </w:t>
      </w:r>
      <w:r w:rsidR="00BD6A00" w:rsidRPr="000B1539">
        <w:t xml:space="preserve">strategic </w:t>
      </w:r>
      <w:r w:rsidR="00B83802" w:rsidRPr="000B1539">
        <w:t>priorities for the financial mechanism</w:t>
      </w:r>
      <w:r w:rsidR="009D4AAB" w:rsidRPr="000B1539">
        <w:t xml:space="preserve"> </w:t>
      </w:r>
      <w:r w:rsidR="00486166" w:rsidRPr="000B1539">
        <w:t>of the Convention</w:t>
      </w:r>
      <w:r w:rsidR="00BD6A00" w:rsidRPr="000B1539">
        <w:t>,</w:t>
      </w:r>
      <w:r w:rsidR="00486166" w:rsidRPr="000B1539">
        <w:t xml:space="preserve"> </w:t>
      </w:r>
      <w:r w:rsidR="00FB0E4A" w:rsidRPr="000B1539">
        <w:t>which</w:t>
      </w:r>
      <w:r w:rsidR="00215A5B" w:rsidRPr="000B1539">
        <w:t xml:space="preserve"> are expected </w:t>
      </w:r>
      <w:r w:rsidR="009D4AAB" w:rsidRPr="000B1539">
        <w:t xml:space="preserve">to be </w:t>
      </w:r>
      <w:r w:rsidR="00215A5B" w:rsidRPr="000B1539">
        <w:t xml:space="preserve">operationalized by the </w:t>
      </w:r>
      <w:r w:rsidR="00BD6A00" w:rsidRPr="000B1539">
        <w:t>Global Environment Facility through</w:t>
      </w:r>
      <w:r w:rsidR="00215A5B" w:rsidRPr="000B1539">
        <w:t xml:space="preserve"> its programming directions for </w:t>
      </w:r>
      <w:r w:rsidR="00BD6A00" w:rsidRPr="000B1539">
        <w:t>the ninth replenishment period</w:t>
      </w:r>
      <w:r w:rsidR="00B83802" w:rsidRPr="000B1539">
        <w:t>.</w:t>
      </w:r>
    </w:p>
    <w:p w14:paraId="3CBF2588" w14:textId="098DAC2F" w:rsidR="00807F4E" w:rsidRPr="000B1539" w:rsidRDefault="00E63AC6" w:rsidP="00E63AC6">
      <w:pPr>
        <w:pStyle w:val="Para1"/>
        <w:numPr>
          <w:ilvl w:val="0"/>
          <w:numId w:val="0"/>
        </w:numPr>
        <w:tabs>
          <w:tab w:val="clear" w:pos="1134"/>
          <w:tab w:val="left" w:pos="1701"/>
        </w:tabs>
        <w:ind w:left="1134"/>
      </w:pPr>
      <w:r w:rsidRPr="000B1539">
        <w:t>5.</w:t>
      </w:r>
      <w:r w:rsidRPr="000B1539">
        <w:tab/>
      </w:r>
      <w:r w:rsidR="00B209C4" w:rsidRPr="000B1539">
        <w:t>I</w:t>
      </w:r>
      <w:r w:rsidR="00767848" w:rsidRPr="000B1539">
        <w:t>t</w:t>
      </w:r>
      <w:r w:rsidR="00B209C4" w:rsidRPr="000B1539">
        <w:t xml:space="preserve"> is recognized </w:t>
      </w:r>
      <w:r w:rsidR="006C5387" w:rsidRPr="00A20985">
        <w:t>that</w:t>
      </w:r>
      <w:r w:rsidR="006C5387">
        <w:t>,</w:t>
      </w:r>
      <w:r w:rsidR="006C5387" w:rsidRPr="006C5387">
        <w:t xml:space="preserve"> </w:t>
      </w:r>
      <w:r w:rsidR="00B209C4" w:rsidRPr="000B1539">
        <w:t xml:space="preserve">in the present </w:t>
      </w:r>
      <w:r w:rsidR="00807F4E" w:rsidRPr="000B1539">
        <w:t>framework of programme priorities</w:t>
      </w:r>
      <w:r w:rsidR="006C5387">
        <w:t>,</w:t>
      </w:r>
      <w:r w:rsidR="00807F4E" w:rsidRPr="000B1539">
        <w:t xml:space="preserve"> the Kunming-Montreal Global Biodiversity Framework should be used as a strategic plan for the implementation of the Convention and its Protocols over the period 2022–2030.</w:t>
      </w:r>
    </w:p>
    <w:p w14:paraId="62088753" w14:textId="2F08E895" w:rsidR="008F2A81" w:rsidRPr="000B1539" w:rsidRDefault="00E63AC6" w:rsidP="001C147D">
      <w:pPr>
        <w:pStyle w:val="Para1"/>
        <w:numPr>
          <w:ilvl w:val="0"/>
          <w:numId w:val="0"/>
        </w:numPr>
        <w:tabs>
          <w:tab w:val="clear" w:pos="1134"/>
          <w:tab w:val="left" w:pos="1701"/>
        </w:tabs>
        <w:ind w:left="1134"/>
      </w:pPr>
      <w:r w:rsidRPr="000B1539">
        <w:t>6.</w:t>
      </w:r>
      <w:r w:rsidRPr="000B1539">
        <w:tab/>
      </w:r>
      <w:r w:rsidR="00B83802" w:rsidRPr="000B1539">
        <w:t xml:space="preserve">In particular, the goals and targets of the </w:t>
      </w:r>
      <w:r w:rsidR="003A2F90" w:rsidRPr="000B1539">
        <w:rPr>
          <w:snapToGrid w:val="0"/>
          <w:kern w:val="22"/>
          <w:lang w:eastAsia="zh-CN"/>
        </w:rPr>
        <w:t xml:space="preserve">Kunming-Montreal Global Biodiversity </w:t>
      </w:r>
      <w:r w:rsidR="00B83802" w:rsidRPr="000B1539">
        <w:t>Framework</w:t>
      </w:r>
      <w:r w:rsidR="00B83802" w:rsidRPr="000B1539">
        <w:rPr>
          <w:snapToGrid w:val="0"/>
          <w:kern w:val="22"/>
          <w:lang w:eastAsia="zh-CN"/>
        </w:rPr>
        <w:t xml:space="preserve"> </w:t>
      </w:r>
      <w:r w:rsidR="00B83802" w:rsidRPr="000B1539">
        <w:t xml:space="preserve">provide </w:t>
      </w:r>
      <w:r w:rsidR="00BD6A00" w:rsidRPr="000B1539">
        <w:t xml:space="preserve">the </w:t>
      </w:r>
      <w:r w:rsidR="00B83802" w:rsidRPr="000B1539">
        <w:t xml:space="preserve">direction for the outcomes of </w:t>
      </w:r>
      <w:r w:rsidR="00857635" w:rsidRPr="000B1539">
        <w:t xml:space="preserve">the present </w:t>
      </w:r>
      <w:r w:rsidR="00B83802" w:rsidRPr="000B1539">
        <w:t xml:space="preserve">four-year framework, bearing in mind that </w:t>
      </w:r>
      <w:r w:rsidR="00BD6A00" w:rsidRPr="000B1539">
        <w:t>the ninth replenishment period coincides with the four</w:t>
      </w:r>
      <w:r w:rsidR="00C3138B" w:rsidRPr="000B1539">
        <w:t>-</w:t>
      </w:r>
      <w:r w:rsidR="00BD6A00" w:rsidRPr="000B1539">
        <w:t xml:space="preserve">year period leading up </w:t>
      </w:r>
      <w:r w:rsidR="00B83802" w:rsidRPr="000B1539">
        <w:t xml:space="preserve">to the 2030 deadline </w:t>
      </w:r>
      <w:r w:rsidR="00C3138B" w:rsidRPr="000B1539">
        <w:t>for achieving</w:t>
      </w:r>
      <w:r w:rsidR="00B83802" w:rsidRPr="000B1539">
        <w:t xml:space="preserve"> the targets, while recognizing that </w:t>
      </w:r>
      <w:r w:rsidR="00BD6A00" w:rsidRPr="000B1539">
        <w:t xml:space="preserve">each of </w:t>
      </w:r>
      <w:r w:rsidR="00B83802" w:rsidRPr="000B1539">
        <w:t xml:space="preserve">the three objectives of the Convention should be </w:t>
      </w:r>
      <w:r w:rsidR="00BD6A00" w:rsidRPr="000B1539">
        <w:t xml:space="preserve">addressed </w:t>
      </w:r>
      <w:r w:rsidR="00B83802" w:rsidRPr="000B1539">
        <w:t xml:space="preserve">by </w:t>
      </w:r>
      <w:r w:rsidR="00BD6A00" w:rsidRPr="000B1539">
        <w:t>the Global Environment Facility</w:t>
      </w:r>
      <w:r w:rsidR="00B83802" w:rsidRPr="000B1539">
        <w:t xml:space="preserve"> </w:t>
      </w:r>
      <w:r w:rsidR="009453EF" w:rsidRPr="000B1539">
        <w:t xml:space="preserve">in a balanced manner </w:t>
      </w:r>
      <w:r w:rsidR="00B83802" w:rsidRPr="000B1539">
        <w:t xml:space="preserve">when designing and implementing </w:t>
      </w:r>
      <w:r w:rsidR="00FB0E4A" w:rsidRPr="000B1539">
        <w:t xml:space="preserve">its </w:t>
      </w:r>
      <w:r w:rsidR="00B83802" w:rsidRPr="000B1539">
        <w:t>programming directions</w:t>
      </w:r>
      <w:r w:rsidR="00FB0E4A" w:rsidRPr="000B1539">
        <w:t xml:space="preserve"> </w:t>
      </w:r>
      <w:r w:rsidR="00F86B60" w:rsidRPr="000B1539">
        <w:t>and policy recommendations</w:t>
      </w:r>
      <w:r w:rsidR="00BD6A00" w:rsidRPr="000B1539">
        <w:t xml:space="preserve"> for the ninth replenishment</w:t>
      </w:r>
      <w:r w:rsidR="00B83802" w:rsidRPr="000B1539">
        <w:t>.</w:t>
      </w:r>
    </w:p>
    <w:p w14:paraId="4719119C" w14:textId="62CD3D23" w:rsidR="00BD6A00" w:rsidRPr="000B1539" w:rsidRDefault="00E63AC6" w:rsidP="00E63AC6">
      <w:pPr>
        <w:pStyle w:val="Para1"/>
        <w:numPr>
          <w:ilvl w:val="0"/>
          <w:numId w:val="0"/>
        </w:numPr>
        <w:tabs>
          <w:tab w:val="clear" w:pos="1134"/>
          <w:tab w:val="left" w:pos="1701"/>
        </w:tabs>
        <w:ind w:left="1134"/>
      </w:pPr>
      <w:r w:rsidRPr="000B1539">
        <w:t>7.</w:t>
      </w:r>
      <w:r w:rsidRPr="000F2AEB">
        <w:tab/>
      </w:r>
      <w:r w:rsidR="00CA3F33" w:rsidRPr="000F2AEB">
        <w:t>T</w:t>
      </w:r>
      <w:r w:rsidR="0065644B" w:rsidRPr="000F2AEB">
        <w:t>he</w:t>
      </w:r>
      <w:r w:rsidR="0065644B" w:rsidRPr="000B1539">
        <w:t xml:space="preserve"> integrated and indivisible nature of the components of the </w:t>
      </w:r>
      <w:bookmarkStart w:id="7" w:name="_Hlk167449839"/>
      <w:r w:rsidR="003A2F90" w:rsidRPr="000B1539">
        <w:rPr>
          <w:snapToGrid w:val="0"/>
          <w:kern w:val="22"/>
          <w:lang w:eastAsia="zh-CN"/>
        </w:rPr>
        <w:t xml:space="preserve">Kunming-Montreal Global Biodiversity </w:t>
      </w:r>
      <w:r w:rsidR="0065644B" w:rsidRPr="000B1539">
        <w:t>Framework</w:t>
      </w:r>
      <w:bookmarkEnd w:id="7"/>
      <w:r w:rsidR="0065644B" w:rsidRPr="000B1539">
        <w:t xml:space="preserve">, </w:t>
      </w:r>
      <w:r w:rsidR="000A2005" w:rsidRPr="000B1539">
        <w:t>which include</w:t>
      </w:r>
      <w:r w:rsidR="000F6BD1" w:rsidRPr="000B1539">
        <w:t xml:space="preserve"> considerations for </w:t>
      </w:r>
      <w:r w:rsidR="000A2005" w:rsidRPr="000B1539">
        <w:t>its</w:t>
      </w:r>
      <w:r w:rsidR="000F6BD1" w:rsidRPr="000B1539">
        <w:t xml:space="preserve"> implementation (sect</w:t>
      </w:r>
      <w:r w:rsidR="009C270E" w:rsidRPr="000B1539">
        <w:t>. </w:t>
      </w:r>
      <w:r w:rsidR="000F6BD1" w:rsidRPr="000B1539">
        <w:t>C</w:t>
      </w:r>
      <w:r w:rsidR="00694920" w:rsidRPr="000B1539">
        <w:t xml:space="preserve"> of the Framework</w:t>
      </w:r>
      <w:r w:rsidR="000F6BD1" w:rsidRPr="000B1539">
        <w:t>)</w:t>
      </w:r>
      <w:r w:rsidR="0065644B" w:rsidRPr="000B1539">
        <w:t xml:space="preserve">, </w:t>
      </w:r>
      <w:r w:rsidR="000F6BD1" w:rsidRPr="000B1539">
        <w:t>implementation and support mechanism and enabling conditions (sect</w:t>
      </w:r>
      <w:r w:rsidR="009C270E" w:rsidRPr="000B1539">
        <w:t>. </w:t>
      </w:r>
      <w:r w:rsidR="000F6BD1" w:rsidRPr="000B1539">
        <w:t>I)</w:t>
      </w:r>
      <w:r w:rsidR="0065644B" w:rsidRPr="000B1539">
        <w:t xml:space="preserve"> and responsibility and transparency (sect</w:t>
      </w:r>
      <w:r w:rsidR="009C270E" w:rsidRPr="000B1539">
        <w:t>. </w:t>
      </w:r>
      <w:r w:rsidR="0065644B" w:rsidRPr="000B1539">
        <w:t>J)</w:t>
      </w:r>
      <w:r w:rsidR="00CA3F33" w:rsidRPr="000B1539">
        <w:t>, are recognized in the present framework</w:t>
      </w:r>
      <w:r w:rsidR="00A27DA0" w:rsidRPr="000B1539">
        <w:t xml:space="preserve">, as is </w:t>
      </w:r>
      <w:r w:rsidR="00FD282E" w:rsidRPr="000B1539">
        <w:t xml:space="preserve">the operationalization of the Global Biodiversity Framework Fund and its complementary support </w:t>
      </w:r>
      <w:r w:rsidR="00A27DA0" w:rsidRPr="000B1539">
        <w:t>for</w:t>
      </w:r>
      <w:r w:rsidR="00FD282E" w:rsidRPr="000B1539">
        <w:t xml:space="preserve"> the Global Environment Facility in </w:t>
      </w:r>
      <w:r w:rsidR="001D7E4B" w:rsidRPr="000B1539">
        <w:t xml:space="preserve">facilitating </w:t>
      </w:r>
      <w:r w:rsidR="00FD282E" w:rsidRPr="000B1539">
        <w:t>the implementation of the Kunming-Montreal Global Biodiversity Framework.</w:t>
      </w:r>
    </w:p>
    <w:p w14:paraId="57FEF761" w14:textId="6F836CD7" w:rsidR="00FD7282" w:rsidRPr="000B1539" w:rsidRDefault="00E63AC6" w:rsidP="00D55415">
      <w:pPr>
        <w:pStyle w:val="Para1"/>
        <w:numPr>
          <w:ilvl w:val="0"/>
          <w:numId w:val="0"/>
        </w:numPr>
        <w:tabs>
          <w:tab w:val="clear" w:pos="1134"/>
          <w:tab w:val="left" w:pos="1701"/>
        </w:tabs>
        <w:ind w:left="1134"/>
      </w:pPr>
      <w:r w:rsidRPr="000B1539">
        <w:t>8.</w:t>
      </w:r>
      <w:r w:rsidRPr="000B1539">
        <w:tab/>
      </w:r>
      <w:r w:rsidR="0094289D" w:rsidRPr="000B1539">
        <w:rPr>
          <w:rFonts w:eastAsia="Calibri"/>
        </w:rPr>
        <w:t>R</w:t>
      </w:r>
      <w:r w:rsidR="00B83802" w:rsidRPr="000B1539">
        <w:rPr>
          <w:rFonts w:eastAsia="Calibri"/>
        </w:rPr>
        <w:t>ecogniz</w:t>
      </w:r>
      <w:r w:rsidR="00485D45" w:rsidRPr="000B1539">
        <w:rPr>
          <w:rFonts w:eastAsia="Calibri"/>
        </w:rPr>
        <w:t>ing</w:t>
      </w:r>
      <w:r w:rsidR="00B83802" w:rsidRPr="000B1539">
        <w:rPr>
          <w:rFonts w:eastAsia="Calibri"/>
        </w:rPr>
        <w:t xml:space="preserve"> that the </w:t>
      </w:r>
      <w:r w:rsidR="00B83802" w:rsidRPr="000B1539">
        <w:rPr>
          <w:snapToGrid w:val="0"/>
          <w:kern w:val="22"/>
          <w:lang w:eastAsia="zh-CN"/>
        </w:rPr>
        <w:t xml:space="preserve">Kunming-Montreal Global Biodiversity </w:t>
      </w:r>
      <w:r w:rsidR="00B83802" w:rsidRPr="000B1539">
        <w:rPr>
          <w:rFonts w:eastAsia="Calibri"/>
        </w:rPr>
        <w:t>Framework is relevan</w:t>
      </w:r>
      <w:r w:rsidR="00485D45" w:rsidRPr="000B1539">
        <w:rPr>
          <w:rFonts w:eastAsia="Calibri"/>
        </w:rPr>
        <w:t>t</w:t>
      </w:r>
      <w:r w:rsidR="00B83802" w:rsidRPr="000B1539">
        <w:rPr>
          <w:rFonts w:eastAsia="Calibri"/>
        </w:rPr>
        <w:t xml:space="preserve"> to all biodiversity</w:t>
      </w:r>
      <w:r w:rsidR="00B83802" w:rsidRPr="000B1539">
        <w:rPr>
          <w:rFonts w:eastAsia="Calibri"/>
        </w:rPr>
        <w:noBreakHyphen/>
      </w:r>
      <w:r w:rsidR="00B83802" w:rsidRPr="000B1539">
        <w:t>related</w:t>
      </w:r>
      <w:r w:rsidR="00B83802" w:rsidRPr="000B1539">
        <w:rPr>
          <w:rFonts w:eastAsia="Calibri"/>
        </w:rPr>
        <w:t xml:space="preserve"> conventions and </w:t>
      </w:r>
      <w:r w:rsidR="00FD282E" w:rsidRPr="000B1539">
        <w:rPr>
          <w:rFonts w:eastAsia="Calibri"/>
        </w:rPr>
        <w:t xml:space="preserve">other </w:t>
      </w:r>
      <w:r w:rsidR="00486166" w:rsidRPr="000B1539">
        <w:rPr>
          <w:rFonts w:eastAsia="Calibri"/>
        </w:rPr>
        <w:t xml:space="preserve">multilateral </w:t>
      </w:r>
      <w:r w:rsidR="00BA5083" w:rsidRPr="000B1539">
        <w:rPr>
          <w:rFonts w:eastAsia="Calibri"/>
        </w:rPr>
        <w:t xml:space="preserve">environmental </w:t>
      </w:r>
      <w:r w:rsidR="00B83802" w:rsidRPr="000B1539">
        <w:rPr>
          <w:rFonts w:eastAsia="Calibri"/>
        </w:rPr>
        <w:t xml:space="preserve">agreements, </w:t>
      </w:r>
      <w:r w:rsidR="00E775BA" w:rsidRPr="000B1539">
        <w:rPr>
          <w:rFonts w:eastAsia="Calibri"/>
        </w:rPr>
        <w:t xml:space="preserve">the present </w:t>
      </w:r>
      <w:r w:rsidR="00485D45" w:rsidRPr="000B1539">
        <w:rPr>
          <w:rFonts w:eastAsia="Calibri"/>
        </w:rPr>
        <w:t xml:space="preserve">framework </w:t>
      </w:r>
      <w:r w:rsidR="00B83802" w:rsidRPr="000B1539">
        <w:rPr>
          <w:rFonts w:eastAsia="Calibri"/>
        </w:rPr>
        <w:t>seeks to promote the implementation of complementary measures that may enhance programmatic synergies and efficiencies among the Convention</w:t>
      </w:r>
      <w:r w:rsidR="00015A1D" w:rsidRPr="000B1539">
        <w:rPr>
          <w:rFonts w:eastAsia="Calibri"/>
        </w:rPr>
        <w:t xml:space="preserve"> on Biological Diversity</w:t>
      </w:r>
      <w:r w:rsidR="002C6C1F" w:rsidRPr="000B1539">
        <w:rPr>
          <w:rFonts w:eastAsia="Calibri"/>
        </w:rPr>
        <w:t xml:space="preserve"> and</w:t>
      </w:r>
      <w:r w:rsidR="00B83802" w:rsidRPr="000B1539">
        <w:rPr>
          <w:rFonts w:eastAsia="Calibri"/>
        </w:rPr>
        <w:t xml:space="preserve"> its Protocols and other biodiversity-related conventions</w:t>
      </w:r>
      <w:r w:rsidR="00A96053" w:rsidRPr="000B1539">
        <w:rPr>
          <w:rFonts w:eastAsia="Calibri"/>
        </w:rPr>
        <w:t>,</w:t>
      </w:r>
      <w:r w:rsidR="00B83802" w:rsidRPr="000B1539">
        <w:rPr>
          <w:rFonts w:eastAsia="Calibri"/>
        </w:rPr>
        <w:t xml:space="preserve"> </w:t>
      </w:r>
      <w:r w:rsidR="00486166" w:rsidRPr="000B1539">
        <w:rPr>
          <w:rFonts w:eastAsia="Calibri"/>
        </w:rPr>
        <w:t xml:space="preserve">multilateral </w:t>
      </w:r>
      <w:r w:rsidR="00A96053" w:rsidRPr="000B1539">
        <w:rPr>
          <w:rFonts w:eastAsia="Calibri"/>
        </w:rPr>
        <w:t xml:space="preserve">environmental </w:t>
      </w:r>
      <w:r w:rsidR="00B83802" w:rsidRPr="000B1539">
        <w:rPr>
          <w:rFonts w:eastAsia="Calibri"/>
        </w:rPr>
        <w:t>agreements</w:t>
      </w:r>
      <w:r w:rsidR="004B55F8" w:rsidRPr="000B1539">
        <w:rPr>
          <w:rFonts w:eastAsia="Calibri"/>
        </w:rPr>
        <w:t xml:space="preserve"> and frameworks</w:t>
      </w:r>
      <w:r w:rsidR="00B83802" w:rsidRPr="000B1539">
        <w:rPr>
          <w:rFonts w:eastAsia="Calibri"/>
        </w:rPr>
        <w:t xml:space="preserve">, relevant to the </w:t>
      </w:r>
      <w:r w:rsidR="003A2F90" w:rsidRPr="000B1539">
        <w:rPr>
          <w:snapToGrid w:val="0"/>
          <w:kern w:val="22"/>
          <w:lang w:eastAsia="zh-CN"/>
        </w:rPr>
        <w:t xml:space="preserve">Kunming-Montreal Global Biodiversity </w:t>
      </w:r>
      <w:r w:rsidR="00B83802" w:rsidRPr="000B1539">
        <w:rPr>
          <w:rFonts w:eastAsia="Calibri"/>
        </w:rPr>
        <w:t>Framework and the mandate of the Global Environment Facility</w:t>
      </w:r>
      <w:r w:rsidR="004B55F8" w:rsidRPr="000B1539">
        <w:rPr>
          <w:rFonts w:eastAsia="Calibri"/>
        </w:rPr>
        <w:t xml:space="preserve">, in a manner consistent with </w:t>
      </w:r>
      <w:r w:rsidR="009659A2">
        <w:rPr>
          <w:rFonts w:eastAsia="Calibri"/>
        </w:rPr>
        <w:t xml:space="preserve">the </w:t>
      </w:r>
      <w:r w:rsidR="004B55F8" w:rsidRPr="000B1539">
        <w:rPr>
          <w:rFonts w:eastAsia="Calibri"/>
        </w:rPr>
        <w:t>existing mandate, impr</w:t>
      </w:r>
      <w:r w:rsidR="00513F6F" w:rsidRPr="000B1539">
        <w:rPr>
          <w:rFonts w:eastAsia="Calibri"/>
        </w:rPr>
        <w:t>oving transparency and avoiding double counting</w:t>
      </w:r>
      <w:r w:rsidR="00B83802" w:rsidRPr="000B1539">
        <w:rPr>
          <w:rFonts w:eastAsia="Calibri"/>
        </w:rPr>
        <w:t>.</w:t>
      </w:r>
    </w:p>
    <w:p w14:paraId="069961C4" w14:textId="4A4F5657" w:rsidR="00B83802" w:rsidRPr="000B1539" w:rsidRDefault="00B83802" w:rsidP="003D3F00">
      <w:pPr>
        <w:keepNext/>
        <w:tabs>
          <w:tab w:val="left" w:pos="567"/>
        </w:tabs>
        <w:spacing w:before="120" w:after="120"/>
        <w:ind w:left="1134" w:hanging="567"/>
        <w:jc w:val="left"/>
        <w:outlineLvl w:val="1"/>
        <w:rPr>
          <w:b/>
          <w:bCs/>
          <w:szCs w:val="22"/>
          <w:lang w:val="en-US"/>
        </w:rPr>
      </w:pPr>
      <w:r w:rsidRPr="000B1539">
        <w:rPr>
          <w:b/>
          <w:bCs/>
          <w:szCs w:val="22"/>
          <w:lang w:val="en-US"/>
        </w:rPr>
        <w:t>B.</w:t>
      </w:r>
      <w:r w:rsidRPr="000B1539">
        <w:rPr>
          <w:b/>
          <w:bCs/>
          <w:szCs w:val="22"/>
          <w:lang w:val="en-US"/>
        </w:rPr>
        <w:tab/>
        <w:t>Elements</w:t>
      </w:r>
    </w:p>
    <w:p w14:paraId="45484377" w14:textId="368CBECA" w:rsidR="00B83802" w:rsidRPr="000B1539" w:rsidRDefault="00E63AC6" w:rsidP="00E63AC6">
      <w:pPr>
        <w:pStyle w:val="Para1"/>
        <w:numPr>
          <w:ilvl w:val="0"/>
          <w:numId w:val="0"/>
        </w:numPr>
        <w:tabs>
          <w:tab w:val="clear" w:pos="1134"/>
          <w:tab w:val="left" w:pos="1701"/>
        </w:tabs>
        <w:ind w:left="1134"/>
        <w:rPr>
          <w:lang w:val="en-US"/>
        </w:rPr>
      </w:pPr>
      <w:r w:rsidRPr="000B1539">
        <w:rPr>
          <w:lang w:val="en-US"/>
        </w:rPr>
        <w:t>9.</w:t>
      </w:r>
      <w:r w:rsidRPr="00AB5F73">
        <w:rPr>
          <w:lang w:val="en-US"/>
        </w:rPr>
        <w:tab/>
      </w:r>
      <w:r w:rsidR="00B83802" w:rsidRPr="00AB5F73">
        <w:rPr>
          <w:lang w:val="en-US"/>
        </w:rPr>
        <w:t>The</w:t>
      </w:r>
      <w:r w:rsidR="00B83802" w:rsidRPr="000B1539">
        <w:rPr>
          <w:lang w:val="en-US"/>
        </w:rPr>
        <w:t xml:space="preserve"> four-year outcome-oriented framework of </w:t>
      </w:r>
      <w:r w:rsidR="00D0715C">
        <w:rPr>
          <w:lang w:val="en-US"/>
        </w:rPr>
        <w:t xml:space="preserve">biodiversity </w:t>
      </w:r>
      <w:proofErr w:type="spellStart"/>
      <w:r w:rsidR="00B83802" w:rsidRPr="000B1539">
        <w:rPr>
          <w:lang w:val="en-US"/>
        </w:rPr>
        <w:t>programme</w:t>
      </w:r>
      <w:proofErr w:type="spellEnd"/>
      <w:r w:rsidR="00B83802" w:rsidRPr="000B1539">
        <w:rPr>
          <w:lang w:val="en-US"/>
        </w:rPr>
        <w:t xml:space="preserve"> priorities for the period 202</w:t>
      </w:r>
      <w:r w:rsidR="00486166" w:rsidRPr="000B1539">
        <w:rPr>
          <w:lang w:val="en-US"/>
        </w:rPr>
        <w:t>6</w:t>
      </w:r>
      <w:r w:rsidR="00B83802" w:rsidRPr="000B1539">
        <w:rPr>
          <w:lang w:val="en-US"/>
        </w:rPr>
        <w:t>–20</w:t>
      </w:r>
      <w:r w:rsidR="00486166" w:rsidRPr="000B1539">
        <w:rPr>
          <w:lang w:val="en-US"/>
        </w:rPr>
        <w:t>30</w:t>
      </w:r>
      <w:r w:rsidR="00B83802" w:rsidRPr="000B1539">
        <w:rPr>
          <w:lang w:val="en-US"/>
        </w:rPr>
        <w:t xml:space="preserve"> </w:t>
      </w:r>
      <w:r w:rsidR="0094289D" w:rsidRPr="000B1539">
        <w:rPr>
          <w:lang w:val="en-US"/>
        </w:rPr>
        <w:t>i</w:t>
      </w:r>
      <w:r w:rsidR="004B7388" w:rsidRPr="000B1539">
        <w:rPr>
          <w:lang w:val="en-US"/>
        </w:rPr>
        <w:t>ncludes</w:t>
      </w:r>
      <w:r w:rsidR="0094289D" w:rsidRPr="000B1539">
        <w:rPr>
          <w:lang w:val="en-US"/>
        </w:rPr>
        <w:t xml:space="preserve"> </w:t>
      </w:r>
      <w:r w:rsidR="00B83802" w:rsidRPr="000B1539">
        <w:rPr>
          <w:lang w:val="en-US"/>
        </w:rPr>
        <w:t xml:space="preserve">the </w:t>
      </w:r>
      <w:r w:rsidR="00B83802" w:rsidRPr="000B1539">
        <w:t>following</w:t>
      </w:r>
      <w:r w:rsidR="00B83802" w:rsidRPr="000B1539">
        <w:rPr>
          <w:lang w:val="en-US"/>
        </w:rPr>
        <w:t xml:space="preserve"> elements </w:t>
      </w:r>
      <w:r w:rsidR="0094289D" w:rsidRPr="000B1539">
        <w:rPr>
          <w:lang w:val="en-US"/>
        </w:rPr>
        <w:t xml:space="preserve">under the Convention and its Protocols </w:t>
      </w:r>
      <w:r w:rsidR="00B83802" w:rsidRPr="000B1539">
        <w:rPr>
          <w:lang w:val="en-US"/>
        </w:rPr>
        <w:t>to which effective implementation support is to be provided:</w:t>
      </w:r>
    </w:p>
    <w:p w14:paraId="49F3FF07" w14:textId="5DB51FED" w:rsidR="008279B3" w:rsidRPr="000B1539" w:rsidRDefault="008279B3" w:rsidP="008279B3">
      <w:pPr>
        <w:pStyle w:val="Para2"/>
        <w:tabs>
          <w:tab w:val="clear" w:pos="1701"/>
          <w:tab w:val="left" w:pos="2268"/>
        </w:tabs>
        <w:ind w:left="1134" w:firstLine="564"/>
        <w:rPr>
          <w:iCs/>
          <w:szCs w:val="22"/>
          <w:lang w:val="en-US"/>
        </w:rPr>
      </w:pPr>
      <w:bookmarkStart w:id="8" w:name="_Hlk163904595"/>
      <w:r w:rsidRPr="000B1539">
        <w:rPr>
          <w:iCs/>
          <w:szCs w:val="22"/>
          <w:lang w:val="en-US"/>
        </w:rPr>
        <w:t>(a)</w:t>
      </w:r>
      <w:r w:rsidRPr="00AB5F73">
        <w:rPr>
          <w:iCs/>
          <w:szCs w:val="22"/>
          <w:lang w:val="en-US"/>
        </w:rPr>
        <w:tab/>
        <w:t>The</w:t>
      </w:r>
      <w:r w:rsidRPr="000B1539">
        <w:rPr>
          <w:iCs/>
          <w:szCs w:val="22"/>
          <w:lang w:val="en-US"/>
        </w:rPr>
        <w:t xml:space="preserve"> </w:t>
      </w:r>
      <w:r w:rsidR="00FD76D8" w:rsidRPr="000B1539">
        <w:rPr>
          <w:iCs/>
          <w:szCs w:val="22"/>
          <w:lang w:val="en-US"/>
        </w:rPr>
        <w:t xml:space="preserve">balanced </w:t>
      </w:r>
      <w:r w:rsidRPr="000B1539">
        <w:rPr>
          <w:lang w:val="en-GB"/>
        </w:rPr>
        <w:t>implementation</w:t>
      </w:r>
      <w:r w:rsidRPr="000B1539">
        <w:rPr>
          <w:iCs/>
          <w:szCs w:val="22"/>
          <w:lang w:val="en-US"/>
        </w:rPr>
        <w:t xml:space="preserve"> of the three objectives of the Convention;</w:t>
      </w:r>
    </w:p>
    <w:p w14:paraId="00510CF8" w14:textId="08969DA5" w:rsidR="00B83802" w:rsidRPr="000B1539" w:rsidRDefault="00FF5D3E" w:rsidP="003D3F00">
      <w:pPr>
        <w:pStyle w:val="Para2"/>
        <w:tabs>
          <w:tab w:val="clear" w:pos="1701"/>
          <w:tab w:val="left" w:pos="2268"/>
        </w:tabs>
        <w:ind w:left="1134" w:firstLine="564"/>
        <w:rPr>
          <w:iCs/>
          <w:szCs w:val="22"/>
          <w:lang w:val="en-US"/>
        </w:rPr>
      </w:pPr>
      <w:r w:rsidRPr="000B1539">
        <w:rPr>
          <w:iCs/>
          <w:szCs w:val="22"/>
          <w:lang w:val="en-US"/>
        </w:rPr>
        <w:t>(</w:t>
      </w:r>
      <w:r w:rsidR="008279B3" w:rsidRPr="000B1539">
        <w:rPr>
          <w:iCs/>
          <w:szCs w:val="22"/>
          <w:lang w:val="en-US"/>
        </w:rPr>
        <w:t>b</w:t>
      </w:r>
      <w:r w:rsidRPr="000B1539">
        <w:rPr>
          <w:iCs/>
          <w:szCs w:val="22"/>
          <w:lang w:val="en-US"/>
        </w:rPr>
        <w:t>)</w:t>
      </w:r>
      <w:r w:rsidRPr="00AB5F73">
        <w:rPr>
          <w:iCs/>
          <w:szCs w:val="22"/>
          <w:lang w:val="en-US"/>
        </w:rPr>
        <w:tab/>
      </w:r>
      <w:r w:rsidR="00B83802" w:rsidRPr="00AB5F73">
        <w:rPr>
          <w:iCs/>
          <w:szCs w:val="22"/>
          <w:lang w:val="en-US"/>
        </w:rPr>
        <w:t>The</w:t>
      </w:r>
      <w:r w:rsidR="00B83802" w:rsidRPr="000B1539">
        <w:rPr>
          <w:iCs/>
          <w:szCs w:val="22"/>
          <w:lang w:val="en-US"/>
        </w:rPr>
        <w:t xml:space="preserve"> </w:t>
      </w:r>
      <w:r w:rsidR="00B83802" w:rsidRPr="000B1539">
        <w:rPr>
          <w:lang w:val="en-GB"/>
        </w:rPr>
        <w:t>Kunming</w:t>
      </w:r>
      <w:r w:rsidR="00B83802" w:rsidRPr="000B1539">
        <w:rPr>
          <w:iCs/>
          <w:szCs w:val="22"/>
          <w:lang w:val="en-US"/>
        </w:rPr>
        <w:t xml:space="preserve">-Montreal Global Biodiversity Framework, including </w:t>
      </w:r>
      <w:r w:rsidR="00652B7C" w:rsidRPr="000B1539">
        <w:rPr>
          <w:iCs/>
          <w:szCs w:val="22"/>
          <w:lang w:val="en-US"/>
        </w:rPr>
        <w:t xml:space="preserve">each of </w:t>
      </w:r>
      <w:r w:rsidR="00B83802" w:rsidRPr="000B1539">
        <w:rPr>
          <w:iCs/>
          <w:szCs w:val="22"/>
          <w:lang w:val="en-US"/>
        </w:rPr>
        <w:t xml:space="preserve">its goals and </w:t>
      </w:r>
      <w:proofErr w:type="gramStart"/>
      <w:r w:rsidR="00652B7C" w:rsidRPr="000B1539">
        <w:rPr>
          <w:iCs/>
          <w:szCs w:val="22"/>
          <w:lang w:val="en-US"/>
        </w:rPr>
        <w:t>all of</w:t>
      </w:r>
      <w:proofErr w:type="gramEnd"/>
      <w:r w:rsidR="00652B7C" w:rsidRPr="000B1539">
        <w:rPr>
          <w:iCs/>
          <w:szCs w:val="22"/>
          <w:lang w:val="en-US"/>
        </w:rPr>
        <w:t xml:space="preserve"> its </w:t>
      </w:r>
      <w:r w:rsidR="00B83802" w:rsidRPr="000B1539">
        <w:rPr>
          <w:iCs/>
          <w:szCs w:val="22"/>
          <w:lang w:val="en-US"/>
        </w:rPr>
        <w:t>targets</w:t>
      </w:r>
      <w:r w:rsidR="00394900" w:rsidRPr="000B1539">
        <w:rPr>
          <w:iCs/>
          <w:szCs w:val="22"/>
          <w:lang w:val="en-US"/>
        </w:rPr>
        <w:t>,</w:t>
      </w:r>
      <w:r w:rsidR="00B83802" w:rsidRPr="000B1539">
        <w:rPr>
          <w:iCs/>
          <w:szCs w:val="22"/>
          <w:lang w:val="en-US"/>
        </w:rPr>
        <w:t xml:space="preserve"> which define the outcomes being sought;</w:t>
      </w:r>
    </w:p>
    <w:bookmarkEnd w:id="8"/>
    <w:p w14:paraId="406B2650" w14:textId="37D25EDF" w:rsidR="00B83802" w:rsidRPr="000B1539" w:rsidRDefault="00FF5D3E" w:rsidP="003D3F00">
      <w:pPr>
        <w:pStyle w:val="Para2"/>
        <w:tabs>
          <w:tab w:val="clear" w:pos="1701"/>
          <w:tab w:val="left" w:pos="2268"/>
        </w:tabs>
        <w:ind w:left="1134" w:firstLine="564"/>
        <w:rPr>
          <w:iCs/>
          <w:szCs w:val="22"/>
          <w:lang w:val="en-US"/>
        </w:rPr>
      </w:pPr>
      <w:r w:rsidRPr="000B1539">
        <w:rPr>
          <w:iCs/>
          <w:szCs w:val="22"/>
          <w:lang w:val="en-US"/>
        </w:rPr>
        <w:t>(</w:t>
      </w:r>
      <w:r w:rsidR="008279B3" w:rsidRPr="000B1539">
        <w:rPr>
          <w:iCs/>
          <w:szCs w:val="22"/>
          <w:lang w:val="en-US"/>
        </w:rPr>
        <w:t>c</w:t>
      </w:r>
      <w:r w:rsidRPr="000B1539">
        <w:rPr>
          <w:iCs/>
          <w:szCs w:val="22"/>
          <w:lang w:val="en-US"/>
        </w:rPr>
        <w:t>)</w:t>
      </w:r>
      <w:r w:rsidRPr="000B1539">
        <w:rPr>
          <w:iCs/>
          <w:szCs w:val="22"/>
          <w:lang w:val="en-US"/>
        </w:rPr>
        <w:tab/>
      </w:r>
      <w:r w:rsidR="00B83802" w:rsidRPr="000B1539">
        <w:rPr>
          <w:lang w:val="en-GB"/>
        </w:rPr>
        <w:t>National</w:t>
      </w:r>
      <w:r w:rsidR="00B83802" w:rsidRPr="000B1539">
        <w:rPr>
          <w:iCs/>
          <w:szCs w:val="22"/>
          <w:lang w:val="en-US"/>
        </w:rPr>
        <w:t xml:space="preserve"> biodiversity strategies and action plans;</w:t>
      </w:r>
    </w:p>
    <w:p w14:paraId="69A9A8F2" w14:textId="17DFE620" w:rsidR="00B83802" w:rsidRPr="000B1539" w:rsidRDefault="00FF5D3E" w:rsidP="003D3F00">
      <w:pPr>
        <w:pStyle w:val="Para2"/>
        <w:tabs>
          <w:tab w:val="clear" w:pos="1701"/>
          <w:tab w:val="left" w:pos="2268"/>
        </w:tabs>
        <w:ind w:left="1134" w:firstLine="564"/>
        <w:rPr>
          <w:iCs/>
          <w:szCs w:val="22"/>
          <w:lang w:val="en-US"/>
        </w:rPr>
      </w:pPr>
      <w:r w:rsidRPr="000B1539">
        <w:rPr>
          <w:iCs/>
          <w:szCs w:val="22"/>
          <w:lang w:val="en-US"/>
        </w:rPr>
        <w:t>(</w:t>
      </w:r>
      <w:r w:rsidR="008279B3" w:rsidRPr="000B1539">
        <w:rPr>
          <w:iCs/>
          <w:szCs w:val="22"/>
          <w:lang w:val="en-US"/>
        </w:rPr>
        <w:t>d</w:t>
      </w:r>
      <w:r w:rsidRPr="000B1539">
        <w:rPr>
          <w:iCs/>
          <w:szCs w:val="22"/>
          <w:lang w:val="en-US"/>
        </w:rPr>
        <w:t>)</w:t>
      </w:r>
      <w:r w:rsidRPr="000B1539">
        <w:rPr>
          <w:iCs/>
          <w:szCs w:val="22"/>
          <w:lang w:val="en-US"/>
        </w:rPr>
        <w:tab/>
      </w:r>
      <w:r w:rsidR="00B83802" w:rsidRPr="000B1539">
        <w:rPr>
          <w:lang w:val="en-GB"/>
        </w:rPr>
        <w:t>National</w:t>
      </w:r>
      <w:r w:rsidR="00B83802" w:rsidRPr="000B1539">
        <w:rPr>
          <w:iCs/>
          <w:szCs w:val="22"/>
          <w:lang w:val="en-US"/>
        </w:rPr>
        <w:t xml:space="preserve"> biodiversity finance plans;</w:t>
      </w:r>
    </w:p>
    <w:p w14:paraId="5B20CE82" w14:textId="41E55EA2" w:rsidR="00B83802" w:rsidRPr="000B1539" w:rsidRDefault="00FF5D3E" w:rsidP="003D3F00">
      <w:pPr>
        <w:pStyle w:val="Para2"/>
        <w:tabs>
          <w:tab w:val="clear" w:pos="1701"/>
          <w:tab w:val="left" w:pos="2268"/>
        </w:tabs>
        <w:ind w:left="1134" w:firstLine="564"/>
        <w:rPr>
          <w:bCs/>
          <w:iCs/>
          <w:szCs w:val="22"/>
          <w:lang w:val="en-US"/>
        </w:rPr>
      </w:pPr>
      <w:r w:rsidRPr="000B1539">
        <w:rPr>
          <w:bCs/>
          <w:iCs/>
          <w:szCs w:val="22"/>
          <w:lang w:val="en-US"/>
        </w:rPr>
        <w:t>(e)</w:t>
      </w:r>
      <w:r w:rsidRPr="00AB5F73">
        <w:rPr>
          <w:bCs/>
          <w:iCs/>
          <w:szCs w:val="22"/>
          <w:lang w:val="en-US"/>
        </w:rPr>
        <w:tab/>
      </w:r>
      <w:r w:rsidR="00B83802" w:rsidRPr="00AB5F73">
        <w:rPr>
          <w:bCs/>
          <w:iCs/>
          <w:szCs w:val="22"/>
        </w:rPr>
        <w:t>The</w:t>
      </w:r>
      <w:r w:rsidR="00B83802" w:rsidRPr="000B1539">
        <w:rPr>
          <w:bCs/>
          <w:iCs/>
          <w:szCs w:val="22"/>
        </w:rPr>
        <w:t xml:space="preserve"> </w:t>
      </w:r>
      <w:r w:rsidR="00B83802" w:rsidRPr="000B1539">
        <w:rPr>
          <w:lang w:val="en-GB"/>
        </w:rPr>
        <w:t>mechanisms</w:t>
      </w:r>
      <w:r w:rsidR="00B83802" w:rsidRPr="000B1539">
        <w:rPr>
          <w:bCs/>
          <w:iCs/>
          <w:szCs w:val="22"/>
        </w:rPr>
        <w:t xml:space="preserve"> adopted under the Convention to</w:t>
      </w:r>
      <w:r w:rsidR="001C24F4" w:rsidRPr="000B1539">
        <w:rPr>
          <w:bCs/>
          <w:iCs/>
          <w:szCs w:val="22"/>
        </w:rPr>
        <w:t xml:space="preserve"> </w:t>
      </w:r>
      <w:r w:rsidR="003A3036" w:rsidRPr="000B1539">
        <w:rPr>
          <w:bCs/>
          <w:iCs/>
          <w:szCs w:val="22"/>
        </w:rPr>
        <w:t>strengthen</w:t>
      </w:r>
      <w:r w:rsidR="00093BD6" w:rsidRPr="000B1539">
        <w:rPr>
          <w:bCs/>
          <w:iCs/>
          <w:szCs w:val="22"/>
        </w:rPr>
        <w:t xml:space="preserve"> the </w:t>
      </w:r>
      <w:r w:rsidR="001C24F4" w:rsidRPr="000B1539">
        <w:rPr>
          <w:bCs/>
          <w:iCs/>
          <w:szCs w:val="22"/>
        </w:rPr>
        <w:t>means of implementation</w:t>
      </w:r>
      <w:r w:rsidR="00256D2F" w:rsidRPr="000B1539">
        <w:rPr>
          <w:bCs/>
          <w:iCs/>
          <w:szCs w:val="22"/>
        </w:rPr>
        <w:t xml:space="preserve"> of the </w:t>
      </w:r>
      <w:r w:rsidR="00256D2F" w:rsidRPr="000B1539">
        <w:rPr>
          <w:bCs/>
          <w:iCs/>
          <w:szCs w:val="22"/>
          <w:lang w:val="en-US"/>
        </w:rPr>
        <w:t>Kunming-Montreal Global Biodiversity Framework</w:t>
      </w:r>
      <w:r w:rsidR="00060B8A" w:rsidRPr="000B1539">
        <w:rPr>
          <w:bCs/>
          <w:iCs/>
          <w:szCs w:val="22"/>
        </w:rPr>
        <w:t xml:space="preserve"> for</w:t>
      </w:r>
      <w:r w:rsidR="007D209F" w:rsidRPr="000B1539">
        <w:rPr>
          <w:bCs/>
          <w:iCs/>
          <w:szCs w:val="22"/>
        </w:rPr>
        <w:t>:</w:t>
      </w:r>
      <w:r w:rsidR="00B83802" w:rsidRPr="000B1539">
        <w:rPr>
          <w:bCs/>
          <w:iCs/>
          <w:szCs w:val="22"/>
        </w:rPr>
        <w:t xml:space="preserve"> mobilizing sufficient resources towards </w:t>
      </w:r>
      <w:r w:rsidR="00B83802" w:rsidRPr="00852DC2">
        <w:rPr>
          <w:bCs/>
          <w:iCs/>
          <w:szCs w:val="22"/>
        </w:rPr>
        <w:t>implementing the Framework and</w:t>
      </w:r>
      <w:r w:rsidR="00B83802" w:rsidRPr="000B1539">
        <w:rPr>
          <w:bCs/>
          <w:iCs/>
          <w:szCs w:val="22"/>
        </w:rPr>
        <w:t xml:space="preserve"> achieving its goals and targets; capacity</w:t>
      </w:r>
      <w:r w:rsidR="00B83802" w:rsidRPr="000B1539">
        <w:rPr>
          <w:bCs/>
          <w:iCs/>
          <w:szCs w:val="22"/>
        </w:rPr>
        <w:noBreakHyphen/>
        <w:t>building and development</w:t>
      </w:r>
      <w:r w:rsidR="00060B8A" w:rsidRPr="000B1539">
        <w:rPr>
          <w:bCs/>
          <w:iCs/>
          <w:szCs w:val="22"/>
        </w:rPr>
        <w:t xml:space="preserve">, while noting the obligations </w:t>
      </w:r>
      <w:r w:rsidR="0051711D">
        <w:rPr>
          <w:bCs/>
          <w:iCs/>
          <w:szCs w:val="22"/>
        </w:rPr>
        <w:t xml:space="preserve">set out </w:t>
      </w:r>
      <w:r w:rsidR="00060B8A" w:rsidRPr="000B1539">
        <w:rPr>
          <w:bCs/>
          <w:iCs/>
          <w:szCs w:val="22"/>
        </w:rPr>
        <w:t>in A</w:t>
      </w:r>
      <w:r w:rsidR="00060B8A" w:rsidRPr="00AB5F73">
        <w:rPr>
          <w:bCs/>
          <w:iCs/>
          <w:szCs w:val="22"/>
        </w:rPr>
        <w:t>rticles 20 and</w:t>
      </w:r>
      <w:r w:rsidR="00060B8A" w:rsidRPr="000B1539">
        <w:rPr>
          <w:bCs/>
          <w:iCs/>
          <w:szCs w:val="22"/>
        </w:rPr>
        <w:t xml:space="preserve"> 21 of the Convention</w:t>
      </w:r>
      <w:r w:rsidR="00B83802" w:rsidRPr="000B1539">
        <w:rPr>
          <w:bCs/>
          <w:iCs/>
          <w:szCs w:val="22"/>
        </w:rPr>
        <w:t xml:space="preserve">; </w:t>
      </w:r>
      <w:r w:rsidR="00586ADD" w:rsidRPr="000B1539">
        <w:rPr>
          <w:bCs/>
          <w:iCs/>
          <w:szCs w:val="22"/>
        </w:rPr>
        <w:t xml:space="preserve">the </w:t>
      </w:r>
      <w:r w:rsidR="00B83802" w:rsidRPr="000B1539">
        <w:rPr>
          <w:bCs/>
          <w:iCs/>
          <w:szCs w:val="22"/>
        </w:rPr>
        <w:t>generation, management and sharing of knowledge for effective biodiversity planning, policy development and coherence, decision</w:t>
      </w:r>
      <w:r w:rsidR="00B83802" w:rsidRPr="000B1539">
        <w:rPr>
          <w:bCs/>
          <w:iCs/>
          <w:szCs w:val="22"/>
        </w:rPr>
        <w:noBreakHyphen/>
        <w:t xml:space="preserve">making and implementation; and technical and scientific cooperation, technology transfer </w:t>
      </w:r>
      <w:r w:rsidR="00240D08" w:rsidRPr="000B1539">
        <w:rPr>
          <w:bCs/>
          <w:iCs/>
          <w:szCs w:val="22"/>
        </w:rPr>
        <w:t>on mutually agreed terms</w:t>
      </w:r>
      <w:r w:rsidR="00CE1DFE" w:rsidRPr="000B1539">
        <w:rPr>
          <w:bCs/>
          <w:iCs/>
          <w:szCs w:val="22"/>
        </w:rPr>
        <w:t xml:space="preserve"> </w:t>
      </w:r>
      <w:r w:rsidR="00B83802" w:rsidRPr="000B1539">
        <w:rPr>
          <w:bCs/>
          <w:iCs/>
          <w:szCs w:val="22"/>
        </w:rPr>
        <w:t>and innovation</w:t>
      </w:r>
      <w:r w:rsidR="00F35886">
        <w:rPr>
          <w:bCs/>
          <w:iCs/>
          <w:szCs w:val="22"/>
        </w:rPr>
        <w:t>,</w:t>
      </w:r>
      <w:r w:rsidR="00CE010C" w:rsidRPr="000B1539">
        <w:rPr>
          <w:bCs/>
          <w:iCs/>
          <w:szCs w:val="22"/>
        </w:rPr>
        <w:t xml:space="preserve"> i</w:t>
      </w:r>
      <w:r w:rsidR="001C24F4" w:rsidRPr="000B1539">
        <w:rPr>
          <w:bCs/>
          <w:iCs/>
          <w:szCs w:val="22"/>
        </w:rPr>
        <w:t>n particular the following</w:t>
      </w:r>
      <w:r w:rsidR="00CE010C" w:rsidRPr="000B1539">
        <w:rPr>
          <w:bCs/>
          <w:iCs/>
          <w:szCs w:val="22"/>
        </w:rPr>
        <w:t xml:space="preserve"> mechanisms</w:t>
      </w:r>
      <w:r w:rsidR="00B83802" w:rsidRPr="000B1539">
        <w:rPr>
          <w:bCs/>
          <w:iCs/>
          <w:szCs w:val="22"/>
        </w:rPr>
        <w:t>:</w:t>
      </w:r>
    </w:p>
    <w:p w14:paraId="149F4212" w14:textId="61C5AA56" w:rsidR="00B83802" w:rsidRPr="000B1539" w:rsidRDefault="00B83802" w:rsidP="000B1539">
      <w:pPr>
        <w:snapToGrid w:val="0"/>
        <w:spacing w:before="120" w:after="120"/>
        <w:ind w:left="2268" w:hanging="567"/>
        <w:rPr>
          <w:bCs/>
          <w:iCs/>
          <w:szCs w:val="22"/>
        </w:rPr>
      </w:pPr>
      <w:r w:rsidRPr="000B1539">
        <w:rPr>
          <w:bCs/>
          <w:iCs/>
          <w:szCs w:val="22"/>
        </w:rPr>
        <w:t>(</w:t>
      </w:r>
      <w:proofErr w:type="spellStart"/>
      <w:r w:rsidRPr="000B1539">
        <w:rPr>
          <w:bCs/>
          <w:iCs/>
          <w:szCs w:val="22"/>
        </w:rPr>
        <w:t>i</w:t>
      </w:r>
      <w:proofErr w:type="spellEnd"/>
      <w:r w:rsidRPr="000B1539">
        <w:rPr>
          <w:bCs/>
          <w:iCs/>
          <w:szCs w:val="22"/>
        </w:rPr>
        <w:t>)</w:t>
      </w:r>
      <w:r w:rsidRPr="002051F9">
        <w:rPr>
          <w:bCs/>
          <w:iCs/>
          <w:szCs w:val="22"/>
        </w:rPr>
        <w:tab/>
        <w:t>The</w:t>
      </w:r>
      <w:r w:rsidRPr="000B1539">
        <w:rPr>
          <w:bCs/>
          <w:iCs/>
          <w:szCs w:val="22"/>
        </w:rPr>
        <w:t xml:space="preserve"> strategy for resource mobilization;</w:t>
      </w:r>
      <w:r w:rsidRPr="000B1539">
        <w:rPr>
          <w:bCs/>
          <w:iCs/>
          <w:szCs w:val="22"/>
          <w:vertAlign w:val="superscript"/>
        </w:rPr>
        <w:footnoteReference w:id="29"/>
      </w:r>
    </w:p>
    <w:p w14:paraId="3CB67525" w14:textId="4A42C4C3" w:rsidR="00B83802" w:rsidRPr="000B1539" w:rsidRDefault="00B83802" w:rsidP="000B1539">
      <w:pPr>
        <w:snapToGrid w:val="0"/>
        <w:spacing w:before="120" w:after="120"/>
        <w:ind w:left="2268" w:hanging="567"/>
        <w:rPr>
          <w:bCs/>
          <w:iCs/>
          <w:szCs w:val="22"/>
        </w:rPr>
      </w:pPr>
      <w:r w:rsidRPr="000B1539">
        <w:rPr>
          <w:bCs/>
          <w:iCs/>
          <w:szCs w:val="22"/>
        </w:rPr>
        <w:t>(ii)</w:t>
      </w:r>
      <w:r w:rsidRPr="002051F9">
        <w:rPr>
          <w:bCs/>
          <w:iCs/>
          <w:szCs w:val="22"/>
        </w:rPr>
        <w:tab/>
        <w:t>The</w:t>
      </w:r>
      <w:r w:rsidRPr="000B1539">
        <w:rPr>
          <w:bCs/>
          <w:iCs/>
          <w:szCs w:val="22"/>
        </w:rPr>
        <w:t xml:space="preserve"> long-term strategic framework for capacity-building and development;</w:t>
      </w:r>
      <w:r w:rsidRPr="000B1539">
        <w:rPr>
          <w:bCs/>
          <w:iCs/>
          <w:szCs w:val="22"/>
          <w:vertAlign w:val="superscript"/>
        </w:rPr>
        <w:footnoteReference w:id="30"/>
      </w:r>
    </w:p>
    <w:p w14:paraId="7E833AB0" w14:textId="78C24C01" w:rsidR="00093BD6" w:rsidRPr="000B1539" w:rsidRDefault="00093BD6" w:rsidP="000B1539">
      <w:pPr>
        <w:snapToGrid w:val="0"/>
        <w:spacing w:before="120" w:after="120"/>
        <w:ind w:left="2268" w:hanging="567"/>
        <w:rPr>
          <w:bCs/>
          <w:iCs/>
          <w:szCs w:val="22"/>
        </w:rPr>
      </w:pPr>
      <w:r w:rsidRPr="000B1539">
        <w:rPr>
          <w:bCs/>
          <w:iCs/>
          <w:szCs w:val="22"/>
        </w:rPr>
        <w:t>(iii)</w:t>
      </w:r>
      <w:r w:rsidRPr="002051F9">
        <w:rPr>
          <w:bCs/>
          <w:iCs/>
          <w:szCs w:val="22"/>
        </w:rPr>
        <w:tab/>
        <w:t>The</w:t>
      </w:r>
      <w:r w:rsidRPr="000B1539">
        <w:rPr>
          <w:bCs/>
          <w:iCs/>
          <w:szCs w:val="22"/>
        </w:rPr>
        <w:t xml:space="preserve"> technical and scientific cooperation mechanism;</w:t>
      </w:r>
      <w:r w:rsidRPr="000B1539">
        <w:rPr>
          <w:vertAlign w:val="superscript"/>
        </w:rPr>
        <w:footnoteReference w:id="31"/>
      </w:r>
    </w:p>
    <w:p w14:paraId="008C7EB2" w14:textId="77777777" w:rsidR="003C2AD0" w:rsidRPr="000B1539" w:rsidRDefault="008C3AF8" w:rsidP="000B1539">
      <w:pPr>
        <w:pStyle w:val="Para2"/>
        <w:tabs>
          <w:tab w:val="clear" w:pos="1701"/>
          <w:tab w:val="left" w:pos="2268"/>
        </w:tabs>
        <w:ind w:left="2268" w:hanging="567"/>
        <w:rPr>
          <w:bCs/>
          <w:iCs/>
          <w:szCs w:val="22"/>
        </w:rPr>
      </w:pPr>
      <w:r w:rsidRPr="000B1539">
        <w:rPr>
          <w:bCs/>
          <w:iCs/>
          <w:szCs w:val="22"/>
        </w:rPr>
        <w:t>(i</w:t>
      </w:r>
      <w:r w:rsidR="00093BD6" w:rsidRPr="000B1539">
        <w:rPr>
          <w:bCs/>
          <w:iCs/>
          <w:szCs w:val="22"/>
        </w:rPr>
        <w:t>v</w:t>
      </w:r>
      <w:r w:rsidRPr="000B1539">
        <w:rPr>
          <w:bCs/>
          <w:iCs/>
          <w:szCs w:val="22"/>
        </w:rPr>
        <w:t>)</w:t>
      </w:r>
      <w:r w:rsidR="00093BD6" w:rsidRPr="002051F9">
        <w:rPr>
          <w:bCs/>
          <w:iCs/>
          <w:szCs w:val="22"/>
        </w:rPr>
        <w:tab/>
        <w:t>The</w:t>
      </w:r>
      <w:r w:rsidR="00093BD6" w:rsidRPr="000B1539">
        <w:rPr>
          <w:bCs/>
          <w:iCs/>
          <w:szCs w:val="22"/>
        </w:rPr>
        <w:t xml:space="preserve"> knowledge management strategy to support the implementation of the </w:t>
      </w:r>
      <w:r w:rsidR="00777278" w:rsidRPr="000B1539">
        <w:rPr>
          <w:snapToGrid w:val="0"/>
          <w:kern w:val="22"/>
          <w:lang w:eastAsia="zh-CN"/>
        </w:rPr>
        <w:t xml:space="preserve">Kunming-Montreal Global Biodiversity </w:t>
      </w:r>
      <w:r w:rsidR="00093BD6" w:rsidRPr="000B1539">
        <w:rPr>
          <w:bCs/>
          <w:iCs/>
          <w:szCs w:val="22"/>
        </w:rPr>
        <w:t>Framework;</w:t>
      </w:r>
      <w:r w:rsidR="00093BD6" w:rsidRPr="000B1539">
        <w:rPr>
          <w:rStyle w:val="FootnoteReference"/>
          <w:bCs/>
          <w:iCs/>
          <w:szCs w:val="22"/>
        </w:rPr>
        <w:footnoteReference w:id="32"/>
      </w:r>
    </w:p>
    <w:p w14:paraId="3474ECF1" w14:textId="34FD9D68" w:rsidR="008C3AF8" w:rsidRPr="000B1539" w:rsidRDefault="002B3056" w:rsidP="003D3F00">
      <w:pPr>
        <w:pStyle w:val="Para2"/>
        <w:tabs>
          <w:tab w:val="clear" w:pos="1701"/>
          <w:tab w:val="left" w:pos="2268"/>
        </w:tabs>
        <w:ind w:left="1134" w:firstLine="564"/>
        <w:rPr>
          <w:bCs/>
          <w:iCs/>
          <w:szCs w:val="22"/>
          <w:lang w:val="en-US"/>
        </w:rPr>
      </w:pPr>
      <w:r w:rsidRPr="000B1539">
        <w:rPr>
          <w:bCs/>
          <w:iCs/>
          <w:szCs w:val="22"/>
          <w:lang w:val="en-US"/>
        </w:rPr>
        <w:t>(f)</w:t>
      </w:r>
      <w:r w:rsidRPr="002051F9">
        <w:rPr>
          <w:bCs/>
          <w:iCs/>
          <w:szCs w:val="22"/>
          <w:lang w:val="en-US"/>
        </w:rPr>
        <w:tab/>
      </w:r>
      <w:r w:rsidR="008C3AF8" w:rsidRPr="002051F9">
        <w:rPr>
          <w:bCs/>
          <w:iCs/>
          <w:szCs w:val="22"/>
          <w:lang w:val="en-US"/>
        </w:rPr>
        <w:t>The</w:t>
      </w:r>
      <w:r w:rsidR="008C3AF8" w:rsidRPr="000B1539">
        <w:rPr>
          <w:bCs/>
          <w:iCs/>
          <w:szCs w:val="22"/>
          <w:lang w:val="en-US"/>
        </w:rPr>
        <w:t xml:space="preserve"> plans of action adopted under the Convention to support the </w:t>
      </w:r>
      <w:r w:rsidR="003A3036" w:rsidRPr="000B1539">
        <w:rPr>
          <w:bCs/>
          <w:iCs/>
          <w:szCs w:val="22"/>
          <w:lang w:val="en-US"/>
        </w:rPr>
        <w:t xml:space="preserve">effective and inclusive </w:t>
      </w:r>
      <w:r w:rsidR="008C3AF8" w:rsidRPr="000B1539">
        <w:rPr>
          <w:bCs/>
          <w:iCs/>
          <w:szCs w:val="22"/>
          <w:lang w:val="en-US"/>
        </w:rPr>
        <w:t xml:space="preserve">implementation of the </w:t>
      </w:r>
      <w:r w:rsidR="00777278" w:rsidRPr="000B1539">
        <w:rPr>
          <w:snapToGrid w:val="0"/>
          <w:kern w:val="22"/>
          <w:lang w:eastAsia="zh-CN"/>
        </w:rPr>
        <w:t xml:space="preserve">Kunming-Montreal Global Biodiversity </w:t>
      </w:r>
      <w:r w:rsidR="008C3AF8" w:rsidRPr="000B1539">
        <w:rPr>
          <w:bCs/>
          <w:iCs/>
          <w:szCs w:val="22"/>
          <w:lang w:val="en-US"/>
        </w:rPr>
        <w:t>Framework, including:</w:t>
      </w:r>
    </w:p>
    <w:p w14:paraId="3EB8E6A8" w14:textId="5E674D4F" w:rsidR="00B83802" w:rsidRPr="000B1539" w:rsidRDefault="00B83802" w:rsidP="000B1539">
      <w:pPr>
        <w:snapToGrid w:val="0"/>
        <w:spacing w:before="120" w:after="120"/>
        <w:ind w:left="2268" w:hanging="567"/>
        <w:rPr>
          <w:bCs/>
          <w:iCs/>
          <w:szCs w:val="22"/>
        </w:rPr>
      </w:pPr>
      <w:r w:rsidRPr="000B1539">
        <w:rPr>
          <w:bCs/>
          <w:iCs/>
          <w:szCs w:val="22"/>
        </w:rPr>
        <w:t>(</w:t>
      </w:r>
      <w:proofErr w:type="spellStart"/>
      <w:r w:rsidR="008C3AF8" w:rsidRPr="000B1539">
        <w:rPr>
          <w:bCs/>
          <w:iCs/>
          <w:szCs w:val="22"/>
        </w:rPr>
        <w:t>i</w:t>
      </w:r>
      <w:proofErr w:type="spellEnd"/>
      <w:r w:rsidRPr="000B1539">
        <w:rPr>
          <w:bCs/>
          <w:iCs/>
          <w:szCs w:val="22"/>
        </w:rPr>
        <w:t>)</w:t>
      </w:r>
      <w:r w:rsidRPr="002051F9">
        <w:rPr>
          <w:bCs/>
          <w:iCs/>
          <w:szCs w:val="22"/>
        </w:rPr>
        <w:tab/>
        <w:t>The</w:t>
      </w:r>
      <w:r w:rsidRPr="000B1539">
        <w:rPr>
          <w:bCs/>
          <w:iCs/>
          <w:szCs w:val="22"/>
        </w:rPr>
        <w:t xml:space="preserve"> Plan of Action on Subnational Governments, Cities and Other Local Authorities for Biodiversity (2023–2030);</w:t>
      </w:r>
      <w:r w:rsidRPr="000B1539">
        <w:rPr>
          <w:bCs/>
          <w:iCs/>
          <w:szCs w:val="22"/>
          <w:vertAlign w:val="superscript"/>
        </w:rPr>
        <w:footnoteReference w:id="33"/>
      </w:r>
    </w:p>
    <w:p w14:paraId="5675892E" w14:textId="772498EE" w:rsidR="00B83802" w:rsidRPr="000B1539" w:rsidRDefault="00B83802" w:rsidP="000B1539">
      <w:pPr>
        <w:snapToGrid w:val="0"/>
        <w:spacing w:before="120" w:after="120"/>
        <w:ind w:left="2268" w:hanging="567"/>
        <w:rPr>
          <w:bCs/>
          <w:iCs/>
          <w:szCs w:val="22"/>
        </w:rPr>
      </w:pPr>
      <w:r w:rsidRPr="000B1539">
        <w:rPr>
          <w:bCs/>
          <w:iCs/>
          <w:szCs w:val="22"/>
        </w:rPr>
        <w:t>(i</w:t>
      </w:r>
      <w:r w:rsidR="008C3AF8" w:rsidRPr="000B1539">
        <w:rPr>
          <w:bCs/>
          <w:iCs/>
          <w:szCs w:val="22"/>
        </w:rPr>
        <w:t>i</w:t>
      </w:r>
      <w:r w:rsidRPr="000B1539">
        <w:rPr>
          <w:bCs/>
          <w:iCs/>
          <w:szCs w:val="22"/>
        </w:rPr>
        <w:t>)</w:t>
      </w:r>
      <w:r w:rsidRPr="002051F9">
        <w:rPr>
          <w:bCs/>
          <w:iCs/>
          <w:szCs w:val="22"/>
        </w:rPr>
        <w:tab/>
        <w:t>The</w:t>
      </w:r>
      <w:r w:rsidRPr="000B1539">
        <w:rPr>
          <w:bCs/>
          <w:iCs/>
          <w:szCs w:val="22"/>
        </w:rPr>
        <w:t xml:space="preserve"> Gender Plan of Action (2023</w:t>
      </w:r>
      <w:r w:rsidR="00882C05" w:rsidRPr="000B1539">
        <w:rPr>
          <w:bCs/>
          <w:iCs/>
          <w:szCs w:val="22"/>
        </w:rPr>
        <w:t>–</w:t>
      </w:r>
      <w:r w:rsidRPr="000B1539">
        <w:rPr>
          <w:bCs/>
          <w:iCs/>
          <w:szCs w:val="22"/>
        </w:rPr>
        <w:t>2030)</w:t>
      </w:r>
      <w:r w:rsidR="001D6739" w:rsidRPr="000B1539">
        <w:rPr>
          <w:bCs/>
          <w:iCs/>
          <w:szCs w:val="22"/>
        </w:rPr>
        <w:t>;</w:t>
      </w:r>
      <w:r w:rsidRPr="000B1539">
        <w:rPr>
          <w:bCs/>
          <w:iCs/>
          <w:szCs w:val="22"/>
          <w:vertAlign w:val="superscript"/>
        </w:rPr>
        <w:footnoteReference w:id="34"/>
      </w:r>
    </w:p>
    <w:p w14:paraId="64D21D00" w14:textId="186A74CB" w:rsidR="00921AD8" w:rsidRPr="000B1539" w:rsidRDefault="00921AD8" w:rsidP="000B1539">
      <w:pPr>
        <w:snapToGrid w:val="0"/>
        <w:spacing w:before="120" w:after="120"/>
        <w:ind w:left="2268" w:hanging="567"/>
        <w:rPr>
          <w:bCs/>
          <w:iCs/>
          <w:szCs w:val="22"/>
        </w:rPr>
      </w:pPr>
      <w:r w:rsidRPr="000B1539">
        <w:rPr>
          <w:bCs/>
          <w:iCs/>
          <w:szCs w:val="22"/>
        </w:rPr>
        <w:t>(iii)</w:t>
      </w:r>
      <w:r w:rsidRPr="002051F9">
        <w:rPr>
          <w:bCs/>
          <w:iCs/>
          <w:szCs w:val="22"/>
        </w:rPr>
        <w:tab/>
        <w:t>The</w:t>
      </w:r>
      <w:r w:rsidRPr="000B1539">
        <w:rPr>
          <w:bCs/>
          <w:iCs/>
          <w:szCs w:val="22"/>
        </w:rPr>
        <w:t xml:space="preserve"> </w:t>
      </w:r>
      <w:r w:rsidR="00EA7378">
        <w:rPr>
          <w:bCs/>
          <w:iCs/>
          <w:szCs w:val="22"/>
        </w:rPr>
        <w:t>g</w:t>
      </w:r>
      <w:r w:rsidRPr="000B1539">
        <w:rPr>
          <w:bCs/>
          <w:iCs/>
          <w:szCs w:val="22"/>
        </w:rPr>
        <w:t xml:space="preserve">lobal </w:t>
      </w:r>
      <w:r w:rsidR="00EA7378">
        <w:rPr>
          <w:bCs/>
          <w:iCs/>
          <w:szCs w:val="22"/>
        </w:rPr>
        <w:t>a</w:t>
      </w:r>
      <w:r w:rsidRPr="000B1539">
        <w:rPr>
          <w:bCs/>
          <w:iCs/>
          <w:szCs w:val="22"/>
        </w:rPr>
        <w:t xml:space="preserve">ction </w:t>
      </w:r>
      <w:r w:rsidR="00EA7378">
        <w:rPr>
          <w:bCs/>
          <w:iCs/>
          <w:szCs w:val="22"/>
        </w:rPr>
        <w:t>p</w:t>
      </w:r>
      <w:r w:rsidRPr="000B1539">
        <w:rPr>
          <w:bCs/>
          <w:iCs/>
          <w:szCs w:val="22"/>
        </w:rPr>
        <w:t xml:space="preserve">lan on </w:t>
      </w:r>
      <w:r w:rsidR="00EA7378">
        <w:rPr>
          <w:bCs/>
          <w:iCs/>
          <w:szCs w:val="22"/>
        </w:rPr>
        <w:t>b</w:t>
      </w:r>
      <w:r w:rsidRPr="000B1539">
        <w:rPr>
          <w:bCs/>
          <w:iCs/>
          <w:szCs w:val="22"/>
        </w:rPr>
        <w:t xml:space="preserve">iodiversity and </w:t>
      </w:r>
      <w:r w:rsidR="00EA7378">
        <w:rPr>
          <w:bCs/>
          <w:iCs/>
          <w:szCs w:val="22"/>
        </w:rPr>
        <w:t>h</w:t>
      </w:r>
      <w:r w:rsidRPr="000B1539">
        <w:rPr>
          <w:bCs/>
          <w:iCs/>
          <w:szCs w:val="22"/>
        </w:rPr>
        <w:t>ealth</w:t>
      </w:r>
      <w:r w:rsidR="004D6716" w:rsidRPr="000B1539">
        <w:rPr>
          <w:bCs/>
          <w:iCs/>
          <w:szCs w:val="22"/>
        </w:rPr>
        <w:t>;</w:t>
      </w:r>
      <w:r w:rsidR="001D6739" w:rsidRPr="000B1539">
        <w:rPr>
          <w:rStyle w:val="FootnoteReference"/>
          <w:bCs/>
          <w:iCs/>
          <w:szCs w:val="22"/>
        </w:rPr>
        <w:footnoteReference w:id="35"/>
      </w:r>
    </w:p>
    <w:p w14:paraId="761C94DB" w14:textId="30C43FB2" w:rsidR="00B83802" w:rsidRPr="000B1539" w:rsidRDefault="002B3056" w:rsidP="003D3F00">
      <w:pPr>
        <w:pStyle w:val="Para2"/>
        <w:tabs>
          <w:tab w:val="clear" w:pos="1701"/>
          <w:tab w:val="left" w:pos="2268"/>
        </w:tabs>
        <w:ind w:left="1134" w:firstLine="564"/>
        <w:rPr>
          <w:bCs/>
          <w:iCs/>
          <w:szCs w:val="22"/>
        </w:rPr>
      </w:pPr>
      <w:r w:rsidRPr="000B1539">
        <w:rPr>
          <w:bCs/>
          <w:iCs/>
          <w:szCs w:val="22"/>
        </w:rPr>
        <w:t>(g)</w:t>
      </w:r>
      <w:r w:rsidRPr="002051F9">
        <w:rPr>
          <w:bCs/>
          <w:iCs/>
          <w:szCs w:val="22"/>
        </w:rPr>
        <w:tab/>
      </w:r>
      <w:r w:rsidR="00B83802" w:rsidRPr="002051F9">
        <w:rPr>
          <w:bCs/>
          <w:iCs/>
          <w:szCs w:val="22"/>
          <w:lang w:val="en-US"/>
        </w:rPr>
        <w:t>The</w:t>
      </w:r>
      <w:r w:rsidR="00B83802" w:rsidRPr="000B1539">
        <w:rPr>
          <w:bCs/>
          <w:iCs/>
          <w:szCs w:val="22"/>
        </w:rPr>
        <w:t xml:space="preserve"> </w:t>
      </w:r>
      <w:r w:rsidR="003E5848" w:rsidRPr="000B1539">
        <w:rPr>
          <w:lang w:val="en-GB"/>
        </w:rPr>
        <w:t>monitoring</w:t>
      </w:r>
      <w:r w:rsidR="003E5848" w:rsidRPr="000B1539">
        <w:rPr>
          <w:bCs/>
          <w:iCs/>
          <w:szCs w:val="22"/>
        </w:rPr>
        <w:t xml:space="preserve"> framework</w:t>
      </w:r>
      <w:r w:rsidR="00F67ADC" w:rsidRPr="000B1539">
        <w:rPr>
          <w:bCs/>
          <w:iCs/>
          <w:szCs w:val="22"/>
        </w:rPr>
        <w:t xml:space="preserve"> for the </w:t>
      </w:r>
      <w:r w:rsidR="00F67ADC" w:rsidRPr="000B1539">
        <w:rPr>
          <w:snapToGrid w:val="0"/>
          <w:kern w:val="22"/>
          <w:lang w:eastAsia="zh-CN"/>
        </w:rPr>
        <w:t xml:space="preserve">Kunming-Montreal Global Biodiversity </w:t>
      </w:r>
      <w:r w:rsidR="00F67ADC" w:rsidRPr="000B1539">
        <w:rPr>
          <w:bCs/>
          <w:iCs/>
          <w:szCs w:val="22"/>
        </w:rPr>
        <w:t>Framework</w:t>
      </w:r>
      <w:r w:rsidR="003E5848" w:rsidRPr="000B1539">
        <w:rPr>
          <w:rStyle w:val="FootnoteReference"/>
          <w:bCs/>
          <w:iCs/>
          <w:szCs w:val="22"/>
        </w:rPr>
        <w:footnoteReference w:id="36"/>
      </w:r>
      <w:r w:rsidR="003E5848" w:rsidRPr="000B1539">
        <w:rPr>
          <w:bCs/>
          <w:iCs/>
          <w:szCs w:val="22"/>
        </w:rPr>
        <w:t xml:space="preserve"> and the </w:t>
      </w:r>
      <w:r w:rsidR="008800D9" w:rsidRPr="000B1539">
        <w:rPr>
          <w:bCs/>
          <w:iCs/>
          <w:szCs w:val="22"/>
        </w:rPr>
        <w:t>enhanced multidimensional approach to</w:t>
      </w:r>
      <w:r w:rsidR="00B83802" w:rsidRPr="000B1539">
        <w:rPr>
          <w:bCs/>
          <w:iCs/>
          <w:szCs w:val="22"/>
        </w:rPr>
        <w:t xml:space="preserve"> planning, monitoring, reporting and review</w:t>
      </w:r>
      <w:r w:rsidR="00B83802" w:rsidRPr="000B1539">
        <w:rPr>
          <w:bCs/>
          <w:iCs/>
          <w:szCs w:val="22"/>
          <w:lang w:val="en-US"/>
        </w:rPr>
        <w:t>;</w:t>
      </w:r>
      <w:r w:rsidR="00B83802" w:rsidRPr="000B1539">
        <w:rPr>
          <w:bCs/>
          <w:iCs/>
          <w:szCs w:val="22"/>
          <w:vertAlign w:val="superscript"/>
        </w:rPr>
        <w:footnoteReference w:id="37"/>
      </w:r>
    </w:p>
    <w:p w14:paraId="08137C67" w14:textId="470F4339" w:rsidR="00B83802" w:rsidRPr="000B1539" w:rsidRDefault="002B3056" w:rsidP="003D3F00">
      <w:pPr>
        <w:pStyle w:val="Para2"/>
        <w:tabs>
          <w:tab w:val="clear" w:pos="1701"/>
          <w:tab w:val="left" w:pos="2268"/>
        </w:tabs>
        <w:ind w:left="1134" w:firstLine="564"/>
        <w:rPr>
          <w:iCs/>
          <w:szCs w:val="22"/>
          <w:lang w:val="en-US"/>
        </w:rPr>
      </w:pPr>
      <w:r w:rsidRPr="000B1539">
        <w:rPr>
          <w:iCs/>
          <w:szCs w:val="22"/>
          <w:lang w:val="en-US"/>
        </w:rPr>
        <w:t>(h)</w:t>
      </w:r>
      <w:r w:rsidRPr="004B3AC1">
        <w:rPr>
          <w:iCs/>
          <w:szCs w:val="22"/>
          <w:lang w:val="en-US"/>
        </w:rPr>
        <w:tab/>
      </w:r>
      <w:r w:rsidR="00B83802" w:rsidRPr="004B3AC1">
        <w:rPr>
          <w:bCs/>
          <w:iCs/>
          <w:szCs w:val="22"/>
          <w:lang w:val="en-US"/>
        </w:rPr>
        <w:t>The</w:t>
      </w:r>
      <w:r w:rsidR="00B83802" w:rsidRPr="000B1539">
        <w:rPr>
          <w:iCs/>
          <w:szCs w:val="22"/>
          <w:lang w:val="en-US"/>
        </w:rPr>
        <w:t xml:space="preserve"> </w:t>
      </w:r>
      <w:r w:rsidR="00B83802" w:rsidRPr="000B1539">
        <w:rPr>
          <w:lang w:val="en-GB"/>
        </w:rPr>
        <w:t>Implementation</w:t>
      </w:r>
      <w:r w:rsidR="00B83802" w:rsidRPr="000B1539">
        <w:rPr>
          <w:iCs/>
          <w:szCs w:val="22"/>
        </w:rPr>
        <w:t xml:space="preserve"> Plan</w:t>
      </w:r>
      <w:r w:rsidR="00B83802" w:rsidRPr="000B1539">
        <w:rPr>
          <w:iCs/>
          <w:szCs w:val="22"/>
          <w:vertAlign w:val="superscript"/>
          <w:lang w:val="en-US"/>
        </w:rPr>
        <w:footnoteReference w:id="38"/>
      </w:r>
      <w:r w:rsidR="00B83802" w:rsidRPr="000B1539">
        <w:rPr>
          <w:iCs/>
          <w:szCs w:val="22"/>
        </w:rPr>
        <w:t xml:space="preserve"> and Capacity-building Action Plan</w:t>
      </w:r>
      <w:r w:rsidR="00F401FF" w:rsidRPr="000B1539">
        <w:rPr>
          <w:iCs/>
          <w:szCs w:val="22"/>
          <w:vertAlign w:val="superscript"/>
          <w:lang w:val="en-US"/>
        </w:rPr>
        <w:footnoteReference w:id="39"/>
      </w:r>
      <w:r w:rsidR="00B83802" w:rsidRPr="000B1539">
        <w:rPr>
          <w:iCs/>
          <w:szCs w:val="22"/>
        </w:rPr>
        <w:t xml:space="preserve"> for the Cartagena Protocol</w:t>
      </w:r>
      <w:r w:rsidR="00B83802" w:rsidRPr="000B1539">
        <w:rPr>
          <w:iCs/>
          <w:szCs w:val="22"/>
          <w:lang w:val="en-US"/>
        </w:rPr>
        <w:t xml:space="preserve"> on Biosafety</w:t>
      </w:r>
      <w:r w:rsidR="0009512D">
        <w:rPr>
          <w:iCs/>
          <w:szCs w:val="22"/>
          <w:lang w:val="en-US"/>
        </w:rPr>
        <w:t xml:space="preserve"> to the Convention on Biological Diversity</w:t>
      </w:r>
      <w:r w:rsidR="00B83802" w:rsidRPr="000B1539">
        <w:rPr>
          <w:iCs/>
          <w:szCs w:val="22"/>
          <w:lang w:val="en-US"/>
        </w:rPr>
        <w:t>;</w:t>
      </w:r>
      <w:r w:rsidR="00B965B5" w:rsidRPr="000B1539">
        <w:rPr>
          <w:rStyle w:val="FootnoteReference"/>
          <w:iCs/>
          <w:szCs w:val="22"/>
          <w:lang w:val="en-US"/>
        </w:rPr>
        <w:footnoteReference w:id="40"/>
      </w:r>
    </w:p>
    <w:p w14:paraId="6E983410" w14:textId="23761F3C" w:rsidR="008800D9" w:rsidRPr="000B1539" w:rsidRDefault="002B3056" w:rsidP="003D3F00">
      <w:pPr>
        <w:pStyle w:val="Para2"/>
        <w:tabs>
          <w:tab w:val="clear" w:pos="1701"/>
          <w:tab w:val="left" w:pos="2268"/>
        </w:tabs>
        <w:ind w:left="1134" w:firstLine="564"/>
        <w:rPr>
          <w:iCs/>
          <w:szCs w:val="22"/>
          <w:lang w:val="en-US"/>
        </w:rPr>
      </w:pPr>
      <w:r w:rsidRPr="000B1539">
        <w:rPr>
          <w:iCs/>
          <w:szCs w:val="22"/>
          <w:lang w:val="en-US"/>
        </w:rPr>
        <w:t>(</w:t>
      </w:r>
      <w:proofErr w:type="spellStart"/>
      <w:r w:rsidRPr="000B1539">
        <w:rPr>
          <w:iCs/>
          <w:szCs w:val="22"/>
          <w:lang w:val="en-US"/>
        </w:rPr>
        <w:t>i</w:t>
      </w:r>
      <w:proofErr w:type="spellEnd"/>
      <w:r w:rsidRPr="000B1539">
        <w:rPr>
          <w:iCs/>
          <w:szCs w:val="22"/>
          <w:lang w:val="en-US"/>
        </w:rPr>
        <w:t>)</w:t>
      </w:r>
      <w:r w:rsidRPr="007D74DD">
        <w:rPr>
          <w:iCs/>
          <w:szCs w:val="22"/>
          <w:lang w:val="en-US"/>
        </w:rPr>
        <w:tab/>
      </w:r>
      <w:r w:rsidR="008800D9" w:rsidRPr="007D74DD">
        <w:rPr>
          <w:bCs/>
          <w:iCs/>
          <w:szCs w:val="22"/>
          <w:lang w:val="en-US"/>
        </w:rPr>
        <w:t>The</w:t>
      </w:r>
      <w:r w:rsidR="008800D9" w:rsidRPr="000B1539">
        <w:rPr>
          <w:iCs/>
          <w:szCs w:val="22"/>
          <w:lang w:val="en-US"/>
        </w:rPr>
        <w:t xml:space="preserve"> </w:t>
      </w:r>
      <w:r w:rsidR="0083790C">
        <w:rPr>
          <w:lang w:val="en-GB"/>
        </w:rPr>
        <w:t>c</w:t>
      </w:r>
      <w:r w:rsidR="000F6BD1" w:rsidRPr="000B1539">
        <w:rPr>
          <w:lang w:val="en-GB"/>
        </w:rPr>
        <w:t>apacity</w:t>
      </w:r>
      <w:r w:rsidR="000F6BD1" w:rsidRPr="000B1539">
        <w:rPr>
          <w:iCs/>
          <w:szCs w:val="22"/>
          <w:lang w:val="en-US"/>
        </w:rPr>
        <w:t xml:space="preserve">-building and </w:t>
      </w:r>
      <w:r w:rsidR="0083790C">
        <w:rPr>
          <w:iCs/>
          <w:szCs w:val="22"/>
          <w:lang w:val="en-US"/>
        </w:rPr>
        <w:t>d</w:t>
      </w:r>
      <w:r w:rsidR="000F6BD1" w:rsidRPr="000B1539">
        <w:rPr>
          <w:iCs/>
          <w:szCs w:val="22"/>
          <w:lang w:val="en-US"/>
        </w:rPr>
        <w:t xml:space="preserve">evelopment </w:t>
      </w:r>
      <w:r w:rsidR="0083790C">
        <w:rPr>
          <w:iCs/>
          <w:szCs w:val="22"/>
          <w:lang w:val="en-US"/>
        </w:rPr>
        <w:t>a</w:t>
      </w:r>
      <w:r w:rsidR="000F6BD1" w:rsidRPr="000B1539">
        <w:rPr>
          <w:iCs/>
          <w:szCs w:val="22"/>
          <w:lang w:val="en-US"/>
        </w:rPr>
        <w:t xml:space="preserve">ction </w:t>
      </w:r>
      <w:r w:rsidR="0083790C">
        <w:rPr>
          <w:iCs/>
          <w:szCs w:val="22"/>
          <w:lang w:val="en-US"/>
        </w:rPr>
        <w:t>p</w:t>
      </w:r>
      <w:r w:rsidR="000F6BD1" w:rsidRPr="000B1539">
        <w:rPr>
          <w:iCs/>
          <w:szCs w:val="22"/>
          <w:lang w:val="en-US"/>
        </w:rPr>
        <w:t>lan</w:t>
      </w:r>
      <w:r w:rsidR="00D2056D" w:rsidRPr="000B1539">
        <w:rPr>
          <w:rStyle w:val="FootnoteReference"/>
          <w:iCs/>
          <w:szCs w:val="22"/>
          <w:lang w:val="en-US"/>
        </w:rPr>
        <w:footnoteReference w:id="41"/>
      </w:r>
      <w:r w:rsidR="000F6BD1" w:rsidRPr="000B1539">
        <w:rPr>
          <w:iCs/>
          <w:szCs w:val="22"/>
          <w:lang w:val="en-US"/>
        </w:rPr>
        <w:t xml:space="preserve"> for the Nagoya Protocol</w:t>
      </w:r>
      <w:r w:rsidR="00B965B5" w:rsidRPr="000B1539">
        <w:rPr>
          <w:iCs/>
          <w:szCs w:val="22"/>
          <w:lang w:val="en-US"/>
        </w:rPr>
        <w:t xml:space="preserve"> on Access to Genetic Resources and the Fair and Equitable Sharing of Benefits Arising from Their Utilization to the Convention on Biological Diversity</w:t>
      </w:r>
      <w:r w:rsidR="008800D9" w:rsidRPr="000B1539">
        <w:rPr>
          <w:iCs/>
          <w:szCs w:val="22"/>
          <w:lang w:val="en-US"/>
        </w:rPr>
        <w:t>;</w:t>
      </w:r>
      <w:r w:rsidR="00413840" w:rsidRPr="000B1539">
        <w:rPr>
          <w:rStyle w:val="FootnoteReference"/>
          <w:iCs/>
          <w:szCs w:val="22"/>
          <w:lang w:val="en-US"/>
        </w:rPr>
        <w:footnoteReference w:id="42"/>
      </w:r>
    </w:p>
    <w:p w14:paraId="60122FF0" w14:textId="05990CC7" w:rsidR="00B83802" w:rsidRPr="000B1539" w:rsidRDefault="002B3056" w:rsidP="003D3F00">
      <w:pPr>
        <w:pStyle w:val="Para2"/>
        <w:tabs>
          <w:tab w:val="clear" w:pos="1701"/>
          <w:tab w:val="left" w:pos="2268"/>
        </w:tabs>
        <w:ind w:left="1134" w:firstLine="564"/>
        <w:rPr>
          <w:iCs/>
          <w:szCs w:val="22"/>
          <w:lang w:val="en-US"/>
        </w:rPr>
      </w:pPr>
      <w:r w:rsidRPr="000B1539">
        <w:rPr>
          <w:iCs/>
          <w:szCs w:val="22"/>
          <w:lang w:val="en-US"/>
        </w:rPr>
        <w:t>(j)</w:t>
      </w:r>
      <w:r w:rsidRPr="004B3AC1">
        <w:rPr>
          <w:iCs/>
          <w:szCs w:val="22"/>
          <w:lang w:val="en-US"/>
        </w:rPr>
        <w:tab/>
      </w:r>
      <w:r w:rsidR="00B83802" w:rsidRPr="004B3AC1">
        <w:rPr>
          <w:bCs/>
          <w:iCs/>
          <w:szCs w:val="22"/>
          <w:lang w:val="en-US"/>
        </w:rPr>
        <w:t>The</w:t>
      </w:r>
      <w:r w:rsidR="00B83802" w:rsidRPr="000B1539">
        <w:rPr>
          <w:iCs/>
          <w:szCs w:val="22"/>
          <w:lang w:val="en-US"/>
        </w:rPr>
        <w:t xml:space="preserve"> </w:t>
      </w:r>
      <w:r w:rsidR="00B83802" w:rsidRPr="000B1539">
        <w:rPr>
          <w:lang w:val="en-GB"/>
        </w:rPr>
        <w:t>guidance</w:t>
      </w:r>
      <w:r w:rsidR="00B83802" w:rsidRPr="000B1539">
        <w:rPr>
          <w:iCs/>
          <w:szCs w:val="22"/>
          <w:lang w:val="en-US"/>
        </w:rPr>
        <w:t xml:space="preserve"> on </w:t>
      </w:r>
      <w:proofErr w:type="spellStart"/>
      <w:r w:rsidR="00B83802" w:rsidRPr="000B1539">
        <w:rPr>
          <w:iCs/>
          <w:szCs w:val="22"/>
          <w:lang w:val="en-US"/>
        </w:rPr>
        <w:t>programme</w:t>
      </w:r>
      <w:proofErr w:type="spellEnd"/>
      <w:r w:rsidR="00B83802" w:rsidRPr="000B1539">
        <w:rPr>
          <w:iCs/>
          <w:szCs w:val="22"/>
          <w:lang w:val="en-US"/>
        </w:rPr>
        <w:t xml:space="preserve"> priorities to support the implementation of the </w:t>
      </w:r>
      <w:r w:rsidR="003A3036" w:rsidRPr="000B1539">
        <w:rPr>
          <w:iCs/>
          <w:szCs w:val="22"/>
          <w:lang w:val="en-US"/>
        </w:rPr>
        <w:t>Protocols</w:t>
      </w:r>
      <w:r w:rsidR="0009512D">
        <w:rPr>
          <w:iCs/>
          <w:szCs w:val="22"/>
          <w:lang w:val="en-US"/>
        </w:rPr>
        <w:t>,</w:t>
      </w:r>
      <w:r w:rsidR="00B83802" w:rsidRPr="000B1539">
        <w:rPr>
          <w:iCs/>
          <w:szCs w:val="22"/>
          <w:lang w:val="en-US"/>
        </w:rPr>
        <w:t xml:space="preserve"> adopted by the Conference of the Parties serving as the meeting of the Parties to the </w:t>
      </w:r>
      <w:r w:rsidR="003A3036" w:rsidRPr="000B1539">
        <w:rPr>
          <w:iCs/>
          <w:szCs w:val="22"/>
          <w:lang w:val="en-US"/>
        </w:rPr>
        <w:t xml:space="preserve">Nagoya </w:t>
      </w:r>
      <w:r w:rsidR="00B83802" w:rsidRPr="000B1539">
        <w:rPr>
          <w:iCs/>
          <w:szCs w:val="22"/>
          <w:lang w:val="en-US"/>
        </w:rPr>
        <w:t xml:space="preserve">Protocol at its </w:t>
      </w:r>
      <w:r w:rsidR="003A3036" w:rsidRPr="000B1539">
        <w:rPr>
          <w:iCs/>
          <w:szCs w:val="22"/>
          <w:lang w:val="en-US"/>
        </w:rPr>
        <w:t>fifth</w:t>
      </w:r>
      <w:r w:rsidR="00B83802" w:rsidRPr="000B1539">
        <w:rPr>
          <w:iCs/>
          <w:szCs w:val="22"/>
          <w:lang w:val="en-US"/>
        </w:rPr>
        <w:t xml:space="preserve"> meeting</w:t>
      </w:r>
      <w:r w:rsidR="003A3036" w:rsidRPr="000B1539">
        <w:rPr>
          <w:iCs/>
          <w:szCs w:val="22"/>
          <w:lang w:val="en-US"/>
        </w:rPr>
        <w:t xml:space="preserve"> and the Conference of the Parties serving as the meeting of the Parties to the Cartagena Protocol</w:t>
      </w:r>
      <w:r w:rsidR="003E5848" w:rsidRPr="000B1539">
        <w:rPr>
          <w:iCs/>
          <w:szCs w:val="22"/>
          <w:lang w:val="en-US"/>
        </w:rPr>
        <w:t xml:space="preserve"> at its eleventh meeting</w:t>
      </w:r>
      <w:r w:rsidR="00B83802" w:rsidRPr="000B1539">
        <w:rPr>
          <w:iCs/>
          <w:szCs w:val="22"/>
          <w:lang w:val="en-US"/>
        </w:rPr>
        <w:t xml:space="preserve">, contained in </w:t>
      </w:r>
      <w:r w:rsidR="00F017B4" w:rsidRPr="000B1539">
        <w:rPr>
          <w:iCs/>
          <w:szCs w:val="22"/>
          <w:lang w:val="en-US"/>
        </w:rPr>
        <w:t>enclosure</w:t>
      </w:r>
      <w:r w:rsidR="00A607EC" w:rsidRPr="000B1539">
        <w:rPr>
          <w:iCs/>
          <w:szCs w:val="22"/>
          <w:lang w:val="en-US"/>
        </w:rPr>
        <w:t>s</w:t>
      </w:r>
      <w:r w:rsidR="00B83802" w:rsidRPr="000B1539">
        <w:rPr>
          <w:iCs/>
          <w:szCs w:val="22"/>
          <w:lang w:val="en-US"/>
        </w:rPr>
        <w:t xml:space="preserve"> I</w:t>
      </w:r>
      <w:r w:rsidR="00786D4E" w:rsidRPr="000B1539">
        <w:rPr>
          <w:iCs/>
          <w:szCs w:val="22"/>
          <w:lang w:val="en-US"/>
        </w:rPr>
        <w:t xml:space="preserve"> and</w:t>
      </w:r>
      <w:r w:rsidR="004B3AC1">
        <w:rPr>
          <w:iCs/>
          <w:szCs w:val="22"/>
          <w:lang w:val="en-US"/>
        </w:rPr>
        <w:t> </w:t>
      </w:r>
      <w:r w:rsidR="00786D4E" w:rsidRPr="004B3AC1">
        <w:rPr>
          <w:iCs/>
          <w:szCs w:val="22"/>
          <w:lang w:val="en-US"/>
        </w:rPr>
        <w:t>II</w:t>
      </w:r>
      <w:r w:rsidR="00A607EC" w:rsidRPr="000B1539">
        <w:rPr>
          <w:iCs/>
          <w:szCs w:val="22"/>
          <w:lang w:val="en-US"/>
        </w:rPr>
        <w:t>, respectively</w:t>
      </w:r>
      <w:r w:rsidR="00B83802" w:rsidRPr="000B1539">
        <w:rPr>
          <w:iCs/>
          <w:szCs w:val="22"/>
          <w:lang w:val="en-US"/>
        </w:rPr>
        <w:t>.</w:t>
      </w:r>
      <w:r w:rsidR="003E5848" w:rsidRPr="000B1539">
        <w:rPr>
          <w:rStyle w:val="FootnoteReference"/>
          <w:iCs/>
          <w:szCs w:val="22"/>
          <w:lang w:val="en-US"/>
        </w:rPr>
        <w:footnoteReference w:id="43"/>
      </w:r>
    </w:p>
    <w:p w14:paraId="34C5FA35" w14:textId="7BE36B66" w:rsidR="00B83802" w:rsidRPr="000B1539" w:rsidRDefault="00B83802" w:rsidP="003D3F00">
      <w:pPr>
        <w:keepNext/>
        <w:tabs>
          <w:tab w:val="left" w:pos="567"/>
        </w:tabs>
        <w:spacing w:before="120" w:after="120"/>
        <w:ind w:left="1134" w:hanging="567"/>
        <w:jc w:val="left"/>
        <w:outlineLvl w:val="1"/>
        <w:rPr>
          <w:b/>
          <w:bCs/>
          <w:szCs w:val="22"/>
          <w:lang w:val="en-US"/>
        </w:rPr>
      </w:pPr>
      <w:bookmarkStart w:id="10" w:name="_Hlk163319639"/>
      <w:r w:rsidRPr="000B1539">
        <w:rPr>
          <w:b/>
          <w:bCs/>
          <w:szCs w:val="22"/>
          <w:lang w:val="en-US"/>
        </w:rPr>
        <w:t>C.</w:t>
      </w:r>
      <w:r w:rsidRPr="000B1539">
        <w:rPr>
          <w:b/>
          <w:bCs/>
          <w:szCs w:val="22"/>
          <w:lang w:val="en-US"/>
        </w:rPr>
        <w:tab/>
      </w:r>
      <w:r w:rsidR="00502415" w:rsidRPr="000B1539">
        <w:rPr>
          <w:b/>
          <w:bCs/>
          <w:szCs w:val="22"/>
          <w:lang w:val="en-US"/>
        </w:rPr>
        <w:t>S</w:t>
      </w:r>
      <w:r w:rsidRPr="000B1539">
        <w:rPr>
          <w:b/>
          <w:bCs/>
          <w:szCs w:val="22"/>
          <w:lang w:val="en-US"/>
        </w:rPr>
        <w:t>trategic considerations</w:t>
      </w:r>
    </w:p>
    <w:bookmarkEnd w:id="10"/>
    <w:p w14:paraId="74C9A4BE" w14:textId="08C8290A" w:rsidR="00502415" w:rsidRPr="000B1539" w:rsidRDefault="00E63AC6" w:rsidP="00E63AC6">
      <w:pPr>
        <w:pStyle w:val="Para1"/>
        <w:numPr>
          <w:ilvl w:val="0"/>
          <w:numId w:val="0"/>
        </w:numPr>
        <w:tabs>
          <w:tab w:val="clear" w:pos="1134"/>
          <w:tab w:val="left" w:pos="1701"/>
        </w:tabs>
        <w:ind w:left="1134"/>
        <w:rPr>
          <w:lang w:val="en-US"/>
        </w:rPr>
      </w:pPr>
      <w:r w:rsidRPr="000B1539">
        <w:rPr>
          <w:lang w:val="en-US"/>
        </w:rPr>
        <w:t>10.</w:t>
      </w:r>
      <w:r w:rsidRPr="004B3AC1">
        <w:rPr>
          <w:lang w:val="en-US"/>
        </w:rPr>
        <w:tab/>
      </w:r>
      <w:r w:rsidR="00502415" w:rsidRPr="004B3AC1">
        <w:rPr>
          <w:lang w:val="en-US"/>
        </w:rPr>
        <w:t>The</w:t>
      </w:r>
      <w:r w:rsidR="00502415" w:rsidRPr="000B1539">
        <w:rPr>
          <w:lang w:val="en-US"/>
        </w:rPr>
        <w:t xml:space="preserve"> programming directions and the policy recommendations for the ninth replenishment of the Global Environment Facility, </w:t>
      </w:r>
      <w:r w:rsidR="00ED7A33" w:rsidRPr="000B1539">
        <w:rPr>
          <w:lang w:val="en-US"/>
        </w:rPr>
        <w:t>as they relate</w:t>
      </w:r>
      <w:r w:rsidR="00502415" w:rsidRPr="000B1539">
        <w:rPr>
          <w:lang w:val="en-US"/>
        </w:rPr>
        <w:t xml:space="preserve"> to the Convention </w:t>
      </w:r>
      <w:r w:rsidR="006C56CA" w:rsidRPr="000B1539">
        <w:rPr>
          <w:lang w:val="en-US"/>
        </w:rPr>
        <w:t xml:space="preserve">and </w:t>
      </w:r>
      <w:r w:rsidR="00502415" w:rsidRPr="000B1539">
        <w:rPr>
          <w:lang w:val="en-US"/>
        </w:rPr>
        <w:t>its Protocols and the</w:t>
      </w:r>
      <w:r w:rsidR="00ED7A33" w:rsidRPr="000B1539">
        <w:rPr>
          <w:lang w:val="en-US"/>
        </w:rPr>
        <w:t>ir</w:t>
      </w:r>
      <w:r w:rsidR="00502415" w:rsidRPr="000B1539">
        <w:rPr>
          <w:lang w:val="en-US"/>
        </w:rPr>
        <w:t xml:space="preserve"> financial mechanism established </w:t>
      </w:r>
      <w:r w:rsidR="00CD7547" w:rsidRPr="000B1539">
        <w:rPr>
          <w:lang w:val="en-US"/>
        </w:rPr>
        <w:t xml:space="preserve">under </w:t>
      </w:r>
      <w:r w:rsidR="00502415" w:rsidRPr="000B1539">
        <w:rPr>
          <w:lang w:val="en-US"/>
        </w:rPr>
        <w:t>A</w:t>
      </w:r>
      <w:r w:rsidR="00502415" w:rsidRPr="004B3AC1">
        <w:rPr>
          <w:lang w:val="en-US"/>
        </w:rPr>
        <w:t>rticle 21 of</w:t>
      </w:r>
      <w:r w:rsidR="00502415" w:rsidRPr="000B1539">
        <w:rPr>
          <w:lang w:val="en-US"/>
        </w:rPr>
        <w:t xml:space="preserve"> the Convention, </w:t>
      </w:r>
      <w:r w:rsidR="002309D7" w:rsidRPr="000B1539">
        <w:rPr>
          <w:lang w:val="en-US"/>
        </w:rPr>
        <w:t>operated by the Facility on an interim basis</w:t>
      </w:r>
      <w:r w:rsidR="006F5B3A" w:rsidRPr="000B1539">
        <w:rPr>
          <w:lang w:val="en-US"/>
        </w:rPr>
        <w:t>,</w:t>
      </w:r>
      <w:r w:rsidR="002309D7" w:rsidRPr="000B1539">
        <w:rPr>
          <w:lang w:val="en-US"/>
        </w:rPr>
        <w:t xml:space="preserve"> in accordance with A</w:t>
      </w:r>
      <w:r w:rsidR="002309D7" w:rsidRPr="004B3AC1">
        <w:rPr>
          <w:lang w:val="en-US"/>
        </w:rPr>
        <w:t>rticle 39 of</w:t>
      </w:r>
      <w:r w:rsidR="002309D7" w:rsidRPr="000B1539">
        <w:rPr>
          <w:lang w:val="en-US"/>
        </w:rPr>
        <w:t xml:space="preserve"> the Convention, </w:t>
      </w:r>
      <w:r w:rsidR="00502415" w:rsidRPr="000B1539">
        <w:rPr>
          <w:lang w:val="en-US"/>
        </w:rPr>
        <w:t xml:space="preserve">should: </w:t>
      </w:r>
    </w:p>
    <w:p w14:paraId="3A2E1893" w14:textId="5ECD69CE" w:rsidR="00D73E6B" w:rsidRPr="000B1539" w:rsidRDefault="00882C05" w:rsidP="003D3F00">
      <w:pPr>
        <w:pStyle w:val="Para2"/>
        <w:tabs>
          <w:tab w:val="clear" w:pos="1701"/>
          <w:tab w:val="left" w:pos="2268"/>
        </w:tabs>
        <w:ind w:left="1134" w:firstLine="564"/>
        <w:rPr>
          <w:iCs/>
          <w:szCs w:val="22"/>
          <w:lang w:val="en-US"/>
        </w:rPr>
      </w:pPr>
      <w:r w:rsidRPr="000B1539">
        <w:rPr>
          <w:iCs/>
          <w:szCs w:val="22"/>
          <w:lang w:val="en-US"/>
        </w:rPr>
        <w:t>(a)</w:t>
      </w:r>
      <w:r w:rsidRPr="000B1539">
        <w:rPr>
          <w:iCs/>
          <w:szCs w:val="22"/>
          <w:lang w:val="en-US"/>
        </w:rPr>
        <w:tab/>
      </w:r>
      <w:r w:rsidR="00D73E6B" w:rsidRPr="000B1539">
        <w:rPr>
          <w:iCs/>
          <w:szCs w:val="22"/>
          <w:lang w:val="en-US"/>
        </w:rPr>
        <w:t xml:space="preserve">Be </w:t>
      </w:r>
      <w:r w:rsidR="00D73E6B" w:rsidRPr="000B1539">
        <w:rPr>
          <w:lang w:val="en-GB"/>
        </w:rPr>
        <w:t>developed</w:t>
      </w:r>
      <w:r w:rsidR="00D73E6B" w:rsidRPr="000B1539">
        <w:rPr>
          <w:iCs/>
          <w:szCs w:val="22"/>
          <w:lang w:val="en-US"/>
        </w:rPr>
        <w:t xml:space="preserve"> in a fully transparent and inclusive manner, with a view to ensuring that the projects funded by </w:t>
      </w:r>
      <w:r w:rsidR="007870DE" w:rsidRPr="000B1539">
        <w:rPr>
          <w:iCs/>
          <w:szCs w:val="22"/>
          <w:lang w:val="en-US"/>
        </w:rPr>
        <w:t xml:space="preserve">the Global Environment Facility </w:t>
      </w:r>
      <w:r w:rsidR="00D73E6B" w:rsidRPr="000B1539">
        <w:rPr>
          <w:iCs/>
          <w:szCs w:val="22"/>
          <w:lang w:val="en-US"/>
        </w:rPr>
        <w:t xml:space="preserve">during its ninth replenishment period to support biodiversity objectives are developed on a context-specific and country-driven basis, addressing the priority needs </w:t>
      </w:r>
      <w:r w:rsidR="005B5B0F" w:rsidRPr="000B1539">
        <w:rPr>
          <w:iCs/>
          <w:szCs w:val="22"/>
          <w:lang w:val="en-US"/>
        </w:rPr>
        <w:t>identified by</w:t>
      </w:r>
      <w:r w:rsidR="00D73E6B" w:rsidRPr="000B1539">
        <w:rPr>
          <w:iCs/>
          <w:szCs w:val="22"/>
          <w:lang w:val="en-US"/>
        </w:rPr>
        <w:t xml:space="preserve"> the recipient countries</w:t>
      </w:r>
      <w:r w:rsidRPr="000B1539">
        <w:rPr>
          <w:iCs/>
          <w:szCs w:val="22"/>
          <w:lang w:val="en-US"/>
        </w:rPr>
        <w:t>;</w:t>
      </w:r>
    </w:p>
    <w:p w14:paraId="2A1C8BF0" w14:textId="0CBE058D" w:rsidR="00B83802" w:rsidRPr="000B1539" w:rsidRDefault="00882C05" w:rsidP="003D3F00">
      <w:pPr>
        <w:pStyle w:val="Para2"/>
        <w:tabs>
          <w:tab w:val="clear" w:pos="1701"/>
          <w:tab w:val="left" w:pos="2268"/>
        </w:tabs>
        <w:ind w:left="1134" w:firstLine="564"/>
        <w:rPr>
          <w:iCs/>
          <w:szCs w:val="22"/>
          <w:lang w:val="en-US"/>
        </w:rPr>
      </w:pPr>
      <w:r w:rsidRPr="000B1539">
        <w:rPr>
          <w:iCs/>
          <w:szCs w:val="22"/>
          <w:lang w:val="en-US"/>
        </w:rPr>
        <w:t>(b)</w:t>
      </w:r>
      <w:r w:rsidRPr="000B1539">
        <w:rPr>
          <w:iCs/>
          <w:szCs w:val="22"/>
          <w:lang w:val="en-US"/>
        </w:rPr>
        <w:tab/>
      </w:r>
      <w:r w:rsidR="00EF62D8" w:rsidRPr="000B1539">
        <w:rPr>
          <w:lang w:val="en-GB"/>
        </w:rPr>
        <w:t>S</w:t>
      </w:r>
      <w:r w:rsidR="00B83802" w:rsidRPr="000B1539">
        <w:rPr>
          <w:lang w:val="en-GB"/>
        </w:rPr>
        <w:t>upport</w:t>
      </w:r>
      <w:r w:rsidR="00B83802" w:rsidRPr="000B1539">
        <w:rPr>
          <w:iCs/>
          <w:szCs w:val="22"/>
          <w:lang w:val="en-US"/>
        </w:rPr>
        <w:t xml:space="preserve"> the rapid </w:t>
      </w:r>
      <w:r w:rsidR="00B83802" w:rsidRPr="000B1539">
        <w:rPr>
          <w:iCs/>
          <w:szCs w:val="22"/>
          <w:shd w:val="clear" w:color="auto" w:fill="FFFFFF"/>
          <w:lang w:val="en-US"/>
        </w:rPr>
        <w:t xml:space="preserve">and effective </w:t>
      </w:r>
      <w:r w:rsidR="00B83802" w:rsidRPr="000B1539">
        <w:rPr>
          <w:iCs/>
          <w:szCs w:val="22"/>
          <w:lang w:val="en-US"/>
        </w:rPr>
        <w:t xml:space="preserve">implementation of the </w:t>
      </w:r>
      <w:r w:rsidR="00B83802" w:rsidRPr="000B1539">
        <w:rPr>
          <w:bCs/>
          <w:snapToGrid w:val="0"/>
          <w:kern w:val="22"/>
          <w:szCs w:val="22"/>
        </w:rPr>
        <w:t>Framework</w:t>
      </w:r>
      <w:r w:rsidR="00032ED4" w:rsidRPr="000B1539">
        <w:rPr>
          <w:bCs/>
          <w:snapToGrid w:val="0"/>
          <w:kern w:val="22"/>
          <w:szCs w:val="22"/>
        </w:rPr>
        <w:t>, including</w:t>
      </w:r>
      <w:r w:rsidR="00B83802" w:rsidRPr="000B1539" w:rsidDel="00A24066">
        <w:rPr>
          <w:iCs/>
          <w:szCs w:val="22"/>
          <w:lang w:val="en-US"/>
        </w:rPr>
        <w:t xml:space="preserve"> </w:t>
      </w:r>
      <w:r w:rsidR="00B83802" w:rsidRPr="000B1539">
        <w:rPr>
          <w:iCs/>
          <w:szCs w:val="22"/>
          <w:shd w:val="clear" w:color="auto" w:fill="FFFFFF"/>
          <w:lang w:val="en-US"/>
        </w:rPr>
        <w:t xml:space="preserve">by contributing to </w:t>
      </w:r>
      <w:r w:rsidR="00032ED4" w:rsidRPr="000B1539">
        <w:rPr>
          <w:iCs/>
          <w:szCs w:val="22"/>
          <w:shd w:val="clear" w:color="auto" w:fill="FFFFFF"/>
          <w:lang w:val="en-US"/>
        </w:rPr>
        <w:t xml:space="preserve">a significantly enhanced mobilization of </w:t>
      </w:r>
      <w:r w:rsidR="00B83802" w:rsidRPr="000B1539">
        <w:rPr>
          <w:iCs/>
          <w:szCs w:val="22"/>
          <w:shd w:val="clear" w:color="auto" w:fill="FFFFFF"/>
          <w:lang w:val="en-US"/>
        </w:rPr>
        <w:t>resource</w:t>
      </w:r>
      <w:r w:rsidR="00032ED4" w:rsidRPr="000B1539">
        <w:rPr>
          <w:iCs/>
          <w:szCs w:val="22"/>
          <w:shd w:val="clear" w:color="auto" w:fill="FFFFFF"/>
          <w:lang w:val="en-US"/>
        </w:rPr>
        <w:t>s</w:t>
      </w:r>
      <w:r w:rsidR="00B83802" w:rsidRPr="000B1539">
        <w:rPr>
          <w:iCs/>
          <w:szCs w:val="22"/>
          <w:shd w:val="clear" w:color="auto" w:fill="FFFFFF"/>
          <w:lang w:val="en-US"/>
        </w:rPr>
        <w:t xml:space="preserve">, including </w:t>
      </w:r>
      <w:r w:rsidR="00256D2F" w:rsidRPr="000B1539">
        <w:rPr>
          <w:iCs/>
          <w:szCs w:val="22"/>
          <w:shd w:val="clear" w:color="auto" w:fill="FFFFFF"/>
          <w:lang w:val="en-US"/>
        </w:rPr>
        <w:t xml:space="preserve">Global Environment Facility </w:t>
      </w:r>
      <w:r w:rsidR="00B83802" w:rsidRPr="000B1539">
        <w:rPr>
          <w:iCs/>
          <w:szCs w:val="22"/>
          <w:shd w:val="clear" w:color="auto" w:fill="FFFFFF"/>
          <w:lang w:val="en-US"/>
        </w:rPr>
        <w:t xml:space="preserve">funding </w:t>
      </w:r>
      <w:r w:rsidR="00032ED4" w:rsidRPr="000B1539">
        <w:rPr>
          <w:iCs/>
          <w:szCs w:val="22"/>
          <w:shd w:val="clear" w:color="auto" w:fill="FFFFFF"/>
          <w:lang w:val="en-US"/>
        </w:rPr>
        <w:t>that</w:t>
      </w:r>
      <w:r w:rsidR="00B83802" w:rsidRPr="000B1539">
        <w:rPr>
          <w:iCs/>
          <w:szCs w:val="22"/>
          <w:shd w:val="clear" w:color="auto" w:fill="FFFFFF"/>
          <w:lang w:val="en-US"/>
        </w:rPr>
        <w:t xml:space="preserve"> is adequate, predictable, sustainable, timely and accessible</w:t>
      </w:r>
      <w:r w:rsidR="00032ED4" w:rsidRPr="000B1539">
        <w:rPr>
          <w:iCs/>
          <w:szCs w:val="22"/>
          <w:lang w:val="en-US"/>
        </w:rPr>
        <w:t xml:space="preserve"> to all Parties eligible to receive support </w:t>
      </w:r>
      <w:r w:rsidR="00373385" w:rsidRPr="000B1539">
        <w:rPr>
          <w:iCs/>
          <w:szCs w:val="22"/>
          <w:lang w:val="en-US"/>
        </w:rPr>
        <w:t>through</w:t>
      </w:r>
      <w:r w:rsidR="00032ED4" w:rsidRPr="000B1539">
        <w:rPr>
          <w:iCs/>
          <w:szCs w:val="22"/>
          <w:lang w:val="en-US"/>
        </w:rPr>
        <w:t xml:space="preserve"> the financial mechanism of the Convention and its Protocols</w:t>
      </w:r>
      <w:r w:rsidR="00373385" w:rsidRPr="000B1539">
        <w:rPr>
          <w:iCs/>
          <w:szCs w:val="22"/>
          <w:lang w:val="en-US"/>
        </w:rPr>
        <w:t xml:space="preserve">, as determined </w:t>
      </w:r>
      <w:r w:rsidR="00046925" w:rsidRPr="000B1539">
        <w:rPr>
          <w:iCs/>
          <w:szCs w:val="22"/>
          <w:lang w:val="en-US"/>
        </w:rPr>
        <w:t xml:space="preserve">under </w:t>
      </w:r>
      <w:r w:rsidR="00373385" w:rsidRPr="000B1539">
        <w:rPr>
          <w:iCs/>
          <w:szCs w:val="22"/>
          <w:lang w:val="en-US"/>
        </w:rPr>
        <w:t xml:space="preserve">the </w:t>
      </w:r>
      <w:r w:rsidR="00003696" w:rsidRPr="000B1539">
        <w:rPr>
          <w:iCs/>
          <w:szCs w:val="22"/>
          <w:lang w:val="en-US"/>
        </w:rPr>
        <w:t xml:space="preserve">Convention itself and </w:t>
      </w:r>
      <w:r w:rsidR="00046925" w:rsidRPr="000B1539">
        <w:rPr>
          <w:iCs/>
          <w:szCs w:val="22"/>
          <w:lang w:val="en-US"/>
        </w:rPr>
        <w:t xml:space="preserve">by the </w:t>
      </w:r>
      <w:r w:rsidR="00373385" w:rsidRPr="000B1539">
        <w:rPr>
          <w:iCs/>
          <w:szCs w:val="22"/>
          <w:lang w:val="en-US"/>
        </w:rPr>
        <w:t>Conference of the Parties</w:t>
      </w:r>
      <w:r w:rsidR="00032ED4" w:rsidRPr="000B1539">
        <w:rPr>
          <w:iCs/>
          <w:szCs w:val="22"/>
          <w:lang w:val="en-US"/>
        </w:rPr>
        <w:t>.</w:t>
      </w:r>
      <w:r w:rsidR="00B83802" w:rsidRPr="000B1539">
        <w:rPr>
          <w:iCs/>
          <w:szCs w:val="22"/>
          <w:lang w:val="en-US"/>
        </w:rPr>
        <w:t xml:space="preserve"> </w:t>
      </w:r>
      <w:r w:rsidR="007555AD" w:rsidRPr="000B1539">
        <w:rPr>
          <w:iCs/>
          <w:szCs w:val="22"/>
          <w:lang w:val="en-US"/>
        </w:rPr>
        <w:t>While s</w:t>
      </w:r>
      <w:r w:rsidR="00827EEB" w:rsidRPr="000B1539">
        <w:rPr>
          <w:iCs/>
          <w:szCs w:val="22"/>
          <w:lang w:val="en-US"/>
        </w:rPr>
        <w:t xml:space="preserve">uch funding </w:t>
      </w:r>
      <w:r w:rsidR="00373385" w:rsidRPr="000B1539">
        <w:rPr>
          <w:iCs/>
          <w:szCs w:val="22"/>
          <w:lang w:val="en-US"/>
        </w:rPr>
        <w:t xml:space="preserve">may be provided </w:t>
      </w:r>
      <w:r w:rsidR="003029DD" w:rsidRPr="000B1539">
        <w:rPr>
          <w:iCs/>
          <w:szCs w:val="22"/>
          <w:lang w:val="en-US"/>
        </w:rPr>
        <w:t xml:space="preserve">to eligible Parties </w:t>
      </w:r>
      <w:r w:rsidR="00373385" w:rsidRPr="000B1539">
        <w:rPr>
          <w:iCs/>
          <w:szCs w:val="22"/>
          <w:lang w:val="en-US"/>
        </w:rPr>
        <w:t xml:space="preserve">by the </w:t>
      </w:r>
      <w:r w:rsidR="00256D2F" w:rsidRPr="000B1539">
        <w:rPr>
          <w:iCs/>
          <w:szCs w:val="22"/>
          <w:lang w:val="en-US"/>
        </w:rPr>
        <w:t>Global Environment Facility</w:t>
      </w:r>
      <w:r w:rsidR="00373385" w:rsidRPr="000B1539">
        <w:rPr>
          <w:iCs/>
          <w:szCs w:val="22"/>
          <w:lang w:val="en-US"/>
        </w:rPr>
        <w:t xml:space="preserve"> </w:t>
      </w:r>
      <w:r w:rsidR="005E5AED" w:rsidRPr="000B1539">
        <w:rPr>
          <w:iCs/>
          <w:szCs w:val="22"/>
          <w:lang w:val="en-US"/>
        </w:rPr>
        <w:t xml:space="preserve">primarily </w:t>
      </w:r>
      <w:r w:rsidR="00373385" w:rsidRPr="000B1539">
        <w:rPr>
          <w:iCs/>
          <w:szCs w:val="22"/>
          <w:lang w:val="en-US"/>
        </w:rPr>
        <w:t xml:space="preserve">through </w:t>
      </w:r>
      <w:r w:rsidR="00B83802" w:rsidRPr="000B1539">
        <w:rPr>
          <w:iCs/>
          <w:szCs w:val="22"/>
          <w:lang w:val="en-US"/>
        </w:rPr>
        <w:t xml:space="preserve">allocations </w:t>
      </w:r>
      <w:r w:rsidR="00373385" w:rsidRPr="000B1539">
        <w:rPr>
          <w:iCs/>
          <w:szCs w:val="22"/>
          <w:lang w:val="en-US"/>
        </w:rPr>
        <w:t xml:space="preserve">under programming directions </w:t>
      </w:r>
      <w:r w:rsidR="00B83802" w:rsidRPr="000B1539">
        <w:rPr>
          <w:iCs/>
          <w:szCs w:val="22"/>
          <w:lang w:val="en-US"/>
        </w:rPr>
        <w:t>dedicated to the biodiversity focal area</w:t>
      </w:r>
      <w:r w:rsidR="00373385" w:rsidRPr="000B1539">
        <w:rPr>
          <w:iCs/>
          <w:szCs w:val="22"/>
          <w:lang w:val="en-US"/>
        </w:rPr>
        <w:t>,</w:t>
      </w:r>
      <w:r w:rsidR="00B83802" w:rsidRPr="000B1539">
        <w:rPr>
          <w:iCs/>
          <w:szCs w:val="22"/>
          <w:lang w:val="en-US"/>
        </w:rPr>
        <w:t xml:space="preserve"> </w:t>
      </w:r>
      <w:r w:rsidR="001D14FE" w:rsidRPr="000B1539">
        <w:rPr>
          <w:iCs/>
          <w:szCs w:val="22"/>
          <w:lang w:val="en-US"/>
        </w:rPr>
        <w:t xml:space="preserve">there can be </w:t>
      </w:r>
      <w:r w:rsidR="00B83802" w:rsidRPr="000B1539">
        <w:rPr>
          <w:iCs/>
          <w:szCs w:val="22"/>
          <w:lang w:val="en-US"/>
        </w:rPr>
        <w:t xml:space="preserve">co-benefits for biodiversity </w:t>
      </w:r>
      <w:r w:rsidR="00D73E6B" w:rsidRPr="000B1539">
        <w:rPr>
          <w:iCs/>
          <w:szCs w:val="22"/>
          <w:lang w:val="en-US"/>
        </w:rPr>
        <w:t xml:space="preserve">arising </w:t>
      </w:r>
      <w:r w:rsidR="00373385" w:rsidRPr="000B1539">
        <w:rPr>
          <w:iCs/>
          <w:szCs w:val="22"/>
          <w:lang w:val="en-US"/>
        </w:rPr>
        <w:t>from</w:t>
      </w:r>
      <w:r w:rsidR="00B83802" w:rsidRPr="000B1539">
        <w:rPr>
          <w:iCs/>
          <w:szCs w:val="22"/>
          <w:lang w:val="en-US"/>
        </w:rPr>
        <w:t xml:space="preserve"> other focal areas and global </w:t>
      </w:r>
      <w:proofErr w:type="spellStart"/>
      <w:r w:rsidR="00B83802" w:rsidRPr="000B1539">
        <w:rPr>
          <w:iCs/>
          <w:szCs w:val="22"/>
          <w:lang w:val="en-US"/>
        </w:rPr>
        <w:t>programmes</w:t>
      </w:r>
      <w:proofErr w:type="spellEnd"/>
      <w:r w:rsidR="00B83802" w:rsidRPr="000B1539">
        <w:rPr>
          <w:iCs/>
          <w:szCs w:val="22"/>
          <w:lang w:val="en-US"/>
        </w:rPr>
        <w:t xml:space="preserve"> </w:t>
      </w:r>
      <w:r w:rsidR="00373385" w:rsidRPr="000B1539">
        <w:rPr>
          <w:iCs/>
          <w:szCs w:val="22"/>
          <w:lang w:val="en-US"/>
        </w:rPr>
        <w:t>and through the</w:t>
      </w:r>
      <w:r w:rsidR="00B83802" w:rsidRPr="000B1539">
        <w:rPr>
          <w:iCs/>
          <w:szCs w:val="22"/>
          <w:lang w:val="en-US"/>
        </w:rPr>
        <w:t xml:space="preserve"> integrated </w:t>
      </w:r>
      <w:proofErr w:type="spellStart"/>
      <w:r w:rsidR="00B83802" w:rsidRPr="000B1539">
        <w:rPr>
          <w:iCs/>
          <w:szCs w:val="22"/>
          <w:lang w:val="en-US"/>
        </w:rPr>
        <w:t>programmes</w:t>
      </w:r>
      <w:proofErr w:type="spellEnd"/>
      <w:r w:rsidR="00B83802" w:rsidRPr="000B1539">
        <w:rPr>
          <w:iCs/>
          <w:szCs w:val="22"/>
          <w:lang w:val="en-US"/>
        </w:rPr>
        <w:t xml:space="preserve">, </w:t>
      </w:r>
      <w:r w:rsidR="007F0A3A">
        <w:rPr>
          <w:iCs/>
          <w:szCs w:val="22"/>
          <w:lang w:val="en-US"/>
        </w:rPr>
        <w:t>heightening</w:t>
      </w:r>
      <w:r w:rsidR="002B71DD">
        <w:rPr>
          <w:iCs/>
          <w:szCs w:val="22"/>
          <w:lang w:val="en-US"/>
        </w:rPr>
        <w:t xml:space="preserve"> </w:t>
      </w:r>
      <w:r w:rsidR="00B83802" w:rsidRPr="000B1539">
        <w:rPr>
          <w:iCs/>
          <w:szCs w:val="22"/>
          <w:lang w:val="en-US"/>
        </w:rPr>
        <w:t xml:space="preserve">the need for streamlined programming and </w:t>
      </w:r>
      <w:r w:rsidR="00B40C6F" w:rsidRPr="000B1539">
        <w:rPr>
          <w:iCs/>
          <w:szCs w:val="22"/>
          <w:lang w:val="en-US"/>
        </w:rPr>
        <w:t xml:space="preserve">an </w:t>
      </w:r>
      <w:r w:rsidR="00B83802" w:rsidRPr="000B1539">
        <w:rPr>
          <w:iCs/>
          <w:szCs w:val="22"/>
          <w:lang w:val="en-US"/>
        </w:rPr>
        <w:t xml:space="preserve">approval process </w:t>
      </w:r>
      <w:r w:rsidR="00D73E6B" w:rsidRPr="000B1539">
        <w:rPr>
          <w:iCs/>
          <w:szCs w:val="22"/>
          <w:lang w:val="en-US"/>
        </w:rPr>
        <w:t>that</w:t>
      </w:r>
      <w:r w:rsidR="00B83802" w:rsidRPr="000B1539">
        <w:rPr>
          <w:iCs/>
          <w:szCs w:val="22"/>
          <w:lang w:val="en-US"/>
        </w:rPr>
        <w:t xml:space="preserve"> enable</w:t>
      </w:r>
      <w:r w:rsidR="00D73E6B" w:rsidRPr="000B1539">
        <w:rPr>
          <w:iCs/>
          <w:szCs w:val="22"/>
          <w:lang w:val="en-US"/>
        </w:rPr>
        <w:t>s</w:t>
      </w:r>
      <w:r w:rsidR="00B83802" w:rsidRPr="000B1539">
        <w:rPr>
          <w:iCs/>
          <w:szCs w:val="22"/>
          <w:lang w:val="en-US"/>
        </w:rPr>
        <w:t xml:space="preserve"> </w:t>
      </w:r>
      <w:r w:rsidR="00B40C6F" w:rsidRPr="000B1539">
        <w:rPr>
          <w:iCs/>
          <w:szCs w:val="22"/>
          <w:lang w:val="en-US"/>
        </w:rPr>
        <w:t xml:space="preserve">the </w:t>
      </w:r>
      <w:r w:rsidR="00B83802" w:rsidRPr="000B1539">
        <w:rPr>
          <w:iCs/>
          <w:szCs w:val="22"/>
          <w:lang w:val="en-US"/>
        </w:rPr>
        <w:t>timely disbursement of resources</w:t>
      </w:r>
      <w:r w:rsidRPr="000B1539">
        <w:rPr>
          <w:iCs/>
          <w:szCs w:val="22"/>
          <w:lang w:val="en-US"/>
        </w:rPr>
        <w:t>;</w:t>
      </w:r>
    </w:p>
    <w:p w14:paraId="7567301D" w14:textId="77777777" w:rsidR="003C2AD0" w:rsidRPr="000B1539" w:rsidRDefault="00882C05" w:rsidP="00CB38A8">
      <w:pPr>
        <w:pStyle w:val="Para2"/>
        <w:tabs>
          <w:tab w:val="clear" w:pos="1701"/>
          <w:tab w:val="left" w:pos="2268"/>
        </w:tabs>
        <w:ind w:left="1134" w:firstLine="564"/>
        <w:rPr>
          <w:iCs/>
          <w:szCs w:val="22"/>
          <w:lang w:val="en-US"/>
        </w:rPr>
      </w:pPr>
      <w:r w:rsidRPr="000B1539">
        <w:rPr>
          <w:iCs/>
          <w:szCs w:val="22"/>
          <w:lang w:val="en-US"/>
        </w:rPr>
        <w:t>(c)</w:t>
      </w:r>
      <w:r w:rsidRPr="000B1539">
        <w:rPr>
          <w:iCs/>
          <w:szCs w:val="22"/>
          <w:lang w:val="en-US"/>
        </w:rPr>
        <w:tab/>
      </w:r>
      <w:r w:rsidR="007870DE" w:rsidRPr="000B1539">
        <w:rPr>
          <w:iCs/>
          <w:szCs w:val="22"/>
          <w:lang w:val="en-US"/>
        </w:rPr>
        <w:t>Build upon support being provided under the eighth replenishment of the Global Environment Facility</w:t>
      </w:r>
      <w:r w:rsidR="00C863CF" w:rsidRPr="000B1539">
        <w:rPr>
          <w:iCs/>
          <w:szCs w:val="22"/>
          <w:lang w:val="en-US"/>
        </w:rPr>
        <w:t xml:space="preserve"> and the Global Biodiversity Framework Fund</w:t>
      </w:r>
      <w:r w:rsidRPr="000B1539">
        <w:rPr>
          <w:iCs/>
          <w:szCs w:val="22"/>
          <w:lang w:val="en-US"/>
        </w:rPr>
        <w:t>;</w:t>
      </w:r>
    </w:p>
    <w:p w14:paraId="5E89D2A0" w14:textId="7B729265" w:rsidR="00D73E6B" w:rsidRPr="000B1539" w:rsidRDefault="00882C05" w:rsidP="00CB38A8">
      <w:pPr>
        <w:pStyle w:val="Para2"/>
        <w:tabs>
          <w:tab w:val="clear" w:pos="1701"/>
          <w:tab w:val="left" w:pos="2268"/>
        </w:tabs>
        <w:ind w:left="1134" w:firstLine="564"/>
        <w:rPr>
          <w:iCs/>
          <w:szCs w:val="22"/>
          <w:lang w:val="en-US"/>
        </w:rPr>
      </w:pPr>
      <w:r w:rsidRPr="000B1539">
        <w:rPr>
          <w:iCs/>
          <w:szCs w:val="22"/>
          <w:lang w:val="en-US"/>
        </w:rPr>
        <w:t>(d)</w:t>
      </w:r>
      <w:r w:rsidRPr="000B1539">
        <w:rPr>
          <w:iCs/>
          <w:szCs w:val="22"/>
          <w:lang w:val="en-US"/>
        </w:rPr>
        <w:tab/>
      </w:r>
      <w:proofErr w:type="gramStart"/>
      <w:r w:rsidR="00D73E6B" w:rsidRPr="000B1539">
        <w:rPr>
          <w:iCs/>
          <w:szCs w:val="22"/>
          <w:lang w:val="en-US"/>
        </w:rPr>
        <w:t xml:space="preserve">Take into </w:t>
      </w:r>
      <w:r w:rsidR="00D73E6B" w:rsidRPr="000B1539">
        <w:rPr>
          <w:lang w:val="en-GB"/>
        </w:rPr>
        <w:t>account</w:t>
      </w:r>
      <w:proofErr w:type="gramEnd"/>
      <w:r w:rsidR="00D73E6B" w:rsidRPr="000B1539">
        <w:rPr>
          <w:iCs/>
          <w:szCs w:val="22"/>
          <w:lang w:val="en-US"/>
        </w:rPr>
        <w:t xml:space="preserve"> coherence with, and synergies among, country-driven </w:t>
      </w:r>
      <w:proofErr w:type="spellStart"/>
      <w:r w:rsidR="00D73E6B" w:rsidRPr="000B1539">
        <w:rPr>
          <w:iCs/>
          <w:szCs w:val="22"/>
          <w:lang w:val="en-US"/>
        </w:rPr>
        <w:t>programmes</w:t>
      </w:r>
      <w:proofErr w:type="spellEnd"/>
      <w:r w:rsidR="00D73E6B" w:rsidRPr="000B1539">
        <w:rPr>
          <w:iCs/>
          <w:szCs w:val="22"/>
          <w:lang w:val="en-US"/>
        </w:rPr>
        <w:t xml:space="preserve"> and priorities set out in national biodiversity strategies and action plans to support </w:t>
      </w:r>
      <w:r w:rsidR="00B40C6F" w:rsidRPr="000B1539">
        <w:rPr>
          <w:iCs/>
          <w:szCs w:val="22"/>
          <w:lang w:val="en-US"/>
        </w:rPr>
        <w:t xml:space="preserve">the </w:t>
      </w:r>
      <w:r w:rsidR="00D73E6B" w:rsidRPr="000B1539">
        <w:rPr>
          <w:iCs/>
          <w:szCs w:val="22"/>
          <w:lang w:val="en-US"/>
        </w:rPr>
        <w:t xml:space="preserve">implementation of the </w:t>
      </w:r>
      <w:r w:rsidR="00D73E6B" w:rsidRPr="000B1539">
        <w:rPr>
          <w:bCs/>
          <w:snapToGrid w:val="0"/>
          <w:kern w:val="22"/>
          <w:szCs w:val="22"/>
        </w:rPr>
        <w:t>Framework</w:t>
      </w:r>
      <w:r w:rsidRPr="000B1539">
        <w:rPr>
          <w:iCs/>
          <w:szCs w:val="22"/>
          <w:lang w:val="en-US"/>
        </w:rPr>
        <w:t>;</w:t>
      </w:r>
    </w:p>
    <w:p w14:paraId="6F3D6687" w14:textId="0BCED4CE" w:rsidR="00D73E6B" w:rsidRPr="000B1539" w:rsidRDefault="00882C05" w:rsidP="003D3F00">
      <w:pPr>
        <w:pStyle w:val="Para2"/>
        <w:tabs>
          <w:tab w:val="clear" w:pos="1701"/>
          <w:tab w:val="left" w:pos="2268"/>
        </w:tabs>
        <w:ind w:left="1134" w:firstLine="564"/>
        <w:rPr>
          <w:szCs w:val="22"/>
          <w:lang w:val="en-US"/>
        </w:rPr>
      </w:pPr>
      <w:r w:rsidRPr="000B1539">
        <w:rPr>
          <w:szCs w:val="22"/>
          <w:lang w:val="en-US"/>
        </w:rPr>
        <w:t>(e)</w:t>
      </w:r>
      <w:r w:rsidRPr="000B1539">
        <w:rPr>
          <w:szCs w:val="22"/>
          <w:lang w:val="en-US"/>
        </w:rPr>
        <w:tab/>
      </w:r>
      <w:r w:rsidR="00D73E6B" w:rsidRPr="000B1539">
        <w:rPr>
          <w:iCs/>
          <w:szCs w:val="22"/>
          <w:lang w:val="en-US"/>
        </w:rPr>
        <w:t xml:space="preserve">Promote </w:t>
      </w:r>
      <w:r w:rsidR="00D73E6B" w:rsidRPr="000B1539">
        <w:rPr>
          <w:szCs w:val="22"/>
          <w:lang w:val="en-US"/>
        </w:rPr>
        <w:t>engagement with eligible recipient countries to support national resource mobilization and the development and implementation of national biodiversity finance plans</w:t>
      </w:r>
      <w:r w:rsidRPr="000B1539">
        <w:rPr>
          <w:szCs w:val="22"/>
          <w:lang w:val="en-US"/>
        </w:rPr>
        <w:t>;</w:t>
      </w:r>
    </w:p>
    <w:p w14:paraId="2B8BC0E8" w14:textId="04E47F14" w:rsidR="00D73E6B" w:rsidRPr="000B1539" w:rsidRDefault="00882C05" w:rsidP="003D3F00">
      <w:pPr>
        <w:pStyle w:val="Para2"/>
        <w:tabs>
          <w:tab w:val="clear" w:pos="1701"/>
          <w:tab w:val="left" w:pos="2268"/>
        </w:tabs>
        <w:ind w:left="1134" w:firstLine="564"/>
        <w:rPr>
          <w:iCs/>
          <w:szCs w:val="22"/>
          <w:lang w:val="en-US"/>
        </w:rPr>
      </w:pPr>
      <w:r w:rsidRPr="000B1539">
        <w:rPr>
          <w:iCs/>
          <w:szCs w:val="22"/>
          <w:lang w:val="en-US"/>
        </w:rPr>
        <w:t>(f)</w:t>
      </w:r>
      <w:r w:rsidRPr="000B1539">
        <w:rPr>
          <w:iCs/>
          <w:szCs w:val="22"/>
          <w:lang w:val="en-US"/>
        </w:rPr>
        <w:tab/>
      </w:r>
      <w:r w:rsidR="00D73E6B" w:rsidRPr="000B1539">
        <w:rPr>
          <w:iCs/>
          <w:szCs w:val="22"/>
          <w:lang w:val="en-US"/>
        </w:rPr>
        <w:t>Promote</w:t>
      </w:r>
      <w:r w:rsidR="00D73E6B" w:rsidRPr="000B1539">
        <w:rPr>
          <w:szCs w:val="22"/>
          <w:lang w:val="en-US"/>
        </w:rPr>
        <w:t xml:space="preserve"> the achievement of global environmental benefits and sustainable </w:t>
      </w:r>
      <w:r w:rsidR="00D73E6B" w:rsidRPr="000B1539">
        <w:rPr>
          <w:iCs/>
          <w:szCs w:val="22"/>
          <w:lang w:val="en-US"/>
        </w:rPr>
        <w:t xml:space="preserve">development pathways </w:t>
      </w:r>
      <w:r w:rsidR="00556F7B">
        <w:rPr>
          <w:iCs/>
          <w:szCs w:val="22"/>
          <w:lang w:val="en-US"/>
        </w:rPr>
        <w:t>which</w:t>
      </w:r>
      <w:r w:rsidR="00D73E6B" w:rsidRPr="000B1539">
        <w:rPr>
          <w:iCs/>
          <w:szCs w:val="22"/>
          <w:lang w:val="en-US"/>
        </w:rPr>
        <w:t xml:space="preserve"> ensure the conservation and sustainable use of biodiversity and the fair and equitable sharing of benefits arising from the utilization of genetic resources and are carbon-neutral and pollution-free, including </w:t>
      </w:r>
      <w:r w:rsidR="00134344" w:rsidRPr="000B1539">
        <w:rPr>
          <w:iCs/>
          <w:szCs w:val="22"/>
          <w:lang w:val="en-US"/>
        </w:rPr>
        <w:t xml:space="preserve">by </w:t>
      </w:r>
      <w:r w:rsidR="00EF4BE7" w:rsidRPr="000B1539">
        <w:rPr>
          <w:iCs/>
          <w:szCs w:val="22"/>
          <w:lang w:val="en-US"/>
        </w:rPr>
        <w:t xml:space="preserve">encouraging </w:t>
      </w:r>
      <w:r w:rsidR="00D73E6B" w:rsidRPr="000B1539">
        <w:rPr>
          <w:iCs/>
          <w:szCs w:val="22"/>
          <w:lang w:val="en-US"/>
        </w:rPr>
        <w:t xml:space="preserve">coherence and </w:t>
      </w:r>
      <w:r w:rsidR="001D6739" w:rsidRPr="000B1539">
        <w:rPr>
          <w:iCs/>
          <w:szCs w:val="22"/>
          <w:lang w:val="en-US"/>
        </w:rPr>
        <w:t>co</w:t>
      </w:r>
      <w:r w:rsidR="00C82B1E" w:rsidRPr="000B1539">
        <w:rPr>
          <w:iCs/>
          <w:szCs w:val="22"/>
          <w:lang w:val="en-US"/>
        </w:rPr>
        <w:t>m</w:t>
      </w:r>
      <w:r w:rsidR="001D6739" w:rsidRPr="000B1539">
        <w:rPr>
          <w:iCs/>
          <w:szCs w:val="22"/>
          <w:lang w:val="en-US"/>
        </w:rPr>
        <w:t xml:space="preserve">plementarity </w:t>
      </w:r>
      <w:r w:rsidR="00D73E6B" w:rsidRPr="000B1539">
        <w:rPr>
          <w:iCs/>
          <w:szCs w:val="22"/>
          <w:lang w:val="en-US"/>
        </w:rPr>
        <w:t xml:space="preserve">among the </w:t>
      </w:r>
      <w:r w:rsidR="00533AE2" w:rsidRPr="000B1539">
        <w:rPr>
          <w:iCs/>
          <w:szCs w:val="22"/>
          <w:lang w:val="en-US"/>
        </w:rPr>
        <w:t xml:space="preserve">Global Environment Facility </w:t>
      </w:r>
      <w:r w:rsidR="00D73E6B" w:rsidRPr="000B1539">
        <w:rPr>
          <w:iCs/>
          <w:szCs w:val="22"/>
          <w:lang w:val="en-US"/>
        </w:rPr>
        <w:t xml:space="preserve">focal areas of biodiversity, land degradation, international waters, climate change mitigation and adaptation, and chemicals and waste, and its integrated </w:t>
      </w:r>
      <w:proofErr w:type="spellStart"/>
      <w:r w:rsidR="00D73E6B" w:rsidRPr="000B1539">
        <w:rPr>
          <w:iCs/>
          <w:szCs w:val="22"/>
          <w:lang w:val="en-US"/>
        </w:rPr>
        <w:t>programmes</w:t>
      </w:r>
      <w:proofErr w:type="spellEnd"/>
      <w:r w:rsidR="00D73E6B" w:rsidRPr="000B1539">
        <w:rPr>
          <w:iCs/>
          <w:szCs w:val="22"/>
          <w:lang w:val="en-US"/>
        </w:rPr>
        <w:t>, within the context of country</w:t>
      </w:r>
      <w:r w:rsidR="00D73E6B" w:rsidRPr="000B1539">
        <w:rPr>
          <w:iCs/>
          <w:szCs w:val="22"/>
          <w:lang w:val="en-US"/>
        </w:rPr>
        <w:noBreakHyphen/>
        <w:t xml:space="preserve">driven priorities and </w:t>
      </w:r>
      <w:proofErr w:type="spellStart"/>
      <w:r w:rsidR="00D73E6B" w:rsidRPr="000B1539">
        <w:rPr>
          <w:iCs/>
          <w:szCs w:val="22"/>
          <w:lang w:val="en-US"/>
        </w:rPr>
        <w:t>programmes</w:t>
      </w:r>
      <w:proofErr w:type="spellEnd"/>
      <w:r w:rsidRPr="000B1539">
        <w:rPr>
          <w:iCs/>
          <w:szCs w:val="22"/>
          <w:lang w:val="en-US"/>
        </w:rPr>
        <w:t>;</w:t>
      </w:r>
    </w:p>
    <w:p w14:paraId="5D79717D" w14:textId="399BB348" w:rsidR="00D73E6B" w:rsidRPr="000B1539" w:rsidRDefault="00882C05" w:rsidP="003D3F00">
      <w:pPr>
        <w:pStyle w:val="Para2"/>
        <w:tabs>
          <w:tab w:val="clear" w:pos="1701"/>
          <w:tab w:val="left" w:pos="2268"/>
        </w:tabs>
        <w:ind w:left="1134" w:firstLine="564"/>
        <w:rPr>
          <w:iCs/>
          <w:szCs w:val="22"/>
          <w:lang w:val="en-US"/>
        </w:rPr>
      </w:pPr>
      <w:r w:rsidRPr="000B1539">
        <w:rPr>
          <w:iCs/>
          <w:szCs w:val="22"/>
          <w:lang w:val="en-US"/>
        </w:rPr>
        <w:t>(g)</w:t>
      </w:r>
      <w:r w:rsidRPr="000B1539">
        <w:rPr>
          <w:iCs/>
          <w:szCs w:val="22"/>
          <w:lang w:val="en-US"/>
        </w:rPr>
        <w:tab/>
      </w:r>
      <w:r w:rsidR="00BE4B94" w:rsidRPr="000B1539">
        <w:rPr>
          <w:iCs/>
          <w:szCs w:val="22"/>
          <w:lang w:val="en-US"/>
        </w:rPr>
        <w:t>Reflect</w:t>
      </w:r>
      <w:r w:rsidR="00D73E6B" w:rsidRPr="000B1539">
        <w:rPr>
          <w:iCs/>
          <w:szCs w:val="22"/>
          <w:lang w:val="en-US"/>
        </w:rPr>
        <w:t xml:space="preserve"> </w:t>
      </w:r>
      <w:r w:rsidR="00146D95" w:rsidRPr="000B1539">
        <w:rPr>
          <w:iCs/>
          <w:szCs w:val="22"/>
          <w:lang w:val="en-US"/>
        </w:rPr>
        <w:t xml:space="preserve">the fact </w:t>
      </w:r>
      <w:r w:rsidR="00D73E6B" w:rsidRPr="000B1539">
        <w:rPr>
          <w:iCs/>
          <w:szCs w:val="22"/>
          <w:lang w:val="en-US"/>
        </w:rPr>
        <w:t xml:space="preserve">that the implementation of biodiversity-related conventions and multilateral </w:t>
      </w:r>
      <w:r w:rsidR="009008FA" w:rsidRPr="000B1539">
        <w:rPr>
          <w:iCs/>
          <w:szCs w:val="22"/>
          <w:lang w:val="en-US"/>
        </w:rPr>
        <w:t xml:space="preserve">environmental </w:t>
      </w:r>
      <w:r w:rsidR="00D73E6B" w:rsidRPr="000B1539">
        <w:rPr>
          <w:iCs/>
          <w:szCs w:val="22"/>
          <w:lang w:val="en-US"/>
        </w:rPr>
        <w:t xml:space="preserve">agreements, in the </w:t>
      </w:r>
      <w:r w:rsidR="00D73E6B" w:rsidRPr="000B1539">
        <w:rPr>
          <w:lang w:val="en-GB"/>
        </w:rPr>
        <w:t>context</w:t>
      </w:r>
      <w:r w:rsidR="00D73E6B" w:rsidRPr="000B1539">
        <w:rPr>
          <w:iCs/>
          <w:szCs w:val="22"/>
          <w:lang w:val="en-US"/>
        </w:rPr>
        <w:t xml:space="preserve"> of national biodiversity strategies</w:t>
      </w:r>
      <w:r w:rsidR="00F41CCC" w:rsidRPr="000B1539">
        <w:rPr>
          <w:iCs/>
          <w:szCs w:val="22"/>
          <w:lang w:val="en-US"/>
        </w:rPr>
        <w:t xml:space="preserve"> and action plans</w:t>
      </w:r>
      <w:r w:rsidR="00D73E6B" w:rsidRPr="000B1539">
        <w:rPr>
          <w:iCs/>
          <w:szCs w:val="22"/>
          <w:lang w:val="en-US"/>
        </w:rPr>
        <w:t xml:space="preserve">, </w:t>
      </w:r>
      <w:r w:rsidR="009008FA" w:rsidRPr="000B1539">
        <w:rPr>
          <w:iCs/>
          <w:szCs w:val="22"/>
          <w:lang w:val="en-US"/>
        </w:rPr>
        <w:t>may</w:t>
      </w:r>
      <w:r w:rsidR="00D73E6B" w:rsidRPr="000B1539">
        <w:rPr>
          <w:iCs/>
          <w:szCs w:val="22"/>
          <w:lang w:val="en-US"/>
        </w:rPr>
        <w:t xml:space="preserve"> contribute to the objectives of the Convention</w:t>
      </w:r>
      <w:r w:rsidR="00B76DEE" w:rsidRPr="000B1539">
        <w:rPr>
          <w:iCs/>
          <w:szCs w:val="22"/>
          <w:lang w:val="en-US"/>
        </w:rPr>
        <w:t xml:space="preserve"> on Biological Diversity</w:t>
      </w:r>
      <w:r w:rsidR="00020391" w:rsidRPr="000B1539">
        <w:rPr>
          <w:iCs/>
          <w:szCs w:val="22"/>
          <w:lang w:val="en-US"/>
        </w:rPr>
        <w:t xml:space="preserve"> and</w:t>
      </w:r>
      <w:r w:rsidR="00D73E6B" w:rsidRPr="000B1539">
        <w:rPr>
          <w:iCs/>
          <w:szCs w:val="22"/>
          <w:lang w:val="en-US"/>
        </w:rPr>
        <w:t xml:space="preserve"> its Protocols and the goals and targets of the</w:t>
      </w:r>
      <w:r w:rsidR="00D73E6B" w:rsidRPr="000B1539">
        <w:rPr>
          <w:bCs/>
          <w:snapToGrid w:val="0"/>
          <w:kern w:val="22"/>
          <w:szCs w:val="22"/>
        </w:rPr>
        <w:t xml:space="preserve"> Framework</w:t>
      </w:r>
      <w:r w:rsidRPr="000B1539">
        <w:rPr>
          <w:iCs/>
          <w:szCs w:val="22"/>
          <w:lang w:val="en-US"/>
        </w:rPr>
        <w:t>;</w:t>
      </w:r>
    </w:p>
    <w:p w14:paraId="3393D161" w14:textId="0E3AB6F2" w:rsidR="00D73E6B" w:rsidRPr="000B1539" w:rsidRDefault="00882C05" w:rsidP="003D3F00">
      <w:pPr>
        <w:pStyle w:val="Para2"/>
        <w:tabs>
          <w:tab w:val="clear" w:pos="1701"/>
          <w:tab w:val="left" w:pos="2268"/>
        </w:tabs>
        <w:ind w:left="1134" w:firstLine="564"/>
        <w:rPr>
          <w:iCs/>
          <w:szCs w:val="22"/>
          <w:lang w:val="en-US"/>
        </w:rPr>
      </w:pPr>
      <w:r w:rsidRPr="000B1539">
        <w:rPr>
          <w:iCs/>
          <w:szCs w:val="22"/>
          <w:lang w:val="en-US"/>
        </w:rPr>
        <w:t>(h)</w:t>
      </w:r>
      <w:r w:rsidRPr="000B1539">
        <w:rPr>
          <w:iCs/>
          <w:szCs w:val="22"/>
          <w:lang w:val="en-US"/>
        </w:rPr>
        <w:tab/>
      </w:r>
      <w:r w:rsidR="00D73E6B" w:rsidRPr="000B1539">
        <w:rPr>
          <w:iCs/>
          <w:szCs w:val="22"/>
          <w:lang w:val="en-US"/>
        </w:rPr>
        <w:t>Promote</w:t>
      </w:r>
      <w:r w:rsidR="00CB38A8" w:rsidRPr="000B1539">
        <w:rPr>
          <w:iCs/>
          <w:szCs w:val="22"/>
          <w:lang w:val="en-US"/>
        </w:rPr>
        <w:t xml:space="preserve"> </w:t>
      </w:r>
      <w:r w:rsidR="00D73E6B" w:rsidRPr="000B1539">
        <w:rPr>
          <w:iCs/>
          <w:szCs w:val="22"/>
          <w:lang w:val="en-US"/>
        </w:rPr>
        <w:t xml:space="preserve">cooperation and complementarity in the implementation of the three objectives of the </w:t>
      </w:r>
      <w:r w:rsidR="00D73E6B" w:rsidRPr="000B1539">
        <w:rPr>
          <w:lang w:val="en-GB"/>
        </w:rPr>
        <w:t>Convention</w:t>
      </w:r>
      <w:r w:rsidR="00D73E6B" w:rsidRPr="000B1539">
        <w:rPr>
          <w:iCs/>
          <w:szCs w:val="22"/>
          <w:lang w:val="en-US"/>
        </w:rPr>
        <w:t xml:space="preserve"> </w:t>
      </w:r>
      <w:r w:rsidR="00B76DEE" w:rsidRPr="000B1539">
        <w:rPr>
          <w:iCs/>
          <w:szCs w:val="22"/>
          <w:lang w:val="en-US"/>
        </w:rPr>
        <w:t xml:space="preserve">on Biological Diversity </w:t>
      </w:r>
      <w:r w:rsidR="00D73E6B" w:rsidRPr="000B1539">
        <w:rPr>
          <w:iCs/>
          <w:szCs w:val="22"/>
          <w:lang w:val="en-US"/>
        </w:rPr>
        <w:t xml:space="preserve">and the </w:t>
      </w:r>
      <w:r w:rsidR="00F86B60" w:rsidRPr="000B1539">
        <w:rPr>
          <w:iCs/>
          <w:szCs w:val="22"/>
          <w:lang w:val="en-US"/>
        </w:rPr>
        <w:t xml:space="preserve">related </w:t>
      </w:r>
      <w:r w:rsidR="00D73E6B" w:rsidRPr="000B1539">
        <w:rPr>
          <w:iCs/>
          <w:szCs w:val="22"/>
          <w:lang w:val="en-US"/>
        </w:rPr>
        <w:t xml:space="preserve">objectives of the other conventions served by the </w:t>
      </w:r>
      <w:r w:rsidR="00BE656F" w:rsidRPr="000B1539">
        <w:rPr>
          <w:iCs/>
          <w:szCs w:val="22"/>
          <w:lang w:val="en-US"/>
        </w:rPr>
        <w:t>Global Environment Facility</w:t>
      </w:r>
      <w:r w:rsidR="00D73E6B" w:rsidRPr="000B1539">
        <w:rPr>
          <w:iCs/>
          <w:szCs w:val="22"/>
          <w:lang w:val="en-US"/>
        </w:rPr>
        <w:t xml:space="preserve">, </w:t>
      </w:r>
      <w:r w:rsidR="00434411" w:rsidRPr="000B1539">
        <w:rPr>
          <w:iCs/>
          <w:szCs w:val="22"/>
          <w:lang w:val="en-US"/>
        </w:rPr>
        <w:t>as well as</w:t>
      </w:r>
      <w:r w:rsidR="00F86B60" w:rsidRPr="000B1539">
        <w:rPr>
          <w:iCs/>
          <w:szCs w:val="22"/>
          <w:lang w:val="en-US"/>
        </w:rPr>
        <w:t xml:space="preserve"> </w:t>
      </w:r>
      <w:r w:rsidR="00D73E6B" w:rsidRPr="000B1539">
        <w:rPr>
          <w:iCs/>
          <w:szCs w:val="22"/>
          <w:lang w:val="en-US"/>
        </w:rPr>
        <w:t xml:space="preserve">those of other biodiversity-related conventions and multilateral </w:t>
      </w:r>
      <w:r w:rsidR="00CF78E5" w:rsidRPr="000B1539">
        <w:rPr>
          <w:iCs/>
          <w:szCs w:val="22"/>
          <w:lang w:val="en-US"/>
        </w:rPr>
        <w:t xml:space="preserve">environmental </w:t>
      </w:r>
      <w:r w:rsidR="00D73E6B" w:rsidRPr="000B1539">
        <w:rPr>
          <w:iCs/>
          <w:szCs w:val="22"/>
          <w:lang w:val="en-US"/>
        </w:rPr>
        <w:t xml:space="preserve">agreements, </w:t>
      </w:r>
      <w:r w:rsidR="005562AD">
        <w:rPr>
          <w:iCs/>
          <w:szCs w:val="22"/>
          <w:lang w:val="en-US"/>
        </w:rPr>
        <w:t xml:space="preserve">while </w:t>
      </w:r>
      <w:r w:rsidR="00D73E6B" w:rsidRPr="000B1539">
        <w:rPr>
          <w:iCs/>
          <w:szCs w:val="22"/>
          <w:lang w:val="en-US"/>
        </w:rPr>
        <w:t xml:space="preserve">recognizing the </w:t>
      </w:r>
      <w:r w:rsidR="005469C6" w:rsidRPr="000B1539">
        <w:rPr>
          <w:iCs/>
          <w:szCs w:val="22"/>
          <w:lang w:val="en-US"/>
        </w:rPr>
        <w:t>potential</w:t>
      </w:r>
      <w:r w:rsidR="00D73E6B" w:rsidRPr="000B1539">
        <w:rPr>
          <w:iCs/>
          <w:szCs w:val="22"/>
          <w:lang w:val="en-US"/>
        </w:rPr>
        <w:t xml:space="preserve"> contributions of th</w:t>
      </w:r>
      <w:r w:rsidR="00DC23F7" w:rsidRPr="000B1539">
        <w:rPr>
          <w:iCs/>
          <w:szCs w:val="22"/>
          <w:lang w:val="en-US"/>
        </w:rPr>
        <w:t>o</w:t>
      </w:r>
      <w:r w:rsidR="00D73E6B" w:rsidRPr="000B1539">
        <w:rPr>
          <w:iCs/>
          <w:szCs w:val="22"/>
          <w:lang w:val="en-US"/>
        </w:rPr>
        <w:t xml:space="preserve">se instruments to the objectives of the Convention, its Protocols and </w:t>
      </w:r>
      <w:r w:rsidR="00135E4B" w:rsidRPr="000B1539">
        <w:rPr>
          <w:iCs/>
          <w:szCs w:val="22"/>
          <w:lang w:val="en-US"/>
        </w:rPr>
        <w:t>the</w:t>
      </w:r>
      <w:r w:rsidR="00F41CCC" w:rsidRPr="000B1539">
        <w:rPr>
          <w:iCs/>
          <w:szCs w:val="22"/>
          <w:lang w:val="en-US"/>
        </w:rPr>
        <w:t xml:space="preserve"> </w:t>
      </w:r>
      <w:r w:rsidR="000A4B7E" w:rsidRPr="000A4B7E">
        <w:rPr>
          <w:iCs/>
          <w:szCs w:val="22"/>
          <w:lang w:val="en-GB"/>
        </w:rPr>
        <w:t xml:space="preserve">Kunming-Montreal Global Biodiversity </w:t>
      </w:r>
      <w:r w:rsidR="00D73E6B" w:rsidRPr="000B1539">
        <w:rPr>
          <w:iCs/>
          <w:szCs w:val="22"/>
          <w:lang w:val="en-US"/>
        </w:rPr>
        <w:t>Framework, and the reciproca</w:t>
      </w:r>
      <w:r w:rsidR="00F86B60" w:rsidRPr="000B1539">
        <w:rPr>
          <w:iCs/>
          <w:szCs w:val="22"/>
          <w:lang w:val="en-US"/>
        </w:rPr>
        <w:t>ted</w:t>
      </w:r>
      <w:r w:rsidR="00D73E6B" w:rsidRPr="000B1539">
        <w:rPr>
          <w:iCs/>
          <w:szCs w:val="22"/>
          <w:lang w:val="en-US"/>
        </w:rPr>
        <w:t xml:space="preserve"> contributions to their own objectives</w:t>
      </w:r>
      <w:r w:rsidRPr="000B1539">
        <w:rPr>
          <w:iCs/>
          <w:szCs w:val="22"/>
          <w:lang w:val="en-US"/>
        </w:rPr>
        <w:t>;</w:t>
      </w:r>
    </w:p>
    <w:p w14:paraId="5C3CDDA6" w14:textId="6E085110" w:rsidR="00D73E6B" w:rsidRPr="000B1539" w:rsidRDefault="00882C05" w:rsidP="003D3F00">
      <w:pPr>
        <w:pStyle w:val="Para2"/>
        <w:tabs>
          <w:tab w:val="clear" w:pos="1701"/>
          <w:tab w:val="left" w:pos="2268"/>
        </w:tabs>
        <w:ind w:left="1134" w:firstLine="564"/>
        <w:rPr>
          <w:iCs/>
          <w:szCs w:val="22"/>
          <w:lang w:val="en-US"/>
        </w:rPr>
      </w:pPr>
      <w:r w:rsidRPr="000B1539">
        <w:rPr>
          <w:iCs/>
          <w:szCs w:val="22"/>
          <w:lang w:val="en-US"/>
        </w:rPr>
        <w:t>(</w:t>
      </w:r>
      <w:proofErr w:type="spellStart"/>
      <w:r w:rsidRPr="000B1539">
        <w:rPr>
          <w:iCs/>
          <w:szCs w:val="22"/>
          <w:lang w:val="en-US"/>
        </w:rPr>
        <w:t>i</w:t>
      </w:r>
      <w:proofErr w:type="spellEnd"/>
      <w:r w:rsidRPr="000B1539">
        <w:rPr>
          <w:iCs/>
          <w:szCs w:val="22"/>
          <w:lang w:val="en-US"/>
        </w:rPr>
        <w:t>)</w:t>
      </w:r>
      <w:r w:rsidRPr="000B1539">
        <w:rPr>
          <w:iCs/>
          <w:szCs w:val="22"/>
          <w:lang w:val="en-US"/>
        </w:rPr>
        <w:tab/>
      </w:r>
      <w:r w:rsidR="00D73E6B" w:rsidRPr="000B1539">
        <w:rPr>
          <w:iCs/>
          <w:szCs w:val="22"/>
          <w:lang w:val="en-US"/>
        </w:rPr>
        <w:t xml:space="preserve">Reinforce the </w:t>
      </w:r>
      <w:r w:rsidR="00753906" w:rsidRPr="000B1539">
        <w:rPr>
          <w:iCs/>
          <w:szCs w:val="22"/>
          <w:lang w:val="en-US"/>
        </w:rPr>
        <w:t xml:space="preserve">efforts of the </w:t>
      </w:r>
      <w:r w:rsidR="00BE656F" w:rsidRPr="000B1539">
        <w:rPr>
          <w:iCs/>
          <w:szCs w:val="22"/>
          <w:lang w:val="en-US"/>
        </w:rPr>
        <w:t xml:space="preserve">Global Environment Facility </w:t>
      </w:r>
      <w:r w:rsidR="00D73E6B" w:rsidRPr="000B1539">
        <w:rPr>
          <w:iCs/>
          <w:szCs w:val="22"/>
          <w:lang w:val="en-US"/>
        </w:rPr>
        <w:t>to mobilize and engage with all stakeholders, including the private sector</w:t>
      </w:r>
      <w:r w:rsidR="005469C6" w:rsidRPr="000B1539">
        <w:rPr>
          <w:iCs/>
          <w:szCs w:val="22"/>
          <w:lang w:val="en-US"/>
        </w:rPr>
        <w:t>, indigenous peoples</w:t>
      </w:r>
      <w:r w:rsidR="004A0A93" w:rsidRPr="000B1539">
        <w:rPr>
          <w:iCs/>
          <w:szCs w:val="22"/>
          <w:lang w:val="en-US"/>
        </w:rPr>
        <w:t xml:space="preserve"> and local communities</w:t>
      </w:r>
      <w:r w:rsidR="005469C6" w:rsidRPr="000B1539">
        <w:rPr>
          <w:iCs/>
          <w:szCs w:val="22"/>
          <w:lang w:val="en-US"/>
        </w:rPr>
        <w:t>, women and youth</w:t>
      </w:r>
      <w:r w:rsidRPr="000B1539">
        <w:rPr>
          <w:iCs/>
          <w:szCs w:val="22"/>
          <w:lang w:val="en-US"/>
        </w:rPr>
        <w:t>;</w:t>
      </w:r>
    </w:p>
    <w:p w14:paraId="5CD28B4A" w14:textId="77777777" w:rsidR="00CB5375" w:rsidRPr="000B1539" w:rsidRDefault="00882C05" w:rsidP="00FF093C">
      <w:pPr>
        <w:pStyle w:val="Para1"/>
        <w:numPr>
          <w:ilvl w:val="0"/>
          <w:numId w:val="0"/>
        </w:numPr>
        <w:tabs>
          <w:tab w:val="clear" w:pos="1134"/>
          <w:tab w:val="left" w:pos="1701"/>
        </w:tabs>
        <w:ind w:left="1134" w:firstLine="567"/>
        <w:rPr>
          <w:iCs/>
          <w:szCs w:val="22"/>
          <w:lang w:val="en-US"/>
        </w:rPr>
      </w:pPr>
      <w:r w:rsidRPr="000B1539">
        <w:rPr>
          <w:iCs/>
          <w:szCs w:val="22"/>
          <w:lang w:val="en-US"/>
        </w:rPr>
        <w:t>(j)</w:t>
      </w:r>
      <w:r w:rsidRPr="000B1539">
        <w:rPr>
          <w:iCs/>
          <w:szCs w:val="22"/>
          <w:lang w:val="en-US"/>
        </w:rPr>
        <w:tab/>
      </w:r>
      <w:proofErr w:type="gramStart"/>
      <w:r w:rsidR="00091FA8" w:rsidRPr="000B1539">
        <w:rPr>
          <w:iCs/>
          <w:szCs w:val="22"/>
          <w:lang w:val="en-US"/>
        </w:rPr>
        <w:t>Take into account</w:t>
      </w:r>
      <w:proofErr w:type="gramEnd"/>
      <w:r w:rsidR="00B83802" w:rsidRPr="000B1539">
        <w:rPr>
          <w:iCs/>
          <w:szCs w:val="22"/>
          <w:lang w:val="en-US"/>
        </w:rPr>
        <w:t xml:space="preserve"> the </w:t>
      </w:r>
      <w:r w:rsidR="00373385" w:rsidRPr="000B1539">
        <w:rPr>
          <w:iCs/>
          <w:szCs w:val="22"/>
          <w:lang w:val="en-US"/>
        </w:rPr>
        <w:t xml:space="preserve">important </w:t>
      </w:r>
      <w:r w:rsidR="00B83802" w:rsidRPr="000B1539">
        <w:rPr>
          <w:iCs/>
          <w:szCs w:val="22"/>
          <w:lang w:val="en-US"/>
        </w:rPr>
        <w:t xml:space="preserve">contribution </w:t>
      </w:r>
      <w:r w:rsidR="003029DD" w:rsidRPr="000B1539">
        <w:rPr>
          <w:iCs/>
          <w:szCs w:val="22"/>
          <w:lang w:val="en-US"/>
        </w:rPr>
        <w:t xml:space="preserve">that can be </w:t>
      </w:r>
      <w:r w:rsidR="00373385" w:rsidRPr="000B1539">
        <w:rPr>
          <w:iCs/>
          <w:szCs w:val="22"/>
          <w:lang w:val="en-US"/>
        </w:rPr>
        <w:t>made by</w:t>
      </w:r>
      <w:r w:rsidR="00B83802" w:rsidRPr="000B1539">
        <w:rPr>
          <w:iCs/>
          <w:szCs w:val="22"/>
          <w:lang w:val="en-US"/>
        </w:rPr>
        <w:t xml:space="preserve"> </w:t>
      </w:r>
      <w:r w:rsidR="00373385" w:rsidRPr="000B1539">
        <w:rPr>
          <w:iCs/>
          <w:szCs w:val="22"/>
          <w:lang w:val="en-US"/>
        </w:rPr>
        <w:t xml:space="preserve">transboundary, </w:t>
      </w:r>
      <w:r w:rsidR="00B83802" w:rsidRPr="000B1539">
        <w:rPr>
          <w:iCs/>
          <w:szCs w:val="22"/>
          <w:lang w:val="en-US"/>
        </w:rPr>
        <w:t xml:space="preserve">multi-country, regional and global projects to the implementation of the objectives of the Convention, its Protocols and </w:t>
      </w:r>
      <w:r w:rsidR="00135E4B" w:rsidRPr="000B1539">
        <w:rPr>
          <w:iCs/>
          <w:szCs w:val="22"/>
          <w:lang w:val="en-US"/>
        </w:rPr>
        <w:t>the</w:t>
      </w:r>
      <w:r w:rsidR="00C14C2A" w:rsidRPr="000B1539">
        <w:rPr>
          <w:iCs/>
          <w:szCs w:val="22"/>
          <w:lang w:val="en-US"/>
        </w:rPr>
        <w:t xml:space="preserve"> </w:t>
      </w:r>
      <w:r w:rsidR="00B83802" w:rsidRPr="000B1539">
        <w:rPr>
          <w:bCs/>
          <w:snapToGrid w:val="0"/>
          <w:kern w:val="22"/>
          <w:szCs w:val="22"/>
        </w:rPr>
        <w:t>Framework</w:t>
      </w:r>
      <w:r w:rsidR="00B83802" w:rsidRPr="000B1539">
        <w:rPr>
          <w:iCs/>
          <w:szCs w:val="22"/>
          <w:lang w:val="en-US"/>
        </w:rPr>
        <w:t>, including to</w:t>
      </w:r>
      <w:r w:rsidR="003029DD" w:rsidRPr="000B1539">
        <w:rPr>
          <w:iCs/>
          <w:szCs w:val="22"/>
          <w:lang w:val="en-US"/>
        </w:rPr>
        <w:t>wards</w:t>
      </w:r>
      <w:r w:rsidR="00B83802" w:rsidRPr="000B1539">
        <w:rPr>
          <w:iCs/>
          <w:szCs w:val="22"/>
          <w:lang w:val="en-US"/>
        </w:rPr>
        <w:t xml:space="preserve"> the implementation of global initiatives adopted under the Convention and its Protocols, and </w:t>
      </w:r>
      <w:r w:rsidR="003029DD" w:rsidRPr="000B1539">
        <w:rPr>
          <w:iCs/>
          <w:szCs w:val="22"/>
          <w:lang w:val="en-US"/>
        </w:rPr>
        <w:t xml:space="preserve">transboundary, </w:t>
      </w:r>
      <w:r w:rsidR="00B83802" w:rsidRPr="000B1539">
        <w:rPr>
          <w:iCs/>
          <w:szCs w:val="22"/>
          <w:lang w:val="en-US"/>
        </w:rPr>
        <w:t xml:space="preserve">multi-country, regional and global initiatives that leverage contributions from biodiversity-related conventions and </w:t>
      </w:r>
      <w:r w:rsidR="003029DD" w:rsidRPr="000B1539">
        <w:rPr>
          <w:iCs/>
          <w:szCs w:val="22"/>
          <w:lang w:val="en-US"/>
        </w:rPr>
        <w:t xml:space="preserve">multilateral </w:t>
      </w:r>
      <w:r w:rsidR="00B83802" w:rsidRPr="000B1539">
        <w:rPr>
          <w:iCs/>
          <w:szCs w:val="22"/>
          <w:lang w:val="en-US"/>
        </w:rPr>
        <w:t>agreements</w:t>
      </w:r>
      <w:r w:rsidR="00882365" w:rsidRPr="000B1539">
        <w:rPr>
          <w:iCs/>
          <w:szCs w:val="22"/>
          <w:lang w:val="en-US"/>
        </w:rPr>
        <w:t>.</w:t>
      </w:r>
      <w:bookmarkStart w:id="11" w:name="_Hlk94282923"/>
    </w:p>
    <w:p w14:paraId="11C76087" w14:textId="0CF27D07" w:rsidR="00B83802" w:rsidRPr="000B1539" w:rsidRDefault="00E63AC6" w:rsidP="00E50B21">
      <w:pPr>
        <w:pStyle w:val="Para1"/>
        <w:numPr>
          <w:ilvl w:val="0"/>
          <w:numId w:val="0"/>
        </w:numPr>
        <w:tabs>
          <w:tab w:val="clear" w:pos="1134"/>
          <w:tab w:val="left" w:pos="1701"/>
        </w:tabs>
        <w:ind w:left="1134"/>
        <w:rPr>
          <w:lang w:val="en-US"/>
        </w:rPr>
      </w:pPr>
      <w:r w:rsidRPr="000B1539">
        <w:rPr>
          <w:lang w:val="en-US"/>
        </w:rPr>
        <w:t>11.</w:t>
      </w:r>
      <w:r w:rsidR="00E50B21" w:rsidRPr="009F7272">
        <w:rPr>
          <w:lang w:val="en-US"/>
        </w:rPr>
        <w:tab/>
      </w:r>
      <w:r w:rsidR="00B83802" w:rsidRPr="009F7272">
        <w:rPr>
          <w:lang w:val="en-US"/>
        </w:rPr>
        <w:t>The</w:t>
      </w:r>
      <w:r w:rsidR="00B83802" w:rsidRPr="000B1539">
        <w:rPr>
          <w:lang w:val="en-US"/>
        </w:rPr>
        <w:t xml:space="preserve"> outcome and indicators </w:t>
      </w:r>
      <w:r w:rsidR="00B53987" w:rsidRPr="000B1539">
        <w:rPr>
          <w:lang w:val="en-US"/>
        </w:rPr>
        <w:t xml:space="preserve">for the ninth replenishment of the Global Environment Facility </w:t>
      </w:r>
      <w:r w:rsidR="00B83802" w:rsidRPr="000B1539">
        <w:rPr>
          <w:lang w:val="en-US"/>
        </w:rPr>
        <w:t xml:space="preserve">and associated monitoring processes should be effective </w:t>
      </w:r>
      <w:r w:rsidR="00570BF7" w:rsidRPr="000B1539">
        <w:rPr>
          <w:lang w:val="en-US"/>
        </w:rPr>
        <w:t xml:space="preserve">in their ability </w:t>
      </w:r>
      <w:r w:rsidR="00B83802" w:rsidRPr="000B1539">
        <w:rPr>
          <w:lang w:val="en-US"/>
        </w:rPr>
        <w:t xml:space="preserve">to assess the contribution of </w:t>
      </w:r>
      <w:r w:rsidR="0017567C" w:rsidRPr="000B1539">
        <w:rPr>
          <w:lang w:val="en-US"/>
        </w:rPr>
        <w:t xml:space="preserve">programming </w:t>
      </w:r>
      <w:r w:rsidR="00B83802" w:rsidRPr="000B1539">
        <w:rPr>
          <w:lang w:val="en-US"/>
        </w:rPr>
        <w:t xml:space="preserve">to the </w:t>
      </w:r>
      <w:r w:rsidR="008D5F10" w:rsidRPr="000B1539">
        <w:t>attainment</w:t>
      </w:r>
      <w:r w:rsidR="005A1B94" w:rsidRPr="000B1539">
        <w:rPr>
          <w:lang w:val="en-US"/>
        </w:rPr>
        <w:t xml:space="preserve"> </w:t>
      </w:r>
      <w:r w:rsidR="00B83802" w:rsidRPr="000B1539">
        <w:rPr>
          <w:lang w:val="en-US"/>
        </w:rPr>
        <w:t xml:space="preserve">of the three objectives of the Convention, </w:t>
      </w:r>
      <w:r w:rsidR="0017567C" w:rsidRPr="000B1539">
        <w:rPr>
          <w:lang w:val="en-US"/>
        </w:rPr>
        <w:t xml:space="preserve">the implementation of </w:t>
      </w:r>
      <w:r w:rsidR="00B83802" w:rsidRPr="000B1539">
        <w:rPr>
          <w:lang w:val="en-US"/>
        </w:rPr>
        <w:t xml:space="preserve">its Protocols and the </w:t>
      </w:r>
      <w:r w:rsidR="0017567C" w:rsidRPr="000B1539">
        <w:rPr>
          <w:lang w:val="en-US"/>
        </w:rPr>
        <w:t xml:space="preserve">implementation of the </w:t>
      </w:r>
      <w:r w:rsidR="00B83802" w:rsidRPr="000B1539">
        <w:rPr>
          <w:bCs/>
          <w:snapToGrid w:val="0"/>
          <w:kern w:val="22"/>
        </w:rPr>
        <w:t>Framework</w:t>
      </w:r>
      <w:r w:rsidR="00B83802" w:rsidRPr="000B1539">
        <w:rPr>
          <w:lang w:val="en-US"/>
        </w:rPr>
        <w:t xml:space="preserve">, including </w:t>
      </w:r>
      <w:r w:rsidR="00BE7E56" w:rsidRPr="000B1539">
        <w:rPr>
          <w:lang w:val="en-US"/>
        </w:rPr>
        <w:t xml:space="preserve">by </w:t>
      </w:r>
      <w:r w:rsidR="00B83802" w:rsidRPr="000B1539">
        <w:rPr>
          <w:lang w:val="en-US"/>
        </w:rPr>
        <w:t>measuring the co-benefits for biodiversity across all relevant activities</w:t>
      </w:r>
      <w:r w:rsidR="00D17168" w:rsidRPr="000B1539">
        <w:rPr>
          <w:lang w:val="en-US"/>
        </w:rPr>
        <w:t xml:space="preserve"> of the Facility</w:t>
      </w:r>
      <w:r w:rsidR="00B83802" w:rsidRPr="000B1539">
        <w:rPr>
          <w:lang w:val="en-US"/>
        </w:rPr>
        <w:t>.</w:t>
      </w:r>
      <w:bookmarkEnd w:id="11"/>
    </w:p>
    <w:p w14:paraId="2E0BBFB1" w14:textId="26796037" w:rsidR="00B53987" w:rsidRPr="000B1539" w:rsidRDefault="00E63AC6" w:rsidP="00E63AC6">
      <w:pPr>
        <w:pStyle w:val="Para1"/>
        <w:numPr>
          <w:ilvl w:val="0"/>
          <w:numId w:val="0"/>
        </w:numPr>
        <w:tabs>
          <w:tab w:val="clear" w:pos="1134"/>
          <w:tab w:val="left" w:pos="1701"/>
        </w:tabs>
        <w:ind w:left="1134"/>
        <w:rPr>
          <w:lang w:val="en-US"/>
        </w:rPr>
      </w:pPr>
      <w:r w:rsidRPr="000B1539">
        <w:rPr>
          <w:lang w:val="en-US"/>
        </w:rPr>
        <w:t>12.</w:t>
      </w:r>
      <w:r w:rsidRPr="009F7272">
        <w:rPr>
          <w:lang w:val="en-US"/>
        </w:rPr>
        <w:tab/>
      </w:r>
      <w:r w:rsidR="00D71355" w:rsidRPr="009F7272">
        <w:rPr>
          <w:lang w:val="en-US"/>
        </w:rPr>
        <w:t>The</w:t>
      </w:r>
      <w:r w:rsidR="00D71355" w:rsidRPr="000B1539">
        <w:rPr>
          <w:lang w:val="en-US"/>
        </w:rPr>
        <w:t xml:space="preserve"> Global Environment Facility, in its ninth replenishment period, should:</w:t>
      </w:r>
    </w:p>
    <w:p w14:paraId="2AD2A126" w14:textId="705A422E" w:rsidR="005F6F88" w:rsidRPr="000B1539" w:rsidRDefault="005F6F88" w:rsidP="003D3F00">
      <w:pPr>
        <w:pStyle w:val="Para2"/>
        <w:tabs>
          <w:tab w:val="clear" w:pos="1701"/>
          <w:tab w:val="left" w:pos="2268"/>
        </w:tabs>
        <w:ind w:left="1134" w:firstLine="564"/>
        <w:rPr>
          <w:iCs/>
          <w:szCs w:val="22"/>
          <w:lang w:val="en-US"/>
        </w:rPr>
      </w:pPr>
      <w:r w:rsidRPr="000B1539">
        <w:rPr>
          <w:iCs/>
          <w:szCs w:val="22"/>
          <w:lang w:val="en-US"/>
        </w:rPr>
        <w:t>(</w:t>
      </w:r>
      <w:r w:rsidR="0024386F" w:rsidRPr="000B1539">
        <w:rPr>
          <w:iCs/>
          <w:szCs w:val="22"/>
          <w:lang w:val="en-US"/>
        </w:rPr>
        <w:t>a</w:t>
      </w:r>
      <w:r w:rsidRPr="000B1539">
        <w:rPr>
          <w:iCs/>
          <w:szCs w:val="22"/>
          <w:lang w:val="en-US"/>
        </w:rPr>
        <w:t>)</w:t>
      </w:r>
      <w:r w:rsidR="00F576D1" w:rsidRPr="000B1539">
        <w:rPr>
          <w:iCs/>
          <w:szCs w:val="22"/>
          <w:lang w:val="en-US"/>
        </w:rPr>
        <w:tab/>
        <w:t xml:space="preserve">Ensure that the level of funding to be made available to recipient countries is commensurate </w:t>
      </w:r>
      <w:r w:rsidR="00D17168" w:rsidRPr="000B1539">
        <w:rPr>
          <w:iCs/>
          <w:szCs w:val="22"/>
          <w:lang w:val="en-US"/>
        </w:rPr>
        <w:t>with</w:t>
      </w:r>
      <w:r w:rsidR="00F576D1" w:rsidRPr="000B1539">
        <w:rPr>
          <w:iCs/>
          <w:szCs w:val="22"/>
          <w:lang w:val="en-US"/>
        </w:rPr>
        <w:t xml:space="preserve"> the ambition of the Framework and the needs and challenges faced by recipient countries</w:t>
      </w:r>
      <w:r w:rsidR="00B166D5" w:rsidRPr="000B1539">
        <w:rPr>
          <w:iCs/>
          <w:szCs w:val="22"/>
          <w:lang w:val="en-US"/>
        </w:rPr>
        <w:t>;</w:t>
      </w:r>
    </w:p>
    <w:p w14:paraId="02B3F861" w14:textId="65C13856" w:rsidR="0024386F" w:rsidRPr="000B1539" w:rsidRDefault="0024386F" w:rsidP="0024386F">
      <w:pPr>
        <w:pStyle w:val="Para2"/>
        <w:tabs>
          <w:tab w:val="clear" w:pos="1701"/>
          <w:tab w:val="left" w:pos="2268"/>
        </w:tabs>
        <w:ind w:left="1134" w:firstLine="564"/>
        <w:rPr>
          <w:iCs/>
          <w:szCs w:val="22"/>
          <w:lang w:val="en-US"/>
        </w:rPr>
      </w:pPr>
      <w:r w:rsidRPr="000B1539">
        <w:rPr>
          <w:iCs/>
          <w:szCs w:val="22"/>
          <w:lang w:val="en-US"/>
        </w:rPr>
        <w:t>(b)</w:t>
      </w:r>
      <w:r w:rsidRPr="000B1539">
        <w:rPr>
          <w:iCs/>
          <w:szCs w:val="22"/>
          <w:lang w:val="en-US"/>
        </w:rPr>
        <w:tab/>
      </w:r>
      <w:r w:rsidRPr="000B1539">
        <w:rPr>
          <w:bCs/>
          <w:iCs/>
          <w:szCs w:val="22"/>
          <w:lang w:val="en-US"/>
        </w:rPr>
        <w:t>Explore</w:t>
      </w:r>
      <w:r w:rsidRPr="000B1539">
        <w:rPr>
          <w:iCs/>
          <w:szCs w:val="22"/>
          <w:lang w:val="en-US"/>
        </w:rPr>
        <w:t xml:space="preserve"> ways to </w:t>
      </w:r>
      <w:r w:rsidR="003D15F5" w:rsidRPr="006F72D2">
        <w:rPr>
          <w:iCs/>
          <w:szCs w:val="22"/>
          <w:lang w:val="en-US"/>
        </w:rPr>
        <w:t>significantly</w:t>
      </w:r>
      <w:r w:rsidR="003D15F5" w:rsidRPr="003D15F5">
        <w:rPr>
          <w:iCs/>
          <w:szCs w:val="22"/>
          <w:lang w:val="en-US"/>
        </w:rPr>
        <w:t xml:space="preserve"> </w:t>
      </w:r>
      <w:r w:rsidRPr="000B1539">
        <w:rPr>
          <w:iCs/>
          <w:szCs w:val="22"/>
          <w:lang w:val="en-US"/>
        </w:rPr>
        <w:t xml:space="preserve">improve access to funding </w:t>
      </w:r>
      <w:r w:rsidR="00D17168" w:rsidRPr="000B1539">
        <w:rPr>
          <w:iCs/>
          <w:szCs w:val="22"/>
          <w:lang w:val="en-US"/>
        </w:rPr>
        <w:t>by</w:t>
      </w:r>
      <w:r w:rsidRPr="000B1539">
        <w:rPr>
          <w:iCs/>
          <w:szCs w:val="22"/>
          <w:lang w:val="en-US"/>
        </w:rPr>
        <w:t xml:space="preserve"> eligible countries;</w:t>
      </w:r>
    </w:p>
    <w:p w14:paraId="23F1D22B" w14:textId="409B3753" w:rsidR="00B83802" w:rsidRPr="000B1539" w:rsidRDefault="00882C05" w:rsidP="003D3F00">
      <w:pPr>
        <w:pStyle w:val="Para2"/>
        <w:tabs>
          <w:tab w:val="clear" w:pos="1701"/>
          <w:tab w:val="left" w:pos="2268"/>
        </w:tabs>
        <w:ind w:left="1134" w:firstLine="564"/>
        <w:rPr>
          <w:iCs/>
          <w:szCs w:val="22"/>
          <w:lang w:val="en-US"/>
        </w:rPr>
      </w:pPr>
      <w:r w:rsidRPr="000B1539">
        <w:rPr>
          <w:iCs/>
          <w:szCs w:val="22"/>
          <w:lang w:val="en-US"/>
        </w:rPr>
        <w:t>(</w:t>
      </w:r>
      <w:r w:rsidR="00F576D1" w:rsidRPr="000B1539">
        <w:rPr>
          <w:iCs/>
          <w:szCs w:val="22"/>
          <w:lang w:val="en-US"/>
        </w:rPr>
        <w:t>c</w:t>
      </w:r>
      <w:r w:rsidRPr="000B1539">
        <w:rPr>
          <w:iCs/>
          <w:szCs w:val="22"/>
          <w:lang w:val="en-US"/>
        </w:rPr>
        <w:t>)</w:t>
      </w:r>
      <w:r w:rsidRPr="000B1539">
        <w:rPr>
          <w:iCs/>
          <w:szCs w:val="22"/>
          <w:lang w:val="en-US"/>
        </w:rPr>
        <w:tab/>
      </w:r>
      <w:r w:rsidR="00D71355" w:rsidRPr="000B1539">
        <w:rPr>
          <w:iCs/>
          <w:szCs w:val="22"/>
          <w:lang w:val="en-US"/>
        </w:rPr>
        <w:t>E</w:t>
      </w:r>
      <w:r w:rsidR="00B83802" w:rsidRPr="000B1539">
        <w:rPr>
          <w:iCs/>
          <w:szCs w:val="22"/>
          <w:lang w:val="en-US"/>
        </w:rPr>
        <w:t xml:space="preserve">xplore ways to </w:t>
      </w:r>
      <w:r w:rsidR="003A22B6" w:rsidRPr="000B1539">
        <w:rPr>
          <w:iCs/>
          <w:szCs w:val="22"/>
          <w:lang w:val="en-US"/>
        </w:rPr>
        <w:t xml:space="preserve">support </w:t>
      </w:r>
      <w:r w:rsidR="00741887" w:rsidRPr="000B1539">
        <w:rPr>
          <w:iCs/>
          <w:szCs w:val="22"/>
          <w:lang w:val="en-US"/>
        </w:rPr>
        <w:t>capacity</w:t>
      </w:r>
      <w:r w:rsidR="00C82B1E" w:rsidRPr="000B1539">
        <w:rPr>
          <w:iCs/>
          <w:szCs w:val="22"/>
          <w:lang w:val="en-US"/>
        </w:rPr>
        <w:t>-</w:t>
      </w:r>
      <w:r w:rsidR="00741887" w:rsidRPr="000B1539">
        <w:rPr>
          <w:iCs/>
          <w:szCs w:val="22"/>
          <w:lang w:val="en-US"/>
        </w:rPr>
        <w:t>building</w:t>
      </w:r>
      <w:r w:rsidR="006673E4" w:rsidRPr="000B1539">
        <w:rPr>
          <w:iCs/>
          <w:szCs w:val="22"/>
          <w:lang w:val="en-US"/>
        </w:rPr>
        <w:t xml:space="preserve"> and</w:t>
      </w:r>
      <w:r w:rsidR="00741887" w:rsidRPr="000B1539">
        <w:rPr>
          <w:iCs/>
          <w:szCs w:val="22"/>
          <w:lang w:val="en-US"/>
        </w:rPr>
        <w:t xml:space="preserve"> </w:t>
      </w:r>
      <w:r w:rsidR="006673E4" w:rsidRPr="000B1539">
        <w:rPr>
          <w:iCs/>
          <w:szCs w:val="22"/>
          <w:lang w:val="en-US"/>
        </w:rPr>
        <w:t>to improve direct</w:t>
      </w:r>
      <w:r w:rsidR="00B83802" w:rsidRPr="000B1539">
        <w:rPr>
          <w:iCs/>
          <w:szCs w:val="22"/>
          <w:lang w:val="en-US"/>
        </w:rPr>
        <w:t xml:space="preserve"> access to funding </w:t>
      </w:r>
      <w:r w:rsidR="003E76B2" w:rsidRPr="000B1539">
        <w:rPr>
          <w:iCs/>
          <w:szCs w:val="22"/>
          <w:lang w:val="en-US"/>
        </w:rPr>
        <w:t xml:space="preserve">by </w:t>
      </w:r>
      <w:r w:rsidR="00B83802" w:rsidRPr="000B1539">
        <w:rPr>
          <w:iCs/>
          <w:szCs w:val="22"/>
          <w:lang w:val="en-US"/>
        </w:rPr>
        <w:t>indigenous peoples and local communities</w:t>
      </w:r>
      <w:r w:rsidR="00FD2866" w:rsidRPr="000B1539">
        <w:rPr>
          <w:iCs/>
          <w:szCs w:val="22"/>
          <w:lang w:val="en-US"/>
        </w:rPr>
        <w:t xml:space="preserve"> </w:t>
      </w:r>
      <w:r w:rsidR="00FD2866" w:rsidRPr="000B1539">
        <w:rPr>
          <w:bCs/>
          <w:iCs/>
          <w:szCs w:val="22"/>
          <w:lang w:val="en-US"/>
        </w:rPr>
        <w:t>embodying</w:t>
      </w:r>
      <w:r w:rsidR="0017567C" w:rsidRPr="000B1539">
        <w:rPr>
          <w:iCs/>
          <w:szCs w:val="22"/>
          <w:lang w:val="en-US"/>
        </w:rPr>
        <w:t xml:space="preserve"> traditional lifestyles</w:t>
      </w:r>
      <w:r w:rsidR="00FD2866" w:rsidRPr="000B1539">
        <w:t xml:space="preserve"> and </w:t>
      </w:r>
      <w:r w:rsidR="00F86B60" w:rsidRPr="000B1539">
        <w:t xml:space="preserve">holding </w:t>
      </w:r>
      <w:r w:rsidR="00FD2866" w:rsidRPr="000B1539">
        <w:rPr>
          <w:iCs/>
          <w:szCs w:val="22"/>
          <w:lang w:val="en-US"/>
        </w:rPr>
        <w:t>traditional knowledge, innovations and practices relevant to the conservation of biological diversity and the sustainable use of its components</w:t>
      </w:r>
      <w:r w:rsidR="00E20852" w:rsidRPr="000B1539">
        <w:rPr>
          <w:iCs/>
          <w:szCs w:val="22"/>
          <w:lang w:val="en-US"/>
        </w:rPr>
        <w:t xml:space="preserve"> </w:t>
      </w:r>
      <w:r w:rsidR="00FD1448" w:rsidRPr="000B1539">
        <w:rPr>
          <w:iCs/>
          <w:szCs w:val="22"/>
          <w:lang w:val="en-US"/>
        </w:rPr>
        <w:t>and to support</w:t>
      </w:r>
      <w:r w:rsidR="00E20852" w:rsidRPr="000B1539">
        <w:rPr>
          <w:iCs/>
          <w:szCs w:val="22"/>
          <w:lang w:val="en-US"/>
        </w:rPr>
        <w:t xml:space="preserve"> activities and initiatives </w:t>
      </w:r>
      <w:r w:rsidR="00BD3642" w:rsidRPr="000B1539">
        <w:rPr>
          <w:iCs/>
          <w:szCs w:val="22"/>
          <w:lang w:val="en-US"/>
        </w:rPr>
        <w:t>of</w:t>
      </w:r>
      <w:r w:rsidR="00E20852" w:rsidRPr="000B1539">
        <w:rPr>
          <w:iCs/>
          <w:szCs w:val="22"/>
          <w:lang w:val="en-US"/>
        </w:rPr>
        <w:t xml:space="preserve"> women and youth</w:t>
      </w:r>
      <w:r w:rsidR="00B166D5" w:rsidRPr="000B1539">
        <w:rPr>
          <w:iCs/>
          <w:szCs w:val="22"/>
          <w:lang w:val="en-US"/>
        </w:rPr>
        <w:t xml:space="preserve"> that enhance biodiversity</w:t>
      </w:r>
      <w:r w:rsidRPr="000B1539">
        <w:rPr>
          <w:iCs/>
          <w:szCs w:val="22"/>
          <w:lang w:val="en-US"/>
        </w:rPr>
        <w:t>;</w:t>
      </w:r>
    </w:p>
    <w:p w14:paraId="4147A540" w14:textId="1DA63D34" w:rsidR="00F576D1" w:rsidRPr="000B1539" w:rsidRDefault="00F576D1" w:rsidP="003D3F00">
      <w:pPr>
        <w:pStyle w:val="Para2"/>
        <w:tabs>
          <w:tab w:val="clear" w:pos="1701"/>
          <w:tab w:val="left" w:pos="2268"/>
        </w:tabs>
        <w:ind w:left="1134" w:firstLine="564"/>
        <w:rPr>
          <w:iCs/>
          <w:szCs w:val="22"/>
          <w:lang w:val="en-US"/>
        </w:rPr>
      </w:pPr>
      <w:bookmarkStart w:id="12" w:name="_Hlk163335590"/>
      <w:r w:rsidRPr="000B1539">
        <w:rPr>
          <w:iCs/>
          <w:szCs w:val="22"/>
          <w:lang w:val="en-US"/>
        </w:rPr>
        <w:t>(d)</w:t>
      </w:r>
      <w:r w:rsidRPr="000B1539">
        <w:rPr>
          <w:iCs/>
          <w:szCs w:val="22"/>
          <w:lang w:val="en-US"/>
        </w:rPr>
        <w:tab/>
      </w:r>
      <w:r w:rsidR="00CF48AE" w:rsidRPr="000B1539">
        <w:t xml:space="preserve">Establish simplified application processes, capacity-building initiatives and dedicated funding streams for </w:t>
      </w:r>
      <w:r w:rsidR="00CB1EFE" w:rsidRPr="000B1539">
        <w:t xml:space="preserve">eligible </w:t>
      </w:r>
      <w:r w:rsidR="00CF48AE" w:rsidRPr="000B1539">
        <w:t xml:space="preserve">Parties to support the full and effective representation and participation of </w:t>
      </w:r>
      <w:r w:rsidR="000831D1" w:rsidRPr="000B1539">
        <w:t>i</w:t>
      </w:r>
      <w:r w:rsidR="00CF48AE" w:rsidRPr="000B1539">
        <w:t xml:space="preserve">ndigenous </w:t>
      </w:r>
      <w:r w:rsidR="000831D1" w:rsidRPr="000B1539">
        <w:t>p</w:t>
      </w:r>
      <w:r w:rsidR="00CF48AE" w:rsidRPr="000B1539">
        <w:t xml:space="preserve">eoples </w:t>
      </w:r>
      <w:r w:rsidR="00195A7A" w:rsidRPr="000B1539">
        <w:t xml:space="preserve">and </w:t>
      </w:r>
      <w:r w:rsidR="00CF48AE" w:rsidRPr="000B1539">
        <w:t>local communities, women and youth in the implementation of the Framework;</w:t>
      </w:r>
    </w:p>
    <w:p w14:paraId="5032BD12" w14:textId="783D55B0" w:rsidR="00B53987" w:rsidRPr="000B1539" w:rsidRDefault="00882C05" w:rsidP="003D3F00">
      <w:pPr>
        <w:pStyle w:val="Para2"/>
        <w:tabs>
          <w:tab w:val="clear" w:pos="1701"/>
          <w:tab w:val="left" w:pos="2268"/>
        </w:tabs>
        <w:ind w:left="1134" w:firstLine="564"/>
        <w:rPr>
          <w:iCs/>
          <w:szCs w:val="22"/>
          <w:lang w:val="en-US"/>
        </w:rPr>
      </w:pPr>
      <w:r w:rsidRPr="000B1539">
        <w:rPr>
          <w:iCs/>
          <w:szCs w:val="22"/>
          <w:lang w:val="en-US"/>
        </w:rPr>
        <w:t>(</w:t>
      </w:r>
      <w:r w:rsidR="00F576D1" w:rsidRPr="000B1539">
        <w:rPr>
          <w:iCs/>
          <w:szCs w:val="22"/>
          <w:lang w:val="en-US"/>
        </w:rPr>
        <w:t>e</w:t>
      </w:r>
      <w:r w:rsidRPr="000B1539">
        <w:rPr>
          <w:iCs/>
          <w:szCs w:val="22"/>
          <w:lang w:val="en-US"/>
        </w:rPr>
        <w:t>)</w:t>
      </w:r>
      <w:r w:rsidRPr="000B1539">
        <w:rPr>
          <w:iCs/>
          <w:szCs w:val="22"/>
          <w:lang w:val="en-US"/>
        </w:rPr>
        <w:tab/>
      </w:r>
      <w:r w:rsidR="00D71355" w:rsidRPr="000B1539">
        <w:rPr>
          <w:iCs/>
          <w:szCs w:val="22"/>
          <w:lang w:val="en-US"/>
        </w:rPr>
        <w:t>F</w:t>
      </w:r>
      <w:r w:rsidR="00B53987" w:rsidRPr="000B1539">
        <w:rPr>
          <w:iCs/>
          <w:szCs w:val="22"/>
          <w:lang w:val="en-US"/>
        </w:rPr>
        <w:t xml:space="preserve">urther interact and cooperate with multilateral development banks and other public and private financial institutions </w:t>
      </w:r>
      <w:r w:rsidR="00111914" w:rsidRPr="000B1539">
        <w:rPr>
          <w:iCs/>
          <w:szCs w:val="22"/>
          <w:lang w:val="en-US"/>
        </w:rPr>
        <w:t xml:space="preserve">with the </w:t>
      </w:r>
      <w:r w:rsidR="008A05D5" w:rsidRPr="000B1539">
        <w:rPr>
          <w:iCs/>
          <w:szCs w:val="22"/>
          <w:lang w:val="en-US"/>
        </w:rPr>
        <w:t>aim</w:t>
      </w:r>
      <w:r w:rsidR="00111914" w:rsidRPr="000B1539">
        <w:rPr>
          <w:iCs/>
          <w:szCs w:val="22"/>
          <w:lang w:val="en-US"/>
        </w:rPr>
        <w:t xml:space="preserve"> </w:t>
      </w:r>
      <w:r w:rsidR="004F477F">
        <w:rPr>
          <w:iCs/>
          <w:szCs w:val="22"/>
          <w:lang w:val="en-US"/>
        </w:rPr>
        <w:t>of</w:t>
      </w:r>
      <w:r w:rsidR="00111914" w:rsidRPr="000B1539">
        <w:rPr>
          <w:iCs/>
          <w:szCs w:val="22"/>
          <w:lang w:val="en-US"/>
        </w:rPr>
        <w:t xml:space="preserve"> </w:t>
      </w:r>
      <w:r w:rsidR="00A55F77">
        <w:rPr>
          <w:iCs/>
          <w:szCs w:val="22"/>
          <w:lang w:val="en-US"/>
        </w:rPr>
        <w:t xml:space="preserve">effecting </w:t>
      </w:r>
      <w:r w:rsidR="00111914" w:rsidRPr="000B1539">
        <w:rPr>
          <w:iCs/>
          <w:szCs w:val="22"/>
          <w:lang w:val="en-US"/>
        </w:rPr>
        <w:t>the</w:t>
      </w:r>
      <w:r w:rsidR="009375E3">
        <w:rPr>
          <w:iCs/>
          <w:szCs w:val="22"/>
          <w:lang w:val="en-US"/>
        </w:rPr>
        <w:t>ir</w:t>
      </w:r>
      <w:r w:rsidR="00B53987" w:rsidRPr="000B1539">
        <w:rPr>
          <w:iCs/>
          <w:szCs w:val="22"/>
          <w:lang w:val="en-US"/>
        </w:rPr>
        <w:t xml:space="preserve"> integrat</w:t>
      </w:r>
      <w:r w:rsidR="009375E3">
        <w:rPr>
          <w:iCs/>
          <w:szCs w:val="22"/>
          <w:lang w:val="en-US"/>
        </w:rPr>
        <w:t>ion</w:t>
      </w:r>
      <w:r w:rsidR="00B53987" w:rsidRPr="000B1539">
        <w:rPr>
          <w:iCs/>
          <w:szCs w:val="22"/>
          <w:lang w:val="en-US"/>
        </w:rPr>
        <w:t xml:space="preserve"> </w:t>
      </w:r>
      <w:r w:rsidR="00A55F77">
        <w:rPr>
          <w:iCs/>
          <w:szCs w:val="22"/>
          <w:lang w:val="en-US"/>
        </w:rPr>
        <w:t xml:space="preserve">of </w:t>
      </w:r>
      <w:r w:rsidR="00B53987" w:rsidRPr="000B1539">
        <w:rPr>
          <w:iCs/>
          <w:szCs w:val="22"/>
          <w:lang w:val="en-US"/>
        </w:rPr>
        <w:t>the objectives of the Convention</w:t>
      </w:r>
      <w:r w:rsidR="00D20F60" w:rsidRPr="000B1539">
        <w:rPr>
          <w:iCs/>
          <w:szCs w:val="22"/>
          <w:lang w:val="en-US"/>
        </w:rPr>
        <w:t xml:space="preserve"> and</w:t>
      </w:r>
      <w:r w:rsidR="00B53987" w:rsidRPr="000B1539">
        <w:rPr>
          <w:iCs/>
          <w:szCs w:val="22"/>
          <w:lang w:val="en-US"/>
        </w:rPr>
        <w:t xml:space="preserve"> its Protocols</w:t>
      </w:r>
      <w:r w:rsidR="00B1294E" w:rsidRPr="000B1539">
        <w:rPr>
          <w:iCs/>
          <w:szCs w:val="22"/>
          <w:lang w:val="en-US"/>
        </w:rPr>
        <w:t>,</w:t>
      </w:r>
      <w:r w:rsidR="00B53987" w:rsidRPr="000B1539">
        <w:rPr>
          <w:iCs/>
          <w:szCs w:val="22"/>
          <w:lang w:val="en-US"/>
        </w:rPr>
        <w:t xml:space="preserve"> </w:t>
      </w:r>
      <w:r w:rsidR="008B611E" w:rsidRPr="000B1539">
        <w:rPr>
          <w:iCs/>
          <w:szCs w:val="22"/>
          <w:lang w:val="en-US"/>
        </w:rPr>
        <w:t xml:space="preserve">the </w:t>
      </w:r>
      <w:r w:rsidR="00D20F60" w:rsidRPr="000B1539">
        <w:rPr>
          <w:iCs/>
          <w:szCs w:val="22"/>
          <w:lang w:val="en-US"/>
        </w:rPr>
        <w:t xml:space="preserve">goals and targets of the </w:t>
      </w:r>
      <w:r w:rsidR="00B53987" w:rsidRPr="000B1539">
        <w:rPr>
          <w:bCs/>
          <w:snapToGrid w:val="0"/>
          <w:kern w:val="22"/>
          <w:szCs w:val="22"/>
        </w:rPr>
        <w:t>Framework</w:t>
      </w:r>
      <w:r w:rsidR="00B53987" w:rsidRPr="000B1539">
        <w:rPr>
          <w:iCs/>
          <w:szCs w:val="22"/>
          <w:lang w:val="en-US"/>
        </w:rPr>
        <w:t xml:space="preserve"> </w:t>
      </w:r>
      <w:r w:rsidR="008A05D5" w:rsidRPr="000B1539">
        <w:rPr>
          <w:iCs/>
          <w:szCs w:val="22"/>
          <w:lang w:val="en-US"/>
        </w:rPr>
        <w:t>and</w:t>
      </w:r>
      <w:r w:rsidR="00B53987" w:rsidRPr="000B1539">
        <w:rPr>
          <w:iCs/>
          <w:szCs w:val="22"/>
          <w:lang w:val="en-US"/>
        </w:rPr>
        <w:t xml:space="preserve"> the contributions of other biodiversity-related conventions and multilateral </w:t>
      </w:r>
      <w:r w:rsidR="00CB1EFE" w:rsidRPr="000B1539">
        <w:rPr>
          <w:iCs/>
          <w:szCs w:val="22"/>
          <w:lang w:val="en-US"/>
        </w:rPr>
        <w:t xml:space="preserve">environmental </w:t>
      </w:r>
      <w:r w:rsidR="00B53987" w:rsidRPr="000B1539">
        <w:rPr>
          <w:iCs/>
          <w:szCs w:val="22"/>
          <w:lang w:val="en-US"/>
        </w:rPr>
        <w:t xml:space="preserve">agreements </w:t>
      </w:r>
      <w:r w:rsidR="00111914" w:rsidRPr="000B1539">
        <w:rPr>
          <w:iCs/>
          <w:szCs w:val="22"/>
          <w:lang w:val="en-US"/>
        </w:rPr>
        <w:t xml:space="preserve">into </w:t>
      </w:r>
      <w:r w:rsidR="00B53987" w:rsidRPr="000B1539">
        <w:rPr>
          <w:iCs/>
          <w:szCs w:val="22"/>
          <w:lang w:val="en-US"/>
        </w:rPr>
        <w:t xml:space="preserve">their activities and </w:t>
      </w:r>
      <w:r w:rsidR="00C2495C">
        <w:rPr>
          <w:iCs/>
          <w:szCs w:val="22"/>
          <w:lang w:val="en-US"/>
        </w:rPr>
        <w:t>having th</w:t>
      </w:r>
      <w:r w:rsidR="00D97EBB">
        <w:rPr>
          <w:iCs/>
          <w:szCs w:val="22"/>
          <w:lang w:val="en-US"/>
        </w:rPr>
        <w:t>e</w:t>
      </w:r>
      <w:r w:rsidR="00C2495C">
        <w:rPr>
          <w:iCs/>
          <w:szCs w:val="22"/>
          <w:lang w:val="en-US"/>
        </w:rPr>
        <w:t>se ins</w:t>
      </w:r>
      <w:r w:rsidR="00DB7E1F">
        <w:rPr>
          <w:iCs/>
          <w:szCs w:val="22"/>
          <w:lang w:val="en-US"/>
        </w:rPr>
        <w:t>t</w:t>
      </w:r>
      <w:r w:rsidR="00C2495C">
        <w:rPr>
          <w:iCs/>
          <w:szCs w:val="22"/>
          <w:lang w:val="en-US"/>
        </w:rPr>
        <w:t xml:space="preserve">itutions </w:t>
      </w:r>
      <w:r w:rsidR="00B53987" w:rsidRPr="000B1539">
        <w:rPr>
          <w:iCs/>
          <w:szCs w:val="22"/>
          <w:lang w:val="en-US"/>
        </w:rPr>
        <w:t>report on funding contributing to the implementation</w:t>
      </w:r>
      <w:r w:rsidR="00111914" w:rsidRPr="000B1539">
        <w:rPr>
          <w:iCs/>
          <w:szCs w:val="22"/>
          <w:lang w:val="en-US"/>
        </w:rPr>
        <w:t xml:space="preserve"> of th</w:t>
      </w:r>
      <w:r w:rsidR="00B1294E" w:rsidRPr="000B1539">
        <w:rPr>
          <w:iCs/>
          <w:szCs w:val="22"/>
          <w:lang w:val="en-US"/>
        </w:rPr>
        <w:t>o</w:t>
      </w:r>
      <w:r w:rsidR="00111914" w:rsidRPr="000B1539">
        <w:rPr>
          <w:iCs/>
          <w:szCs w:val="22"/>
          <w:lang w:val="en-US"/>
        </w:rPr>
        <w:t>se objectives</w:t>
      </w:r>
      <w:r w:rsidRPr="000B1539">
        <w:rPr>
          <w:iCs/>
          <w:szCs w:val="22"/>
          <w:lang w:val="en-US"/>
        </w:rPr>
        <w:t>;</w:t>
      </w:r>
    </w:p>
    <w:bookmarkEnd w:id="12"/>
    <w:p w14:paraId="7E873737" w14:textId="665C06BE" w:rsidR="00215A5B" w:rsidRPr="000B1539" w:rsidRDefault="00882C05" w:rsidP="003D3F00">
      <w:pPr>
        <w:pStyle w:val="Para2"/>
        <w:tabs>
          <w:tab w:val="clear" w:pos="1701"/>
          <w:tab w:val="left" w:pos="2268"/>
        </w:tabs>
        <w:ind w:left="1134" w:firstLine="564"/>
        <w:rPr>
          <w:szCs w:val="22"/>
          <w:lang w:val="en-US"/>
        </w:rPr>
      </w:pPr>
      <w:r w:rsidRPr="000B1539">
        <w:rPr>
          <w:szCs w:val="22"/>
          <w:lang w:val="en-US"/>
        </w:rPr>
        <w:t>(</w:t>
      </w:r>
      <w:r w:rsidR="00C042A1" w:rsidRPr="000B1539">
        <w:rPr>
          <w:szCs w:val="22"/>
          <w:lang w:val="en-US"/>
        </w:rPr>
        <w:t>f</w:t>
      </w:r>
      <w:r w:rsidRPr="000B1539">
        <w:rPr>
          <w:szCs w:val="22"/>
          <w:lang w:val="en-US"/>
        </w:rPr>
        <w:t>)</w:t>
      </w:r>
      <w:r w:rsidRPr="000B1539">
        <w:rPr>
          <w:szCs w:val="22"/>
          <w:lang w:val="en-US"/>
        </w:rPr>
        <w:tab/>
      </w:r>
      <w:r w:rsidR="00D71355" w:rsidRPr="000B1539">
        <w:rPr>
          <w:szCs w:val="22"/>
          <w:lang w:val="en-US"/>
        </w:rPr>
        <w:t>C</w:t>
      </w:r>
      <w:r w:rsidR="00B83802" w:rsidRPr="000B1539">
        <w:rPr>
          <w:szCs w:val="22"/>
          <w:lang w:val="en-US"/>
        </w:rPr>
        <w:t xml:space="preserve">ontinue to </w:t>
      </w:r>
      <w:r w:rsidR="00BC1368" w:rsidRPr="000B1539">
        <w:rPr>
          <w:szCs w:val="22"/>
          <w:lang w:val="en-US"/>
        </w:rPr>
        <w:t xml:space="preserve">enhance </w:t>
      </w:r>
      <w:r w:rsidR="00B83802" w:rsidRPr="000B1539">
        <w:rPr>
          <w:szCs w:val="22"/>
          <w:lang w:val="en-US"/>
        </w:rPr>
        <w:t xml:space="preserve">its policies regarding governance and the standards </w:t>
      </w:r>
      <w:r w:rsidR="00F86B60" w:rsidRPr="000B1539">
        <w:rPr>
          <w:szCs w:val="22"/>
          <w:lang w:val="en-US"/>
        </w:rPr>
        <w:t xml:space="preserve">that </w:t>
      </w:r>
      <w:r w:rsidR="00B83802" w:rsidRPr="000B1539">
        <w:rPr>
          <w:szCs w:val="22"/>
          <w:lang w:val="en-US"/>
        </w:rPr>
        <w:t xml:space="preserve">its implementing </w:t>
      </w:r>
      <w:r w:rsidR="00B83802" w:rsidRPr="000B1539">
        <w:rPr>
          <w:bCs/>
          <w:iCs/>
          <w:szCs w:val="22"/>
          <w:lang w:val="en-US"/>
        </w:rPr>
        <w:t>partners</w:t>
      </w:r>
      <w:r w:rsidR="00B83802" w:rsidRPr="000B1539">
        <w:rPr>
          <w:szCs w:val="22"/>
          <w:lang w:val="en-US"/>
        </w:rPr>
        <w:t xml:space="preserve"> are held to</w:t>
      </w:r>
      <w:r w:rsidR="00D71355" w:rsidRPr="000B1539">
        <w:rPr>
          <w:szCs w:val="22"/>
          <w:lang w:val="en-US"/>
        </w:rPr>
        <w:t xml:space="preserve"> </w:t>
      </w:r>
      <w:proofErr w:type="gramStart"/>
      <w:r w:rsidR="00D71355" w:rsidRPr="000B1539">
        <w:rPr>
          <w:szCs w:val="22"/>
          <w:lang w:val="en-US"/>
        </w:rPr>
        <w:t>in order to</w:t>
      </w:r>
      <w:proofErr w:type="gramEnd"/>
      <w:r w:rsidR="00D71355" w:rsidRPr="000B1539">
        <w:rPr>
          <w:szCs w:val="22"/>
          <w:lang w:val="en-US"/>
        </w:rPr>
        <w:t xml:space="preserve"> improve its efficiency and effectiveness in delivering sustainable results</w:t>
      </w:r>
      <w:r w:rsidR="00B83802" w:rsidRPr="000B1539">
        <w:rPr>
          <w:szCs w:val="22"/>
          <w:lang w:val="en-US"/>
        </w:rPr>
        <w:t>.</w:t>
      </w:r>
    </w:p>
    <w:p w14:paraId="245E2E05" w14:textId="77777777" w:rsidR="00215A5B" w:rsidRPr="000B1539" w:rsidRDefault="00215A5B" w:rsidP="003D3F00">
      <w:pPr>
        <w:keepNext/>
        <w:tabs>
          <w:tab w:val="left" w:pos="567"/>
        </w:tabs>
        <w:spacing w:before="120" w:after="120"/>
        <w:ind w:left="1134" w:hanging="567"/>
        <w:jc w:val="left"/>
        <w:outlineLvl w:val="1"/>
        <w:rPr>
          <w:b/>
          <w:bCs/>
          <w:szCs w:val="22"/>
          <w:lang w:val="en-US"/>
        </w:rPr>
      </w:pPr>
      <w:r w:rsidRPr="000B1539">
        <w:rPr>
          <w:b/>
          <w:bCs/>
          <w:szCs w:val="22"/>
          <w:lang w:val="en-US"/>
        </w:rPr>
        <w:t>D.</w:t>
      </w:r>
      <w:r w:rsidRPr="000B1539">
        <w:rPr>
          <w:b/>
          <w:bCs/>
          <w:szCs w:val="22"/>
          <w:lang w:val="en-US"/>
        </w:rPr>
        <w:tab/>
        <w:t>Reporting</w:t>
      </w:r>
    </w:p>
    <w:p w14:paraId="5A2243CF" w14:textId="6502A4D5" w:rsidR="00215A5B" w:rsidRPr="000B1539" w:rsidRDefault="00E63AC6" w:rsidP="00E63AC6">
      <w:pPr>
        <w:pStyle w:val="Para1"/>
        <w:numPr>
          <w:ilvl w:val="0"/>
          <w:numId w:val="0"/>
        </w:numPr>
        <w:tabs>
          <w:tab w:val="clear" w:pos="1134"/>
          <w:tab w:val="left" w:pos="1701"/>
        </w:tabs>
        <w:ind w:left="1134"/>
        <w:rPr>
          <w:rFonts w:eastAsia="Calibri"/>
          <w:b/>
          <w:bCs/>
        </w:rPr>
      </w:pPr>
      <w:r w:rsidRPr="000B1539">
        <w:rPr>
          <w:rFonts w:eastAsia="Calibri"/>
        </w:rPr>
        <w:t>13.</w:t>
      </w:r>
      <w:r w:rsidRPr="000B1539">
        <w:rPr>
          <w:rFonts w:eastAsia="Calibri"/>
        </w:rPr>
        <w:tab/>
      </w:r>
      <w:r w:rsidR="009F4ECA" w:rsidRPr="000B1539">
        <w:t>F</w:t>
      </w:r>
      <w:r w:rsidR="00215A5B" w:rsidRPr="000B1539">
        <w:t xml:space="preserve">ollowing the conclusion of the </w:t>
      </w:r>
      <w:r w:rsidR="009F4ECA" w:rsidRPr="000B1539">
        <w:t>ninth</w:t>
      </w:r>
      <w:r w:rsidR="00215A5B" w:rsidRPr="000B1539">
        <w:t xml:space="preserve"> replenishment </w:t>
      </w:r>
      <w:r w:rsidR="009F4ECA" w:rsidRPr="000B1539">
        <w:t xml:space="preserve">of </w:t>
      </w:r>
      <w:r w:rsidR="003A2959" w:rsidRPr="000B1539">
        <w:t>its</w:t>
      </w:r>
      <w:r w:rsidR="009F4ECA" w:rsidRPr="000B1539">
        <w:t xml:space="preserve"> Trust Fund</w:t>
      </w:r>
      <w:r w:rsidR="00215A5B" w:rsidRPr="000B1539">
        <w:t xml:space="preserve">, </w:t>
      </w:r>
      <w:r w:rsidR="009F4ECA" w:rsidRPr="000B1539">
        <w:t>the Global Environment Facility</w:t>
      </w:r>
      <w:r w:rsidR="00215A5B" w:rsidRPr="000B1539">
        <w:rPr>
          <w:lang w:val="en-US"/>
        </w:rPr>
        <w:t xml:space="preserve"> will include in its report</w:t>
      </w:r>
      <w:r w:rsidR="0094289D" w:rsidRPr="000B1539">
        <w:rPr>
          <w:lang w:val="en-US"/>
        </w:rPr>
        <w:t>s</w:t>
      </w:r>
      <w:r w:rsidR="00215A5B" w:rsidRPr="000B1539">
        <w:rPr>
          <w:lang w:val="en-US"/>
        </w:rPr>
        <w:t xml:space="preserve"> to the Conference of the Parties a</w:t>
      </w:r>
      <w:r w:rsidR="00C1259D">
        <w:rPr>
          <w:lang w:val="en-US"/>
        </w:rPr>
        <w:t xml:space="preserve"> </w:t>
      </w:r>
      <w:r w:rsidR="00832E1F">
        <w:rPr>
          <w:lang w:val="en-US"/>
        </w:rPr>
        <w:t xml:space="preserve">description </w:t>
      </w:r>
      <w:r w:rsidR="00215A5B" w:rsidRPr="000B1539">
        <w:rPr>
          <w:lang w:val="en-US"/>
        </w:rPr>
        <w:t>o</w:t>
      </w:r>
      <w:r w:rsidR="00BD0704" w:rsidRPr="000B1539">
        <w:rPr>
          <w:lang w:val="en-US"/>
        </w:rPr>
        <w:t>f</w:t>
      </w:r>
      <w:r w:rsidR="00215A5B" w:rsidRPr="000B1539">
        <w:rPr>
          <w:lang w:val="en-US"/>
        </w:rPr>
        <w:t xml:space="preserve"> how </w:t>
      </w:r>
      <w:r w:rsidR="009F4ECA" w:rsidRPr="000B1539">
        <w:rPr>
          <w:lang w:val="en-US"/>
        </w:rPr>
        <w:t>the ninth replenishment</w:t>
      </w:r>
      <w:r w:rsidR="00331DAF" w:rsidRPr="000B1539">
        <w:t xml:space="preserve"> </w:t>
      </w:r>
      <w:r w:rsidR="00331DAF" w:rsidRPr="000B1539">
        <w:rPr>
          <w:lang w:val="en-US"/>
        </w:rPr>
        <w:t xml:space="preserve">has responded to the four-year outcome-oriented framework of </w:t>
      </w:r>
      <w:r w:rsidR="007B4216">
        <w:rPr>
          <w:lang w:val="en-US"/>
        </w:rPr>
        <w:t xml:space="preserve">biodiversity </w:t>
      </w:r>
      <w:proofErr w:type="spellStart"/>
      <w:r w:rsidR="00331DAF" w:rsidRPr="000B1539">
        <w:rPr>
          <w:lang w:val="en-US"/>
        </w:rPr>
        <w:t>programme</w:t>
      </w:r>
      <w:proofErr w:type="spellEnd"/>
      <w:r w:rsidR="00331DAF" w:rsidRPr="000B1539">
        <w:rPr>
          <w:lang w:val="en-US"/>
        </w:rPr>
        <w:t xml:space="preserve"> priorities and</w:t>
      </w:r>
      <w:r w:rsidR="00215A5B" w:rsidRPr="000B1539">
        <w:rPr>
          <w:lang w:val="en-US"/>
        </w:rPr>
        <w:t>, through the elements of its programming directions, is contributing</w:t>
      </w:r>
      <w:r w:rsidR="00215A5B" w:rsidRPr="000B1539">
        <w:t xml:space="preserve"> to the implementation of the Convention and its Protocols</w:t>
      </w:r>
      <w:r w:rsidR="00432268">
        <w:t xml:space="preserve"> and</w:t>
      </w:r>
      <w:r w:rsidR="00215A5B" w:rsidRPr="000B1539">
        <w:t xml:space="preserve"> each goal and target of the </w:t>
      </w:r>
      <w:r w:rsidR="00832FC9" w:rsidRPr="000B1539">
        <w:t xml:space="preserve">Kunming-Montreal Global Biodiversity </w:t>
      </w:r>
      <w:r w:rsidR="00215A5B" w:rsidRPr="000B1539">
        <w:t xml:space="preserve">Framework and </w:t>
      </w:r>
      <w:r w:rsidR="00536230" w:rsidRPr="000B1539">
        <w:t xml:space="preserve">the </w:t>
      </w:r>
      <w:r w:rsidR="00215A5B" w:rsidRPr="000B1539">
        <w:t>monitoring framework</w:t>
      </w:r>
      <w:r w:rsidR="00432268">
        <w:t xml:space="preserve"> for the Framework</w:t>
      </w:r>
      <w:r w:rsidR="00215A5B" w:rsidRPr="000B1539">
        <w:t>.</w:t>
      </w:r>
      <w:r w:rsidR="00042187">
        <w:rPr>
          <w:rStyle w:val="FootnoteReference"/>
        </w:rPr>
        <w:footnoteReference w:id="44"/>
      </w:r>
    </w:p>
    <w:p w14:paraId="71442731" w14:textId="49318235" w:rsidR="00B83802" w:rsidRPr="000B1539" w:rsidRDefault="00F017B4" w:rsidP="004F0B03">
      <w:pPr>
        <w:keepNext/>
        <w:keepLines/>
        <w:suppressLineNumbers/>
        <w:suppressAutoHyphens/>
        <w:adjustRightInd w:val="0"/>
        <w:snapToGrid w:val="0"/>
        <w:spacing w:before="240"/>
        <w:ind w:left="1134" w:right="288"/>
        <w:jc w:val="left"/>
        <w:outlineLvl w:val="0"/>
        <w:rPr>
          <w:b/>
          <w:bCs/>
          <w:iCs/>
          <w:sz w:val="24"/>
          <w:lang w:val="en-US"/>
        </w:rPr>
      </w:pPr>
      <w:bookmarkStart w:id="13" w:name="_Hlk163323785"/>
      <w:r w:rsidRPr="000B1539">
        <w:rPr>
          <w:b/>
          <w:bCs/>
          <w:iCs/>
          <w:snapToGrid w:val="0"/>
          <w:kern w:val="22"/>
          <w:sz w:val="24"/>
        </w:rPr>
        <w:t>Enclosure</w:t>
      </w:r>
      <w:r w:rsidR="00B83802" w:rsidRPr="000B1539">
        <w:rPr>
          <w:b/>
          <w:bCs/>
          <w:iCs/>
          <w:sz w:val="24"/>
          <w:lang w:val="en-US"/>
        </w:rPr>
        <w:t xml:space="preserve"> I</w:t>
      </w:r>
      <w:r w:rsidR="004C54A3" w:rsidRPr="000B1539">
        <w:rPr>
          <w:rStyle w:val="FootnoteReference"/>
          <w:b/>
          <w:bCs/>
          <w:iCs/>
          <w:sz w:val="24"/>
          <w:lang w:val="en-US"/>
        </w:rPr>
        <w:footnoteReference w:id="45"/>
      </w:r>
    </w:p>
    <w:p w14:paraId="5EA07CA2" w14:textId="317A75FE" w:rsidR="00B83802" w:rsidRPr="000B1539" w:rsidRDefault="00CF6C48" w:rsidP="004F0B03">
      <w:pPr>
        <w:keepNext/>
        <w:keepLines/>
        <w:spacing w:after="120"/>
        <w:ind w:left="1134" w:right="996"/>
        <w:jc w:val="left"/>
        <w:outlineLvl w:val="0"/>
        <w:rPr>
          <w:b/>
          <w:iCs/>
          <w:snapToGrid w:val="0"/>
          <w:sz w:val="24"/>
          <w:lang w:val="en-US"/>
        </w:rPr>
      </w:pPr>
      <w:r w:rsidRPr="000B1539">
        <w:rPr>
          <w:b/>
          <w:snapToGrid w:val="0"/>
          <w:sz w:val="24"/>
        </w:rPr>
        <w:t xml:space="preserve">Additional elements for the four-year outcome-oriented framework of </w:t>
      </w:r>
      <w:r w:rsidR="00B21C66">
        <w:rPr>
          <w:b/>
          <w:snapToGrid w:val="0"/>
          <w:sz w:val="24"/>
        </w:rPr>
        <w:t xml:space="preserve">biodiversity </w:t>
      </w:r>
      <w:r w:rsidRPr="000B1539">
        <w:rPr>
          <w:b/>
          <w:snapToGrid w:val="0"/>
          <w:sz w:val="24"/>
        </w:rPr>
        <w:t xml:space="preserve">programme priorities </w:t>
      </w:r>
      <w:r w:rsidR="00E774B1">
        <w:rPr>
          <w:b/>
          <w:snapToGrid w:val="0"/>
          <w:sz w:val="24"/>
        </w:rPr>
        <w:t xml:space="preserve">of the Convention on Biological Diversity </w:t>
      </w:r>
      <w:r w:rsidRPr="000B1539">
        <w:rPr>
          <w:b/>
          <w:snapToGrid w:val="0"/>
          <w:sz w:val="24"/>
        </w:rPr>
        <w:t>for the ninth</w:t>
      </w:r>
      <w:r w:rsidR="009F4ECA" w:rsidRPr="000B1539">
        <w:rPr>
          <w:b/>
          <w:caps/>
          <w:snapToGrid w:val="0"/>
          <w:sz w:val="24"/>
        </w:rPr>
        <w:t xml:space="preserve"> </w:t>
      </w:r>
      <w:r w:rsidR="001B1CEB" w:rsidRPr="000B1539">
        <w:rPr>
          <w:b/>
          <w:snapToGrid w:val="0"/>
          <w:sz w:val="24"/>
        </w:rPr>
        <w:t>r</w:t>
      </w:r>
      <w:r w:rsidRPr="000B1539">
        <w:rPr>
          <w:b/>
          <w:snapToGrid w:val="0"/>
          <w:sz w:val="24"/>
        </w:rPr>
        <w:t>eplenishment period of the Global Environment Facility</w:t>
      </w:r>
      <w:r w:rsidR="00B83802" w:rsidRPr="000B1539">
        <w:rPr>
          <w:b/>
          <w:caps/>
          <w:snapToGrid w:val="0"/>
          <w:sz w:val="24"/>
        </w:rPr>
        <w:t xml:space="preserve"> </w:t>
      </w:r>
      <w:r w:rsidRPr="000B1539">
        <w:rPr>
          <w:b/>
          <w:snapToGrid w:val="0"/>
          <w:sz w:val="24"/>
        </w:rPr>
        <w:t>Trust Fund</w:t>
      </w:r>
      <w:r w:rsidR="00B83802" w:rsidRPr="000B1539">
        <w:rPr>
          <w:b/>
          <w:caps/>
          <w:snapToGrid w:val="0"/>
          <w:sz w:val="24"/>
        </w:rPr>
        <w:t xml:space="preserve"> (202</w:t>
      </w:r>
      <w:r w:rsidR="00460D9F" w:rsidRPr="000B1539">
        <w:rPr>
          <w:b/>
          <w:caps/>
          <w:snapToGrid w:val="0"/>
          <w:sz w:val="24"/>
        </w:rPr>
        <w:t>6</w:t>
      </w:r>
      <w:r w:rsidR="00B83802" w:rsidRPr="000B1539">
        <w:rPr>
          <w:b/>
          <w:bCs/>
          <w:iCs/>
          <w:caps/>
          <w:sz w:val="24"/>
        </w:rPr>
        <w:t>–</w:t>
      </w:r>
      <w:r w:rsidR="00B83802" w:rsidRPr="000B1539">
        <w:rPr>
          <w:b/>
          <w:caps/>
          <w:snapToGrid w:val="0"/>
          <w:sz w:val="24"/>
        </w:rPr>
        <w:t>20</w:t>
      </w:r>
      <w:r w:rsidR="00460D9F" w:rsidRPr="000B1539">
        <w:rPr>
          <w:b/>
          <w:caps/>
          <w:snapToGrid w:val="0"/>
          <w:sz w:val="24"/>
        </w:rPr>
        <w:t>30</w:t>
      </w:r>
      <w:r w:rsidR="00B83802" w:rsidRPr="000B1539">
        <w:rPr>
          <w:b/>
          <w:caps/>
          <w:snapToGrid w:val="0"/>
          <w:sz w:val="24"/>
        </w:rPr>
        <w:t xml:space="preserve">) </w:t>
      </w:r>
      <w:r w:rsidRPr="000B1539">
        <w:rPr>
          <w:b/>
          <w:iCs/>
          <w:snapToGrid w:val="0"/>
          <w:sz w:val="24"/>
          <w:lang w:val="en-US"/>
        </w:rPr>
        <w:t xml:space="preserve">to support the implementation of the Nagoya </w:t>
      </w:r>
      <w:r w:rsidR="00710341" w:rsidRPr="000B1539">
        <w:rPr>
          <w:b/>
          <w:iCs/>
          <w:snapToGrid w:val="0"/>
          <w:sz w:val="24"/>
          <w:lang w:val="en-US"/>
        </w:rPr>
        <w:t>P</w:t>
      </w:r>
      <w:r w:rsidRPr="000B1539">
        <w:rPr>
          <w:b/>
          <w:iCs/>
          <w:snapToGrid w:val="0"/>
          <w:sz w:val="24"/>
          <w:lang w:val="en-US"/>
        </w:rPr>
        <w:t xml:space="preserve">rotocol on </w:t>
      </w:r>
      <w:r w:rsidR="00710341" w:rsidRPr="000B1539">
        <w:rPr>
          <w:b/>
          <w:iCs/>
          <w:snapToGrid w:val="0"/>
          <w:sz w:val="24"/>
          <w:lang w:val="en-US"/>
        </w:rPr>
        <w:t>A</w:t>
      </w:r>
      <w:r w:rsidRPr="000B1539">
        <w:rPr>
          <w:b/>
          <w:iCs/>
          <w:snapToGrid w:val="0"/>
          <w:sz w:val="24"/>
          <w:lang w:val="en-US"/>
        </w:rPr>
        <w:t xml:space="preserve">ccess </w:t>
      </w:r>
      <w:r w:rsidR="00F152C6" w:rsidRPr="000B1539">
        <w:rPr>
          <w:b/>
          <w:iCs/>
          <w:snapToGrid w:val="0"/>
          <w:sz w:val="24"/>
          <w:lang w:val="en-US"/>
        </w:rPr>
        <w:t>to</w:t>
      </w:r>
      <w:r w:rsidR="002275FD" w:rsidRPr="000B1539">
        <w:rPr>
          <w:b/>
          <w:iCs/>
          <w:snapToGrid w:val="0"/>
          <w:sz w:val="24"/>
          <w:lang w:val="en-US"/>
        </w:rPr>
        <w:t xml:space="preserve"> Genetic Resources and the Fair and Equitable Sharing of Benefits Arising from </w:t>
      </w:r>
      <w:r w:rsidR="00FA4624">
        <w:rPr>
          <w:b/>
          <w:iCs/>
          <w:snapToGrid w:val="0"/>
          <w:sz w:val="24"/>
          <w:lang w:val="en-US"/>
        </w:rPr>
        <w:t>T</w:t>
      </w:r>
      <w:r w:rsidR="002275FD" w:rsidRPr="000B1539">
        <w:rPr>
          <w:b/>
          <w:iCs/>
          <w:snapToGrid w:val="0"/>
          <w:sz w:val="24"/>
          <w:lang w:val="en-US"/>
        </w:rPr>
        <w:t>heir Utilization</w:t>
      </w:r>
    </w:p>
    <w:p w14:paraId="4DDA3A2D" w14:textId="420D595B" w:rsidR="00B83802" w:rsidRPr="000B1539" w:rsidRDefault="00B83802" w:rsidP="003D3F00">
      <w:pPr>
        <w:tabs>
          <w:tab w:val="left" w:pos="2268"/>
        </w:tabs>
        <w:spacing w:before="120" w:after="120"/>
        <w:ind w:left="1134" w:firstLine="567"/>
        <w:rPr>
          <w:iCs/>
          <w:snapToGrid w:val="0"/>
          <w:kern w:val="22"/>
          <w:szCs w:val="22"/>
          <w:lang w:val="en-US"/>
        </w:rPr>
      </w:pPr>
      <w:r w:rsidRPr="000B1539">
        <w:rPr>
          <w:snapToGrid w:val="0"/>
          <w:kern w:val="22"/>
          <w:szCs w:val="22"/>
        </w:rPr>
        <w:t xml:space="preserve">Elements for the four-year outcome-oriented framework of programme priorities for the </w:t>
      </w:r>
      <w:r w:rsidR="009F4ECA" w:rsidRPr="000B1539">
        <w:rPr>
          <w:snapToGrid w:val="0"/>
          <w:kern w:val="22"/>
          <w:szCs w:val="22"/>
        </w:rPr>
        <w:t xml:space="preserve">ninth </w:t>
      </w:r>
      <w:r w:rsidRPr="000B1539">
        <w:rPr>
          <w:snapToGrid w:val="0"/>
          <w:kern w:val="22"/>
          <w:szCs w:val="22"/>
        </w:rPr>
        <w:t>replenishment period of the Global Environment Facility Trust Fund (202</w:t>
      </w:r>
      <w:r w:rsidR="00460D9F" w:rsidRPr="000B1539">
        <w:rPr>
          <w:snapToGrid w:val="0"/>
          <w:kern w:val="22"/>
          <w:szCs w:val="22"/>
        </w:rPr>
        <w:t>6</w:t>
      </w:r>
      <w:r w:rsidRPr="000B1539">
        <w:rPr>
          <w:b/>
          <w:bCs/>
          <w:iCs/>
          <w:szCs w:val="22"/>
        </w:rPr>
        <w:t>–</w:t>
      </w:r>
      <w:r w:rsidRPr="000B1539">
        <w:rPr>
          <w:snapToGrid w:val="0"/>
          <w:kern w:val="22"/>
          <w:szCs w:val="22"/>
        </w:rPr>
        <w:t>20</w:t>
      </w:r>
      <w:r w:rsidR="00460D9F" w:rsidRPr="000B1539">
        <w:rPr>
          <w:snapToGrid w:val="0"/>
          <w:kern w:val="22"/>
          <w:szCs w:val="22"/>
        </w:rPr>
        <w:t>30</w:t>
      </w:r>
      <w:r w:rsidRPr="000B1539">
        <w:rPr>
          <w:snapToGrid w:val="0"/>
          <w:kern w:val="22"/>
          <w:szCs w:val="22"/>
        </w:rPr>
        <w:t xml:space="preserve">) </w:t>
      </w:r>
      <w:r w:rsidRPr="000B1539">
        <w:rPr>
          <w:iCs/>
          <w:snapToGrid w:val="0"/>
          <w:kern w:val="22"/>
          <w:szCs w:val="22"/>
          <w:lang w:val="en-US"/>
        </w:rPr>
        <w:t xml:space="preserve">to support the implementation of the Nagoya Protocol on Access </w:t>
      </w:r>
      <w:r w:rsidR="00F152C6" w:rsidRPr="000B1539">
        <w:rPr>
          <w:iCs/>
          <w:snapToGrid w:val="0"/>
          <w:kern w:val="22"/>
          <w:szCs w:val="22"/>
          <w:lang w:val="en-US"/>
        </w:rPr>
        <w:t>to Genetic Resources and the Fair and Equitable</w:t>
      </w:r>
      <w:r w:rsidR="009D187F" w:rsidRPr="000B1539">
        <w:rPr>
          <w:iCs/>
          <w:snapToGrid w:val="0"/>
          <w:kern w:val="22"/>
          <w:szCs w:val="22"/>
          <w:lang w:val="en-US"/>
        </w:rPr>
        <w:t xml:space="preserve"> </w:t>
      </w:r>
      <w:r w:rsidR="00F152C6" w:rsidRPr="000B1539">
        <w:rPr>
          <w:iCs/>
          <w:snapToGrid w:val="0"/>
          <w:kern w:val="22"/>
          <w:szCs w:val="22"/>
          <w:lang w:val="en-US"/>
        </w:rPr>
        <w:t xml:space="preserve">Sharing of Benefits Arising from </w:t>
      </w:r>
      <w:r w:rsidR="003A4DEC">
        <w:rPr>
          <w:iCs/>
          <w:snapToGrid w:val="0"/>
          <w:kern w:val="22"/>
          <w:szCs w:val="22"/>
          <w:lang w:val="en-US"/>
        </w:rPr>
        <w:t>T</w:t>
      </w:r>
      <w:r w:rsidR="00F152C6" w:rsidRPr="000B1539">
        <w:rPr>
          <w:iCs/>
          <w:snapToGrid w:val="0"/>
          <w:kern w:val="22"/>
          <w:szCs w:val="22"/>
          <w:lang w:val="en-US"/>
        </w:rPr>
        <w:t>heir Utilization</w:t>
      </w:r>
      <w:r w:rsidR="00983277">
        <w:rPr>
          <w:iCs/>
          <w:snapToGrid w:val="0"/>
          <w:kern w:val="22"/>
          <w:szCs w:val="22"/>
          <w:lang w:val="en-US"/>
        </w:rPr>
        <w:t xml:space="preserve"> to the Convention on Biological Diversity</w:t>
      </w:r>
      <w:r w:rsidRPr="000B1539">
        <w:rPr>
          <w:iCs/>
          <w:snapToGrid w:val="0"/>
          <w:kern w:val="22"/>
          <w:szCs w:val="22"/>
          <w:lang w:val="en-US"/>
        </w:rPr>
        <w:t>,</w:t>
      </w:r>
      <w:r w:rsidR="00E77269">
        <w:rPr>
          <w:rStyle w:val="FootnoteReference"/>
          <w:iCs/>
          <w:snapToGrid w:val="0"/>
          <w:kern w:val="22"/>
          <w:szCs w:val="22"/>
          <w:lang w:val="en-US"/>
        </w:rPr>
        <w:footnoteReference w:id="46"/>
      </w:r>
      <w:r w:rsidRPr="000B1539">
        <w:rPr>
          <w:iCs/>
          <w:snapToGrid w:val="0"/>
          <w:kern w:val="22"/>
          <w:szCs w:val="22"/>
          <w:lang w:val="en-US"/>
        </w:rPr>
        <w:t xml:space="preserve"> adopted by the Conference of the Parties serving as the meeting of the Parties to the Protocol at its </w:t>
      </w:r>
      <w:r w:rsidR="00460D9F" w:rsidRPr="000B1539">
        <w:rPr>
          <w:iCs/>
          <w:snapToGrid w:val="0"/>
          <w:kern w:val="22"/>
          <w:szCs w:val="22"/>
          <w:lang w:val="en-US"/>
        </w:rPr>
        <w:t xml:space="preserve">fifth </w:t>
      </w:r>
      <w:r w:rsidRPr="000B1539">
        <w:rPr>
          <w:iCs/>
          <w:snapToGrid w:val="0"/>
          <w:kern w:val="22"/>
          <w:szCs w:val="22"/>
          <w:lang w:val="en-US"/>
        </w:rPr>
        <w:t xml:space="preserve">meeting, </w:t>
      </w:r>
      <w:r w:rsidR="00460D9F" w:rsidRPr="000B1539">
        <w:rPr>
          <w:iCs/>
          <w:snapToGrid w:val="0"/>
          <w:kern w:val="22"/>
          <w:szCs w:val="22"/>
          <w:lang w:val="en-US"/>
        </w:rPr>
        <w:t>comprise</w:t>
      </w:r>
      <w:r w:rsidRPr="000B1539">
        <w:rPr>
          <w:snapToGrid w:val="0"/>
          <w:kern w:val="22"/>
          <w:szCs w:val="22"/>
        </w:rPr>
        <w:t xml:space="preserve">: </w:t>
      </w:r>
    </w:p>
    <w:p w14:paraId="29490A1A" w14:textId="5EF09765" w:rsidR="00424608" w:rsidRPr="00D053E3" w:rsidRDefault="00424608" w:rsidP="00424608">
      <w:pPr>
        <w:spacing w:before="120" w:after="120"/>
        <w:ind w:left="1134" w:firstLine="567"/>
        <w:rPr>
          <w:snapToGrid w:val="0"/>
          <w:kern w:val="22"/>
          <w:szCs w:val="22"/>
        </w:rPr>
      </w:pPr>
      <w:r w:rsidRPr="000B1539">
        <w:rPr>
          <w:snapToGrid w:val="0"/>
          <w:szCs w:val="22"/>
        </w:rPr>
        <w:t>(x)</w:t>
      </w:r>
      <w:r w:rsidRPr="000B1539">
        <w:rPr>
          <w:snapToGrid w:val="0"/>
          <w:szCs w:val="22"/>
        </w:rPr>
        <w:tab/>
        <w:t>[Placeholder for elements of guidance]</w:t>
      </w:r>
      <w:r w:rsidRPr="00CE5D44">
        <w:rPr>
          <w:snapToGrid w:val="0"/>
          <w:szCs w:val="22"/>
        </w:rPr>
        <w:t>;</w:t>
      </w:r>
      <w:r w:rsidRPr="000B1539">
        <w:rPr>
          <w:snapToGrid w:val="0"/>
          <w:szCs w:val="22"/>
          <w:vertAlign w:val="superscript"/>
        </w:rPr>
        <w:t xml:space="preserve"> </w:t>
      </w:r>
    </w:p>
    <w:bookmarkEnd w:id="13"/>
    <w:p w14:paraId="54FA6E4B" w14:textId="156308E2" w:rsidR="00460D9F" w:rsidRPr="00D053E3" w:rsidRDefault="00F017B4" w:rsidP="004F0B03">
      <w:pPr>
        <w:keepNext/>
        <w:keepLines/>
        <w:suppressLineNumbers/>
        <w:suppressAutoHyphens/>
        <w:adjustRightInd w:val="0"/>
        <w:snapToGrid w:val="0"/>
        <w:spacing w:before="240"/>
        <w:ind w:left="1134" w:right="1138"/>
        <w:jc w:val="left"/>
        <w:outlineLvl w:val="0"/>
        <w:rPr>
          <w:b/>
          <w:bCs/>
          <w:iCs/>
          <w:sz w:val="24"/>
          <w:lang w:val="en-US"/>
        </w:rPr>
      </w:pPr>
      <w:r w:rsidRPr="00D053E3">
        <w:rPr>
          <w:b/>
          <w:bCs/>
          <w:iCs/>
          <w:snapToGrid w:val="0"/>
          <w:kern w:val="22"/>
          <w:sz w:val="24"/>
        </w:rPr>
        <w:t>Enclosure</w:t>
      </w:r>
      <w:r w:rsidR="00460D9F" w:rsidRPr="00D053E3">
        <w:rPr>
          <w:b/>
          <w:bCs/>
          <w:iCs/>
          <w:sz w:val="24"/>
          <w:lang w:val="en-US"/>
        </w:rPr>
        <w:t xml:space="preserve"> </w:t>
      </w:r>
      <w:r w:rsidR="00460D9F" w:rsidRPr="007E1A82">
        <w:rPr>
          <w:b/>
          <w:bCs/>
          <w:iCs/>
          <w:sz w:val="24"/>
          <w:lang w:val="en-US"/>
        </w:rPr>
        <w:t>II</w:t>
      </w:r>
      <w:r w:rsidR="004C54A3" w:rsidRPr="00D053E3">
        <w:rPr>
          <w:rStyle w:val="FootnoteReference"/>
          <w:b/>
          <w:bCs/>
          <w:iCs/>
          <w:sz w:val="24"/>
          <w:lang w:val="en-US"/>
        </w:rPr>
        <w:footnoteReference w:id="47"/>
      </w:r>
    </w:p>
    <w:p w14:paraId="26660F2F" w14:textId="1945505C" w:rsidR="00460D9F" w:rsidRPr="00CE5D44" w:rsidRDefault="00D95D56" w:rsidP="004F0B03">
      <w:pPr>
        <w:keepNext/>
        <w:keepLines/>
        <w:spacing w:after="120"/>
        <w:ind w:left="1134" w:right="1138"/>
        <w:jc w:val="left"/>
        <w:outlineLvl w:val="0"/>
        <w:rPr>
          <w:b/>
          <w:i/>
          <w:iCs/>
          <w:caps/>
          <w:sz w:val="24"/>
          <w:lang w:val="en-US"/>
        </w:rPr>
      </w:pPr>
      <w:r w:rsidRPr="00D053E3">
        <w:rPr>
          <w:b/>
          <w:snapToGrid w:val="0"/>
          <w:sz w:val="24"/>
        </w:rPr>
        <w:t xml:space="preserve">Additional elements for the four-year outcome-oriented framework of </w:t>
      </w:r>
      <w:r w:rsidR="00B21C66">
        <w:rPr>
          <w:b/>
          <w:snapToGrid w:val="0"/>
          <w:sz w:val="24"/>
        </w:rPr>
        <w:t xml:space="preserve">biodiversity </w:t>
      </w:r>
      <w:r w:rsidRPr="00D053E3">
        <w:rPr>
          <w:b/>
          <w:snapToGrid w:val="0"/>
          <w:sz w:val="24"/>
        </w:rPr>
        <w:t xml:space="preserve">programme priorities </w:t>
      </w:r>
      <w:r w:rsidR="00E774B1">
        <w:rPr>
          <w:b/>
          <w:snapToGrid w:val="0"/>
          <w:sz w:val="24"/>
        </w:rPr>
        <w:t xml:space="preserve">of the Convention on Biological Diversity </w:t>
      </w:r>
      <w:r w:rsidRPr="00D053E3">
        <w:rPr>
          <w:b/>
          <w:snapToGrid w:val="0"/>
          <w:sz w:val="24"/>
        </w:rPr>
        <w:t xml:space="preserve">for the ninth </w:t>
      </w:r>
      <w:r w:rsidR="00CB010A" w:rsidRPr="00D053E3">
        <w:rPr>
          <w:b/>
          <w:snapToGrid w:val="0"/>
          <w:sz w:val="24"/>
        </w:rPr>
        <w:t>r</w:t>
      </w:r>
      <w:r w:rsidRPr="00D053E3">
        <w:rPr>
          <w:b/>
          <w:snapToGrid w:val="0"/>
          <w:sz w:val="24"/>
        </w:rPr>
        <w:t xml:space="preserve">eplenishment period of the </w:t>
      </w:r>
      <w:r w:rsidRPr="000B1539">
        <w:rPr>
          <w:b/>
          <w:snapToGrid w:val="0"/>
          <w:sz w:val="24"/>
        </w:rPr>
        <w:t>Global Environment Facility</w:t>
      </w:r>
      <w:r w:rsidR="00460D9F" w:rsidRPr="00CE5D44">
        <w:rPr>
          <w:b/>
          <w:caps/>
          <w:snapToGrid w:val="0"/>
          <w:sz w:val="24"/>
        </w:rPr>
        <w:t xml:space="preserve"> </w:t>
      </w:r>
      <w:r w:rsidRPr="000B1539">
        <w:rPr>
          <w:b/>
          <w:snapToGrid w:val="0"/>
          <w:sz w:val="24"/>
        </w:rPr>
        <w:t>Trust Fund</w:t>
      </w:r>
      <w:r w:rsidR="00460D9F" w:rsidRPr="00CE5D44">
        <w:rPr>
          <w:b/>
          <w:caps/>
          <w:snapToGrid w:val="0"/>
          <w:sz w:val="24"/>
        </w:rPr>
        <w:t xml:space="preserve"> (2026</w:t>
      </w:r>
      <w:r w:rsidR="00460D9F" w:rsidRPr="00CE5D44">
        <w:rPr>
          <w:b/>
          <w:bCs/>
          <w:iCs/>
          <w:caps/>
          <w:sz w:val="24"/>
        </w:rPr>
        <w:t>–</w:t>
      </w:r>
      <w:r w:rsidR="00460D9F" w:rsidRPr="00CE5D44">
        <w:rPr>
          <w:b/>
          <w:caps/>
          <w:snapToGrid w:val="0"/>
          <w:sz w:val="24"/>
        </w:rPr>
        <w:t xml:space="preserve">2030) </w:t>
      </w:r>
      <w:r w:rsidRPr="00CE5D44">
        <w:rPr>
          <w:b/>
          <w:iCs/>
          <w:snapToGrid w:val="0"/>
          <w:sz w:val="24"/>
          <w:lang w:val="en-US"/>
        </w:rPr>
        <w:t>to support the implementation of the Cartagena Protocol on Biosafety</w:t>
      </w:r>
    </w:p>
    <w:p w14:paraId="3461530B" w14:textId="4B0C0281" w:rsidR="00460D9F" w:rsidRPr="00CE5D44" w:rsidRDefault="00460D9F" w:rsidP="00F1568A">
      <w:pPr>
        <w:tabs>
          <w:tab w:val="left" w:pos="2268"/>
        </w:tabs>
        <w:spacing w:before="120" w:after="120"/>
        <w:ind w:left="1134" w:firstLine="567"/>
        <w:rPr>
          <w:snapToGrid w:val="0"/>
          <w:kern w:val="22"/>
          <w:szCs w:val="22"/>
        </w:rPr>
      </w:pPr>
      <w:r w:rsidRPr="00CE5D44">
        <w:rPr>
          <w:snapToGrid w:val="0"/>
          <w:kern w:val="22"/>
          <w:szCs w:val="22"/>
        </w:rPr>
        <w:t xml:space="preserve">Elements for the four-year outcome-oriented framework of programme priorities for the </w:t>
      </w:r>
      <w:r w:rsidR="009F4ECA" w:rsidRPr="00CE5D44">
        <w:rPr>
          <w:snapToGrid w:val="0"/>
          <w:kern w:val="22"/>
          <w:szCs w:val="22"/>
        </w:rPr>
        <w:t>ninth</w:t>
      </w:r>
      <w:r w:rsidRPr="00CE5D44">
        <w:rPr>
          <w:snapToGrid w:val="0"/>
          <w:kern w:val="22"/>
          <w:szCs w:val="22"/>
        </w:rPr>
        <w:t xml:space="preserve"> replenishment period of the </w:t>
      </w:r>
      <w:r w:rsidRPr="000B1539">
        <w:rPr>
          <w:snapToGrid w:val="0"/>
          <w:kern w:val="22"/>
          <w:szCs w:val="22"/>
        </w:rPr>
        <w:t>Global Environment Facility</w:t>
      </w:r>
      <w:r w:rsidRPr="00CE5D44">
        <w:rPr>
          <w:snapToGrid w:val="0"/>
          <w:kern w:val="22"/>
          <w:szCs w:val="22"/>
        </w:rPr>
        <w:t xml:space="preserve"> </w:t>
      </w:r>
      <w:r w:rsidRPr="000B1539">
        <w:rPr>
          <w:snapToGrid w:val="0"/>
          <w:kern w:val="22"/>
          <w:szCs w:val="22"/>
        </w:rPr>
        <w:t>Trust Fund</w:t>
      </w:r>
      <w:r w:rsidRPr="00CE5D44">
        <w:rPr>
          <w:snapToGrid w:val="0"/>
          <w:kern w:val="22"/>
          <w:szCs w:val="22"/>
        </w:rPr>
        <w:t xml:space="preserve"> (2026</w:t>
      </w:r>
      <w:r w:rsidRPr="00CE5D44">
        <w:rPr>
          <w:b/>
          <w:bCs/>
          <w:iCs/>
          <w:szCs w:val="22"/>
        </w:rPr>
        <w:t>–</w:t>
      </w:r>
      <w:r w:rsidRPr="00CE5D44">
        <w:rPr>
          <w:snapToGrid w:val="0"/>
          <w:kern w:val="22"/>
          <w:szCs w:val="22"/>
        </w:rPr>
        <w:t xml:space="preserve">2030) </w:t>
      </w:r>
      <w:r w:rsidRPr="00CE5D44">
        <w:rPr>
          <w:iCs/>
          <w:snapToGrid w:val="0"/>
          <w:kern w:val="22"/>
          <w:szCs w:val="22"/>
          <w:lang w:val="en-US"/>
        </w:rPr>
        <w:t>to support the implementation of the Cartagena Protocol on Biosafety</w:t>
      </w:r>
      <w:r w:rsidR="005F650D">
        <w:rPr>
          <w:iCs/>
          <w:snapToGrid w:val="0"/>
          <w:kern w:val="22"/>
          <w:szCs w:val="22"/>
          <w:lang w:val="en-US"/>
        </w:rPr>
        <w:t xml:space="preserve"> to </w:t>
      </w:r>
      <w:r w:rsidR="00D54372">
        <w:rPr>
          <w:iCs/>
          <w:snapToGrid w:val="0"/>
          <w:kern w:val="22"/>
          <w:szCs w:val="22"/>
          <w:lang w:val="en-US"/>
        </w:rPr>
        <w:t>t</w:t>
      </w:r>
      <w:r w:rsidR="005F650D">
        <w:rPr>
          <w:iCs/>
          <w:snapToGrid w:val="0"/>
          <w:kern w:val="22"/>
          <w:szCs w:val="22"/>
          <w:lang w:val="en-US"/>
        </w:rPr>
        <w:t>he Convention on Biological Diversity</w:t>
      </w:r>
      <w:r w:rsidRPr="00CE5D44">
        <w:rPr>
          <w:iCs/>
          <w:snapToGrid w:val="0"/>
          <w:kern w:val="22"/>
          <w:szCs w:val="22"/>
          <w:lang w:val="en-US"/>
        </w:rPr>
        <w:t>,</w:t>
      </w:r>
      <w:r w:rsidR="00D54372">
        <w:rPr>
          <w:rStyle w:val="FootnoteReference"/>
          <w:iCs/>
          <w:snapToGrid w:val="0"/>
          <w:kern w:val="22"/>
          <w:szCs w:val="22"/>
          <w:lang w:val="en-US"/>
        </w:rPr>
        <w:footnoteReference w:id="48"/>
      </w:r>
      <w:r w:rsidRPr="00CE5D44">
        <w:rPr>
          <w:iCs/>
          <w:snapToGrid w:val="0"/>
          <w:kern w:val="22"/>
          <w:szCs w:val="22"/>
          <w:lang w:val="en-US"/>
        </w:rPr>
        <w:t xml:space="preserve"> adopted by the Conference of the Parties serving as the meeting of the Parties to the Protocol at its </w:t>
      </w:r>
      <w:r w:rsidR="009F4ECA" w:rsidRPr="00CE5D44">
        <w:rPr>
          <w:iCs/>
          <w:snapToGrid w:val="0"/>
          <w:kern w:val="22"/>
          <w:szCs w:val="22"/>
          <w:lang w:val="en-US"/>
        </w:rPr>
        <w:t>eleventh</w:t>
      </w:r>
      <w:r w:rsidRPr="00CE5D44">
        <w:rPr>
          <w:iCs/>
          <w:snapToGrid w:val="0"/>
          <w:kern w:val="22"/>
          <w:szCs w:val="22"/>
          <w:lang w:val="en-US"/>
        </w:rPr>
        <w:t xml:space="preserve"> meeting, </w:t>
      </w:r>
      <w:r w:rsidR="00DF4D51" w:rsidRPr="00CE5D44">
        <w:rPr>
          <w:iCs/>
          <w:snapToGrid w:val="0"/>
          <w:kern w:val="22"/>
          <w:szCs w:val="22"/>
          <w:lang w:val="en-US"/>
        </w:rPr>
        <w:t>comprise</w:t>
      </w:r>
      <w:r w:rsidRPr="00CE5D44">
        <w:rPr>
          <w:snapToGrid w:val="0"/>
          <w:kern w:val="22"/>
          <w:szCs w:val="22"/>
        </w:rPr>
        <w:t xml:space="preserve">: </w:t>
      </w:r>
    </w:p>
    <w:p w14:paraId="58FD5155" w14:textId="6F6567BB" w:rsidR="00B83802" w:rsidRPr="00CE5D44" w:rsidRDefault="00460D9F" w:rsidP="00E252EF">
      <w:pPr>
        <w:spacing w:before="120" w:after="120"/>
        <w:ind w:left="1134" w:firstLine="567"/>
        <w:rPr>
          <w:snapToGrid w:val="0"/>
          <w:kern w:val="22"/>
          <w:szCs w:val="22"/>
        </w:rPr>
      </w:pPr>
      <w:bookmarkStart w:id="15" w:name="_Hlk164480057"/>
      <w:r w:rsidRPr="00CE5D44">
        <w:rPr>
          <w:snapToGrid w:val="0"/>
          <w:szCs w:val="22"/>
        </w:rPr>
        <w:t>(</w:t>
      </w:r>
      <w:r w:rsidR="002365A3" w:rsidRPr="00CE5D44">
        <w:rPr>
          <w:snapToGrid w:val="0"/>
          <w:szCs w:val="22"/>
        </w:rPr>
        <w:t>x</w:t>
      </w:r>
      <w:r w:rsidRPr="00CE5D44">
        <w:rPr>
          <w:snapToGrid w:val="0"/>
          <w:szCs w:val="22"/>
        </w:rPr>
        <w:t>)</w:t>
      </w:r>
      <w:r w:rsidRPr="00CE5D44">
        <w:rPr>
          <w:snapToGrid w:val="0"/>
          <w:szCs w:val="22"/>
        </w:rPr>
        <w:tab/>
      </w:r>
      <w:r w:rsidR="00E66F09" w:rsidRPr="000B1539">
        <w:rPr>
          <w:snapToGrid w:val="0"/>
          <w:szCs w:val="22"/>
        </w:rPr>
        <w:t>[Placeholder</w:t>
      </w:r>
      <w:r w:rsidR="00B748A9" w:rsidRPr="000B1539">
        <w:rPr>
          <w:snapToGrid w:val="0"/>
          <w:szCs w:val="22"/>
        </w:rPr>
        <w:t xml:space="preserve"> for </w:t>
      </w:r>
      <w:r w:rsidR="00783828" w:rsidRPr="000B1539">
        <w:rPr>
          <w:snapToGrid w:val="0"/>
          <w:szCs w:val="22"/>
        </w:rPr>
        <w:t>elements of guidance</w:t>
      </w:r>
      <w:r w:rsidR="00E66F09" w:rsidRPr="000B1539">
        <w:rPr>
          <w:snapToGrid w:val="0"/>
          <w:szCs w:val="22"/>
        </w:rPr>
        <w:t>]</w:t>
      </w:r>
      <w:r w:rsidRPr="00CE5D44">
        <w:rPr>
          <w:snapToGrid w:val="0"/>
          <w:szCs w:val="22"/>
        </w:rPr>
        <w:t>;</w:t>
      </w:r>
      <w:r w:rsidR="006701B0" w:rsidRPr="00CE5D44">
        <w:rPr>
          <w:snapToGrid w:val="0"/>
          <w:szCs w:val="22"/>
        </w:rPr>
        <w:t>]</w:t>
      </w:r>
      <w:r w:rsidRPr="000B1539">
        <w:rPr>
          <w:snapToGrid w:val="0"/>
          <w:szCs w:val="22"/>
          <w:vertAlign w:val="superscript"/>
        </w:rPr>
        <w:t xml:space="preserve"> </w:t>
      </w:r>
    </w:p>
    <w:bookmarkEnd w:id="15"/>
    <w:p w14:paraId="13D0CB5A" w14:textId="5542E935" w:rsidR="00B83802" w:rsidRPr="004701EE" w:rsidRDefault="00B83802" w:rsidP="00E252EF">
      <w:pPr>
        <w:pStyle w:val="Para1"/>
        <w:numPr>
          <w:ilvl w:val="0"/>
          <w:numId w:val="0"/>
        </w:numPr>
        <w:ind w:left="567"/>
        <w:jc w:val="center"/>
      </w:pPr>
      <w:r w:rsidRPr="00CE5D44">
        <w:t>__________</w:t>
      </w:r>
    </w:p>
    <w:sectPr w:rsidR="00B83802" w:rsidRPr="004701EE" w:rsidSect="00F1568A">
      <w:headerReference w:type="even" r:id="rId13"/>
      <w:headerReference w:type="default" r:id="rId14"/>
      <w:footerReference w:type="even" r:id="rId15"/>
      <w:footerReference w:type="default" r:id="rId16"/>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C0570" w14:textId="77777777" w:rsidR="009C3792" w:rsidRDefault="009C3792" w:rsidP="00A96B21">
      <w:r>
        <w:separator/>
      </w:r>
    </w:p>
  </w:endnote>
  <w:endnote w:type="continuationSeparator" w:id="0">
    <w:p w14:paraId="31299FEE" w14:textId="77777777" w:rsidR="009C3792" w:rsidRDefault="009C3792" w:rsidP="00A96B21">
      <w:r>
        <w:continuationSeparator/>
      </w:r>
    </w:p>
  </w:endnote>
  <w:endnote w:type="continuationNotice" w:id="1">
    <w:p w14:paraId="21CEE443" w14:textId="77777777" w:rsidR="009C3792" w:rsidRDefault="009C3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2CBBADEC" w14:textId="77777777" w:rsidR="00E82C12" w:rsidRDefault="00E82C12">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6540A4EF" w14:textId="77777777" w:rsidR="00E82C12" w:rsidRDefault="00E82C12"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F9A66" w14:textId="77777777" w:rsidR="009C3792" w:rsidRDefault="009C3792" w:rsidP="00A96B21">
      <w:r>
        <w:separator/>
      </w:r>
    </w:p>
  </w:footnote>
  <w:footnote w:type="continuationSeparator" w:id="0">
    <w:p w14:paraId="16100EB3" w14:textId="77777777" w:rsidR="009C3792" w:rsidRDefault="009C3792" w:rsidP="00A96B21">
      <w:r>
        <w:continuationSeparator/>
      </w:r>
    </w:p>
  </w:footnote>
  <w:footnote w:type="continuationNotice" w:id="1">
    <w:p w14:paraId="75BE0D9E" w14:textId="77777777" w:rsidR="009C3792" w:rsidRDefault="009C3792"/>
  </w:footnote>
  <w:footnote w:id="2">
    <w:p w14:paraId="302A17C3" w14:textId="51CEA74A" w:rsidR="0048489A" w:rsidRPr="000B1539" w:rsidRDefault="0048489A">
      <w:pPr>
        <w:pStyle w:val="FootnoteText"/>
        <w:rPr>
          <w:lang w:val="en-US"/>
        </w:rPr>
      </w:pPr>
      <w:r>
        <w:rPr>
          <w:rStyle w:val="FootnoteReference"/>
        </w:rPr>
        <w:footnoteRef/>
      </w:r>
      <w:r>
        <w:t xml:space="preserve"> </w:t>
      </w:r>
      <w:r w:rsidR="00C505F0">
        <w:rPr>
          <w:lang w:val="en-US"/>
        </w:rPr>
        <w:t xml:space="preserve">United </w:t>
      </w:r>
      <w:r w:rsidR="00A92B0E">
        <w:rPr>
          <w:lang w:val="en-US"/>
        </w:rPr>
        <w:t>N</w:t>
      </w:r>
      <w:r w:rsidR="00C505F0">
        <w:rPr>
          <w:lang w:val="en-US"/>
        </w:rPr>
        <w:t xml:space="preserve">ations, </w:t>
      </w:r>
      <w:r w:rsidR="00C505F0" w:rsidRPr="000B1539">
        <w:rPr>
          <w:i/>
          <w:iCs/>
          <w:lang w:val="en-US"/>
        </w:rPr>
        <w:t>Treaty Series</w:t>
      </w:r>
      <w:r w:rsidR="00C505F0">
        <w:rPr>
          <w:lang w:val="en-US"/>
        </w:rPr>
        <w:t xml:space="preserve">, </w:t>
      </w:r>
      <w:r w:rsidR="00A92B0E">
        <w:rPr>
          <w:lang w:val="en-US"/>
        </w:rPr>
        <w:t>vol. 1760, No. 30619.</w:t>
      </w:r>
    </w:p>
  </w:footnote>
  <w:footnote w:id="3">
    <w:p w14:paraId="2FF36EC4" w14:textId="33B6FF9E" w:rsidR="003471ED" w:rsidRPr="000B1539" w:rsidRDefault="003471ED">
      <w:pPr>
        <w:pStyle w:val="FootnoteText"/>
        <w:rPr>
          <w:lang w:val="en-US"/>
        </w:rPr>
      </w:pPr>
      <w:r w:rsidRPr="000B1539">
        <w:rPr>
          <w:rStyle w:val="FootnoteReference"/>
        </w:rPr>
        <w:footnoteRef/>
      </w:r>
      <w:r w:rsidRPr="000B1539">
        <w:t xml:space="preserve"> </w:t>
      </w:r>
      <w:r w:rsidRPr="000B1539">
        <w:rPr>
          <w:sz w:val="18"/>
          <w:szCs w:val="18"/>
          <w:lang w:val="en-US"/>
        </w:rPr>
        <w:t>Decision 15/4, annex.</w:t>
      </w:r>
    </w:p>
  </w:footnote>
  <w:footnote w:id="4">
    <w:p w14:paraId="710D34EC" w14:textId="0788FF93" w:rsidR="00E82C12" w:rsidRPr="0034247C" w:rsidRDefault="00E82C12">
      <w:pPr>
        <w:pStyle w:val="FootnoteText"/>
        <w:rPr>
          <w:sz w:val="18"/>
          <w:szCs w:val="18"/>
          <w:lang w:val="en-US"/>
        </w:rPr>
      </w:pPr>
      <w:r w:rsidRPr="0034247C">
        <w:rPr>
          <w:rStyle w:val="FootnoteReference"/>
          <w:sz w:val="18"/>
          <w:szCs w:val="18"/>
        </w:rPr>
        <w:footnoteRef/>
      </w:r>
      <w:r w:rsidRPr="0034247C">
        <w:rPr>
          <w:sz w:val="18"/>
          <w:szCs w:val="18"/>
        </w:rPr>
        <w:t xml:space="preserve"> </w:t>
      </w:r>
      <w:r w:rsidR="000A48AD">
        <w:rPr>
          <w:sz w:val="18"/>
          <w:szCs w:val="18"/>
        </w:rPr>
        <w:t xml:space="preserve">See </w:t>
      </w:r>
      <w:r w:rsidR="000A48AD">
        <w:rPr>
          <w:sz w:val="18"/>
          <w:szCs w:val="18"/>
          <w:lang w:val="en-US"/>
        </w:rPr>
        <w:t>d</w:t>
      </w:r>
      <w:r w:rsidRPr="0034247C">
        <w:rPr>
          <w:sz w:val="18"/>
          <w:szCs w:val="18"/>
          <w:lang w:val="en-US"/>
        </w:rPr>
        <w:t>ecision 15/15, annex III.</w:t>
      </w:r>
    </w:p>
  </w:footnote>
  <w:footnote w:id="5">
    <w:p w14:paraId="2CABE870" w14:textId="608766BF" w:rsidR="00E82C12" w:rsidRPr="00F1568A" w:rsidRDefault="00E82C12">
      <w:pPr>
        <w:pStyle w:val="FootnoteText"/>
        <w:rPr>
          <w:sz w:val="18"/>
          <w:szCs w:val="18"/>
          <w:lang w:val="en-US"/>
        </w:rPr>
      </w:pPr>
      <w:r w:rsidRPr="0034247C">
        <w:rPr>
          <w:rStyle w:val="FootnoteReference"/>
          <w:sz w:val="18"/>
          <w:szCs w:val="18"/>
        </w:rPr>
        <w:footnoteRef/>
      </w:r>
      <w:r w:rsidRPr="0034247C">
        <w:rPr>
          <w:sz w:val="18"/>
          <w:szCs w:val="18"/>
        </w:rPr>
        <w:t xml:space="preserve"> </w:t>
      </w:r>
      <w:r w:rsidRPr="000B1539">
        <w:rPr>
          <w:sz w:val="18"/>
          <w:szCs w:val="18"/>
        </w:rPr>
        <w:t>CBD</w:t>
      </w:r>
      <w:r w:rsidRPr="0034247C">
        <w:rPr>
          <w:sz w:val="18"/>
          <w:szCs w:val="18"/>
        </w:rPr>
        <w:t>/</w:t>
      </w:r>
      <w:r w:rsidRPr="000B1539">
        <w:rPr>
          <w:sz w:val="18"/>
          <w:szCs w:val="18"/>
        </w:rPr>
        <w:t>SBI</w:t>
      </w:r>
      <w:r w:rsidRPr="0034247C">
        <w:rPr>
          <w:sz w:val="18"/>
          <w:szCs w:val="18"/>
        </w:rPr>
        <w:t>/4/6.</w:t>
      </w:r>
    </w:p>
  </w:footnote>
  <w:footnote w:id="6">
    <w:p w14:paraId="120E9B9E" w14:textId="756B7DE4" w:rsidR="00E82C12" w:rsidRPr="003D3F00" w:rsidRDefault="00E82C12">
      <w:pPr>
        <w:pStyle w:val="FootnoteText"/>
        <w:rPr>
          <w:sz w:val="18"/>
          <w:szCs w:val="18"/>
          <w:lang w:val="en-US"/>
        </w:rPr>
      </w:pPr>
      <w:r w:rsidRPr="00CA0D68">
        <w:rPr>
          <w:rStyle w:val="FootnoteReference"/>
          <w:sz w:val="18"/>
          <w:szCs w:val="18"/>
        </w:rPr>
        <w:footnoteRef/>
      </w:r>
      <w:r w:rsidRPr="00CA0D68">
        <w:rPr>
          <w:sz w:val="18"/>
          <w:szCs w:val="18"/>
        </w:rPr>
        <w:t xml:space="preserve"> </w:t>
      </w:r>
      <w:r w:rsidRPr="000B1539">
        <w:rPr>
          <w:sz w:val="18"/>
          <w:szCs w:val="18"/>
        </w:rPr>
        <w:t>CBD</w:t>
      </w:r>
      <w:r w:rsidRPr="00CA0D68">
        <w:rPr>
          <w:sz w:val="18"/>
          <w:szCs w:val="18"/>
        </w:rPr>
        <w:t>/</w:t>
      </w:r>
      <w:r w:rsidRPr="000B1539">
        <w:rPr>
          <w:sz w:val="18"/>
          <w:szCs w:val="18"/>
        </w:rPr>
        <w:t>SBI</w:t>
      </w:r>
      <w:r w:rsidRPr="00CA0D68">
        <w:rPr>
          <w:sz w:val="18"/>
          <w:szCs w:val="18"/>
        </w:rPr>
        <w:t>/4/6/Add.1.</w:t>
      </w:r>
    </w:p>
  </w:footnote>
  <w:footnote w:id="7">
    <w:p w14:paraId="21645D8D" w14:textId="7065C95B" w:rsidR="00D931FA" w:rsidRPr="000B1539" w:rsidRDefault="00D931FA">
      <w:pPr>
        <w:pStyle w:val="FootnoteText"/>
        <w:rPr>
          <w:lang w:val="en-US"/>
        </w:rPr>
      </w:pPr>
      <w:r>
        <w:rPr>
          <w:rStyle w:val="FootnoteReference"/>
        </w:rPr>
        <w:footnoteRef/>
      </w:r>
      <w:r>
        <w:t xml:space="preserve"> </w:t>
      </w:r>
      <w:r>
        <w:rPr>
          <w:lang w:val="en-US"/>
        </w:rPr>
        <w:t xml:space="preserve">United </w:t>
      </w:r>
      <w:r w:rsidR="00CB484C">
        <w:rPr>
          <w:lang w:val="en-US"/>
        </w:rPr>
        <w:t>N</w:t>
      </w:r>
      <w:r>
        <w:rPr>
          <w:lang w:val="en-US"/>
        </w:rPr>
        <w:t xml:space="preserve">ations, </w:t>
      </w:r>
      <w:r w:rsidRPr="000B1539">
        <w:rPr>
          <w:i/>
          <w:iCs/>
          <w:lang w:val="en-US"/>
        </w:rPr>
        <w:t>Treaty Series</w:t>
      </w:r>
      <w:r>
        <w:rPr>
          <w:lang w:val="en-US"/>
        </w:rPr>
        <w:t xml:space="preserve">, </w:t>
      </w:r>
      <w:r w:rsidR="00CB484C">
        <w:rPr>
          <w:lang w:val="en-US"/>
        </w:rPr>
        <w:t>vol, 2226, No. 30619.</w:t>
      </w:r>
    </w:p>
  </w:footnote>
  <w:footnote w:id="8">
    <w:p w14:paraId="73B3CA71" w14:textId="3E7F2885" w:rsidR="00CB484C" w:rsidRPr="000B1539" w:rsidRDefault="00CB484C">
      <w:pPr>
        <w:pStyle w:val="FootnoteText"/>
        <w:rPr>
          <w:lang w:val="en-US"/>
        </w:rPr>
      </w:pPr>
      <w:r>
        <w:rPr>
          <w:rStyle w:val="FootnoteReference"/>
        </w:rPr>
        <w:footnoteRef/>
      </w:r>
      <w:r>
        <w:t xml:space="preserve"> </w:t>
      </w:r>
      <w:r>
        <w:rPr>
          <w:lang w:val="en-US"/>
        </w:rPr>
        <w:t xml:space="preserve">Ibid., </w:t>
      </w:r>
      <w:r w:rsidR="00DD02B8">
        <w:rPr>
          <w:lang w:val="en-US"/>
        </w:rPr>
        <w:t>vol. 3008, No. 30619.</w:t>
      </w:r>
    </w:p>
  </w:footnote>
  <w:footnote w:id="9">
    <w:p w14:paraId="7C834962" w14:textId="5AB07513" w:rsidR="00E82C12" w:rsidRPr="009A7503" w:rsidRDefault="00E82C12" w:rsidP="003D3F00">
      <w:pPr>
        <w:keepLines/>
        <w:suppressLineNumbers/>
        <w:suppressAutoHyphens/>
        <w:rPr>
          <w:kern w:val="18"/>
          <w:sz w:val="18"/>
          <w:szCs w:val="18"/>
        </w:rPr>
      </w:pPr>
      <w:r w:rsidRPr="009A7503">
        <w:rPr>
          <w:rStyle w:val="FootnoteReference"/>
          <w:kern w:val="18"/>
          <w:sz w:val="18"/>
          <w:szCs w:val="18"/>
        </w:rPr>
        <w:footnoteRef/>
      </w:r>
      <w:r w:rsidRPr="009A7503">
        <w:rPr>
          <w:kern w:val="18"/>
          <w:sz w:val="18"/>
          <w:szCs w:val="18"/>
        </w:rPr>
        <w:t xml:space="preserve"> </w:t>
      </w:r>
      <w:r w:rsidRPr="009A7503">
        <w:rPr>
          <w:bCs/>
          <w:kern w:val="18"/>
          <w:sz w:val="18"/>
          <w:szCs w:val="18"/>
        </w:rPr>
        <w:t>Bearing in mind that additional elements for a draft decision will be elaborated prior to the sixteenth meeting of the Conference of the Parties.</w:t>
      </w:r>
    </w:p>
  </w:footnote>
  <w:footnote w:id="10">
    <w:p w14:paraId="24FB38C4" w14:textId="77777777" w:rsidR="00E82C12" w:rsidRPr="009A7503" w:rsidRDefault="00E82C12" w:rsidP="00106C5C">
      <w:pPr>
        <w:pStyle w:val="FootnoteText"/>
        <w:rPr>
          <w:lang w:val="en-US"/>
        </w:rPr>
      </w:pPr>
      <w:r w:rsidRPr="009A7503">
        <w:rPr>
          <w:rStyle w:val="FootnoteReference"/>
          <w:sz w:val="18"/>
          <w:szCs w:val="18"/>
        </w:rPr>
        <w:footnoteRef/>
      </w:r>
      <w:r w:rsidRPr="009A7503">
        <w:rPr>
          <w:sz w:val="18"/>
          <w:szCs w:val="18"/>
        </w:rPr>
        <w:t xml:space="preserve"> United Nations, </w:t>
      </w:r>
      <w:r w:rsidRPr="009A7503">
        <w:rPr>
          <w:i/>
          <w:iCs/>
          <w:sz w:val="18"/>
          <w:szCs w:val="18"/>
        </w:rPr>
        <w:t>Treaty Series</w:t>
      </w:r>
      <w:r w:rsidRPr="009A7503">
        <w:rPr>
          <w:sz w:val="18"/>
          <w:szCs w:val="18"/>
        </w:rPr>
        <w:t>, vol. 1760, No. 30619.</w:t>
      </w:r>
    </w:p>
  </w:footnote>
  <w:footnote w:id="11">
    <w:p w14:paraId="2C77F450" w14:textId="2830B586" w:rsidR="00E82C12" w:rsidRPr="009A7503" w:rsidRDefault="00E82C12">
      <w:pPr>
        <w:pStyle w:val="FootnoteText"/>
        <w:rPr>
          <w:sz w:val="18"/>
          <w:szCs w:val="18"/>
          <w:lang w:val="en-US"/>
        </w:rPr>
      </w:pPr>
      <w:r w:rsidRPr="009A7503">
        <w:rPr>
          <w:rStyle w:val="FootnoteReference"/>
          <w:sz w:val="18"/>
          <w:szCs w:val="18"/>
        </w:rPr>
        <w:footnoteRef/>
      </w:r>
      <w:r w:rsidRPr="009A7503">
        <w:rPr>
          <w:sz w:val="18"/>
          <w:szCs w:val="18"/>
        </w:rPr>
        <w:t xml:space="preserve"> Decision III/8, annex.</w:t>
      </w:r>
    </w:p>
  </w:footnote>
  <w:footnote w:id="12">
    <w:p w14:paraId="61350E65" w14:textId="1310CBAF" w:rsidR="00E82C12" w:rsidRPr="009A7503" w:rsidRDefault="00E82C12">
      <w:pPr>
        <w:pStyle w:val="FootnoteText"/>
        <w:rPr>
          <w:sz w:val="18"/>
          <w:szCs w:val="18"/>
          <w:lang w:val="en-US"/>
        </w:rPr>
      </w:pPr>
      <w:r w:rsidRPr="009A7503">
        <w:rPr>
          <w:rStyle w:val="FootnoteReference"/>
          <w:sz w:val="18"/>
          <w:szCs w:val="18"/>
        </w:rPr>
        <w:footnoteRef/>
      </w:r>
      <w:r w:rsidRPr="009A7503">
        <w:rPr>
          <w:sz w:val="18"/>
          <w:szCs w:val="18"/>
        </w:rPr>
        <w:t xml:space="preserve"> D</w:t>
      </w:r>
      <w:proofErr w:type="spellStart"/>
      <w:r w:rsidRPr="009A7503">
        <w:rPr>
          <w:sz w:val="18"/>
          <w:szCs w:val="18"/>
          <w:lang w:val="en-CA"/>
        </w:rPr>
        <w:t>ecision</w:t>
      </w:r>
      <w:proofErr w:type="spellEnd"/>
      <w:r w:rsidRPr="009A7503">
        <w:rPr>
          <w:sz w:val="18"/>
          <w:szCs w:val="18"/>
          <w:lang w:val="en-CA"/>
        </w:rPr>
        <w:t xml:space="preserve"> 15/15, annex III.</w:t>
      </w:r>
    </w:p>
  </w:footnote>
  <w:footnote w:id="13">
    <w:p w14:paraId="0FC83FD0" w14:textId="4F26A548" w:rsidR="00E82C12" w:rsidRPr="009A7503" w:rsidRDefault="00E82C12">
      <w:pPr>
        <w:pStyle w:val="FootnoteText"/>
        <w:rPr>
          <w:sz w:val="18"/>
          <w:szCs w:val="18"/>
          <w:lang w:val="en-US"/>
        </w:rPr>
      </w:pPr>
      <w:r w:rsidRPr="009A7503">
        <w:rPr>
          <w:rStyle w:val="FootnoteReference"/>
          <w:sz w:val="18"/>
          <w:szCs w:val="18"/>
        </w:rPr>
        <w:footnoteRef/>
      </w:r>
      <w:r w:rsidRPr="009A7503">
        <w:rPr>
          <w:sz w:val="18"/>
          <w:szCs w:val="18"/>
        </w:rPr>
        <w:t xml:space="preserve"> </w:t>
      </w:r>
      <w:r w:rsidRPr="000B1539">
        <w:rPr>
          <w:sz w:val="18"/>
          <w:szCs w:val="18"/>
        </w:rPr>
        <w:t>CBD</w:t>
      </w:r>
      <w:r w:rsidRPr="009A7503">
        <w:rPr>
          <w:sz w:val="18"/>
          <w:szCs w:val="18"/>
        </w:rPr>
        <w:t>/</w:t>
      </w:r>
      <w:r w:rsidRPr="000B1539">
        <w:rPr>
          <w:sz w:val="18"/>
          <w:szCs w:val="18"/>
        </w:rPr>
        <w:t>COP</w:t>
      </w:r>
      <w:r w:rsidRPr="009A7503">
        <w:rPr>
          <w:sz w:val="18"/>
          <w:szCs w:val="18"/>
        </w:rPr>
        <w:t>/16/--.</w:t>
      </w:r>
    </w:p>
  </w:footnote>
  <w:footnote w:id="14">
    <w:p w14:paraId="61B40930" w14:textId="24F82776" w:rsidR="00E82C12" w:rsidRPr="003D3F00" w:rsidRDefault="00E82C12">
      <w:pPr>
        <w:pStyle w:val="FootnoteText"/>
        <w:rPr>
          <w:lang w:val="en-US"/>
        </w:rPr>
      </w:pPr>
      <w:r w:rsidRPr="009A7503">
        <w:rPr>
          <w:rStyle w:val="FootnoteReference"/>
          <w:sz w:val="18"/>
          <w:szCs w:val="18"/>
        </w:rPr>
        <w:footnoteRef/>
      </w:r>
      <w:r w:rsidRPr="009A7503">
        <w:rPr>
          <w:sz w:val="18"/>
          <w:szCs w:val="18"/>
        </w:rPr>
        <w:t xml:space="preserve"> Decision 15/4, annex.</w:t>
      </w:r>
    </w:p>
  </w:footnote>
  <w:footnote w:id="15">
    <w:p w14:paraId="34E354E7" w14:textId="358810E8" w:rsidR="00E82C12" w:rsidRPr="00F1568A" w:rsidRDefault="00E82C12">
      <w:pPr>
        <w:pStyle w:val="FootnoteText"/>
        <w:rPr>
          <w:sz w:val="18"/>
          <w:szCs w:val="18"/>
          <w:lang w:val="en-US"/>
        </w:rPr>
      </w:pPr>
      <w:r w:rsidRPr="00F1568A">
        <w:rPr>
          <w:rStyle w:val="FootnoteReference"/>
          <w:sz w:val="18"/>
          <w:szCs w:val="18"/>
        </w:rPr>
        <w:footnoteRef/>
      </w:r>
      <w:r w:rsidRPr="00F1568A">
        <w:rPr>
          <w:sz w:val="18"/>
          <w:szCs w:val="18"/>
        </w:rPr>
        <w:t xml:space="preserve"> </w:t>
      </w:r>
      <w:r w:rsidRPr="00F1568A">
        <w:rPr>
          <w:color w:val="000000"/>
          <w:sz w:val="18"/>
          <w:szCs w:val="18"/>
        </w:rPr>
        <w:t xml:space="preserve">United Nations, </w:t>
      </w:r>
      <w:r w:rsidRPr="00F1568A">
        <w:rPr>
          <w:i/>
          <w:iCs/>
          <w:color w:val="000000"/>
          <w:sz w:val="18"/>
          <w:szCs w:val="18"/>
        </w:rPr>
        <w:t>Treaty Series</w:t>
      </w:r>
      <w:r w:rsidRPr="00F1568A">
        <w:rPr>
          <w:iCs/>
          <w:color w:val="000000"/>
          <w:sz w:val="18"/>
          <w:szCs w:val="18"/>
        </w:rPr>
        <w:t>,</w:t>
      </w:r>
      <w:r w:rsidRPr="00F1568A">
        <w:rPr>
          <w:i/>
          <w:iCs/>
          <w:color w:val="000000"/>
          <w:sz w:val="18"/>
          <w:szCs w:val="18"/>
        </w:rPr>
        <w:t xml:space="preserve"> </w:t>
      </w:r>
      <w:r w:rsidRPr="00F1568A">
        <w:rPr>
          <w:color w:val="000000"/>
          <w:sz w:val="18"/>
          <w:szCs w:val="18"/>
        </w:rPr>
        <w:t>vol. 2226, No. 30619.</w:t>
      </w:r>
    </w:p>
  </w:footnote>
  <w:footnote w:id="16">
    <w:p w14:paraId="37CFF857" w14:textId="6D9499E9" w:rsidR="00E82C12" w:rsidRPr="00F1568A" w:rsidRDefault="00E82C12">
      <w:pPr>
        <w:pStyle w:val="FootnoteText"/>
        <w:rPr>
          <w:sz w:val="18"/>
          <w:szCs w:val="18"/>
          <w:lang w:val="en-US"/>
        </w:rPr>
      </w:pPr>
      <w:r w:rsidRPr="00F1568A">
        <w:rPr>
          <w:rStyle w:val="FootnoteReference"/>
          <w:sz w:val="18"/>
          <w:szCs w:val="18"/>
        </w:rPr>
        <w:footnoteRef/>
      </w:r>
      <w:r w:rsidRPr="00F1568A">
        <w:rPr>
          <w:sz w:val="18"/>
          <w:szCs w:val="18"/>
        </w:rPr>
        <w:t xml:space="preserve"> </w:t>
      </w:r>
      <w:r w:rsidR="00BB0130">
        <w:rPr>
          <w:sz w:val="18"/>
          <w:szCs w:val="18"/>
        </w:rPr>
        <w:t>Ibid.</w:t>
      </w:r>
      <w:r w:rsidRPr="00F1568A">
        <w:rPr>
          <w:sz w:val="18"/>
          <w:szCs w:val="18"/>
        </w:rPr>
        <w:t>, vol. 3008, No. 30619.</w:t>
      </w:r>
    </w:p>
  </w:footnote>
  <w:footnote w:id="17">
    <w:p w14:paraId="16F85E34" w14:textId="57BAF6FD" w:rsidR="00E82C12" w:rsidRPr="004210D1" w:rsidRDefault="00E82C12">
      <w:pPr>
        <w:pStyle w:val="FootnoteText"/>
        <w:rPr>
          <w:sz w:val="18"/>
          <w:szCs w:val="18"/>
          <w:lang w:val="en-US"/>
        </w:rPr>
      </w:pPr>
      <w:r w:rsidRPr="004210D1">
        <w:rPr>
          <w:rStyle w:val="FootnoteReference"/>
          <w:sz w:val="18"/>
          <w:szCs w:val="18"/>
        </w:rPr>
        <w:footnoteRef/>
      </w:r>
      <w:r w:rsidRPr="004210D1">
        <w:rPr>
          <w:sz w:val="18"/>
          <w:szCs w:val="18"/>
        </w:rPr>
        <w:t xml:space="preserve"> </w:t>
      </w:r>
      <w:r w:rsidRPr="004210D1">
        <w:rPr>
          <w:sz w:val="18"/>
          <w:szCs w:val="18"/>
          <w:lang w:val="en-US"/>
        </w:rPr>
        <w:t xml:space="preserve">Decision </w:t>
      </w:r>
      <w:r w:rsidRPr="000B1539">
        <w:rPr>
          <w:sz w:val="18"/>
          <w:szCs w:val="18"/>
          <w:lang w:val="en-US"/>
        </w:rPr>
        <w:t>CP</w:t>
      </w:r>
      <w:r w:rsidRPr="004210D1">
        <w:rPr>
          <w:sz w:val="18"/>
          <w:szCs w:val="18"/>
          <w:lang w:val="en-US"/>
        </w:rPr>
        <w:t>-10/3, annex.</w:t>
      </w:r>
    </w:p>
  </w:footnote>
  <w:footnote w:id="18">
    <w:p w14:paraId="25B9F819" w14:textId="77777777" w:rsidR="00E82C12" w:rsidRPr="004210D1" w:rsidRDefault="00E82C12" w:rsidP="00B10113">
      <w:pPr>
        <w:pStyle w:val="FootnoteText"/>
        <w:rPr>
          <w:sz w:val="18"/>
          <w:szCs w:val="18"/>
          <w:lang w:val="en-US"/>
        </w:rPr>
      </w:pPr>
      <w:r w:rsidRPr="004210D1">
        <w:rPr>
          <w:rStyle w:val="FootnoteReference"/>
          <w:sz w:val="18"/>
          <w:szCs w:val="18"/>
        </w:rPr>
        <w:footnoteRef/>
      </w:r>
      <w:r w:rsidRPr="004210D1">
        <w:rPr>
          <w:sz w:val="18"/>
          <w:szCs w:val="18"/>
        </w:rPr>
        <w:t xml:space="preserve"> </w:t>
      </w:r>
      <w:r w:rsidRPr="004210D1">
        <w:rPr>
          <w:sz w:val="18"/>
          <w:szCs w:val="18"/>
          <w:lang w:val="en-US"/>
        </w:rPr>
        <w:t xml:space="preserve">Decision </w:t>
      </w:r>
      <w:r w:rsidRPr="000B1539">
        <w:rPr>
          <w:sz w:val="18"/>
          <w:szCs w:val="18"/>
          <w:lang w:val="en-US"/>
        </w:rPr>
        <w:t>CP</w:t>
      </w:r>
      <w:r w:rsidRPr="004210D1">
        <w:rPr>
          <w:sz w:val="18"/>
          <w:szCs w:val="18"/>
          <w:lang w:val="en-US"/>
        </w:rPr>
        <w:t>-10/4, annex.</w:t>
      </w:r>
    </w:p>
  </w:footnote>
  <w:footnote w:id="19">
    <w:p w14:paraId="7E6C87A6" w14:textId="7974AD4E" w:rsidR="00E82C12" w:rsidRPr="004210D1" w:rsidRDefault="00E82C12">
      <w:pPr>
        <w:pStyle w:val="FootnoteText"/>
        <w:rPr>
          <w:sz w:val="18"/>
          <w:szCs w:val="18"/>
        </w:rPr>
      </w:pPr>
      <w:r w:rsidRPr="004210D1">
        <w:rPr>
          <w:rStyle w:val="FootnoteReference"/>
          <w:sz w:val="18"/>
          <w:szCs w:val="18"/>
        </w:rPr>
        <w:footnoteRef/>
      </w:r>
      <w:r w:rsidRPr="004210D1">
        <w:rPr>
          <w:sz w:val="18"/>
          <w:szCs w:val="18"/>
        </w:rPr>
        <w:t xml:space="preserve"> This would be subject to review by the Conference of the Parties at its sixteenth meeting in the light of developments at the second meeting of the </w:t>
      </w:r>
      <w:r w:rsidR="00662125" w:rsidRPr="004210D1">
        <w:rPr>
          <w:sz w:val="18"/>
          <w:szCs w:val="18"/>
        </w:rPr>
        <w:t xml:space="preserve">Council </w:t>
      </w:r>
      <w:r w:rsidR="00CA68A4">
        <w:rPr>
          <w:sz w:val="18"/>
          <w:szCs w:val="18"/>
        </w:rPr>
        <w:t xml:space="preserve">of the </w:t>
      </w:r>
      <w:r w:rsidRPr="004210D1">
        <w:rPr>
          <w:sz w:val="18"/>
          <w:szCs w:val="18"/>
        </w:rPr>
        <w:t xml:space="preserve">Global Biodiversity Framework </w:t>
      </w:r>
      <w:r w:rsidRPr="000B1539">
        <w:rPr>
          <w:sz w:val="18"/>
          <w:szCs w:val="18"/>
        </w:rPr>
        <w:t>Fund</w:t>
      </w:r>
      <w:r w:rsidRPr="004210D1">
        <w:rPr>
          <w:sz w:val="18"/>
          <w:szCs w:val="18"/>
        </w:rPr>
        <w:t xml:space="preserve">, to be held in </w:t>
      </w:r>
      <w:r w:rsidRPr="000B1539">
        <w:rPr>
          <w:sz w:val="18"/>
          <w:szCs w:val="18"/>
        </w:rPr>
        <w:t>Washington</w:t>
      </w:r>
      <w:r w:rsidR="00317FAB">
        <w:rPr>
          <w:sz w:val="18"/>
          <w:szCs w:val="18"/>
        </w:rPr>
        <w:t>,</w:t>
      </w:r>
      <w:r w:rsidRPr="000B1539">
        <w:rPr>
          <w:sz w:val="18"/>
          <w:szCs w:val="18"/>
        </w:rPr>
        <w:t xml:space="preserve"> D.C.</w:t>
      </w:r>
      <w:r w:rsidRPr="004210D1">
        <w:rPr>
          <w:sz w:val="18"/>
          <w:szCs w:val="18"/>
        </w:rPr>
        <w:t xml:space="preserve"> on 19 June 2024.</w:t>
      </w:r>
    </w:p>
  </w:footnote>
  <w:footnote w:id="20">
    <w:p w14:paraId="3C2AF5AB" w14:textId="4C6102A8" w:rsidR="00805787" w:rsidRPr="004210D1" w:rsidRDefault="00805787" w:rsidP="00805787">
      <w:pPr>
        <w:pStyle w:val="FootnoteText"/>
        <w:rPr>
          <w:sz w:val="18"/>
          <w:szCs w:val="18"/>
          <w:lang w:val="en-US"/>
        </w:rPr>
      </w:pPr>
      <w:r w:rsidRPr="004210D1">
        <w:rPr>
          <w:rStyle w:val="FootnoteReference"/>
          <w:sz w:val="18"/>
          <w:szCs w:val="18"/>
        </w:rPr>
        <w:footnoteRef/>
      </w:r>
      <w:r w:rsidRPr="004210D1">
        <w:rPr>
          <w:sz w:val="18"/>
          <w:szCs w:val="18"/>
        </w:rPr>
        <w:t xml:space="preserve"> Amount as </w:t>
      </w:r>
      <w:r w:rsidR="00047E55">
        <w:rPr>
          <w:sz w:val="18"/>
          <w:szCs w:val="18"/>
        </w:rPr>
        <w:t>at</w:t>
      </w:r>
      <w:r w:rsidRPr="004210D1">
        <w:rPr>
          <w:sz w:val="18"/>
          <w:szCs w:val="18"/>
        </w:rPr>
        <w:t xml:space="preserve"> 27 May 2024 </w:t>
      </w:r>
      <w:r w:rsidR="001C2ADD">
        <w:rPr>
          <w:sz w:val="18"/>
          <w:szCs w:val="18"/>
        </w:rPr>
        <w:t xml:space="preserve">based on the </w:t>
      </w:r>
      <w:r w:rsidRPr="004210D1">
        <w:rPr>
          <w:sz w:val="18"/>
          <w:szCs w:val="18"/>
        </w:rPr>
        <w:t>exchange rate</w:t>
      </w:r>
      <w:r w:rsidR="00804B6C" w:rsidRPr="004210D1">
        <w:rPr>
          <w:sz w:val="18"/>
          <w:szCs w:val="18"/>
        </w:rPr>
        <w:t xml:space="preserve"> </w:t>
      </w:r>
      <w:r w:rsidR="001C2ADD">
        <w:rPr>
          <w:sz w:val="18"/>
          <w:szCs w:val="18"/>
        </w:rPr>
        <w:t>at the time</w:t>
      </w:r>
      <w:r w:rsidRPr="004210D1">
        <w:rPr>
          <w:sz w:val="18"/>
          <w:szCs w:val="18"/>
        </w:rPr>
        <w:t>.</w:t>
      </w:r>
    </w:p>
  </w:footnote>
  <w:footnote w:id="21">
    <w:p w14:paraId="6587CB40" w14:textId="6E12FCA6" w:rsidR="00E82C12" w:rsidRPr="000D6CCC" w:rsidRDefault="00E82C12">
      <w:pPr>
        <w:pStyle w:val="FootnoteText"/>
      </w:pPr>
      <w:r w:rsidRPr="004210D1">
        <w:rPr>
          <w:rStyle w:val="FootnoteReference"/>
          <w:sz w:val="18"/>
          <w:szCs w:val="18"/>
        </w:rPr>
        <w:footnoteRef/>
      </w:r>
      <w:r w:rsidRPr="004210D1">
        <w:rPr>
          <w:sz w:val="18"/>
          <w:szCs w:val="18"/>
        </w:rPr>
        <w:t xml:space="preserve"> The list of donors and the total amount of contributions to the Global Biodiversity Framework </w:t>
      </w:r>
      <w:r w:rsidRPr="000B1539">
        <w:rPr>
          <w:sz w:val="18"/>
          <w:szCs w:val="18"/>
        </w:rPr>
        <w:t xml:space="preserve">Fund </w:t>
      </w:r>
      <w:r w:rsidRPr="004210D1">
        <w:rPr>
          <w:sz w:val="18"/>
          <w:szCs w:val="18"/>
        </w:rPr>
        <w:t>would be updated to reflect the situation at the time of the adoption of the decision by the Conference of the Parties at its sixteenth meeting.</w:t>
      </w:r>
    </w:p>
  </w:footnote>
  <w:footnote w:id="22">
    <w:p w14:paraId="1BE76338" w14:textId="61CBA9A9" w:rsidR="00E82C12" w:rsidRPr="007508AA" w:rsidRDefault="00E82C12">
      <w:pPr>
        <w:pStyle w:val="FootnoteText"/>
      </w:pPr>
      <w:r>
        <w:rPr>
          <w:rStyle w:val="FootnoteReference"/>
        </w:rPr>
        <w:footnoteRef/>
      </w:r>
      <w:r>
        <w:t xml:space="preserve"> </w:t>
      </w:r>
      <w:r w:rsidRPr="007E7A9A">
        <w:rPr>
          <w:sz w:val="18"/>
          <w:szCs w:val="18"/>
        </w:rPr>
        <w:t xml:space="preserve">Decision </w:t>
      </w:r>
      <w:r w:rsidRPr="007E1A82">
        <w:rPr>
          <w:sz w:val="18"/>
          <w:szCs w:val="18"/>
        </w:rPr>
        <w:t>III</w:t>
      </w:r>
      <w:r w:rsidRPr="007E7A9A">
        <w:rPr>
          <w:sz w:val="18"/>
          <w:szCs w:val="18"/>
        </w:rPr>
        <w:t>/8, annex.</w:t>
      </w:r>
    </w:p>
  </w:footnote>
  <w:footnote w:id="23">
    <w:p w14:paraId="726D53AF" w14:textId="59CCEFCB" w:rsidR="00E82C12" w:rsidRPr="00F1568A" w:rsidRDefault="00E82C12">
      <w:pPr>
        <w:pStyle w:val="FootnoteText"/>
        <w:rPr>
          <w:sz w:val="18"/>
          <w:szCs w:val="18"/>
        </w:rPr>
      </w:pPr>
      <w:r w:rsidRPr="00F1568A">
        <w:rPr>
          <w:rStyle w:val="FootnoteReference"/>
          <w:sz w:val="18"/>
          <w:szCs w:val="18"/>
        </w:rPr>
        <w:footnoteRef/>
      </w:r>
      <w:r w:rsidRPr="00F1568A">
        <w:rPr>
          <w:sz w:val="18"/>
          <w:szCs w:val="18"/>
        </w:rPr>
        <w:t xml:space="preserve"> This is a placeholder for consideration at the sixteenth meeting of the Conference of the Parties of the report on funding needs for the ninth </w:t>
      </w:r>
      <w:r w:rsidRPr="00F2592B">
        <w:rPr>
          <w:sz w:val="18"/>
          <w:szCs w:val="18"/>
        </w:rPr>
        <w:t xml:space="preserve">replenishment of the </w:t>
      </w:r>
      <w:r w:rsidRPr="000B1539">
        <w:rPr>
          <w:sz w:val="18"/>
          <w:szCs w:val="18"/>
        </w:rPr>
        <w:t>Global Environment Facility</w:t>
      </w:r>
      <w:r w:rsidRPr="00F2592B">
        <w:rPr>
          <w:sz w:val="18"/>
          <w:szCs w:val="18"/>
        </w:rPr>
        <w:t xml:space="preserve"> </w:t>
      </w:r>
      <w:r w:rsidRPr="000B1539">
        <w:rPr>
          <w:sz w:val="18"/>
          <w:szCs w:val="18"/>
        </w:rPr>
        <w:t>Trust Fund</w:t>
      </w:r>
      <w:r w:rsidRPr="00F2592B">
        <w:rPr>
          <w:sz w:val="18"/>
          <w:szCs w:val="18"/>
        </w:rPr>
        <w:t>, which will be based on whatever information is available at that time.</w:t>
      </w:r>
    </w:p>
  </w:footnote>
  <w:footnote w:id="24">
    <w:p w14:paraId="330CFCD4" w14:textId="73ABB1E4" w:rsidR="00E82C12" w:rsidRPr="00E064EF" w:rsidRDefault="00E82C12" w:rsidP="007972C4">
      <w:pPr>
        <w:pStyle w:val="FootnoteText"/>
        <w:rPr>
          <w:sz w:val="18"/>
          <w:szCs w:val="18"/>
          <w:lang w:val="en-US"/>
        </w:rPr>
      </w:pPr>
      <w:r w:rsidRPr="00D053E3">
        <w:rPr>
          <w:rStyle w:val="FootnoteReference"/>
          <w:sz w:val="18"/>
          <w:szCs w:val="18"/>
        </w:rPr>
        <w:footnoteRef/>
      </w:r>
      <w:r w:rsidRPr="00D053E3">
        <w:rPr>
          <w:sz w:val="18"/>
          <w:szCs w:val="18"/>
        </w:rPr>
        <w:t xml:space="preserve"> </w:t>
      </w:r>
      <w:r w:rsidRPr="00097521">
        <w:rPr>
          <w:sz w:val="18"/>
          <w:szCs w:val="18"/>
          <w:lang w:val="en-US"/>
        </w:rPr>
        <w:t>This may include</w:t>
      </w:r>
      <w:r w:rsidRPr="00D053E3">
        <w:rPr>
          <w:sz w:val="18"/>
          <w:szCs w:val="18"/>
          <w:lang w:val="en-US"/>
        </w:rPr>
        <w:t xml:space="preserve"> </w:t>
      </w:r>
      <w:r w:rsidR="002D7E8B">
        <w:rPr>
          <w:sz w:val="18"/>
          <w:szCs w:val="18"/>
          <w:lang w:val="en-US"/>
        </w:rPr>
        <w:t xml:space="preserve">additional </w:t>
      </w:r>
      <w:r w:rsidRPr="00D053E3">
        <w:rPr>
          <w:sz w:val="18"/>
          <w:szCs w:val="18"/>
          <w:lang w:val="en-US"/>
        </w:rPr>
        <w:t xml:space="preserve">guidance </w:t>
      </w:r>
      <w:r w:rsidR="009909D8">
        <w:rPr>
          <w:sz w:val="18"/>
          <w:szCs w:val="18"/>
          <w:lang w:val="en-US"/>
        </w:rPr>
        <w:t xml:space="preserve">developed </w:t>
      </w:r>
      <w:r w:rsidRPr="0022307D">
        <w:rPr>
          <w:sz w:val="18"/>
          <w:szCs w:val="18"/>
          <w:lang w:val="en-US"/>
        </w:rPr>
        <w:t xml:space="preserve">in the light of </w:t>
      </w:r>
      <w:r w:rsidR="009909D8">
        <w:rPr>
          <w:sz w:val="18"/>
          <w:szCs w:val="18"/>
          <w:lang w:val="en-US"/>
        </w:rPr>
        <w:t xml:space="preserve">the </w:t>
      </w:r>
      <w:r w:rsidRPr="0022307D">
        <w:rPr>
          <w:sz w:val="18"/>
          <w:szCs w:val="18"/>
          <w:lang w:val="en-US"/>
        </w:rPr>
        <w:t xml:space="preserve">consideration of </w:t>
      </w:r>
      <w:r w:rsidR="00771F03">
        <w:rPr>
          <w:sz w:val="18"/>
          <w:szCs w:val="18"/>
          <w:lang w:val="en-US"/>
        </w:rPr>
        <w:t xml:space="preserve">other items </w:t>
      </w:r>
      <w:r w:rsidR="00A96DEC">
        <w:rPr>
          <w:sz w:val="18"/>
          <w:szCs w:val="18"/>
          <w:lang w:val="en-US"/>
        </w:rPr>
        <w:t xml:space="preserve">of the </w:t>
      </w:r>
      <w:r w:rsidRPr="0022307D">
        <w:rPr>
          <w:sz w:val="18"/>
          <w:szCs w:val="18"/>
          <w:lang w:val="en-US"/>
        </w:rPr>
        <w:t xml:space="preserve">agenda </w:t>
      </w:r>
      <w:r w:rsidRPr="003D3F00">
        <w:rPr>
          <w:sz w:val="18"/>
          <w:szCs w:val="18"/>
          <w:lang w:val="en-US"/>
        </w:rPr>
        <w:t xml:space="preserve">of the sixteenth meeting of the Conference of </w:t>
      </w:r>
      <w:r w:rsidRPr="00E064EF">
        <w:rPr>
          <w:sz w:val="18"/>
          <w:szCs w:val="18"/>
          <w:lang w:val="en-US"/>
        </w:rPr>
        <w:t>the Parties</w:t>
      </w:r>
      <w:r>
        <w:rPr>
          <w:sz w:val="18"/>
          <w:szCs w:val="18"/>
          <w:lang w:val="en-US"/>
        </w:rPr>
        <w:t xml:space="preserve">, </w:t>
      </w:r>
      <w:r w:rsidRPr="00E064EF">
        <w:rPr>
          <w:sz w:val="18"/>
          <w:szCs w:val="18"/>
          <w:lang w:val="en-US"/>
        </w:rPr>
        <w:t xml:space="preserve">as well as decisions of the Conference of the Parties serving as the meeting of the Parties to the Cartagena Protocol at its eleventh meeting and the Conference of the Parties serving as the meeting of the Parties to the </w:t>
      </w:r>
      <w:r w:rsidR="009D42DB">
        <w:rPr>
          <w:sz w:val="18"/>
          <w:szCs w:val="18"/>
          <w:lang w:val="en-US"/>
        </w:rPr>
        <w:t xml:space="preserve">Nagoya </w:t>
      </w:r>
      <w:r w:rsidRPr="00E064EF">
        <w:rPr>
          <w:sz w:val="18"/>
          <w:szCs w:val="18"/>
          <w:lang w:val="en-US"/>
        </w:rPr>
        <w:t>Protocol at its fifth meeting.</w:t>
      </w:r>
    </w:p>
  </w:footnote>
  <w:footnote w:id="25">
    <w:p w14:paraId="6239C8AE" w14:textId="0E9D07DE" w:rsidR="00E82C12" w:rsidRPr="001D6739" w:rsidRDefault="00E82C12">
      <w:pPr>
        <w:pStyle w:val="FootnoteText"/>
      </w:pPr>
      <w:r w:rsidRPr="00F1568A">
        <w:rPr>
          <w:rStyle w:val="FootnoteReference"/>
          <w:sz w:val="18"/>
          <w:szCs w:val="18"/>
        </w:rPr>
        <w:footnoteRef/>
      </w:r>
      <w:r w:rsidRPr="00F1568A">
        <w:rPr>
          <w:sz w:val="18"/>
          <w:szCs w:val="18"/>
        </w:rPr>
        <w:t xml:space="preserve"> </w:t>
      </w:r>
      <w:r>
        <w:rPr>
          <w:sz w:val="18"/>
          <w:szCs w:val="18"/>
        </w:rPr>
        <w:t>P</w:t>
      </w:r>
      <w:r w:rsidRPr="00F1568A">
        <w:rPr>
          <w:sz w:val="18"/>
          <w:szCs w:val="18"/>
        </w:rPr>
        <w:t>laceholder for responding to the sixth review of effectiveness of the financial mechanism</w:t>
      </w:r>
      <w:r w:rsidR="002611E9">
        <w:rPr>
          <w:sz w:val="18"/>
          <w:szCs w:val="18"/>
        </w:rPr>
        <w:t>,</w:t>
      </w:r>
      <w:r w:rsidRPr="00F1568A">
        <w:rPr>
          <w:sz w:val="18"/>
          <w:szCs w:val="18"/>
        </w:rPr>
        <w:t xml:space="preserve"> to be submitted for </w:t>
      </w:r>
      <w:r w:rsidR="002611E9">
        <w:rPr>
          <w:sz w:val="18"/>
          <w:szCs w:val="18"/>
        </w:rPr>
        <w:t xml:space="preserve">the </w:t>
      </w:r>
      <w:r w:rsidRPr="00F1568A">
        <w:rPr>
          <w:sz w:val="18"/>
          <w:szCs w:val="18"/>
        </w:rPr>
        <w:t>consideration of the Conference of the Parties at its sixteenth meeting.</w:t>
      </w:r>
    </w:p>
  </w:footnote>
  <w:footnote w:id="26">
    <w:p w14:paraId="36014A8A" w14:textId="60D82FB1" w:rsidR="00E82C12" w:rsidRPr="00F1568A" w:rsidRDefault="00E82C12">
      <w:pPr>
        <w:pStyle w:val="FootnoteText"/>
        <w:rPr>
          <w:sz w:val="18"/>
          <w:szCs w:val="18"/>
          <w:lang w:val="en-US"/>
        </w:rPr>
      </w:pPr>
      <w:r w:rsidRPr="00F1568A">
        <w:rPr>
          <w:rStyle w:val="FootnoteReference"/>
          <w:sz w:val="18"/>
          <w:szCs w:val="18"/>
        </w:rPr>
        <w:footnoteRef/>
      </w:r>
      <w:r w:rsidRPr="00F1568A">
        <w:rPr>
          <w:sz w:val="18"/>
          <w:szCs w:val="18"/>
        </w:rPr>
        <w:t xml:space="preserve"> </w:t>
      </w:r>
      <w:r w:rsidRPr="00F1568A">
        <w:rPr>
          <w:color w:val="000000"/>
          <w:sz w:val="18"/>
          <w:szCs w:val="18"/>
        </w:rPr>
        <w:t xml:space="preserve">United Nations, </w:t>
      </w:r>
      <w:r w:rsidRPr="00F1568A">
        <w:rPr>
          <w:i/>
          <w:iCs/>
          <w:color w:val="000000"/>
          <w:sz w:val="18"/>
          <w:szCs w:val="18"/>
        </w:rPr>
        <w:t>Treaty Series</w:t>
      </w:r>
      <w:r w:rsidRPr="00F1568A">
        <w:rPr>
          <w:iCs/>
          <w:color w:val="000000"/>
          <w:sz w:val="18"/>
          <w:szCs w:val="18"/>
        </w:rPr>
        <w:t>,</w:t>
      </w:r>
      <w:r w:rsidRPr="00F1568A">
        <w:rPr>
          <w:i/>
          <w:iCs/>
          <w:color w:val="000000"/>
          <w:sz w:val="18"/>
          <w:szCs w:val="18"/>
        </w:rPr>
        <w:t xml:space="preserve"> </w:t>
      </w:r>
      <w:r w:rsidRPr="00F1568A">
        <w:rPr>
          <w:color w:val="000000"/>
          <w:sz w:val="18"/>
          <w:szCs w:val="18"/>
        </w:rPr>
        <w:t>vol. 1760, No. 30619.</w:t>
      </w:r>
    </w:p>
  </w:footnote>
  <w:footnote w:id="27">
    <w:p w14:paraId="0094304E" w14:textId="41D1F152" w:rsidR="00E82C12" w:rsidRPr="00F1568A" w:rsidRDefault="00E82C12">
      <w:pPr>
        <w:pStyle w:val="FootnoteText"/>
        <w:rPr>
          <w:sz w:val="18"/>
          <w:szCs w:val="18"/>
          <w:lang w:val="en-US"/>
        </w:rPr>
      </w:pPr>
      <w:r w:rsidRPr="00F1568A">
        <w:rPr>
          <w:rStyle w:val="FootnoteReference"/>
          <w:sz w:val="18"/>
          <w:szCs w:val="18"/>
        </w:rPr>
        <w:footnoteRef/>
      </w:r>
      <w:r w:rsidRPr="00F1568A">
        <w:rPr>
          <w:sz w:val="18"/>
          <w:szCs w:val="18"/>
        </w:rPr>
        <w:t xml:space="preserve"> Decision </w:t>
      </w:r>
      <w:r w:rsidRPr="007E1A82">
        <w:rPr>
          <w:sz w:val="18"/>
          <w:szCs w:val="18"/>
        </w:rPr>
        <w:t>III</w:t>
      </w:r>
      <w:r w:rsidRPr="00F1568A">
        <w:rPr>
          <w:sz w:val="18"/>
          <w:szCs w:val="18"/>
        </w:rPr>
        <w:t>/8, annex.</w:t>
      </w:r>
    </w:p>
  </w:footnote>
  <w:footnote w:id="28">
    <w:p w14:paraId="52E5E29A" w14:textId="6F8A59F3" w:rsidR="0094443F" w:rsidRPr="000B1539" w:rsidRDefault="0094443F">
      <w:pPr>
        <w:pStyle w:val="FootnoteText"/>
        <w:rPr>
          <w:lang w:val="en-US"/>
        </w:rPr>
      </w:pPr>
      <w:r>
        <w:rPr>
          <w:rStyle w:val="FootnoteReference"/>
        </w:rPr>
        <w:footnoteRef/>
      </w:r>
      <w:r>
        <w:t xml:space="preserve"> </w:t>
      </w:r>
      <w:r>
        <w:rPr>
          <w:lang w:val="en-US"/>
        </w:rPr>
        <w:t>Decision 15/4, annex.</w:t>
      </w:r>
    </w:p>
  </w:footnote>
  <w:footnote w:id="29">
    <w:p w14:paraId="53659E1A" w14:textId="189FA1F6" w:rsidR="00E82C12" w:rsidRPr="006E11B7" w:rsidRDefault="00E82C12" w:rsidP="00B83802">
      <w:pPr>
        <w:pStyle w:val="FootnoteText"/>
        <w:rPr>
          <w:sz w:val="18"/>
          <w:szCs w:val="18"/>
          <w:lang w:val="en-US"/>
        </w:rPr>
      </w:pPr>
      <w:r w:rsidRPr="006E11B7">
        <w:rPr>
          <w:rStyle w:val="FootnoteReference"/>
          <w:sz w:val="18"/>
          <w:szCs w:val="18"/>
        </w:rPr>
        <w:footnoteRef/>
      </w:r>
      <w:r w:rsidRPr="006E11B7">
        <w:rPr>
          <w:sz w:val="18"/>
          <w:szCs w:val="18"/>
        </w:rPr>
        <w:t xml:space="preserve"> </w:t>
      </w:r>
      <w:r w:rsidRPr="006E11B7">
        <w:rPr>
          <w:sz w:val="18"/>
          <w:szCs w:val="18"/>
          <w:lang w:val="en-US"/>
        </w:rPr>
        <w:t>Decisions 15/7 and 16/--.</w:t>
      </w:r>
    </w:p>
  </w:footnote>
  <w:footnote w:id="30">
    <w:p w14:paraId="7C6F1B8A" w14:textId="77777777" w:rsidR="00E82C12" w:rsidRPr="006E11B7" w:rsidRDefault="00E82C12" w:rsidP="00B83802">
      <w:pPr>
        <w:pStyle w:val="FootnoteText"/>
        <w:rPr>
          <w:sz w:val="18"/>
          <w:szCs w:val="18"/>
          <w:lang w:val="en-US"/>
        </w:rPr>
      </w:pPr>
      <w:r w:rsidRPr="006E11B7">
        <w:rPr>
          <w:rStyle w:val="FootnoteReference"/>
          <w:sz w:val="18"/>
          <w:szCs w:val="18"/>
        </w:rPr>
        <w:footnoteRef/>
      </w:r>
      <w:r w:rsidRPr="006E11B7">
        <w:rPr>
          <w:sz w:val="18"/>
          <w:szCs w:val="18"/>
        </w:rPr>
        <w:t xml:space="preserve"> </w:t>
      </w:r>
      <w:r w:rsidRPr="006E11B7">
        <w:rPr>
          <w:sz w:val="18"/>
          <w:szCs w:val="18"/>
          <w:lang w:val="en-US"/>
        </w:rPr>
        <w:t>Decision 15/8, annex I.</w:t>
      </w:r>
    </w:p>
  </w:footnote>
  <w:footnote w:id="31">
    <w:p w14:paraId="50EAB1B5" w14:textId="3F1515F0" w:rsidR="00E82C12" w:rsidRPr="006E11B7" w:rsidRDefault="00E82C12">
      <w:pPr>
        <w:pStyle w:val="FootnoteText"/>
        <w:rPr>
          <w:sz w:val="18"/>
          <w:szCs w:val="18"/>
        </w:rPr>
      </w:pPr>
      <w:r w:rsidRPr="006E11B7">
        <w:rPr>
          <w:rStyle w:val="FootnoteReference"/>
          <w:sz w:val="18"/>
          <w:szCs w:val="18"/>
        </w:rPr>
        <w:footnoteRef/>
      </w:r>
      <w:r w:rsidRPr="006E11B7">
        <w:rPr>
          <w:sz w:val="18"/>
          <w:szCs w:val="18"/>
        </w:rPr>
        <w:t xml:space="preserve"> </w:t>
      </w:r>
      <w:r w:rsidRPr="006E11B7">
        <w:rPr>
          <w:sz w:val="18"/>
          <w:szCs w:val="18"/>
          <w:lang w:val="en-US"/>
        </w:rPr>
        <w:t>Decisions 15/8 and 16/--.</w:t>
      </w:r>
    </w:p>
  </w:footnote>
  <w:footnote w:id="32">
    <w:p w14:paraId="2E8CA255" w14:textId="26F75B2D" w:rsidR="00E82C12" w:rsidRPr="006E11B7" w:rsidRDefault="00E82C12">
      <w:pPr>
        <w:pStyle w:val="FootnoteText"/>
        <w:rPr>
          <w:sz w:val="18"/>
          <w:szCs w:val="18"/>
        </w:rPr>
      </w:pPr>
      <w:r w:rsidRPr="006E11B7">
        <w:rPr>
          <w:rStyle w:val="FootnoteReference"/>
          <w:sz w:val="18"/>
          <w:szCs w:val="18"/>
        </w:rPr>
        <w:footnoteRef/>
      </w:r>
      <w:r w:rsidRPr="006E11B7">
        <w:rPr>
          <w:sz w:val="18"/>
          <w:szCs w:val="18"/>
        </w:rPr>
        <w:t xml:space="preserve"> </w:t>
      </w:r>
      <w:r w:rsidRPr="006E11B7">
        <w:rPr>
          <w:sz w:val="18"/>
          <w:szCs w:val="18"/>
          <w:lang w:val="en-US"/>
        </w:rPr>
        <w:t>Decision 16/--.</w:t>
      </w:r>
    </w:p>
  </w:footnote>
  <w:footnote w:id="33">
    <w:p w14:paraId="4D808401" w14:textId="77777777" w:rsidR="00E82C12" w:rsidRPr="006E11B7" w:rsidRDefault="00E82C12" w:rsidP="00B83802">
      <w:pPr>
        <w:pStyle w:val="FootnoteText"/>
        <w:rPr>
          <w:sz w:val="18"/>
          <w:szCs w:val="18"/>
          <w:lang w:val="en-US"/>
        </w:rPr>
      </w:pPr>
      <w:r w:rsidRPr="006E11B7">
        <w:rPr>
          <w:rStyle w:val="FootnoteReference"/>
          <w:sz w:val="18"/>
          <w:szCs w:val="18"/>
        </w:rPr>
        <w:footnoteRef/>
      </w:r>
      <w:r w:rsidRPr="006E11B7">
        <w:rPr>
          <w:sz w:val="18"/>
          <w:szCs w:val="18"/>
        </w:rPr>
        <w:t xml:space="preserve"> </w:t>
      </w:r>
      <w:r w:rsidRPr="006E11B7">
        <w:rPr>
          <w:sz w:val="18"/>
          <w:szCs w:val="18"/>
          <w:lang w:val="en-US"/>
        </w:rPr>
        <w:t>Decision 15/12, annex.</w:t>
      </w:r>
    </w:p>
  </w:footnote>
  <w:footnote w:id="34">
    <w:p w14:paraId="5654F267" w14:textId="77777777" w:rsidR="00E82C12" w:rsidRPr="006E11B7" w:rsidRDefault="00E82C12" w:rsidP="00B83802">
      <w:pPr>
        <w:pStyle w:val="FootnoteText"/>
        <w:rPr>
          <w:sz w:val="18"/>
          <w:szCs w:val="18"/>
          <w:lang w:val="en-US"/>
        </w:rPr>
      </w:pPr>
      <w:r w:rsidRPr="006E11B7">
        <w:rPr>
          <w:rStyle w:val="FootnoteReference"/>
          <w:sz w:val="18"/>
          <w:szCs w:val="18"/>
        </w:rPr>
        <w:footnoteRef/>
      </w:r>
      <w:r w:rsidRPr="006E11B7">
        <w:rPr>
          <w:sz w:val="18"/>
          <w:szCs w:val="18"/>
        </w:rPr>
        <w:t xml:space="preserve"> </w:t>
      </w:r>
      <w:r w:rsidRPr="006E11B7">
        <w:rPr>
          <w:sz w:val="18"/>
          <w:szCs w:val="18"/>
          <w:lang w:val="en-US"/>
        </w:rPr>
        <w:t>Decision 15/11, annex.</w:t>
      </w:r>
    </w:p>
  </w:footnote>
  <w:footnote w:id="35">
    <w:p w14:paraId="487E259D" w14:textId="4019727D" w:rsidR="00E82C12" w:rsidRPr="00F1568A" w:rsidRDefault="00E82C12">
      <w:pPr>
        <w:pStyle w:val="FootnoteText"/>
        <w:rPr>
          <w:sz w:val="18"/>
          <w:szCs w:val="18"/>
        </w:rPr>
      </w:pPr>
      <w:r w:rsidRPr="00F1568A">
        <w:rPr>
          <w:rStyle w:val="FootnoteReference"/>
          <w:sz w:val="18"/>
          <w:szCs w:val="18"/>
        </w:rPr>
        <w:footnoteRef/>
      </w:r>
      <w:r w:rsidRPr="00F1568A">
        <w:rPr>
          <w:sz w:val="18"/>
          <w:szCs w:val="18"/>
        </w:rPr>
        <w:t xml:space="preserve"> Decision 16/--.</w:t>
      </w:r>
    </w:p>
  </w:footnote>
  <w:footnote w:id="36">
    <w:p w14:paraId="0AA37F73" w14:textId="7A718FA8" w:rsidR="00E82C12" w:rsidRPr="006E11B7" w:rsidRDefault="00E82C12">
      <w:pPr>
        <w:pStyle w:val="FootnoteText"/>
        <w:rPr>
          <w:sz w:val="18"/>
          <w:szCs w:val="18"/>
          <w:lang w:val="en-US"/>
        </w:rPr>
      </w:pPr>
      <w:r w:rsidRPr="006E11B7">
        <w:rPr>
          <w:rStyle w:val="FootnoteReference"/>
          <w:sz w:val="18"/>
          <w:szCs w:val="18"/>
        </w:rPr>
        <w:footnoteRef/>
      </w:r>
      <w:r w:rsidRPr="006E11B7">
        <w:rPr>
          <w:sz w:val="18"/>
          <w:szCs w:val="18"/>
        </w:rPr>
        <w:t xml:space="preserve"> </w:t>
      </w:r>
      <w:r w:rsidRPr="006E11B7">
        <w:rPr>
          <w:sz w:val="18"/>
          <w:szCs w:val="18"/>
          <w:lang w:val="en-US"/>
        </w:rPr>
        <w:t>Decisions 15/5 and 16/--.</w:t>
      </w:r>
    </w:p>
  </w:footnote>
  <w:footnote w:id="37">
    <w:p w14:paraId="13E443AB" w14:textId="71A116B7" w:rsidR="00E82C12" w:rsidRPr="006E11B7" w:rsidRDefault="00E82C12" w:rsidP="00B83802">
      <w:pPr>
        <w:pStyle w:val="FootnoteText"/>
        <w:rPr>
          <w:sz w:val="18"/>
          <w:szCs w:val="18"/>
          <w:lang w:val="en-US"/>
        </w:rPr>
      </w:pPr>
      <w:r w:rsidRPr="006E11B7">
        <w:rPr>
          <w:rStyle w:val="FootnoteReference"/>
          <w:sz w:val="18"/>
          <w:szCs w:val="18"/>
        </w:rPr>
        <w:footnoteRef/>
      </w:r>
      <w:r w:rsidRPr="006E11B7">
        <w:rPr>
          <w:sz w:val="18"/>
          <w:szCs w:val="18"/>
        </w:rPr>
        <w:t xml:space="preserve"> Decision 15/6.</w:t>
      </w:r>
    </w:p>
  </w:footnote>
  <w:footnote w:id="38">
    <w:p w14:paraId="3704C054" w14:textId="77777777" w:rsidR="00E82C12" w:rsidRPr="004E130D" w:rsidRDefault="00E82C12" w:rsidP="00B83802">
      <w:pPr>
        <w:pStyle w:val="FootnoteText"/>
        <w:rPr>
          <w:sz w:val="18"/>
          <w:szCs w:val="18"/>
        </w:rPr>
      </w:pPr>
      <w:r w:rsidRPr="004E130D">
        <w:rPr>
          <w:rStyle w:val="FootnoteReference"/>
          <w:sz w:val="18"/>
          <w:szCs w:val="18"/>
        </w:rPr>
        <w:footnoteRef/>
      </w:r>
      <w:r w:rsidRPr="004E130D">
        <w:rPr>
          <w:sz w:val="18"/>
          <w:szCs w:val="18"/>
        </w:rPr>
        <w:t xml:space="preserve"> Decision </w:t>
      </w:r>
      <w:r w:rsidRPr="000B1539">
        <w:rPr>
          <w:sz w:val="18"/>
          <w:szCs w:val="18"/>
        </w:rPr>
        <w:t>CP</w:t>
      </w:r>
      <w:r w:rsidRPr="004E130D">
        <w:rPr>
          <w:sz w:val="18"/>
          <w:szCs w:val="18"/>
        </w:rPr>
        <w:t>-10/3, annex.</w:t>
      </w:r>
    </w:p>
  </w:footnote>
  <w:footnote w:id="39">
    <w:p w14:paraId="5EF4E13D" w14:textId="77777777" w:rsidR="00E82C12" w:rsidRPr="007D74DD" w:rsidRDefault="00E82C12" w:rsidP="00F401FF">
      <w:pPr>
        <w:pStyle w:val="FootnoteText"/>
        <w:rPr>
          <w:sz w:val="18"/>
          <w:szCs w:val="18"/>
        </w:rPr>
      </w:pPr>
      <w:r w:rsidRPr="004E130D">
        <w:rPr>
          <w:rStyle w:val="FootnoteReference"/>
          <w:sz w:val="18"/>
          <w:szCs w:val="18"/>
        </w:rPr>
        <w:footnoteRef/>
      </w:r>
      <w:r w:rsidRPr="004E130D">
        <w:rPr>
          <w:sz w:val="18"/>
          <w:szCs w:val="18"/>
        </w:rPr>
        <w:t xml:space="preserve"> </w:t>
      </w:r>
      <w:r w:rsidRPr="007D74DD">
        <w:rPr>
          <w:sz w:val="18"/>
          <w:szCs w:val="18"/>
        </w:rPr>
        <w:t xml:space="preserve">Decision </w:t>
      </w:r>
      <w:r w:rsidRPr="000B1539">
        <w:rPr>
          <w:sz w:val="18"/>
          <w:szCs w:val="18"/>
        </w:rPr>
        <w:t>CP</w:t>
      </w:r>
      <w:r w:rsidRPr="007D74DD">
        <w:rPr>
          <w:sz w:val="18"/>
          <w:szCs w:val="18"/>
        </w:rPr>
        <w:t>-10/4, annex.</w:t>
      </w:r>
    </w:p>
  </w:footnote>
  <w:footnote w:id="40">
    <w:p w14:paraId="5BBDD26E" w14:textId="77777777" w:rsidR="00E82C12" w:rsidRPr="007D74DD" w:rsidRDefault="00E82C12" w:rsidP="00B965B5">
      <w:pPr>
        <w:pStyle w:val="FootnoteText"/>
        <w:rPr>
          <w:sz w:val="18"/>
          <w:szCs w:val="18"/>
        </w:rPr>
      </w:pPr>
      <w:r w:rsidRPr="007D74DD">
        <w:rPr>
          <w:rStyle w:val="FootnoteReference"/>
          <w:sz w:val="18"/>
          <w:szCs w:val="18"/>
        </w:rPr>
        <w:footnoteRef/>
      </w:r>
      <w:r w:rsidRPr="007D74DD">
        <w:rPr>
          <w:sz w:val="18"/>
          <w:szCs w:val="18"/>
        </w:rPr>
        <w:t xml:space="preserve"> </w:t>
      </w:r>
      <w:bookmarkStart w:id="9" w:name="_Hlk172751773"/>
      <w:r w:rsidRPr="007D74DD">
        <w:rPr>
          <w:color w:val="000000"/>
          <w:sz w:val="18"/>
          <w:szCs w:val="18"/>
        </w:rPr>
        <w:t xml:space="preserve">United Nations, </w:t>
      </w:r>
      <w:r w:rsidRPr="007D74DD">
        <w:rPr>
          <w:i/>
          <w:iCs/>
          <w:color w:val="000000"/>
          <w:sz w:val="18"/>
          <w:szCs w:val="18"/>
        </w:rPr>
        <w:t>Treaty Series</w:t>
      </w:r>
      <w:r w:rsidRPr="007D74DD">
        <w:rPr>
          <w:iCs/>
          <w:color w:val="000000"/>
          <w:sz w:val="18"/>
          <w:szCs w:val="18"/>
        </w:rPr>
        <w:t>,</w:t>
      </w:r>
      <w:r w:rsidRPr="007D74DD">
        <w:rPr>
          <w:i/>
          <w:iCs/>
          <w:color w:val="000000"/>
          <w:sz w:val="18"/>
          <w:szCs w:val="18"/>
        </w:rPr>
        <w:t xml:space="preserve"> </w:t>
      </w:r>
      <w:r w:rsidRPr="007D74DD">
        <w:rPr>
          <w:color w:val="000000"/>
          <w:sz w:val="18"/>
          <w:szCs w:val="18"/>
        </w:rPr>
        <w:t>vol. 2226, No. 30619</w:t>
      </w:r>
      <w:bookmarkEnd w:id="9"/>
      <w:r w:rsidRPr="007D74DD">
        <w:rPr>
          <w:color w:val="000000"/>
          <w:sz w:val="18"/>
          <w:szCs w:val="18"/>
        </w:rPr>
        <w:t>.</w:t>
      </w:r>
    </w:p>
  </w:footnote>
  <w:footnote w:id="41">
    <w:p w14:paraId="6F5329E8" w14:textId="77777777" w:rsidR="00E82C12" w:rsidRPr="007D74DD" w:rsidRDefault="00E82C12" w:rsidP="00D2056D">
      <w:pPr>
        <w:pStyle w:val="FootnoteText"/>
        <w:rPr>
          <w:sz w:val="18"/>
          <w:szCs w:val="18"/>
        </w:rPr>
      </w:pPr>
      <w:r w:rsidRPr="007D74DD">
        <w:rPr>
          <w:rStyle w:val="FootnoteReference"/>
          <w:sz w:val="18"/>
          <w:szCs w:val="18"/>
        </w:rPr>
        <w:footnoteRef/>
      </w:r>
      <w:r w:rsidRPr="007D74DD">
        <w:rPr>
          <w:sz w:val="18"/>
          <w:szCs w:val="18"/>
        </w:rPr>
        <w:t xml:space="preserve"> Decision </w:t>
      </w:r>
      <w:r w:rsidRPr="000B1539">
        <w:rPr>
          <w:sz w:val="18"/>
          <w:szCs w:val="18"/>
        </w:rPr>
        <w:t>NP</w:t>
      </w:r>
      <w:r w:rsidRPr="007D74DD">
        <w:rPr>
          <w:sz w:val="18"/>
          <w:szCs w:val="18"/>
        </w:rPr>
        <w:t>-5/--.</w:t>
      </w:r>
    </w:p>
  </w:footnote>
  <w:footnote w:id="42">
    <w:p w14:paraId="7554ECF5" w14:textId="77777777" w:rsidR="00E82C12" w:rsidRPr="007D74DD" w:rsidRDefault="00E82C12" w:rsidP="00413840">
      <w:pPr>
        <w:pStyle w:val="FootnoteText"/>
        <w:rPr>
          <w:sz w:val="18"/>
          <w:szCs w:val="18"/>
        </w:rPr>
      </w:pPr>
      <w:r w:rsidRPr="007D74DD">
        <w:rPr>
          <w:rStyle w:val="FootnoteReference"/>
          <w:sz w:val="18"/>
          <w:szCs w:val="18"/>
        </w:rPr>
        <w:footnoteRef/>
      </w:r>
      <w:r w:rsidRPr="007D74DD">
        <w:rPr>
          <w:sz w:val="18"/>
          <w:szCs w:val="18"/>
        </w:rPr>
        <w:t xml:space="preserve"> United Nations, </w:t>
      </w:r>
      <w:r w:rsidRPr="007D74DD">
        <w:rPr>
          <w:i/>
          <w:iCs/>
          <w:sz w:val="18"/>
          <w:szCs w:val="18"/>
        </w:rPr>
        <w:t>Treaty Series</w:t>
      </w:r>
      <w:r w:rsidRPr="007D74DD">
        <w:rPr>
          <w:sz w:val="18"/>
          <w:szCs w:val="18"/>
        </w:rPr>
        <w:t>, vol. 3008, No. 30619.</w:t>
      </w:r>
    </w:p>
  </w:footnote>
  <w:footnote w:id="43">
    <w:p w14:paraId="7C846897" w14:textId="1CD477F3" w:rsidR="00E82C12" w:rsidRPr="003E5848" w:rsidRDefault="00E82C12">
      <w:pPr>
        <w:pStyle w:val="FootnoteText"/>
      </w:pPr>
      <w:r w:rsidRPr="007D74DD">
        <w:rPr>
          <w:rStyle w:val="FootnoteReference"/>
          <w:sz w:val="18"/>
          <w:szCs w:val="18"/>
        </w:rPr>
        <w:footnoteRef/>
      </w:r>
      <w:r w:rsidRPr="007D74DD">
        <w:rPr>
          <w:sz w:val="18"/>
          <w:szCs w:val="18"/>
        </w:rPr>
        <w:t xml:space="preserve"> Subject to any additional guidance on programme priorities</w:t>
      </w:r>
      <w:r w:rsidRPr="004E130D">
        <w:rPr>
          <w:sz w:val="18"/>
          <w:szCs w:val="18"/>
        </w:rPr>
        <w:t xml:space="preserve"> for the ninth replenishment period of the </w:t>
      </w:r>
      <w:r w:rsidRPr="000B1539">
        <w:rPr>
          <w:sz w:val="18"/>
          <w:szCs w:val="18"/>
        </w:rPr>
        <w:t>Global Environment Facility</w:t>
      </w:r>
      <w:r w:rsidRPr="004E130D">
        <w:rPr>
          <w:sz w:val="18"/>
          <w:szCs w:val="18"/>
        </w:rPr>
        <w:t xml:space="preserve"> </w:t>
      </w:r>
      <w:r w:rsidR="00FE5835">
        <w:rPr>
          <w:sz w:val="18"/>
          <w:szCs w:val="18"/>
        </w:rPr>
        <w:t xml:space="preserve">that </w:t>
      </w:r>
      <w:r w:rsidR="00AA6B74">
        <w:rPr>
          <w:sz w:val="18"/>
          <w:szCs w:val="18"/>
        </w:rPr>
        <w:t>is</w:t>
      </w:r>
      <w:r w:rsidRPr="004E130D">
        <w:rPr>
          <w:sz w:val="18"/>
          <w:szCs w:val="18"/>
        </w:rPr>
        <w:t xml:space="preserve"> adopted by the Conference of the Parties serving as the meetings of the Parties to the Protocols.</w:t>
      </w:r>
    </w:p>
  </w:footnote>
  <w:footnote w:id="44">
    <w:p w14:paraId="49863164" w14:textId="2D627B14" w:rsidR="00042187" w:rsidRPr="000B1539" w:rsidRDefault="00042187">
      <w:pPr>
        <w:pStyle w:val="FootnoteText"/>
        <w:rPr>
          <w:lang w:val="en-US"/>
        </w:rPr>
      </w:pPr>
      <w:r>
        <w:rPr>
          <w:rStyle w:val="FootnoteReference"/>
        </w:rPr>
        <w:footnoteRef/>
      </w:r>
      <w:r>
        <w:t xml:space="preserve"> </w:t>
      </w:r>
      <w:r w:rsidR="00FC30C3">
        <w:rPr>
          <w:lang w:val="en-US"/>
        </w:rPr>
        <w:t>Decision 15/5, annex I.</w:t>
      </w:r>
    </w:p>
  </w:footnote>
  <w:footnote w:id="45">
    <w:p w14:paraId="03E4A6CC" w14:textId="071666BA" w:rsidR="00E82C12" w:rsidRPr="00CE5D44" w:rsidRDefault="00E82C12">
      <w:pPr>
        <w:pStyle w:val="FootnoteText"/>
        <w:rPr>
          <w:sz w:val="18"/>
          <w:szCs w:val="18"/>
        </w:rPr>
      </w:pPr>
      <w:r w:rsidRPr="00CE5D44">
        <w:rPr>
          <w:rStyle w:val="FootnoteReference"/>
          <w:sz w:val="18"/>
          <w:szCs w:val="18"/>
        </w:rPr>
        <w:footnoteRef/>
      </w:r>
      <w:r w:rsidRPr="00CE5D44">
        <w:rPr>
          <w:sz w:val="18"/>
          <w:szCs w:val="18"/>
        </w:rPr>
        <w:t xml:space="preserve"> </w:t>
      </w:r>
      <w:bookmarkStart w:id="14" w:name="_Hlk163987425"/>
      <w:r w:rsidRPr="00CE5D44">
        <w:rPr>
          <w:sz w:val="18"/>
          <w:szCs w:val="18"/>
        </w:rPr>
        <w:t xml:space="preserve">Subject to the adoption of additional guidance on programme priorities for the ninth replenishment period of the </w:t>
      </w:r>
      <w:r w:rsidRPr="000B1539">
        <w:rPr>
          <w:sz w:val="18"/>
          <w:szCs w:val="18"/>
        </w:rPr>
        <w:t>Global Environment Facility</w:t>
      </w:r>
      <w:r w:rsidRPr="00CE5D44">
        <w:rPr>
          <w:sz w:val="18"/>
          <w:szCs w:val="18"/>
        </w:rPr>
        <w:t xml:space="preserve"> by the Conference of the Parties serving as the meeting of the Parties to the Nagoya Protocol</w:t>
      </w:r>
      <w:bookmarkEnd w:id="14"/>
      <w:r w:rsidRPr="00CE5D44">
        <w:rPr>
          <w:sz w:val="18"/>
          <w:szCs w:val="18"/>
        </w:rPr>
        <w:t>.</w:t>
      </w:r>
    </w:p>
  </w:footnote>
  <w:footnote w:id="46">
    <w:p w14:paraId="733335B3" w14:textId="05D87208" w:rsidR="00E77269" w:rsidRPr="000B1539" w:rsidRDefault="00E77269">
      <w:pPr>
        <w:pStyle w:val="FootnoteText"/>
        <w:rPr>
          <w:lang w:val="en-US"/>
        </w:rPr>
      </w:pPr>
      <w:r>
        <w:rPr>
          <w:rStyle w:val="FootnoteReference"/>
        </w:rPr>
        <w:footnoteRef/>
      </w:r>
      <w:r>
        <w:t xml:space="preserve"> </w:t>
      </w:r>
      <w:r w:rsidR="005F650D" w:rsidRPr="005F650D">
        <w:t xml:space="preserve">United Nations, </w:t>
      </w:r>
      <w:r w:rsidR="005F650D" w:rsidRPr="005F650D">
        <w:rPr>
          <w:i/>
          <w:iCs/>
        </w:rPr>
        <w:t>Treaty Series</w:t>
      </w:r>
      <w:r w:rsidR="005F650D" w:rsidRPr="005F650D">
        <w:t>, vol. 3008, No. 30619.</w:t>
      </w:r>
    </w:p>
  </w:footnote>
  <w:footnote w:id="47">
    <w:p w14:paraId="7C4B3012" w14:textId="31DE4267" w:rsidR="00E82C12" w:rsidRPr="003D3F00" w:rsidRDefault="00E82C12">
      <w:pPr>
        <w:pStyle w:val="FootnoteText"/>
        <w:rPr>
          <w:sz w:val="18"/>
          <w:szCs w:val="18"/>
          <w:lang w:val="en-US"/>
        </w:rPr>
      </w:pPr>
      <w:r w:rsidRPr="00CE5D44">
        <w:rPr>
          <w:rStyle w:val="FootnoteReference"/>
          <w:sz w:val="18"/>
          <w:szCs w:val="18"/>
        </w:rPr>
        <w:footnoteRef/>
      </w:r>
      <w:r w:rsidRPr="00CE5D44">
        <w:rPr>
          <w:sz w:val="18"/>
          <w:szCs w:val="18"/>
        </w:rPr>
        <w:t xml:space="preserve"> Subject to the adoption of additional guidance on programme priorities for the ninth replenishment period of the </w:t>
      </w:r>
      <w:r w:rsidRPr="000B1539">
        <w:rPr>
          <w:sz w:val="18"/>
          <w:szCs w:val="18"/>
        </w:rPr>
        <w:t>Global Environment Facility</w:t>
      </w:r>
      <w:r w:rsidRPr="00CE5D44">
        <w:rPr>
          <w:sz w:val="18"/>
          <w:szCs w:val="18"/>
        </w:rPr>
        <w:t xml:space="preserve"> by the Conference of the Parties serving as the meeting of the Parties to the Cartagena Protocol.</w:t>
      </w:r>
    </w:p>
  </w:footnote>
  <w:footnote w:id="48">
    <w:p w14:paraId="26C8E615" w14:textId="5B9FC018" w:rsidR="00D54372" w:rsidRPr="000B1539" w:rsidRDefault="00D54372">
      <w:pPr>
        <w:pStyle w:val="FootnoteText"/>
        <w:rPr>
          <w:sz w:val="18"/>
          <w:szCs w:val="18"/>
          <w:lang w:val="en-US"/>
        </w:rPr>
      </w:pPr>
      <w:r>
        <w:rPr>
          <w:rStyle w:val="FootnoteReference"/>
        </w:rPr>
        <w:footnoteRef/>
      </w:r>
      <w:r>
        <w:t xml:space="preserve"> </w:t>
      </w:r>
      <w:r w:rsidRPr="000B1539">
        <w:rPr>
          <w:sz w:val="18"/>
          <w:szCs w:val="18"/>
        </w:rPr>
        <w:t xml:space="preserve">United Nations, </w:t>
      </w:r>
      <w:r w:rsidRPr="000B1539">
        <w:rPr>
          <w:i/>
          <w:iCs/>
          <w:sz w:val="18"/>
          <w:szCs w:val="18"/>
        </w:rPr>
        <w:t>Treaty Series</w:t>
      </w:r>
      <w:r w:rsidRPr="000B1539">
        <w:rPr>
          <w:iCs/>
          <w:sz w:val="18"/>
          <w:szCs w:val="18"/>
        </w:rPr>
        <w:t>,</w:t>
      </w:r>
      <w:r w:rsidRPr="000B1539">
        <w:rPr>
          <w:i/>
          <w:iCs/>
          <w:sz w:val="18"/>
          <w:szCs w:val="18"/>
        </w:rPr>
        <w:t xml:space="preserve"> </w:t>
      </w:r>
      <w:r w:rsidRPr="000B1539">
        <w:rPr>
          <w:sz w:val="18"/>
          <w:szCs w:val="18"/>
        </w:rPr>
        <w:t>vol. 2226,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6" w:name="_Hlk137802784"/>
  <w:bookmarkStart w:id="17" w:name="_Hlk137802785"/>
  <w:p w14:paraId="4C1F9D5C" w14:textId="19D2E7EF" w:rsidR="00E82C12" w:rsidRPr="002B559C" w:rsidRDefault="009C3792"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34247C">
          <w:rPr>
            <w:sz w:val="20"/>
            <w:szCs w:val="20"/>
            <w:lang w:val="fr-FR"/>
          </w:rPr>
          <w:t>CBD/SBI/REC/4/4</w:t>
        </w:r>
      </w:sdtContent>
    </w:sdt>
    <w:bookmarkEnd w:id="16"/>
    <w:bookmarkEnd w:id="1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25A6040A" w14:textId="4B188A93" w:rsidR="00E82C12" w:rsidRPr="002B559C" w:rsidRDefault="0034247C" w:rsidP="002B559C">
        <w:pPr>
          <w:pStyle w:val="Header"/>
          <w:pBdr>
            <w:bottom w:val="single" w:sz="4" w:space="1" w:color="auto"/>
          </w:pBdr>
          <w:spacing w:after="240"/>
          <w:jc w:val="right"/>
          <w:rPr>
            <w:sz w:val="20"/>
            <w:szCs w:val="20"/>
            <w:lang w:val="fr-FR"/>
          </w:rPr>
        </w:pPr>
        <w:r>
          <w:rPr>
            <w:sz w:val="20"/>
            <w:szCs w:val="20"/>
            <w:lang w:val="fr-FR"/>
          </w:rPr>
          <w:t>CBD/SBI/REC/4/4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8B70991"/>
    <w:multiLevelType w:val="hybridMultilevel"/>
    <w:tmpl w:val="9B34C9C2"/>
    <w:lvl w:ilvl="0" w:tplc="C6E003D2">
      <w:start w:val="1"/>
      <w:numFmt w:val="decimal"/>
      <w:pStyle w:val="Para1"/>
      <w:lvlText w:val="%1."/>
      <w:lvlJc w:val="left"/>
      <w:pPr>
        <w:ind w:left="927" w:hanging="360"/>
      </w:pPr>
      <w:rPr>
        <w:rFonts w:hint="default"/>
        <w:b w:val="0"/>
        <w:b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19600020">
    <w:abstractNumId w:val="0"/>
  </w:num>
  <w:num w:numId="2" w16cid:durableId="1968123484">
    <w:abstractNumId w:val="2"/>
  </w:num>
  <w:num w:numId="3" w16cid:durableId="257098481">
    <w:abstractNumId w:val="1"/>
  </w:num>
  <w:num w:numId="4" w16cid:durableId="1110395092">
    <w:abstractNumId w:val="3"/>
  </w:num>
  <w:num w:numId="5" w16cid:durableId="1872306848">
    <w:abstractNumId w:val="2"/>
  </w:num>
  <w:num w:numId="6" w16cid:durableId="46701513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02"/>
    <w:rsid w:val="000004E5"/>
    <w:rsid w:val="00001A37"/>
    <w:rsid w:val="000034A4"/>
    <w:rsid w:val="00003696"/>
    <w:rsid w:val="0000461D"/>
    <w:rsid w:val="00004D83"/>
    <w:rsid w:val="000053C4"/>
    <w:rsid w:val="00005CB7"/>
    <w:rsid w:val="00007428"/>
    <w:rsid w:val="00007770"/>
    <w:rsid w:val="00007984"/>
    <w:rsid w:val="0001003F"/>
    <w:rsid w:val="00012BE1"/>
    <w:rsid w:val="0001398C"/>
    <w:rsid w:val="00015A1D"/>
    <w:rsid w:val="00015AD6"/>
    <w:rsid w:val="00020256"/>
    <w:rsid w:val="00020290"/>
    <w:rsid w:val="00020391"/>
    <w:rsid w:val="000203EE"/>
    <w:rsid w:val="00022032"/>
    <w:rsid w:val="00023D91"/>
    <w:rsid w:val="00025378"/>
    <w:rsid w:val="00025CEB"/>
    <w:rsid w:val="000262DE"/>
    <w:rsid w:val="0002711C"/>
    <w:rsid w:val="00027237"/>
    <w:rsid w:val="000276A0"/>
    <w:rsid w:val="0003270A"/>
    <w:rsid w:val="00032ED4"/>
    <w:rsid w:val="000330CC"/>
    <w:rsid w:val="000349EB"/>
    <w:rsid w:val="00035902"/>
    <w:rsid w:val="000376DF"/>
    <w:rsid w:val="00037761"/>
    <w:rsid w:val="00040598"/>
    <w:rsid w:val="00042187"/>
    <w:rsid w:val="00046925"/>
    <w:rsid w:val="000478F1"/>
    <w:rsid w:val="00047E55"/>
    <w:rsid w:val="00052967"/>
    <w:rsid w:val="00054D6B"/>
    <w:rsid w:val="00054F05"/>
    <w:rsid w:val="00054F5D"/>
    <w:rsid w:val="00055596"/>
    <w:rsid w:val="00056CF7"/>
    <w:rsid w:val="00056E1D"/>
    <w:rsid w:val="00057EEA"/>
    <w:rsid w:val="00060B8A"/>
    <w:rsid w:val="0006111A"/>
    <w:rsid w:val="00062494"/>
    <w:rsid w:val="00063184"/>
    <w:rsid w:val="00065269"/>
    <w:rsid w:val="00065D84"/>
    <w:rsid w:val="00065E39"/>
    <w:rsid w:val="000673D0"/>
    <w:rsid w:val="00067ACB"/>
    <w:rsid w:val="00071CC9"/>
    <w:rsid w:val="00071F2C"/>
    <w:rsid w:val="000727C5"/>
    <w:rsid w:val="000729AF"/>
    <w:rsid w:val="000729EF"/>
    <w:rsid w:val="00072A42"/>
    <w:rsid w:val="00073575"/>
    <w:rsid w:val="00075226"/>
    <w:rsid w:val="00075369"/>
    <w:rsid w:val="00075B62"/>
    <w:rsid w:val="00077864"/>
    <w:rsid w:val="0008087D"/>
    <w:rsid w:val="00080F3E"/>
    <w:rsid w:val="000831D1"/>
    <w:rsid w:val="00083B1E"/>
    <w:rsid w:val="0008476D"/>
    <w:rsid w:val="00087BC2"/>
    <w:rsid w:val="0009004A"/>
    <w:rsid w:val="00091445"/>
    <w:rsid w:val="00091FA8"/>
    <w:rsid w:val="00093277"/>
    <w:rsid w:val="00093334"/>
    <w:rsid w:val="00093BD6"/>
    <w:rsid w:val="00093E8D"/>
    <w:rsid w:val="0009512D"/>
    <w:rsid w:val="00096687"/>
    <w:rsid w:val="00097521"/>
    <w:rsid w:val="000A2005"/>
    <w:rsid w:val="000A48AD"/>
    <w:rsid w:val="000A4B7E"/>
    <w:rsid w:val="000A7C66"/>
    <w:rsid w:val="000B1539"/>
    <w:rsid w:val="000B3D8D"/>
    <w:rsid w:val="000B426C"/>
    <w:rsid w:val="000B5736"/>
    <w:rsid w:val="000B5D22"/>
    <w:rsid w:val="000B6C93"/>
    <w:rsid w:val="000C097D"/>
    <w:rsid w:val="000C1785"/>
    <w:rsid w:val="000C208B"/>
    <w:rsid w:val="000C59D9"/>
    <w:rsid w:val="000C6B1C"/>
    <w:rsid w:val="000C7FC7"/>
    <w:rsid w:val="000D12E2"/>
    <w:rsid w:val="000D17E1"/>
    <w:rsid w:val="000D23A8"/>
    <w:rsid w:val="000D2C63"/>
    <w:rsid w:val="000D3E4E"/>
    <w:rsid w:val="000D4D7B"/>
    <w:rsid w:val="000D533F"/>
    <w:rsid w:val="000D5DD2"/>
    <w:rsid w:val="000D5FEB"/>
    <w:rsid w:val="000D6BE7"/>
    <w:rsid w:val="000D6CCC"/>
    <w:rsid w:val="000E0741"/>
    <w:rsid w:val="000E0DFA"/>
    <w:rsid w:val="000E4F9E"/>
    <w:rsid w:val="000F14B4"/>
    <w:rsid w:val="000F2AEB"/>
    <w:rsid w:val="000F4A5A"/>
    <w:rsid w:val="000F6563"/>
    <w:rsid w:val="000F6BCA"/>
    <w:rsid w:val="000F6BD1"/>
    <w:rsid w:val="000F6FAB"/>
    <w:rsid w:val="000F735E"/>
    <w:rsid w:val="000F7897"/>
    <w:rsid w:val="000F7A94"/>
    <w:rsid w:val="00100BE9"/>
    <w:rsid w:val="00100C4A"/>
    <w:rsid w:val="0010190B"/>
    <w:rsid w:val="00102FD9"/>
    <w:rsid w:val="00104641"/>
    <w:rsid w:val="00105F17"/>
    <w:rsid w:val="00106C5C"/>
    <w:rsid w:val="001102F5"/>
    <w:rsid w:val="001108FB"/>
    <w:rsid w:val="00111914"/>
    <w:rsid w:val="00112339"/>
    <w:rsid w:val="001124BD"/>
    <w:rsid w:val="0011592D"/>
    <w:rsid w:val="00116B31"/>
    <w:rsid w:val="00120968"/>
    <w:rsid w:val="001220DA"/>
    <w:rsid w:val="0012440D"/>
    <w:rsid w:val="00124C34"/>
    <w:rsid w:val="001263B0"/>
    <w:rsid w:val="00127047"/>
    <w:rsid w:val="00131F51"/>
    <w:rsid w:val="00132581"/>
    <w:rsid w:val="001327B9"/>
    <w:rsid w:val="00132BF6"/>
    <w:rsid w:val="00132DF8"/>
    <w:rsid w:val="00134344"/>
    <w:rsid w:val="00134F7B"/>
    <w:rsid w:val="00135E4B"/>
    <w:rsid w:val="00137D03"/>
    <w:rsid w:val="00137F4E"/>
    <w:rsid w:val="00143842"/>
    <w:rsid w:val="00146D95"/>
    <w:rsid w:val="0014703F"/>
    <w:rsid w:val="00150351"/>
    <w:rsid w:val="00152CE6"/>
    <w:rsid w:val="00152D7C"/>
    <w:rsid w:val="001537C6"/>
    <w:rsid w:val="00153AF3"/>
    <w:rsid w:val="00155876"/>
    <w:rsid w:val="0015710E"/>
    <w:rsid w:val="001623C4"/>
    <w:rsid w:val="0016427C"/>
    <w:rsid w:val="00164756"/>
    <w:rsid w:val="001675C4"/>
    <w:rsid w:val="00170321"/>
    <w:rsid w:val="00170904"/>
    <w:rsid w:val="0017115E"/>
    <w:rsid w:val="001718BE"/>
    <w:rsid w:val="0017283D"/>
    <w:rsid w:val="0017567C"/>
    <w:rsid w:val="00175DE7"/>
    <w:rsid w:val="001777F9"/>
    <w:rsid w:val="001800FA"/>
    <w:rsid w:val="001812A7"/>
    <w:rsid w:val="0018243B"/>
    <w:rsid w:val="00182F03"/>
    <w:rsid w:val="00184909"/>
    <w:rsid w:val="00185724"/>
    <w:rsid w:val="001861A7"/>
    <w:rsid w:val="00186DC7"/>
    <w:rsid w:val="00194E57"/>
    <w:rsid w:val="00195674"/>
    <w:rsid w:val="00195A7A"/>
    <w:rsid w:val="00195BDD"/>
    <w:rsid w:val="001961DA"/>
    <w:rsid w:val="00197259"/>
    <w:rsid w:val="00197835"/>
    <w:rsid w:val="001A01AD"/>
    <w:rsid w:val="001A1F6C"/>
    <w:rsid w:val="001A4A67"/>
    <w:rsid w:val="001A53B1"/>
    <w:rsid w:val="001A6338"/>
    <w:rsid w:val="001A6C59"/>
    <w:rsid w:val="001B13ED"/>
    <w:rsid w:val="001B186E"/>
    <w:rsid w:val="001B1CEB"/>
    <w:rsid w:val="001B1E49"/>
    <w:rsid w:val="001B4C3F"/>
    <w:rsid w:val="001B6976"/>
    <w:rsid w:val="001B7F9E"/>
    <w:rsid w:val="001C0BFD"/>
    <w:rsid w:val="001C0DF5"/>
    <w:rsid w:val="001C147D"/>
    <w:rsid w:val="001C1AFD"/>
    <w:rsid w:val="001C1D7E"/>
    <w:rsid w:val="001C24F4"/>
    <w:rsid w:val="001C2ADD"/>
    <w:rsid w:val="001C2FC5"/>
    <w:rsid w:val="001C3BAA"/>
    <w:rsid w:val="001C5B7B"/>
    <w:rsid w:val="001D14FE"/>
    <w:rsid w:val="001D2CC1"/>
    <w:rsid w:val="001D5173"/>
    <w:rsid w:val="001D6739"/>
    <w:rsid w:val="001D716C"/>
    <w:rsid w:val="001D7501"/>
    <w:rsid w:val="001D7E4B"/>
    <w:rsid w:val="001E05FA"/>
    <w:rsid w:val="001E2F69"/>
    <w:rsid w:val="001E3FFE"/>
    <w:rsid w:val="001E4995"/>
    <w:rsid w:val="001E4EC9"/>
    <w:rsid w:val="001F261E"/>
    <w:rsid w:val="001F58E9"/>
    <w:rsid w:val="001F5EB8"/>
    <w:rsid w:val="001F7BBA"/>
    <w:rsid w:val="002000B1"/>
    <w:rsid w:val="0020111A"/>
    <w:rsid w:val="00201DA2"/>
    <w:rsid w:val="0020227B"/>
    <w:rsid w:val="00202398"/>
    <w:rsid w:val="002051F9"/>
    <w:rsid w:val="00205D28"/>
    <w:rsid w:val="002064F8"/>
    <w:rsid w:val="0020668F"/>
    <w:rsid w:val="00210743"/>
    <w:rsid w:val="00210BD5"/>
    <w:rsid w:val="0021351F"/>
    <w:rsid w:val="00213874"/>
    <w:rsid w:val="002141DD"/>
    <w:rsid w:val="00215788"/>
    <w:rsid w:val="00215A5B"/>
    <w:rsid w:val="002223B2"/>
    <w:rsid w:val="00222868"/>
    <w:rsid w:val="0022307D"/>
    <w:rsid w:val="00223709"/>
    <w:rsid w:val="00224C4C"/>
    <w:rsid w:val="00224D51"/>
    <w:rsid w:val="002266A8"/>
    <w:rsid w:val="00226C41"/>
    <w:rsid w:val="002275FD"/>
    <w:rsid w:val="00227B5C"/>
    <w:rsid w:val="00227C46"/>
    <w:rsid w:val="00230126"/>
    <w:rsid w:val="002309D7"/>
    <w:rsid w:val="002322A7"/>
    <w:rsid w:val="00233A44"/>
    <w:rsid w:val="002365A3"/>
    <w:rsid w:val="0023723B"/>
    <w:rsid w:val="00240A13"/>
    <w:rsid w:val="00240D08"/>
    <w:rsid w:val="00240E4C"/>
    <w:rsid w:val="0024284B"/>
    <w:rsid w:val="00242CB2"/>
    <w:rsid w:val="0024386F"/>
    <w:rsid w:val="0024527C"/>
    <w:rsid w:val="00247B8D"/>
    <w:rsid w:val="00247C42"/>
    <w:rsid w:val="00250F7E"/>
    <w:rsid w:val="002522BD"/>
    <w:rsid w:val="00252482"/>
    <w:rsid w:val="00252A0C"/>
    <w:rsid w:val="00255394"/>
    <w:rsid w:val="0025584A"/>
    <w:rsid w:val="00256D2F"/>
    <w:rsid w:val="00257607"/>
    <w:rsid w:val="002611E9"/>
    <w:rsid w:val="002627C6"/>
    <w:rsid w:val="00262A8C"/>
    <w:rsid w:val="00270FAC"/>
    <w:rsid w:val="00271468"/>
    <w:rsid w:val="00272037"/>
    <w:rsid w:val="0027207A"/>
    <w:rsid w:val="00272F2E"/>
    <w:rsid w:val="00272FB4"/>
    <w:rsid w:val="002763E9"/>
    <w:rsid w:val="00276A58"/>
    <w:rsid w:val="00276C1B"/>
    <w:rsid w:val="00277ED7"/>
    <w:rsid w:val="00280B5A"/>
    <w:rsid w:val="00281FE6"/>
    <w:rsid w:val="0028271C"/>
    <w:rsid w:val="00282B1C"/>
    <w:rsid w:val="00284E44"/>
    <w:rsid w:val="00285262"/>
    <w:rsid w:val="00285866"/>
    <w:rsid w:val="002859A9"/>
    <w:rsid w:val="00285B44"/>
    <w:rsid w:val="00286A5E"/>
    <w:rsid w:val="0029145C"/>
    <w:rsid w:val="00291CB4"/>
    <w:rsid w:val="00291CD0"/>
    <w:rsid w:val="002925B0"/>
    <w:rsid w:val="0029379C"/>
    <w:rsid w:val="002938C2"/>
    <w:rsid w:val="00294482"/>
    <w:rsid w:val="00296B1B"/>
    <w:rsid w:val="002A37C2"/>
    <w:rsid w:val="002A3D32"/>
    <w:rsid w:val="002A4230"/>
    <w:rsid w:val="002A46B2"/>
    <w:rsid w:val="002A7352"/>
    <w:rsid w:val="002B00CA"/>
    <w:rsid w:val="002B0E08"/>
    <w:rsid w:val="002B19EB"/>
    <w:rsid w:val="002B3056"/>
    <w:rsid w:val="002B4A85"/>
    <w:rsid w:val="002B559C"/>
    <w:rsid w:val="002B71DD"/>
    <w:rsid w:val="002B75D3"/>
    <w:rsid w:val="002B7A83"/>
    <w:rsid w:val="002C01D9"/>
    <w:rsid w:val="002C03F6"/>
    <w:rsid w:val="002C056D"/>
    <w:rsid w:val="002C1EBF"/>
    <w:rsid w:val="002C20D8"/>
    <w:rsid w:val="002C224D"/>
    <w:rsid w:val="002C36C3"/>
    <w:rsid w:val="002C5D38"/>
    <w:rsid w:val="002C61FD"/>
    <w:rsid w:val="002C622E"/>
    <w:rsid w:val="002C6C1F"/>
    <w:rsid w:val="002C7046"/>
    <w:rsid w:val="002C7AEE"/>
    <w:rsid w:val="002D05A0"/>
    <w:rsid w:val="002D0D8C"/>
    <w:rsid w:val="002D3996"/>
    <w:rsid w:val="002D3E10"/>
    <w:rsid w:val="002D681A"/>
    <w:rsid w:val="002D75DF"/>
    <w:rsid w:val="002D7E8B"/>
    <w:rsid w:val="002E02B2"/>
    <w:rsid w:val="002E0FE6"/>
    <w:rsid w:val="002E2D81"/>
    <w:rsid w:val="002E3322"/>
    <w:rsid w:val="002E4566"/>
    <w:rsid w:val="002E4A2E"/>
    <w:rsid w:val="002F5297"/>
    <w:rsid w:val="002F5C68"/>
    <w:rsid w:val="00301415"/>
    <w:rsid w:val="003029DD"/>
    <w:rsid w:val="003036F9"/>
    <w:rsid w:val="00306337"/>
    <w:rsid w:val="0031044A"/>
    <w:rsid w:val="00310608"/>
    <w:rsid w:val="003108C6"/>
    <w:rsid w:val="00313E74"/>
    <w:rsid w:val="00314909"/>
    <w:rsid w:val="00315E9F"/>
    <w:rsid w:val="00315F89"/>
    <w:rsid w:val="00317FAB"/>
    <w:rsid w:val="00320211"/>
    <w:rsid w:val="0032101C"/>
    <w:rsid w:val="003213D1"/>
    <w:rsid w:val="003213D2"/>
    <w:rsid w:val="00321CE2"/>
    <w:rsid w:val="00322AE9"/>
    <w:rsid w:val="0032368E"/>
    <w:rsid w:val="00323E81"/>
    <w:rsid w:val="00323F22"/>
    <w:rsid w:val="0032433B"/>
    <w:rsid w:val="003254D6"/>
    <w:rsid w:val="0032614C"/>
    <w:rsid w:val="00327ECF"/>
    <w:rsid w:val="00330145"/>
    <w:rsid w:val="00331DAF"/>
    <w:rsid w:val="00335376"/>
    <w:rsid w:val="00335834"/>
    <w:rsid w:val="003400B0"/>
    <w:rsid w:val="00340813"/>
    <w:rsid w:val="00340CD1"/>
    <w:rsid w:val="0034247C"/>
    <w:rsid w:val="003427E4"/>
    <w:rsid w:val="00342A08"/>
    <w:rsid w:val="003432E5"/>
    <w:rsid w:val="00343541"/>
    <w:rsid w:val="00346201"/>
    <w:rsid w:val="003471ED"/>
    <w:rsid w:val="003476A9"/>
    <w:rsid w:val="00351A38"/>
    <w:rsid w:val="0035302D"/>
    <w:rsid w:val="0035405B"/>
    <w:rsid w:val="0035649B"/>
    <w:rsid w:val="0036026A"/>
    <w:rsid w:val="00360E8D"/>
    <w:rsid w:val="0036103A"/>
    <w:rsid w:val="00361256"/>
    <w:rsid w:val="003617C2"/>
    <w:rsid w:val="00361A1B"/>
    <w:rsid w:val="0036304B"/>
    <w:rsid w:val="0036417F"/>
    <w:rsid w:val="00365975"/>
    <w:rsid w:val="00365BB9"/>
    <w:rsid w:val="003660D0"/>
    <w:rsid w:val="0037045D"/>
    <w:rsid w:val="003716A2"/>
    <w:rsid w:val="00373385"/>
    <w:rsid w:val="00373E9D"/>
    <w:rsid w:val="00375C50"/>
    <w:rsid w:val="00376515"/>
    <w:rsid w:val="00377066"/>
    <w:rsid w:val="00377131"/>
    <w:rsid w:val="00381835"/>
    <w:rsid w:val="00382EDE"/>
    <w:rsid w:val="003850A1"/>
    <w:rsid w:val="003856F7"/>
    <w:rsid w:val="00385896"/>
    <w:rsid w:val="00387105"/>
    <w:rsid w:val="003926FD"/>
    <w:rsid w:val="003931A2"/>
    <w:rsid w:val="00393BCC"/>
    <w:rsid w:val="00394900"/>
    <w:rsid w:val="00395DAA"/>
    <w:rsid w:val="003A22B6"/>
    <w:rsid w:val="003A2959"/>
    <w:rsid w:val="003A2E08"/>
    <w:rsid w:val="003A2F90"/>
    <w:rsid w:val="003A3036"/>
    <w:rsid w:val="003A4A5D"/>
    <w:rsid w:val="003A4DEC"/>
    <w:rsid w:val="003A6B35"/>
    <w:rsid w:val="003B1396"/>
    <w:rsid w:val="003B3FB9"/>
    <w:rsid w:val="003B578C"/>
    <w:rsid w:val="003B7B74"/>
    <w:rsid w:val="003C0186"/>
    <w:rsid w:val="003C0862"/>
    <w:rsid w:val="003C2192"/>
    <w:rsid w:val="003C2AD0"/>
    <w:rsid w:val="003C4EFB"/>
    <w:rsid w:val="003C6D37"/>
    <w:rsid w:val="003C6F10"/>
    <w:rsid w:val="003D15F5"/>
    <w:rsid w:val="003D3F00"/>
    <w:rsid w:val="003D446F"/>
    <w:rsid w:val="003D473A"/>
    <w:rsid w:val="003D6DD3"/>
    <w:rsid w:val="003E0526"/>
    <w:rsid w:val="003E0A26"/>
    <w:rsid w:val="003E1DF9"/>
    <w:rsid w:val="003E267D"/>
    <w:rsid w:val="003E2C96"/>
    <w:rsid w:val="003E433A"/>
    <w:rsid w:val="003E50E4"/>
    <w:rsid w:val="003E5848"/>
    <w:rsid w:val="003E60ED"/>
    <w:rsid w:val="003E6C51"/>
    <w:rsid w:val="003E76B2"/>
    <w:rsid w:val="003F35CF"/>
    <w:rsid w:val="003F39F3"/>
    <w:rsid w:val="003F6216"/>
    <w:rsid w:val="003F6AD1"/>
    <w:rsid w:val="003F6E77"/>
    <w:rsid w:val="004016F1"/>
    <w:rsid w:val="00401FCE"/>
    <w:rsid w:val="004049B1"/>
    <w:rsid w:val="00405A35"/>
    <w:rsid w:val="00407C7E"/>
    <w:rsid w:val="00412C2C"/>
    <w:rsid w:val="00412F43"/>
    <w:rsid w:val="00413840"/>
    <w:rsid w:val="00416CD7"/>
    <w:rsid w:val="0041746A"/>
    <w:rsid w:val="0042052B"/>
    <w:rsid w:val="004210D1"/>
    <w:rsid w:val="0042234A"/>
    <w:rsid w:val="00424608"/>
    <w:rsid w:val="004247B7"/>
    <w:rsid w:val="004248AB"/>
    <w:rsid w:val="00426C94"/>
    <w:rsid w:val="00427B95"/>
    <w:rsid w:val="00432268"/>
    <w:rsid w:val="004330F4"/>
    <w:rsid w:val="00433B75"/>
    <w:rsid w:val="00433C32"/>
    <w:rsid w:val="00434411"/>
    <w:rsid w:val="00435086"/>
    <w:rsid w:val="00435151"/>
    <w:rsid w:val="00435209"/>
    <w:rsid w:val="00435B34"/>
    <w:rsid w:val="00436167"/>
    <w:rsid w:val="00436348"/>
    <w:rsid w:val="0043656D"/>
    <w:rsid w:val="00437BFE"/>
    <w:rsid w:val="00440912"/>
    <w:rsid w:val="00440A87"/>
    <w:rsid w:val="00441498"/>
    <w:rsid w:val="0044161D"/>
    <w:rsid w:val="00441FBA"/>
    <w:rsid w:val="00442A44"/>
    <w:rsid w:val="00444AD4"/>
    <w:rsid w:val="0044652E"/>
    <w:rsid w:val="00446E9D"/>
    <w:rsid w:val="0045024A"/>
    <w:rsid w:val="004527F6"/>
    <w:rsid w:val="0045301D"/>
    <w:rsid w:val="00453328"/>
    <w:rsid w:val="00453EFE"/>
    <w:rsid w:val="00454AA6"/>
    <w:rsid w:val="0045687C"/>
    <w:rsid w:val="004574E5"/>
    <w:rsid w:val="00460D9F"/>
    <w:rsid w:val="00461434"/>
    <w:rsid w:val="004641A1"/>
    <w:rsid w:val="00464261"/>
    <w:rsid w:val="00464E8F"/>
    <w:rsid w:val="00466F2D"/>
    <w:rsid w:val="004701EE"/>
    <w:rsid w:val="004711AC"/>
    <w:rsid w:val="00471EB1"/>
    <w:rsid w:val="004726C2"/>
    <w:rsid w:val="0047538C"/>
    <w:rsid w:val="004769DA"/>
    <w:rsid w:val="0047705D"/>
    <w:rsid w:val="00480A8D"/>
    <w:rsid w:val="00481381"/>
    <w:rsid w:val="00481BC6"/>
    <w:rsid w:val="00482D18"/>
    <w:rsid w:val="00483B71"/>
    <w:rsid w:val="0048489A"/>
    <w:rsid w:val="00485096"/>
    <w:rsid w:val="00485D45"/>
    <w:rsid w:val="00486166"/>
    <w:rsid w:val="004866D6"/>
    <w:rsid w:val="00486735"/>
    <w:rsid w:val="00486A91"/>
    <w:rsid w:val="0048785C"/>
    <w:rsid w:val="00491ACF"/>
    <w:rsid w:val="00494646"/>
    <w:rsid w:val="00496CEC"/>
    <w:rsid w:val="004A077A"/>
    <w:rsid w:val="004A0A93"/>
    <w:rsid w:val="004A1145"/>
    <w:rsid w:val="004A2A2D"/>
    <w:rsid w:val="004A3713"/>
    <w:rsid w:val="004B1CFE"/>
    <w:rsid w:val="004B3AC1"/>
    <w:rsid w:val="004B4BA1"/>
    <w:rsid w:val="004B55F8"/>
    <w:rsid w:val="004B5B20"/>
    <w:rsid w:val="004B5D47"/>
    <w:rsid w:val="004B621C"/>
    <w:rsid w:val="004B7388"/>
    <w:rsid w:val="004C0096"/>
    <w:rsid w:val="004C0214"/>
    <w:rsid w:val="004C54A3"/>
    <w:rsid w:val="004C5DB9"/>
    <w:rsid w:val="004C6773"/>
    <w:rsid w:val="004C702D"/>
    <w:rsid w:val="004C7033"/>
    <w:rsid w:val="004C75FF"/>
    <w:rsid w:val="004C7D51"/>
    <w:rsid w:val="004D1647"/>
    <w:rsid w:val="004D28CC"/>
    <w:rsid w:val="004D5541"/>
    <w:rsid w:val="004D6716"/>
    <w:rsid w:val="004E130D"/>
    <w:rsid w:val="004E1F15"/>
    <w:rsid w:val="004E242D"/>
    <w:rsid w:val="004E3052"/>
    <w:rsid w:val="004E3FD6"/>
    <w:rsid w:val="004E56EE"/>
    <w:rsid w:val="004E6EDA"/>
    <w:rsid w:val="004E71C1"/>
    <w:rsid w:val="004F03E7"/>
    <w:rsid w:val="004F0B03"/>
    <w:rsid w:val="004F3833"/>
    <w:rsid w:val="004F477F"/>
    <w:rsid w:val="004F50AE"/>
    <w:rsid w:val="004F64A1"/>
    <w:rsid w:val="00500A9E"/>
    <w:rsid w:val="00502415"/>
    <w:rsid w:val="005028B0"/>
    <w:rsid w:val="00507728"/>
    <w:rsid w:val="005077A8"/>
    <w:rsid w:val="00510549"/>
    <w:rsid w:val="0051191D"/>
    <w:rsid w:val="0051306C"/>
    <w:rsid w:val="005131B0"/>
    <w:rsid w:val="00513F6F"/>
    <w:rsid w:val="005161BB"/>
    <w:rsid w:val="005165C7"/>
    <w:rsid w:val="0051711D"/>
    <w:rsid w:val="00517B70"/>
    <w:rsid w:val="005202F0"/>
    <w:rsid w:val="005243B4"/>
    <w:rsid w:val="00524525"/>
    <w:rsid w:val="00525946"/>
    <w:rsid w:val="00525A60"/>
    <w:rsid w:val="005325F2"/>
    <w:rsid w:val="00533547"/>
    <w:rsid w:val="00533AE2"/>
    <w:rsid w:val="00534350"/>
    <w:rsid w:val="00536129"/>
    <w:rsid w:val="00536230"/>
    <w:rsid w:val="00537248"/>
    <w:rsid w:val="005375CB"/>
    <w:rsid w:val="005400C5"/>
    <w:rsid w:val="00542217"/>
    <w:rsid w:val="00542258"/>
    <w:rsid w:val="00543143"/>
    <w:rsid w:val="0054345F"/>
    <w:rsid w:val="005439FA"/>
    <w:rsid w:val="00543DB5"/>
    <w:rsid w:val="0054441C"/>
    <w:rsid w:val="00545CEC"/>
    <w:rsid w:val="005469C6"/>
    <w:rsid w:val="00546B4D"/>
    <w:rsid w:val="00553C52"/>
    <w:rsid w:val="005562AD"/>
    <w:rsid w:val="0055635C"/>
    <w:rsid w:val="0055671E"/>
    <w:rsid w:val="00556F7B"/>
    <w:rsid w:val="00560D5A"/>
    <w:rsid w:val="00564D2C"/>
    <w:rsid w:val="00565C95"/>
    <w:rsid w:val="00566634"/>
    <w:rsid w:val="005671CD"/>
    <w:rsid w:val="0056750A"/>
    <w:rsid w:val="005677EF"/>
    <w:rsid w:val="0057058E"/>
    <w:rsid w:val="00570BF7"/>
    <w:rsid w:val="00571B5F"/>
    <w:rsid w:val="00573F55"/>
    <w:rsid w:val="00574E11"/>
    <w:rsid w:val="00575F4A"/>
    <w:rsid w:val="005775BD"/>
    <w:rsid w:val="0058094D"/>
    <w:rsid w:val="00581921"/>
    <w:rsid w:val="00581B89"/>
    <w:rsid w:val="005821C7"/>
    <w:rsid w:val="0058237A"/>
    <w:rsid w:val="00582D66"/>
    <w:rsid w:val="00584FED"/>
    <w:rsid w:val="00585A9C"/>
    <w:rsid w:val="00586658"/>
    <w:rsid w:val="00586ADD"/>
    <w:rsid w:val="00586C70"/>
    <w:rsid w:val="0059134E"/>
    <w:rsid w:val="00597F4A"/>
    <w:rsid w:val="005A0BD2"/>
    <w:rsid w:val="005A0CBF"/>
    <w:rsid w:val="005A1B94"/>
    <w:rsid w:val="005A206E"/>
    <w:rsid w:val="005A27CA"/>
    <w:rsid w:val="005A2CD3"/>
    <w:rsid w:val="005A2FCC"/>
    <w:rsid w:val="005A324F"/>
    <w:rsid w:val="005A3D7A"/>
    <w:rsid w:val="005A4C4A"/>
    <w:rsid w:val="005B1E7B"/>
    <w:rsid w:val="005B1F6A"/>
    <w:rsid w:val="005B4007"/>
    <w:rsid w:val="005B552E"/>
    <w:rsid w:val="005B55C9"/>
    <w:rsid w:val="005B5B0F"/>
    <w:rsid w:val="005B6DBC"/>
    <w:rsid w:val="005C0EDC"/>
    <w:rsid w:val="005C3097"/>
    <w:rsid w:val="005C3DD8"/>
    <w:rsid w:val="005C4A32"/>
    <w:rsid w:val="005C5840"/>
    <w:rsid w:val="005C5A79"/>
    <w:rsid w:val="005C5C07"/>
    <w:rsid w:val="005C6160"/>
    <w:rsid w:val="005C6662"/>
    <w:rsid w:val="005D1F0A"/>
    <w:rsid w:val="005D3E1E"/>
    <w:rsid w:val="005D502D"/>
    <w:rsid w:val="005D5618"/>
    <w:rsid w:val="005D6BEC"/>
    <w:rsid w:val="005D7E4C"/>
    <w:rsid w:val="005E04E9"/>
    <w:rsid w:val="005E0641"/>
    <w:rsid w:val="005E0E58"/>
    <w:rsid w:val="005E2605"/>
    <w:rsid w:val="005E2FB0"/>
    <w:rsid w:val="005E5AED"/>
    <w:rsid w:val="005E643A"/>
    <w:rsid w:val="005F05C2"/>
    <w:rsid w:val="005F1627"/>
    <w:rsid w:val="005F1D43"/>
    <w:rsid w:val="005F27AE"/>
    <w:rsid w:val="005F27CF"/>
    <w:rsid w:val="005F5D90"/>
    <w:rsid w:val="005F60A3"/>
    <w:rsid w:val="005F650D"/>
    <w:rsid w:val="005F6AF4"/>
    <w:rsid w:val="005F6F88"/>
    <w:rsid w:val="005F7443"/>
    <w:rsid w:val="005F76C2"/>
    <w:rsid w:val="00601400"/>
    <w:rsid w:val="00603545"/>
    <w:rsid w:val="00604CBA"/>
    <w:rsid w:val="006063BC"/>
    <w:rsid w:val="00607338"/>
    <w:rsid w:val="00610CD0"/>
    <w:rsid w:val="00612121"/>
    <w:rsid w:val="0061389D"/>
    <w:rsid w:val="006139FD"/>
    <w:rsid w:val="00615E6B"/>
    <w:rsid w:val="00616C1C"/>
    <w:rsid w:val="00620300"/>
    <w:rsid w:val="006204B0"/>
    <w:rsid w:val="00630163"/>
    <w:rsid w:val="0063589E"/>
    <w:rsid w:val="0064064E"/>
    <w:rsid w:val="00640C77"/>
    <w:rsid w:val="00641794"/>
    <w:rsid w:val="006467B0"/>
    <w:rsid w:val="0064680C"/>
    <w:rsid w:val="00652B7C"/>
    <w:rsid w:val="006535B8"/>
    <w:rsid w:val="00653729"/>
    <w:rsid w:val="006539EC"/>
    <w:rsid w:val="0065644B"/>
    <w:rsid w:val="00657ED6"/>
    <w:rsid w:val="00662125"/>
    <w:rsid w:val="00664381"/>
    <w:rsid w:val="0066655B"/>
    <w:rsid w:val="00666B09"/>
    <w:rsid w:val="006673E4"/>
    <w:rsid w:val="00667754"/>
    <w:rsid w:val="006701B0"/>
    <w:rsid w:val="00670D2D"/>
    <w:rsid w:val="00671A11"/>
    <w:rsid w:val="006725E6"/>
    <w:rsid w:val="006734D7"/>
    <w:rsid w:val="00673FE1"/>
    <w:rsid w:val="00674005"/>
    <w:rsid w:val="00674C84"/>
    <w:rsid w:val="0067513D"/>
    <w:rsid w:val="006766F1"/>
    <w:rsid w:val="00684155"/>
    <w:rsid w:val="006864E0"/>
    <w:rsid w:val="0068779F"/>
    <w:rsid w:val="006904F9"/>
    <w:rsid w:val="00692B46"/>
    <w:rsid w:val="006936E8"/>
    <w:rsid w:val="00693AB7"/>
    <w:rsid w:val="00694920"/>
    <w:rsid w:val="00695E8C"/>
    <w:rsid w:val="00697A7D"/>
    <w:rsid w:val="006A00AB"/>
    <w:rsid w:val="006A050B"/>
    <w:rsid w:val="006A1812"/>
    <w:rsid w:val="006A4645"/>
    <w:rsid w:val="006A5F3E"/>
    <w:rsid w:val="006A6B05"/>
    <w:rsid w:val="006B08B2"/>
    <w:rsid w:val="006B1AE9"/>
    <w:rsid w:val="006B27D8"/>
    <w:rsid w:val="006B293D"/>
    <w:rsid w:val="006B2C87"/>
    <w:rsid w:val="006B4FDA"/>
    <w:rsid w:val="006B7D27"/>
    <w:rsid w:val="006C181E"/>
    <w:rsid w:val="006C37B7"/>
    <w:rsid w:val="006C4E94"/>
    <w:rsid w:val="006C5387"/>
    <w:rsid w:val="006C56CA"/>
    <w:rsid w:val="006C6125"/>
    <w:rsid w:val="006C7A26"/>
    <w:rsid w:val="006C7C29"/>
    <w:rsid w:val="006D0FDA"/>
    <w:rsid w:val="006D62DB"/>
    <w:rsid w:val="006D67F8"/>
    <w:rsid w:val="006D692C"/>
    <w:rsid w:val="006D694B"/>
    <w:rsid w:val="006D7FD7"/>
    <w:rsid w:val="006E0DDC"/>
    <w:rsid w:val="006E11B7"/>
    <w:rsid w:val="006E1647"/>
    <w:rsid w:val="006E1809"/>
    <w:rsid w:val="006E2887"/>
    <w:rsid w:val="006E2F67"/>
    <w:rsid w:val="006F3A45"/>
    <w:rsid w:val="006F5767"/>
    <w:rsid w:val="006F5B3A"/>
    <w:rsid w:val="006F6981"/>
    <w:rsid w:val="006F6E83"/>
    <w:rsid w:val="006F73C2"/>
    <w:rsid w:val="00701611"/>
    <w:rsid w:val="007029B2"/>
    <w:rsid w:val="00707510"/>
    <w:rsid w:val="00707F1F"/>
    <w:rsid w:val="00710341"/>
    <w:rsid w:val="007106E7"/>
    <w:rsid w:val="00711DFE"/>
    <w:rsid w:val="007124D0"/>
    <w:rsid w:val="0071261C"/>
    <w:rsid w:val="0071494A"/>
    <w:rsid w:val="00714BF3"/>
    <w:rsid w:val="0071641D"/>
    <w:rsid w:val="00720759"/>
    <w:rsid w:val="00720B74"/>
    <w:rsid w:val="00721E86"/>
    <w:rsid w:val="00726530"/>
    <w:rsid w:val="007315CE"/>
    <w:rsid w:val="00731C42"/>
    <w:rsid w:val="00732B8D"/>
    <w:rsid w:val="00732E0D"/>
    <w:rsid w:val="00733F10"/>
    <w:rsid w:val="0073601F"/>
    <w:rsid w:val="00736079"/>
    <w:rsid w:val="00736611"/>
    <w:rsid w:val="00736948"/>
    <w:rsid w:val="00737EBC"/>
    <w:rsid w:val="00741887"/>
    <w:rsid w:val="00741D30"/>
    <w:rsid w:val="00742986"/>
    <w:rsid w:val="007439BE"/>
    <w:rsid w:val="00744810"/>
    <w:rsid w:val="007508AA"/>
    <w:rsid w:val="00750F77"/>
    <w:rsid w:val="00751427"/>
    <w:rsid w:val="007516BE"/>
    <w:rsid w:val="00751B26"/>
    <w:rsid w:val="007537C0"/>
    <w:rsid w:val="00753906"/>
    <w:rsid w:val="00753FD1"/>
    <w:rsid w:val="0075511E"/>
    <w:rsid w:val="007555AD"/>
    <w:rsid w:val="007557C1"/>
    <w:rsid w:val="007559A8"/>
    <w:rsid w:val="007575C0"/>
    <w:rsid w:val="00757809"/>
    <w:rsid w:val="00764C9E"/>
    <w:rsid w:val="0076668C"/>
    <w:rsid w:val="00767848"/>
    <w:rsid w:val="00771889"/>
    <w:rsid w:val="00771F03"/>
    <w:rsid w:val="00774613"/>
    <w:rsid w:val="007749F6"/>
    <w:rsid w:val="00777278"/>
    <w:rsid w:val="00777C57"/>
    <w:rsid w:val="0078060C"/>
    <w:rsid w:val="00780B04"/>
    <w:rsid w:val="007834C3"/>
    <w:rsid w:val="00783828"/>
    <w:rsid w:val="007843C1"/>
    <w:rsid w:val="00784A3E"/>
    <w:rsid w:val="00785D61"/>
    <w:rsid w:val="00786412"/>
    <w:rsid w:val="00786D4E"/>
    <w:rsid w:val="007870DE"/>
    <w:rsid w:val="00787908"/>
    <w:rsid w:val="00790C37"/>
    <w:rsid w:val="00791E8F"/>
    <w:rsid w:val="007922C0"/>
    <w:rsid w:val="00793B8C"/>
    <w:rsid w:val="00793DE0"/>
    <w:rsid w:val="0079446D"/>
    <w:rsid w:val="00794D52"/>
    <w:rsid w:val="007972C4"/>
    <w:rsid w:val="007977A8"/>
    <w:rsid w:val="0079790B"/>
    <w:rsid w:val="007A0622"/>
    <w:rsid w:val="007A2964"/>
    <w:rsid w:val="007A3328"/>
    <w:rsid w:val="007A6329"/>
    <w:rsid w:val="007A6FE3"/>
    <w:rsid w:val="007A7E0B"/>
    <w:rsid w:val="007B17CF"/>
    <w:rsid w:val="007B2902"/>
    <w:rsid w:val="007B4216"/>
    <w:rsid w:val="007B4AD4"/>
    <w:rsid w:val="007B54D9"/>
    <w:rsid w:val="007B60B6"/>
    <w:rsid w:val="007B60EE"/>
    <w:rsid w:val="007B67D5"/>
    <w:rsid w:val="007B7988"/>
    <w:rsid w:val="007B7D40"/>
    <w:rsid w:val="007C1567"/>
    <w:rsid w:val="007C346A"/>
    <w:rsid w:val="007C41B6"/>
    <w:rsid w:val="007C5C69"/>
    <w:rsid w:val="007C5DD8"/>
    <w:rsid w:val="007C77BC"/>
    <w:rsid w:val="007D016B"/>
    <w:rsid w:val="007D0422"/>
    <w:rsid w:val="007D0996"/>
    <w:rsid w:val="007D1142"/>
    <w:rsid w:val="007D209F"/>
    <w:rsid w:val="007D2FC8"/>
    <w:rsid w:val="007D63D1"/>
    <w:rsid w:val="007D74DD"/>
    <w:rsid w:val="007E08D0"/>
    <w:rsid w:val="007E1A82"/>
    <w:rsid w:val="007E4100"/>
    <w:rsid w:val="007E581B"/>
    <w:rsid w:val="007F016F"/>
    <w:rsid w:val="007F0A3A"/>
    <w:rsid w:val="007F2604"/>
    <w:rsid w:val="007F35AD"/>
    <w:rsid w:val="007F6DC9"/>
    <w:rsid w:val="007F75CE"/>
    <w:rsid w:val="007F7C8D"/>
    <w:rsid w:val="008001A3"/>
    <w:rsid w:val="008037B3"/>
    <w:rsid w:val="00804B6C"/>
    <w:rsid w:val="00805787"/>
    <w:rsid w:val="008063D0"/>
    <w:rsid w:val="0080767A"/>
    <w:rsid w:val="00807C6C"/>
    <w:rsid w:val="00807F4E"/>
    <w:rsid w:val="00810B3E"/>
    <w:rsid w:val="008128AF"/>
    <w:rsid w:val="00821B7B"/>
    <w:rsid w:val="00821F9A"/>
    <w:rsid w:val="008222F9"/>
    <w:rsid w:val="00823EB1"/>
    <w:rsid w:val="0082792C"/>
    <w:rsid w:val="008279B3"/>
    <w:rsid w:val="00827E0F"/>
    <w:rsid w:val="00827EEB"/>
    <w:rsid w:val="008318C4"/>
    <w:rsid w:val="00831992"/>
    <w:rsid w:val="00832067"/>
    <w:rsid w:val="00832E1F"/>
    <w:rsid w:val="00832FC9"/>
    <w:rsid w:val="00833BC6"/>
    <w:rsid w:val="00833C27"/>
    <w:rsid w:val="00833E07"/>
    <w:rsid w:val="00834278"/>
    <w:rsid w:val="008342E0"/>
    <w:rsid w:val="00835A7A"/>
    <w:rsid w:val="00835EBA"/>
    <w:rsid w:val="0083790C"/>
    <w:rsid w:val="0084113C"/>
    <w:rsid w:val="00842E61"/>
    <w:rsid w:val="00844A10"/>
    <w:rsid w:val="008466A7"/>
    <w:rsid w:val="008505C3"/>
    <w:rsid w:val="00852DC2"/>
    <w:rsid w:val="0085353F"/>
    <w:rsid w:val="008550AC"/>
    <w:rsid w:val="00855508"/>
    <w:rsid w:val="00857635"/>
    <w:rsid w:val="00861D68"/>
    <w:rsid w:val="00864993"/>
    <w:rsid w:val="008654CE"/>
    <w:rsid w:val="00865C0F"/>
    <w:rsid w:val="008675A2"/>
    <w:rsid w:val="00867BA0"/>
    <w:rsid w:val="00870291"/>
    <w:rsid w:val="00870307"/>
    <w:rsid w:val="0087041C"/>
    <w:rsid w:val="00870F54"/>
    <w:rsid w:val="0087366E"/>
    <w:rsid w:val="00874541"/>
    <w:rsid w:val="00874574"/>
    <w:rsid w:val="00875A8C"/>
    <w:rsid w:val="00876C15"/>
    <w:rsid w:val="008800D9"/>
    <w:rsid w:val="00882365"/>
    <w:rsid w:val="00882AAA"/>
    <w:rsid w:val="00882C05"/>
    <w:rsid w:val="00882DE0"/>
    <w:rsid w:val="0088310E"/>
    <w:rsid w:val="00887004"/>
    <w:rsid w:val="00890067"/>
    <w:rsid w:val="00891D2A"/>
    <w:rsid w:val="008949B8"/>
    <w:rsid w:val="008955B8"/>
    <w:rsid w:val="0089575F"/>
    <w:rsid w:val="008958E8"/>
    <w:rsid w:val="00895CB3"/>
    <w:rsid w:val="008A05D5"/>
    <w:rsid w:val="008A2FC9"/>
    <w:rsid w:val="008B3FC3"/>
    <w:rsid w:val="008B4A49"/>
    <w:rsid w:val="008B5BF6"/>
    <w:rsid w:val="008B611E"/>
    <w:rsid w:val="008B6244"/>
    <w:rsid w:val="008B7506"/>
    <w:rsid w:val="008C3AF8"/>
    <w:rsid w:val="008C4501"/>
    <w:rsid w:val="008C6477"/>
    <w:rsid w:val="008C6E20"/>
    <w:rsid w:val="008C74F6"/>
    <w:rsid w:val="008C7F9C"/>
    <w:rsid w:val="008D0550"/>
    <w:rsid w:val="008D0D71"/>
    <w:rsid w:val="008D1F4B"/>
    <w:rsid w:val="008D3F74"/>
    <w:rsid w:val="008D4944"/>
    <w:rsid w:val="008D54FA"/>
    <w:rsid w:val="008D5F10"/>
    <w:rsid w:val="008D6432"/>
    <w:rsid w:val="008D7FE5"/>
    <w:rsid w:val="008E0581"/>
    <w:rsid w:val="008E0833"/>
    <w:rsid w:val="008E194C"/>
    <w:rsid w:val="008E3144"/>
    <w:rsid w:val="008E32E7"/>
    <w:rsid w:val="008E33FC"/>
    <w:rsid w:val="008E6143"/>
    <w:rsid w:val="008E674F"/>
    <w:rsid w:val="008E6AEB"/>
    <w:rsid w:val="008F2A81"/>
    <w:rsid w:val="008F3D68"/>
    <w:rsid w:val="008F4CA7"/>
    <w:rsid w:val="009000FF"/>
    <w:rsid w:val="009008FA"/>
    <w:rsid w:val="0090124E"/>
    <w:rsid w:val="00902ACA"/>
    <w:rsid w:val="00902AEE"/>
    <w:rsid w:val="00904B14"/>
    <w:rsid w:val="00905251"/>
    <w:rsid w:val="0090602D"/>
    <w:rsid w:val="00907967"/>
    <w:rsid w:val="009106F8"/>
    <w:rsid w:val="00911A5A"/>
    <w:rsid w:val="00912B1B"/>
    <w:rsid w:val="00914932"/>
    <w:rsid w:val="0091658F"/>
    <w:rsid w:val="009171F2"/>
    <w:rsid w:val="009204CD"/>
    <w:rsid w:val="00921AD8"/>
    <w:rsid w:val="00922305"/>
    <w:rsid w:val="0092346F"/>
    <w:rsid w:val="009240F1"/>
    <w:rsid w:val="009253B2"/>
    <w:rsid w:val="009268FB"/>
    <w:rsid w:val="009269B6"/>
    <w:rsid w:val="00927350"/>
    <w:rsid w:val="009316A3"/>
    <w:rsid w:val="00932639"/>
    <w:rsid w:val="00935461"/>
    <w:rsid w:val="00935E98"/>
    <w:rsid w:val="0093627A"/>
    <w:rsid w:val="009375E3"/>
    <w:rsid w:val="00940415"/>
    <w:rsid w:val="0094289D"/>
    <w:rsid w:val="009437FB"/>
    <w:rsid w:val="009440B0"/>
    <w:rsid w:val="0094443F"/>
    <w:rsid w:val="009453EF"/>
    <w:rsid w:val="009459E3"/>
    <w:rsid w:val="0094624F"/>
    <w:rsid w:val="0094665E"/>
    <w:rsid w:val="00946E8D"/>
    <w:rsid w:val="00947174"/>
    <w:rsid w:val="00952D20"/>
    <w:rsid w:val="009535AB"/>
    <w:rsid w:val="00954343"/>
    <w:rsid w:val="009544A0"/>
    <w:rsid w:val="0095484F"/>
    <w:rsid w:val="009550CD"/>
    <w:rsid w:val="009558D5"/>
    <w:rsid w:val="009559C1"/>
    <w:rsid w:val="00957F8D"/>
    <w:rsid w:val="00960730"/>
    <w:rsid w:val="0096595D"/>
    <w:rsid w:val="009659A2"/>
    <w:rsid w:val="00967939"/>
    <w:rsid w:val="00967A4F"/>
    <w:rsid w:val="00970D0C"/>
    <w:rsid w:val="00971148"/>
    <w:rsid w:val="00971C1A"/>
    <w:rsid w:val="00973211"/>
    <w:rsid w:val="00973258"/>
    <w:rsid w:val="0097426A"/>
    <w:rsid w:val="0097607C"/>
    <w:rsid w:val="00980047"/>
    <w:rsid w:val="00980FEA"/>
    <w:rsid w:val="00983277"/>
    <w:rsid w:val="009842D3"/>
    <w:rsid w:val="00985808"/>
    <w:rsid w:val="00985A77"/>
    <w:rsid w:val="00987242"/>
    <w:rsid w:val="009909D8"/>
    <w:rsid w:val="00991092"/>
    <w:rsid w:val="00993497"/>
    <w:rsid w:val="0099525A"/>
    <w:rsid w:val="00995669"/>
    <w:rsid w:val="00995DDC"/>
    <w:rsid w:val="00996144"/>
    <w:rsid w:val="00997CDD"/>
    <w:rsid w:val="00997E3B"/>
    <w:rsid w:val="009A098A"/>
    <w:rsid w:val="009A1C74"/>
    <w:rsid w:val="009A4298"/>
    <w:rsid w:val="009A7503"/>
    <w:rsid w:val="009B0890"/>
    <w:rsid w:val="009B1302"/>
    <w:rsid w:val="009B2759"/>
    <w:rsid w:val="009B2E93"/>
    <w:rsid w:val="009C07D6"/>
    <w:rsid w:val="009C1114"/>
    <w:rsid w:val="009C1918"/>
    <w:rsid w:val="009C270E"/>
    <w:rsid w:val="009C3792"/>
    <w:rsid w:val="009C4734"/>
    <w:rsid w:val="009C6F97"/>
    <w:rsid w:val="009D187F"/>
    <w:rsid w:val="009D1D47"/>
    <w:rsid w:val="009D2C1C"/>
    <w:rsid w:val="009D2E8A"/>
    <w:rsid w:val="009D340D"/>
    <w:rsid w:val="009D42DB"/>
    <w:rsid w:val="009D43B2"/>
    <w:rsid w:val="009D4AAB"/>
    <w:rsid w:val="009D4D05"/>
    <w:rsid w:val="009D5E68"/>
    <w:rsid w:val="009D7516"/>
    <w:rsid w:val="009D7AC5"/>
    <w:rsid w:val="009E3298"/>
    <w:rsid w:val="009E52C0"/>
    <w:rsid w:val="009F1252"/>
    <w:rsid w:val="009F1EA7"/>
    <w:rsid w:val="009F23E8"/>
    <w:rsid w:val="009F310F"/>
    <w:rsid w:val="009F3708"/>
    <w:rsid w:val="009F3AC9"/>
    <w:rsid w:val="009F499A"/>
    <w:rsid w:val="009F4ECA"/>
    <w:rsid w:val="009F7272"/>
    <w:rsid w:val="00A01281"/>
    <w:rsid w:val="00A0326F"/>
    <w:rsid w:val="00A04B64"/>
    <w:rsid w:val="00A05E5E"/>
    <w:rsid w:val="00A06F7D"/>
    <w:rsid w:val="00A1006A"/>
    <w:rsid w:val="00A1125C"/>
    <w:rsid w:val="00A11BAE"/>
    <w:rsid w:val="00A130F9"/>
    <w:rsid w:val="00A13E44"/>
    <w:rsid w:val="00A151D3"/>
    <w:rsid w:val="00A15E42"/>
    <w:rsid w:val="00A240E2"/>
    <w:rsid w:val="00A24235"/>
    <w:rsid w:val="00A24953"/>
    <w:rsid w:val="00A24FB6"/>
    <w:rsid w:val="00A256B7"/>
    <w:rsid w:val="00A26F99"/>
    <w:rsid w:val="00A2767F"/>
    <w:rsid w:val="00A27DA0"/>
    <w:rsid w:val="00A315DA"/>
    <w:rsid w:val="00A34F3C"/>
    <w:rsid w:val="00A36A35"/>
    <w:rsid w:val="00A377E8"/>
    <w:rsid w:val="00A37B24"/>
    <w:rsid w:val="00A403D6"/>
    <w:rsid w:val="00A40684"/>
    <w:rsid w:val="00A40A18"/>
    <w:rsid w:val="00A40DD6"/>
    <w:rsid w:val="00A41E6C"/>
    <w:rsid w:val="00A428F8"/>
    <w:rsid w:val="00A43C84"/>
    <w:rsid w:val="00A46CC5"/>
    <w:rsid w:val="00A475B8"/>
    <w:rsid w:val="00A528D2"/>
    <w:rsid w:val="00A54FA0"/>
    <w:rsid w:val="00A55CEC"/>
    <w:rsid w:val="00A55F77"/>
    <w:rsid w:val="00A56806"/>
    <w:rsid w:val="00A601AB"/>
    <w:rsid w:val="00A607EC"/>
    <w:rsid w:val="00A62372"/>
    <w:rsid w:val="00A708DD"/>
    <w:rsid w:val="00A729F2"/>
    <w:rsid w:val="00A753CA"/>
    <w:rsid w:val="00A757C4"/>
    <w:rsid w:val="00A75E3A"/>
    <w:rsid w:val="00A76BB3"/>
    <w:rsid w:val="00A80309"/>
    <w:rsid w:val="00A80B34"/>
    <w:rsid w:val="00A80D36"/>
    <w:rsid w:val="00A8198C"/>
    <w:rsid w:val="00A833CD"/>
    <w:rsid w:val="00A90958"/>
    <w:rsid w:val="00A92B0E"/>
    <w:rsid w:val="00A93FBE"/>
    <w:rsid w:val="00A94552"/>
    <w:rsid w:val="00A946D6"/>
    <w:rsid w:val="00A95D22"/>
    <w:rsid w:val="00A96053"/>
    <w:rsid w:val="00A96B21"/>
    <w:rsid w:val="00A96B89"/>
    <w:rsid w:val="00A96DEC"/>
    <w:rsid w:val="00AA22BA"/>
    <w:rsid w:val="00AA64BB"/>
    <w:rsid w:val="00AA6A3F"/>
    <w:rsid w:val="00AA6B74"/>
    <w:rsid w:val="00AA75E0"/>
    <w:rsid w:val="00AA7E2C"/>
    <w:rsid w:val="00AB0B50"/>
    <w:rsid w:val="00AB4981"/>
    <w:rsid w:val="00AB52BA"/>
    <w:rsid w:val="00AB5F73"/>
    <w:rsid w:val="00AB7898"/>
    <w:rsid w:val="00AC1D4F"/>
    <w:rsid w:val="00AC28F7"/>
    <w:rsid w:val="00AC3555"/>
    <w:rsid w:val="00AC3EB6"/>
    <w:rsid w:val="00AC4929"/>
    <w:rsid w:val="00AD13FD"/>
    <w:rsid w:val="00AD291D"/>
    <w:rsid w:val="00AD46EA"/>
    <w:rsid w:val="00AD6ED7"/>
    <w:rsid w:val="00AD75AF"/>
    <w:rsid w:val="00AD7D9E"/>
    <w:rsid w:val="00AE0D79"/>
    <w:rsid w:val="00AE1A95"/>
    <w:rsid w:val="00AE1BEF"/>
    <w:rsid w:val="00AE34D0"/>
    <w:rsid w:val="00AE45B4"/>
    <w:rsid w:val="00AE56B0"/>
    <w:rsid w:val="00AF1233"/>
    <w:rsid w:val="00AF1416"/>
    <w:rsid w:val="00AF2947"/>
    <w:rsid w:val="00AF2C6E"/>
    <w:rsid w:val="00AF3C80"/>
    <w:rsid w:val="00AF4723"/>
    <w:rsid w:val="00B00B7D"/>
    <w:rsid w:val="00B014E1"/>
    <w:rsid w:val="00B01E80"/>
    <w:rsid w:val="00B02A27"/>
    <w:rsid w:val="00B0303F"/>
    <w:rsid w:val="00B04D67"/>
    <w:rsid w:val="00B052CC"/>
    <w:rsid w:val="00B05618"/>
    <w:rsid w:val="00B074DA"/>
    <w:rsid w:val="00B077E7"/>
    <w:rsid w:val="00B07DCA"/>
    <w:rsid w:val="00B10113"/>
    <w:rsid w:val="00B1294E"/>
    <w:rsid w:val="00B14C71"/>
    <w:rsid w:val="00B166D5"/>
    <w:rsid w:val="00B16DCE"/>
    <w:rsid w:val="00B1796D"/>
    <w:rsid w:val="00B17F43"/>
    <w:rsid w:val="00B209C4"/>
    <w:rsid w:val="00B21C66"/>
    <w:rsid w:val="00B22EC0"/>
    <w:rsid w:val="00B24DD0"/>
    <w:rsid w:val="00B2672E"/>
    <w:rsid w:val="00B305C2"/>
    <w:rsid w:val="00B309AB"/>
    <w:rsid w:val="00B30B3D"/>
    <w:rsid w:val="00B315DF"/>
    <w:rsid w:val="00B32DE5"/>
    <w:rsid w:val="00B333D7"/>
    <w:rsid w:val="00B33624"/>
    <w:rsid w:val="00B34F2B"/>
    <w:rsid w:val="00B3514E"/>
    <w:rsid w:val="00B3576E"/>
    <w:rsid w:val="00B36EA9"/>
    <w:rsid w:val="00B37DAC"/>
    <w:rsid w:val="00B40C6F"/>
    <w:rsid w:val="00B429CB"/>
    <w:rsid w:val="00B42EB4"/>
    <w:rsid w:val="00B44F28"/>
    <w:rsid w:val="00B44F81"/>
    <w:rsid w:val="00B472EA"/>
    <w:rsid w:val="00B47A7E"/>
    <w:rsid w:val="00B47C9D"/>
    <w:rsid w:val="00B5266C"/>
    <w:rsid w:val="00B53987"/>
    <w:rsid w:val="00B539BA"/>
    <w:rsid w:val="00B57508"/>
    <w:rsid w:val="00B615CE"/>
    <w:rsid w:val="00B61A73"/>
    <w:rsid w:val="00B63210"/>
    <w:rsid w:val="00B640AF"/>
    <w:rsid w:val="00B64557"/>
    <w:rsid w:val="00B67786"/>
    <w:rsid w:val="00B729F2"/>
    <w:rsid w:val="00B748A9"/>
    <w:rsid w:val="00B75443"/>
    <w:rsid w:val="00B757A2"/>
    <w:rsid w:val="00B76DEE"/>
    <w:rsid w:val="00B77470"/>
    <w:rsid w:val="00B8060C"/>
    <w:rsid w:val="00B811CA"/>
    <w:rsid w:val="00B82486"/>
    <w:rsid w:val="00B83802"/>
    <w:rsid w:val="00B838AB"/>
    <w:rsid w:val="00B853FD"/>
    <w:rsid w:val="00B857CF"/>
    <w:rsid w:val="00B9198C"/>
    <w:rsid w:val="00B931D3"/>
    <w:rsid w:val="00B965B5"/>
    <w:rsid w:val="00B96C5A"/>
    <w:rsid w:val="00BA1E1F"/>
    <w:rsid w:val="00BA294C"/>
    <w:rsid w:val="00BA5083"/>
    <w:rsid w:val="00BA5F3F"/>
    <w:rsid w:val="00BA655E"/>
    <w:rsid w:val="00BA779A"/>
    <w:rsid w:val="00BA7FFE"/>
    <w:rsid w:val="00BB0130"/>
    <w:rsid w:val="00BB48A1"/>
    <w:rsid w:val="00BB5F6C"/>
    <w:rsid w:val="00BB6784"/>
    <w:rsid w:val="00BC1368"/>
    <w:rsid w:val="00BC2516"/>
    <w:rsid w:val="00BC2A1C"/>
    <w:rsid w:val="00BC2AA9"/>
    <w:rsid w:val="00BC2BE0"/>
    <w:rsid w:val="00BC33F5"/>
    <w:rsid w:val="00BC389A"/>
    <w:rsid w:val="00BC5FEB"/>
    <w:rsid w:val="00BC6947"/>
    <w:rsid w:val="00BC73F0"/>
    <w:rsid w:val="00BC776E"/>
    <w:rsid w:val="00BD0704"/>
    <w:rsid w:val="00BD1CBD"/>
    <w:rsid w:val="00BD33C3"/>
    <w:rsid w:val="00BD3642"/>
    <w:rsid w:val="00BD3715"/>
    <w:rsid w:val="00BD412E"/>
    <w:rsid w:val="00BD4907"/>
    <w:rsid w:val="00BD58BA"/>
    <w:rsid w:val="00BD6183"/>
    <w:rsid w:val="00BD6269"/>
    <w:rsid w:val="00BD6A00"/>
    <w:rsid w:val="00BD6FCB"/>
    <w:rsid w:val="00BD7C0C"/>
    <w:rsid w:val="00BE1050"/>
    <w:rsid w:val="00BE49BF"/>
    <w:rsid w:val="00BE4B7C"/>
    <w:rsid w:val="00BE4B94"/>
    <w:rsid w:val="00BE534F"/>
    <w:rsid w:val="00BE5F28"/>
    <w:rsid w:val="00BE6153"/>
    <w:rsid w:val="00BE656F"/>
    <w:rsid w:val="00BE7E56"/>
    <w:rsid w:val="00C02CAE"/>
    <w:rsid w:val="00C04135"/>
    <w:rsid w:val="00C042A1"/>
    <w:rsid w:val="00C05A6E"/>
    <w:rsid w:val="00C10F40"/>
    <w:rsid w:val="00C114E6"/>
    <w:rsid w:val="00C1259D"/>
    <w:rsid w:val="00C14C2A"/>
    <w:rsid w:val="00C21416"/>
    <w:rsid w:val="00C2354A"/>
    <w:rsid w:val="00C23A56"/>
    <w:rsid w:val="00C246DA"/>
    <w:rsid w:val="00C2495C"/>
    <w:rsid w:val="00C24BB0"/>
    <w:rsid w:val="00C26C81"/>
    <w:rsid w:val="00C27A53"/>
    <w:rsid w:val="00C3138B"/>
    <w:rsid w:val="00C32864"/>
    <w:rsid w:val="00C35F97"/>
    <w:rsid w:val="00C3617A"/>
    <w:rsid w:val="00C40641"/>
    <w:rsid w:val="00C45BE5"/>
    <w:rsid w:val="00C47085"/>
    <w:rsid w:val="00C473F6"/>
    <w:rsid w:val="00C47F1D"/>
    <w:rsid w:val="00C505F0"/>
    <w:rsid w:val="00C50AA7"/>
    <w:rsid w:val="00C51D31"/>
    <w:rsid w:val="00C524E9"/>
    <w:rsid w:val="00C530EF"/>
    <w:rsid w:val="00C53930"/>
    <w:rsid w:val="00C5531D"/>
    <w:rsid w:val="00C563EF"/>
    <w:rsid w:val="00C600CA"/>
    <w:rsid w:val="00C620D3"/>
    <w:rsid w:val="00C65C60"/>
    <w:rsid w:val="00C66516"/>
    <w:rsid w:val="00C66F66"/>
    <w:rsid w:val="00C67637"/>
    <w:rsid w:val="00C67A95"/>
    <w:rsid w:val="00C7086F"/>
    <w:rsid w:val="00C7144A"/>
    <w:rsid w:val="00C71567"/>
    <w:rsid w:val="00C715DE"/>
    <w:rsid w:val="00C743E2"/>
    <w:rsid w:val="00C74CEF"/>
    <w:rsid w:val="00C74FEC"/>
    <w:rsid w:val="00C7585B"/>
    <w:rsid w:val="00C777CA"/>
    <w:rsid w:val="00C82A6F"/>
    <w:rsid w:val="00C82B1E"/>
    <w:rsid w:val="00C845DC"/>
    <w:rsid w:val="00C863CF"/>
    <w:rsid w:val="00C874D8"/>
    <w:rsid w:val="00C87654"/>
    <w:rsid w:val="00C90BE6"/>
    <w:rsid w:val="00C92644"/>
    <w:rsid w:val="00C932D3"/>
    <w:rsid w:val="00C9713F"/>
    <w:rsid w:val="00C97E33"/>
    <w:rsid w:val="00CA0D68"/>
    <w:rsid w:val="00CA0D82"/>
    <w:rsid w:val="00CA3451"/>
    <w:rsid w:val="00CA3D43"/>
    <w:rsid w:val="00CA3F33"/>
    <w:rsid w:val="00CA484E"/>
    <w:rsid w:val="00CA5441"/>
    <w:rsid w:val="00CA5886"/>
    <w:rsid w:val="00CA68A4"/>
    <w:rsid w:val="00CA6EDB"/>
    <w:rsid w:val="00CA7444"/>
    <w:rsid w:val="00CA7E58"/>
    <w:rsid w:val="00CB0013"/>
    <w:rsid w:val="00CB010A"/>
    <w:rsid w:val="00CB0394"/>
    <w:rsid w:val="00CB0825"/>
    <w:rsid w:val="00CB1EFE"/>
    <w:rsid w:val="00CB285D"/>
    <w:rsid w:val="00CB31F9"/>
    <w:rsid w:val="00CB38A8"/>
    <w:rsid w:val="00CB484C"/>
    <w:rsid w:val="00CB5375"/>
    <w:rsid w:val="00CB5479"/>
    <w:rsid w:val="00CB5E40"/>
    <w:rsid w:val="00CB6BC0"/>
    <w:rsid w:val="00CC0E82"/>
    <w:rsid w:val="00CC334B"/>
    <w:rsid w:val="00CC3722"/>
    <w:rsid w:val="00CC383E"/>
    <w:rsid w:val="00CC407F"/>
    <w:rsid w:val="00CC4586"/>
    <w:rsid w:val="00CC4A4E"/>
    <w:rsid w:val="00CC5197"/>
    <w:rsid w:val="00CC6E1D"/>
    <w:rsid w:val="00CD0D35"/>
    <w:rsid w:val="00CD16D1"/>
    <w:rsid w:val="00CD2EF3"/>
    <w:rsid w:val="00CD3874"/>
    <w:rsid w:val="00CD4274"/>
    <w:rsid w:val="00CD609B"/>
    <w:rsid w:val="00CD7547"/>
    <w:rsid w:val="00CE010C"/>
    <w:rsid w:val="00CE1DFE"/>
    <w:rsid w:val="00CE337A"/>
    <w:rsid w:val="00CE5C81"/>
    <w:rsid w:val="00CE5D44"/>
    <w:rsid w:val="00CE7CDC"/>
    <w:rsid w:val="00CF1F70"/>
    <w:rsid w:val="00CF3393"/>
    <w:rsid w:val="00CF48AE"/>
    <w:rsid w:val="00CF6C48"/>
    <w:rsid w:val="00CF70AB"/>
    <w:rsid w:val="00CF71BC"/>
    <w:rsid w:val="00CF78E5"/>
    <w:rsid w:val="00D007C3"/>
    <w:rsid w:val="00D01800"/>
    <w:rsid w:val="00D01D41"/>
    <w:rsid w:val="00D0201F"/>
    <w:rsid w:val="00D02215"/>
    <w:rsid w:val="00D02640"/>
    <w:rsid w:val="00D02AB1"/>
    <w:rsid w:val="00D04589"/>
    <w:rsid w:val="00D053E3"/>
    <w:rsid w:val="00D0547D"/>
    <w:rsid w:val="00D0715C"/>
    <w:rsid w:val="00D07449"/>
    <w:rsid w:val="00D07B4A"/>
    <w:rsid w:val="00D107BD"/>
    <w:rsid w:val="00D10974"/>
    <w:rsid w:val="00D11C5B"/>
    <w:rsid w:val="00D15D83"/>
    <w:rsid w:val="00D16CFA"/>
    <w:rsid w:val="00D17168"/>
    <w:rsid w:val="00D17E67"/>
    <w:rsid w:val="00D2056D"/>
    <w:rsid w:val="00D20971"/>
    <w:rsid w:val="00D20F60"/>
    <w:rsid w:val="00D21812"/>
    <w:rsid w:val="00D235D4"/>
    <w:rsid w:val="00D23A02"/>
    <w:rsid w:val="00D26883"/>
    <w:rsid w:val="00D3059B"/>
    <w:rsid w:val="00D306DF"/>
    <w:rsid w:val="00D31071"/>
    <w:rsid w:val="00D3123B"/>
    <w:rsid w:val="00D3147B"/>
    <w:rsid w:val="00D31BE6"/>
    <w:rsid w:val="00D33C40"/>
    <w:rsid w:val="00D35A12"/>
    <w:rsid w:val="00D361D5"/>
    <w:rsid w:val="00D36F37"/>
    <w:rsid w:val="00D37841"/>
    <w:rsid w:val="00D37A02"/>
    <w:rsid w:val="00D419E2"/>
    <w:rsid w:val="00D41F22"/>
    <w:rsid w:val="00D4293F"/>
    <w:rsid w:val="00D440DC"/>
    <w:rsid w:val="00D459AE"/>
    <w:rsid w:val="00D4663B"/>
    <w:rsid w:val="00D4766F"/>
    <w:rsid w:val="00D51A1F"/>
    <w:rsid w:val="00D51D03"/>
    <w:rsid w:val="00D54372"/>
    <w:rsid w:val="00D54ABE"/>
    <w:rsid w:val="00D55415"/>
    <w:rsid w:val="00D56463"/>
    <w:rsid w:val="00D5699E"/>
    <w:rsid w:val="00D60046"/>
    <w:rsid w:val="00D62831"/>
    <w:rsid w:val="00D62D4D"/>
    <w:rsid w:val="00D667F9"/>
    <w:rsid w:val="00D71355"/>
    <w:rsid w:val="00D71FFB"/>
    <w:rsid w:val="00D73E6B"/>
    <w:rsid w:val="00D7513E"/>
    <w:rsid w:val="00D76E3B"/>
    <w:rsid w:val="00D816B4"/>
    <w:rsid w:val="00D81B06"/>
    <w:rsid w:val="00D83ECE"/>
    <w:rsid w:val="00D86038"/>
    <w:rsid w:val="00D875BD"/>
    <w:rsid w:val="00D90FA3"/>
    <w:rsid w:val="00D931FA"/>
    <w:rsid w:val="00D9366A"/>
    <w:rsid w:val="00D94728"/>
    <w:rsid w:val="00D9516E"/>
    <w:rsid w:val="00D95D56"/>
    <w:rsid w:val="00D966BD"/>
    <w:rsid w:val="00D96CF9"/>
    <w:rsid w:val="00D97EBB"/>
    <w:rsid w:val="00DA078A"/>
    <w:rsid w:val="00DA140F"/>
    <w:rsid w:val="00DA18EB"/>
    <w:rsid w:val="00DA2252"/>
    <w:rsid w:val="00DA3EAC"/>
    <w:rsid w:val="00DA5D51"/>
    <w:rsid w:val="00DB0F7C"/>
    <w:rsid w:val="00DB12B2"/>
    <w:rsid w:val="00DB20AD"/>
    <w:rsid w:val="00DB2B5C"/>
    <w:rsid w:val="00DB34BC"/>
    <w:rsid w:val="00DB4B9C"/>
    <w:rsid w:val="00DB5543"/>
    <w:rsid w:val="00DB577D"/>
    <w:rsid w:val="00DB63B3"/>
    <w:rsid w:val="00DB75C5"/>
    <w:rsid w:val="00DB7E1F"/>
    <w:rsid w:val="00DC05A5"/>
    <w:rsid w:val="00DC0939"/>
    <w:rsid w:val="00DC0E29"/>
    <w:rsid w:val="00DC23F7"/>
    <w:rsid w:val="00DC35EF"/>
    <w:rsid w:val="00DC7371"/>
    <w:rsid w:val="00DC7816"/>
    <w:rsid w:val="00DD02B8"/>
    <w:rsid w:val="00DD0713"/>
    <w:rsid w:val="00DD1564"/>
    <w:rsid w:val="00DD1E6B"/>
    <w:rsid w:val="00DE24D8"/>
    <w:rsid w:val="00DE59F5"/>
    <w:rsid w:val="00DE5EB0"/>
    <w:rsid w:val="00DE6216"/>
    <w:rsid w:val="00DE64CE"/>
    <w:rsid w:val="00DE6683"/>
    <w:rsid w:val="00DF03B3"/>
    <w:rsid w:val="00DF1025"/>
    <w:rsid w:val="00DF152C"/>
    <w:rsid w:val="00DF21EE"/>
    <w:rsid w:val="00DF2945"/>
    <w:rsid w:val="00DF2C69"/>
    <w:rsid w:val="00DF4D51"/>
    <w:rsid w:val="00DF60AA"/>
    <w:rsid w:val="00DF6DE8"/>
    <w:rsid w:val="00E005A2"/>
    <w:rsid w:val="00E01399"/>
    <w:rsid w:val="00E01736"/>
    <w:rsid w:val="00E019F0"/>
    <w:rsid w:val="00E031C7"/>
    <w:rsid w:val="00E041E5"/>
    <w:rsid w:val="00E04CC4"/>
    <w:rsid w:val="00E060BD"/>
    <w:rsid w:val="00E064EF"/>
    <w:rsid w:val="00E06CFF"/>
    <w:rsid w:val="00E1158C"/>
    <w:rsid w:val="00E11881"/>
    <w:rsid w:val="00E12664"/>
    <w:rsid w:val="00E12E3E"/>
    <w:rsid w:val="00E148AC"/>
    <w:rsid w:val="00E1597C"/>
    <w:rsid w:val="00E17832"/>
    <w:rsid w:val="00E20138"/>
    <w:rsid w:val="00E20852"/>
    <w:rsid w:val="00E209FD"/>
    <w:rsid w:val="00E20E23"/>
    <w:rsid w:val="00E213E8"/>
    <w:rsid w:val="00E224AD"/>
    <w:rsid w:val="00E23B9C"/>
    <w:rsid w:val="00E252EF"/>
    <w:rsid w:val="00E2794A"/>
    <w:rsid w:val="00E30C11"/>
    <w:rsid w:val="00E31674"/>
    <w:rsid w:val="00E361F7"/>
    <w:rsid w:val="00E417A3"/>
    <w:rsid w:val="00E4284B"/>
    <w:rsid w:val="00E435AA"/>
    <w:rsid w:val="00E451D9"/>
    <w:rsid w:val="00E45DD3"/>
    <w:rsid w:val="00E4670F"/>
    <w:rsid w:val="00E50B21"/>
    <w:rsid w:val="00E52D22"/>
    <w:rsid w:val="00E5373C"/>
    <w:rsid w:val="00E54ADD"/>
    <w:rsid w:val="00E56CA2"/>
    <w:rsid w:val="00E57D3E"/>
    <w:rsid w:val="00E60D8E"/>
    <w:rsid w:val="00E6179B"/>
    <w:rsid w:val="00E61D1E"/>
    <w:rsid w:val="00E62963"/>
    <w:rsid w:val="00E62BDF"/>
    <w:rsid w:val="00E63AC6"/>
    <w:rsid w:val="00E63C30"/>
    <w:rsid w:val="00E65D15"/>
    <w:rsid w:val="00E65FFD"/>
    <w:rsid w:val="00E66F09"/>
    <w:rsid w:val="00E71932"/>
    <w:rsid w:val="00E719EE"/>
    <w:rsid w:val="00E726C1"/>
    <w:rsid w:val="00E73A27"/>
    <w:rsid w:val="00E74638"/>
    <w:rsid w:val="00E75693"/>
    <w:rsid w:val="00E77269"/>
    <w:rsid w:val="00E774B1"/>
    <w:rsid w:val="00E775BA"/>
    <w:rsid w:val="00E800DE"/>
    <w:rsid w:val="00E82C12"/>
    <w:rsid w:val="00E8419F"/>
    <w:rsid w:val="00E84C8B"/>
    <w:rsid w:val="00E8560F"/>
    <w:rsid w:val="00E901D7"/>
    <w:rsid w:val="00E90486"/>
    <w:rsid w:val="00E90C26"/>
    <w:rsid w:val="00E9108E"/>
    <w:rsid w:val="00E92166"/>
    <w:rsid w:val="00E92180"/>
    <w:rsid w:val="00E92398"/>
    <w:rsid w:val="00E9261B"/>
    <w:rsid w:val="00E9338C"/>
    <w:rsid w:val="00E96A14"/>
    <w:rsid w:val="00EA0222"/>
    <w:rsid w:val="00EA0DBC"/>
    <w:rsid w:val="00EA31B6"/>
    <w:rsid w:val="00EA3C4F"/>
    <w:rsid w:val="00EA4091"/>
    <w:rsid w:val="00EA455B"/>
    <w:rsid w:val="00EA4653"/>
    <w:rsid w:val="00EA7378"/>
    <w:rsid w:val="00EA77EA"/>
    <w:rsid w:val="00EB0821"/>
    <w:rsid w:val="00EB1D92"/>
    <w:rsid w:val="00EB4478"/>
    <w:rsid w:val="00EB47D8"/>
    <w:rsid w:val="00EB56CD"/>
    <w:rsid w:val="00EB6915"/>
    <w:rsid w:val="00EC089B"/>
    <w:rsid w:val="00EC0940"/>
    <w:rsid w:val="00EC0CC2"/>
    <w:rsid w:val="00EC1A00"/>
    <w:rsid w:val="00EC1EE8"/>
    <w:rsid w:val="00EC39A4"/>
    <w:rsid w:val="00EC4E36"/>
    <w:rsid w:val="00EC6566"/>
    <w:rsid w:val="00EC68BC"/>
    <w:rsid w:val="00EC6B77"/>
    <w:rsid w:val="00EC7D1F"/>
    <w:rsid w:val="00ED0391"/>
    <w:rsid w:val="00ED193B"/>
    <w:rsid w:val="00ED2156"/>
    <w:rsid w:val="00ED26EB"/>
    <w:rsid w:val="00ED2758"/>
    <w:rsid w:val="00ED3849"/>
    <w:rsid w:val="00ED497E"/>
    <w:rsid w:val="00ED5C67"/>
    <w:rsid w:val="00ED7A33"/>
    <w:rsid w:val="00EE0764"/>
    <w:rsid w:val="00EE08E6"/>
    <w:rsid w:val="00EE33D5"/>
    <w:rsid w:val="00EE39DE"/>
    <w:rsid w:val="00EE4923"/>
    <w:rsid w:val="00EE4D6F"/>
    <w:rsid w:val="00EE757F"/>
    <w:rsid w:val="00EF138D"/>
    <w:rsid w:val="00EF1C71"/>
    <w:rsid w:val="00EF27C1"/>
    <w:rsid w:val="00EF2FD3"/>
    <w:rsid w:val="00EF314A"/>
    <w:rsid w:val="00EF3962"/>
    <w:rsid w:val="00EF4BE7"/>
    <w:rsid w:val="00EF4DD1"/>
    <w:rsid w:val="00EF56C3"/>
    <w:rsid w:val="00EF5EC0"/>
    <w:rsid w:val="00EF62D8"/>
    <w:rsid w:val="00EF76D8"/>
    <w:rsid w:val="00EF78D6"/>
    <w:rsid w:val="00F003E8"/>
    <w:rsid w:val="00F017B4"/>
    <w:rsid w:val="00F02567"/>
    <w:rsid w:val="00F0573C"/>
    <w:rsid w:val="00F06CEE"/>
    <w:rsid w:val="00F121F5"/>
    <w:rsid w:val="00F1250D"/>
    <w:rsid w:val="00F14028"/>
    <w:rsid w:val="00F147DD"/>
    <w:rsid w:val="00F14896"/>
    <w:rsid w:val="00F148AF"/>
    <w:rsid w:val="00F152C6"/>
    <w:rsid w:val="00F15357"/>
    <w:rsid w:val="00F1568A"/>
    <w:rsid w:val="00F16F6F"/>
    <w:rsid w:val="00F175B5"/>
    <w:rsid w:val="00F17678"/>
    <w:rsid w:val="00F1769D"/>
    <w:rsid w:val="00F206B6"/>
    <w:rsid w:val="00F207C1"/>
    <w:rsid w:val="00F2276E"/>
    <w:rsid w:val="00F22F2F"/>
    <w:rsid w:val="00F23A3A"/>
    <w:rsid w:val="00F23EE9"/>
    <w:rsid w:val="00F258FB"/>
    <w:rsid w:val="00F2592B"/>
    <w:rsid w:val="00F27A10"/>
    <w:rsid w:val="00F27BE5"/>
    <w:rsid w:val="00F27ED8"/>
    <w:rsid w:val="00F313BB"/>
    <w:rsid w:val="00F32F5A"/>
    <w:rsid w:val="00F34BC4"/>
    <w:rsid w:val="00F3555F"/>
    <w:rsid w:val="00F356F8"/>
    <w:rsid w:val="00F35886"/>
    <w:rsid w:val="00F401FF"/>
    <w:rsid w:val="00F4057E"/>
    <w:rsid w:val="00F405F6"/>
    <w:rsid w:val="00F406BE"/>
    <w:rsid w:val="00F41428"/>
    <w:rsid w:val="00F41837"/>
    <w:rsid w:val="00F41CCC"/>
    <w:rsid w:val="00F42442"/>
    <w:rsid w:val="00F434A1"/>
    <w:rsid w:val="00F44395"/>
    <w:rsid w:val="00F45062"/>
    <w:rsid w:val="00F45992"/>
    <w:rsid w:val="00F46A4D"/>
    <w:rsid w:val="00F46CCE"/>
    <w:rsid w:val="00F50792"/>
    <w:rsid w:val="00F515F6"/>
    <w:rsid w:val="00F51DA1"/>
    <w:rsid w:val="00F53DC5"/>
    <w:rsid w:val="00F55D5C"/>
    <w:rsid w:val="00F56F26"/>
    <w:rsid w:val="00F57043"/>
    <w:rsid w:val="00F576D1"/>
    <w:rsid w:val="00F63146"/>
    <w:rsid w:val="00F65400"/>
    <w:rsid w:val="00F67ADC"/>
    <w:rsid w:val="00F67EC6"/>
    <w:rsid w:val="00F70962"/>
    <w:rsid w:val="00F70FB3"/>
    <w:rsid w:val="00F7227F"/>
    <w:rsid w:val="00F73953"/>
    <w:rsid w:val="00F75F90"/>
    <w:rsid w:val="00F77E5A"/>
    <w:rsid w:val="00F80028"/>
    <w:rsid w:val="00F807D2"/>
    <w:rsid w:val="00F81934"/>
    <w:rsid w:val="00F83849"/>
    <w:rsid w:val="00F84408"/>
    <w:rsid w:val="00F84B09"/>
    <w:rsid w:val="00F85640"/>
    <w:rsid w:val="00F861FE"/>
    <w:rsid w:val="00F86B60"/>
    <w:rsid w:val="00F879C9"/>
    <w:rsid w:val="00F87A16"/>
    <w:rsid w:val="00F90B5F"/>
    <w:rsid w:val="00F921D7"/>
    <w:rsid w:val="00F9247A"/>
    <w:rsid w:val="00F92FBF"/>
    <w:rsid w:val="00F93DD8"/>
    <w:rsid w:val="00F9438E"/>
    <w:rsid w:val="00F94C90"/>
    <w:rsid w:val="00F95284"/>
    <w:rsid w:val="00F954FF"/>
    <w:rsid w:val="00F960A3"/>
    <w:rsid w:val="00FA1123"/>
    <w:rsid w:val="00FA11FF"/>
    <w:rsid w:val="00FA18C9"/>
    <w:rsid w:val="00FA1FBE"/>
    <w:rsid w:val="00FA4624"/>
    <w:rsid w:val="00FA5F59"/>
    <w:rsid w:val="00FA60A0"/>
    <w:rsid w:val="00FA6B2B"/>
    <w:rsid w:val="00FB0E4A"/>
    <w:rsid w:val="00FB1832"/>
    <w:rsid w:val="00FB1C21"/>
    <w:rsid w:val="00FB2A09"/>
    <w:rsid w:val="00FB548C"/>
    <w:rsid w:val="00FB6D02"/>
    <w:rsid w:val="00FB7B99"/>
    <w:rsid w:val="00FC0630"/>
    <w:rsid w:val="00FC071F"/>
    <w:rsid w:val="00FC1F12"/>
    <w:rsid w:val="00FC2A1F"/>
    <w:rsid w:val="00FC2F71"/>
    <w:rsid w:val="00FC30C3"/>
    <w:rsid w:val="00FC3906"/>
    <w:rsid w:val="00FC3B93"/>
    <w:rsid w:val="00FC46CF"/>
    <w:rsid w:val="00FC5650"/>
    <w:rsid w:val="00FC578D"/>
    <w:rsid w:val="00FC683E"/>
    <w:rsid w:val="00FC7F11"/>
    <w:rsid w:val="00FD11FA"/>
    <w:rsid w:val="00FD1448"/>
    <w:rsid w:val="00FD282E"/>
    <w:rsid w:val="00FD2866"/>
    <w:rsid w:val="00FD7282"/>
    <w:rsid w:val="00FD76D8"/>
    <w:rsid w:val="00FD7A7E"/>
    <w:rsid w:val="00FD7BD3"/>
    <w:rsid w:val="00FD7DA2"/>
    <w:rsid w:val="00FE0D43"/>
    <w:rsid w:val="00FE114F"/>
    <w:rsid w:val="00FE1450"/>
    <w:rsid w:val="00FE2A1E"/>
    <w:rsid w:val="00FE3521"/>
    <w:rsid w:val="00FE4D94"/>
    <w:rsid w:val="00FE541C"/>
    <w:rsid w:val="00FE5835"/>
    <w:rsid w:val="00FE652A"/>
    <w:rsid w:val="00FF01A3"/>
    <w:rsid w:val="00FF093C"/>
    <w:rsid w:val="00FF5D3E"/>
    <w:rsid w:val="00FF71A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7107F"/>
  <w15:chartTrackingRefBased/>
  <w15:docId w15:val="{185CF906-E152-4637-8335-6881906A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semiHidden/>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D17E67"/>
    <w:pPr>
      <w:numPr>
        <w:numId w:val="2"/>
      </w:num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B838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802"/>
    <w:rPr>
      <w:rFonts w:ascii="Segoe UI" w:eastAsia="Times New Roman" w:hAnsi="Segoe UI" w:cs="Segoe UI"/>
      <w:kern w:val="0"/>
      <w:sz w:val="18"/>
      <w:szCs w:val="18"/>
      <w:lang w:val="en-GB"/>
      <w14:ligatures w14:val="none"/>
    </w:rPr>
  </w:style>
  <w:style w:type="character" w:styleId="Hyperlink">
    <w:name w:val="Hyperlink"/>
    <w:rsid w:val="00B83802"/>
    <w:rPr>
      <w:color w:val="0000FF"/>
      <w:sz w:val="18"/>
      <w:u w:val="single"/>
    </w:rPr>
  </w:style>
  <w:style w:type="character" w:styleId="UnresolvedMention">
    <w:name w:val="Unresolved Mention"/>
    <w:basedOn w:val="DefaultParagraphFont"/>
    <w:uiPriority w:val="99"/>
    <w:semiHidden/>
    <w:unhideWhenUsed/>
    <w:rsid w:val="00BD6A00"/>
    <w:rPr>
      <w:color w:val="605E5C"/>
      <w:shd w:val="clear" w:color="auto" w:fill="E1DFDD"/>
    </w:rPr>
  </w:style>
  <w:style w:type="paragraph" w:styleId="Revision">
    <w:name w:val="Revision"/>
    <w:hidden/>
    <w:uiPriority w:val="99"/>
    <w:semiHidden/>
    <w:rsid w:val="00BD6A00"/>
    <w:pPr>
      <w:spacing w:after="0" w:line="240" w:lineRule="auto"/>
    </w:pPr>
    <w:rPr>
      <w:rFonts w:ascii="Times New Roman" w:eastAsia="Times New Roman" w:hAnsi="Times New Roman" w:cs="Times New Roman"/>
      <w:kern w:val="0"/>
      <w:szCs w:val="24"/>
      <w:lang w:val="en-GB"/>
      <w14:ligatures w14:val="none"/>
    </w:rPr>
  </w:style>
  <w:style w:type="paragraph" w:customStyle="1" w:styleId="CBDTitle">
    <w:name w:val="CBD_Title"/>
    <w:basedOn w:val="Normal"/>
    <w:next w:val="Normal"/>
    <w:qFormat/>
    <w:rsid w:val="004A1145"/>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84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pratt\Desktop\Working%20from%20Home\SBI%204\DOCUMENTS\template-sbi-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507FBE-036D-4FED-916C-F4EC6555C3A9}">
  <ds:schemaRefs>
    <ds:schemaRef ds:uri="http://schemas.openxmlformats.org/officeDocument/2006/bibliography"/>
  </ds:schemaRefs>
</ds:datastoreItem>
</file>

<file path=customXml/itemProps2.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template-sbi-04.dotm</Template>
  <TotalTime>3</TotalTime>
  <Pages>1</Pages>
  <Words>5561</Words>
  <Characters>31703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Financial mechanism</vt:lpstr>
    </vt:vector>
  </TitlesOfParts>
  <Company/>
  <LinksUpToDate>false</LinksUpToDate>
  <CharactersWithSpaces>37190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mechanism</dc:title>
  <dc:subject>CBD/SBI/REC/4/4</dc:subject>
  <dc:creator>CBD</dc:creator>
  <cp:keywords/>
  <dc:description/>
  <cp:lastModifiedBy>Veronique Lefebvre</cp:lastModifiedBy>
  <cp:revision>6</cp:revision>
  <cp:lastPrinted>2024-05-28T11:51:00Z</cp:lastPrinted>
  <dcterms:created xsi:type="dcterms:W3CDTF">2024-07-31T21:00:00Z</dcterms:created>
  <dcterms:modified xsi:type="dcterms:W3CDTF">2024-07-31T21:02:00Z</dcterms:modified>
</cp:coreProperties>
</file>