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4505A8" w14:paraId="5158FD84" w14:textId="77777777" w:rsidTr="00B60E5F">
        <w:trPr>
          <w:trHeight w:val="851"/>
        </w:trPr>
        <w:tc>
          <w:tcPr>
            <w:tcW w:w="465" w:type="pct"/>
            <w:tcBorders>
              <w:bottom w:val="single" w:sz="8" w:space="0" w:color="auto"/>
            </w:tcBorders>
            <w:vAlign w:val="bottom"/>
          </w:tcPr>
          <w:p w14:paraId="2B6BF4B7" w14:textId="77777777" w:rsidR="00A96B21" w:rsidRPr="004505A8" w:rsidRDefault="00A96B21" w:rsidP="00B60E5F">
            <w:pPr>
              <w:spacing w:after="120"/>
              <w:jc w:val="left"/>
            </w:pPr>
            <w:bookmarkStart w:id="0" w:name="_Hlk137651738"/>
            <w:r>
              <w:rPr>
                <w:noProof/>
                <w:lang w:eastAsia="fr-CA"/>
              </w:rPr>
              <w:drawing>
                <wp:inline distT="0" distB="0" distL="0" distR="0" wp14:anchorId="530CE05A" wp14:editId="3007CEF6">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797DDCE" w14:textId="4B69E44A" w:rsidR="00A96B21" w:rsidRPr="004505A8" w:rsidRDefault="009E68D1" w:rsidP="00B60E5F">
            <w:pPr>
              <w:spacing w:after="120"/>
              <w:jc w:val="left"/>
            </w:pPr>
            <w:r w:rsidRPr="00990A3E">
              <w:rPr>
                <w:noProof/>
                <w:lang w:eastAsia="fr-CA"/>
              </w:rPr>
              <w:drawing>
                <wp:inline distT="0" distB="0" distL="0" distR="0" wp14:anchorId="3867B776" wp14:editId="7DF5F5C4">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4825130F" w14:textId="2A6C0719" w:rsidR="00A96B21" w:rsidRPr="0010723C" w:rsidRDefault="00A96B21" w:rsidP="00246CB3">
            <w:pPr>
              <w:spacing w:after="120"/>
              <w:ind w:left="2021"/>
              <w:jc w:val="right"/>
              <w:rPr>
                <w:szCs w:val="22"/>
              </w:rPr>
            </w:pPr>
            <w:r>
              <w:rPr>
                <w:sz w:val="40"/>
                <w:szCs w:val="40"/>
              </w:rPr>
              <w:t>CBD</w:t>
            </w:r>
            <w:r>
              <w:t>/SBI/</w:t>
            </w:r>
            <w:r w:rsidR="00246CB3">
              <w:t>REC/</w:t>
            </w:r>
            <w:r>
              <w:t>4/</w:t>
            </w:r>
            <w:r w:rsidR="00246CB3">
              <w:t>12</w:t>
            </w:r>
            <w:r w:rsidR="00B02AAC">
              <w:rPr>
                <w:rStyle w:val="FootnoteReference"/>
              </w:rPr>
              <w:footnoteReference w:customMarkFollows="1" w:id="2"/>
              <w:t>*</w:t>
            </w:r>
          </w:p>
        </w:tc>
      </w:tr>
      <w:tr w:rsidR="00A96B21" w:rsidRPr="004505A8" w14:paraId="23102254" w14:textId="77777777" w:rsidTr="00B60E5F">
        <w:tc>
          <w:tcPr>
            <w:tcW w:w="2297" w:type="pct"/>
            <w:gridSpan w:val="2"/>
            <w:tcBorders>
              <w:top w:val="single" w:sz="8" w:space="0" w:color="auto"/>
              <w:bottom w:val="single" w:sz="12" w:space="0" w:color="auto"/>
            </w:tcBorders>
          </w:tcPr>
          <w:p w14:paraId="5E028D57" w14:textId="28A61101" w:rsidR="00A96B21" w:rsidRPr="004505A8" w:rsidRDefault="009E68D1" w:rsidP="00B60E5F">
            <w:pPr>
              <w:pStyle w:val="Cornernotation"/>
              <w:suppressLineNumbers/>
              <w:suppressAutoHyphens/>
              <w:spacing w:before="120" w:after="120"/>
              <w:ind w:left="0" w:right="0" w:firstLine="0"/>
            </w:pPr>
            <w:r w:rsidRPr="006E78A2">
              <w:rPr>
                <w:bCs/>
                <w:noProof/>
                <w:szCs w:val="22"/>
                <w:lang w:eastAsia="fr-CA"/>
              </w:rPr>
              <w:drawing>
                <wp:inline distT="0" distB="0" distL="0" distR="0" wp14:anchorId="05E71754" wp14:editId="0D769B54">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22F51B06" w14:textId="10E068EA" w:rsidR="00A96B21" w:rsidRPr="0010723C" w:rsidRDefault="00A96B21" w:rsidP="003C6F10">
            <w:pPr>
              <w:ind w:left="2584"/>
              <w:rPr>
                <w:sz w:val="22"/>
                <w:szCs w:val="22"/>
              </w:rPr>
            </w:pPr>
            <w:r>
              <w:t xml:space="preserve">Distr. : </w:t>
            </w:r>
            <w:r w:rsidR="00246CB3">
              <w:t>Générale</w:t>
            </w:r>
          </w:p>
          <w:p w14:paraId="301A758B" w14:textId="0FA928E5" w:rsidR="00A96B21" w:rsidRPr="0010723C" w:rsidRDefault="007F5DF7" w:rsidP="003C6F10">
            <w:pPr>
              <w:ind w:left="2584"/>
              <w:rPr>
                <w:sz w:val="22"/>
                <w:szCs w:val="22"/>
              </w:rPr>
            </w:pPr>
            <w:r>
              <w:rPr>
                <w:sz w:val="22"/>
                <w:szCs w:val="22"/>
              </w:rPr>
              <w:t>29 mai 2024</w:t>
            </w:r>
          </w:p>
          <w:p w14:paraId="021C3077" w14:textId="3D72FB26" w:rsidR="00A96B21" w:rsidRPr="0010723C" w:rsidRDefault="009E68D1" w:rsidP="003C6F10">
            <w:pPr>
              <w:ind w:left="2584"/>
              <w:rPr>
                <w:sz w:val="22"/>
                <w:szCs w:val="22"/>
              </w:rPr>
            </w:pPr>
            <w:r>
              <w:rPr>
                <w:sz w:val="22"/>
                <w:szCs w:val="22"/>
              </w:rPr>
              <w:t>Français</w:t>
            </w:r>
          </w:p>
          <w:p w14:paraId="0E7BE5FA" w14:textId="77777777" w:rsidR="00A96B21" w:rsidRPr="0010723C" w:rsidRDefault="00A96B21" w:rsidP="003C6F10">
            <w:pPr>
              <w:ind w:left="2584"/>
              <w:rPr>
                <w:sz w:val="22"/>
                <w:szCs w:val="22"/>
              </w:rPr>
            </w:pPr>
            <w:r>
              <w:rPr>
                <w:sz w:val="22"/>
                <w:szCs w:val="22"/>
              </w:rPr>
              <w:t>Original : Anglais</w:t>
            </w:r>
          </w:p>
          <w:p w14:paraId="423269C2" w14:textId="77777777" w:rsidR="00A96B21" w:rsidRPr="0010723C" w:rsidRDefault="00A96B21" w:rsidP="00B60E5F"/>
        </w:tc>
      </w:tr>
    </w:tbl>
    <w:p w14:paraId="3D01A4BE" w14:textId="0C80D428" w:rsidR="00874541" w:rsidRPr="004505A8" w:rsidRDefault="003E0A26" w:rsidP="00A96B21">
      <w:pPr>
        <w:pStyle w:val="Cornernotation"/>
        <w:rPr>
          <w:bCs/>
        </w:rPr>
      </w:pPr>
      <w:r>
        <w:t xml:space="preserve">Organe subsidiaire </w:t>
      </w:r>
      <w:r w:rsidR="00990A3E">
        <w:t xml:space="preserve">chargé de </w:t>
      </w:r>
      <w:r w:rsidR="00990A3E">
        <w:br/>
        <w:t>l’application</w:t>
      </w:r>
      <w:r w:rsidR="00246CB3">
        <w:t xml:space="preserve"> </w:t>
      </w:r>
    </w:p>
    <w:p w14:paraId="0319D7A8" w14:textId="77777777" w:rsidR="00A96B21" w:rsidRPr="004505A8" w:rsidRDefault="003E0A26" w:rsidP="00A96B21">
      <w:pPr>
        <w:pStyle w:val="Cornernotation"/>
        <w:rPr>
          <w:bCs/>
          <w:sz w:val="22"/>
          <w:szCs w:val="22"/>
        </w:rPr>
      </w:pPr>
      <w:r>
        <w:rPr>
          <w:bCs/>
          <w:sz w:val="22"/>
          <w:szCs w:val="22"/>
        </w:rPr>
        <w:t xml:space="preserve">Quatrième réunion </w:t>
      </w:r>
    </w:p>
    <w:p w14:paraId="1172F837" w14:textId="4098C683" w:rsidR="00A96B21" w:rsidRPr="004505A8" w:rsidRDefault="003E0A26" w:rsidP="00A96B21">
      <w:pPr>
        <w:pStyle w:val="Venuedate"/>
      </w:pPr>
      <w:r>
        <w:t>Nairobi, 21-29 mai 2024</w:t>
      </w:r>
    </w:p>
    <w:p w14:paraId="02A90198" w14:textId="382A994F" w:rsidR="00A96B21" w:rsidRPr="004505A8" w:rsidRDefault="00F57885" w:rsidP="00A96B21">
      <w:pPr>
        <w:pStyle w:val="Cornernotation-Item"/>
        <w:rPr>
          <w:b w:val="0"/>
          <w:bCs w:val="0"/>
        </w:rPr>
      </w:pPr>
      <w:r>
        <w:rPr>
          <w:b w:val="0"/>
          <w:bCs w:val="0"/>
        </w:rPr>
        <w:t xml:space="preserve">Point 8 de l’ordre du jour </w:t>
      </w:r>
    </w:p>
    <w:p w14:paraId="28AEE3C2" w14:textId="650DCEE3" w:rsidR="00A96B21" w:rsidRPr="004505A8" w:rsidRDefault="00364353" w:rsidP="004A0EEA">
      <w:pPr>
        <w:pStyle w:val="Cornernotation-Item"/>
        <w:ind w:left="0" w:right="5107" w:firstLine="0"/>
      </w:pPr>
      <w:r>
        <w:t>Examen de l’efficacité des processus</w:t>
      </w:r>
      <w:r w:rsidR="009E68D1">
        <w:t xml:space="preserve"> au titre</w:t>
      </w:r>
      <w:r w:rsidR="006F2D4A">
        <w:t xml:space="preserve"> de la Convention et ses p</w:t>
      </w:r>
      <w:r>
        <w:t>rotocoles</w:t>
      </w:r>
    </w:p>
    <w:bookmarkEnd w:id="0"/>
    <w:p w14:paraId="64A80037" w14:textId="4BCD4789" w:rsidR="003D7FAA" w:rsidRPr="003D7FAA" w:rsidRDefault="003D7FAA" w:rsidP="003D7FAA">
      <w:pPr>
        <w:pStyle w:val="Subtitle"/>
        <w:spacing w:before="120" w:after="120"/>
        <w:ind w:left="540" w:firstLine="27"/>
        <w:jc w:val="left"/>
        <w:rPr>
          <w:rFonts w:ascii="Times New Roman" w:hAnsi="Times New Roman"/>
          <w:color w:val="auto"/>
          <w:sz w:val="28"/>
        </w:rPr>
      </w:pPr>
      <w:r w:rsidRPr="003D7FAA">
        <w:rPr>
          <w:rFonts w:ascii="Times New Roman" w:hAnsi="Times New Roman"/>
          <w:color w:val="auto"/>
          <w:sz w:val="28"/>
        </w:rPr>
        <w:t xml:space="preserve">Recommandation adoptée par l’Organe subsidiaire </w:t>
      </w:r>
      <w:r w:rsidR="00967768">
        <w:rPr>
          <w:rFonts w:ascii="Times New Roman" w:hAnsi="Times New Roman"/>
          <w:color w:val="auto"/>
          <w:sz w:val="28"/>
        </w:rPr>
        <w:t>chargé de l’application</w:t>
      </w:r>
      <w:r w:rsidRPr="003D7FAA">
        <w:rPr>
          <w:rFonts w:ascii="Times New Roman" w:hAnsi="Times New Roman"/>
          <w:color w:val="auto"/>
          <w:sz w:val="28"/>
        </w:rPr>
        <w:t xml:space="preserve"> le 29 mai 2024</w:t>
      </w:r>
    </w:p>
    <w:p w14:paraId="0FC7BC57" w14:textId="77777777" w:rsidR="00A77052" w:rsidRDefault="003D7FAA" w:rsidP="003D7FAA">
      <w:pPr>
        <w:pStyle w:val="Title"/>
        <w:jc w:val="left"/>
      </w:pPr>
      <w:r>
        <w:t>4/12.</w:t>
      </w:r>
      <w:r>
        <w:tab/>
      </w:r>
      <w:r w:rsidR="00A77052">
        <w:t>Examen de l’efficacité des processus au titre de la Convention et de ses protocoles.</w:t>
      </w:r>
    </w:p>
    <w:p w14:paraId="1D3BDB25" w14:textId="67F1085A" w:rsidR="006F2D4A" w:rsidRPr="00A77052" w:rsidRDefault="006F2D4A" w:rsidP="006F2D4A">
      <w:pPr>
        <w:rPr>
          <w:b/>
          <w:sz w:val="24"/>
        </w:rPr>
      </w:pPr>
      <w:r w:rsidRPr="00A77052">
        <w:rPr>
          <w:b/>
          <w:sz w:val="24"/>
        </w:rPr>
        <w:t>I.</w:t>
      </w:r>
      <w:r w:rsidRPr="00A77052">
        <w:rPr>
          <w:b/>
          <w:sz w:val="24"/>
        </w:rPr>
        <w:tab/>
        <w:t>Examen de l’efficacité des processus au titre de la Convention et de ses protocoles</w:t>
      </w:r>
    </w:p>
    <w:p w14:paraId="76B17DAF" w14:textId="77777777" w:rsidR="00A77052" w:rsidRPr="00A77052" w:rsidRDefault="00A77052" w:rsidP="006F2D4A">
      <w:pPr>
        <w:rPr>
          <w:b/>
          <w:sz w:val="24"/>
        </w:rPr>
      </w:pPr>
    </w:p>
    <w:p w14:paraId="4CC186D3" w14:textId="77777777" w:rsidR="00246E07" w:rsidRDefault="00A77052" w:rsidP="00A77052">
      <w:pPr>
        <w:ind w:left="720"/>
        <w:rPr>
          <w:b/>
          <w:sz w:val="24"/>
        </w:rPr>
      </w:pPr>
      <w:r w:rsidRPr="00A77052">
        <w:rPr>
          <w:b/>
          <w:sz w:val="24"/>
        </w:rPr>
        <w:t>A</w:t>
      </w:r>
    </w:p>
    <w:p w14:paraId="122F8B07" w14:textId="375E1D33" w:rsidR="00A77052" w:rsidRPr="00A77052" w:rsidRDefault="00A77052" w:rsidP="00A77052">
      <w:pPr>
        <w:ind w:left="720"/>
        <w:rPr>
          <w:b/>
          <w:sz w:val="24"/>
        </w:rPr>
      </w:pPr>
      <w:r w:rsidRPr="00A77052">
        <w:rPr>
          <w:b/>
          <w:sz w:val="24"/>
        </w:rPr>
        <w:t>Moyens d’améliorer davantage l’efficacité des processus au titre de la Convention et de ses protocoles</w:t>
      </w:r>
    </w:p>
    <w:p w14:paraId="10C4AA5F" w14:textId="4AA2D25E" w:rsidR="00E94E10" w:rsidRDefault="00E94E10" w:rsidP="00E94E10">
      <w:pPr>
        <w:numPr>
          <w:ilvl w:val="1"/>
          <w:numId w:val="0"/>
        </w:numPr>
        <w:spacing w:before="120" w:after="120"/>
        <w:ind w:left="567" w:firstLine="567"/>
        <w:jc w:val="left"/>
        <w:rPr>
          <w:rFonts w:eastAsiaTheme="minorEastAsia"/>
          <w:bCs/>
          <w:i/>
          <w:iCs/>
          <w:szCs w:val="22"/>
        </w:rPr>
      </w:pPr>
      <w:r>
        <w:rPr>
          <w:bCs/>
          <w:i/>
          <w:iCs/>
          <w:szCs w:val="22"/>
        </w:rPr>
        <w:t xml:space="preserve">L’Organe subsidiaire </w:t>
      </w:r>
      <w:r w:rsidR="00990A3E">
        <w:rPr>
          <w:bCs/>
          <w:i/>
          <w:iCs/>
          <w:szCs w:val="22"/>
        </w:rPr>
        <w:t>chargé de l’application</w:t>
      </w:r>
      <w:r>
        <w:rPr>
          <w:bCs/>
          <w:i/>
          <w:iCs/>
          <w:szCs w:val="22"/>
        </w:rPr>
        <w:t xml:space="preserve">  </w:t>
      </w:r>
    </w:p>
    <w:p w14:paraId="63C8C923" w14:textId="49382829" w:rsidR="00E94E10" w:rsidRPr="006811C4" w:rsidRDefault="00E94E10" w:rsidP="00E94E10">
      <w:pPr>
        <w:numPr>
          <w:ilvl w:val="1"/>
          <w:numId w:val="0"/>
        </w:numPr>
        <w:tabs>
          <w:tab w:val="left" w:pos="1701"/>
        </w:tabs>
        <w:spacing w:before="120" w:after="120"/>
        <w:ind w:left="567" w:firstLine="567"/>
        <w:rPr>
          <w:iCs/>
        </w:rPr>
      </w:pPr>
      <w:r>
        <w:t>1.</w:t>
      </w:r>
      <w:r>
        <w:tab/>
      </w:r>
      <w:r>
        <w:rPr>
          <w:i/>
        </w:rPr>
        <w:t>Recommande</w:t>
      </w:r>
      <w:r>
        <w:t xml:space="preserve"> que la Secrétaire exécutive, sous la direction du Bureau, nomme un bassin de représentants qui agiront à titre de présidents de groupes de travail ou de groupes de contact, ou </w:t>
      </w:r>
      <w:r w:rsidR="00EA2541">
        <w:t xml:space="preserve">de </w:t>
      </w:r>
      <w:r>
        <w:t xml:space="preserve">facilitateurs </w:t>
      </w:r>
      <w:r w:rsidR="00EA2541">
        <w:t xml:space="preserve">de groupes </w:t>
      </w:r>
      <w:r>
        <w:t xml:space="preserve">d’amis du président, selon leur capacité à instaurer de la confiance et à établir un consensus parmi ceux dont les points de vue divergent, et selon leur connaissance avérée relative à la question que le groupe doit aborder, bien avant la cinquième réunion de l’Organe subsidiaire </w:t>
      </w:r>
      <w:r w:rsidR="00990A3E">
        <w:t>chargé de l’application</w:t>
      </w:r>
      <w:r>
        <w:t>, la seizième réunion de la Conférence des Parties à la Convention</w:t>
      </w:r>
      <w:r w:rsidR="00EA2541">
        <w:t xml:space="preserve"> sur la diversité biologique</w:t>
      </w:r>
      <w:r>
        <w:t>, la onzième réunion de la Conférence des Parties siégeant en tant que réunion des Parties au Protocole de Cartagena et la cinquième réunion des Parties siégeant en tant que réunion des Parties au Protocole de Nagoya </w:t>
      </w:r>
      <w:r w:rsidR="00EA2541">
        <w:t xml:space="preserve">sur l’accès aux ressources génétiques et le partage juste et équitable des avantages découlant de leur utilisation </w:t>
      </w:r>
      <w:r>
        <w:t xml:space="preserve">; </w:t>
      </w:r>
    </w:p>
    <w:p w14:paraId="28D9409F" w14:textId="77777777" w:rsidR="00E94E10" w:rsidRPr="006811C4" w:rsidRDefault="00E94E10" w:rsidP="00E94E10">
      <w:pPr>
        <w:tabs>
          <w:tab w:val="left" w:pos="1134"/>
          <w:tab w:val="left" w:pos="1701"/>
        </w:tabs>
        <w:spacing w:before="120" w:after="120"/>
        <w:ind w:left="567" w:firstLine="567"/>
      </w:pPr>
      <w:r>
        <w:t>2.</w:t>
      </w:r>
      <w:r>
        <w:rPr>
          <w:i/>
          <w:iCs/>
        </w:rPr>
        <w:tab/>
        <w:t>Prie</w:t>
      </w:r>
      <w:r>
        <w:t xml:space="preserve"> la Secrétaire exécutive, sous réserve de la disponibilité des ressources, de planifier une séance d’orientation ou de formation pour les représentants nommés en vertu du paragraphe ci-dessus avant les réunions, afin qu’ils puissent se familiariser avec les règlements intérieurs et les pratiques, techniques et compétences établies en matière de gestion de négociations multilatérales et d’établissement d’un consensus, dans le but de garantir l’utilisation d’approches éthiques et une impartialité, conformément aux normes et principes des Nations Unies,</w:t>
      </w:r>
    </w:p>
    <w:p w14:paraId="3190E5BC" w14:textId="4F7FFEE1" w:rsidR="00E94E10" w:rsidRPr="006811C4" w:rsidRDefault="00E94E10" w:rsidP="00E94E10">
      <w:pPr>
        <w:tabs>
          <w:tab w:val="left" w:pos="1134"/>
          <w:tab w:val="left" w:pos="1701"/>
        </w:tabs>
        <w:spacing w:before="120" w:after="120"/>
        <w:ind w:left="567" w:firstLine="567"/>
        <w:rPr>
          <w:b/>
          <w:iCs/>
        </w:rPr>
      </w:pPr>
      <w:r>
        <w:lastRenderedPageBreak/>
        <w:t>3.</w:t>
      </w:r>
      <w:r>
        <w:tab/>
      </w:r>
      <w:r>
        <w:rPr>
          <w:i/>
        </w:rPr>
        <w:t xml:space="preserve">Prie également </w:t>
      </w:r>
      <w:r>
        <w:t xml:space="preserve">la Secrétaire exécutive de mobiliser des ressources pour faciliter la participation des représentants des pays en développement, en plus de ceux définis dans les paragraphes précédents, dans l’objectif qu’ils président ou animent les séances de négociation lors de la cinquième réunion de l’Organe subsidiaire </w:t>
      </w:r>
      <w:r w:rsidR="00990A3E">
        <w:t>chargé de l’application</w:t>
      </w:r>
      <w:r>
        <w:t xml:space="preserve">, de la seizième réunion de la Conférence des Parties à la Convention, de la onzième réunion de la Conférence des Parties siégeant en tant que réunion des Parties au Protocole de Cartagena et de la cinquième réunion de la Conférence des Parties siégeant en tant que réunion des Parties au Protocole de Nagoya, sur demande, sans préjudice du soutien offert pour la participation des pays en développement, et, conformément à la décision 15/34 du 19 décembre 2022, invite les pays en développement Parties et les autres Parties en mesure de le faire, y compris dans le contexte de la coopération Sud-Sud, à fournir les ressources financières nécessaires au Fonds d’affectation spéciale de contributions volontaires </w:t>
      </w:r>
      <w:r w:rsidR="00B73380">
        <w:t xml:space="preserve">supplémentaires </w:t>
      </w:r>
      <w:r>
        <w:t xml:space="preserve">visant à favoriser la participation des Parties au processus de la Convention ; </w:t>
      </w:r>
    </w:p>
    <w:p w14:paraId="1ECA2C33" w14:textId="77777777" w:rsidR="00E94E10" w:rsidRPr="007E6CF9" w:rsidRDefault="00E94E10" w:rsidP="00E94E10">
      <w:pPr>
        <w:tabs>
          <w:tab w:val="left" w:pos="1701"/>
        </w:tabs>
        <w:spacing w:before="120" w:after="120"/>
        <w:ind w:left="567" w:firstLine="567"/>
      </w:pPr>
      <w:r>
        <w:t>4.</w:t>
      </w:r>
      <w:r>
        <w:tab/>
      </w:r>
      <w:r>
        <w:rPr>
          <w:i/>
        </w:rPr>
        <w:t>Recommande</w:t>
      </w:r>
      <w:r>
        <w:t xml:space="preserve"> que la Conférence des Parties à la Convention à sa seizième réunion, la Conférence des Parties siégeant en tant que réunion des Parties au Protocole de Cartagena à sa onzième réunion et la Conférence des Parties siégeant en tant que réunion des Parties au Protocole de Nagoya à sa cinquième réunion, adoptent, respectivement, des décisions allant dans le sens des lignes suivantes :</w:t>
      </w:r>
    </w:p>
    <w:p w14:paraId="4D0E5E45" w14:textId="77777777" w:rsidR="00E94E10" w:rsidRPr="006811C4" w:rsidRDefault="00E94E10" w:rsidP="00E94E10">
      <w:pPr>
        <w:keepNext/>
        <w:spacing w:before="120" w:after="120"/>
        <w:ind w:left="567" w:firstLine="567"/>
        <w:rPr>
          <w:kern w:val="22"/>
          <w:szCs w:val="22"/>
        </w:rPr>
      </w:pPr>
      <w:r>
        <w:rPr>
          <w:i/>
          <w:szCs w:val="22"/>
        </w:rPr>
        <w:t xml:space="preserve">La Conférence des Parties, </w:t>
      </w:r>
    </w:p>
    <w:p w14:paraId="3B434A51" w14:textId="77777777" w:rsidR="00E94E10" w:rsidRPr="006811C4" w:rsidRDefault="00E94E10" w:rsidP="00E94E10">
      <w:pPr>
        <w:spacing w:before="120" w:after="120"/>
        <w:ind w:left="567" w:firstLine="567"/>
        <w:rPr>
          <w:kern w:val="22"/>
          <w:szCs w:val="22"/>
        </w:rPr>
      </w:pPr>
      <w:r>
        <w:rPr>
          <w:i/>
          <w:szCs w:val="22"/>
        </w:rPr>
        <w:t>La Conférence des Parties siégeant en tant que réunion des Parties au Protocole de Cartagena sur la prévention des risques biotechnologiques,</w:t>
      </w:r>
    </w:p>
    <w:p w14:paraId="1F86E9AF" w14:textId="77777777" w:rsidR="00E94E10" w:rsidRPr="006811C4" w:rsidRDefault="00E94E10" w:rsidP="00E94E10">
      <w:pPr>
        <w:spacing w:before="120" w:after="120"/>
        <w:ind w:left="567" w:firstLine="567"/>
        <w:rPr>
          <w:i/>
          <w:kern w:val="22"/>
          <w:szCs w:val="22"/>
        </w:rPr>
      </w:pPr>
      <w:r>
        <w:rPr>
          <w:i/>
          <w:szCs w:val="22"/>
        </w:rPr>
        <w:t>La Conférence des Parties siégeant en tant que réunion des Parties au Protocole de Nagoya sur l’accès et le partage des avantages,</w:t>
      </w:r>
    </w:p>
    <w:p w14:paraId="15BF9367" w14:textId="162E2AEE" w:rsidR="00E94E10" w:rsidRPr="007E6CF9" w:rsidRDefault="00E94E10" w:rsidP="00E94E10">
      <w:pPr>
        <w:tabs>
          <w:tab w:val="left" w:pos="1134"/>
        </w:tabs>
        <w:spacing w:before="120" w:after="120"/>
        <w:ind w:left="567" w:firstLine="567"/>
      </w:pPr>
      <w:r>
        <w:t>[</w:t>
      </w:r>
      <w:r>
        <w:rPr>
          <w:i/>
          <w:iCs/>
        </w:rPr>
        <w:t>Rappelant</w:t>
      </w:r>
      <w:r>
        <w:t xml:space="preserve"> les décisions </w:t>
      </w:r>
      <w:r w:rsidR="00B73380">
        <w:t xml:space="preserve">XII/29 du 17 octobre 2014, et </w:t>
      </w:r>
      <w:r>
        <w:t>15/18</w:t>
      </w:r>
      <w:r w:rsidR="00B73380">
        <w:t xml:space="preserve">, CP-8/10 et </w:t>
      </w:r>
      <w:r>
        <w:t xml:space="preserve"> </w:t>
      </w:r>
      <w:r w:rsidR="00B73380">
        <w:t>NP-4/9 du 10 décembre 2022</w:t>
      </w:r>
      <w:r>
        <w:t>,</w:t>
      </w:r>
    </w:p>
    <w:p w14:paraId="71868C10" w14:textId="016C6DDC" w:rsidR="00E94E10" w:rsidRPr="007E6CF9" w:rsidRDefault="00E94E10" w:rsidP="00E94E10">
      <w:pPr>
        <w:tabs>
          <w:tab w:val="left" w:pos="1134"/>
        </w:tabs>
        <w:spacing w:before="120" w:after="120"/>
        <w:ind w:left="567" w:firstLine="567"/>
      </w:pPr>
      <w:r>
        <w:rPr>
          <w:i/>
        </w:rPr>
        <w:t xml:space="preserve">Reconnaissant </w:t>
      </w:r>
      <w:r>
        <w:t xml:space="preserve">la nécessité d’améliorer davantage l’efficacité des réunions au titre de la Convention sur la </w:t>
      </w:r>
      <w:r w:rsidR="00E05715">
        <w:t>diversité biologique et de ses p</w:t>
      </w:r>
      <w:r>
        <w:t>rotocoles,</w:t>
      </w:r>
    </w:p>
    <w:p w14:paraId="51B8441D" w14:textId="40118A55" w:rsidR="00E94E10" w:rsidRPr="006811C4" w:rsidRDefault="00E94E10" w:rsidP="00E94E10">
      <w:pPr>
        <w:tabs>
          <w:tab w:val="left" w:pos="1701"/>
        </w:tabs>
        <w:spacing w:before="120" w:after="120"/>
        <w:ind w:left="567" w:firstLine="567"/>
      </w:pPr>
      <w:r>
        <w:t>1.</w:t>
      </w:r>
      <w:r>
        <w:rPr>
          <w:i/>
        </w:rPr>
        <w:tab/>
        <w:t xml:space="preserve">Prend note </w:t>
      </w:r>
      <w:r>
        <w:t>des expériences récentes et des autres suggestions visant à améliorer l’efficacité des processus au ti</w:t>
      </w:r>
      <w:r w:rsidR="00E05715">
        <w:t>tre de la Convention et de ses p</w:t>
      </w:r>
      <w:r>
        <w:t>rotocoles, résumées dans le document CBD/SBI/4/11 ;</w:t>
      </w:r>
    </w:p>
    <w:p w14:paraId="2519E195" w14:textId="7BF4AAB4" w:rsidR="00E94E10" w:rsidRPr="007E6CF9" w:rsidRDefault="00E94E10" w:rsidP="00E94E10">
      <w:pPr>
        <w:tabs>
          <w:tab w:val="left" w:pos="1701"/>
        </w:tabs>
        <w:spacing w:before="120" w:after="120"/>
        <w:ind w:left="567" w:firstLine="567"/>
        <w:rPr>
          <w:u w:val="single"/>
        </w:rPr>
      </w:pPr>
      <w:r>
        <w:t>[2.</w:t>
      </w:r>
      <w:r>
        <w:tab/>
      </w:r>
      <w:bookmarkStart w:id="1" w:name="_Hlk167785703"/>
      <w:r>
        <w:rPr>
          <w:i/>
          <w:iCs/>
        </w:rPr>
        <w:t>Prie</w:t>
      </w:r>
      <w:r>
        <w:t xml:space="preserve"> la Secrétaire exécutive </w:t>
      </w:r>
      <w:bookmarkEnd w:id="1"/>
      <w:r>
        <w:t xml:space="preserve"> et les Bureaux de mettre à profit ces expériences lorsqu’ils prépareront l’organisation des travaux et les notes de scénario pour les réunions à venir ; et de les mettre </w:t>
      </w:r>
      <w:r w:rsidR="00E05715">
        <w:t xml:space="preserve">ces notes </w:t>
      </w:r>
      <w:r>
        <w:t>à disposition de toutes les Parties avant les réunions ;]</w:t>
      </w:r>
    </w:p>
    <w:p w14:paraId="6CEFCAD2" w14:textId="6930E138" w:rsidR="00E94E10" w:rsidRPr="006811C4" w:rsidRDefault="00E94E10" w:rsidP="00E94E10">
      <w:pPr>
        <w:tabs>
          <w:tab w:val="left" w:pos="1701"/>
        </w:tabs>
        <w:spacing w:before="120" w:after="120"/>
        <w:ind w:left="567" w:firstLine="567"/>
      </w:pPr>
      <w:r>
        <w:t>[3.</w:t>
      </w:r>
      <w:r>
        <w:tab/>
      </w:r>
      <w:r>
        <w:rPr>
          <w:i/>
          <w:iCs/>
        </w:rPr>
        <w:t xml:space="preserve">Prie </w:t>
      </w:r>
      <w:r>
        <w:t>la Secrétaire exécutive, ainsi que les Bureaux, de continuer à étudier et utiliser, lorsqu’approprié, des méthodes et moyens pertinents pour faciliter la préparation précoce des réunions, notamment des options pour simplifier les ordres du jour et faire examiner les documents par les pairs à l’avance ;]</w:t>
      </w:r>
    </w:p>
    <w:p w14:paraId="4644D53F" w14:textId="77777777" w:rsidR="00E94E10" w:rsidRPr="006811C4" w:rsidRDefault="00E94E10" w:rsidP="00E94E10">
      <w:pPr>
        <w:tabs>
          <w:tab w:val="left" w:pos="1134"/>
          <w:tab w:val="left" w:pos="1701"/>
        </w:tabs>
        <w:spacing w:before="120" w:after="120"/>
        <w:ind w:left="567" w:firstLine="567"/>
      </w:pPr>
      <w:r>
        <w:t>[4.</w:t>
      </w:r>
      <w:r>
        <w:tab/>
      </w:r>
      <w:r>
        <w:rPr>
          <w:i/>
          <w:iCs/>
        </w:rPr>
        <w:t>Décide</w:t>
      </w:r>
      <w:r>
        <w:t xml:space="preserve"> que pendant les réunions des Organes subsidiaires à composition non limitée, le nombre de séances des groupes de contact et des amis du président tenues en parallèle doit être restreint au nombre de délégués par pays en développement dont la participation a été soutenue par le Secrétariat ;]</w:t>
      </w:r>
    </w:p>
    <w:p w14:paraId="59B5AE92" w14:textId="56655702" w:rsidR="00E94E10" w:rsidRPr="006811C4" w:rsidRDefault="00E94E10" w:rsidP="00E94E10">
      <w:pPr>
        <w:tabs>
          <w:tab w:val="left" w:pos="1701"/>
        </w:tabs>
        <w:spacing w:before="120" w:after="120"/>
        <w:ind w:left="567" w:firstLine="567"/>
      </w:pPr>
      <w:r>
        <w:t>[5.</w:t>
      </w:r>
      <w:r>
        <w:tab/>
      </w:r>
      <w:r>
        <w:rPr>
          <w:i/>
          <w:iCs/>
        </w:rPr>
        <w:t>Prie</w:t>
      </w:r>
      <w:r>
        <w:t xml:space="preserve"> la Secrétaire exécutive de permettre de trouver plus facilement du soutien financier supplémentaire afin d’accroître la participation de tous les correspondants nation</w:t>
      </w:r>
      <w:r w:rsidR="00E05715">
        <w:t>aux de la Convention et de ses p</w:t>
      </w:r>
      <w:r>
        <w:t xml:space="preserve">rotocoles, notamment pour les pays en développement, </w:t>
      </w:r>
      <w:r w:rsidR="00E05715">
        <w:t>surtout</w:t>
      </w:r>
      <w:r>
        <w:t xml:space="preserve"> les pays les moins développés et les petits États insulaires en développement, ainsi que les pays à économie en transition ;]</w:t>
      </w:r>
    </w:p>
    <w:p w14:paraId="29F70B54" w14:textId="5B43D09F" w:rsidR="00E94E10" w:rsidRPr="006811C4" w:rsidRDefault="00E94E10" w:rsidP="00E94E10">
      <w:pPr>
        <w:tabs>
          <w:tab w:val="left" w:pos="1134"/>
          <w:tab w:val="left" w:pos="1701"/>
        </w:tabs>
        <w:spacing w:before="120" w:after="120"/>
        <w:ind w:left="567" w:firstLine="567"/>
      </w:pPr>
      <w:r>
        <w:t>[6.</w:t>
      </w:r>
      <w:r>
        <w:tab/>
      </w:r>
      <w:r>
        <w:rPr>
          <w:i/>
          <w:iCs/>
        </w:rPr>
        <w:t>Décide</w:t>
      </w:r>
      <w:r>
        <w:t xml:space="preserve"> que, dans le cas de réunions intergouvernementales successives, une journée libre obligatoire doit être planifiée au terme de chaque période de cinq jours, journée au cours de </w:t>
      </w:r>
      <w:r>
        <w:lastRenderedPageBreak/>
        <w:t xml:space="preserve">laquelle aucune activité formelle ni informelle ne doit avoir lieu, sans </w:t>
      </w:r>
      <w:r w:rsidR="00EB5E86">
        <w:t>préjudice</w:t>
      </w:r>
      <w:r>
        <w:t xml:space="preserve"> </w:t>
      </w:r>
      <w:r w:rsidR="00EB5E86">
        <w:t>du</w:t>
      </w:r>
      <w:r>
        <w:t xml:space="preserve"> soutien offert aux délégués provenant des pays en développement Parties ;]</w:t>
      </w:r>
    </w:p>
    <w:p w14:paraId="057A6BC3" w14:textId="3C319FF2" w:rsidR="00E94E10" w:rsidRPr="006811C4" w:rsidRDefault="00E94E10" w:rsidP="00E94E10">
      <w:pPr>
        <w:tabs>
          <w:tab w:val="left" w:pos="1134"/>
          <w:tab w:val="left" w:pos="1701"/>
        </w:tabs>
        <w:spacing w:before="120" w:after="120"/>
        <w:ind w:left="567" w:firstLine="567"/>
      </w:pPr>
      <w:r>
        <w:t>[7.</w:t>
      </w:r>
      <w:r>
        <w:tab/>
      </w:r>
      <w:r>
        <w:rPr>
          <w:i/>
          <w:iCs/>
        </w:rPr>
        <w:t>Reconnaît</w:t>
      </w:r>
      <w:r>
        <w:t xml:space="preserve"> la nécessité de restreindre les séances de négociation en soirée à des heures raisonnables pour préserver la santé des délégués participant aux réunions intergouvernementales, en particulier les délégués de petites délégations ; et, à moins </w:t>
      </w:r>
      <w:r w:rsidR="00EB5E86">
        <w:t>qu’il n’en soit convenu autrement</w:t>
      </w:r>
      <w:r>
        <w:t>, aucune séance ne devra être planifiée plus de 13 heures après le début de la première réunion à composition non limitée de la journée ;]</w:t>
      </w:r>
    </w:p>
    <w:p w14:paraId="4484CDF0" w14:textId="4A186F3B" w:rsidR="00E94E10" w:rsidRPr="007E6CF9" w:rsidRDefault="00E94E10" w:rsidP="00E94E10">
      <w:pPr>
        <w:tabs>
          <w:tab w:val="left" w:pos="1134"/>
          <w:tab w:val="left" w:pos="1701"/>
        </w:tabs>
        <w:spacing w:before="120" w:after="120"/>
        <w:ind w:left="567" w:firstLine="567"/>
      </w:pPr>
      <w:r>
        <w:t>8.</w:t>
      </w:r>
      <w:r>
        <w:tab/>
      </w:r>
      <w:r>
        <w:rPr>
          <w:i/>
          <w:iCs/>
        </w:rPr>
        <w:t>Prie</w:t>
      </w:r>
      <w:r>
        <w:t xml:space="preserve"> le Bureau de la Conférence des Parties et le Bureau de l’Organe subsidiaire chargé de fournir des avis scientifiques, techniques et technologiques de former un bassin de représentants qui agiront à titre de présidents de groupes de travail</w:t>
      </w:r>
      <w:r w:rsidR="00311BC3">
        <w:t xml:space="preserve">, de groupes de contact ou </w:t>
      </w:r>
      <w:r>
        <w:t xml:space="preserve">de facilitateurs </w:t>
      </w:r>
      <w:r w:rsidR="00311BC3">
        <w:t xml:space="preserve">de groupes </w:t>
      </w:r>
      <w:r>
        <w:t xml:space="preserve">d’amis du président, selon leur capacité à instaurer de la confiance et à établir un consensus parmi ceux dont les points de vue divergent, et selon leur connaissance avérée relative à la question que le groupe doit aborder, bien avant les réunions intergouvernementales </w:t>
      </w:r>
      <w:r w:rsidR="00311BC3">
        <w:t xml:space="preserve">tenues </w:t>
      </w:r>
      <w:r>
        <w:t>au titre de la Convention ;</w:t>
      </w:r>
    </w:p>
    <w:p w14:paraId="35DD4F92" w14:textId="3BCE3B37" w:rsidR="00E94E10" w:rsidRPr="006811C4" w:rsidRDefault="00E94E10" w:rsidP="00E94E10">
      <w:pPr>
        <w:tabs>
          <w:tab w:val="left" w:pos="1134"/>
          <w:tab w:val="left" w:pos="1701"/>
        </w:tabs>
        <w:spacing w:before="120" w:after="120"/>
        <w:ind w:left="567" w:firstLine="567"/>
      </w:pPr>
      <w:r>
        <w:t>9.</w:t>
      </w:r>
      <w:r>
        <w:tab/>
      </w:r>
      <w:r>
        <w:rPr>
          <w:i/>
          <w:iCs/>
        </w:rPr>
        <w:t>Prie</w:t>
      </w:r>
      <w:r>
        <w:t xml:space="preserve"> la Secrétaire exécutive, sous réserve de la disponibilité des ressources, de planifier une séance d’orientation ou de formation pour les représentants nommés en vertu du paragraphe 8 ci-dessus avant les réunions, afin qu’ils puissent se familiariser avec les règlements intérieurs et les pratiques, techniques et compétences établies en matière de gestion de négociations multilatérales et d’établissement d’un consensus, dans le but de garantir l’utilisation d’approches éthiques et une impartialité, conformément aux normes et principes des Nations Unies, y compris par l’entremise des modules de formation offerts par </w:t>
      </w:r>
      <w:r w:rsidR="00311BC3">
        <w:t>les Nations Unies</w:t>
      </w:r>
      <w:r>
        <w:t> ;</w:t>
      </w:r>
    </w:p>
    <w:p w14:paraId="064276A6" w14:textId="36BC8068" w:rsidR="00E94E10" w:rsidRPr="006811C4" w:rsidRDefault="00E94E10" w:rsidP="00E94E10">
      <w:pPr>
        <w:tabs>
          <w:tab w:val="left" w:pos="1134"/>
          <w:tab w:val="left" w:pos="1701"/>
        </w:tabs>
        <w:spacing w:before="120" w:after="120"/>
        <w:ind w:left="567" w:firstLine="567"/>
        <w:rPr>
          <w:iCs/>
        </w:rPr>
      </w:pPr>
      <w:r>
        <w:t>[10.</w:t>
      </w:r>
      <w:r>
        <w:tab/>
      </w:r>
      <w:r>
        <w:rPr>
          <w:i/>
        </w:rPr>
        <w:t>Prie</w:t>
      </w:r>
      <w:r w:rsidR="00311BC3">
        <w:rPr>
          <w:i/>
        </w:rPr>
        <w:t xml:space="preserve"> également</w:t>
      </w:r>
      <w:r>
        <w:rPr>
          <w:i/>
        </w:rPr>
        <w:t xml:space="preserve"> </w:t>
      </w:r>
      <w:r>
        <w:t xml:space="preserve">la Secrétaire exécutive [de mobiliser des ressources], [sous réserve de la disponibilité des ressources,] </w:t>
      </w:r>
      <w:r w:rsidR="00311BC3">
        <w:t xml:space="preserve">[et] </w:t>
      </w:r>
      <w:r>
        <w:t xml:space="preserve">de faciliter la présence des représentants </w:t>
      </w:r>
      <w:r w:rsidR="0036428F">
        <w:t xml:space="preserve">provenant </w:t>
      </w:r>
      <w:r w:rsidR="00311BC3">
        <w:t xml:space="preserve">des pays en développement </w:t>
      </w:r>
      <w:r>
        <w:t xml:space="preserve">nommés en vertu du paragraphe 8 ci-dessus aux réunions intergouvernementales au titre de la Convention, [sans préjudice du soutien offert pour la participation de leurs délégations, lorsque possible] ;] </w:t>
      </w:r>
    </w:p>
    <w:p w14:paraId="3ECE7348" w14:textId="59140DDC" w:rsidR="00E94E10" w:rsidRPr="006811C4" w:rsidRDefault="00E94E10" w:rsidP="00E94E10">
      <w:pPr>
        <w:tabs>
          <w:tab w:val="left" w:pos="1701"/>
        </w:tabs>
        <w:spacing w:before="120" w:after="120"/>
        <w:ind w:left="567" w:firstLine="567"/>
      </w:pPr>
      <w:r>
        <w:t>[11.</w:t>
      </w:r>
      <w:r>
        <w:tab/>
        <w:t>[</w:t>
      </w:r>
      <w:r>
        <w:rPr>
          <w:i/>
          <w:iCs/>
        </w:rPr>
        <w:t xml:space="preserve">Décide </w:t>
      </w:r>
      <w:r>
        <w:t xml:space="preserve">que </w:t>
      </w:r>
      <w:r w:rsidR="0036428F">
        <w:t>l’organisation des</w:t>
      </w:r>
      <w:r>
        <w:t xml:space="preserve"> réunions devrait prévoir des pauses stratégiques plus régulières et plus hâtives pour permettre aux </w:t>
      </w:r>
      <w:r w:rsidR="006B3166">
        <w:t>échanges</w:t>
      </w:r>
      <w:r>
        <w:t xml:space="preserve"> des petits groupes/des amis du président </w:t>
      </w:r>
      <w:r w:rsidR="006B3166">
        <w:t xml:space="preserve">d’aboutir à </w:t>
      </w:r>
      <w:r>
        <w:t xml:space="preserve">des solutions </w:t>
      </w:r>
      <w:r w:rsidR="0036428F">
        <w:t>possibles</w:t>
      </w:r>
      <w:r>
        <w:t xml:space="preserve">, </w:t>
      </w:r>
      <w:r w:rsidR="0036428F">
        <w:t xml:space="preserve">dans le but d’éviter </w:t>
      </w:r>
      <w:r>
        <w:t xml:space="preserve">des discussions prolongées et </w:t>
      </w:r>
      <w:r w:rsidR="0036428F">
        <w:t>infructueuses</w:t>
      </w:r>
      <w:r>
        <w:t xml:space="preserve"> </w:t>
      </w:r>
      <w:r w:rsidR="0036428F">
        <w:t>lors des</w:t>
      </w:r>
      <w:r>
        <w:t xml:space="preserve"> plénière</w:t>
      </w:r>
      <w:r w:rsidR="0036428F">
        <w:t>s</w:t>
      </w:r>
      <w:r>
        <w:t> ;]</w:t>
      </w:r>
    </w:p>
    <w:p w14:paraId="112954BF" w14:textId="4B0F0EA7" w:rsidR="00E94E10" w:rsidRPr="007E6CF9" w:rsidRDefault="00E94E10" w:rsidP="00E94E10">
      <w:pPr>
        <w:tabs>
          <w:tab w:val="left" w:pos="1701"/>
        </w:tabs>
        <w:spacing w:before="120" w:after="120"/>
        <w:ind w:left="567" w:firstLine="567"/>
      </w:pPr>
      <w:r>
        <w:t>[12.</w:t>
      </w:r>
      <w:r>
        <w:rPr>
          <w:i/>
        </w:rPr>
        <w:tab/>
        <w:t>Encourage</w:t>
      </w:r>
      <w:r>
        <w:t xml:space="preserve"> les Parties et les autres gouvernements à collaborer avec les peuples autochtones, les communautés locales, les femmes et </w:t>
      </w:r>
      <w:r w:rsidR="006B3166">
        <w:t>les jeunes</w:t>
      </w:r>
      <w:r>
        <w:t xml:space="preserve">, </w:t>
      </w:r>
      <w:r w:rsidR="006B3166">
        <w:t>et</w:t>
      </w:r>
      <w:r>
        <w:t xml:space="preserve"> autres organisations nationales ayant le statut d’observateur, et à solliciter les points de vue d’un large éventail de secteurs, dans le cadre de leur processus de préparation au niveau national en vue des réunions des organes directeurs et subsidiaires, afin d’éclairer l’élaboration de leurs positions nationales, le cas échéant et en tenant compte du contexte national ;] </w:t>
      </w:r>
    </w:p>
    <w:p w14:paraId="79A4D0B7" w14:textId="77777777" w:rsidR="00E94E10" w:rsidRPr="007E6CF9" w:rsidRDefault="00E94E10" w:rsidP="00E94E10">
      <w:pPr>
        <w:tabs>
          <w:tab w:val="left" w:pos="1701"/>
        </w:tabs>
        <w:spacing w:before="120" w:after="120"/>
        <w:ind w:left="567" w:firstLine="567"/>
      </w:pPr>
      <w:r>
        <w:t>[13.</w:t>
      </w:r>
      <w:r>
        <w:rPr>
          <w:i/>
        </w:rPr>
        <w:tab/>
        <w:t>Demande</w:t>
      </w:r>
      <w:r>
        <w:t xml:space="preserve"> à la Secrétaire exécutive, sous la direction du Bureau :</w:t>
      </w:r>
    </w:p>
    <w:p w14:paraId="42E7F890" w14:textId="7E8B3005" w:rsidR="00E94E10" w:rsidRPr="007E6CF9" w:rsidRDefault="00E94E10" w:rsidP="00E94E10">
      <w:pPr>
        <w:tabs>
          <w:tab w:val="left" w:pos="1701"/>
        </w:tabs>
        <w:spacing w:before="120" w:after="120"/>
        <w:ind w:left="567" w:firstLine="567"/>
      </w:pPr>
      <w:r>
        <w:t>a)</w:t>
      </w:r>
      <w:r>
        <w:tab/>
        <w:t>De veiller à ce que les documents de travail soient mis à disposition pour les réunions des organes subsidiaires à composition non limitée de la Convention dans toutes langues officielles des Nations Unies, conformément à leurs règlements intérieurs ou leur mode de fonctionnement, et six semaines au moins avant l’ouverture de la réunion en question et de veiller à ce que la date de publication</w:t>
      </w:r>
      <w:r w:rsidR="00F31AF9">
        <w:t xml:space="preserve">, y compris de </w:t>
      </w:r>
      <w:r>
        <w:t>toute version mise à jour</w:t>
      </w:r>
      <w:r w:rsidR="00F31AF9">
        <w:t>,</w:t>
      </w:r>
      <w:r>
        <w:t xml:space="preserve"> soit clairement indiquée sur le site Web de la réunion ;]</w:t>
      </w:r>
    </w:p>
    <w:p w14:paraId="58377E5C" w14:textId="44E78BC5" w:rsidR="00E94E10" w:rsidRPr="006811C4" w:rsidRDefault="00E94E10" w:rsidP="00E94E10">
      <w:pPr>
        <w:tabs>
          <w:tab w:val="left" w:pos="1701"/>
        </w:tabs>
        <w:ind w:left="567" w:firstLine="567"/>
      </w:pPr>
      <w:r>
        <w:t>[b)</w:t>
      </w:r>
      <w:r>
        <w:tab/>
        <w:t xml:space="preserve">De respecter le règlement 35 du règlement intérieur </w:t>
      </w:r>
      <w:r w:rsidR="00F31AF9">
        <w:t xml:space="preserve">s’appliquant aux réunions de la Conférence des Parties </w:t>
      </w:r>
      <w:r>
        <w:t xml:space="preserve">pour la préparation des documents de séance et des documents </w:t>
      </w:r>
      <w:r w:rsidR="00F31AF9">
        <w:t>« L » </w:t>
      </w:r>
      <w:r>
        <w:t>;]</w:t>
      </w:r>
    </w:p>
    <w:p w14:paraId="63F7654A" w14:textId="77777777" w:rsidR="00E94E10" w:rsidRPr="006811C4" w:rsidRDefault="00E94E10" w:rsidP="00E94E10">
      <w:pPr>
        <w:tabs>
          <w:tab w:val="left" w:pos="1701"/>
        </w:tabs>
        <w:spacing w:before="120" w:after="120"/>
        <w:ind w:left="567" w:firstLine="567"/>
      </w:pPr>
      <w:r>
        <w:t>[c)</w:t>
      </w:r>
      <w:r w:rsidRPr="004558DA">
        <w:t xml:space="preserve"> </w:t>
      </w:r>
      <w:r>
        <w:tab/>
        <w:t>De définir un horaire clair pour la préparation de chaque réunion, en temps opportun ;]</w:t>
      </w:r>
    </w:p>
    <w:p w14:paraId="24F5A7DE" w14:textId="77777777" w:rsidR="00E94E10" w:rsidRPr="006811C4" w:rsidRDefault="00E94E10" w:rsidP="00E94E10">
      <w:pPr>
        <w:tabs>
          <w:tab w:val="left" w:pos="1701"/>
        </w:tabs>
        <w:spacing w:before="120" w:after="120"/>
        <w:ind w:left="567" w:firstLine="567"/>
        <w:rPr>
          <w:iCs/>
        </w:rPr>
      </w:pPr>
      <w:r>
        <w:lastRenderedPageBreak/>
        <w:t>[d)</w:t>
      </w:r>
      <w:r>
        <w:rPr>
          <w:rFonts w:ascii="Arial" w:hAnsi="Arial"/>
          <w:i/>
          <w:szCs w:val="22"/>
        </w:rPr>
        <w:tab/>
      </w:r>
      <w:r>
        <w:t>De fournir à la fin de chaque année aux correspondants nationaux un calendrier des activités et mesures prévues au cours de l’année suivante, de manière à simplifier les activités intersessions et à faciliter la gestion des flux de travail ;]</w:t>
      </w:r>
    </w:p>
    <w:p w14:paraId="7F35BD45" w14:textId="77777777" w:rsidR="00E94E10" w:rsidRPr="006811C4" w:rsidRDefault="00E94E10" w:rsidP="00E94E10">
      <w:pPr>
        <w:tabs>
          <w:tab w:val="left" w:pos="1701"/>
        </w:tabs>
        <w:spacing w:before="120" w:after="120"/>
        <w:ind w:left="567" w:firstLine="567"/>
      </w:pPr>
      <w:r>
        <w:t xml:space="preserve">[e) </w:t>
      </w:r>
      <w:r>
        <w:tab/>
        <w:t>De définir des limites de temps pour les discussions en plénière et des indications claires pour le passage à un cadre plus restreint afin que la discussion soit plus ciblée ;]</w:t>
      </w:r>
    </w:p>
    <w:p w14:paraId="4BAB0729" w14:textId="4F2E1EEA" w:rsidR="00E94E10" w:rsidRPr="006811C4" w:rsidRDefault="00E94E10" w:rsidP="00E94E10">
      <w:pPr>
        <w:tabs>
          <w:tab w:val="left" w:pos="1701"/>
        </w:tabs>
        <w:spacing w:before="120" w:after="120"/>
        <w:ind w:left="567" w:firstLine="567"/>
      </w:pPr>
      <w:r>
        <w:t>[f)</w:t>
      </w:r>
      <w:r>
        <w:tab/>
        <w:t>De formaliser des règles visant à ce que ne soit pas présenté le nouveau texte</w:t>
      </w:r>
      <w:r w:rsidR="00723BB5">
        <w:t xml:space="preserve">, de </w:t>
      </w:r>
      <w:r>
        <w:t>nouvelles questions</w:t>
      </w:r>
      <w:r w:rsidR="00723BB5">
        <w:t xml:space="preserve"> ou d</w:t>
      </w:r>
      <w:r>
        <w:t>es suppressions, à moins qu’ils n’aient é</w:t>
      </w:r>
      <w:r w:rsidR="00723BB5">
        <w:t xml:space="preserve">té signalés dans l’intervention ou </w:t>
      </w:r>
      <w:r>
        <w:t>la communication écrite initiale ;]</w:t>
      </w:r>
    </w:p>
    <w:p w14:paraId="7B3E9CE9" w14:textId="43FBA9B2" w:rsidR="00E94E10" w:rsidRPr="007E6CF9" w:rsidRDefault="00E94E10" w:rsidP="00E94E10">
      <w:pPr>
        <w:tabs>
          <w:tab w:val="left" w:pos="1701"/>
        </w:tabs>
        <w:spacing w:before="120" w:after="120"/>
        <w:ind w:left="567" w:firstLine="567"/>
      </w:pPr>
      <w:r>
        <w:t>[g)</w:t>
      </w:r>
      <w:r>
        <w:tab/>
        <w:t xml:space="preserve">De s’efforcer à restreindre la taille des projets de recommandation des organes subsidiaires ou des projets de décision des organes directeurs, et </w:t>
      </w:r>
      <w:r w:rsidR="00723BB5">
        <w:t>d’</w:t>
      </w:r>
      <w:r>
        <w:t>éviter le dédoublement et la redondance avec les décisions existantes, sans nuire à la capacité de la Conférence des Parties de revoir des décisions antérieures, afin de faciliter la mise en œuvre subséquente des décisions ;]</w:t>
      </w:r>
    </w:p>
    <w:p w14:paraId="2C16A1DD" w14:textId="707A449F" w:rsidR="00E94E10" w:rsidRPr="006811C4" w:rsidRDefault="00E94E10" w:rsidP="00E94E10">
      <w:pPr>
        <w:tabs>
          <w:tab w:val="left" w:pos="1701"/>
        </w:tabs>
        <w:spacing w:before="120" w:after="120"/>
        <w:ind w:left="567" w:firstLine="567"/>
      </w:pPr>
      <w:r>
        <w:t>[h)</w:t>
      </w:r>
      <w:r>
        <w:tab/>
        <w:t xml:space="preserve">De restreindre </w:t>
      </w:r>
      <w:r w:rsidR="00723BB5">
        <w:t>le nombre de</w:t>
      </w:r>
      <w:r>
        <w:t xml:space="preserve"> points </w:t>
      </w:r>
      <w:r w:rsidR="00723BB5">
        <w:t xml:space="preserve">qui aboutissent directement à </w:t>
      </w:r>
      <w:r w:rsidR="00E60476">
        <w:t xml:space="preserve">des documents de séance à ceux </w:t>
      </w:r>
      <w:r>
        <w:t>sur lesquels il y a peu de différends</w:t>
      </w:r>
      <w:r w:rsidR="00E60476">
        <w:t xml:space="preserve">, sachant qu’il est plus efficace d’affecter les </w:t>
      </w:r>
      <w:r w:rsidR="008C1CAE">
        <w:t>questions</w:t>
      </w:r>
      <w:r w:rsidR="00E60476">
        <w:t xml:space="preserve"> sur lesquel</w:t>
      </w:r>
      <w:r w:rsidR="008C1CAE">
        <w:t>le</w:t>
      </w:r>
      <w:r w:rsidR="00E60476">
        <w:t>s les points de vue divergent éno</w:t>
      </w:r>
      <w:r w:rsidR="008C1CAE">
        <w:t>r</w:t>
      </w:r>
      <w:r w:rsidR="00E60476">
        <w:t>mément à un groupe de contact,</w:t>
      </w:r>
      <w:r w:rsidR="008C1CAE">
        <w:t xml:space="preserve"> </w:t>
      </w:r>
      <w:r w:rsidR="00E60476">
        <w:t xml:space="preserve">même si ceci </w:t>
      </w:r>
      <w:r w:rsidR="008C1CAE">
        <w:t>aboutirait</w:t>
      </w:r>
      <w:r w:rsidR="00E60476">
        <w:t xml:space="preserve"> vraisembla</w:t>
      </w:r>
      <w:r w:rsidR="008C1CAE">
        <w:t>blement à la</w:t>
      </w:r>
      <w:r w:rsidR="00E60476">
        <w:t xml:space="preserve"> création d’un plus grand nombre de group</w:t>
      </w:r>
      <w:r w:rsidR="008C1CAE">
        <w:t>es de contact et, par conséquent, à un moin</w:t>
      </w:r>
      <w:r w:rsidR="00E60476">
        <w:t xml:space="preserve">s </w:t>
      </w:r>
      <w:r w:rsidR="008C1CAE">
        <w:t>grand nombre de séances par gro</w:t>
      </w:r>
      <w:r w:rsidR="00E60476">
        <w:t>upe de contact ;]</w:t>
      </w:r>
      <w:r>
        <w:t xml:space="preserve"> </w:t>
      </w:r>
    </w:p>
    <w:p w14:paraId="7B4C61A4" w14:textId="74AD3FD7" w:rsidR="00E94E10" w:rsidRPr="006811C4" w:rsidRDefault="00E94E10" w:rsidP="00E94E10">
      <w:pPr>
        <w:tabs>
          <w:tab w:val="left" w:pos="1560"/>
        </w:tabs>
        <w:spacing w:before="120" w:after="120"/>
        <w:ind w:left="567" w:firstLine="567"/>
      </w:pPr>
      <w:r>
        <w:t>[i)</w:t>
      </w:r>
      <w:r>
        <w:tab/>
        <w:t xml:space="preserve">De revoir la structure du site Web de la </w:t>
      </w:r>
      <w:r w:rsidR="008C1CAE">
        <w:t>Convention</w:t>
      </w:r>
      <w:r>
        <w:t xml:space="preserve"> afin de le rendre plus convivial.] </w:t>
      </w:r>
    </w:p>
    <w:p w14:paraId="1AB19794" w14:textId="335FCE78" w:rsidR="00E94E10" w:rsidRPr="006811C4" w:rsidRDefault="008C1CAE" w:rsidP="00E94E10">
      <w:pPr>
        <w:tabs>
          <w:tab w:val="left" w:pos="1134"/>
          <w:tab w:val="left" w:pos="1701"/>
        </w:tabs>
        <w:spacing w:before="120" w:after="120"/>
        <w:ind w:left="567" w:firstLine="567"/>
      </w:pPr>
      <w:r>
        <w:rPr>
          <w:rFonts w:asciiTheme="majorBidi" w:hAnsiTheme="majorBidi"/>
          <w:bCs/>
        </w:rPr>
        <w:t>14</w:t>
      </w:r>
      <w:r w:rsidR="00E94E10">
        <w:rPr>
          <w:rFonts w:asciiTheme="majorBidi" w:hAnsiTheme="majorBidi"/>
          <w:bCs/>
        </w:rPr>
        <w:t>.</w:t>
      </w:r>
      <w:r w:rsidR="00E94E10">
        <w:rPr>
          <w:rFonts w:asciiTheme="majorBidi" w:hAnsiTheme="majorBidi"/>
          <w:bCs/>
        </w:rPr>
        <w:tab/>
      </w:r>
      <w:r w:rsidR="00E94E10">
        <w:rPr>
          <w:rFonts w:asciiTheme="majorBidi" w:hAnsiTheme="majorBidi"/>
          <w:bCs/>
          <w:i/>
          <w:iCs/>
        </w:rPr>
        <w:t>Prie</w:t>
      </w:r>
      <w:r w:rsidR="00E94E10">
        <w:rPr>
          <w:rFonts w:asciiTheme="majorBidi" w:hAnsiTheme="majorBidi"/>
          <w:bCs/>
        </w:rPr>
        <w:t xml:space="preserve"> le Bureau de la Conférence des Parties et le Bureau de l’Organe subsidiaire chargé de fournir des avis scientifiques, techniques et technologiques de tenir compte des recommandations présentées à l’annexe I de la présente décision lorsqu’ils préparent des réunions au titre de la Convention ;</w:t>
      </w:r>
      <w:r w:rsidR="00E94E10">
        <w:t xml:space="preserve"> </w:t>
      </w:r>
    </w:p>
    <w:p w14:paraId="6211E5AA" w14:textId="2236DDEC" w:rsidR="00E94E10" w:rsidRPr="006811C4" w:rsidRDefault="008C1CAE" w:rsidP="00E94E10">
      <w:pPr>
        <w:tabs>
          <w:tab w:val="left" w:pos="1701"/>
        </w:tabs>
        <w:spacing w:before="120" w:after="120"/>
        <w:ind w:left="567" w:firstLine="567"/>
      </w:pPr>
      <w:r>
        <w:rPr>
          <w:rFonts w:asciiTheme="majorBidi" w:hAnsiTheme="majorBidi"/>
          <w:bCs/>
        </w:rPr>
        <w:t>15</w:t>
      </w:r>
      <w:r w:rsidR="00E94E10">
        <w:rPr>
          <w:rFonts w:asciiTheme="majorBidi" w:hAnsiTheme="majorBidi"/>
          <w:bCs/>
        </w:rPr>
        <w:t>.</w:t>
      </w:r>
      <w:r w:rsidR="00E94E10">
        <w:rPr>
          <w:rFonts w:asciiTheme="majorBidi" w:hAnsiTheme="majorBidi"/>
          <w:bCs/>
        </w:rPr>
        <w:tab/>
      </w:r>
      <w:r w:rsidR="00E94E10">
        <w:rPr>
          <w:rFonts w:asciiTheme="majorBidi" w:hAnsiTheme="majorBidi"/>
          <w:bCs/>
          <w:i/>
          <w:iCs/>
        </w:rPr>
        <w:t xml:space="preserve">Prie </w:t>
      </w:r>
      <w:r w:rsidR="00E94E10">
        <w:rPr>
          <w:rFonts w:asciiTheme="majorBidi" w:hAnsiTheme="majorBidi"/>
          <w:bCs/>
        </w:rPr>
        <w:t xml:space="preserve">la Secrétaire exécutive de permettre des consultations avec les Parties, les membres du Bureau, les partenaires et les parties prenantes, avec le soutien d’experts de l’extérieur dans ce domaine, au besoin, afin de continuer à mettre au point des options qui permettront d’améliorer davantage l’efficacité des réunions au titre de la Convention, et de transmettre ces propositions à des fins d’examen par l’Organe subsidiaire </w:t>
      </w:r>
      <w:r w:rsidR="00990A3E">
        <w:rPr>
          <w:rFonts w:asciiTheme="majorBidi" w:hAnsiTheme="majorBidi"/>
          <w:bCs/>
        </w:rPr>
        <w:t>chargé de l’application</w:t>
      </w:r>
      <w:r w:rsidR="00E94E10">
        <w:rPr>
          <w:rFonts w:asciiTheme="majorBidi" w:hAnsiTheme="majorBidi"/>
          <w:bCs/>
        </w:rPr>
        <w:t xml:space="preserve"> lors de sa sixième réunion, dans l’objectif d</w:t>
      </w:r>
      <w:r w:rsidR="005E1A60">
        <w:rPr>
          <w:rFonts w:asciiTheme="majorBidi" w:hAnsiTheme="majorBidi"/>
          <w:bCs/>
        </w:rPr>
        <w:t xml:space="preserve">’élaborer un projet de décision pour examen par la </w:t>
      </w:r>
      <w:r w:rsidR="00E94E10">
        <w:rPr>
          <w:rFonts w:asciiTheme="majorBidi" w:hAnsiTheme="majorBidi"/>
          <w:bCs/>
        </w:rPr>
        <w:t xml:space="preserve">Conférence des Parties à sa dix-septième réunion, en tenant compte de la compilation des communications </w:t>
      </w:r>
      <w:r w:rsidR="005E1A60">
        <w:rPr>
          <w:rFonts w:asciiTheme="majorBidi" w:hAnsiTheme="majorBidi"/>
          <w:bCs/>
        </w:rPr>
        <w:t>présentée</w:t>
      </w:r>
      <w:r w:rsidR="00E94E10">
        <w:rPr>
          <w:rFonts w:asciiTheme="majorBidi" w:hAnsiTheme="majorBidi"/>
          <w:bCs/>
        </w:rPr>
        <w:t xml:space="preserve"> à l’annexe II de la présente décision</w:t>
      </w:r>
      <w:r w:rsidR="005E1A60">
        <w:rPr>
          <w:rFonts w:asciiTheme="majorBidi" w:hAnsiTheme="majorBidi"/>
          <w:bCs/>
        </w:rPr>
        <w:t>.</w:t>
      </w:r>
    </w:p>
    <w:p w14:paraId="56D9159A" w14:textId="1616D921" w:rsidR="00BE738E" w:rsidRPr="006811C4" w:rsidRDefault="00BE738E" w:rsidP="00BE738E">
      <w:pPr>
        <w:tabs>
          <w:tab w:val="left" w:pos="1701"/>
        </w:tabs>
        <w:spacing w:before="120" w:after="120"/>
        <w:ind w:left="567"/>
        <w:jc w:val="left"/>
        <w:rPr>
          <w:b/>
          <w:bCs/>
        </w:rPr>
      </w:pPr>
      <w:r>
        <w:rPr>
          <w:b/>
          <w:bCs/>
        </w:rPr>
        <w:t>Annexe I</w:t>
      </w:r>
      <w:r>
        <w:rPr>
          <w:rStyle w:val="FootnoteReference"/>
          <w:b/>
          <w:bCs/>
          <w:lang w:val="en-US"/>
        </w:rPr>
        <w:footnoteReference w:id="3"/>
      </w:r>
      <w:r w:rsidRPr="00BE738E">
        <w:rPr>
          <w:b/>
          <w:bCs/>
        </w:rPr>
        <w:t xml:space="preserve"> </w:t>
      </w:r>
      <w:r>
        <w:rPr>
          <w:b/>
          <w:bCs/>
        </w:rPr>
        <w:br/>
        <w:t>Recommandations au Bureau en ce qui a trait à la préparation des réunions</w:t>
      </w:r>
    </w:p>
    <w:p w14:paraId="611E8C3C" w14:textId="77777777" w:rsidR="00BE738E" w:rsidRPr="006811C4" w:rsidRDefault="00BE738E" w:rsidP="00BE738E">
      <w:pPr>
        <w:tabs>
          <w:tab w:val="left" w:pos="1134"/>
        </w:tabs>
        <w:spacing w:before="120"/>
        <w:ind w:left="567"/>
      </w:pPr>
      <w:r>
        <w:t>[1.</w:t>
      </w:r>
      <w:r>
        <w:tab/>
        <w:t>Commander toute étude demandée par la Conférence des Parties afin d’appuyer les discussions et les recommandations.</w:t>
      </w:r>
    </w:p>
    <w:p w14:paraId="6BF6CB16" w14:textId="77777777" w:rsidR="00BE738E" w:rsidRPr="006811C4" w:rsidRDefault="00BE738E" w:rsidP="00BE738E">
      <w:pPr>
        <w:tabs>
          <w:tab w:val="left" w:pos="1134"/>
        </w:tabs>
        <w:spacing w:before="120"/>
        <w:ind w:left="567"/>
      </w:pPr>
      <w:r>
        <w:t>2.</w:t>
      </w:r>
      <w:r>
        <w:tab/>
        <w:t>Mettre les études à disposition à des fins d’examen par les pairs.</w:t>
      </w:r>
    </w:p>
    <w:p w14:paraId="75D9FD68" w14:textId="77777777" w:rsidR="00BE738E" w:rsidRPr="006811C4" w:rsidRDefault="00BE738E" w:rsidP="00BE738E">
      <w:pPr>
        <w:tabs>
          <w:tab w:val="left" w:pos="1134"/>
        </w:tabs>
        <w:spacing w:before="120"/>
        <w:ind w:left="567"/>
      </w:pPr>
      <w:r>
        <w:t>3.</w:t>
      </w:r>
      <w:r>
        <w:tab/>
        <w:t>Publier une note de scénario pour la réunion en question.</w:t>
      </w:r>
    </w:p>
    <w:p w14:paraId="46DB66B5" w14:textId="77777777" w:rsidR="00BE738E" w:rsidRPr="006811C4" w:rsidRDefault="00BE738E" w:rsidP="00BE738E">
      <w:pPr>
        <w:tabs>
          <w:tab w:val="left" w:pos="1134"/>
        </w:tabs>
        <w:spacing w:before="120"/>
        <w:ind w:left="567"/>
      </w:pPr>
      <w:r>
        <w:t>4.</w:t>
      </w:r>
      <w:r>
        <w:tab/>
        <w:t>Choisir des moments stratégiques pour les réunions du Bureau afin d’orienter le processus.</w:t>
      </w:r>
    </w:p>
    <w:p w14:paraId="6A000531" w14:textId="77777777" w:rsidR="00BE738E" w:rsidRPr="006811C4" w:rsidRDefault="00BE738E" w:rsidP="00BE738E">
      <w:pPr>
        <w:tabs>
          <w:tab w:val="left" w:pos="1134"/>
        </w:tabs>
        <w:spacing w:before="120"/>
        <w:ind w:left="567"/>
      </w:pPr>
      <w:r>
        <w:t>5.</w:t>
      </w:r>
      <w:r>
        <w:tab/>
        <w:t xml:space="preserve">Simplifier la publication de notifications relatives à la réunion. </w:t>
      </w:r>
    </w:p>
    <w:p w14:paraId="1DD42808" w14:textId="47B98F8F" w:rsidR="00BE738E" w:rsidRPr="006811C4" w:rsidRDefault="00BE738E" w:rsidP="00BE738E">
      <w:pPr>
        <w:tabs>
          <w:tab w:val="left" w:pos="1134"/>
          <w:tab w:val="left" w:pos="1701"/>
        </w:tabs>
        <w:spacing w:before="120" w:after="120"/>
        <w:ind w:left="567"/>
      </w:pPr>
      <w:r>
        <w:t>6.</w:t>
      </w:r>
      <w:r>
        <w:tab/>
        <w:t xml:space="preserve">Ne procéder à aucune première lecture lors des réunions de la Conférence des Parties lorsque le point a déjà été abordé par l’Organe subsidiaire </w:t>
      </w:r>
      <w:r w:rsidR="00990A3E">
        <w:t>chargé de l’application</w:t>
      </w:r>
      <w:r>
        <w:t xml:space="preserve"> ou par l’Organe subsidiaire chargé de fournir des avis scientifiques, techniques et technologiques.]</w:t>
      </w:r>
    </w:p>
    <w:p w14:paraId="62D51AF8" w14:textId="6E2DCEB5" w:rsidR="007E7DB3" w:rsidRPr="006811C4" w:rsidRDefault="007E7DB3" w:rsidP="007E7DB3">
      <w:pPr>
        <w:tabs>
          <w:tab w:val="left" w:pos="1701"/>
        </w:tabs>
        <w:spacing w:before="120" w:after="120"/>
        <w:ind w:left="567"/>
        <w:jc w:val="left"/>
        <w:rPr>
          <w:b/>
          <w:bCs/>
        </w:rPr>
      </w:pPr>
      <w:r>
        <w:rPr>
          <w:b/>
          <w:bCs/>
        </w:rPr>
        <w:lastRenderedPageBreak/>
        <w:t>Annexe II</w:t>
      </w:r>
      <w:r w:rsidRPr="007E7DB3">
        <w:rPr>
          <w:b/>
          <w:bCs/>
          <w:sz w:val="18"/>
          <w:vertAlign w:val="superscript"/>
        </w:rPr>
        <w:t>1</w:t>
      </w:r>
      <w:r>
        <w:rPr>
          <w:b/>
          <w:bCs/>
        </w:rPr>
        <w:t xml:space="preserve"> </w:t>
      </w:r>
      <w:r>
        <w:rPr>
          <w:b/>
          <w:bCs/>
        </w:rPr>
        <w:br/>
        <w:t xml:space="preserve">Compilation des communications reçues pendant la quatrième réunion de l’Organe subsidiaire </w:t>
      </w:r>
      <w:r w:rsidR="00990A3E">
        <w:rPr>
          <w:b/>
          <w:bCs/>
        </w:rPr>
        <w:t>chargé de l’application</w:t>
      </w:r>
      <w:r>
        <w:rPr>
          <w:b/>
          <w:bCs/>
        </w:rPr>
        <w:t>, à des fins d’examen plus approfondi</w:t>
      </w:r>
    </w:p>
    <w:p w14:paraId="247896FA" w14:textId="77777777" w:rsidR="007E7DB3" w:rsidRPr="006811C4" w:rsidRDefault="007E7DB3" w:rsidP="007E7DB3">
      <w:pPr>
        <w:tabs>
          <w:tab w:val="left" w:pos="1134"/>
          <w:tab w:val="left" w:pos="1701"/>
        </w:tabs>
        <w:spacing w:before="120" w:after="120"/>
        <w:ind w:left="567"/>
      </w:pPr>
      <w:r>
        <w:t>[1.</w:t>
      </w:r>
      <w:r>
        <w:tab/>
        <w:t>Présentation hâtive des déclarations et première lecture des documents de réunion en contexte de plénière virtuelle, afin de parvenir à l’utilisation la plus efficace possible du temps pendant les réunions.</w:t>
      </w:r>
    </w:p>
    <w:p w14:paraId="4144CA77" w14:textId="1D9C65F1" w:rsidR="007E7DB3" w:rsidRPr="006811C4" w:rsidRDefault="007E7DB3" w:rsidP="007E7DB3">
      <w:pPr>
        <w:tabs>
          <w:tab w:val="left" w:pos="1134"/>
          <w:tab w:val="left" w:pos="1701"/>
        </w:tabs>
        <w:spacing w:before="120" w:after="120"/>
        <w:ind w:left="567"/>
      </w:pPr>
      <w:r>
        <w:t>2.</w:t>
      </w:r>
      <w:r>
        <w:rPr>
          <w:i/>
          <w:iCs/>
        </w:rPr>
        <w:tab/>
      </w:r>
      <w:r>
        <w:t>Inviter</w:t>
      </w:r>
      <w:r>
        <w:rPr>
          <w:i/>
          <w:iCs/>
        </w:rPr>
        <w:t xml:space="preserve"> </w:t>
      </w:r>
      <w:r>
        <w:t>chacun des groupes majeurs de parties prenantes et les organisations ayant le statut d’observateur à envisager de partager leurs points de vue et leurs propositions relatifs aux points de l’ordre du jour qui les concernent, notamment en les téléversant hâtivement, et encourage</w:t>
      </w:r>
      <w:r w:rsidR="00AE6C1B">
        <w:t>r</w:t>
      </w:r>
      <w:r>
        <w:t xml:space="preserve"> les Parties à étudier les points de vue et les propositions des observateurs, avant la réunion en question, et, si cela s’avère nécessaire, à collaborer avec les observateurs en question afin d’élaborer une meilleure compréhension des points de vue et des propositions.</w:t>
      </w:r>
    </w:p>
    <w:p w14:paraId="07180250" w14:textId="77777777" w:rsidR="007E7DB3" w:rsidRPr="006811C4" w:rsidRDefault="007E7DB3" w:rsidP="007E7DB3">
      <w:pPr>
        <w:tabs>
          <w:tab w:val="left" w:pos="1134"/>
          <w:tab w:val="left" w:pos="1985"/>
        </w:tabs>
        <w:spacing w:before="120" w:after="120"/>
        <w:ind w:left="567"/>
      </w:pPr>
      <w:r>
        <w:t xml:space="preserve">3. </w:t>
      </w:r>
      <w:r>
        <w:tab/>
        <w:t xml:space="preserve">Organiser, sous réserve de la disponibilité des ressources, des webinaires d’information avec les groupes majeurs, qui comprendront une interprétation dans les langues de l’ONU, et une connexion Internet améliorée grâce à un accès via des bureaux du gouvernement ou d’autres bureaux au besoin, afin de faciliter l’échange des points de vue et de parvenir à un consensus au sujet des points concernés de l’ordre du jour, en particulier pour les peuples autochtones et les communautés locales. </w:t>
      </w:r>
    </w:p>
    <w:p w14:paraId="3F1D6AB0" w14:textId="77777777" w:rsidR="007E7DB3" w:rsidRPr="006811C4" w:rsidRDefault="007E7DB3" w:rsidP="007E7DB3">
      <w:pPr>
        <w:tabs>
          <w:tab w:val="left" w:pos="1134"/>
          <w:tab w:val="left" w:pos="1701"/>
        </w:tabs>
        <w:spacing w:before="120" w:after="120"/>
        <w:ind w:left="567"/>
      </w:pPr>
      <w:r>
        <w:t>4.</w:t>
      </w:r>
      <w:r>
        <w:tab/>
        <w:t>Définir, en collaboration avec les Bureaux, des orientations pour le fonctionnement des séances plénières, des réunions des groupes de contact et des réunions des amis du président afin d’assurer la cohérence de l’approche, y compris :</w:t>
      </w:r>
    </w:p>
    <w:p w14:paraId="6692C18B" w14:textId="77777777" w:rsidR="007E7DB3" w:rsidRPr="006811C4" w:rsidRDefault="007E7DB3" w:rsidP="007E7DB3">
      <w:pPr>
        <w:tabs>
          <w:tab w:val="left" w:pos="1701"/>
        </w:tabs>
        <w:spacing w:before="120" w:after="120"/>
        <w:ind w:left="567" w:firstLine="567"/>
      </w:pPr>
      <w:r>
        <w:t>i)</w:t>
      </w:r>
      <w:r>
        <w:tab/>
        <w:t>Les modalités d’intervention ;</w:t>
      </w:r>
    </w:p>
    <w:p w14:paraId="2717E902" w14:textId="77777777" w:rsidR="007E7DB3" w:rsidRPr="006811C4" w:rsidRDefault="007E7DB3" w:rsidP="007E7DB3">
      <w:pPr>
        <w:tabs>
          <w:tab w:val="left" w:pos="1701"/>
        </w:tabs>
        <w:spacing w:before="120" w:after="120"/>
        <w:ind w:left="567" w:firstLine="567"/>
      </w:pPr>
      <w:r>
        <w:t>ii)</w:t>
      </w:r>
      <w:r>
        <w:tab/>
        <w:t>La façon de gérer les nouvelles propositions écrites à différentes étapes du processus ;</w:t>
      </w:r>
    </w:p>
    <w:p w14:paraId="5B52C0B3" w14:textId="77777777" w:rsidR="007E7DB3" w:rsidRPr="006811C4" w:rsidRDefault="007E7DB3" w:rsidP="007E7DB3">
      <w:pPr>
        <w:tabs>
          <w:tab w:val="left" w:pos="1701"/>
        </w:tabs>
        <w:spacing w:before="120" w:after="120"/>
        <w:ind w:left="567" w:firstLine="567"/>
      </w:pPr>
      <w:r>
        <w:t>iii)</w:t>
      </w:r>
      <w:r>
        <w:tab/>
        <w:t xml:space="preserve">La façon d’assurer le fonctionnement de caucus conformément aux codes de conduite et de pratiques pertinents des Nations Unies. </w:t>
      </w:r>
    </w:p>
    <w:p w14:paraId="10B77E1A" w14:textId="26DBEBFA" w:rsidR="007E7DB3" w:rsidRPr="007E6CF9" w:rsidRDefault="007E7DB3" w:rsidP="007E7DB3">
      <w:pPr>
        <w:tabs>
          <w:tab w:val="left" w:pos="1134"/>
        </w:tabs>
        <w:spacing w:before="120" w:after="120"/>
        <w:ind w:left="567"/>
      </w:pPr>
      <w:r>
        <w:t>5.</w:t>
      </w:r>
      <w:r>
        <w:tab/>
        <w:t xml:space="preserve">Continuer d’étudier la disponibilité et la fiabilité de toute méthode ou technologie qui pourrait être utilisée pour accélérer la prise de décisions ; et rendre compte des résultats de cette étude à l’Organe subsidiaire </w:t>
      </w:r>
      <w:r w:rsidR="00990A3E">
        <w:t>chargé de l’application</w:t>
      </w:r>
      <w:r>
        <w:t>, pour qu’il les examine et soumette une recommandation à la Conférence des Parties lors de sa dix-septième réunion.</w:t>
      </w:r>
    </w:p>
    <w:p w14:paraId="6A6D7493" w14:textId="33B47780" w:rsidR="007E7DB3" w:rsidRPr="007E6CF9" w:rsidRDefault="007E7DB3" w:rsidP="007E7DB3">
      <w:pPr>
        <w:tabs>
          <w:tab w:val="left" w:pos="1134"/>
        </w:tabs>
        <w:spacing w:before="120" w:after="120"/>
        <w:ind w:left="567"/>
      </w:pPr>
      <w:r>
        <w:t>6.</w:t>
      </w:r>
      <w:r>
        <w:tab/>
        <w:t xml:space="preserve">Poursuivre le développement de l’outil de suivi des décisions, notamment en améliorant l’interface utilisateur pour faciliter la navigation intuitive et renforcer la fonction de recherche et les fonctionnalités interactives, et pour veiller à ce que l’outil puisse déterminer si des mesures appropriées ont été prises ou non pour chacune des décisions et chacun de ses éléments, dans le but d’améliorer l’utilité de l’outil à faciliter la mise en œuvre des décisions et la surveillance de cette mise en œuvre et à rendre compte des résultats à l’Organe subsidiaire </w:t>
      </w:r>
      <w:r w:rsidR="00990A3E">
        <w:t>chargé de l’application</w:t>
      </w:r>
      <w:r>
        <w:t>, pour qu’il examine le tout et présente une recommandation à la Conférence des Parties lors de sa dix-septième réunion.</w:t>
      </w:r>
    </w:p>
    <w:p w14:paraId="041E1009" w14:textId="77777777" w:rsidR="007E7DB3" w:rsidRPr="006811C4" w:rsidRDefault="007E7DB3" w:rsidP="007E7DB3">
      <w:pPr>
        <w:tabs>
          <w:tab w:val="left" w:pos="1134"/>
        </w:tabs>
        <w:spacing w:before="120" w:after="120"/>
        <w:ind w:left="567"/>
      </w:pPr>
      <w:r>
        <w:t>7.</w:t>
      </w:r>
      <w:r>
        <w:tab/>
        <w:t>Tenir à jour le site Web, ainsi que l’application, afin d’améliorer l’accès aux outils et aux orientations disponibles et de renforcer la gestion des connaissances en intégrant les dernières avancées liées aux outils et aux technologies en train d’être mis en place ou examinés.</w:t>
      </w:r>
    </w:p>
    <w:p w14:paraId="1059DA93" w14:textId="77777777" w:rsidR="007E7DB3" w:rsidRPr="006811C4" w:rsidRDefault="007E7DB3" w:rsidP="007E7DB3">
      <w:pPr>
        <w:tabs>
          <w:tab w:val="left" w:pos="1134"/>
          <w:tab w:val="left" w:pos="1701"/>
        </w:tabs>
        <w:spacing w:before="120" w:after="120"/>
        <w:ind w:left="567"/>
      </w:pPr>
      <w:r>
        <w:t>8.</w:t>
      </w:r>
      <w:r>
        <w:tab/>
        <w:t>Procéder aux premières lectures en ligne seulement avant la réunion, de manière à ce que les réunions commencent avec un projet de document de séance ou un document officieux pour le groupe de contact.</w:t>
      </w:r>
    </w:p>
    <w:p w14:paraId="622300CF" w14:textId="77777777" w:rsidR="007E7DB3" w:rsidRPr="006811C4" w:rsidRDefault="007E7DB3" w:rsidP="007E7DB3">
      <w:pPr>
        <w:tabs>
          <w:tab w:val="left" w:pos="1134"/>
          <w:tab w:val="left" w:pos="1701"/>
        </w:tabs>
        <w:spacing w:before="120" w:after="120"/>
        <w:ind w:left="567"/>
      </w:pPr>
      <w:r>
        <w:t>9.</w:t>
      </w:r>
      <w:r>
        <w:tab/>
        <w:t>Système en ligne pour des suggestions rapides de texte plutôt que la lecture du texte à voix haute.</w:t>
      </w:r>
    </w:p>
    <w:p w14:paraId="73E2E302" w14:textId="77777777" w:rsidR="007E7DB3" w:rsidRPr="006811C4" w:rsidRDefault="007E7DB3" w:rsidP="007E7DB3">
      <w:pPr>
        <w:tabs>
          <w:tab w:val="left" w:pos="1134"/>
          <w:tab w:val="left" w:pos="1701"/>
        </w:tabs>
        <w:spacing w:before="120" w:after="120"/>
        <w:ind w:left="567"/>
      </w:pPr>
      <w:r>
        <w:lastRenderedPageBreak/>
        <w:t>10.</w:t>
      </w:r>
      <w:r>
        <w:tab/>
        <w:t>Utilisation d’un outil de collaboration textuelle en ligne (p. ex. : Google Docs ou autre outil) pour travailler collectivement, pendant la plénière, sur les problèmes et solutions liés aux textes. Cette option pourrait d’abord nécessiter une certaine formation pour les délégués.</w:t>
      </w:r>
    </w:p>
    <w:p w14:paraId="622BAD73" w14:textId="77777777" w:rsidR="007E7DB3" w:rsidRPr="006811C4" w:rsidRDefault="007E7DB3" w:rsidP="007E7DB3">
      <w:pPr>
        <w:tabs>
          <w:tab w:val="left" w:pos="1134"/>
          <w:tab w:val="left" w:pos="1701"/>
        </w:tabs>
        <w:spacing w:before="120" w:after="120"/>
        <w:ind w:left="567"/>
      </w:pPr>
      <w:r>
        <w:t>11.</w:t>
      </w:r>
      <w:r>
        <w:tab/>
        <w:t xml:space="preserve">Faire des essais en n’ayant pas de projets de propositions de décisions fournis par le Secrétariat, mais en permettant plutôt aux Parties de rédiger le texte des décisions. </w:t>
      </w:r>
    </w:p>
    <w:p w14:paraId="40A9FA01" w14:textId="77777777" w:rsidR="007E7DB3" w:rsidRPr="006811C4" w:rsidRDefault="007E7DB3" w:rsidP="007E7DB3">
      <w:pPr>
        <w:tabs>
          <w:tab w:val="left" w:pos="1134"/>
          <w:tab w:val="left" w:pos="1701"/>
        </w:tabs>
        <w:spacing w:before="120" w:after="120"/>
        <w:ind w:left="567"/>
      </w:pPr>
      <w:r>
        <w:t>12.</w:t>
      </w:r>
      <w:r>
        <w:tab/>
        <w:t>Réfléchir à des façons d’améliorer la gestion de l’ordre du jour, notamment en combinant des points à l’ordre du jour lorsqu’il y a des chevauchements.</w:t>
      </w:r>
    </w:p>
    <w:p w14:paraId="53E8E169" w14:textId="77777777" w:rsidR="007E7DB3" w:rsidRPr="006811C4" w:rsidRDefault="007E7DB3" w:rsidP="007E7DB3">
      <w:pPr>
        <w:tabs>
          <w:tab w:val="left" w:pos="1134"/>
          <w:tab w:val="left" w:pos="1701"/>
        </w:tabs>
        <w:spacing w:before="120" w:after="120"/>
        <w:ind w:left="567"/>
      </w:pPr>
      <w:r>
        <w:t>13.</w:t>
      </w:r>
      <w:r>
        <w:tab/>
        <w:t>Utiliser des écrans pour les négociations liées au texte.</w:t>
      </w:r>
    </w:p>
    <w:p w14:paraId="281C6C50" w14:textId="77777777" w:rsidR="007E7DB3" w:rsidRPr="006811C4" w:rsidRDefault="007E7DB3" w:rsidP="007E7DB3">
      <w:pPr>
        <w:tabs>
          <w:tab w:val="left" w:pos="1134"/>
          <w:tab w:val="left" w:pos="1701"/>
        </w:tabs>
        <w:spacing w:before="120" w:after="120"/>
        <w:ind w:left="567"/>
      </w:pPr>
      <w:r>
        <w:t>14.</w:t>
      </w:r>
      <w:r>
        <w:tab/>
        <w:t>Utiliser des applications ou d’autres mécanismes pour sonder les Parties au sujet des options possibles pour résoudre les problèmes. Cette option pourrait d’abord nécessiter une certaine formation pour les délégués.</w:t>
      </w:r>
    </w:p>
    <w:p w14:paraId="6573F381" w14:textId="77777777" w:rsidR="007E7DB3" w:rsidRPr="006811C4" w:rsidRDefault="007E7DB3" w:rsidP="007E7DB3">
      <w:pPr>
        <w:tabs>
          <w:tab w:val="left" w:pos="1134"/>
          <w:tab w:val="left" w:pos="1701"/>
        </w:tabs>
        <w:spacing w:before="120" w:after="120"/>
        <w:ind w:left="567"/>
      </w:pPr>
      <w:r>
        <w:t>15.</w:t>
      </w:r>
      <w:r>
        <w:tab/>
        <w:t>Envisager d’autres nouvelles TIC.]</w:t>
      </w:r>
      <w:r w:rsidRPr="006811C4">
        <w:rPr>
          <w:vertAlign w:val="superscript"/>
          <w:lang w:val="en-US"/>
        </w:rPr>
        <w:footnoteReference w:id="4"/>
      </w:r>
      <w:r>
        <w:t xml:space="preserve"> ]]</w:t>
      </w:r>
    </w:p>
    <w:p w14:paraId="4693CAF6" w14:textId="77777777" w:rsidR="00621CCA" w:rsidRPr="00102EA6" w:rsidRDefault="00621CCA" w:rsidP="00621CCA">
      <w:pPr>
        <w:pStyle w:val="Heading2"/>
        <w:ind w:firstLine="0"/>
      </w:pPr>
      <w:r>
        <w:t>[B</w:t>
      </w:r>
      <w:r>
        <w:br/>
        <w:t>Procédures relatives à la tenue de réunions virtuelles et hybrides</w:t>
      </w:r>
    </w:p>
    <w:p w14:paraId="57813004" w14:textId="19DC13D6" w:rsidR="00D82BD7" w:rsidRDefault="00D82BD7" w:rsidP="00621CCA">
      <w:pPr>
        <w:pStyle w:val="ListParagraph"/>
        <w:keepNext/>
        <w:spacing w:before="120" w:after="120"/>
        <w:ind w:left="567" w:firstLine="567"/>
        <w:contextualSpacing w:val="0"/>
        <w:rPr>
          <w:i/>
          <w:iCs/>
        </w:rPr>
      </w:pPr>
      <w:r>
        <w:rPr>
          <w:i/>
          <w:iCs/>
        </w:rPr>
        <w:t xml:space="preserve">L’Organe subsidiaire </w:t>
      </w:r>
      <w:r w:rsidR="00990A3E">
        <w:rPr>
          <w:i/>
          <w:iCs/>
        </w:rPr>
        <w:t>chargé de l’application</w:t>
      </w:r>
    </w:p>
    <w:p w14:paraId="13260003" w14:textId="670D2994" w:rsidR="00D82BD7" w:rsidRPr="00D82BD7" w:rsidRDefault="00D82BD7" w:rsidP="00710CF3">
      <w:pPr>
        <w:pStyle w:val="Para1"/>
        <w:numPr>
          <w:ilvl w:val="0"/>
          <w:numId w:val="0"/>
        </w:numPr>
        <w:tabs>
          <w:tab w:val="clear" w:pos="1134"/>
        </w:tabs>
        <w:ind w:left="630" w:firstLine="900"/>
      </w:pPr>
      <w:r>
        <w:rPr>
          <w:i/>
          <w:iCs/>
        </w:rPr>
        <w:t>Recommande</w:t>
      </w:r>
      <w:r>
        <w:t xml:space="preserve"> que la Conférence des Parties à la Convention à sa seizième réunion, la Conférence des Parties siégeant en tant que réunion des Parties au Protocole de Cartagena à sa onzième réunion et la Conférence des Parties siégeant en tant que réunion des Parties au Protocole de Nagoya à sa cinquième réunion, adoptent, respectivement, des décisions allant dans le sens des lignes suivantes :</w:t>
      </w:r>
    </w:p>
    <w:p w14:paraId="2EDE1802" w14:textId="121BE1CC" w:rsidR="00621CCA" w:rsidRPr="0010723C" w:rsidRDefault="00621CCA" w:rsidP="00710CF3">
      <w:pPr>
        <w:pStyle w:val="ListParagraph"/>
        <w:keepNext/>
        <w:spacing w:before="120" w:after="120"/>
        <w:ind w:left="1170" w:firstLine="567"/>
        <w:contextualSpacing w:val="0"/>
        <w:rPr>
          <w:kern w:val="22"/>
          <w:szCs w:val="22"/>
        </w:rPr>
      </w:pPr>
      <w:r>
        <w:rPr>
          <w:i/>
          <w:iCs/>
        </w:rPr>
        <w:t>La Conférence des Parties,</w:t>
      </w:r>
      <w:r>
        <w:t xml:space="preserve"> </w:t>
      </w:r>
    </w:p>
    <w:p w14:paraId="194BD9FF" w14:textId="77777777" w:rsidR="00621CCA" w:rsidRPr="0010723C" w:rsidRDefault="00621CCA" w:rsidP="00710CF3">
      <w:pPr>
        <w:pStyle w:val="ListParagraph"/>
        <w:spacing w:before="120" w:after="120"/>
        <w:ind w:left="1170" w:firstLine="567"/>
        <w:contextualSpacing w:val="0"/>
        <w:rPr>
          <w:kern w:val="22"/>
          <w:szCs w:val="22"/>
        </w:rPr>
      </w:pPr>
      <w:r>
        <w:rPr>
          <w:i/>
          <w:iCs/>
        </w:rPr>
        <w:t>La Conférence des Parties siégeant en tant que réunion des Parties au Protocole de Cartagena sur la prévention des risques biotechnologiques,</w:t>
      </w:r>
    </w:p>
    <w:p w14:paraId="0DF6DA3D" w14:textId="77777777" w:rsidR="00621CCA" w:rsidRPr="0010723C" w:rsidRDefault="00621CCA" w:rsidP="00710CF3">
      <w:pPr>
        <w:pStyle w:val="ListParagraph"/>
        <w:spacing w:before="120" w:after="120"/>
        <w:ind w:left="1170" w:firstLine="567"/>
        <w:contextualSpacing w:val="0"/>
        <w:rPr>
          <w:i/>
          <w:kern w:val="22"/>
          <w:szCs w:val="22"/>
        </w:rPr>
      </w:pPr>
      <w:r>
        <w:rPr>
          <w:i/>
          <w:iCs/>
        </w:rPr>
        <w:t>La Conférence des Parties siégeant en tant que réunion des Parties au Protocole de Nagoya sur l’accès et le partage des avantages,</w:t>
      </w:r>
    </w:p>
    <w:p w14:paraId="521F1E64" w14:textId="77777777" w:rsidR="00621CCA" w:rsidRPr="000A4B29" w:rsidRDefault="00621CCA" w:rsidP="00621CCA">
      <w:pPr>
        <w:pStyle w:val="Para1"/>
        <w:numPr>
          <w:ilvl w:val="0"/>
          <w:numId w:val="0"/>
        </w:numPr>
        <w:ind w:left="567" w:firstLine="567"/>
      </w:pPr>
      <w:r>
        <w:rPr>
          <w:i/>
          <w:iCs/>
        </w:rPr>
        <w:t>Rappelant</w:t>
      </w:r>
      <w:r>
        <w:t xml:space="preserve"> </w:t>
      </w:r>
      <w:bookmarkStart w:id="2" w:name="_Hlk167470634"/>
      <w:r>
        <w:t xml:space="preserve">les décisions 15/18 du 10 décembre 2022, CP-10/8 du 10 décembre 2022 et NP-4/9 du 10 décembre 2022, </w:t>
      </w:r>
    </w:p>
    <w:bookmarkEnd w:id="2"/>
    <w:p w14:paraId="0EDDC011" w14:textId="77777777" w:rsidR="00621CCA" w:rsidRPr="000A4B29" w:rsidRDefault="00621CCA" w:rsidP="00621CCA">
      <w:pPr>
        <w:pStyle w:val="Para1"/>
        <w:numPr>
          <w:ilvl w:val="0"/>
          <w:numId w:val="0"/>
        </w:numPr>
        <w:ind w:left="567" w:firstLine="567"/>
      </w:pPr>
      <w:r>
        <w:rPr>
          <w:i/>
          <w:iCs/>
        </w:rPr>
        <w:t>Réaffirmant</w:t>
      </w:r>
      <w:r>
        <w:t xml:space="preserve"> que toutes les réunions de la Conférence des Parties à la Convention sur la diversité biologique</w:t>
      </w:r>
      <w:r>
        <w:rPr>
          <w:rStyle w:val="FootnoteReference"/>
        </w:rPr>
        <w:footnoteReference w:id="5"/>
      </w:r>
      <w:r>
        <w:t>, la Conférence des Parties siégeant en tant que réunion des Parties au Protocole de Cartagena sur la prévention des risques biotechnologiques</w:t>
      </w:r>
      <w:r>
        <w:rPr>
          <w:rStyle w:val="FootnoteReference"/>
        </w:rPr>
        <w:footnoteReference w:id="6"/>
      </w:r>
      <w:r>
        <w:t xml:space="preserve"> et la Conférence des Parties siégeant en tant que réunion des Parties au Protocole de Nagoya sur l’accès et le partage juste et équitable des avantages découlant de leur utilisation à la Convention sur la diversité biologique</w:t>
      </w:r>
      <w:r>
        <w:rPr>
          <w:rStyle w:val="FootnoteReference"/>
        </w:rPr>
        <w:footnoteReference w:id="7"/>
      </w:r>
      <w:r>
        <w:t>, ainsi que les réunions des organes subsidiaires intergouvernementaux de la Convention, doivent respecter leur règlement intérieur respectif,</w:t>
      </w:r>
    </w:p>
    <w:p w14:paraId="6C1E0891" w14:textId="15B884EF" w:rsidR="00621CCA" w:rsidRPr="00CC523F" w:rsidRDefault="00621CCA" w:rsidP="00621CCA">
      <w:pPr>
        <w:pStyle w:val="Para1"/>
        <w:numPr>
          <w:ilvl w:val="0"/>
          <w:numId w:val="0"/>
        </w:numPr>
        <w:tabs>
          <w:tab w:val="clear" w:pos="1134"/>
          <w:tab w:val="left" w:pos="1701"/>
        </w:tabs>
        <w:ind w:left="567" w:firstLine="567"/>
        <w:rPr>
          <w:rFonts w:asciiTheme="majorBidi" w:hAnsiTheme="majorBidi" w:cstheme="majorBidi"/>
        </w:rPr>
      </w:pPr>
      <w:r>
        <w:t>1.</w:t>
      </w:r>
      <w:r>
        <w:tab/>
      </w:r>
      <w:r>
        <w:rPr>
          <w:i/>
          <w:iCs/>
        </w:rPr>
        <w:t>Affirme</w:t>
      </w:r>
      <w:r>
        <w:t xml:space="preserve"> que les réunions de la Conférence des Parties, la Conférence des Parties siégeant en tant que réunion des Parties au Protocole de Cartagena et la Conférence des Parties siégeant en tant que réunion des Parties au Protocole de Nagoya, ainsi que les réunions des organes subsidiaires intergouvernementaux de la Convention, doivent se tenir en </w:t>
      </w:r>
      <w:r w:rsidR="00D82BD7">
        <w:t>personne</w:t>
      </w:r>
      <w:r>
        <w:t xml:space="preserve"> à moins que des circonstances extraordinaires, comme indiqué au paragraphe 2 ci-dessous, ne rendent impossible la tenue de réunions en </w:t>
      </w:r>
      <w:r w:rsidR="00D82BD7">
        <w:t>personne</w:t>
      </w:r>
      <w:r>
        <w:t xml:space="preserve"> pendant une période prolongée ;</w:t>
      </w:r>
      <w:r>
        <w:rPr>
          <w:rFonts w:asciiTheme="majorBidi" w:hAnsiTheme="majorBidi"/>
          <w:szCs w:val="22"/>
        </w:rPr>
        <w:t xml:space="preserve"> </w:t>
      </w:r>
    </w:p>
    <w:p w14:paraId="573B8BF3" w14:textId="474C08C8" w:rsidR="00621CCA" w:rsidRPr="000A4B29" w:rsidRDefault="00621CCA" w:rsidP="00621CCA">
      <w:pPr>
        <w:pStyle w:val="Para1"/>
        <w:numPr>
          <w:ilvl w:val="0"/>
          <w:numId w:val="0"/>
        </w:numPr>
        <w:tabs>
          <w:tab w:val="clear" w:pos="1134"/>
          <w:tab w:val="left" w:pos="1701"/>
        </w:tabs>
        <w:ind w:left="567" w:firstLine="567"/>
      </w:pPr>
      <w:r>
        <w:lastRenderedPageBreak/>
        <w:t>2.</w:t>
      </w:r>
      <w:r>
        <w:tab/>
      </w:r>
      <w:r>
        <w:rPr>
          <w:i/>
          <w:iCs/>
        </w:rPr>
        <w:t>Réaffirme</w:t>
      </w:r>
      <w:r>
        <w:t xml:space="preserve"> qu’en cas de circonstances extraordinaires qui ne permettent pas que les réunions se tiennent en </w:t>
      </w:r>
      <w:r w:rsidR="00D82BD7">
        <w:t>personne</w:t>
      </w:r>
      <w:r>
        <w:t>, les sessions des réunions mentionnées au paragraphe 1 ci-dessus doivent se tenir en ligne selon des modalités qui permettent une participation en ligne interactive, si elles font suite à une consultation des Parties et à une décision du Bureau de la Conférence des Parties, tant qu’aucune décision de fond ne soit prise en ligne, à l’exception de décisions sur des questions budgétaires et des questions de procédure permettant au Secrétariat de fonctionner ;</w:t>
      </w:r>
    </w:p>
    <w:p w14:paraId="2274CB10" w14:textId="099F8455" w:rsidR="00621CCA" w:rsidRDefault="00621CCA" w:rsidP="00621CCA">
      <w:pPr>
        <w:pStyle w:val="Para1"/>
        <w:numPr>
          <w:ilvl w:val="0"/>
          <w:numId w:val="0"/>
        </w:numPr>
        <w:tabs>
          <w:tab w:val="clear" w:pos="1134"/>
          <w:tab w:val="left" w:pos="1701"/>
        </w:tabs>
        <w:ind w:left="567" w:firstLine="567"/>
      </w:pPr>
      <w:r>
        <w:t>3.</w:t>
      </w:r>
      <w:r>
        <w:tab/>
      </w:r>
      <w:r>
        <w:rPr>
          <w:i/>
          <w:iCs/>
        </w:rPr>
        <w:t>Note</w:t>
      </w:r>
      <w:r>
        <w:t xml:space="preserve"> qu’en cas de circonstances extraordinaires qui rendraient impossible la tenue de réunion en </w:t>
      </w:r>
      <w:r w:rsidR="00F64010">
        <w:t>personne</w:t>
      </w:r>
      <w:r>
        <w:t xml:space="preserve">, des décisions urgentes, telles que celles sur des questions budgétaires, peuvent être prises par la Conférence des Parties au terme d’une procédure d’approbation tacite, conformément à la pratique des Nations Unies, et à une décision du Bureau de la Conférence des Parties, à la suite de consultations appropriées des membres du Bureau avec leurs régions respectives et en application des procédures établies dans le règlement intérieur régissant la tenue d’une réunion extraordinaire ; </w:t>
      </w:r>
    </w:p>
    <w:p w14:paraId="759ED9DC" w14:textId="77777777" w:rsidR="00621CCA" w:rsidRPr="00BE1972" w:rsidRDefault="00621CCA" w:rsidP="00621CCA">
      <w:pPr>
        <w:pStyle w:val="Para1"/>
        <w:numPr>
          <w:ilvl w:val="0"/>
          <w:numId w:val="0"/>
        </w:numPr>
        <w:tabs>
          <w:tab w:val="clear" w:pos="1134"/>
          <w:tab w:val="left" w:pos="1701"/>
        </w:tabs>
        <w:ind w:left="567" w:firstLine="567"/>
      </w:pPr>
      <w:r>
        <w:t>4.</w:t>
      </w:r>
      <w:r>
        <w:tab/>
      </w:r>
      <w:r>
        <w:rPr>
          <w:i/>
          <w:iCs/>
        </w:rPr>
        <w:t xml:space="preserve">Demande </w:t>
      </w:r>
      <w:r>
        <w:t>à la Secrétaire exécutive de veiller à ce que l’organisation des réunions visées au paragraphe 1 ci-dessus comprenne toujours une disposition permettant de diffuser les débats en ligne afin que tous les délégués dûment inscrits puissent suivre les débats en temps réel ;</w:t>
      </w:r>
    </w:p>
    <w:p w14:paraId="6A18BDD6" w14:textId="57ABD9E8" w:rsidR="00621CCA" w:rsidRDefault="00621CCA" w:rsidP="00621CCA">
      <w:pPr>
        <w:pStyle w:val="Para1"/>
        <w:numPr>
          <w:ilvl w:val="0"/>
          <w:numId w:val="0"/>
        </w:numPr>
        <w:tabs>
          <w:tab w:val="clear" w:pos="1134"/>
          <w:tab w:val="left" w:pos="1701"/>
        </w:tabs>
        <w:ind w:left="567" w:firstLine="567"/>
      </w:pPr>
      <w:r>
        <w:t>5.</w:t>
      </w:r>
      <w:r>
        <w:tab/>
      </w:r>
      <w:r>
        <w:rPr>
          <w:i/>
          <w:iCs/>
        </w:rPr>
        <w:t>Note</w:t>
      </w:r>
      <w:r>
        <w:t xml:space="preserve"> que les groupes d’experts, les groupes consultatifs et d’autres groupes comptant un nombre de membres limité peuvent se réunir en </w:t>
      </w:r>
      <w:r w:rsidR="00F64010">
        <w:t>personne</w:t>
      </w:r>
      <w:r>
        <w:t xml:space="preserve">, virtuellement ou en format hybride, conformément à leur mission respective et, le cas échéant, leur règlement intérieur respectif[, en soulignant qu’au moins une de leurs réunions devrait être tenue en personne] ; </w:t>
      </w:r>
    </w:p>
    <w:p w14:paraId="5237B0C1" w14:textId="77777777" w:rsidR="00621CCA" w:rsidRPr="00CC523F" w:rsidRDefault="00621CCA" w:rsidP="00621CCA">
      <w:pPr>
        <w:pStyle w:val="Para1"/>
        <w:numPr>
          <w:ilvl w:val="0"/>
          <w:numId w:val="0"/>
        </w:numPr>
        <w:tabs>
          <w:tab w:val="clear" w:pos="1134"/>
          <w:tab w:val="left" w:pos="1701"/>
        </w:tabs>
        <w:ind w:left="567" w:firstLine="567"/>
      </w:pPr>
      <w:r>
        <w:t>6.</w:t>
      </w:r>
      <w:r>
        <w:tab/>
      </w:r>
      <w:r>
        <w:rPr>
          <w:i/>
          <w:iCs/>
        </w:rPr>
        <w:t>Note également</w:t>
      </w:r>
      <w:r>
        <w:t xml:space="preserve"> que pendant la période intersessions, les Bureaux peuvent se réunir virtuellement pour donner des orientations continues au Secrétariat en ce qui concerne la préparation des réunions de la Conférence des Parties et des organes subsidiaires compétents ;</w:t>
      </w:r>
      <w:r>
        <w:rPr>
          <w:highlight w:val="yellow"/>
        </w:rPr>
        <w:t xml:space="preserve"> </w:t>
      </w:r>
    </w:p>
    <w:p w14:paraId="3D84B92D" w14:textId="77777777" w:rsidR="00621CCA" w:rsidRPr="0098189A" w:rsidRDefault="00621CCA" w:rsidP="00621CCA">
      <w:pPr>
        <w:pStyle w:val="Para1"/>
        <w:numPr>
          <w:ilvl w:val="0"/>
          <w:numId w:val="0"/>
        </w:numPr>
        <w:tabs>
          <w:tab w:val="clear" w:pos="1134"/>
          <w:tab w:val="left" w:pos="1701"/>
        </w:tabs>
        <w:ind w:left="567" w:firstLine="567"/>
      </w:pPr>
      <w:r>
        <w:t>7.</w:t>
      </w:r>
      <w:r>
        <w:tab/>
      </w:r>
      <w:r>
        <w:rPr>
          <w:i/>
          <w:iCs/>
        </w:rPr>
        <w:t>Décide</w:t>
      </w:r>
      <w:r>
        <w:t xml:space="preserve"> que :</w:t>
      </w:r>
    </w:p>
    <w:p w14:paraId="27C0BDC1" w14:textId="77777777" w:rsidR="00621CCA" w:rsidRPr="0098189A" w:rsidRDefault="00621CCA" w:rsidP="00621CCA">
      <w:pPr>
        <w:pStyle w:val="Para1"/>
        <w:numPr>
          <w:ilvl w:val="0"/>
          <w:numId w:val="0"/>
        </w:numPr>
        <w:tabs>
          <w:tab w:val="clear" w:pos="1134"/>
          <w:tab w:val="left" w:pos="1701"/>
        </w:tabs>
        <w:ind w:left="567" w:firstLine="567"/>
      </w:pPr>
      <w:r>
        <w:t>a)</w:t>
      </w:r>
      <w:r>
        <w:tab/>
        <w:t>Les modalités de fonctionnement de toute réunion qui se tient virtuellement devraient être clairement énoncées dans une note de scénario préparée par le Secrétariat en consultation avec le Bureau concerné et mise à disposition de toutes les Parties avant l’ouverture de la réunion ;</w:t>
      </w:r>
    </w:p>
    <w:p w14:paraId="283C56C1" w14:textId="76D375F7" w:rsidR="00621CCA" w:rsidRPr="00CC523F" w:rsidRDefault="00621CCA" w:rsidP="00621CCA">
      <w:pPr>
        <w:pStyle w:val="Para1"/>
        <w:numPr>
          <w:ilvl w:val="0"/>
          <w:numId w:val="0"/>
        </w:numPr>
        <w:tabs>
          <w:tab w:val="clear" w:pos="1134"/>
          <w:tab w:val="left" w:pos="1701"/>
        </w:tabs>
        <w:ind w:left="567" w:firstLine="567"/>
      </w:pPr>
      <w:r>
        <w:t xml:space="preserve">b) </w:t>
      </w:r>
      <w:r>
        <w:tab/>
        <w:t xml:space="preserve">Lors de la programmation de sessions virtuelles de réunions, le Secrétariat doit tenir compte des difficultés importantes pour la santé et le bien-être des Parties résultant des différences de fuseaux horaires et viser à permettre une participation égalitaire des Parties de toutes les régions, y compris par la rotation des </w:t>
      </w:r>
      <w:r w:rsidR="00F64010">
        <w:t xml:space="preserve">fuseaux </w:t>
      </w:r>
      <w:r>
        <w:t>horaires ;</w:t>
      </w:r>
    </w:p>
    <w:p w14:paraId="2DD8E216" w14:textId="77777777" w:rsidR="00621CCA" w:rsidRPr="0098189A" w:rsidRDefault="00621CCA" w:rsidP="00621CCA">
      <w:pPr>
        <w:pStyle w:val="Para1"/>
        <w:numPr>
          <w:ilvl w:val="0"/>
          <w:numId w:val="0"/>
        </w:numPr>
        <w:tabs>
          <w:tab w:val="clear" w:pos="1134"/>
          <w:tab w:val="left" w:pos="1701"/>
        </w:tabs>
        <w:ind w:left="567" w:firstLine="567"/>
      </w:pPr>
      <w:r>
        <w:t>c)</w:t>
      </w:r>
      <w:r>
        <w:tab/>
        <w:t xml:space="preserve">La durée des sessions virtuelles devrait être limitée à deux heures consécutives par jour ; </w:t>
      </w:r>
    </w:p>
    <w:p w14:paraId="746633C4" w14:textId="77777777" w:rsidR="00621CCA" w:rsidRDefault="00621CCA" w:rsidP="00621CCA">
      <w:pPr>
        <w:pStyle w:val="Para1"/>
        <w:numPr>
          <w:ilvl w:val="0"/>
          <w:numId w:val="0"/>
        </w:numPr>
        <w:tabs>
          <w:tab w:val="clear" w:pos="1134"/>
          <w:tab w:val="left" w:pos="1701"/>
        </w:tabs>
        <w:ind w:left="567" w:firstLine="567"/>
      </w:pPr>
      <w:r>
        <w:t>d)</w:t>
      </w:r>
      <w:r>
        <w:tab/>
        <w:t>Le Secrétariat devrait mettre en œuvre des mesures visant à faciliter la participation en ligne effective de tous les participants aux sessions virtuelles et hybrides des réunions, et en particulier aider les Parties à surmonter leurs difficultés en matière de réseau et de connectivité, y compris en proposant des formations préalables et des tests, qui conviennent à tous les fuseaux horaires, en facilitant l’accès aux salles de réunions du bureau de pays des Nations Unies concerné, lorsque cela est possible, en prenant des dispositions préalables sur demande de la Partie concernée et en proposant toutes les mesures raisonnables pour aider les Parties qui rencontrent des difficultés de connectivité et d’utilisation de la plateforme interactive.]</w:t>
      </w:r>
    </w:p>
    <w:p w14:paraId="607763C4" w14:textId="77777777" w:rsidR="00EA0336" w:rsidRPr="0010723C" w:rsidRDefault="00F64010" w:rsidP="00710CF3">
      <w:pPr>
        <w:pStyle w:val="Heading2"/>
        <w:ind w:left="1170"/>
      </w:pPr>
      <w:r>
        <w:t>II.</w:t>
      </w:r>
      <w:r>
        <w:tab/>
      </w:r>
      <w:r w:rsidR="00EA0336">
        <w:t>Procédure relative à la prévention et à la gestion des conflits d’intérêts au sein des groupes d’experts</w:t>
      </w:r>
    </w:p>
    <w:p w14:paraId="29617905" w14:textId="12C2F8E0" w:rsidR="00F64010" w:rsidRPr="00363208" w:rsidRDefault="00EA0336" w:rsidP="00710CF3">
      <w:pPr>
        <w:pStyle w:val="Para1"/>
        <w:numPr>
          <w:ilvl w:val="0"/>
          <w:numId w:val="0"/>
        </w:numPr>
        <w:tabs>
          <w:tab w:val="clear" w:pos="1134"/>
          <w:tab w:val="left" w:pos="1701"/>
        </w:tabs>
        <w:ind w:left="567" w:firstLine="333"/>
        <w:rPr>
          <w:i/>
        </w:rPr>
      </w:pPr>
      <w:r w:rsidRPr="00363208">
        <w:rPr>
          <w:i/>
        </w:rPr>
        <w:t xml:space="preserve">L’Organe subsidiaire </w:t>
      </w:r>
      <w:r w:rsidR="00990A3E">
        <w:rPr>
          <w:i/>
        </w:rPr>
        <w:t>chargé de l’application</w:t>
      </w:r>
    </w:p>
    <w:p w14:paraId="212DA447" w14:textId="396948FE" w:rsidR="00EA0336" w:rsidRPr="0098189A" w:rsidRDefault="00363208" w:rsidP="00363208">
      <w:pPr>
        <w:pStyle w:val="Para1"/>
        <w:numPr>
          <w:ilvl w:val="0"/>
          <w:numId w:val="0"/>
        </w:numPr>
        <w:tabs>
          <w:tab w:val="clear" w:pos="1134"/>
        </w:tabs>
        <w:ind w:left="567" w:firstLine="567"/>
      </w:pPr>
      <w:r>
        <w:rPr>
          <w:i/>
        </w:rPr>
        <w:tab/>
      </w:r>
      <w:r w:rsidR="00EA0336" w:rsidRPr="00363208">
        <w:rPr>
          <w:i/>
        </w:rPr>
        <w:t>Recommande</w:t>
      </w:r>
      <w:r w:rsidR="00EA0336">
        <w:t xml:space="preserve"> que la Conférence des Parties, à sa seizième réunion, la Conférence des Parties siégeant en tant que réunion des Parties </w:t>
      </w:r>
      <w:r>
        <w:t>au Protocole</w:t>
      </w:r>
      <w:r w:rsidR="00EA0336">
        <w:t xml:space="preserve"> de Cartagena sur la prévention des risques biotechnologique, à sa onzième réunion, et la Conférence des Parties siégeant en tant que réunion des Parties au Protocole de Nagoya sur l’accès aux ressources génétiques et le partage juste </w:t>
      </w:r>
      <w:r w:rsidR="00EA0336">
        <w:lastRenderedPageBreak/>
        <w:t xml:space="preserve">et équitable des avantages découlant de leur </w:t>
      </w:r>
      <w:r w:rsidR="00EA0336" w:rsidRPr="00EA0336">
        <w:t>utilisation</w:t>
      </w:r>
      <w:r w:rsidR="00EA0336">
        <w:t xml:space="preserve">, à sa cinquième réunion, </w:t>
      </w:r>
      <w:r>
        <w:t>adoptent une décision qui ressemble à ce qui suit :</w:t>
      </w:r>
    </w:p>
    <w:p w14:paraId="3F613B4B" w14:textId="77777777" w:rsidR="00363208" w:rsidRDefault="0044161B" w:rsidP="00363208">
      <w:pPr>
        <w:pStyle w:val="ListParagraph"/>
        <w:spacing w:before="120" w:after="120"/>
        <w:ind w:left="873" w:firstLine="567"/>
        <w:contextualSpacing w:val="0"/>
        <w:rPr>
          <w:i/>
          <w:iCs/>
        </w:rPr>
      </w:pPr>
      <w:r>
        <w:rPr>
          <w:i/>
          <w:iCs/>
        </w:rPr>
        <w:t>La Conférence des Parties</w:t>
      </w:r>
      <w:r w:rsidR="00363208">
        <w:rPr>
          <w:i/>
          <w:iCs/>
        </w:rPr>
        <w:t>,</w:t>
      </w:r>
    </w:p>
    <w:p w14:paraId="590839FB" w14:textId="746B908D" w:rsidR="0044161B" w:rsidRPr="0010723C" w:rsidRDefault="00363208" w:rsidP="00363208">
      <w:pPr>
        <w:pStyle w:val="ListParagraph"/>
        <w:spacing w:before="120" w:after="120"/>
        <w:ind w:firstLine="720"/>
        <w:contextualSpacing w:val="0"/>
        <w:rPr>
          <w:kern w:val="22"/>
          <w:szCs w:val="22"/>
        </w:rPr>
      </w:pPr>
      <w:r>
        <w:rPr>
          <w:i/>
          <w:iCs/>
        </w:rPr>
        <w:t xml:space="preserve">La Conférence des Parties siégeant en tant que réunion des Parties </w:t>
      </w:r>
      <w:r w:rsidR="0044161B">
        <w:rPr>
          <w:i/>
          <w:iCs/>
        </w:rPr>
        <w:t>au Protocole de Cartagena sur la prévention des risques biotechnologiques,</w:t>
      </w:r>
    </w:p>
    <w:p w14:paraId="2BA54A99" w14:textId="77777777" w:rsidR="0044161B" w:rsidRPr="0010723C" w:rsidRDefault="0044161B" w:rsidP="0044161B">
      <w:pPr>
        <w:pStyle w:val="ListParagraph"/>
        <w:spacing w:before="120" w:after="120"/>
        <w:ind w:left="567" w:firstLine="567"/>
        <w:contextualSpacing w:val="0"/>
        <w:rPr>
          <w:i/>
          <w:kern w:val="22"/>
          <w:szCs w:val="22"/>
        </w:rPr>
      </w:pPr>
      <w:r>
        <w:rPr>
          <w:i/>
          <w:iCs/>
        </w:rPr>
        <w:t>La Conférence des Parties siégeant en tant que réunion des Parties au Protocole de Nagoya sur l’accès et le partage des avantages,</w:t>
      </w:r>
    </w:p>
    <w:p w14:paraId="5DCA02A7" w14:textId="4E99EBBC" w:rsidR="00102EA6" w:rsidRPr="00976D24" w:rsidRDefault="00102EA6" w:rsidP="005615B1">
      <w:pPr>
        <w:pStyle w:val="ListParagraph"/>
        <w:spacing w:before="120" w:after="120"/>
        <w:ind w:left="567" w:firstLine="567"/>
        <w:contextualSpacing w:val="0"/>
        <w:rPr>
          <w:iCs/>
          <w:kern w:val="22"/>
          <w:szCs w:val="22"/>
        </w:rPr>
      </w:pPr>
      <w:r>
        <w:rPr>
          <w:i/>
          <w:szCs w:val="22"/>
        </w:rPr>
        <w:t xml:space="preserve">Rappelant </w:t>
      </w:r>
      <w:r>
        <w:t>les décisions 14/33 du 29 novembre 2018, CP-9/10 du 28 novembre 2018 et NP-3/11 du 29 novembre 2018,</w:t>
      </w:r>
    </w:p>
    <w:p w14:paraId="29D4ADB1" w14:textId="16A8D2F4" w:rsidR="00102EA6" w:rsidRPr="00976D24" w:rsidRDefault="00102EA6" w:rsidP="00615775">
      <w:pPr>
        <w:pStyle w:val="ListParagraph"/>
        <w:spacing w:before="120" w:after="120"/>
        <w:ind w:left="1170" w:firstLine="540"/>
        <w:contextualSpacing w:val="0"/>
        <w:rPr>
          <w:iCs/>
          <w:kern w:val="22"/>
          <w:szCs w:val="22"/>
        </w:rPr>
      </w:pPr>
      <w:r>
        <w:rPr>
          <w:i/>
          <w:szCs w:val="22"/>
        </w:rPr>
        <w:t xml:space="preserve">Ayant étudié </w:t>
      </w:r>
      <w:r>
        <w:t>le rapport du Secrétariat de la Convention sur la diversité biologique</w:t>
      </w:r>
      <w:r w:rsidR="00F14479">
        <w:rPr>
          <w:rStyle w:val="FootnoteReference"/>
          <w:iCs/>
          <w:kern w:val="22"/>
          <w:szCs w:val="22"/>
        </w:rPr>
        <w:footnoteReference w:id="8"/>
      </w:r>
      <w:r>
        <w:t xml:space="preserve"> sur l’application de la procédure relative à la prévention et à la gestion des conflits d’intérêts au sein des groupes d’experts</w:t>
      </w:r>
      <w:r w:rsidR="00351D93">
        <w:t>,</w:t>
      </w:r>
      <w:r w:rsidR="004C7956">
        <w:rPr>
          <w:rStyle w:val="FootnoteReference"/>
          <w:iCs/>
          <w:kern w:val="22"/>
          <w:szCs w:val="22"/>
        </w:rPr>
        <w:footnoteReference w:id="9"/>
      </w:r>
    </w:p>
    <w:p w14:paraId="5F181DCA" w14:textId="6830AB53" w:rsidR="00102EA6" w:rsidRPr="00976D24" w:rsidRDefault="00102EA6" w:rsidP="00615775">
      <w:pPr>
        <w:pStyle w:val="ListParagraph"/>
        <w:spacing w:before="120" w:after="120"/>
        <w:ind w:left="1170" w:firstLine="540"/>
        <w:contextualSpacing w:val="0"/>
        <w:rPr>
          <w:kern w:val="22"/>
          <w:szCs w:val="22"/>
        </w:rPr>
      </w:pPr>
      <w:r>
        <w:rPr>
          <w:i/>
          <w:szCs w:val="22"/>
        </w:rPr>
        <w:t xml:space="preserve">Tenant compte </w:t>
      </w:r>
      <w:r>
        <w:t>de l’utilisation effective de la procédure relative à la prévention et à la gestion des conflits d’intérêts</w:t>
      </w:r>
      <w:r w:rsidR="00A923C6">
        <w:rPr>
          <w:rStyle w:val="FootnoteReference"/>
          <w:iCs/>
          <w:kern w:val="22"/>
          <w:szCs w:val="22"/>
        </w:rPr>
        <w:footnoteReference w:id="10"/>
      </w:r>
      <w:r>
        <w:t xml:space="preserve"> lors de la sélection des experts qui siégeront dans les groupes d’experts techniques réunis lors des processus au titre de la Convention et de ses Protocoles,</w:t>
      </w:r>
    </w:p>
    <w:p w14:paraId="7D80040B" w14:textId="76E874A4" w:rsidR="00102EA6" w:rsidRPr="00976D24" w:rsidRDefault="00102EA6" w:rsidP="00351D93">
      <w:pPr>
        <w:pStyle w:val="ListParagraph"/>
        <w:tabs>
          <w:tab w:val="left" w:pos="1701"/>
        </w:tabs>
        <w:spacing w:before="120" w:after="120"/>
        <w:ind w:left="1080" w:firstLine="567"/>
        <w:contextualSpacing w:val="0"/>
        <w:rPr>
          <w:kern w:val="22"/>
          <w:szCs w:val="22"/>
        </w:rPr>
      </w:pPr>
      <w:r>
        <w:t>1.</w:t>
      </w:r>
      <w:r>
        <w:tab/>
      </w:r>
      <w:r>
        <w:rPr>
          <w:i/>
          <w:iCs/>
          <w:szCs w:val="22"/>
        </w:rPr>
        <w:t>Approuve</w:t>
      </w:r>
      <w:r>
        <w:t xml:space="preserve"> les amendements suivants au formulaire de déclaration d’intérêts, contenu dans l’appendice de la procédure :</w:t>
      </w:r>
    </w:p>
    <w:p w14:paraId="33281F4B" w14:textId="1E44BB9C" w:rsidR="00102EA6" w:rsidRPr="00773E75" w:rsidRDefault="00102EA6" w:rsidP="00351D93">
      <w:pPr>
        <w:pStyle w:val="ListParagraph"/>
        <w:tabs>
          <w:tab w:val="left" w:pos="1701"/>
        </w:tabs>
        <w:spacing w:before="120" w:after="120"/>
        <w:ind w:left="1080" w:firstLine="567"/>
        <w:contextualSpacing w:val="0"/>
        <w:rPr>
          <w:kern w:val="22"/>
          <w:szCs w:val="22"/>
        </w:rPr>
      </w:pPr>
      <w:r>
        <w:t>a)</w:t>
      </w:r>
      <w:r>
        <w:tab/>
        <w:t>Dans la phrase de déclaration à la fin du formulaire, le texte suivant est inséré : « Si je suis sélectionné pour devenir membre du groupe d’experts, je m’engage à exercer mes fonctions et mes responsabilités en toute objectivité et, dans le cas où un conflit d’intérêts potentiel est établi, je m’engage à m’abstenir de participer aux discussions et décisions concernées, selon le cas. » ;</w:t>
      </w:r>
    </w:p>
    <w:p w14:paraId="25455F7B" w14:textId="31E11221" w:rsidR="00102EA6" w:rsidRPr="009F29CE" w:rsidRDefault="00102EA6" w:rsidP="00351D93">
      <w:pPr>
        <w:pStyle w:val="Para1"/>
        <w:numPr>
          <w:ilvl w:val="0"/>
          <w:numId w:val="0"/>
        </w:numPr>
        <w:tabs>
          <w:tab w:val="clear" w:pos="1134"/>
          <w:tab w:val="left" w:pos="1701"/>
        </w:tabs>
        <w:ind w:left="1080" w:firstLine="567"/>
      </w:pPr>
      <w:r>
        <w:t>b)</w:t>
      </w:r>
      <w:r>
        <w:tab/>
        <w:t>Un champ « Nom ou description du groupe d’experts » est ajouté au début du formulaire de déclaration d’intérêts, avant le champ « Nom », et un champ « Intitulé de la fonction » est ajouté après le champ « Employeur actuel » ;</w:t>
      </w:r>
    </w:p>
    <w:p w14:paraId="09C2FA03" w14:textId="5F9E6507" w:rsidR="008C0862" w:rsidRDefault="00102EA6" w:rsidP="005615B1">
      <w:pPr>
        <w:pStyle w:val="ListParagraph"/>
        <w:tabs>
          <w:tab w:val="left" w:pos="1701"/>
        </w:tabs>
        <w:spacing w:before="120" w:after="120"/>
        <w:ind w:left="567" w:firstLine="567"/>
        <w:contextualSpacing w:val="0"/>
        <w:rPr>
          <w:kern w:val="22"/>
          <w:szCs w:val="22"/>
        </w:rPr>
      </w:pPr>
      <w:r>
        <w:t>2.</w:t>
      </w:r>
      <w:r>
        <w:tab/>
      </w:r>
      <w:r>
        <w:rPr>
          <w:i/>
          <w:iCs/>
          <w:szCs w:val="22"/>
        </w:rPr>
        <w:t>Prie</w:t>
      </w:r>
      <w:r>
        <w:t xml:space="preserve"> la Secrétaire exécutive d’intégrer les amendements cités au paragraphe 1 ci-dessus dans le formulaire de déclaration d’intérêts figurant dans l’appendice de l’annexe de la décision 14/33 et de remplacer le formulaire original figurant dans cette décision par la version modifiée ;</w:t>
      </w:r>
    </w:p>
    <w:p w14:paraId="18CCE009" w14:textId="6754449C" w:rsidR="00C93708" w:rsidRDefault="00DC3D27" w:rsidP="005615B1">
      <w:pPr>
        <w:pStyle w:val="ListParagraph"/>
        <w:tabs>
          <w:tab w:val="left" w:pos="1701"/>
        </w:tabs>
        <w:spacing w:before="120" w:after="120"/>
        <w:ind w:left="567" w:firstLine="567"/>
        <w:contextualSpacing w:val="0"/>
        <w:rPr>
          <w:kern w:val="22"/>
          <w:szCs w:val="22"/>
        </w:rPr>
      </w:pPr>
      <w:r>
        <w:t>3.</w:t>
      </w:r>
      <w:r>
        <w:tab/>
      </w:r>
      <w:r>
        <w:rPr>
          <w:i/>
          <w:iCs/>
          <w:szCs w:val="22"/>
        </w:rPr>
        <w:t xml:space="preserve">Prie également </w:t>
      </w:r>
      <w:r>
        <w:t xml:space="preserve">la Secrétaire exécutive de prendre des mesures, selon qu’il conviendra, pour améliorer la mise en œuvre de la procédure, en consultation avec le Bureau de l’Organe subsidiaire chargé de fournir des avis scientifiques, techniques et technologiques ou avec la Conférence des Parties, y compris : </w:t>
      </w:r>
    </w:p>
    <w:p w14:paraId="716CC65A" w14:textId="0FD2BE0F" w:rsidR="00102EA6" w:rsidRDefault="00BC768E" w:rsidP="00CC523F">
      <w:pPr>
        <w:pStyle w:val="ListParagraph"/>
        <w:tabs>
          <w:tab w:val="left" w:pos="1701"/>
        </w:tabs>
        <w:spacing w:before="120" w:after="120"/>
        <w:ind w:left="567" w:firstLine="567"/>
        <w:contextualSpacing w:val="0"/>
        <w:rPr>
          <w:kern w:val="22"/>
          <w:szCs w:val="22"/>
        </w:rPr>
      </w:pPr>
      <w:r>
        <w:t>[a)</w:t>
      </w:r>
      <w:r>
        <w:tab/>
        <w:t>En examinant, pour en vérifier l’exactitude, les informations fournies dans les formulaires de déclaration d’intérêts soumis par les experts désignés ;]</w:t>
      </w:r>
    </w:p>
    <w:p w14:paraId="1C344687" w14:textId="4BB1BCC0" w:rsidR="00CE1F49" w:rsidRDefault="00CE1F49" w:rsidP="00CC523F">
      <w:pPr>
        <w:pStyle w:val="ListParagraph"/>
        <w:tabs>
          <w:tab w:val="left" w:pos="1701"/>
        </w:tabs>
        <w:spacing w:before="120" w:after="120"/>
        <w:ind w:left="567" w:firstLine="567"/>
        <w:contextualSpacing w:val="0"/>
        <w:rPr>
          <w:kern w:val="22"/>
          <w:szCs w:val="22"/>
        </w:rPr>
      </w:pPr>
      <w:r>
        <w:t>b)</w:t>
      </w:r>
      <w:r>
        <w:tab/>
        <w:t>Sans préjudice du point b) du paragraphe 4.4 de la procédure, en divulguant aux autres membres du groupe d’experts et au début de toute réunion d’un groupe d’experts les conflits d’intérêts significatifs qui ont été déclarés par un membre particulier</w:t>
      </w:r>
      <w:r w:rsidR="003C1C22">
        <w:t>[</w:t>
      </w:r>
      <w:r>
        <w:t xml:space="preserve"> ou révélés par d’autres sources fiables] ;</w:t>
      </w:r>
    </w:p>
    <w:p w14:paraId="408DCF5A" w14:textId="409ACCE1" w:rsidR="00523A9E" w:rsidRDefault="00523A9E" w:rsidP="007947CD">
      <w:pPr>
        <w:pStyle w:val="ListParagraph"/>
        <w:tabs>
          <w:tab w:val="left" w:pos="1701"/>
        </w:tabs>
        <w:spacing w:before="120" w:after="120"/>
        <w:ind w:left="567" w:firstLine="567"/>
        <w:contextualSpacing w:val="0"/>
        <w:rPr>
          <w:kern w:val="22"/>
          <w:szCs w:val="22"/>
        </w:rPr>
      </w:pPr>
      <w:r>
        <w:t>c)</w:t>
      </w:r>
      <w:r>
        <w:tab/>
        <w:t>En publiant un résumé de toutes les déclarations faites et des mesures prises pour gérer tout conflit d’intérêts réel ou potentiel dans le rapport d’une réunion et dans tout autre résultat de travail ou produit d’un groupe d’experts ;</w:t>
      </w:r>
    </w:p>
    <w:p w14:paraId="632A3EDC" w14:textId="590FDBD3" w:rsidR="00127BC7" w:rsidRPr="002F3EA7" w:rsidRDefault="00AA79A3" w:rsidP="00CC523F">
      <w:pPr>
        <w:pStyle w:val="ListParagraph"/>
        <w:tabs>
          <w:tab w:val="left" w:pos="1701"/>
        </w:tabs>
        <w:spacing w:before="120" w:after="120"/>
        <w:ind w:left="567" w:firstLine="567"/>
        <w:contextualSpacing w:val="0"/>
      </w:pPr>
      <w:r>
        <w:lastRenderedPageBreak/>
        <w:t>[4.</w:t>
      </w:r>
      <w:r>
        <w:tab/>
      </w:r>
      <w:r>
        <w:rPr>
          <w:i/>
          <w:iCs/>
          <w:szCs w:val="22"/>
        </w:rPr>
        <w:t>Décide</w:t>
      </w:r>
      <w:r>
        <w:t xml:space="preserve"> d’examiner périodiquement la procédure et prie la Secrétaire exécutive d’établir un rapport sur la mise en œuvre de la procédure et, le cas échéant, de proposer des mises à jour et des modifications de la procédure pour examen par l’Organe subsidiaire </w:t>
      </w:r>
      <w:r w:rsidR="00990A3E">
        <w:t>chargé de l’application</w:t>
      </w:r>
      <w:r>
        <w:t xml:space="preserve"> lors d’une réunion tenue avant la dix-neuvième réunion de la Conférence des Parties ;]</w:t>
      </w:r>
    </w:p>
    <w:p w14:paraId="2FDADB77" w14:textId="1E59FB3F" w:rsidR="007260EC" w:rsidRPr="002F3EA7" w:rsidRDefault="00AA79A3" w:rsidP="002F3EA7">
      <w:pPr>
        <w:pStyle w:val="ListParagraph"/>
        <w:tabs>
          <w:tab w:val="left" w:pos="1701"/>
        </w:tabs>
        <w:spacing w:before="120" w:after="120"/>
        <w:ind w:left="567" w:firstLine="567"/>
        <w:contextualSpacing w:val="0"/>
      </w:pPr>
      <w:r>
        <w:t>[5.</w:t>
      </w:r>
      <w:r>
        <w:tab/>
      </w:r>
      <w:r>
        <w:rPr>
          <w:i/>
          <w:iCs/>
          <w:szCs w:val="22"/>
        </w:rPr>
        <w:t>Demande</w:t>
      </w:r>
      <w:r>
        <w:t xml:space="preserve"> à l’Organe subsidiaire </w:t>
      </w:r>
      <w:r w:rsidR="00990A3E">
        <w:t>chargé de l’application</w:t>
      </w:r>
      <w:r w:rsidR="00246CB3">
        <w:t xml:space="preserve"> </w:t>
      </w:r>
      <w:r>
        <w:t>d’examiner le rapport et toute proposition d’amendement visée au paragraphe 4 ci-dessus et de soumettre une recommandation pour examen par la Conférence des Parties à sa dix-neuvième réunion.]</w:t>
      </w:r>
    </w:p>
    <w:p w14:paraId="6CE2C783" w14:textId="0628577C" w:rsidR="002B559C" w:rsidRPr="004701EE" w:rsidRDefault="00ED3849" w:rsidP="00D7783C">
      <w:pPr>
        <w:pStyle w:val="Heading2"/>
        <w:jc w:val="center"/>
      </w:pPr>
      <w:r>
        <w:t>__________</w:t>
      </w:r>
    </w:p>
    <w:sectPr w:rsidR="002B559C" w:rsidRPr="004701EE" w:rsidSect="00993FAD">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193C6" w14:textId="77777777" w:rsidR="000D2C9A" w:rsidRDefault="000D2C9A" w:rsidP="00A96B21">
      <w:r>
        <w:separator/>
      </w:r>
    </w:p>
  </w:endnote>
  <w:endnote w:type="continuationSeparator" w:id="0">
    <w:p w14:paraId="1195481F" w14:textId="77777777" w:rsidR="000D2C9A" w:rsidRDefault="000D2C9A" w:rsidP="00A96B21">
      <w:r>
        <w:continuationSeparator/>
      </w:r>
    </w:p>
  </w:endnote>
  <w:endnote w:type="continuationNotice" w:id="1">
    <w:p w14:paraId="3E73B4E3" w14:textId="77777777" w:rsidR="000D2C9A" w:rsidRDefault="000D2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2065D02"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967768">
              <w:rPr>
                <w:noProof/>
                <w:sz w:val="20"/>
                <w:szCs w:val="20"/>
              </w:rPr>
              <w:t>8</w:t>
            </w:r>
            <w:r w:rsidRPr="002B559C">
              <w:rPr>
                <w:sz w:val="20"/>
                <w:szCs w:val="20"/>
              </w:rPr>
              <w:fldChar w:fldCharType="end"/>
            </w:r>
            <w: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967768">
              <w:rPr>
                <w:noProof/>
                <w:sz w:val="20"/>
                <w:szCs w:val="20"/>
              </w:rPr>
              <w:t>9</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DB9F06B"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967768">
              <w:rPr>
                <w:noProof/>
                <w:sz w:val="20"/>
                <w:szCs w:val="20"/>
              </w:rPr>
              <w:t>9</w:t>
            </w:r>
            <w:r w:rsidRPr="002B559C">
              <w:rPr>
                <w:sz w:val="20"/>
                <w:szCs w:val="20"/>
              </w:rPr>
              <w:fldChar w:fldCharType="end"/>
            </w:r>
            <w: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967768">
              <w:rPr>
                <w:noProof/>
                <w:sz w:val="20"/>
                <w:szCs w:val="20"/>
              </w:rPr>
              <w:t>9</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E8199" w14:textId="77777777" w:rsidR="000D2C9A" w:rsidRDefault="000D2C9A" w:rsidP="00A96B21">
      <w:r>
        <w:separator/>
      </w:r>
    </w:p>
  </w:footnote>
  <w:footnote w:type="continuationSeparator" w:id="0">
    <w:p w14:paraId="3CC77D1C" w14:textId="77777777" w:rsidR="000D2C9A" w:rsidRDefault="000D2C9A" w:rsidP="00A96B21">
      <w:r>
        <w:continuationSeparator/>
      </w:r>
    </w:p>
  </w:footnote>
  <w:footnote w:type="continuationNotice" w:id="1">
    <w:p w14:paraId="3C387705" w14:textId="77777777" w:rsidR="000D2C9A" w:rsidRDefault="000D2C9A"/>
  </w:footnote>
  <w:footnote w:id="2">
    <w:p w14:paraId="0D591FE1" w14:textId="50DDD260" w:rsidR="00B02AAC" w:rsidRPr="00B02AAC" w:rsidRDefault="00B02AAC">
      <w:pPr>
        <w:pStyle w:val="FootnoteText"/>
        <w:rPr>
          <w:lang w:val="fr-FR"/>
        </w:rPr>
      </w:pPr>
      <w:r>
        <w:rPr>
          <w:rStyle w:val="FootnoteReference"/>
        </w:rPr>
        <w:t>*</w:t>
      </w:r>
      <w:r>
        <w:t xml:space="preserve"> </w:t>
      </w:r>
      <w:r w:rsidRPr="00D81794">
        <w:rPr>
          <w:sz w:val="18"/>
          <w:szCs w:val="18"/>
          <w:lang w:val="fr-FR"/>
        </w:rPr>
        <w:t>Nouveau tirage pour raisons techniques (</w:t>
      </w:r>
      <w:r w:rsidR="008D2410">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05948BDA" w14:textId="0BE6D525" w:rsidR="00BE738E" w:rsidRPr="00BE738E" w:rsidRDefault="00BE738E" w:rsidP="00BE738E">
      <w:pPr>
        <w:pStyle w:val="FootnoteText"/>
      </w:pPr>
      <w:r w:rsidRPr="00BE738E">
        <w:rPr>
          <w:rStyle w:val="FootnoteReference"/>
          <w:sz w:val="18"/>
        </w:rPr>
        <w:footnoteRef/>
      </w:r>
      <w:r w:rsidRPr="00BE738E">
        <w:rPr>
          <w:sz w:val="18"/>
        </w:rPr>
        <w:t xml:space="preserve"> L’élaboration des annexes I et II en étant à une étape précoce, celles-ci n’ont pas encore fait l’objet d’une révision formelle.</w:t>
      </w:r>
    </w:p>
  </w:footnote>
  <w:footnote w:id="4">
    <w:p w14:paraId="2C518FC7" w14:textId="4607E2BD" w:rsidR="007E7DB3" w:rsidRPr="00E647C3" w:rsidRDefault="007E7DB3" w:rsidP="007E7DB3">
      <w:pPr>
        <w:pStyle w:val="FootnoteText"/>
        <w:rPr>
          <w:sz w:val="18"/>
          <w:szCs w:val="18"/>
        </w:rPr>
      </w:pPr>
      <w:r>
        <w:rPr>
          <w:rStyle w:val="FootnoteReference"/>
          <w:sz w:val="18"/>
          <w:szCs w:val="18"/>
        </w:rPr>
        <w:footnoteRef/>
      </w:r>
      <w:r>
        <w:rPr>
          <w:sz w:val="18"/>
          <w:szCs w:val="18"/>
        </w:rPr>
        <w:t xml:space="preserve"> </w:t>
      </w:r>
      <w:r w:rsidR="00D82BD7">
        <w:rPr>
          <w:sz w:val="18"/>
          <w:szCs w:val="18"/>
        </w:rPr>
        <w:t>La</w:t>
      </w:r>
      <w:r>
        <w:rPr>
          <w:sz w:val="18"/>
          <w:szCs w:val="18"/>
        </w:rPr>
        <w:t xml:space="preserve"> proposition </w:t>
      </w:r>
      <w:r w:rsidR="00D82BD7">
        <w:rPr>
          <w:sz w:val="18"/>
          <w:szCs w:val="18"/>
        </w:rPr>
        <w:t xml:space="preserve">15 </w:t>
      </w:r>
      <w:r>
        <w:rPr>
          <w:sz w:val="18"/>
          <w:szCs w:val="18"/>
        </w:rPr>
        <w:t>a été présentée en guise d’espace réservé.</w:t>
      </w:r>
    </w:p>
  </w:footnote>
  <w:footnote w:id="5">
    <w:p w14:paraId="0FDCD4E0" w14:textId="780A5F49" w:rsidR="00621CCA" w:rsidRPr="00CC523F" w:rsidRDefault="00621CCA" w:rsidP="00621CCA">
      <w:pPr>
        <w:pStyle w:val="FootnoteText"/>
        <w:rPr>
          <w:sz w:val="18"/>
          <w:szCs w:val="18"/>
        </w:rPr>
      </w:pPr>
      <w:r>
        <w:rPr>
          <w:rStyle w:val="FootnoteReference"/>
          <w:sz w:val="18"/>
          <w:szCs w:val="18"/>
        </w:rPr>
        <w:footnoteRef/>
      </w:r>
      <w:r>
        <w:rPr>
          <w:sz w:val="18"/>
          <w:szCs w:val="18"/>
        </w:rPr>
        <w:t xml:space="preserve"> Nations Unies, </w:t>
      </w:r>
      <w:r w:rsidR="00D82BD7">
        <w:rPr>
          <w:i/>
          <w:sz w:val="18"/>
          <w:szCs w:val="18"/>
        </w:rPr>
        <w:t>Série</w:t>
      </w:r>
      <w:r>
        <w:rPr>
          <w:i/>
          <w:sz w:val="18"/>
          <w:szCs w:val="18"/>
        </w:rPr>
        <w:t xml:space="preserve"> des Traités</w:t>
      </w:r>
      <w:r>
        <w:rPr>
          <w:sz w:val="18"/>
          <w:szCs w:val="18"/>
        </w:rPr>
        <w:t xml:space="preserve">, </w:t>
      </w:r>
      <w:r>
        <w:rPr>
          <w:color w:val="000000"/>
          <w:sz w:val="18"/>
          <w:szCs w:val="18"/>
        </w:rPr>
        <w:t>vol. 1760, n</w:t>
      </w:r>
      <w:r>
        <w:rPr>
          <w:color w:val="000000"/>
          <w:sz w:val="18"/>
          <w:szCs w:val="18"/>
          <w:vertAlign w:val="superscript"/>
        </w:rPr>
        <w:t>o</w:t>
      </w:r>
      <w:r>
        <w:rPr>
          <w:color w:val="000000"/>
          <w:sz w:val="18"/>
          <w:szCs w:val="18"/>
        </w:rPr>
        <w:t xml:space="preserve"> 30619.</w:t>
      </w:r>
    </w:p>
  </w:footnote>
  <w:footnote w:id="6">
    <w:p w14:paraId="25DF53CB" w14:textId="1FE4288D" w:rsidR="00621CCA" w:rsidRPr="00CC523F" w:rsidRDefault="00621CCA" w:rsidP="00621CCA">
      <w:pPr>
        <w:pStyle w:val="FootnoteText"/>
        <w:rPr>
          <w:sz w:val="18"/>
          <w:szCs w:val="18"/>
        </w:rPr>
      </w:pPr>
      <w:r>
        <w:rPr>
          <w:rStyle w:val="FootnoteReference"/>
          <w:sz w:val="18"/>
          <w:szCs w:val="18"/>
        </w:rPr>
        <w:footnoteRef/>
      </w:r>
      <w:r>
        <w:rPr>
          <w:sz w:val="18"/>
          <w:szCs w:val="18"/>
        </w:rPr>
        <w:t xml:space="preserve"> Nations Unies, </w:t>
      </w:r>
      <w:r w:rsidR="00D82BD7">
        <w:rPr>
          <w:i/>
          <w:sz w:val="18"/>
          <w:szCs w:val="18"/>
        </w:rPr>
        <w:t>Série</w:t>
      </w:r>
      <w:r>
        <w:rPr>
          <w:i/>
          <w:sz w:val="18"/>
          <w:szCs w:val="18"/>
        </w:rPr>
        <w:t xml:space="preserve"> des Traités</w:t>
      </w:r>
      <w:r>
        <w:rPr>
          <w:sz w:val="18"/>
          <w:szCs w:val="18"/>
        </w:rPr>
        <w:t xml:space="preserve">, </w:t>
      </w:r>
      <w:r>
        <w:rPr>
          <w:color w:val="000000"/>
          <w:sz w:val="18"/>
          <w:szCs w:val="18"/>
        </w:rPr>
        <w:t>vol. 2226, n</w:t>
      </w:r>
      <w:r>
        <w:rPr>
          <w:color w:val="000000"/>
          <w:sz w:val="18"/>
          <w:szCs w:val="18"/>
          <w:vertAlign w:val="superscript"/>
        </w:rPr>
        <w:t>o</w:t>
      </w:r>
      <w:r>
        <w:rPr>
          <w:color w:val="000000"/>
          <w:sz w:val="18"/>
          <w:szCs w:val="18"/>
        </w:rPr>
        <w:t xml:space="preserve"> 30619.</w:t>
      </w:r>
    </w:p>
  </w:footnote>
  <w:footnote w:id="7">
    <w:p w14:paraId="039E51FD" w14:textId="47A53435" w:rsidR="00621CCA" w:rsidRPr="00CC523F" w:rsidRDefault="00621CCA" w:rsidP="00621CCA">
      <w:pPr>
        <w:pStyle w:val="FootnoteText"/>
        <w:rPr>
          <w:sz w:val="18"/>
          <w:szCs w:val="18"/>
        </w:rPr>
      </w:pPr>
      <w:r>
        <w:rPr>
          <w:rStyle w:val="FootnoteReference"/>
          <w:sz w:val="18"/>
          <w:szCs w:val="18"/>
        </w:rPr>
        <w:footnoteRef/>
      </w:r>
      <w:r>
        <w:rPr>
          <w:sz w:val="18"/>
          <w:szCs w:val="18"/>
        </w:rPr>
        <w:t xml:space="preserve"> Nations Unies, </w:t>
      </w:r>
      <w:r w:rsidR="00D82BD7">
        <w:rPr>
          <w:i/>
          <w:iCs/>
          <w:sz w:val="18"/>
          <w:szCs w:val="18"/>
        </w:rPr>
        <w:t>Série</w:t>
      </w:r>
      <w:r>
        <w:rPr>
          <w:i/>
          <w:iCs/>
          <w:sz w:val="18"/>
          <w:szCs w:val="18"/>
        </w:rPr>
        <w:t xml:space="preserve"> des Traités</w:t>
      </w:r>
      <w:r>
        <w:rPr>
          <w:sz w:val="18"/>
          <w:szCs w:val="18"/>
        </w:rPr>
        <w:t>, vol. 3008, n</w:t>
      </w:r>
      <w:r>
        <w:rPr>
          <w:sz w:val="18"/>
          <w:szCs w:val="18"/>
          <w:vertAlign w:val="superscript"/>
        </w:rPr>
        <w:t>o</w:t>
      </w:r>
      <w:r>
        <w:rPr>
          <w:sz w:val="18"/>
          <w:szCs w:val="18"/>
        </w:rPr>
        <w:t xml:space="preserve"> 30619.</w:t>
      </w:r>
    </w:p>
  </w:footnote>
  <w:footnote w:id="8">
    <w:p w14:paraId="340696A5" w14:textId="0E2F5736" w:rsidR="00F14479" w:rsidRPr="00CC523F" w:rsidRDefault="00F14479">
      <w:pPr>
        <w:pStyle w:val="FootnoteText"/>
        <w:rPr>
          <w:sz w:val="18"/>
          <w:szCs w:val="18"/>
        </w:rPr>
      </w:pPr>
      <w:r>
        <w:rPr>
          <w:rStyle w:val="FootnoteReference"/>
          <w:sz w:val="18"/>
          <w:szCs w:val="18"/>
        </w:rPr>
        <w:footnoteRef/>
      </w:r>
      <w:r>
        <w:rPr>
          <w:sz w:val="18"/>
          <w:szCs w:val="18"/>
        </w:rPr>
        <w:t xml:space="preserve"> Nations Unies, </w:t>
      </w:r>
      <w:r w:rsidR="00D7783C">
        <w:rPr>
          <w:i/>
          <w:sz w:val="18"/>
          <w:szCs w:val="18"/>
        </w:rPr>
        <w:t>Série</w:t>
      </w:r>
      <w:r>
        <w:rPr>
          <w:i/>
          <w:sz w:val="18"/>
          <w:szCs w:val="18"/>
        </w:rPr>
        <w:t xml:space="preserve"> des Traités</w:t>
      </w:r>
      <w:r>
        <w:rPr>
          <w:sz w:val="18"/>
          <w:szCs w:val="18"/>
        </w:rPr>
        <w:t xml:space="preserve">, </w:t>
      </w:r>
      <w:r>
        <w:rPr>
          <w:color w:val="000000"/>
          <w:sz w:val="18"/>
          <w:szCs w:val="18"/>
        </w:rPr>
        <w:t>vol. 1760, n</w:t>
      </w:r>
      <w:r>
        <w:rPr>
          <w:color w:val="000000"/>
          <w:sz w:val="18"/>
          <w:szCs w:val="18"/>
          <w:vertAlign w:val="superscript"/>
        </w:rPr>
        <w:t>o</w:t>
      </w:r>
      <w:r>
        <w:rPr>
          <w:color w:val="000000"/>
          <w:sz w:val="18"/>
          <w:szCs w:val="18"/>
        </w:rPr>
        <w:t xml:space="preserve"> 30619.</w:t>
      </w:r>
    </w:p>
  </w:footnote>
  <w:footnote w:id="9">
    <w:p w14:paraId="0692E7D6" w14:textId="367E4F75" w:rsidR="004C7956" w:rsidRPr="00CC523F" w:rsidRDefault="004C7956">
      <w:pPr>
        <w:pStyle w:val="FootnoteText"/>
        <w:rPr>
          <w:sz w:val="18"/>
          <w:szCs w:val="18"/>
        </w:rPr>
      </w:pPr>
      <w:r>
        <w:rPr>
          <w:rStyle w:val="FootnoteReference"/>
          <w:sz w:val="18"/>
          <w:szCs w:val="18"/>
        </w:rPr>
        <w:footnoteRef/>
      </w:r>
      <w:r>
        <w:rPr>
          <w:sz w:val="18"/>
          <w:szCs w:val="18"/>
        </w:rPr>
        <w:t xml:space="preserve"> CBD/SBI/4/11/Add.1.</w:t>
      </w:r>
    </w:p>
  </w:footnote>
  <w:footnote w:id="10">
    <w:p w14:paraId="7115BE9B" w14:textId="3822E283" w:rsidR="00A923C6" w:rsidRPr="00CC523F" w:rsidRDefault="00A923C6">
      <w:pPr>
        <w:pStyle w:val="FootnoteText"/>
        <w:rPr>
          <w:sz w:val="18"/>
          <w:szCs w:val="18"/>
        </w:rPr>
      </w:pPr>
      <w:r>
        <w:rPr>
          <w:rStyle w:val="FootnoteReference"/>
          <w:sz w:val="18"/>
          <w:szCs w:val="18"/>
        </w:rPr>
        <w:footnoteRef/>
      </w:r>
      <w:r w:rsidR="00D7783C">
        <w:rPr>
          <w:sz w:val="18"/>
          <w:szCs w:val="18"/>
        </w:rPr>
        <w:t xml:space="preserve"> Annexe à la d</w:t>
      </w:r>
      <w:r>
        <w:rPr>
          <w:sz w:val="18"/>
          <w:szCs w:val="18"/>
        </w:rPr>
        <w:t>écision 14/33.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37802784"/>
  <w:bookmarkStart w:id="4" w:name="_Hlk137802785"/>
  <w:p w14:paraId="4A239406" w14:textId="59D91872" w:rsidR="002B559C" w:rsidRPr="002B559C" w:rsidRDefault="008D2410" w:rsidP="002B559C">
    <w:pPr>
      <w:pStyle w:val="Header"/>
      <w:pBdr>
        <w:bottom w:val="single" w:sz="4" w:space="1" w:color="auto"/>
      </w:pBdr>
      <w:spacing w:after="240"/>
      <w:rPr>
        <w:sz w:val="20"/>
        <w:szCs w:val="20"/>
      </w:rPr>
    </w:pPr>
    <w:sdt>
      <w:sdtPr>
        <w:rPr>
          <w:sz w:val="20"/>
          <w:szCs w:val="20"/>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B559C" w:rsidRPr="002B559C">
          <w:rPr>
            <w:sz w:val="20"/>
            <w:szCs w:val="20"/>
            <w:lang w:val="fr-FR"/>
          </w:rPr>
          <w:t>CBD/</w:t>
        </w:r>
      </w:sdtContent>
    </w:sdt>
    <w:r w:rsidR="00EC75AC">
      <w:rPr>
        <w:sz w:val="20"/>
        <w:szCs w:val="20"/>
      </w:rPr>
      <w:t>SBI/</w:t>
    </w:r>
    <w:r w:rsidR="00246CB3">
      <w:rPr>
        <w:sz w:val="20"/>
        <w:szCs w:val="20"/>
      </w:rPr>
      <w:t>REC/</w:t>
    </w:r>
    <w:r w:rsidR="00EC75AC">
      <w:rPr>
        <w:sz w:val="20"/>
        <w:szCs w:val="20"/>
      </w:rPr>
      <w:t>4/</w:t>
    </w:r>
    <w:bookmarkEnd w:id="3"/>
    <w:bookmarkEnd w:id="4"/>
    <w:r w:rsidR="00246CB3">
      <w:rPr>
        <w:sz w:val="20"/>
        <w:szCs w:val="20"/>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06DB1" w14:textId="2A508E6A" w:rsidR="002B559C" w:rsidRPr="002B559C" w:rsidRDefault="008D2410" w:rsidP="002B559C">
    <w:pPr>
      <w:pStyle w:val="Header"/>
      <w:pBdr>
        <w:bottom w:val="single" w:sz="4" w:space="1" w:color="auto"/>
      </w:pBdr>
      <w:spacing w:after="240"/>
      <w:jc w:val="right"/>
      <w:rPr>
        <w:sz w:val="20"/>
        <w:szCs w:val="20"/>
      </w:rPr>
    </w:pPr>
    <w:sdt>
      <w:sdtPr>
        <w:rPr>
          <w:sz w:val="20"/>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CF70AB">
          <w:rPr>
            <w:sz w:val="20"/>
            <w:szCs w:val="20"/>
            <w:lang w:val="fr-FR"/>
          </w:rPr>
          <w:t>CBD/</w:t>
        </w:r>
      </w:sdtContent>
    </w:sdt>
    <w:r w:rsidR="00EC75AC">
      <w:rPr>
        <w:sz w:val="20"/>
        <w:szCs w:val="20"/>
      </w:rPr>
      <w:t>SBI/</w:t>
    </w:r>
    <w:r w:rsidR="00246CB3">
      <w:rPr>
        <w:sz w:val="20"/>
        <w:szCs w:val="20"/>
      </w:rPr>
      <w:t>REC/</w:t>
    </w:r>
    <w:r w:rsidR="00EC75AC">
      <w:rPr>
        <w:sz w:val="20"/>
        <w:szCs w:val="20"/>
      </w:rPr>
      <w:t>4/</w:t>
    </w:r>
    <w:r w:rsidR="00246CB3">
      <w:rPr>
        <w:sz w:val="20"/>
        <w:szCs w:val="20"/>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3F49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DFF50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21126D"/>
    <w:multiLevelType w:val="multilevel"/>
    <w:tmpl w:val="4468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61714"/>
    <w:multiLevelType w:val="hybridMultilevel"/>
    <w:tmpl w:val="3C063F80"/>
    <w:lvl w:ilvl="0" w:tplc="C6B4812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0381E"/>
    <w:multiLevelType w:val="hybridMultilevel"/>
    <w:tmpl w:val="6FCEBE98"/>
    <w:lvl w:ilvl="0" w:tplc="33743DDC">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4877F1"/>
    <w:multiLevelType w:val="hybridMultilevel"/>
    <w:tmpl w:val="6EAAFEE2"/>
    <w:lvl w:ilvl="0" w:tplc="801AF8DA">
      <w:start w:val="1"/>
      <w:numFmt w:val="lowerLetter"/>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6" w15:restartNumberingAfterBreak="0">
    <w:nsid w:val="179A15D5"/>
    <w:multiLevelType w:val="hybridMultilevel"/>
    <w:tmpl w:val="E50A6216"/>
    <w:lvl w:ilvl="0" w:tplc="EC8673C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A61FE7"/>
    <w:multiLevelType w:val="hybridMultilevel"/>
    <w:tmpl w:val="F3DCF6D4"/>
    <w:lvl w:ilvl="0" w:tplc="526EE11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41315F0"/>
    <w:multiLevelType w:val="hybridMultilevel"/>
    <w:tmpl w:val="5AB434B8"/>
    <w:lvl w:ilvl="0" w:tplc="605C1858">
      <w:start w:val="12"/>
      <w:numFmt w:val="bullet"/>
      <w:lvlText w:val="-"/>
      <w:lvlJc w:val="left"/>
      <w:pPr>
        <w:ind w:left="720" w:hanging="360"/>
      </w:pPr>
      <w:rPr>
        <w:rFonts w:ascii="Raleway" w:eastAsia="Raleway Light" w:hAnsi="Raleway" w:cs="Raleway Light"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751774F"/>
    <w:multiLevelType w:val="hybridMultilevel"/>
    <w:tmpl w:val="B9DC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E2340FF"/>
    <w:multiLevelType w:val="hybridMultilevel"/>
    <w:tmpl w:val="3620E51C"/>
    <w:lvl w:ilvl="0" w:tplc="038A137E">
      <w:start w:val="1"/>
      <w:numFmt w:val="lowerLetter"/>
      <w:lvlText w:val="(%1)"/>
      <w:lvlJc w:val="left"/>
      <w:pPr>
        <w:ind w:left="1497" w:hanging="370"/>
      </w:pPr>
      <w:rPr>
        <w:rFonts w:hint="default"/>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A4A4742"/>
    <w:multiLevelType w:val="hybridMultilevel"/>
    <w:tmpl w:val="6C42796E"/>
    <w:lvl w:ilvl="0" w:tplc="82568BDE">
      <w:start w:val="1"/>
      <w:numFmt w:val="lowerLetter"/>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7" w15:restartNumberingAfterBreak="0">
    <w:nsid w:val="4E8168F3"/>
    <w:multiLevelType w:val="hybridMultilevel"/>
    <w:tmpl w:val="1F600976"/>
    <w:lvl w:ilvl="0" w:tplc="C338E2F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1" w15:restartNumberingAfterBreak="0">
    <w:nsid w:val="61AA1472"/>
    <w:multiLevelType w:val="multilevel"/>
    <w:tmpl w:val="1DD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EE46A3"/>
    <w:multiLevelType w:val="hybridMultilevel"/>
    <w:tmpl w:val="E1BA2AC4"/>
    <w:lvl w:ilvl="0" w:tplc="12E2D220">
      <w:start w:val="1"/>
      <w:numFmt w:val="decimal"/>
      <w:lvlText w:val="%1."/>
      <w:lvlJc w:val="left"/>
      <w:pPr>
        <w:ind w:left="360" w:hanging="360"/>
      </w:pPr>
      <w:rPr>
        <w:b w:val="0"/>
        <w:i w:val="0"/>
        <w:color w:val="auto"/>
        <w:sz w:val="22"/>
        <w:lang w:val="en-GB"/>
      </w:rPr>
    </w:lvl>
    <w:lvl w:ilvl="1" w:tplc="4BFC5A32">
      <w:start w:val="1"/>
      <w:numFmt w:val="lowerLetter"/>
      <w:lvlText w:val="(%2)"/>
      <w:lvlJc w:val="left"/>
      <w:pPr>
        <w:ind w:left="1440" w:hanging="360"/>
      </w:pPr>
      <w:rPr>
        <w:rFonts w:hint="default"/>
      </w:rPr>
    </w:lvl>
    <w:lvl w:ilvl="2" w:tplc="10BA0BE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4"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68B70991"/>
    <w:multiLevelType w:val="hybridMultilevel"/>
    <w:tmpl w:val="31A4AB3E"/>
    <w:lvl w:ilvl="0" w:tplc="E72C3A3E">
      <w:start w:val="1"/>
      <w:numFmt w:val="decimal"/>
      <w:pStyle w:val="Para1"/>
      <w:lvlText w:val="%1."/>
      <w:lvlJc w:val="left"/>
      <w:pPr>
        <w:ind w:left="785"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69BA4EF8"/>
    <w:multiLevelType w:val="multilevel"/>
    <w:tmpl w:val="682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4945E0"/>
    <w:multiLevelType w:val="hybridMultilevel"/>
    <w:tmpl w:val="7EFC28CC"/>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759246A7"/>
    <w:multiLevelType w:val="hybridMultilevel"/>
    <w:tmpl w:val="677ED3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15:restartNumberingAfterBreak="0">
    <w:nsid w:val="785B2015"/>
    <w:multiLevelType w:val="hybridMultilevel"/>
    <w:tmpl w:val="8E2CA7D8"/>
    <w:lvl w:ilvl="0" w:tplc="D37E29A8">
      <w:start w:val="1"/>
      <w:numFmt w:val="decimal"/>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31"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59232364">
    <w:abstractNumId w:val="15"/>
  </w:num>
  <w:num w:numId="2" w16cid:durableId="2105758724">
    <w:abstractNumId w:val="25"/>
  </w:num>
  <w:num w:numId="3" w16cid:durableId="498233488">
    <w:abstractNumId w:val="28"/>
  </w:num>
  <w:num w:numId="4" w16cid:durableId="1729259100">
    <w:abstractNumId w:val="8"/>
  </w:num>
  <w:num w:numId="5" w16cid:durableId="207229831">
    <w:abstractNumId w:val="9"/>
  </w:num>
  <w:num w:numId="6" w16cid:durableId="1888687590">
    <w:abstractNumId w:val="9"/>
  </w:num>
  <w:num w:numId="7" w16cid:durableId="30806330">
    <w:abstractNumId w:val="13"/>
  </w:num>
  <w:num w:numId="8" w16cid:durableId="1538397493">
    <w:abstractNumId w:val="19"/>
  </w:num>
  <w:num w:numId="9" w16cid:durableId="2124572889">
    <w:abstractNumId w:val="24"/>
  </w:num>
  <w:num w:numId="10" w16cid:durableId="1082993629">
    <w:abstractNumId w:val="23"/>
  </w:num>
  <w:num w:numId="11" w16cid:durableId="911892626">
    <w:abstractNumId w:val="18"/>
  </w:num>
  <w:num w:numId="12" w16cid:durableId="1113550176">
    <w:abstractNumId w:val="12"/>
  </w:num>
  <w:num w:numId="13" w16cid:durableId="236550268">
    <w:abstractNumId w:val="12"/>
    <w:lvlOverride w:ilvl="0">
      <w:startOverride w:val="1"/>
    </w:lvlOverride>
  </w:num>
  <w:num w:numId="14" w16cid:durableId="528033842">
    <w:abstractNumId w:val="20"/>
  </w:num>
  <w:num w:numId="15" w16cid:durableId="745151766">
    <w:abstractNumId w:val="20"/>
    <w:lvlOverride w:ilvl="0">
      <w:startOverride w:val="1"/>
    </w:lvlOverride>
  </w:num>
  <w:num w:numId="16" w16cid:durableId="1626496494">
    <w:abstractNumId w:val="25"/>
    <w:lvlOverride w:ilvl="0">
      <w:startOverride w:val="1"/>
    </w:lvlOverride>
  </w:num>
  <w:num w:numId="17" w16cid:durableId="540751069">
    <w:abstractNumId w:val="20"/>
    <w:lvlOverride w:ilvl="0">
      <w:startOverride w:val="1"/>
    </w:lvlOverride>
  </w:num>
  <w:num w:numId="18" w16cid:durableId="555626071">
    <w:abstractNumId w:val="31"/>
  </w:num>
  <w:num w:numId="19" w16cid:durableId="1522544442">
    <w:abstractNumId w:val="25"/>
    <w:lvlOverride w:ilvl="0">
      <w:startOverride w:val="1"/>
    </w:lvlOverride>
  </w:num>
  <w:num w:numId="20" w16cid:durableId="1533886671">
    <w:abstractNumId w:val="25"/>
    <w:lvlOverride w:ilvl="0">
      <w:startOverride w:val="1"/>
    </w:lvlOverride>
  </w:num>
  <w:num w:numId="21" w16cid:durableId="1878665061">
    <w:abstractNumId w:val="29"/>
  </w:num>
  <w:num w:numId="22" w16cid:durableId="865604347">
    <w:abstractNumId w:val="25"/>
    <w:lvlOverride w:ilvl="0">
      <w:startOverride w:val="1"/>
    </w:lvlOverride>
  </w:num>
  <w:num w:numId="23" w16cid:durableId="1586958802">
    <w:abstractNumId w:val="25"/>
    <w:lvlOverride w:ilvl="0">
      <w:startOverride w:val="1"/>
    </w:lvlOverride>
  </w:num>
  <w:num w:numId="24" w16cid:durableId="493106802">
    <w:abstractNumId w:val="25"/>
    <w:lvlOverride w:ilvl="0">
      <w:startOverride w:val="1"/>
    </w:lvlOverride>
  </w:num>
  <w:num w:numId="25" w16cid:durableId="1643922733">
    <w:abstractNumId w:val="0"/>
  </w:num>
  <w:num w:numId="26" w16cid:durableId="153960783">
    <w:abstractNumId w:val="1"/>
  </w:num>
  <w:num w:numId="27" w16cid:durableId="917522210">
    <w:abstractNumId w:val="22"/>
  </w:num>
  <w:num w:numId="28" w16cid:durableId="1477527046">
    <w:abstractNumId w:val="27"/>
  </w:num>
  <w:num w:numId="29" w16cid:durableId="34355800">
    <w:abstractNumId w:val="14"/>
  </w:num>
  <w:num w:numId="30" w16cid:durableId="1802771036">
    <w:abstractNumId w:val="25"/>
    <w:lvlOverride w:ilvl="0">
      <w:startOverride w:val="1"/>
    </w:lvlOverride>
  </w:num>
  <w:num w:numId="31" w16cid:durableId="103185781">
    <w:abstractNumId w:val="3"/>
  </w:num>
  <w:num w:numId="32" w16cid:durableId="1585189588">
    <w:abstractNumId w:val="5"/>
  </w:num>
  <w:num w:numId="33" w16cid:durableId="1119761041">
    <w:abstractNumId w:val="25"/>
    <w:lvlOverride w:ilvl="0">
      <w:startOverride w:val="1"/>
    </w:lvlOverride>
  </w:num>
  <w:num w:numId="34" w16cid:durableId="179635708">
    <w:abstractNumId w:val="11"/>
  </w:num>
  <w:num w:numId="35" w16cid:durableId="1457721313">
    <w:abstractNumId w:val="25"/>
  </w:num>
  <w:num w:numId="36" w16cid:durableId="1785228525">
    <w:abstractNumId w:val="25"/>
  </w:num>
  <w:num w:numId="37" w16cid:durableId="67264769">
    <w:abstractNumId w:val="25"/>
  </w:num>
  <w:num w:numId="38" w16cid:durableId="44645536">
    <w:abstractNumId w:val="25"/>
  </w:num>
  <w:num w:numId="39" w16cid:durableId="228153095">
    <w:abstractNumId w:val="6"/>
  </w:num>
  <w:num w:numId="40" w16cid:durableId="1469976401">
    <w:abstractNumId w:val="4"/>
  </w:num>
  <w:num w:numId="41" w16cid:durableId="1029837115">
    <w:abstractNumId w:val="16"/>
  </w:num>
  <w:num w:numId="42" w16cid:durableId="2092267551">
    <w:abstractNumId w:val="7"/>
  </w:num>
  <w:num w:numId="43" w16cid:durableId="1455903854">
    <w:abstractNumId w:val="25"/>
  </w:num>
  <w:num w:numId="44" w16cid:durableId="1120808094">
    <w:abstractNumId w:val="10"/>
  </w:num>
  <w:num w:numId="45" w16cid:durableId="1815174924">
    <w:abstractNumId w:val="17"/>
  </w:num>
  <w:num w:numId="46" w16cid:durableId="980429676">
    <w:abstractNumId w:val="30"/>
  </w:num>
  <w:num w:numId="47" w16cid:durableId="1745570382">
    <w:abstractNumId w:val="21"/>
  </w:num>
  <w:num w:numId="48" w16cid:durableId="1801193928">
    <w:abstractNumId w:val="2"/>
  </w:num>
  <w:num w:numId="49" w16cid:durableId="22902256">
    <w:abstractNumId w:val="26"/>
  </w:num>
  <w:num w:numId="50" w16cid:durableId="19523247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attachedTemplate r:id="rId1"/>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CD"/>
    <w:rsid w:val="00000BBC"/>
    <w:rsid w:val="00001010"/>
    <w:rsid w:val="00001233"/>
    <w:rsid w:val="000023DD"/>
    <w:rsid w:val="0000302A"/>
    <w:rsid w:val="00003E59"/>
    <w:rsid w:val="0000438E"/>
    <w:rsid w:val="00004A8A"/>
    <w:rsid w:val="00005EF2"/>
    <w:rsid w:val="00011350"/>
    <w:rsid w:val="00011F9A"/>
    <w:rsid w:val="0001296C"/>
    <w:rsid w:val="00013B26"/>
    <w:rsid w:val="0001563F"/>
    <w:rsid w:val="0001667C"/>
    <w:rsid w:val="00016743"/>
    <w:rsid w:val="00016F9D"/>
    <w:rsid w:val="000178B3"/>
    <w:rsid w:val="00017C06"/>
    <w:rsid w:val="00021477"/>
    <w:rsid w:val="000224CF"/>
    <w:rsid w:val="00023421"/>
    <w:rsid w:val="000237C7"/>
    <w:rsid w:val="0002381A"/>
    <w:rsid w:val="0002708C"/>
    <w:rsid w:val="000274E8"/>
    <w:rsid w:val="000279CF"/>
    <w:rsid w:val="00030503"/>
    <w:rsid w:val="00030737"/>
    <w:rsid w:val="00031A5A"/>
    <w:rsid w:val="00031DDC"/>
    <w:rsid w:val="000324D0"/>
    <w:rsid w:val="0003295A"/>
    <w:rsid w:val="00032D9C"/>
    <w:rsid w:val="0003387A"/>
    <w:rsid w:val="0003430D"/>
    <w:rsid w:val="00034D5B"/>
    <w:rsid w:val="00035FF1"/>
    <w:rsid w:val="000360B4"/>
    <w:rsid w:val="0003625F"/>
    <w:rsid w:val="00036327"/>
    <w:rsid w:val="0003654F"/>
    <w:rsid w:val="00037DC3"/>
    <w:rsid w:val="00040072"/>
    <w:rsid w:val="00040141"/>
    <w:rsid w:val="0004058E"/>
    <w:rsid w:val="00040598"/>
    <w:rsid w:val="0004182B"/>
    <w:rsid w:val="00041ECC"/>
    <w:rsid w:val="00042083"/>
    <w:rsid w:val="00043D25"/>
    <w:rsid w:val="000446C3"/>
    <w:rsid w:val="000450A5"/>
    <w:rsid w:val="00045813"/>
    <w:rsid w:val="000465AE"/>
    <w:rsid w:val="00050745"/>
    <w:rsid w:val="00050867"/>
    <w:rsid w:val="000510C4"/>
    <w:rsid w:val="00051BD6"/>
    <w:rsid w:val="00052069"/>
    <w:rsid w:val="000530D3"/>
    <w:rsid w:val="0005316A"/>
    <w:rsid w:val="0005318C"/>
    <w:rsid w:val="00053879"/>
    <w:rsid w:val="00053FF9"/>
    <w:rsid w:val="0005420B"/>
    <w:rsid w:val="0005535F"/>
    <w:rsid w:val="000553DB"/>
    <w:rsid w:val="000557AF"/>
    <w:rsid w:val="00057AB1"/>
    <w:rsid w:val="00057C7B"/>
    <w:rsid w:val="00057F5C"/>
    <w:rsid w:val="00060115"/>
    <w:rsid w:val="00062B4C"/>
    <w:rsid w:val="00062FFD"/>
    <w:rsid w:val="00064698"/>
    <w:rsid w:val="00064D53"/>
    <w:rsid w:val="00066770"/>
    <w:rsid w:val="00067490"/>
    <w:rsid w:val="000678B9"/>
    <w:rsid w:val="00071AA5"/>
    <w:rsid w:val="00072508"/>
    <w:rsid w:val="00074C35"/>
    <w:rsid w:val="00074DCC"/>
    <w:rsid w:val="00076089"/>
    <w:rsid w:val="000803A1"/>
    <w:rsid w:val="000804B2"/>
    <w:rsid w:val="0008164C"/>
    <w:rsid w:val="00081D7B"/>
    <w:rsid w:val="00081F68"/>
    <w:rsid w:val="0008287F"/>
    <w:rsid w:val="00082C4E"/>
    <w:rsid w:val="00084930"/>
    <w:rsid w:val="00085AF2"/>
    <w:rsid w:val="000872EF"/>
    <w:rsid w:val="00087BCD"/>
    <w:rsid w:val="0009185F"/>
    <w:rsid w:val="0009203D"/>
    <w:rsid w:val="000932CA"/>
    <w:rsid w:val="00095881"/>
    <w:rsid w:val="00096280"/>
    <w:rsid w:val="00096668"/>
    <w:rsid w:val="000967FA"/>
    <w:rsid w:val="000968DD"/>
    <w:rsid w:val="00096ABC"/>
    <w:rsid w:val="000A110A"/>
    <w:rsid w:val="000A1C77"/>
    <w:rsid w:val="000A1D3B"/>
    <w:rsid w:val="000A3BE0"/>
    <w:rsid w:val="000A3E51"/>
    <w:rsid w:val="000A42A0"/>
    <w:rsid w:val="000A4B29"/>
    <w:rsid w:val="000A7005"/>
    <w:rsid w:val="000A7782"/>
    <w:rsid w:val="000B04C4"/>
    <w:rsid w:val="000B0A59"/>
    <w:rsid w:val="000B0EC9"/>
    <w:rsid w:val="000B23AB"/>
    <w:rsid w:val="000B29D3"/>
    <w:rsid w:val="000B3071"/>
    <w:rsid w:val="000B3D8D"/>
    <w:rsid w:val="000B54A5"/>
    <w:rsid w:val="000B5B1A"/>
    <w:rsid w:val="000B5C68"/>
    <w:rsid w:val="000B6B32"/>
    <w:rsid w:val="000B70F0"/>
    <w:rsid w:val="000B7208"/>
    <w:rsid w:val="000B7701"/>
    <w:rsid w:val="000B7996"/>
    <w:rsid w:val="000C027A"/>
    <w:rsid w:val="000C05C9"/>
    <w:rsid w:val="000C1B7B"/>
    <w:rsid w:val="000C1D79"/>
    <w:rsid w:val="000C1F09"/>
    <w:rsid w:val="000C2B8A"/>
    <w:rsid w:val="000C4C55"/>
    <w:rsid w:val="000C5126"/>
    <w:rsid w:val="000C54A4"/>
    <w:rsid w:val="000C6F93"/>
    <w:rsid w:val="000D15F1"/>
    <w:rsid w:val="000D16B8"/>
    <w:rsid w:val="000D1EBD"/>
    <w:rsid w:val="000D2C9A"/>
    <w:rsid w:val="000D2D4B"/>
    <w:rsid w:val="000D3F57"/>
    <w:rsid w:val="000D4CA8"/>
    <w:rsid w:val="000D620C"/>
    <w:rsid w:val="000D7303"/>
    <w:rsid w:val="000D76B6"/>
    <w:rsid w:val="000D7D90"/>
    <w:rsid w:val="000E0A5F"/>
    <w:rsid w:val="000E1706"/>
    <w:rsid w:val="000E1B99"/>
    <w:rsid w:val="000E227B"/>
    <w:rsid w:val="000E2B31"/>
    <w:rsid w:val="000E3354"/>
    <w:rsid w:val="000E34E0"/>
    <w:rsid w:val="000E3CE4"/>
    <w:rsid w:val="000E51B4"/>
    <w:rsid w:val="000E5B3B"/>
    <w:rsid w:val="000E5C2E"/>
    <w:rsid w:val="000E76B9"/>
    <w:rsid w:val="000E773B"/>
    <w:rsid w:val="000E7793"/>
    <w:rsid w:val="000E7B98"/>
    <w:rsid w:val="000E7C88"/>
    <w:rsid w:val="000F0027"/>
    <w:rsid w:val="000F037C"/>
    <w:rsid w:val="000F06EE"/>
    <w:rsid w:val="000F0A82"/>
    <w:rsid w:val="000F2235"/>
    <w:rsid w:val="000F2A81"/>
    <w:rsid w:val="000F4782"/>
    <w:rsid w:val="000F47AD"/>
    <w:rsid w:val="000F4EB4"/>
    <w:rsid w:val="001009DA"/>
    <w:rsid w:val="00100E65"/>
    <w:rsid w:val="00102EA6"/>
    <w:rsid w:val="0010399E"/>
    <w:rsid w:val="00104DE1"/>
    <w:rsid w:val="00104F8E"/>
    <w:rsid w:val="00105349"/>
    <w:rsid w:val="00105D38"/>
    <w:rsid w:val="001066CF"/>
    <w:rsid w:val="001066FB"/>
    <w:rsid w:val="0010723C"/>
    <w:rsid w:val="001079F7"/>
    <w:rsid w:val="00107DB6"/>
    <w:rsid w:val="0011039D"/>
    <w:rsid w:val="001104C1"/>
    <w:rsid w:val="00110974"/>
    <w:rsid w:val="00110A77"/>
    <w:rsid w:val="0011245D"/>
    <w:rsid w:val="00112D50"/>
    <w:rsid w:val="00112F57"/>
    <w:rsid w:val="00113790"/>
    <w:rsid w:val="00115E1C"/>
    <w:rsid w:val="00116AAB"/>
    <w:rsid w:val="00116DD7"/>
    <w:rsid w:val="00116FA0"/>
    <w:rsid w:val="0011734C"/>
    <w:rsid w:val="00121519"/>
    <w:rsid w:val="0012166A"/>
    <w:rsid w:val="001218D1"/>
    <w:rsid w:val="001218D9"/>
    <w:rsid w:val="00122501"/>
    <w:rsid w:val="001226C8"/>
    <w:rsid w:val="00123684"/>
    <w:rsid w:val="00123685"/>
    <w:rsid w:val="0012378F"/>
    <w:rsid w:val="00124C0E"/>
    <w:rsid w:val="00125F7A"/>
    <w:rsid w:val="00127B7A"/>
    <w:rsid w:val="00127BC7"/>
    <w:rsid w:val="0013098B"/>
    <w:rsid w:val="001312A2"/>
    <w:rsid w:val="001321D0"/>
    <w:rsid w:val="00132581"/>
    <w:rsid w:val="00133675"/>
    <w:rsid w:val="00133B20"/>
    <w:rsid w:val="00134595"/>
    <w:rsid w:val="0013681E"/>
    <w:rsid w:val="00136D70"/>
    <w:rsid w:val="001372C6"/>
    <w:rsid w:val="00137680"/>
    <w:rsid w:val="00140C47"/>
    <w:rsid w:val="001420F0"/>
    <w:rsid w:val="001430E1"/>
    <w:rsid w:val="00143AD6"/>
    <w:rsid w:val="00143B72"/>
    <w:rsid w:val="001447D8"/>
    <w:rsid w:val="00145A6A"/>
    <w:rsid w:val="00146A93"/>
    <w:rsid w:val="00147169"/>
    <w:rsid w:val="00150E42"/>
    <w:rsid w:val="00151E45"/>
    <w:rsid w:val="00152AB4"/>
    <w:rsid w:val="00152F4E"/>
    <w:rsid w:val="00153E77"/>
    <w:rsid w:val="0015540B"/>
    <w:rsid w:val="00155A5B"/>
    <w:rsid w:val="0016067E"/>
    <w:rsid w:val="001608CF"/>
    <w:rsid w:val="001632E8"/>
    <w:rsid w:val="001641FB"/>
    <w:rsid w:val="0016455D"/>
    <w:rsid w:val="001647FF"/>
    <w:rsid w:val="001654B7"/>
    <w:rsid w:val="00165AF0"/>
    <w:rsid w:val="00166AA5"/>
    <w:rsid w:val="0016759C"/>
    <w:rsid w:val="00171F94"/>
    <w:rsid w:val="00172122"/>
    <w:rsid w:val="00172E22"/>
    <w:rsid w:val="00176E32"/>
    <w:rsid w:val="00180345"/>
    <w:rsid w:val="00180A90"/>
    <w:rsid w:val="00180F26"/>
    <w:rsid w:val="001814E6"/>
    <w:rsid w:val="001824F7"/>
    <w:rsid w:val="0018314D"/>
    <w:rsid w:val="001832F1"/>
    <w:rsid w:val="001844E6"/>
    <w:rsid w:val="001845BA"/>
    <w:rsid w:val="001846E1"/>
    <w:rsid w:val="00184909"/>
    <w:rsid w:val="0018541C"/>
    <w:rsid w:val="0018576F"/>
    <w:rsid w:val="00185831"/>
    <w:rsid w:val="00185A8A"/>
    <w:rsid w:val="00185EF0"/>
    <w:rsid w:val="001866F2"/>
    <w:rsid w:val="0019003C"/>
    <w:rsid w:val="00191B1A"/>
    <w:rsid w:val="0019316B"/>
    <w:rsid w:val="001931B7"/>
    <w:rsid w:val="00193CED"/>
    <w:rsid w:val="00193E2B"/>
    <w:rsid w:val="0019633D"/>
    <w:rsid w:val="00196B17"/>
    <w:rsid w:val="00197220"/>
    <w:rsid w:val="00197C04"/>
    <w:rsid w:val="001A26BB"/>
    <w:rsid w:val="001A26F6"/>
    <w:rsid w:val="001A3C4F"/>
    <w:rsid w:val="001A549B"/>
    <w:rsid w:val="001A595A"/>
    <w:rsid w:val="001A6404"/>
    <w:rsid w:val="001A64CA"/>
    <w:rsid w:val="001A664B"/>
    <w:rsid w:val="001A7705"/>
    <w:rsid w:val="001B0FBD"/>
    <w:rsid w:val="001B1106"/>
    <w:rsid w:val="001B14C6"/>
    <w:rsid w:val="001B1B8C"/>
    <w:rsid w:val="001B323E"/>
    <w:rsid w:val="001B4635"/>
    <w:rsid w:val="001B4B60"/>
    <w:rsid w:val="001B5074"/>
    <w:rsid w:val="001B5A7D"/>
    <w:rsid w:val="001B5B65"/>
    <w:rsid w:val="001B5E42"/>
    <w:rsid w:val="001B65CD"/>
    <w:rsid w:val="001B673C"/>
    <w:rsid w:val="001B6924"/>
    <w:rsid w:val="001B7AE0"/>
    <w:rsid w:val="001C0675"/>
    <w:rsid w:val="001C0958"/>
    <w:rsid w:val="001C284D"/>
    <w:rsid w:val="001C2E59"/>
    <w:rsid w:val="001C4F56"/>
    <w:rsid w:val="001C5A36"/>
    <w:rsid w:val="001C5ED7"/>
    <w:rsid w:val="001C6EE2"/>
    <w:rsid w:val="001D0145"/>
    <w:rsid w:val="001D02CD"/>
    <w:rsid w:val="001D03F7"/>
    <w:rsid w:val="001D03FA"/>
    <w:rsid w:val="001D0659"/>
    <w:rsid w:val="001D20D8"/>
    <w:rsid w:val="001D3D28"/>
    <w:rsid w:val="001D44E1"/>
    <w:rsid w:val="001D4589"/>
    <w:rsid w:val="001D62BC"/>
    <w:rsid w:val="001D68CF"/>
    <w:rsid w:val="001D7045"/>
    <w:rsid w:val="001D7501"/>
    <w:rsid w:val="001E04E7"/>
    <w:rsid w:val="001E16D4"/>
    <w:rsid w:val="001E1AD3"/>
    <w:rsid w:val="001E3E66"/>
    <w:rsid w:val="001E43FD"/>
    <w:rsid w:val="001E44CA"/>
    <w:rsid w:val="001F0DE4"/>
    <w:rsid w:val="001F18CF"/>
    <w:rsid w:val="001F27D5"/>
    <w:rsid w:val="001F2BCE"/>
    <w:rsid w:val="001F3919"/>
    <w:rsid w:val="001F3E10"/>
    <w:rsid w:val="001F509D"/>
    <w:rsid w:val="001F5232"/>
    <w:rsid w:val="001F59FE"/>
    <w:rsid w:val="001F6454"/>
    <w:rsid w:val="001F6B89"/>
    <w:rsid w:val="001F78F3"/>
    <w:rsid w:val="00200A20"/>
    <w:rsid w:val="00202AFB"/>
    <w:rsid w:val="00206C37"/>
    <w:rsid w:val="00210BD5"/>
    <w:rsid w:val="00212E27"/>
    <w:rsid w:val="00212F03"/>
    <w:rsid w:val="0021318F"/>
    <w:rsid w:val="0021333A"/>
    <w:rsid w:val="00214701"/>
    <w:rsid w:val="00214C06"/>
    <w:rsid w:val="00215BEC"/>
    <w:rsid w:val="0021674C"/>
    <w:rsid w:val="00220137"/>
    <w:rsid w:val="00221C81"/>
    <w:rsid w:val="002224FE"/>
    <w:rsid w:val="00223798"/>
    <w:rsid w:val="00225EEB"/>
    <w:rsid w:val="002263F7"/>
    <w:rsid w:val="00227149"/>
    <w:rsid w:val="002275D2"/>
    <w:rsid w:val="00227CC1"/>
    <w:rsid w:val="00227EA7"/>
    <w:rsid w:val="002305F1"/>
    <w:rsid w:val="00230F85"/>
    <w:rsid w:val="00233732"/>
    <w:rsid w:val="002415E5"/>
    <w:rsid w:val="00241C16"/>
    <w:rsid w:val="00241E49"/>
    <w:rsid w:val="00242223"/>
    <w:rsid w:val="00245CF8"/>
    <w:rsid w:val="00246472"/>
    <w:rsid w:val="00246C1C"/>
    <w:rsid w:val="00246CB3"/>
    <w:rsid w:val="00246E07"/>
    <w:rsid w:val="0024762D"/>
    <w:rsid w:val="002500B4"/>
    <w:rsid w:val="002509CA"/>
    <w:rsid w:val="0025191F"/>
    <w:rsid w:val="0025239D"/>
    <w:rsid w:val="00253099"/>
    <w:rsid w:val="0025356E"/>
    <w:rsid w:val="00254AB9"/>
    <w:rsid w:val="00254CE0"/>
    <w:rsid w:val="00256611"/>
    <w:rsid w:val="002569B5"/>
    <w:rsid w:val="00256BA8"/>
    <w:rsid w:val="002570BE"/>
    <w:rsid w:val="0025711E"/>
    <w:rsid w:val="0025798E"/>
    <w:rsid w:val="00257BCA"/>
    <w:rsid w:val="00260031"/>
    <w:rsid w:val="00261393"/>
    <w:rsid w:val="002616CE"/>
    <w:rsid w:val="00261B75"/>
    <w:rsid w:val="00261D33"/>
    <w:rsid w:val="0026283A"/>
    <w:rsid w:val="00263459"/>
    <w:rsid w:val="00263487"/>
    <w:rsid w:val="0026444E"/>
    <w:rsid w:val="0026498E"/>
    <w:rsid w:val="00264C3C"/>
    <w:rsid w:val="00264DA3"/>
    <w:rsid w:val="00265C03"/>
    <w:rsid w:val="00265C57"/>
    <w:rsid w:val="00267547"/>
    <w:rsid w:val="0027025F"/>
    <w:rsid w:val="0027174D"/>
    <w:rsid w:val="00272035"/>
    <w:rsid w:val="002732B8"/>
    <w:rsid w:val="00273486"/>
    <w:rsid w:val="00274551"/>
    <w:rsid w:val="0027456A"/>
    <w:rsid w:val="00274CEA"/>
    <w:rsid w:val="00275447"/>
    <w:rsid w:val="00275BE6"/>
    <w:rsid w:val="00276FBF"/>
    <w:rsid w:val="00280008"/>
    <w:rsid w:val="0028007B"/>
    <w:rsid w:val="002807B4"/>
    <w:rsid w:val="00280B1D"/>
    <w:rsid w:val="0028370D"/>
    <w:rsid w:val="0028562F"/>
    <w:rsid w:val="00286DE5"/>
    <w:rsid w:val="00287246"/>
    <w:rsid w:val="002879CF"/>
    <w:rsid w:val="00291113"/>
    <w:rsid w:val="002916BD"/>
    <w:rsid w:val="002917A8"/>
    <w:rsid w:val="00292A0A"/>
    <w:rsid w:val="002933CC"/>
    <w:rsid w:val="00293606"/>
    <w:rsid w:val="00294910"/>
    <w:rsid w:val="00294964"/>
    <w:rsid w:val="00295DEC"/>
    <w:rsid w:val="00297105"/>
    <w:rsid w:val="00297803"/>
    <w:rsid w:val="002979EE"/>
    <w:rsid w:val="00297B22"/>
    <w:rsid w:val="002A3808"/>
    <w:rsid w:val="002A4B80"/>
    <w:rsid w:val="002A4BE5"/>
    <w:rsid w:val="002A4F87"/>
    <w:rsid w:val="002A59FE"/>
    <w:rsid w:val="002A5FCC"/>
    <w:rsid w:val="002A6864"/>
    <w:rsid w:val="002A72BA"/>
    <w:rsid w:val="002B00CA"/>
    <w:rsid w:val="002B07E3"/>
    <w:rsid w:val="002B09C0"/>
    <w:rsid w:val="002B09FF"/>
    <w:rsid w:val="002B1104"/>
    <w:rsid w:val="002B212D"/>
    <w:rsid w:val="002B41E2"/>
    <w:rsid w:val="002B559C"/>
    <w:rsid w:val="002B57AB"/>
    <w:rsid w:val="002B5FF2"/>
    <w:rsid w:val="002B6627"/>
    <w:rsid w:val="002B6749"/>
    <w:rsid w:val="002B6DCE"/>
    <w:rsid w:val="002B75E7"/>
    <w:rsid w:val="002B77A5"/>
    <w:rsid w:val="002B7BBB"/>
    <w:rsid w:val="002C0037"/>
    <w:rsid w:val="002C0419"/>
    <w:rsid w:val="002C17E4"/>
    <w:rsid w:val="002C1B2F"/>
    <w:rsid w:val="002C2A93"/>
    <w:rsid w:val="002C2DA0"/>
    <w:rsid w:val="002C380F"/>
    <w:rsid w:val="002C4E70"/>
    <w:rsid w:val="002C506E"/>
    <w:rsid w:val="002C5393"/>
    <w:rsid w:val="002D00FF"/>
    <w:rsid w:val="002D1595"/>
    <w:rsid w:val="002D1BC3"/>
    <w:rsid w:val="002D24E1"/>
    <w:rsid w:val="002D2521"/>
    <w:rsid w:val="002D3195"/>
    <w:rsid w:val="002D37D7"/>
    <w:rsid w:val="002D4D63"/>
    <w:rsid w:val="002D6C3A"/>
    <w:rsid w:val="002D7377"/>
    <w:rsid w:val="002D77F8"/>
    <w:rsid w:val="002E0472"/>
    <w:rsid w:val="002E0FE6"/>
    <w:rsid w:val="002E31E1"/>
    <w:rsid w:val="002E4F21"/>
    <w:rsid w:val="002E5037"/>
    <w:rsid w:val="002E5461"/>
    <w:rsid w:val="002E772A"/>
    <w:rsid w:val="002F0AA6"/>
    <w:rsid w:val="002F2527"/>
    <w:rsid w:val="002F2682"/>
    <w:rsid w:val="002F3EA7"/>
    <w:rsid w:val="002F4F4A"/>
    <w:rsid w:val="002F7930"/>
    <w:rsid w:val="002F7D01"/>
    <w:rsid w:val="002F7D55"/>
    <w:rsid w:val="00302BE7"/>
    <w:rsid w:val="00303889"/>
    <w:rsid w:val="00303CA7"/>
    <w:rsid w:val="00303DDC"/>
    <w:rsid w:val="00304048"/>
    <w:rsid w:val="003047D9"/>
    <w:rsid w:val="00304AD6"/>
    <w:rsid w:val="00304EFE"/>
    <w:rsid w:val="00306553"/>
    <w:rsid w:val="0030695A"/>
    <w:rsid w:val="00306DCA"/>
    <w:rsid w:val="00307EF2"/>
    <w:rsid w:val="00310608"/>
    <w:rsid w:val="0031066B"/>
    <w:rsid w:val="00310689"/>
    <w:rsid w:val="00310898"/>
    <w:rsid w:val="003117DE"/>
    <w:rsid w:val="00311BC3"/>
    <w:rsid w:val="00314A93"/>
    <w:rsid w:val="00315325"/>
    <w:rsid w:val="00315A11"/>
    <w:rsid w:val="00315CB7"/>
    <w:rsid w:val="00315F89"/>
    <w:rsid w:val="0031610D"/>
    <w:rsid w:val="0031639F"/>
    <w:rsid w:val="00317738"/>
    <w:rsid w:val="00317C35"/>
    <w:rsid w:val="00321593"/>
    <w:rsid w:val="00321A06"/>
    <w:rsid w:val="00321C97"/>
    <w:rsid w:val="00322B07"/>
    <w:rsid w:val="003231CC"/>
    <w:rsid w:val="0032339D"/>
    <w:rsid w:val="00323D6F"/>
    <w:rsid w:val="00323F22"/>
    <w:rsid w:val="003242A6"/>
    <w:rsid w:val="003255A9"/>
    <w:rsid w:val="0032695F"/>
    <w:rsid w:val="0032763B"/>
    <w:rsid w:val="00327BA8"/>
    <w:rsid w:val="0033002C"/>
    <w:rsid w:val="00330A90"/>
    <w:rsid w:val="00330FE9"/>
    <w:rsid w:val="003315C9"/>
    <w:rsid w:val="00331DF9"/>
    <w:rsid w:val="00332099"/>
    <w:rsid w:val="003321C5"/>
    <w:rsid w:val="003336CE"/>
    <w:rsid w:val="00333DE4"/>
    <w:rsid w:val="00335452"/>
    <w:rsid w:val="00335C8F"/>
    <w:rsid w:val="00336C55"/>
    <w:rsid w:val="003377EC"/>
    <w:rsid w:val="003400CF"/>
    <w:rsid w:val="0034072E"/>
    <w:rsid w:val="00340866"/>
    <w:rsid w:val="00340DE0"/>
    <w:rsid w:val="0034163E"/>
    <w:rsid w:val="0034195E"/>
    <w:rsid w:val="0034264B"/>
    <w:rsid w:val="0034274D"/>
    <w:rsid w:val="00345FAA"/>
    <w:rsid w:val="00346D88"/>
    <w:rsid w:val="003476A9"/>
    <w:rsid w:val="0035123D"/>
    <w:rsid w:val="0035174D"/>
    <w:rsid w:val="00351D93"/>
    <w:rsid w:val="0035247B"/>
    <w:rsid w:val="00352A60"/>
    <w:rsid w:val="00352B91"/>
    <w:rsid w:val="003536C6"/>
    <w:rsid w:val="003537AF"/>
    <w:rsid w:val="003544D3"/>
    <w:rsid w:val="0035725B"/>
    <w:rsid w:val="00357D71"/>
    <w:rsid w:val="0036077F"/>
    <w:rsid w:val="003627A7"/>
    <w:rsid w:val="00363208"/>
    <w:rsid w:val="00363E73"/>
    <w:rsid w:val="00363E7C"/>
    <w:rsid w:val="0036428F"/>
    <w:rsid w:val="00364353"/>
    <w:rsid w:val="0036673B"/>
    <w:rsid w:val="00366FE6"/>
    <w:rsid w:val="00367197"/>
    <w:rsid w:val="003708C9"/>
    <w:rsid w:val="003714E7"/>
    <w:rsid w:val="00371611"/>
    <w:rsid w:val="0037171C"/>
    <w:rsid w:val="003723D9"/>
    <w:rsid w:val="003730DD"/>
    <w:rsid w:val="003740E0"/>
    <w:rsid w:val="00375046"/>
    <w:rsid w:val="00380080"/>
    <w:rsid w:val="00380420"/>
    <w:rsid w:val="0038087D"/>
    <w:rsid w:val="003812BA"/>
    <w:rsid w:val="00381311"/>
    <w:rsid w:val="00381D67"/>
    <w:rsid w:val="00381DF4"/>
    <w:rsid w:val="00382EB6"/>
    <w:rsid w:val="00383302"/>
    <w:rsid w:val="00383306"/>
    <w:rsid w:val="003836E8"/>
    <w:rsid w:val="00383902"/>
    <w:rsid w:val="00383F3A"/>
    <w:rsid w:val="003869AF"/>
    <w:rsid w:val="0038750F"/>
    <w:rsid w:val="00387B83"/>
    <w:rsid w:val="003911FB"/>
    <w:rsid w:val="00391B46"/>
    <w:rsid w:val="003922D0"/>
    <w:rsid w:val="00394B76"/>
    <w:rsid w:val="00396414"/>
    <w:rsid w:val="0039689D"/>
    <w:rsid w:val="00396978"/>
    <w:rsid w:val="00396CAB"/>
    <w:rsid w:val="00397BF8"/>
    <w:rsid w:val="00397FF5"/>
    <w:rsid w:val="003A17E2"/>
    <w:rsid w:val="003A32BC"/>
    <w:rsid w:val="003A3319"/>
    <w:rsid w:val="003A34A5"/>
    <w:rsid w:val="003A4EE6"/>
    <w:rsid w:val="003A50FD"/>
    <w:rsid w:val="003A54EA"/>
    <w:rsid w:val="003A5F3F"/>
    <w:rsid w:val="003A6A2B"/>
    <w:rsid w:val="003A7BE8"/>
    <w:rsid w:val="003B0DA2"/>
    <w:rsid w:val="003B16B4"/>
    <w:rsid w:val="003B17A2"/>
    <w:rsid w:val="003B47A6"/>
    <w:rsid w:val="003B4A65"/>
    <w:rsid w:val="003B4DA9"/>
    <w:rsid w:val="003B631B"/>
    <w:rsid w:val="003B6487"/>
    <w:rsid w:val="003B6600"/>
    <w:rsid w:val="003B6B63"/>
    <w:rsid w:val="003C0E82"/>
    <w:rsid w:val="003C1848"/>
    <w:rsid w:val="003C1C22"/>
    <w:rsid w:val="003C2BE7"/>
    <w:rsid w:val="003C5276"/>
    <w:rsid w:val="003C6444"/>
    <w:rsid w:val="003C6B69"/>
    <w:rsid w:val="003C6B87"/>
    <w:rsid w:val="003C6F10"/>
    <w:rsid w:val="003C6FDF"/>
    <w:rsid w:val="003C7E15"/>
    <w:rsid w:val="003D0363"/>
    <w:rsid w:val="003D08EE"/>
    <w:rsid w:val="003D0DFE"/>
    <w:rsid w:val="003D1838"/>
    <w:rsid w:val="003D4347"/>
    <w:rsid w:val="003D4744"/>
    <w:rsid w:val="003D5387"/>
    <w:rsid w:val="003D5522"/>
    <w:rsid w:val="003D5855"/>
    <w:rsid w:val="003D5D1D"/>
    <w:rsid w:val="003D697D"/>
    <w:rsid w:val="003D7C97"/>
    <w:rsid w:val="003D7FAA"/>
    <w:rsid w:val="003E031D"/>
    <w:rsid w:val="003E0A26"/>
    <w:rsid w:val="003E0DD6"/>
    <w:rsid w:val="003E2B7E"/>
    <w:rsid w:val="003E38D9"/>
    <w:rsid w:val="003E40EC"/>
    <w:rsid w:val="003E441F"/>
    <w:rsid w:val="003F00E1"/>
    <w:rsid w:val="003F062F"/>
    <w:rsid w:val="003F0742"/>
    <w:rsid w:val="003F0982"/>
    <w:rsid w:val="003F2682"/>
    <w:rsid w:val="003F28B5"/>
    <w:rsid w:val="003F2951"/>
    <w:rsid w:val="003F2B71"/>
    <w:rsid w:val="003F310F"/>
    <w:rsid w:val="003F383E"/>
    <w:rsid w:val="003F3DAD"/>
    <w:rsid w:val="003F40F4"/>
    <w:rsid w:val="003F4A18"/>
    <w:rsid w:val="003F4D0A"/>
    <w:rsid w:val="003F541D"/>
    <w:rsid w:val="003F7614"/>
    <w:rsid w:val="003F77CB"/>
    <w:rsid w:val="004011B9"/>
    <w:rsid w:val="0040185F"/>
    <w:rsid w:val="00401ACD"/>
    <w:rsid w:val="004021D5"/>
    <w:rsid w:val="00402E1B"/>
    <w:rsid w:val="00403C0A"/>
    <w:rsid w:val="004044BB"/>
    <w:rsid w:val="00405660"/>
    <w:rsid w:val="00405DFF"/>
    <w:rsid w:val="00406310"/>
    <w:rsid w:val="0040772B"/>
    <w:rsid w:val="0040783A"/>
    <w:rsid w:val="00407AC6"/>
    <w:rsid w:val="00410243"/>
    <w:rsid w:val="00410BE9"/>
    <w:rsid w:val="00410F98"/>
    <w:rsid w:val="0041107B"/>
    <w:rsid w:val="004111AF"/>
    <w:rsid w:val="00411B54"/>
    <w:rsid w:val="004130CD"/>
    <w:rsid w:val="004139D3"/>
    <w:rsid w:val="00413C58"/>
    <w:rsid w:val="00414F62"/>
    <w:rsid w:val="0041722B"/>
    <w:rsid w:val="00417346"/>
    <w:rsid w:val="00417C10"/>
    <w:rsid w:val="00423C23"/>
    <w:rsid w:val="00424240"/>
    <w:rsid w:val="00424384"/>
    <w:rsid w:val="004246A8"/>
    <w:rsid w:val="004250B3"/>
    <w:rsid w:val="004269D4"/>
    <w:rsid w:val="00427046"/>
    <w:rsid w:val="004271C9"/>
    <w:rsid w:val="00427E30"/>
    <w:rsid w:val="00430606"/>
    <w:rsid w:val="004319DC"/>
    <w:rsid w:val="00431BB2"/>
    <w:rsid w:val="00432330"/>
    <w:rsid w:val="004332BF"/>
    <w:rsid w:val="00433B41"/>
    <w:rsid w:val="00433FF0"/>
    <w:rsid w:val="0043421C"/>
    <w:rsid w:val="00435EA7"/>
    <w:rsid w:val="004369F3"/>
    <w:rsid w:val="0043765D"/>
    <w:rsid w:val="00441498"/>
    <w:rsid w:val="0044161B"/>
    <w:rsid w:val="00443B2F"/>
    <w:rsid w:val="004446D9"/>
    <w:rsid w:val="00444871"/>
    <w:rsid w:val="00447B0E"/>
    <w:rsid w:val="004505A8"/>
    <w:rsid w:val="00451DF8"/>
    <w:rsid w:val="004521F1"/>
    <w:rsid w:val="0045359D"/>
    <w:rsid w:val="004558DA"/>
    <w:rsid w:val="00456825"/>
    <w:rsid w:val="00456E54"/>
    <w:rsid w:val="004577B9"/>
    <w:rsid w:val="004602F2"/>
    <w:rsid w:val="00461205"/>
    <w:rsid w:val="0046191B"/>
    <w:rsid w:val="00461A82"/>
    <w:rsid w:val="00461E09"/>
    <w:rsid w:val="00464A3A"/>
    <w:rsid w:val="00465E46"/>
    <w:rsid w:val="0046612E"/>
    <w:rsid w:val="00466FA2"/>
    <w:rsid w:val="004701EE"/>
    <w:rsid w:val="00472667"/>
    <w:rsid w:val="00473B68"/>
    <w:rsid w:val="00476C59"/>
    <w:rsid w:val="00477CD6"/>
    <w:rsid w:val="00480A8D"/>
    <w:rsid w:val="00480E2A"/>
    <w:rsid w:val="00481100"/>
    <w:rsid w:val="004811E7"/>
    <w:rsid w:val="00481ED6"/>
    <w:rsid w:val="0048304C"/>
    <w:rsid w:val="00483923"/>
    <w:rsid w:val="00483F4F"/>
    <w:rsid w:val="004851AB"/>
    <w:rsid w:val="00486895"/>
    <w:rsid w:val="004873C0"/>
    <w:rsid w:val="004900C4"/>
    <w:rsid w:val="00490283"/>
    <w:rsid w:val="00490A5B"/>
    <w:rsid w:val="00490DAF"/>
    <w:rsid w:val="00491C93"/>
    <w:rsid w:val="00492A7F"/>
    <w:rsid w:val="004946C0"/>
    <w:rsid w:val="00494CF9"/>
    <w:rsid w:val="0049615E"/>
    <w:rsid w:val="004971DE"/>
    <w:rsid w:val="004A0EEA"/>
    <w:rsid w:val="004A0F50"/>
    <w:rsid w:val="004A13B7"/>
    <w:rsid w:val="004A1EC8"/>
    <w:rsid w:val="004A2A2D"/>
    <w:rsid w:val="004A422B"/>
    <w:rsid w:val="004A67AC"/>
    <w:rsid w:val="004A6A6E"/>
    <w:rsid w:val="004A7620"/>
    <w:rsid w:val="004A7630"/>
    <w:rsid w:val="004A7A1D"/>
    <w:rsid w:val="004B045E"/>
    <w:rsid w:val="004B11B2"/>
    <w:rsid w:val="004B28A5"/>
    <w:rsid w:val="004B2A07"/>
    <w:rsid w:val="004B319F"/>
    <w:rsid w:val="004B4A0C"/>
    <w:rsid w:val="004B5EED"/>
    <w:rsid w:val="004B5FB2"/>
    <w:rsid w:val="004C04BA"/>
    <w:rsid w:val="004C0B41"/>
    <w:rsid w:val="004C26EC"/>
    <w:rsid w:val="004C2DFD"/>
    <w:rsid w:val="004C405B"/>
    <w:rsid w:val="004C44BA"/>
    <w:rsid w:val="004C44F4"/>
    <w:rsid w:val="004C45FA"/>
    <w:rsid w:val="004C535A"/>
    <w:rsid w:val="004C5B26"/>
    <w:rsid w:val="004C5DBD"/>
    <w:rsid w:val="004C61A6"/>
    <w:rsid w:val="004C620B"/>
    <w:rsid w:val="004C7264"/>
    <w:rsid w:val="004C7956"/>
    <w:rsid w:val="004D0C60"/>
    <w:rsid w:val="004D0CC9"/>
    <w:rsid w:val="004D0CDE"/>
    <w:rsid w:val="004D3675"/>
    <w:rsid w:val="004D3783"/>
    <w:rsid w:val="004D390D"/>
    <w:rsid w:val="004D483E"/>
    <w:rsid w:val="004D4851"/>
    <w:rsid w:val="004D5907"/>
    <w:rsid w:val="004D643E"/>
    <w:rsid w:val="004D69AD"/>
    <w:rsid w:val="004D77B7"/>
    <w:rsid w:val="004E013C"/>
    <w:rsid w:val="004E0646"/>
    <w:rsid w:val="004E28EF"/>
    <w:rsid w:val="004E43C8"/>
    <w:rsid w:val="004E474B"/>
    <w:rsid w:val="004E5363"/>
    <w:rsid w:val="004E586D"/>
    <w:rsid w:val="004E5E13"/>
    <w:rsid w:val="004E60BF"/>
    <w:rsid w:val="004E65FA"/>
    <w:rsid w:val="004E7CA1"/>
    <w:rsid w:val="004E7CE0"/>
    <w:rsid w:val="004F0B08"/>
    <w:rsid w:val="004F1C26"/>
    <w:rsid w:val="004F2064"/>
    <w:rsid w:val="004F47CC"/>
    <w:rsid w:val="004F4804"/>
    <w:rsid w:val="004F50B2"/>
    <w:rsid w:val="004F5D76"/>
    <w:rsid w:val="004F60B5"/>
    <w:rsid w:val="004F6CF1"/>
    <w:rsid w:val="004F79DA"/>
    <w:rsid w:val="004F7E16"/>
    <w:rsid w:val="00500658"/>
    <w:rsid w:val="0050112E"/>
    <w:rsid w:val="0050184C"/>
    <w:rsid w:val="00501E46"/>
    <w:rsid w:val="00503294"/>
    <w:rsid w:val="005047FC"/>
    <w:rsid w:val="00507176"/>
    <w:rsid w:val="005072F5"/>
    <w:rsid w:val="0051099E"/>
    <w:rsid w:val="005109F9"/>
    <w:rsid w:val="00510C81"/>
    <w:rsid w:val="0051182B"/>
    <w:rsid w:val="005129CD"/>
    <w:rsid w:val="00514197"/>
    <w:rsid w:val="00514982"/>
    <w:rsid w:val="00516F59"/>
    <w:rsid w:val="0051779E"/>
    <w:rsid w:val="0051796B"/>
    <w:rsid w:val="00521402"/>
    <w:rsid w:val="00521850"/>
    <w:rsid w:val="00521A02"/>
    <w:rsid w:val="00523889"/>
    <w:rsid w:val="00523A9E"/>
    <w:rsid w:val="005247DF"/>
    <w:rsid w:val="00525307"/>
    <w:rsid w:val="0052565E"/>
    <w:rsid w:val="00525B11"/>
    <w:rsid w:val="00525EB7"/>
    <w:rsid w:val="0052607C"/>
    <w:rsid w:val="005262B2"/>
    <w:rsid w:val="005305EC"/>
    <w:rsid w:val="00530A28"/>
    <w:rsid w:val="00530D4A"/>
    <w:rsid w:val="005316B3"/>
    <w:rsid w:val="0053188B"/>
    <w:rsid w:val="005318D5"/>
    <w:rsid w:val="00531AB5"/>
    <w:rsid w:val="00532523"/>
    <w:rsid w:val="00532E4C"/>
    <w:rsid w:val="0053321D"/>
    <w:rsid w:val="00533B0F"/>
    <w:rsid w:val="0053499D"/>
    <w:rsid w:val="00534B01"/>
    <w:rsid w:val="0053586D"/>
    <w:rsid w:val="0053597D"/>
    <w:rsid w:val="00537244"/>
    <w:rsid w:val="00537248"/>
    <w:rsid w:val="00537A16"/>
    <w:rsid w:val="00537D96"/>
    <w:rsid w:val="005419EB"/>
    <w:rsid w:val="00541B59"/>
    <w:rsid w:val="00541D81"/>
    <w:rsid w:val="00542AED"/>
    <w:rsid w:val="005433E9"/>
    <w:rsid w:val="00543C78"/>
    <w:rsid w:val="00544B8B"/>
    <w:rsid w:val="00546071"/>
    <w:rsid w:val="005476BA"/>
    <w:rsid w:val="005476ED"/>
    <w:rsid w:val="005479F6"/>
    <w:rsid w:val="00550FCA"/>
    <w:rsid w:val="005516B1"/>
    <w:rsid w:val="00551A55"/>
    <w:rsid w:val="00554B97"/>
    <w:rsid w:val="00555AAB"/>
    <w:rsid w:val="0055651D"/>
    <w:rsid w:val="00556B91"/>
    <w:rsid w:val="005574F9"/>
    <w:rsid w:val="00557B6F"/>
    <w:rsid w:val="005600F2"/>
    <w:rsid w:val="00560609"/>
    <w:rsid w:val="005615B1"/>
    <w:rsid w:val="005621BB"/>
    <w:rsid w:val="005656B8"/>
    <w:rsid w:val="005662D2"/>
    <w:rsid w:val="005666E7"/>
    <w:rsid w:val="005671F4"/>
    <w:rsid w:val="00570FA8"/>
    <w:rsid w:val="00572AA3"/>
    <w:rsid w:val="005734FB"/>
    <w:rsid w:val="005742E0"/>
    <w:rsid w:val="0057445E"/>
    <w:rsid w:val="005746F7"/>
    <w:rsid w:val="005747FF"/>
    <w:rsid w:val="00574C21"/>
    <w:rsid w:val="00574F22"/>
    <w:rsid w:val="00577A84"/>
    <w:rsid w:val="00577CE9"/>
    <w:rsid w:val="00580ABF"/>
    <w:rsid w:val="005811E8"/>
    <w:rsid w:val="005829D7"/>
    <w:rsid w:val="00582D1F"/>
    <w:rsid w:val="005842D5"/>
    <w:rsid w:val="00584D48"/>
    <w:rsid w:val="00584EE4"/>
    <w:rsid w:val="0058528A"/>
    <w:rsid w:val="00586986"/>
    <w:rsid w:val="005869D1"/>
    <w:rsid w:val="00587567"/>
    <w:rsid w:val="0058782F"/>
    <w:rsid w:val="00587859"/>
    <w:rsid w:val="00587A39"/>
    <w:rsid w:val="00590C5C"/>
    <w:rsid w:val="00591367"/>
    <w:rsid w:val="00591D1B"/>
    <w:rsid w:val="00592199"/>
    <w:rsid w:val="00592B29"/>
    <w:rsid w:val="00594D76"/>
    <w:rsid w:val="005958DB"/>
    <w:rsid w:val="00595ADE"/>
    <w:rsid w:val="005968A3"/>
    <w:rsid w:val="00597B34"/>
    <w:rsid w:val="00597DF3"/>
    <w:rsid w:val="005A08EF"/>
    <w:rsid w:val="005A124C"/>
    <w:rsid w:val="005A206E"/>
    <w:rsid w:val="005A22A0"/>
    <w:rsid w:val="005A22A4"/>
    <w:rsid w:val="005A3723"/>
    <w:rsid w:val="005A4B60"/>
    <w:rsid w:val="005A5648"/>
    <w:rsid w:val="005A5BF1"/>
    <w:rsid w:val="005A5F7B"/>
    <w:rsid w:val="005A70BD"/>
    <w:rsid w:val="005B04F7"/>
    <w:rsid w:val="005B0D67"/>
    <w:rsid w:val="005B1325"/>
    <w:rsid w:val="005B1B2D"/>
    <w:rsid w:val="005B24BF"/>
    <w:rsid w:val="005B3A2F"/>
    <w:rsid w:val="005B3D2F"/>
    <w:rsid w:val="005B3D63"/>
    <w:rsid w:val="005B4184"/>
    <w:rsid w:val="005B425E"/>
    <w:rsid w:val="005B5CE8"/>
    <w:rsid w:val="005B6038"/>
    <w:rsid w:val="005B6283"/>
    <w:rsid w:val="005B658F"/>
    <w:rsid w:val="005B6919"/>
    <w:rsid w:val="005B77B5"/>
    <w:rsid w:val="005C0C4B"/>
    <w:rsid w:val="005C1114"/>
    <w:rsid w:val="005C1202"/>
    <w:rsid w:val="005C1766"/>
    <w:rsid w:val="005C2DCA"/>
    <w:rsid w:val="005C502D"/>
    <w:rsid w:val="005C50E5"/>
    <w:rsid w:val="005C5447"/>
    <w:rsid w:val="005C5C2F"/>
    <w:rsid w:val="005C67C2"/>
    <w:rsid w:val="005C68EF"/>
    <w:rsid w:val="005C7906"/>
    <w:rsid w:val="005C7F35"/>
    <w:rsid w:val="005D074F"/>
    <w:rsid w:val="005D0AF7"/>
    <w:rsid w:val="005D1B4C"/>
    <w:rsid w:val="005D47BA"/>
    <w:rsid w:val="005D5550"/>
    <w:rsid w:val="005D6B65"/>
    <w:rsid w:val="005D7851"/>
    <w:rsid w:val="005E00D5"/>
    <w:rsid w:val="005E0209"/>
    <w:rsid w:val="005E04AB"/>
    <w:rsid w:val="005E1A60"/>
    <w:rsid w:val="005E1D68"/>
    <w:rsid w:val="005E2605"/>
    <w:rsid w:val="005E3A85"/>
    <w:rsid w:val="005E40D6"/>
    <w:rsid w:val="005E4A13"/>
    <w:rsid w:val="005E7CE4"/>
    <w:rsid w:val="005E7DF8"/>
    <w:rsid w:val="005F0486"/>
    <w:rsid w:val="005F3530"/>
    <w:rsid w:val="005F40F9"/>
    <w:rsid w:val="005F4EAC"/>
    <w:rsid w:val="005F5456"/>
    <w:rsid w:val="005F5A35"/>
    <w:rsid w:val="005F5CC9"/>
    <w:rsid w:val="005F6DCE"/>
    <w:rsid w:val="005F7685"/>
    <w:rsid w:val="005F7960"/>
    <w:rsid w:val="00600069"/>
    <w:rsid w:val="0060129D"/>
    <w:rsid w:val="006014A5"/>
    <w:rsid w:val="00601ABE"/>
    <w:rsid w:val="006028DF"/>
    <w:rsid w:val="006040E4"/>
    <w:rsid w:val="00604AE4"/>
    <w:rsid w:val="00606888"/>
    <w:rsid w:val="00606FA6"/>
    <w:rsid w:val="006071E5"/>
    <w:rsid w:val="0061035E"/>
    <w:rsid w:val="00610DDA"/>
    <w:rsid w:val="00611785"/>
    <w:rsid w:val="0061282E"/>
    <w:rsid w:val="006129CE"/>
    <w:rsid w:val="00612CF9"/>
    <w:rsid w:val="00613C9C"/>
    <w:rsid w:val="00613CD1"/>
    <w:rsid w:val="00615775"/>
    <w:rsid w:val="00615844"/>
    <w:rsid w:val="00616DB6"/>
    <w:rsid w:val="006171A4"/>
    <w:rsid w:val="006172FE"/>
    <w:rsid w:val="00620F79"/>
    <w:rsid w:val="0062127A"/>
    <w:rsid w:val="006217E1"/>
    <w:rsid w:val="00621CCA"/>
    <w:rsid w:val="006222AA"/>
    <w:rsid w:val="00622AD4"/>
    <w:rsid w:val="00622E06"/>
    <w:rsid w:val="00623B32"/>
    <w:rsid w:val="0062428A"/>
    <w:rsid w:val="00624CA5"/>
    <w:rsid w:val="00625529"/>
    <w:rsid w:val="00625934"/>
    <w:rsid w:val="006266AF"/>
    <w:rsid w:val="006267E8"/>
    <w:rsid w:val="00626900"/>
    <w:rsid w:val="00626D7B"/>
    <w:rsid w:val="00627264"/>
    <w:rsid w:val="0062795A"/>
    <w:rsid w:val="00630017"/>
    <w:rsid w:val="006312D6"/>
    <w:rsid w:val="00632CA0"/>
    <w:rsid w:val="00633D7A"/>
    <w:rsid w:val="0063552C"/>
    <w:rsid w:val="006357FB"/>
    <w:rsid w:val="00636541"/>
    <w:rsid w:val="0063681E"/>
    <w:rsid w:val="0064009E"/>
    <w:rsid w:val="00640165"/>
    <w:rsid w:val="00640704"/>
    <w:rsid w:val="0064117A"/>
    <w:rsid w:val="00642FD0"/>
    <w:rsid w:val="006445B1"/>
    <w:rsid w:val="00644EB9"/>
    <w:rsid w:val="00645518"/>
    <w:rsid w:val="006461BF"/>
    <w:rsid w:val="00646B54"/>
    <w:rsid w:val="0064758A"/>
    <w:rsid w:val="0065070F"/>
    <w:rsid w:val="0065270A"/>
    <w:rsid w:val="006529E6"/>
    <w:rsid w:val="00653172"/>
    <w:rsid w:val="006535B5"/>
    <w:rsid w:val="00654A44"/>
    <w:rsid w:val="00655978"/>
    <w:rsid w:val="00655BA0"/>
    <w:rsid w:val="00655FE6"/>
    <w:rsid w:val="006560F1"/>
    <w:rsid w:val="00657210"/>
    <w:rsid w:val="00657ED6"/>
    <w:rsid w:val="006610AB"/>
    <w:rsid w:val="006613A3"/>
    <w:rsid w:val="00663026"/>
    <w:rsid w:val="00663719"/>
    <w:rsid w:val="00663E1F"/>
    <w:rsid w:val="00663F5F"/>
    <w:rsid w:val="0066481D"/>
    <w:rsid w:val="00664E96"/>
    <w:rsid w:val="006661AF"/>
    <w:rsid w:val="0067059A"/>
    <w:rsid w:val="00670D59"/>
    <w:rsid w:val="006720A9"/>
    <w:rsid w:val="006731DD"/>
    <w:rsid w:val="006732BA"/>
    <w:rsid w:val="006735CC"/>
    <w:rsid w:val="006741CE"/>
    <w:rsid w:val="006741F1"/>
    <w:rsid w:val="00674C35"/>
    <w:rsid w:val="006755DF"/>
    <w:rsid w:val="00676205"/>
    <w:rsid w:val="00676937"/>
    <w:rsid w:val="00676BB2"/>
    <w:rsid w:val="00681600"/>
    <w:rsid w:val="00682388"/>
    <w:rsid w:val="00682FA7"/>
    <w:rsid w:val="006834BB"/>
    <w:rsid w:val="0068441F"/>
    <w:rsid w:val="00684455"/>
    <w:rsid w:val="006846B4"/>
    <w:rsid w:val="00684877"/>
    <w:rsid w:val="00684DA0"/>
    <w:rsid w:val="00685492"/>
    <w:rsid w:val="006854C9"/>
    <w:rsid w:val="00686AFE"/>
    <w:rsid w:val="00686B9F"/>
    <w:rsid w:val="00686D5E"/>
    <w:rsid w:val="006873DC"/>
    <w:rsid w:val="00687D43"/>
    <w:rsid w:val="00687F55"/>
    <w:rsid w:val="00690503"/>
    <w:rsid w:val="00690B52"/>
    <w:rsid w:val="0069193B"/>
    <w:rsid w:val="00691CD5"/>
    <w:rsid w:val="00693A66"/>
    <w:rsid w:val="00694FC1"/>
    <w:rsid w:val="0069505C"/>
    <w:rsid w:val="00696A3E"/>
    <w:rsid w:val="00697198"/>
    <w:rsid w:val="00697CB1"/>
    <w:rsid w:val="006A0AD6"/>
    <w:rsid w:val="006A2881"/>
    <w:rsid w:val="006A59D8"/>
    <w:rsid w:val="006A5D49"/>
    <w:rsid w:val="006A7059"/>
    <w:rsid w:val="006A786B"/>
    <w:rsid w:val="006A7B62"/>
    <w:rsid w:val="006B293D"/>
    <w:rsid w:val="006B3166"/>
    <w:rsid w:val="006B3976"/>
    <w:rsid w:val="006B3C6F"/>
    <w:rsid w:val="006B3FC9"/>
    <w:rsid w:val="006B4307"/>
    <w:rsid w:val="006B4572"/>
    <w:rsid w:val="006B588C"/>
    <w:rsid w:val="006B62E6"/>
    <w:rsid w:val="006B6921"/>
    <w:rsid w:val="006B6987"/>
    <w:rsid w:val="006B6A9B"/>
    <w:rsid w:val="006B79F0"/>
    <w:rsid w:val="006C01FC"/>
    <w:rsid w:val="006C266D"/>
    <w:rsid w:val="006C297A"/>
    <w:rsid w:val="006C3ACE"/>
    <w:rsid w:val="006C3C06"/>
    <w:rsid w:val="006C41A6"/>
    <w:rsid w:val="006C46A1"/>
    <w:rsid w:val="006C5ED1"/>
    <w:rsid w:val="006C5F35"/>
    <w:rsid w:val="006C6938"/>
    <w:rsid w:val="006C7D2C"/>
    <w:rsid w:val="006D1BCC"/>
    <w:rsid w:val="006D3A19"/>
    <w:rsid w:val="006D3D1F"/>
    <w:rsid w:val="006D410E"/>
    <w:rsid w:val="006D4A09"/>
    <w:rsid w:val="006D6308"/>
    <w:rsid w:val="006D631A"/>
    <w:rsid w:val="006D7215"/>
    <w:rsid w:val="006D7946"/>
    <w:rsid w:val="006D7D4F"/>
    <w:rsid w:val="006E126E"/>
    <w:rsid w:val="006E689A"/>
    <w:rsid w:val="006E6D1A"/>
    <w:rsid w:val="006E7708"/>
    <w:rsid w:val="006F2D4A"/>
    <w:rsid w:val="006F2FDF"/>
    <w:rsid w:val="006F40BF"/>
    <w:rsid w:val="006F58E0"/>
    <w:rsid w:val="006F5C18"/>
    <w:rsid w:val="006F6E04"/>
    <w:rsid w:val="00700B39"/>
    <w:rsid w:val="007022F5"/>
    <w:rsid w:val="00702F7E"/>
    <w:rsid w:val="00703076"/>
    <w:rsid w:val="00703A83"/>
    <w:rsid w:val="007045AA"/>
    <w:rsid w:val="00704622"/>
    <w:rsid w:val="00704D82"/>
    <w:rsid w:val="00704F49"/>
    <w:rsid w:val="00705145"/>
    <w:rsid w:val="007051C6"/>
    <w:rsid w:val="00705244"/>
    <w:rsid w:val="0070626B"/>
    <w:rsid w:val="00706D1A"/>
    <w:rsid w:val="007077C7"/>
    <w:rsid w:val="0070795A"/>
    <w:rsid w:val="00707C0E"/>
    <w:rsid w:val="00707CA3"/>
    <w:rsid w:val="007100F7"/>
    <w:rsid w:val="00710441"/>
    <w:rsid w:val="00710CF3"/>
    <w:rsid w:val="00712E66"/>
    <w:rsid w:val="007154D5"/>
    <w:rsid w:val="00715B06"/>
    <w:rsid w:val="00716036"/>
    <w:rsid w:val="00716217"/>
    <w:rsid w:val="0071653E"/>
    <w:rsid w:val="00717146"/>
    <w:rsid w:val="00720BFA"/>
    <w:rsid w:val="0072110E"/>
    <w:rsid w:val="00722A6E"/>
    <w:rsid w:val="00723BB5"/>
    <w:rsid w:val="00723F4B"/>
    <w:rsid w:val="0072467B"/>
    <w:rsid w:val="00724B00"/>
    <w:rsid w:val="00724C27"/>
    <w:rsid w:val="00724D21"/>
    <w:rsid w:val="007260EC"/>
    <w:rsid w:val="00726A61"/>
    <w:rsid w:val="0073164A"/>
    <w:rsid w:val="00731EAE"/>
    <w:rsid w:val="00732ED1"/>
    <w:rsid w:val="0073332B"/>
    <w:rsid w:val="00737214"/>
    <w:rsid w:val="007414CD"/>
    <w:rsid w:val="00741C9C"/>
    <w:rsid w:val="00742013"/>
    <w:rsid w:val="00742629"/>
    <w:rsid w:val="0074273F"/>
    <w:rsid w:val="00742A8C"/>
    <w:rsid w:val="00742D16"/>
    <w:rsid w:val="00743565"/>
    <w:rsid w:val="00744BD6"/>
    <w:rsid w:val="0074515F"/>
    <w:rsid w:val="007456BD"/>
    <w:rsid w:val="00745F62"/>
    <w:rsid w:val="007462A1"/>
    <w:rsid w:val="007466FA"/>
    <w:rsid w:val="00746E45"/>
    <w:rsid w:val="007512DA"/>
    <w:rsid w:val="0075177B"/>
    <w:rsid w:val="007519D1"/>
    <w:rsid w:val="0075241C"/>
    <w:rsid w:val="00752C02"/>
    <w:rsid w:val="007549CC"/>
    <w:rsid w:val="007563BE"/>
    <w:rsid w:val="00756C17"/>
    <w:rsid w:val="00757182"/>
    <w:rsid w:val="00760251"/>
    <w:rsid w:val="007619E6"/>
    <w:rsid w:val="0076260A"/>
    <w:rsid w:val="007630C6"/>
    <w:rsid w:val="00763336"/>
    <w:rsid w:val="00763B56"/>
    <w:rsid w:val="007645AE"/>
    <w:rsid w:val="007656DD"/>
    <w:rsid w:val="00765B64"/>
    <w:rsid w:val="00770204"/>
    <w:rsid w:val="00772ECF"/>
    <w:rsid w:val="007739F4"/>
    <w:rsid w:val="00773E75"/>
    <w:rsid w:val="00774675"/>
    <w:rsid w:val="00776008"/>
    <w:rsid w:val="00776449"/>
    <w:rsid w:val="0077653E"/>
    <w:rsid w:val="007765D9"/>
    <w:rsid w:val="00776690"/>
    <w:rsid w:val="00776EC0"/>
    <w:rsid w:val="00777CB5"/>
    <w:rsid w:val="00777CF4"/>
    <w:rsid w:val="00777F5A"/>
    <w:rsid w:val="00780E21"/>
    <w:rsid w:val="00782FA6"/>
    <w:rsid w:val="00783D90"/>
    <w:rsid w:val="00785B5D"/>
    <w:rsid w:val="00785CD6"/>
    <w:rsid w:val="00785D6D"/>
    <w:rsid w:val="007862FA"/>
    <w:rsid w:val="00786548"/>
    <w:rsid w:val="00786CD2"/>
    <w:rsid w:val="00786D69"/>
    <w:rsid w:val="00787244"/>
    <w:rsid w:val="0078736B"/>
    <w:rsid w:val="00787E75"/>
    <w:rsid w:val="007900C7"/>
    <w:rsid w:val="00790335"/>
    <w:rsid w:val="00791EE4"/>
    <w:rsid w:val="007920D6"/>
    <w:rsid w:val="00792E8D"/>
    <w:rsid w:val="007930AE"/>
    <w:rsid w:val="007934FC"/>
    <w:rsid w:val="007946A6"/>
    <w:rsid w:val="007947CD"/>
    <w:rsid w:val="00794AE7"/>
    <w:rsid w:val="00795E95"/>
    <w:rsid w:val="00796160"/>
    <w:rsid w:val="00796A00"/>
    <w:rsid w:val="00797763"/>
    <w:rsid w:val="007A0C3E"/>
    <w:rsid w:val="007A15CA"/>
    <w:rsid w:val="007A1D8F"/>
    <w:rsid w:val="007A28C8"/>
    <w:rsid w:val="007A2E83"/>
    <w:rsid w:val="007A333A"/>
    <w:rsid w:val="007A3A23"/>
    <w:rsid w:val="007A3EBF"/>
    <w:rsid w:val="007A4173"/>
    <w:rsid w:val="007A4277"/>
    <w:rsid w:val="007A4FC8"/>
    <w:rsid w:val="007B029E"/>
    <w:rsid w:val="007B056A"/>
    <w:rsid w:val="007B2080"/>
    <w:rsid w:val="007B2CF6"/>
    <w:rsid w:val="007B2E5B"/>
    <w:rsid w:val="007B3514"/>
    <w:rsid w:val="007B37DB"/>
    <w:rsid w:val="007B3933"/>
    <w:rsid w:val="007B413D"/>
    <w:rsid w:val="007B4354"/>
    <w:rsid w:val="007B573D"/>
    <w:rsid w:val="007B5B9A"/>
    <w:rsid w:val="007B641A"/>
    <w:rsid w:val="007B745D"/>
    <w:rsid w:val="007B76BA"/>
    <w:rsid w:val="007B7AE0"/>
    <w:rsid w:val="007B7C82"/>
    <w:rsid w:val="007C0345"/>
    <w:rsid w:val="007C0441"/>
    <w:rsid w:val="007C15E8"/>
    <w:rsid w:val="007C19F3"/>
    <w:rsid w:val="007C2829"/>
    <w:rsid w:val="007C3AB7"/>
    <w:rsid w:val="007C53F7"/>
    <w:rsid w:val="007C5611"/>
    <w:rsid w:val="007C77BB"/>
    <w:rsid w:val="007C77BC"/>
    <w:rsid w:val="007D0800"/>
    <w:rsid w:val="007D2592"/>
    <w:rsid w:val="007D27B9"/>
    <w:rsid w:val="007D3D13"/>
    <w:rsid w:val="007D3E5A"/>
    <w:rsid w:val="007D56D1"/>
    <w:rsid w:val="007D59FE"/>
    <w:rsid w:val="007D650C"/>
    <w:rsid w:val="007D71CF"/>
    <w:rsid w:val="007E0D67"/>
    <w:rsid w:val="007E0E79"/>
    <w:rsid w:val="007E268E"/>
    <w:rsid w:val="007E43A5"/>
    <w:rsid w:val="007E4EA5"/>
    <w:rsid w:val="007E4EDA"/>
    <w:rsid w:val="007E542F"/>
    <w:rsid w:val="007E5442"/>
    <w:rsid w:val="007E6623"/>
    <w:rsid w:val="007E6F16"/>
    <w:rsid w:val="007E781C"/>
    <w:rsid w:val="007E7AD1"/>
    <w:rsid w:val="007E7D78"/>
    <w:rsid w:val="007E7DB3"/>
    <w:rsid w:val="007F0026"/>
    <w:rsid w:val="007F0CE3"/>
    <w:rsid w:val="007F1D31"/>
    <w:rsid w:val="007F1E26"/>
    <w:rsid w:val="007F2185"/>
    <w:rsid w:val="007F2C08"/>
    <w:rsid w:val="007F2D94"/>
    <w:rsid w:val="007F3C9A"/>
    <w:rsid w:val="007F3FFD"/>
    <w:rsid w:val="007F46F3"/>
    <w:rsid w:val="007F5B9B"/>
    <w:rsid w:val="007F5DF7"/>
    <w:rsid w:val="007F62BD"/>
    <w:rsid w:val="007F664D"/>
    <w:rsid w:val="007F7858"/>
    <w:rsid w:val="007F79B9"/>
    <w:rsid w:val="0080010C"/>
    <w:rsid w:val="00801941"/>
    <w:rsid w:val="008025AA"/>
    <w:rsid w:val="00802A66"/>
    <w:rsid w:val="008048D1"/>
    <w:rsid w:val="0080547E"/>
    <w:rsid w:val="00806219"/>
    <w:rsid w:val="00806515"/>
    <w:rsid w:val="00806913"/>
    <w:rsid w:val="0080757C"/>
    <w:rsid w:val="00807B9C"/>
    <w:rsid w:val="008104AB"/>
    <w:rsid w:val="00812EE4"/>
    <w:rsid w:val="0081330F"/>
    <w:rsid w:val="008133D8"/>
    <w:rsid w:val="00813B49"/>
    <w:rsid w:val="00815F5F"/>
    <w:rsid w:val="0081611D"/>
    <w:rsid w:val="00816DA1"/>
    <w:rsid w:val="00816DA6"/>
    <w:rsid w:val="00816EC0"/>
    <w:rsid w:val="008177F9"/>
    <w:rsid w:val="008201E0"/>
    <w:rsid w:val="008209E9"/>
    <w:rsid w:val="00821553"/>
    <w:rsid w:val="008217B2"/>
    <w:rsid w:val="00823E4E"/>
    <w:rsid w:val="008240AD"/>
    <w:rsid w:val="0082446F"/>
    <w:rsid w:val="008244B7"/>
    <w:rsid w:val="0082521E"/>
    <w:rsid w:val="0082523C"/>
    <w:rsid w:val="00825AE2"/>
    <w:rsid w:val="008302AC"/>
    <w:rsid w:val="00831EAF"/>
    <w:rsid w:val="008320E6"/>
    <w:rsid w:val="00832620"/>
    <w:rsid w:val="00833162"/>
    <w:rsid w:val="00833A59"/>
    <w:rsid w:val="00834A0C"/>
    <w:rsid w:val="00834B88"/>
    <w:rsid w:val="00834F80"/>
    <w:rsid w:val="008358C0"/>
    <w:rsid w:val="00837378"/>
    <w:rsid w:val="00840031"/>
    <w:rsid w:val="00840D21"/>
    <w:rsid w:val="0084349F"/>
    <w:rsid w:val="00844F80"/>
    <w:rsid w:val="00845443"/>
    <w:rsid w:val="008471CE"/>
    <w:rsid w:val="008475DA"/>
    <w:rsid w:val="00850AB4"/>
    <w:rsid w:val="008513AC"/>
    <w:rsid w:val="00851F2D"/>
    <w:rsid w:val="00852C28"/>
    <w:rsid w:val="00853172"/>
    <w:rsid w:val="008532A1"/>
    <w:rsid w:val="00853FE0"/>
    <w:rsid w:val="00854286"/>
    <w:rsid w:val="00855502"/>
    <w:rsid w:val="00856037"/>
    <w:rsid w:val="00856A02"/>
    <w:rsid w:val="00856D20"/>
    <w:rsid w:val="00856EA3"/>
    <w:rsid w:val="008573CD"/>
    <w:rsid w:val="00857BF1"/>
    <w:rsid w:val="00857F97"/>
    <w:rsid w:val="0086047E"/>
    <w:rsid w:val="008606C3"/>
    <w:rsid w:val="00861C55"/>
    <w:rsid w:val="00863B39"/>
    <w:rsid w:val="00863DED"/>
    <w:rsid w:val="0087060A"/>
    <w:rsid w:val="00871154"/>
    <w:rsid w:val="00871DCC"/>
    <w:rsid w:val="00872E72"/>
    <w:rsid w:val="00872EE8"/>
    <w:rsid w:val="00872FB2"/>
    <w:rsid w:val="00873BC1"/>
    <w:rsid w:val="00874541"/>
    <w:rsid w:val="00874D0E"/>
    <w:rsid w:val="00874D11"/>
    <w:rsid w:val="00876002"/>
    <w:rsid w:val="008767DC"/>
    <w:rsid w:val="0087783C"/>
    <w:rsid w:val="00881457"/>
    <w:rsid w:val="00881B0F"/>
    <w:rsid w:val="008824EB"/>
    <w:rsid w:val="00882EEE"/>
    <w:rsid w:val="00883010"/>
    <w:rsid w:val="0088397A"/>
    <w:rsid w:val="00883C50"/>
    <w:rsid w:val="00884FAB"/>
    <w:rsid w:val="00885EA4"/>
    <w:rsid w:val="0088613E"/>
    <w:rsid w:val="00886262"/>
    <w:rsid w:val="008866A5"/>
    <w:rsid w:val="00887B75"/>
    <w:rsid w:val="008900A7"/>
    <w:rsid w:val="00890890"/>
    <w:rsid w:val="00890D62"/>
    <w:rsid w:val="00890D63"/>
    <w:rsid w:val="00891910"/>
    <w:rsid w:val="008925E9"/>
    <w:rsid w:val="00892A9E"/>
    <w:rsid w:val="0089315C"/>
    <w:rsid w:val="00893AC7"/>
    <w:rsid w:val="00895304"/>
    <w:rsid w:val="00895380"/>
    <w:rsid w:val="008957D6"/>
    <w:rsid w:val="008966E7"/>
    <w:rsid w:val="00896F42"/>
    <w:rsid w:val="0089765F"/>
    <w:rsid w:val="008A02A4"/>
    <w:rsid w:val="008A1FAE"/>
    <w:rsid w:val="008A27C2"/>
    <w:rsid w:val="008A3041"/>
    <w:rsid w:val="008A3A14"/>
    <w:rsid w:val="008A4721"/>
    <w:rsid w:val="008A5773"/>
    <w:rsid w:val="008A5FA1"/>
    <w:rsid w:val="008A6F53"/>
    <w:rsid w:val="008B037C"/>
    <w:rsid w:val="008B2FBA"/>
    <w:rsid w:val="008B4811"/>
    <w:rsid w:val="008B4A71"/>
    <w:rsid w:val="008B4BCF"/>
    <w:rsid w:val="008B4CAE"/>
    <w:rsid w:val="008B5AA0"/>
    <w:rsid w:val="008B6FF5"/>
    <w:rsid w:val="008B709F"/>
    <w:rsid w:val="008C0862"/>
    <w:rsid w:val="008C192E"/>
    <w:rsid w:val="008C1CAE"/>
    <w:rsid w:val="008C2001"/>
    <w:rsid w:val="008C283E"/>
    <w:rsid w:val="008C476A"/>
    <w:rsid w:val="008C5B23"/>
    <w:rsid w:val="008C5C8E"/>
    <w:rsid w:val="008C63DE"/>
    <w:rsid w:val="008C74CD"/>
    <w:rsid w:val="008C7717"/>
    <w:rsid w:val="008C7CC6"/>
    <w:rsid w:val="008D0196"/>
    <w:rsid w:val="008D05F6"/>
    <w:rsid w:val="008D0DF8"/>
    <w:rsid w:val="008D119D"/>
    <w:rsid w:val="008D12CD"/>
    <w:rsid w:val="008D1BBC"/>
    <w:rsid w:val="008D2410"/>
    <w:rsid w:val="008D2983"/>
    <w:rsid w:val="008D2AA8"/>
    <w:rsid w:val="008D3D49"/>
    <w:rsid w:val="008D4462"/>
    <w:rsid w:val="008D5FD5"/>
    <w:rsid w:val="008D60D7"/>
    <w:rsid w:val="008D6A43"/>
    <w:rsid w:val="008D6D9E"/>
    <w:rsid w:val="008D79BE"/>
    <w:rsid w:val="008E04EA"/>
    <w:rsid w:val="008E0581"/>
    <w:rsid w:val="008E2846"/>
    <w:rsid w:val="008E335B"/>
    <w:rsid w:val="008E364D"/>
    <w:rsid w:val="008E373D"/>
    <w:rsid w:val="008E3CB1"/>
    <w:rsid w:val="008E5DEF"/>
    <w:rsid w:val="008E5EC8"/>
    <w:rsid w:val="008E6795"/>
    <w:rsid w:val="008E67CC"/>
    <w:rsid w:val="008E712D"/>
    <w:rsid w:val="008E71D7"/>
    <w:rsid w:val="008E7B3F"/>
    <w:rsid w:val="008F0234"/>
    <w:rsid w:val="008F02F9"/>
    <w:rsid w:val="008F0CAA"/>
    <w:rsid w:val="008F0EAB"/>
    <w:rsid w:val="008F1844"/>
    <w:rsid w:val="008F25DE"/>
    <w:rsid w:val="008F40D1"/>
    <w:rsid w:val="008F44A2"/>
    <w:rsid w:val="008F4C00"/>
    <w:rsid w:val="008F7174"/>
    <w:rsid w:val="008F7B45"/>
    <w:rsid w:val="008F7F7A"/>
    <w:rsid w:val="009018E4"/>
    <w:rsid w:val="00901D89"/>
    <w:rsid w:val="00903157"/>
    <w:rsid w:val="00903329"/>
    <w:rsid w:val="00903E01"/>
    <w:rsid w:val="00903F7A"/>
    <w:rsid w:val="009046B0"/>
    <w:rsid w:val="00904BE9"/>
    <w:rsid w:val="00906B67"/>
    <w:rsid w:val="00906E92"/>
    <w:rsid w:val="0090770E"/>
    <w:rsid w:val="00907FC0"/>
    <w:rsid w:val="009102EE"/>
    <w:rsid w:val="00911FE4"/>
    <w:rsid w:val="00912671"/>
    <w:rsid w:val="00914959"/>
    <w:rsid w:val="00914C0F"/>
    <w:rsid w:val="00916601"/>
    <w:rsid w:val="00916BE5"/>
    <w:rsid w:val="0092092D"/>
    <w:rsid w:val="00921C00"/>
    <w:rsid w:val="0092346F"/>
    <w:rsid w:val="00924940"/>
    <w:rsid w:val="009257DF"/>
    <w:rsid w:val="00925D88"/>
    <w:rsid w:val="00927388"/>
    <w:rsid w:val="00927CBD"/>
    <w:rsid w:val="00927CF7"/>
    <w:rsid w:val="009308A8"/>
    <w:rsid w:val="009308E3"/>
    <w:rsid w:val="00930A25"/>
    <w:rsid w:val="00931935"/>
    <w:rsid w:val="009340DB"/>
    <w:rsid w:val="009348E5"/>
    <w:rsid w:val="00934C46"/>
    <w:rsid w:val="00935461"/>
    <w:rsid w:val="00937FBF"/>
    <w:rsid w:val="00940EDF"/>
    <w:rsid w:val="00941506"/>
    <w:rsid w:val="009416E0"/>
    <w:rsid w:val="009421E6"/>
    <w:rsid w:val="0094256C"/>
    <w:rsid w:val="0094346B"/>
    <w:rsid w:val="009439BF"/>
    <w:rsid w:val="00943F39"/>
    <w:rsid w:val="009459E3"/>
    <w:rsid w:val="00946538"/>
    <w:rsid w:val="00946C69"/>
    <w:rsid w:val="0094704B"/>
    <w:rsid w:val="00950710"/>
    <w:rsid w:val="00951D4A"/>
    <w:rsid w:val="00952222"/>
    <w:rsid w:val="009540DF"/>
    <w:rsid w:val="00954343"/>
    <w:rsid w:val="0095453E"/>
    <w:rsid w:val="00955596"/>
    <w:rsid w:val="0095566C"/>
    <w:rsid w:val="0095588D"/>
    <w:rsid w:val="009560B4"/>
    <w:rsid w:val="009565F7"/>
    <w:rsid w:val="00956769"/>
    <w:rsid w:val="00956C2B"/>
    <w:rsid w:val="00961625"/>
    <w:rsid w:val="00964242"/>
    <w:rsid w:val="00964855"/>
    <w:rsid w:val="00965712"/>
    <w:rsid w:val="00965D4E"/>
    <w:rsid w:val="00967768"/>
    <w:rsid w:val="0097058C"/>
    <w:rsid w:val="00971F0B"/>
    <w:rsid w:val="00973523"/>
    <w:rsid w:val="009735DC"/>
    <w:rsid w:val="00974C05"/>
    <w:rsid w:val="00975553"/>
    <w:rsid w:val="00975CAA"/>
    <w:rsid w:val="00976A90"/>
    <w:rsid w:val="00976D24"/>
    <w:rsid w:val="00976E38"/>
    <w:rsid w:val="009816FB"/>
    <w:rsid w:val="0098189A"/>
    <w:rsid w:val="00981979"/>
    <w:rsid w:val="00982801"/>
    <w:rsid w:val="009837D8"/>
    <w:rsid w:val="00985927"/>
    <w:rsid w:val="0098646D"/>
    <w:rsid w:val="00986F51"/>
    <w:rsid w:val="00990A3E"/>
    <w:rsid w:val="00991830"/>
    <w:rsid w:val="00991BAD"/>
    <w:rsid w:val="00991F13"/>
    <w:rsid w:val="00992A09"/>
    <w:rsid w:val="00992BA8"/>
    <w:rsid w:val="00993FAD"/>
    <w:rsid w:val="00994222"/>
    <w:rsid w:val="009948FE"/>
    <w:rsid w:val="00995D36"/>
    <w:rsid w:val="00995DDC"/>
    <w:rsid w:val="00996A21"/>
    <w:rsid w:val="009A0006"/>
    <w:rsid w:val="009A0209"/>
    <w:rsid w:val="009A1AB6"/>
    <w:rsid w:val="009A2533"/>
    <w:rsid w:val="009A3801"/>
    <w:rsid w:val="009A44C0"/>
    <w:rsid w:val="009A4E7D"/>
    <w:rsid w:val="009A4FDB"/>
    <w:rsid w:val="009A5131"/>
    <w:rsid w:val="009A59CB"/>
    <w:rsid w:val="009A5B03"/>
    <w:rsid w:val="009A71B1"/>
    <w:rsid w:val="009B139F"/>
    <w:rsid w:val="009B2758"/>
    <w:rsid w:val="009B3FDA"/>
    <w:rsid w:val="009B4A6D"/>
    <w:rsid w:val="009B58DD"/>
    <w:rsid w:val="009B61FB"/>
    <w:rsid w:val="009B7F06"/>
    <w:rsid w:val="009C1114"/>
    <w:rsid w:val="009C14A7"/>
    <w:rsid w:val="009C172B"/>
    <w:rsid w:val="009C21B2"/>
    <w:rsid w:val="009C2A4B"/>
    <w:rsid w:val="009C32E1"/>
    <w:rsid w:val="009C4587"/>
    <w:rsid w:val="009C472A"/>
    <w:rsid w:val="009C53E7"/>
    <w:rsid w:val="009C6AD4"/>
    <w:rsid w:val="009C6C72"/>
    <w:rsid w:val="009C711A"/>
    <w:rsid w:val="009D0A81"/>
    <w:rsid w:val="009D0AE0"/>
    <w:rsid w:val="009D0F60"/>
    <w:rsid w:val="009D2801"/>
    <w:rsid w:val="009D31B4"/>
    <w:rsid w:val="009D3C89"/>
    <w:rsid w:val="009D4089"/>
    <w:rsid w:val="009D4B1C"/>
    <w:rsid w:val="009D546B"/>
    <w:rsid w:val="009D573F"/>
    <w:rsid w:val="009D5D92"/>
    <w:rsid w:val="009D6294"/>
    <w:rsid w:val="009D62D4"/>
    <w:rsid w:val="009E0576"/>
    <w:rsid w:val="009E1091"/>
    <w:rsid w:val="009E1242"/>
    <w:rsid w:val="009E2893"/>
    <w:rsid w:val="009E44C1"/>
    <w:rsid w:val="009E4AA3"/>
    <w:rsid w:val="009E4EE0"/>
    <w:rsid w:val="009E5165"/>
    <w:rsid w:val="009E5530"/>
    <w:rsid w:val="009E5800"/>
    <w:rsid w:val="009E68D1"/>
    <w:rsid w:val="009E6F30"/>
    <w:rsid w:val="009F0641"/>
    <w:rsid w:val="009F29CE"/>
    <w:rsid w:val="009F42C5"/>
    <w:rsid w:val="009F6710"/>
    <w:rsid w:val="009F6782"/>
    <w:rsid w:val="009F775D"/>
    <w:rsid w:val="009F77DA"/>
    <w:rsid w:val="00A001FD"/>
    <w:rsid w:val="00A00BA1"/>
    <w:rsid w:val="00A01281"/>
    <w:rsid w:val="00A01AC9"/>
    <w:rsid w:val="00A0203A"/>
    <w:rsid w:val="00A031AE"/>
    <w:rsid w:val="00A03460"/>
    <w:rsid w:val="00A04825"/>
    <w:rsid w:val="00A062CB"/>
    <w:rsid w:val="00A069FF"/>
    <w:rsid w:val="00A07531"/>
    <w:rsid w:val="00A078CF"/>
    <w:rsid w:val="00A07A69"/>
    <w:rsid w:val="00A123F7"/>
    <w:rsid w:val="00A1245A"/>
    <w:rsid w:val="00A126C0"/>
    <w:rsid w:val="00A12F3B"/>
    <w:rsid w:val="00A13DB6"/>
    <w:rsid w:val="00A14C46"/>
    <w:rsid w:val="00A15660"/>
    <w:rsid w:val="00A15FAA"/>
    <w:rsid w:val="00A1694F"/>
    <w:rsid w:val="00A16E21"/>
    <w:rsid w:val="00A173ED"/>
    <w:rsid w:val="00A20DE1"/>
    <w:rsid w:val="00A20E8D"/>
    <w:rsid w:val="00A21C78"/>
    <w:rsid w:val="00A21C94"/>
    <w:rsid w:val="00A2257A"/>
    <w:rsid w:val="00A231C3"/>
    <w:rsid w:val="00A23498"/>
    <w:rsid w:val="00A23801"/>
    <w:rsid w:val="00A2478F"/>
    <w:rsid w:val="00A247A3"/>
    <w:rsid w:val="00A24A90"/>
    <w:rsid w:val="00A26597"/>
    <w:rsid w:val="00A26BE5"/>
    <w:rsid w:val="00A306BC"/>
    <w:rsid w:val="00A32909"/>
    <w:rsid w:val="00A330AA"/>
    <w:rsid w:val="00A35657"/>
    <w:rsid w:val="00A35908"/>
    <w:rsid w:val="00A35A8E"/>
    <w:rsid w:val="00A364EB"/>
    <w:rsid w:val="00A37A2A"/>
    <w:rsid w:val="00A40FAE"/>
    <w:rsid w:val="00A41398"/>
    <w:rsid w:val="00A41477"/>
    <w:rsid w:val="00A43523"/>
    <w:rsid w:val="00A43C44"/>
    <w:rsid w:val="00A4427C"/>
    <w:rsid w:val="00A45498"/>
    <w:rsid w:val="00A46382"/>
    <w:rsid w:val="00A4704E"/>
    <w:rsid w:val="00A50509"/>
    <w:rsid w:val="00A51B51"/>
    <w:rsid w:val="00A5205E"/>
    <w:rsid w:val="00A52307"/>
    <w:rsid w:val="00A5275E"/>
    <w:rsid w:val="00A53E5D"/>
    <w:rsid w:val="00A54FA0"/>
    <w:rsid w:val="00A5642D"/>
    <w:rsid w:val="00A571E4"/>
    <w:rsid w:val="00A605B4"/>
    <w:rsid w:val="00A60CFF"/>
    <w:rsid w:val="00A61A58"/>
    <w:rsid w:val="00A61AA6"/>
    <w:rsid w:val="00A62081"/>
    <w:rsid w:val="00A65FAA"/>
    <w:rsid w:val="00A663FC"/>
    <w:rsid w:val="00A66879"/>
    <w:rsid w:val="00A66C51"/>
    <w:rsid w:val="00A66DD2"/>
    <w:rsid w:val="00A71CF4"/>
    <w:rsid w:val="00A72061"/>
    <w:rsid w:val="00A72792"/>
    <w:rsid w:val="00A7317C"/>
    <w:rsid w:val="00A73FB1"/>
    <w:rsid w:val="00A7635D"/>
    <w:rsid w:val="00A763F1"/>
    <w:rsid w:val="00A77052"/>
    <w:rsid w:val="00A7755A"/>
    <w:rsid w:val="00A777F4"/>
    <w:rsid w:val="00A806E7"/>
    <w:rsid w:val="00A82391"/>
    <w:rsid w:val="00A8280A"/>
    <w:rsid w:val="00A83C94"/>
    <w:rsid w:val="00A87258"/>
    <w:rsid w:val="00A873B9"/>
    <w:rsid w:val="00A87D8C"/>
    <w:rsid w:val="00A87EBD"/>
    <w:rsid w:val="00A9152A"/>
    <w:rsid w:val="00A922B3"/>
    <w:rsid w:val="00A923C6"/>
    <w:rsid w:val="00A92445"/>
    <w:rsid w:val="00A92AEC"/>
    <w:rsid w:val="00A9463F"/>
    <w:rsid w:val="00A96531"/>
    <w:rsid w:val="00A96B21"/>
    <w:rsid w:val="00A97F7C"/>
    <w:rsid w:val="00AA02D0"/>
    <w:rsid w:val="00AA0547"/>
    <w:rsid w:val="00AA08FB"/>
    <w:rsid w:val="00AA1504"/>
    <w:rsid w:val="00AA1762"/>
    <w:rsid w:val="00AA1F6C"/>
    <w:rsid w:val="00AA3049"/>
    <w:rsid w:val="00AA3455"/>
    <w:rsid w:val="00AA3985"/>
    <w:rsid w:val="00AA45F3"/>
    <w:rsid w:val="00AA5534"/>
    <w:rsid w:val="00AA5CBF"/>
    <w:rsid w:val="00AA7074"/>
    <w:rsid w:val="00AA7311"/>
    <w:rsid w:val="00AA76EB"/>
    <w:rsid w:val="00AA79A3"/>
    <w:rsid w:val="00AA7B3E"/>
    <w:rsid w:val="00AB0758"/>
    <w:rsid w:val="00AB0B71"/>
    <w:rsid w:val="00AB146B"/>
    <w:rsid w:val="00AB1B5B"/>
    <w:rsid w:val="00AB1C2C"/>
    <w:rsid w:val="00AB2474"/>
    <w:rsid w:val="00AB3CF5"/>
    <w:rsid w:val="00AB4593"/>
    <w:rsid w:val="00AB4A6A"/>
    <w:rsid w:val="00AB5D11"/>
    <w:rsid w:val="00AB6080"/>
    <w:rsid w:val="00AB66F0"/>
    <w:rsid w:val="00AB6A41"/>
    <w:rsid w:val="00AC0765"/>
    <w:rsid w:val="00AC1272"/>
    <w:rsid w:val="00AC1CBA"/>
    <w:rsid w:val="00AC2D75"/>
    <w:rsid w:val="00AC3EC4"/>
    <w:rsid w:val="00AD00BD"/>
    <w:rsid w:val="00AD0340"/>
    <w:rsid w:val="00AD060C"/>
    <w:rsid w:val="00AD3985"/>
    <w:rsid w:val="00AD4A18"/>
    <w:rsid w:val="00AD4D49"/>
    <w:rsid w:val="00AD5EA4"/>
    <w:rsid w:val="00AD6678"/>
    <w:rsid w:val="00AE085A"/>
    <w:rsid w:val="00AE0B2D"/>
    <w:rsid w:val="00AE0DFC"/>
    <w:rsid w:val="00AE1150"/>
    <w:rsid w:val="00AE1A95"/>
    <w:rsid w:val="00AE3B1E"/>
    <w:rsid w:val="00AE42FF"/>
    <w:rsid w:val="00AE5130"/>
    <w:rsid w:val="00AE54CA"/>
    <w:rsid w:val="00AE6C1B"/>
    <w:rsid w:val="00AE6FFE"/>
    <w:rsid w:val="00AF041F"/>
    <w:rsid w:val="00AF0F60"/>
    <w:rsid w:val="00AF1640"/>
    <w:rsid w:val="00AF20CF"/>
    <w:rsid w:val="00AF2AC3"/>
    <w:rsid w:val="00AF2FAB"/>
    <w:rsid w:val="00AF3517"/>
    <w:rsid w:val="00AF4B6D"/>
    <w:rsid w:val="00AF6093"/>
    <w:rsid w:val="00AF609A"/>
    <w:rsid w:val="00AF60B1"/>
    <w:rsid w:val="00AF673A"/>
    <w:rsid w:val="00B0005C"/>
    <w:rsid w:val="00B008F6"/>
    <w:rsid w:val="00B0194A"/>
    <w:rsid w:val="00B02160"/>
    <w:rsid w:val="00B02AAC"/>
    <w:rsid w:val="00B02B00"/>
    <w:rsid w:val="00B03115"/>
    <w:rsid w:val="00B0313F"/>
    <w:rsid w:val="00B0401A"/>
    <w:rsid w:val="00B04175"/>
    <w:rsid w:val="00B04807"/>
    <w:rsid w:val="00B04A30"/>
    <w:rsid w:val="00B04DC1"/>
    <w:rsid w:val="00B05F1B"/>
    <w:rsid w:val="00B06B00"/>
    <w:rsid w:val="00B06B5C"/>
    <w:rsid w:val="00B077CC"/>
    <w:rsid w:val="00B13494"/>
    <w:rsid w:val="00B14A54"/>
    <w:rsid w:val="00B170A7"/>
    <w:rsid w:val="00B17C73"/>
    <w:rsid w:val="00B2176D"/>
    <w:rsid w:val="00B22BC8"/>
    <w:rsid w:val="00B22E02"/>
    <w:rsid w:val="00B2338A"/>
    <w:rsid w:val="00B23638"/>
    <w:rsid w:val="00B241C7"/>
    <w:rsid w:val="00B25311"/>
    <w:rsid w:val="00B25451"/>
    <w:rsid w:val="00B2758D"/>
    <w:rsid w:val="00B27D55"/>
    <w:rsid w:val="00B303DA"/>
    <w:rsid w:val="00B321BD"/>
    <w:rsid w:val="00B331BB"/>
    <w:rsid w:val="00B34B27"/>
    <w:rsid w:val="00B35EAE"/>
    <w:rsid w:val="00B36EA9"/>
    <w:rsid w:val="00B3741A"/>
    <w:rsid w:val="00B4001B"/>
    <w:rsid w:val="00B403DF"/>
    <w:rsid w:val="00B409AD"/>
    <w:rsid w:val="00B41BB7"/>
    <w:rsid w:val="00B428C9"/>
    <w:rsid w:val="00B4613C"/>
    <w:rsid w:val="00B467FD"/>
    <w:rsid w:val="00B47EC2"/>
    <w:rsid w:val="00B51A1B"/>
    <w:rsid w:val="00B52687"/>
    <w:rsid w:val="00B52EE3"/>
    <w:rsid w:val="00B54F35"/>
    <w:rsid w:val="00B56485"/>
    <w:rsid w:val="00B57D27"/>
    <w:rsid w:val="00B609DD"/>
    <w:rsid w:val="00B6148D"/>
    <w:rsid w:val="00B6199E"/>
    <w:rsid w:val="00B6240E"/>
    <w:rsid w:val="00B63DCE"/>
    <w:rsid w:val="00B648A7"/>
    <w:rsid w:val="00B653FC"/>
    <w:rsid w:val="00B65735"/>
    <w:rsid w:val="00B715FF"/>
    <w:rsid w:val="00B73061"/>
    <w:rsid w:val="00B73371"/>
    <w:rsid w:val="00B73380"/>
    <w:rsid w:val="00B74469"/>
    <w:rsid w:val="00B7489D"/>
    <w:rsid w:val="00B74B66"/>
    <w:rsid w:val="00B77A6E"/>
    <w:rsid w:val="00B80033"/>
    <w:rsid w:val="00B8045D"/>
    <w:rsid w:val="00B80E71"/>
    <w:rsid w:val="00B811D9"/>
    <w:rsid w:val="00B83B60"/>
    <w:rsid w:val="00B843C9"/>
    <w:rsid w:val="00B844EF"/>
    <w:rsid w:val="00B847A7"/>
    <w:rsid w:val="00B91903"/>
    <w:rsid w:val="00B91F3E"/>
    <w:rsid w:val="00B95B89"/>
    <w:rsid w:val="00B96773"/>
    <w:rsid w:val="00B96866"/>
    <w:rsid w:val="00B96A28"/>
    <w:rsid w:val="00B979DE"/>
    <w:rsid w:val="00B97E1D"/>
    <w:rsid w:val="00BA13F9"/>
    <w:rsid w:val="00BA1769"/>
    <w:rsid w:val="00BA64AB"/>
    <w:rsid w:val="00BA6E65"/>
    <w:rsid w:val="00BB17BC"/>
    <w:rsid w:val="00BB18DA"/>
    <w:rsid w:val="00BB3311"/>
    <w:rsid w:val="00BB44FF"/>
    <w:rsid w:val="00BB522E"/>
    <w:rsid w:val="00BB5D9B"/>
    <w:rsid w:val="00BB68FD"/>
    <w:rsid w:val="00BB74BC"/>
    <w:rsid w:val="00BB75E2"/>
    <w:rsid w:val="00BC09B5"/>
    <w:rsid w:val="00BC3B61"/>
    <w:rsid w:val="00BC4332"/>
    <w:rsid w:val="00BC4A2B"/>
    <w:rsid w:val="00BC58EF"/>
    <w:rsid w:val="00BC5C57"/>
    <w:rsid w:val="00BC5E09"/>
    <w:rsid w:val="00BC62B0"/>
    <w:rsid w:val="00BC6C36"/>
    <w:rsid w:val="00BC768E"/>
    <w:rsid w:val="00BC7694"/>
    <w:rsid w:val="00BC7B73"/>
    <w:rsid w:val="00BC7C2E"/>
    <w:rsid w:val="00BC7F79"/>
    <w:rsid w:val="00BD0D2F"/>
    <w:rsid w:val="00BD22EC"/>
    <w:rsid w:val="00BD2BE5"/>
    <w:rsid w:val="00BD360A"/>
    <w:rsid w:val="00BD3DA4"/>
    <w:rsid w:val="00BD42EA"/>
    <w:rsid w:val="00BD5EC4"/>
    <w:rsid w:val="00BD6363"/>
    <w:rsid w:val="00BD664B"/>
    <w:rsid w:val="00BD66AB"/>
    <w:rsid w:val="00BD66E7"/>
    <w:rsid w:val="00BE04D7"/>
    <w:rsid w:val="00BE0BD1"/>
    <w:rsid w:val="00BE0D6A"/>
    <w:rsid w:val="00BE1900"/>
    <w:rsid w:val="00BE1972"/>
    <w:rsid w:val="00BE2D5A"/>
    <w:rsid w:val="00BE3230"/>
    <w:rsid w:val="00BE4439"/>
    <w:rsid w:val="00BE5D3D"/>
    <w:rsid w:val="00BE738E"/>
    <w:rsid w:val="00BE784D"/>
    <w:rsid w:val="00BF234E"/>
    <w:rsid w:val="00BF2B5E"/>
    <w:rsid w:val="00BF3F92"/>
    <w:rsid w:val="00BF4BFF"/>
    <w:rsid w:val="00BF506A"/>
    <w:rsid w:val="00BF5161"/>
    <w:rsid w:val="00BF568F"/>
    <w:rsid w:val="00BF58EB"/>
    <w:rsid w:val="00BF5CA1"/>
    <w:rsid w:val="00BF6D10"/>
    <w:rsid w:val="00BF776F"/>
    <w:rsid w:val="00BF7BD1"/>
    <w:rsid w:val="00C014FA"/>
    <w:rsid w:val="00C01977"/>
    <w:rsid w:val="00C025A2"/>
    <w:rsid w:val="00C02A3C"/>
    <w:rsid w:val="00C0308E"/>
    <w:rsid w:val="00C0364F"/>
    <w:rsid w:val="00C03821"/>
    <w:rsid w:val="00C05537"/>
    <w:rsid w:val="00C05F98"/>
    <w:rsid w:val="00C07532"/>
    <w:rsid w:val="00C113F5"/>
    <w:rsid w:val="00C13433"/>
    <w:rsid w:val="00C13B1E"/>
    <w:rsid w:val="00C1441A"/>
    <w:rsid w:val="00C1461C"/>
    <w:rsid w:val="00C15767"/>
    <w:rsid w:val="00C15875"/>
    <w:rsid w:val="00C15FB9"/>
    <w:rsid w:val="00C174A0"/>
    <w:rsid w:val="00C17EC1"/>
    <w:rsid w:val="00C20C22"/>
    <w:rsid w:val="00C21496"/>
    <w:rsid w:val="00C21B90"/>
    <w:rsid w:val="00C2207E"/>
    <w:rsid w:val="00C22EE8"/>
    <w:rsid w:val="00C2354A"/>
    <w:rsid w:val="00C2470D"/>
    <w:rsid w:val="00C24AFE"/>
    <w:rsid w:val="00C272BC"/>
    <w:rsid w:val="00C27C1D"/>
    <w:rsid w:val="00C30333"/>
    <w:rsid w:val="00C31B71"/>
    <w:rsid w:val="00C332F3"/>
    <w:rsid w:val="00C33D6F"/>
    <w:rsid w:val="00C342F9"/>
    <w:rsid w:val="00C34B4E"/>
    <w:rsid w:val="00C3598A"/>
    <w:rsid w:val="00C36102"/>
    <w:rsid w:val="00C36649"/>
    <w:rsid w:val="00C37715"/>
    <w:rsid w:val="00C401D1"/>
    <w:rsid w:val="00C415AA"/>
    <w:rsid w:val="00C41DCA"/>
    <w:rsid w:val="00C42BF7"/>
    <w:rsid w:val="00C42CA8"/>
    <w:rsid w:val="00C45F16"/>
    <w:rsid w:val="00C4662D"/>
    <w:rsid w:val="00C478B7"/>
    <w:rsid w:val="00C50AD6"/>
    <w:rsid w:val="00C52A10"/>
    <w:rsid w:val="00C52C3D"/>
    <w:rsid w:val="00C535BD"/>
    <w:rsid w:val="00C54911"/>
    <w:rsid w:val="00C55AEB"/>
    <w:rsid w:val="00C55F31"/>
    <w:rsid w:val="00C55F35"/>
    <w:rsid w:val="00C56C4D"/>
    <w:rsid w:val="00C572D7"/>
    <w:rsid w:val="00C57507"/>
    <w:rsid w:val="00C6069D"/>
    <w:rsid w:val="00C623FE"/>
    <w:rsid w:val="00C63AE3"/>
    <w:rsid w:val="00C67057"/>
    <w:rsid w:val="00C673C7"/>
    <w:rsid w:val="00C70507"/>
    <w:rsid w:val="00C70D2F"/>
    <w:rsid w:val="00C72A74"/>
    <w:rsid w:val="00C735DF"/>
    <w:rsid w:val="00C741B9"/>
    <w:rsid w:val="00C7434F"/>
    <w:rsid w:val="00C76772"/>
    <w:rsid w:val="00C76A70"/>
    <w:rsid w:val="00C77A6D"/>
    <w:rsid w:val="00C77FFD"/>
    <w:rsid w:val="00C81E20"/>
    <w:rsid w:val="00C8260A"/>
    <w:rsid w:val="00C82674"/>
    <w:rsid w:val="00C82903"/>
    <w:rsid w:val="00C82D68"/>
    <w:rsid w:val="00C82E32"/>
    <w:rsid w:val="00C8381A"/>
    <w:rsid w:val="00C851B3"/>
    <w:rsid w:val="00C851ED"/>
    <w:rsid w:val="00C862DD"/>
    <w:rsid w:val="00C867C0"/>
    <w:rsid w:val="00C86CD9"/>
    <w:rsid w:val="00C86D02"/>
    <w:rsid w:val="00C87312"/>
    <w:rsid w:val="00C87DD8"/>
    <w:rsid w:val="00C90C69"/>
    <w:rsid w:val="00C91934"/>
    <w:rsid w:val="00C91A13"/>
    <w:rsid w:val="00C9286A"/>
    <w:rsid w:val="00C93708"/>
    <w:rsid w:val="00C96D18"/>
    <w:rsid w:val="00C9770C"/>
    <w:rsid w:val="00CA0481"/>
    <w:rsid w:val="00CA081E"/>
    <w:rsid w:val="00CA1147"/>
    <w:rsid w:val="00CA284E"/>
    <w:rsid w:val="00CA30D6"/>
    <w:rsid w:val="00CA37C1"/>
    <w:rsid w:val="00CA3AC8"/>
    <w:rsid w:val="00CA49FD"/>
    <w:rsid w:val="00CA5326"/>
    <w:rsid w:val="00CA57CF"/>
    <w:rsid w:val="00CA5F0D"/>
    <w:rsid w:val="00CA5FD4"/>
    <w:rsid w:val="00CA638D"/>
    <w:rsid w:val="00CA6397"/>
    <w:rsid w:val="00CA69A7"/>
    <w:rsid w:val="00CA7190"/>
    <w:rsid w:val="00CB0A31"/>
    <w:rsid w:val="00CB19E6"/>
    <w:rsid w:val="00CB357D"/>
    <w:rsid w:val="00CB431E"/>
    <w:rsid w:val="00CB6574"/>
    <w:rsid w:val="00CB6F71"/>
    <w:rsid w:val="00CB71FB"/>
    <w:rsid w:val="00CC01C9"/>
    <w:rsid w:val="00CC04D7"/>
    <w:rsid w:val="00CC117B"/>
    <w:rsid w:val="00CC24A4"/>
    <w:rsid w:val="00CC3689"/>
    <w:rsid w:val="00CC38F3"/>
    <w:rsid w:val="00CC38FF"/>
    <w:rsid w:val="00CC42B6"/>
    <w:rsid w:val="00CC498B"/>
    <w:rsid w:val="00CC4B9E"/>
    <w:rsid w:val="00CC523F"/>
    <w:rsid w:val="00CC532C"/>
    <w:rsid w:val="00CC5E4F"/>
    <w:rsid w:val="00CC75BE"/>
    <w:rsid w:val="00CC7713"/>
    <w:rsid w:val="00CC7864"/>
    <w:rsid w:val="00CD04C1"/>
    <w:rsid w:val="00CD06B5"/>
    <w:rsid w:val="00CD079D"/>
    <w:rsid w:val="00CD099B"/>
    <w:rsid w:val="00CD2CC4"/>
    <w:rsid w:val="00CD2E91"/>
    <w:rsid w:val="00CD31B2"/>
    <w:rsid w:val="00CD3884"/>
    <w:rsid w:val="00CD38EE"/>
    <w:rsid w:val="00CD5E23"/>
    <w:rsid w:val="00CD606D"/>
    <w:rsid w:val="00CD7BC8"/>
    <w:rsid w:val="00CE063C"/>
    <w:rsid w:val="00CE0DC2"/>
    <w:rsid w:val="00CE16B5"/>
    <w:rsid w:val="00CE1F49"/>
    <w:rsid w:val="00CE2121"/>
    <w:rsid w:val="00CE244D"/>
    <w:rsid w:val="00CE307A"/>
    <w:rsid w:val="00CE3BAC"/>
    <w:rsid w:val="00CE434F"/>
    <w:rsid w:val="00CE4AA9"/>
    <w:rsid w:val="00CE5831"/>
    <w:rsid w:val="00CE7108"/>
    <w:rsid w:val="00CF0ECE"/>
    <w:rsid w:val="00CF4C6F"/>
    <w:rsid w:val="00CF5716"/>
    <w:rsid w:val="00CF7022"/>
    <w:rsid w:val="00CF70AB"/>
    <w:rsid w:val="00D0006E"/>
    <w:rsid w:val="00D009F9"/>
    <w:rsid w:val="00D00E1C"/>
    <w:rsid w:val="00D03BD2"/>
    <w:rsid w:val="00D04062"/>
    <w:rsid w:val="00D042A7"/>
    <w:rsid w:val="00D05531"/>
    <w:rsid w:val="00D065A5"/>
    <w:rsid w:val="00D07E87"/>
    <w:rsid w:val="00D108D6"/>
    <w:rsid w:val="00D12B62"/>
    <w:rsid w:val="00D1367F"/>
    <w:rsid w:val="00D16C6D"/>
    <w:rsid w:val="00D17944"/>
    <w:rsid w:val="00D20121"/>
    <w:rsid w:val="00D21971"/>
    <w:rsid w:val="00D21B9C"/>
    <w:rsid w:val="00D21DBF"/>
    <w:rsid w:val="00D22967"/>
    <w:rsid w:val="00D23FE7"/>
    <w:rsid w:val="00D244D5"/>
    <w:rsid w:val="00D25AC5"/>
    <w:rsid w:val="00D267A6"/>
    <w:rsid w:val="00D27165"/>
    <w:rsid w:val="00D30335"/>
    <w:rsid w:val="00D3059B"/>
    <w:rsid w:val="00D311CF"/>
    <w:rsid w:val="00D3157C"/>
    <w:rsid w:val="00D31CAB"/>
    <w:rsid w:val="00D40D3F"/>
    <w:rsid w:val="00D41561"/>
    <w:rsid w:val="00D432D4"/>
    <w:rsid w:val="00D43BE6"/>
    <w:rsid w:val="00D4696C"/>
    <w:rsid w:val="00D47775"/>
    <w:rsid w:val="00D47844"/>
    <w:rsid w:val="00D50444"/>
    <w:rsid w:val="00D50879"/>
    <w:rsid w:val="00D53567"/>
    <w:rsid w:val="00D54A60"/>
    <w:rsid w:val="00D54B95"/>
    <w:rsid w:val="00D54BBF"/>
    <w:rsid w:val="00D54D8F"/>
    <w:rsid w:val="00D5563A"/>
    <w:rsid w:val="00D55FD5"/>
    <w:rsid w:val="00D5622D"/>
    <w:rsid w:val="00D56A57"/>
    <w:rsid w:val="00D56B61"/>
    <w:rsid w:val="00D60046"/>
    <w:rsid w:val="00D60551"/>
    <w:rsid w:val="00D60ADE"/>
    <w:rsid w:val="00D60BE8"/>
    <w:rsid w:val="00D61485"/>
    <w:rsid w:val="00D63411"/>
    <w:rsid w:val="00D63B4B"/>
    <w:rsid w:val="00D65149"/>
    <w:rsid w:val="00D67446"/>
    <w:rsid w:val="00D70A70"/>
    <w:rsid w:val="00D71FFB"/>
    <w:rsid w:val="00D74311"/>
    <w:rsid w:val="00D746FA"/>
    <w:rsid w:val="00D74AC1"/>
    <w:rsid w:val="00D74C2C"/>
    <w:rsid w:val="00D750BF"/>
    <w:rsid w:val="00D76D58"/>
    <w:rsid w:val="00D7783C"/>
    <w:rsid w:val="00D81784"/>
    <w:rsid w:val="00D817C5"/>
    <w:rsid w:val="00D81E51"/>
    <w:rsid w:val="00D82BD7"/>
    <w:rsid w:val="00D82CA1"/>
    <w:rsid w:val="00D839F8"/>
    <w:rsid w:val="00D83D99"/>
    <w:rsid w:val="00D84067"/>
    <w:rsid w:val="00D849A6"/>
    <w:rsid w:val="00D859A4"/>
    <w:rsid w:val="00D86E9E"/>
    <w:rsid w:val="00D877BA"/>
    <w:rsid w:val="00D87AF7"/>
    <w:rsid w:val="00D90F87"/>
    <w:rsid w:val="00D9157D"/>
    <w:rsid w:val="00D94DAE"/>
    <w:rsid w:val="00D9591E"/>
    <w:rsid w:val="00D95E4B"/>
    <w:rsid w:val="00D960DA"/>
    <w:rsid w:val="00D97FB5"/>
    <w:rsid w:val="00DA0BC9"/>
    <w:rsid w:val="00DA1771"/>
    <w:rsid w:val="00DA1903"/>
    <w:rsid w:val="00DA1A26"/>
    <w:rsid w:val="00DA2BC8"/>
    <w:rsid w:val="00DA3083"/>
    <w:rsid w:val="00DA315F"/>
    <w:rsid w:val="00DA37A1"/>
    <w:rsid w:val="00DA395C"/>
    <w:rsid w:val="00DA4396"/>
    <w:rsid w:val="00DA4881"/>
    <w:rsid w:val="00DA4B21"/>
    <w:rsid w:val="00DA594A"/>
    <w:rsid w:val="00DA5AB8"/>
    <w:rsid w:val="00DA739B"/>
    <w:rsid w:val="00DB0B6F"/>
    <w:rsid w:val="00DB0EE1"/>
    <w:rsid w:val="00DB1079"/>
    <w:rsid w:val="00DB1AB8"/>
    <w:rsid w:val="00DB20CE"/>
    <w:rsid w:val="00DB2890"/>
    <w:rsid w:val="00DB2BAA"/>
    <w:rsid w:val="00DB498C"/>
    <w:rsid w:val="00DB5085"/>
    <w:rsid w:val="00DB52BC"/>
    <w:rsid w:val="00DB5709"/>
    <w:rsid w:val="00DB65BB"/>
    <w:rsid w:val="00DB6FD9"/>
    <w:rsid w:val="00DC0177"/>
    <w:rsid w:val="00DC027C"/>
    <w:rsid w:val="00DC1CC8"/>
    <w:rsid w:val="00DC1DFF"/>
    <w:rsid w:val="00DC22F1"/>
    <w:rsid w:val="00DC2BA2"/>
    <w:rsid w:val="00DC31B4"/>
    <w:rsid w:val="00DC39E5"/>
    <w:rsid w:val="00DC3D27"/>
    <w:rsid w:val="00DC494C"/>
    <w:rsid w:val="00DC5236"/>
    <w:rsid w:val="00DC53AF"/>
    <w:rsid w:val="00DC5463"/>
    <w:rsid w:val="00DC5EAA"/>
    <w:rsid w:val="00DC724B"/>
    <w:rsid w:val="00DC7F2A"/>
    <w:rsid w:val="00DD05B6"/>
    <w:rsid w:val="00DD2DCA"/>
    <w:rsid w:val="00DD2E65"/>
    <w:rsid w:val="00DD4A41"/>
    <w:rsid w:val="00DD5817"/>
    <w:rsid w:val="00DD5EBE"/>
    <w:rsid w:val="00DD6568"/>
    <w:rsid w:val="00DD6D73"/>
    <w:rsid w:val="00DD7A42"/>
    <w:rsid w:val="00DE0306"/>
    <w:rsid w:val="00DE05D0"/>
    <w:rsid w:val="00DE0EFE"/>
    <w:rsid w:val="00DE1218"/>
    <w:rsid w:val="00DE2EAD"/>
    <w:rsid w:val="00DE3F54"/>
    <w:rsid w:val="00DE630E"/>
    <w:rsid w:val="00DE7277"/>
    <w:rsid w:val="00DE7756"/>
    <w:rsid w:val="00DE7E45"/>
    <w:rsid w:val="00DF04B0"/>
    <w:rsid w:val="00DF056C"/>
    <w:rsid w:val="00DF1105"/>
    <w:rsid w:val="00DF134F"/>
    <w:rsid w:val="00DF1DB2"/>
    <w:rsid w:val="00DF233F"/>
    <w:rsid w:val="00DF2639"/>
    <w:rsid w:val="00DF2745"/>
    <w:rsid w:val="00DF46A7"/>
    <w:rsid w:val="00DF4960"/>
    <w:rsid w:val="00DF5A3A"/>
    <w:rsid w:val="00DF7042"/>
    <w:rsid w:val="00DF7293"/>
    <w:rsid w:val="00DF74CE"/>
    <w:rsid w:val="00E002B3"/>
    <w:rsid w:val="00E0057C"/>
    <w:rsid w:val="00E00AE8"/>
    <w:rsid w:val="00E01262"/>
    <w:rsid w:val="00E02252"/>
    <w:rsid w:val="00E0432E"/>
    <w:rsid w:val="00E0448A"/>
    <w:rsid w:val="00E04EA0"/>
    <w:rsid w:val="00E05715"/>
    <w:rsid w:val="00E07A87"/>
    <w:rsid w:val="00E07E8E"/>
    <w:rsid w:val="00E1011C"/>
    <w:rsid w:val="00E1062B"/>
    <w:rsid w:val="00E1232F"/>
    <w:rsid w:val="00E1245B"/>
    <w:rsid w:val="00E12957"/>
    <w:rsid w:val="00E129DD"/>
    <w:rsid w:val="00E14228"/>
    <w:rsid w:val="00E14796"/>
    <w:rsid w:val="00E151D8"/>
    <w:rsid w:val="00E1597C"/>
    <w:rsid w:val="00E162AE"/>
    <w:rsid w:val="00E170C6"/>
    <w:rsid w:val="00E1756E"/>
    <w:rsid w:val="00E20678"/>
    <w:rsid w:val="00E20790"/>
    <w:rsid w:val="00E211C7"/>
    <w:rsid w:val="00E2145C"/>
    <w:rsid w:val="00E229E3"/>
    <w:rsid w:val="00E23262"/>
    <w:rsid w:val="00E2364E"/>
    <w:rsid w:val="00E236CA"/>
    <w:rsid w:val="00E23C38"/>
    <w:rsid w:val="00E23CA9"/>
    <w:rsid w:val="00E254D9"/>
    <w:rsid w:val="00E2567D"/>
    <w:rsid w:val="00E25880"/>
    <w:rsid w:val="00E25EF5"/>
    <w:rsid w:val="00E26078"/>
    <w:rsid w:val="00E269A7"/>
    <w:rsid w:val="00E26B25"/>
    <w:rsid w:val="00E26B4C"/>
    <w:rsid w:val="00E26B58"/>
    <w:rsid w:val="00E26F6C"/>
    <w:rsid w:val="00E316B2"/>
    <w:rsid w:val="00E33D2E"/>
    <w:rsid w:val="00E34489"/>
    <w:rsid w:val="00E3460D"/>
    <w:rsid w:val="00E34B56"/>
    <w:rsid w:val="00E35927"/>
    <w:rsid w:val="00E40ADE"/>
    <w:rsid w:val="00E41B51"/>
    <w:rsid w:val="00E422A4"/>
    <w:rsid w:val="00E435C7"/>
    <w:rsid w:val="00E44288"/>
    <w:rsid w:val="00E447D8"/>
    <w:rsid w:val="00E50462"/>
    <w:rsid w:val="00E517A3"/>
    <w:rsid w:val="00E51AC8"/>
    <w:rsid w:val="00E5299E"/>
    <w:rsid w:val="00E52E97"/>
    <w:rsid w:val="00E54BBE"/>
    <w:rsid w:val="00E57071"/>
    <w:rsid w:val="00E57441"/>
    <w:rsid w:val="00E60476"/>
    <w:rsid w:val="00E60E0C"/>
    <w:rsid w:val="00E6302E"/>
    <w:rsid w:val="00E63EFE"/>
    <w:rsid w:val="00E66F32"/>
    <w:rsid w:val="00E6731D"/>
    <w:rsid w:val="00E679A5"/>
    <w:rsid w:val="00E67C85"/>
    <w:rsid w:val="00E67E78"/>
    <w:rsid w:val="00E700B1"/>
    <w:rsid w:val="00E705DF"/>
    <w:rsid w:val="00E70616"/>
    <w:rsid w:val="00E71953"/>
    <w:rsid w:val="00E738C3"/>
    <w:rsid w:val="00E73975"/>
    <w:rsid w:val="00E75335"/>
    <w:rsid w:val="00E75424"/>
    <w:rsid w:val="00E7567F"/>
    <w:rsid w:val="00E77B84"/>
    <w:rsid w:val="00E80D86"/>
    <w:rsid w:val="00E81B0F"/>
    <w:rsid w:val="00E821E4"/>
    <w:rsid w:val="00E828F0"/>
    <w:rsid w:val="00E8329B"/>
    <w:rsid w:val="00E8636C"/>
    <w:rsid w:val="00E865EA"/>
    <w:rsid w:val="00E87386"/>
    <w:rsid w:val="00E877A8"/>
    <w:rsid w:val="00E92095"/>
    <w:rsid w:val="00E92351"/>
    <w:rsid w:val="00E925EA"/>
    <w:rsid w:val="00E9470B"/>
    <w:rsid w:val="00E94E10"/>
    <w:rsid w:val="00E95FD9"/>
    <w:rsid w:val="00E961C3"/>
    <w:rsid w:val="00E9701F"/>
    <w:rsid w:val="00E9759C"/>
    <w:rsid w:val="00E97DB6"/>
    <w:rsid w:val="00EA0336"/>
    <w:rsid w:val="00EA03E9"/>
    <w:rsid w:val="00EA0835"/>
    <w:rsid w:val="00EA0B19"/>
    <w:rsid w:val="00EA18E9"/>
    <w:rsid w:val="00EA2541"/>
    <w:rsid w:val="00EA32E2"/>
    <w:rsid w:val="00EA385D"/>
    <w:rsid w:val="00EA4119"/>
    <w:rsid w:val="00EA4B57"/>
    <w:rsid w:val="00EA51C7"/>
    <w:rsid w:val="00EA66E4"/>
    <w:rsid w:val="00EA6922"/>
    <w:rsid w:val="00EA6A73"/>
    <w:rsid w:val="00EB043B"/>
    <w:rsid w:val="00EB06E7"/>
    <w:rsid w:val="00EB1272"/>
    <w:rsid w:val="00EB220B"/>
    <w:rsid w:val="00EB2A39"/>
    <w:rsid w:val="00EB2BC4"/>
    <w:rsid w:val="00EB306E"/>
    <w:rsid w:val="00EB3DA1"/>
    <w:rsid w:val="00EB4BA8"/>
    <w:rsid w:val="00EB56BA"/>
    <w:rsid w:val="00EB5D34"/>
    <w:rsid w:val="00EB5E86"/>
    <w:rsid w:val="00EB6937"/>
    <w:rsid w:val="00EB75B3"/>
    <w:rsid w:val="00EB78F1"/>
    <w:rsid w:val="00EC09B2"/>
    <w:rsid w:val="00EC0B95"/>
    <w:rsid w:val="00EC1AE0"/>
    <w:rsid w:val="00EC24E4"/>
    <w:rsid w:val="00EC38EC"/>
    <w:rsid w:val="00EC4E31"/>
    <w:rsid w:val="00EC5294"/>
    <w:rsid w:val="00EC5915"/>
    <w:rsid w:val="00EC5C69"/>
    <w:rsid w:val="00EC75AC"/>
    <w:rsid w:val="00EC7AD0"/>
    <w:rsid w:val="00ED0A8B"/>
    <w:rsid w:val="00ED12B1"/>
    <w:rsid w:val="00ED13D2"/>
    <w:rsid w:val="00ED1C43"/>
    <w:rsid w:val="00ED3849"/>
    <w:rsid w:val="00ED4CFD"/>
    <w:rsid w:val="00ED5994"/>
    <w:rsid w:val="00ED5CD1"/>
    <w:rsid w:val="00ED5DE4"/>
    <w:rsid w:val="00ED7D99"/>
    <w:rsid w:val="00EE02D0"/>
    <w:rsid w:val="00EE06A6"/>
    <w:rsid w:val="00EE2178"/>
    <w:rsid w:val="00EE28B5"/>
    <w:rsid w:val="00EE2ECE"/>
    <w:rsid w:val="00EE38F5"/>
    <w:rsid w:val="00EE563C"/>
    <w:rsid w:val="00EE5B75"/>
    <w:rsid w:val="00EE6B0F"/>
    <w:rsid w:val="00EE6FCB"/>
    <w:rsid w:val="00EF012B"/>
    <w:rsid w:val="00EF0856"/>
    <w:rsid w:val="00EF0B76"/>
    <w:rsid w:val="00EF2B64"/>
    <w:rsid w:val="00EF3A1C"/>
    <w:rsid w:val="00EF562B"/>
    <w:rsid w:val="00EF5998"/>
    <w:rsid w:val="00EF64FE"/>
    <w:rsid w:val="00EF6697"/>
    <w:rsid w:val="00EF6C45"/>
    <w:rsid w:val="00EF7AB6"/>
    <w:rsid w:val="00EF7CA9"/>
    <w:rsid w:val="00F01909"/>
    <w:rsid w:val="00F01E78"/>
    <w:rsid w:val="00F01F8C"/>
    <w:rsid w:val="00F022BE"/>
    <w:rsid w:val="00F0239E"/>
    <w:rsid w:val="00F02FA2"/>
    <w:rsid w:val="00F03EDF"/>
    <w:rsid w:val="00F043EA"/>
    <w:rsid w:val="00F04E52"/>
    <w:rsid w:val="00F055FD"/>
    <w:rsid w:val="00F05C1C"/>
    <w:rsid w:val="00F071D0"/>
    <w:rsid w:val="00F101CD"/>
    <w:rsid w:val="00F10C91"/>
    <w:rsid w:val="00F110D1"/>
    <w:rsid w:val="00F1338C"/>
    <w:rsid w:val="00F13807"/>
    <w:rsid w:val="00F14479"/>
    <w:rsid w:val="00F16639"/>
    <w:rsid w:val="00F16F44"/>
    <w:rsid w:val="00F17F15"/>
    <w:rsid w:val="00F202A6"/>
    <w:rsid w:val="00F2228D"/>
    <w:rsid w:val="00F22354"/>
    <w:rsid w:val="00F22A55"/>
    <w:rsid w:val="00F22AEE"/>
    <w:rsid w:val="00F22DBD"/>
    <w:rsid w:val="00F23A31"/>
    <w:rsid w:val="00F23A92"/>
    <w:rsid w:val="00F24433"/>
    <w:rsid w:val="00F244A7"/>
    <w:rsid w:val="00F258FB"/>
    <w:rsid w:val="00F25F8D"/>
    <w:rsid w:val="00F26514"/>
    <w:rsid w:val="00F27047"/>
    <w:rsid w:val="00F274B6"/>
    <w:rsid w:val="00F31AF9"/>
    <w:rsid w:val="00F31D62"/>
    <w:rsid w:val="00F31EBE"/>
    <w:rsid w:val="00F34BCA"/>
    <w:rsid w:val="00F37444"/>
    <w:rsid w:val="00F37583"/>
    <w:rsid w:val="00F37AA0"/>
    <w:rsid w:val="00F37C80"/>
    <w:rsid w:val="00F37EB4"/>
    <w:rsid w:val="00F40600"/>
    <w:rsid w:val="00F42987"/>
    <w:rsid w:val="00F42C1B"/>
    <w:rsid w:val="00F43967"/>
    <w:rsid w:val="00F4435A"/>
    <w:rsid w:val="00F44A7A"/>
    <w:rsid w:val="00F44B53"/>
    <w:rsid w:val="00F4545C"/>
    <w:rsid w:val="00F45FA4"/>
    <w:rsid w:val="00F46BA2"/>
    <w:rsid w:val="00F46F7B"/>
    <w:rsid w:val="00F470B7"/>
    <w:rsid w:val="00F47A9A"/>
    <w:rsid w:val="00F47FC8"/>
    <w:rsid w:val="00F5060C"/>
    <w:rsid w:val="00F50AF6"/>
    <w:rsid w:val="00F52113"/>
    <w:rsid w:val="00F531D2"/>
    <w:rsid w:val="00F53403"/>
    <w:rsid w:val="00F53C2D"/>
    <w:rsid w:val="00F541B7"/>
    <w:rsid w:val="00F54730"/>
    <w:rsid w:val="00F56F39"/>
    <w:rsid w:val="00F57885"/>
    <w:rsid w:val="00F578FE"/>
    <w:rsid w:val="00F57C62"/>
    <w:rsid w:val="00F6008D"/>
    <w:rsid w:val="00F613C8"/>
    <w:rsid w:val="00F62113"/>
    <w:rsid w:val="00F62B8E"/>
    <w:rsid w:val="00F62E2D"/>
    <w:rsid w:val="00F63A3A"/>
    <w:rsid w:val="00F64010"/>
    <w:rsid w:val="00F65131"/>
    <w:rsid w:val="00F65C3B"/>
    <w:rsid w:val="00F65F24"/>
    <w:rsid w:val="00F666BD"/>
    <w:rsid w:val="00F666C6"/>
    <w:rsid w:val="00F66A76"/>
    <w:rsid w:val="00F67E2E"/>
    <w:rsid w:val="00F70740"/>
    <w:rsid w:val="00F72108"/>
    <w:rsid w:val="00F725A2"/>
    <w:rsid w:val="00F75F90"/>
    <w:rsid w:val="00F766CB"/>
    <w:rsid w:val="00F77015"/>
    <w:rsid w:val="00F77279"/>
    <w:rsid w:val="00F77BD7"/>
    <w:rsid w:val="00F80AB3"/>
    <w:rsid w:val="00F8143A"/>
    <w:rsid w:val="00F81DBA"/>
    <w:rsid w:val="00F83406"/>
    <w:rsid w:val="00F84D33"/>
    <w:rsid w:val="00F858EC"/>
    <w:rsid w:val="00F86877"/>
    <w:rsid w:val="00F86FF7"/>
    <w:rsid w:val="00F87A8D"/>
    <w:rsid w:val="00F87C3E"/>
    <w:rsid w:val="00F87E72"/>
    <w:rsid w:val="00F908EB"/>
    <w:rsid w:val="00F9264B"/>
    <w:rsid w:val="00F94E71"/>
    <w:rsid w:val="00F96185"/>
    <w:rsid w:val="00F96D98"/>
    <w:rsid w:val="00F971DC"/>
    <w:rsid w:val="00FA0F85"/>
    <w:rsid w:val="00FA12B9"/>
    <w:rsid w:val="00FA14A3"/>
    <w:rsid w:val="00FA18C9"/>
    <w:rsid w:val="00FA1FE7"/>
    <w:rsid w:val="00FA311C"/>
    <w:rsid w:val="00FA32C3"/>
    <w:rsid w:val="00FA346A"/>
    <w:rsid w:val="00FA4220"/>
    <w:rsid w:val="00FA556C"/>
    <w:rsid w:val="00FA765C"/>
    <w:rsid w:val="00FA7B73"/>
    <w:rsid w:val="00FA7CA1"/>
    <w:rsid w:val="00FB0BBD"/>
    <w:rsid w:val="00FB322D"/>
    <w:rsid w:val="00FB391E"/>
    <w:rsid w:val="00FB5323"/>
    <w:rsid w:val="00FB6C6E"/>
    <w:rsid w:val="00FC0B1B"/>
    <w:rsid w:val="00FC2A9D"/>
    <w:rsid w:val="00FC40F3"/>
    <w:rsid w:val="00FC5A07"/>
    <w:rsid w:val="00FD04DE"/>
    <w:rsid w:val="00FD07A0"/>
    <w:rsid w:val="00FD133E"/>
    <w:rsid w:val="00FD25A0"/>
    <w:rsid w:val="00FD3491"/>
    <w:rsid w:val="00FD3703"/>
    <w:rsid w:val="00FD49DE"/>
    <w:rsid w:val="00FD4B57"/>
    <w:rsid w:val="00FD5AE5"/>
    <w:rsid w:val="00FD65BB"/>
    <w:rsid w:val="00FD6796"/>
    <w:rsid w:val="00FD70B9"/>
    <w:rsid w:val="00FD76BD"/>
    <w:rsid w:val="00FD7A74"/>
    <w:rsid w:val="00FD7F85"/>
    <w:rsid w:val="00FE00EF"/>
    <w:rsid w:val="00FE076F"/>
    <w:rsid w:val="00FE099D"/>
    <w:rsid w:val="00FE09AF"/>
    <w:rsid w:val="00FE1A47"/>
    <w:rsid w:val="00FE2212"/>
    <w:rsid w:val="00FE2390"/>
    <w:rsid w:val="00FE2421"/>
    <w:rsid w:val="00FE2714"/>
    <w:rsid w:val="00FE2A68"/>
    <w:rsid w:val="00FE2AC8"/>
    <w:rsid w:val="00FE2CA2"/>
    <w:rsid w:val="00FE30CF"/>
    <w:rsid w:val="00FE3B54"/>
    <w:rsid w:val="00FE425F"/>
    <w:rsid w:val="00FE7065"/>
    <w:rsid w:val="00FE7B01"/>
    <w:rsid w:val="00FF14EF"/>
    <w:rsid w:val="00FF2267"/>
    <w:rsid w:val="00FF27E8"/>
    <w:rsid w:val="00FF4674"/>
    <w:rsid w:val="00FF4C1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CE6974"/>
  <w15:chartTrackingRefBased/>
  <w15:docId w15:val="{E276A9C0-0EAD-490B-B433-11D46A1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fr-CA"/>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7154D5"/>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fr-CA"/>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fr-CA"/>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fr-CA"/>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fr-CA"/>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fr-CA"/>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fr-CA"/>
      <w14:ligatures w14:val="none"/>
    </w:rPr>
  </w:style>
  <w:style w:type="character" w:styleId="Hyperlink">
    <w:name w:val="Hyperlink"/>
    <w:basedOn w:val="DefaultParagraphFont"/>
    <w:uiPriority w:val="99"/>
    <w:unhideWhenUsed/>
    <w:rsid w:val="00021477"/>
    <w:rPr>
      <w:color w:val="0563C1" w:themeColor="hyperlink"/>
      <w:u w:val="single"/>
    </w:rPr>
  </w:style>
  <w:style w:type="character" w:customStyle="1" w:styleId="UnresolvedMention1">
    <w:name w:val="Unresolved Mention1"/>
    <w:basedOn w:val="DefaultParagraphFont"/>
    <w:uiPriority w:val="99"/>
    <w:semiHidden/>
    <w:unhideWhenUsed/>
    <w:rsid w:val="00021477"/>
    <w:rPr>
      <w:color w:val="605E5C"/>
      <w:shd w:val="clear" w:color="auto" w:fill="E1DFDD"/>
    </w:rPr>
  </w:style>
  <w:style w:type="character" w:styleId="FollowedHyperlink">
    <w:name w:val="FollowedHyperlink"/>
    <w:basedOn w:val="DefaultParagraphFont"/>
    <w:uiPriority w:val="99"/>
    <w:semiHidden/>
    <w:unhideWhenUsed/>
    <w:rsid w:val="00B844EF"/>
    <w:rPr>
      <w:color w:val="954F72" w:themeColor="followedHyperlink"/>
      <w:u w:val="single"/>
    </w:rPr>
  </w:style>
  <w:style w:type="paragraph" w:styleId="BalloonText">
    <w:name w:val="Balloon Text"/>
    <w:basedOn w:val="Normal"/>
    <w:link w:val="BalloonTextChar"/>
    <w:uiPriority w:val="99"/>
    <w:semiHidden/>
    <w:unhideWhenUsed/>
    <w:rsid w:val="00F5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62"/>
    <w:rPr>
      <w:rFonts w:ascii="Segoe UI" w:eastAsia="Times New Roman" w:hAnsi="Segoe UI" w:cs="Segoe UI"/>
      <w:kern w:val="0"/>
      <w:sz w:val="18"/>
      <w:szCs w:val="18"/>
      <w:lang w:val="fr-CA"/>
      <w14:ligatures w14:val="none"/>
    </w:rPr>
  </w:style>
  <w:style w:type="paragraph" w:styleId="Revision">
    <w:name w:val="Revision"/>
    <w:hidden/>
    <w:uiPriority w:val="99"/>
    <w:semiHidden/>
    <w:rsid w:val="00776008"/>
    <w:pPr>
      <w:spacing w:after="0" w:line="240" w:lineRule="auto"/>
    </w:pPr>
    <w:rPr>
      <w:rFonts w:ascii="Times New Roman" w:eastAsia="Times New Roman" w:hAnsi="Times New Roman" w:cs="Times New Roman"/>
      <w:kern w:val="0"/>
      <w:szCs w:val="24"/>
      <w14:ligatures w14:val="none"/>
    </w:rPr>
  </w:style>
  <w:style w:type="paragraph" w:styleId="ListParagraph">
    <w:name w:val="List Paragraph"/>
    <w:basedOn w:val="Normal"/>
    <w:uiPriority w:val="34"/>
    <w:qFormat/>
    <w:rsid w:val="00291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5712">
      <w:bodyDiv w:val="1"/>
      <w:marLeft w:val="0"/>
      <w:marRight w:val="0"/>
      <w:marTop w:val="0"/>
      <w:marBottom w:val="0"/>
      <w:divBdr>
        <w:top w:val="none" w:sz="0" w:space="0" w:color="auto"/>
        <w:left w:val="none" w:sz="0" w:space="0" w:color="auto"/>
        <w:bottom w:val="none" w:sz="0" w:space="0" w:color="auto"/>
        <w:right w:val="none" w:sz="0" w:space="0" w:color="auto"/>
      </w:divBdr>
    </w:div>
    <w:div w:id="553204448">
      <w:bodyDiv w:val="1"/>
      <w:marLeft w:val="0"/>
      <w:marRight w:val="0"/>
      <w:marTop w:val="0"/>
      <w:marBottom w:val="0"/>
      <w:divBdr>
        <w:top w:val="none" w:sz="0" w:space="0" w:color="auto"/>
        <w:left w:val="none" w:sz="0" w:space="0" w:color="auto"/>
        <w:bottom w:val="none" w:sz="0" w:space="0" w:color="auto"/>
        <w:right w:val="none" w:sz="0" w:space="0" w:color="auto"/>
      </w:divBdr>
      <w:divsChild>
        <w:div w:id="1403330399">
          <w:marLeft w:val="0"/>
          <w:marRight w:val="0"/>
          <w:marTop w:val="0"/>
          <w:marBottom w:val="0"/>
          <w:divBdr>
            <w:top w:val="none" w:sz="0" w:space="0" w:color="auto"/>
            <w:left w:val="none" w:sz="0" w:space="0" w:color="auto"/>
            <w:bottom w:val="none" w:sz="0" w:space="0" w:color="auto"/>
            <w:right w:val="none" w:sz="0" w:space="0" w:color="auto"/>
          </w:divBdr>
          <w:divsChild>
            <w:div w:id="809633805">
              <w:marLeft w:val="0"/>
              <w:marRight w:val="0"/>
              <w:marTop w:val="0"/>
              <w:marBottom w:val="0"/>
              <w:divBdr>
                <w:top w:val="none" w:sz="0" w:space="0" w:color="auto"/>
                <w:left w:val="none" w:sz="0" w:space="0" w:color="auto"/>
                <w:bottom w:val="none" w:sz="0" w:space="0" w:color="auto"/>
                <w:right w:val="none" w:sz="0" w:space="0" w:color="auto"/>
              </w:divBdr>
              <w:divsChild>
                <w:div w:id="4424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u\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066FF96-DA21-4BA8-948E-214B0317D027}">
  <ds:schemaRefs>
    <ds:schemaRef ds:uri="http://schemas.openxmlformats.org/officeDocument/2006/bibliography"/>
  </ds:schemaRefs>
</ds:datastoreItem>
</file>

<file path=customXml/itemProps3.xml><?xml version="1.0" encoding="utf-8"?>
<ds:datastoreItem xmlns:ds="http://schemas.openxmlformats.org/officeDocument/2006/customXml" ds:itemID="{B69A69EF-1B19-4357-A8E8-0303734A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BC4AE-F41A-4D7D-82C7-ABA7AECD09B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template-sbi-04.dotm</Template>
  <TotalTime>166</TotalTime>
  <Pages>9</Pages>
  <Words>4283</Words>
  <Characters>23495</Characters>
  <Application>Microsoft Office Word</Application>
  <DocSecurity>0</DocSecurity>
  <Lines>195</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Examen de l’efficacité des processus au titre de la Convention et ses protocoles</vt:lpstr>
      <vt:lpstr>Review of the effectiveness of processes under the Convention and its Protocols</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 l’efficacité des processus au titre de la Convention et ses protocoles</dc:title>
  <dc:subject>CBD/</dc:subject>
  <dc:creator>Worku</dc:creator>
  <cp:keywords/>
  <dc:description/>
  <cp:lastModifiedBy>Tatiana Zavarzina</cp:lastModifiedBy>
  <cp:revision>10</cp:revision>
  <cp:lastPrinted>2024-09-06T11:48:00Z</cp:lastPrinted>
  <dcterms:created xsi:type="dcterms:W3CDTF">2024-07-31T12:25:00Z</dcterms:created>
  <dcterms:modified xsi:type="dcterms:W3CDTF">2024-09-10T15:58:00Z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