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8B10BB" w14:paraId="50B503C9" w14:textId="77777777" w:rsidTr="0019402C">
        <w:trPr>
          <w:trHeight w:val="851"/>
        </w:trPr>
        <w:tc>
          <w:tcPr>
            <w:tcW w:w="465" w:type="pct"/>
            <w:tcBorders>
              <w:bottom w:val="single" w:sz="8" w:space="0" w:color="auto"/>
            </w:tcBorders>
            <w:vAlign w:val="bottom"/>
          </w:tcPr>
          <w:p w14:paraId="255C74E2" w14:textId="77777777" w:rsidR="00A96B21" w:rsidRPr="008B10BB" w:rsidRDefault="00A96B21" w:rsidP="0019402C">
            <w:pPr>
              <w:spacing w:after="120"/>
              <w:jc w:val="left"/>
            </w:pPr>
            <w:bookmarkStart w:id="0" w:name="_Hlk137651738"/>
            <w:r w:rsidRPr="008B10BB">
              <w:rPr>
                <w:noProof/>
              </w:rPr>
              <w:drawing>
                <wp:inline distT="0" distB="0" distL="0" distR="0" wp14:anchorId="3D4EED69" wp14:editId="17F6A446">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6FCC0BD" w14:textId="77777777" w:rsidR="00A96B21" w:rsidRPr="008B10BB" w:rsidRDefault="00A96B21" w:rsidP="0019402C">
            <w:pPr>
              <w:spacing w:after="120"/>
              <w:jc w:val="left"/>
            </w:pPr>
            <w:r w:rsidRPr="006815FC">
              <w:rPr>
                <w:noProof/>
              </w:rPr>
              <w:drawing>
                <wp:inline distT="0" distB="0" distL="0" distR="0" wp14:anchorId="6C08BDB6" wp14:editId="48AB2B6F">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097B0D2C" w14:textId="58B33386" w:rsidR="00A96B21" w:rsidRPr="006815FC" w:rsidRDefault="00A96B21" w:rsidP="00184909">
            <w:pPr>
              <w:spacing w:after="120"/>
              <w:ind w:left="2021"/>
              <w:jc w:val="right"/>
              <w:rPr>
                <w:szCs w:val="22"/>
              </w:rPr>
            </w:pPr>
            <w:r w:rsidRPr="006815FC">
              <w:rPr>
                <w:sz w:val="40"/>
                <w:szCs w:val="40"/>
              </w:rPr>
              <w:t>CBD</w:t>
            </w:r>
            <w:r w:rsidRPr="006815FC">
              <w:rPr>
                <w:szCs w:val="22"/>
              </w:rPr>
              <w:t>/</w:t>
            </w:r>
            <w:r w:rsidR="00033B9B" w:rsidRPr="006815FC">
              <w:rPr>
                <w:szCs w:val="22"/>
              </w:rPr>
              <w:t>SBI/</w:t>
            </w:r>
            <w:r w:rsidR="008B3043" w:rsidRPr="006815FC">
              <w:rPr>
                <w:szCs w:val="22"/>
              </w:rPr>
              <w:t>REC/</w:t>
            </w:r>
            <w:r w:rsidR="00033B9B" w:rsidRPr="006815FC">
              <w:rPr>
                <w:szCs w:val="22"/>
              </w:rPr>
              <w:t>4/</w:t>
            </w:r>
            <w:r w:rsidR="00DE76A2" w:rsidRPr="006815FC">
              <w:rPr>
                <w:szCs w:val="22"/>
              </w:rPr>
              <w:t>13</w:t>
            </w:r>
          </w:p>
        </w:tc>
      </w:tr>
      <w:tr w:rsidR="00A96B21" w:rsidRPr="008B10BB" w14:paraId="2F2C9482" w14:textId="77777777" w:rsidTr="0019402C">
        <w:tc>
          <w:tcPr>
            <w:tcW w:w="2297" w:type="pct"/>
            <w:gridSpan w:val="2"/>
            <w:tcBorders>
              <w:top w:val="single" w:sz="8" w:space="0" w:color="auto"/>
              <w:bottom w:val="single" w:sz="12" w:space="0" w:color="auto"/>
            </w:tcBorders>
          </w:tcPr>
          <w:p w14:paraId="4B5F15B4" w14:textId="77777777" w:rsidR="00A96B21" w:rsidRPr="008B10BB" w:rsidRDefault="00A96B21" w:rsidP="0019402C">
            <w:pPr>
              <w:pStyle w:val="Cornernotation"/>
              <w:suppressLineNumbers/>
              <w:suppressAutoHyphens/>
              <w:spacing w:before="120" w:after="120"/>
              <w:ind w:left="0" w:right="0" w:firstLine="0"/>
            </w:pPr>
            <w:r w:rsidRPr="008B10BB">
              <w:rPr>
                <w:b w:val="0"/>
                <w:bCs/>
                <w:noProof/>
              </w:rPr>
              <w:drawing>
                <wp:inline distT="0" distB="0" distL="0" distR="0" wp14:anchorId="38C6B9AD" wp14:editId="3ACE0068">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19D07282" w14:textId="6DCC74EB" w:rsidR="00A96B21" w:rsidRPr="007125D2" w:rsidRDefault="00A96B21" w:rsidP="006815FC">
            <w:pPr>
              <w:ind w:left="2584"/>
              <w:jc w:val="left"/>
              <w:rPr>
                <w:szCs w:val="20"/>
              </w:rPr>
            </w:pPr>
            <w:r w:rsidRPr="007125D2">
              <w:rPr>
                <w:szCs w:val="20"/>
              </w:rPr>
              <w:t xml:space="preserve">Distr.: </w:t>
            </w:r>
            <w:r w:rsidR="008B3043" w:rsidRPr="007125D2">
              <w:rPr>
                <w:szCs w:val="20"/>
              </w:rPr>
              <w:t>General</w:t>
            </w:r>
          </w:p>
          <w:p w14:paraId="6CC5B014" w14:textId="1823BA94" w:rsidR="00A96B21" w:rsidRPr="007125D2" w:rsidRDefault="00C1267A" w:rsidP="006815FC">
            <w:pPr>
              <w:ind w:left="2584"/>
              <w:jc w:val="left"/>
              <w:rPr>
                <w:szCs w:val="20"/>
              </w:rPr>
            </w:pPr>
            <w:r w:rsidRPr="007125D2">
              <w:rPr>
                <w:szCs w:val="20"/>
              </w:rPr>
              <w:t>2</w:t>
            </w:r>
            <w:r w:rsidR="009B74BE" w:rsidRPr="007125D2">
              <w:rPr>
                <w:szCs w:val="20"/>
              </w:rPr>
              <w:t>9</w:t>
            </w:r>
            <w:r w:rsidRPr="007125D2">
              <w:rPr>
                <w:szCs w:val="20"/>
              </w:rPr>
              <w:t xml:space="preserve"> </w:t>
            </w:r>
            <w:r w:rsidR="00290682" w:rsidRPr="007125D2">
              <w:rPr>
                <w:szCs w:val="20"/>
              </w:rPr>
              <w:t>May</w:t>
            </w:r>
            <w:r w:rsidR="00092522" w:rsidRPr="007125D2">
              <w:rPr>
                <w:szCs w:val="20"/>
              </w:rPr>
              <w:t xml:space="preserve"> </w:t>
            </w:r>
            <w:r w:rsidR="00A96B21" w:rsidRPr="007125D2">
              <w:rPr>
                <w:szCs w:val="20"/>
              </w:rPr>
              <w:t>202</w:t>
            </w:r>
            <w:r w:rsidR="005D2C44" w:rsidRPr="007125D2">
              <w:rPr>
                <w:szCs w:val="20"/>
              </w:rPr>
              <w:t>4</w:t>
            </w:r>
          </w:p>
          <w:p w14:paraId="7700DAB6" w14:textId="77777777" w:rsidR="00A96B21" w:rsidRPr="007125D2" w:rsidRDefault="00A96B21" w:rsidP="006815FC">
            <w:pPr>
              <w:ind w:left="2584"/>
              <w:jc w:val="left"/>
              <w:rPr>
                <w:szCs w:val="20"/>
              </w:rPr>
            </w:pPr>
          </w:p>
          <w:p w14:paraId="76D3643C" w14:textId="77777777" w:rsidR="00A96B21" w:rsidRPr="007125D2" w:rsidRDefault="00A96B21" w:rsidP="006815FC">
            <w:pPr>
              <w:ind w:left="2584"/>
              <w:jc w:val="left"/>
              <w:rPr>
                <w:szCs w:val="20"/>
              </w:rPr>
            </w:pPr>
            <w:r w:rsidRPr="007125D2">
              <w:rPr>
                <w:szCs w:val="20"/>
              </w:rPr>
              <w:t>Original: English</w:t>
            </w:r>
          </w:p>
          <w:p w14:paraId="26B95632" w14:textId="77777777" w:rsidR="00A96B21" w:rsidRPr="006815FC" w:rsidRDefault="00A96B21" w:rsidP="0019402C"/>
        </w:tc>
      </w:tr>
    </w:tbl>
    <w:p w14:paraId="5C49F89F" w14:textId="19DB9C5A" w:rsidR="00874541" w:rsidRPr="008B10BB" w:rsidRDefault="00DE4B36" w:rsidP="00A96B21">
      <w:pPr>
        <w:pStyle w:val="Cornernotation"/>
        <w:rPr>
          <w:bCs/>
        </w:rPr>
      </w:pPr>
      <w:r w:rsidRPr="008B10BB">
        <w:rPr>
          <w:bCs/>
        </w:rPr>
        <w:t>Subsidiary Body on Implementation</w:t>
      </w:r>
    </w:p>
    <w:p w14:paraId="1CD3CAD9" w14:textId="1E04E055" w:rsidR="00A96B21" w:rsidRPr="008B10BB" w:rsidRDefault="00DE4B36" w:rsidP="00A96B21">
      <w:pPr>
        <w:pStyle w:val="Cornernotation"/>
        <w:rPr>
          <w:bCs/>
          <w:sz w:val="22"/>
          <w:szCs w:val="22"/>
        </w:rPr>
      </w:pPr>
      <w:r w:rsidRPr="008B10BB">
        <w:rPr>
          <w:bCs/>
          <w:sz w:val="22"/>
          <w:szCs w:val="22"/>
        </w:rPr>
        <w:t>Fourth</w:t>
      </w:r>
      <w:r w:rsidR="00A96B21" w:rsidRPr="008B10BB">
        <w:rPr>
          <w:bCs/>
          <w:sz w:val="22"/>
          <w:szCs w:val="22"/>
        </w:rPr>
        <w:t xml:space="preserve"> meeting </w:t>
      </w:r>
    </w:p>
    <w:p w14:paraId="0419AD91" w14:textId="3C48B0D5" w:rsidR="00A96B21" w:rsidRPr="008B10BB" w:rsidRDefault="00A87D2A" w:rsidP="00A96B21">
      <w:pPr>
        <w:pStyle w:val="Venuedate"/>
      </w:pPr>
      <w:r w:rsidRPr="008B10BB">
        <w:t>Nairobi</w:t>
      </w:r>
      <w:r w:rsidR="00A96B21" w:rsidRPr="008B10BB">
        <w:t xml:space="preserve">, </w:t>
      </w:r>
      <w:r w:rsidR="00C23D41" w:rsidRPr="008B10BB">
        <w:t>2</w:t>
      </w:r>
      <w:r w:rsidRPr="008B10BB">
        <w:t>1</w:t>
      </w:r>
      <w:r w:rsidR="008E08FD" w:rsidRPr="008B10BB">
        <w:t>–</w:t>
      </w:r>
      <w:r w:rsidR="00C23D41" w:rsidRPr="008B10BB">
        <w:t>2</w:t>
      </w:r>
      <w:r w:rsidRPr="008B10BB">
        <w:t>9</w:t>
      </w:r>
      <w:r w:rsidR="00C23D41" w:rsidRPr="008B10BB">
        <w:t xml:space="preserve"> </w:t>
      </w:r>
      <w:r w:rsidR="00DE4B36" w:rsidRPr="008B10BB">
        <w:t>May 2024</w:t>
      </w:r>
      <w:r w:rsidR="00935461" w:rsidRPr="008B10BB">
        <w:t xml:space="preserve"> </w:t>
      </w:r>
    </w:p>
    <w:p w14:paraId="68245922" w14:textId="6F075C98" w:rsidR="00A96B21" w:rsidRPr="008B10BB" w:rsidRDefault="00290682" w:rsidP="00A96B21">
      <w:pPr>
        <w:pStyle w:val="Cornernotation-Item"/>
        <w:rPr>
          <w:b w:val="0"/>
          <w:bCs w:val="0"/>
        </w:rPr>
      </w:pPr>
      <w:r>
        <w:rPr>
          <w:b w:val="0"/>
          <w:bCs w:val="0"/>
        </w:rPr>
        <w:t>Agenda i</w:t>
      </w:r>
      <w:r w:rsidR="00A96B21" w:rsidRPr="008B10BB">
        <w:rPr>
          <w:b w:val="0"/>
          <w:bCs w:val="0"/>
        </w:rPr>
        <w:t>tem</w:t>
      </w:r>
      <w:r w:rsidR="00942767">
        <w:rPr>
          <w:b w:val="0"/>
          <w:bCs w:val="0"/>
        </w:rPr>
        <w:t>s 11 and</w:t>
      </w:r>
      <w:r w:rsidR="00A96B21" w:rsidRPr="008B10BB">
        <w:rPr>
          <w:b w:val="0"/>
          <w:bCs w:val="0"/>
        </w:rPr>
        <w:t xml:space="preserve"> </w:t>
      </w:r>
      <w:r w:rsidR="00BE3091" w:rsidRPr="008B10BB">
        <w:rPr>
          <w:b w:val="0"/>
          <w:bCs w:val="0"/>
        </w:rPr>
        <w:t>1</w:t>
      </w:r>
      <w:r w:rsidR="00853516" w:rsidRPr="008B10BB">
        <w:rPr>
          <w:b w:val="0"/>
          <w:bCs w:val="0"/>
        </w:rPr>
        <w:t>2</w:t>
      </w:r>
      <w:r w:rsidR="00A96B21" w:rsidRPr="008B10BB">
        <w:rPr>
          <w:b w:val="0"/>
          <w:bCs w:val="0"/>
        </w:rPr>
        <w:t xml:space="preserve"> </w:t>
      </w:r>
    </w:p>
    <w:p w14:paraId="6FF6C850" w14:textId="7B052886" w:rsidR="00BF2F95" w:rsidRDefault="00BF2F95" w:rsidP="00B51883">
      <w:pPr>
        <w:pStyle w:val="AFCorNotBold"/>
        <w:jc w:val="left"/>
      </w:pPr>
      <w:r>
        <w:t xml:space="preserve">Review of the programmes of work </w:t>
      </w:r>
      <w:r w:rsidR="00B51883">
        <w:br/>
      </w:r>
      <w:r>
        <w:t>of the Convention</w:t>
      </w:r>
    </w:p>
    <w:p w14:paraId="5B2FCB0A" w14:textId="0674D4A1" w:rsidR="000F17A3" w:rsidRDefault="000F17A3" w:rsidP="00B51883">
      <w:pPr>
        <w:pStyle w:val="AFCorNotBold"/>
        <w:spacing w:before="120"/>
        <w:jc w:val="left"/>
      </w:pPr>
      <w:r w:rsidRPr="000F17A3">
        <w:t xml:space="preserve">Multi-year programme of work of the </w:t>
      </w:r>
      <w:r w:rsidR="00745A72">
        <w:br/>
      </w:r>
      <w:r w:rsidRPr="000F17A3">
        <w:t>Conference of the Parties</w:t>
      </w:r>
    </w:p>
    <w:bookmarkEnd w:id="0"/>
    <w:p w14:paraId="4A88E36E" w14:textId="77777777" w:rsidR="008B3043" w:rsidRDefault="008B3043" w:rsidP="000B6C5E">
      <w:pPr>
        <w:pStyle w:val="CBDTitle"/>
      </w:pPr>
      <w:r w:rsidRPr="006448E2">
        <w:t xml:space="preserve">Recommendation adopted by the Subsidiary Body on </w:t>
      </w:r>
      <w:r>
        <w:t>Implementation</w:t>
      </w:r>
      <w:r w:rsidRPr="006448E2">
        <w:t xml:space="preserve"> on </w:t>
      </w:r>
      <w:r>
        <w:t>29</w:t>
      </w:r>
      <w:r w:rsidRPr="006448E2">
        <w:t xml:space="preserve"> May 2024</w:t>
      </w:r>
    </w:p>
    <w:p w14:paraId="1DF47B42" w14:textId="6F8D46C9" w:rsidR="00A96B21" w:rsidRPr="008B10BB" w:rsidRDefault="00DE76A2" w:rsidP="00701D57">
      <w:pPr>
        <w:pStyle w:val="CBDTitle"/>
      </w:pPr>
      <w:r>
        <w:t>4/13.</w:t>
      </w:r>
      <w:r>
        <w:tab/>
      </w:r>
      <w:r w:rsidR="00B7699A" w:rsidRPr="008B10BB">
        <w:t>Multi-year programme of work of the Conference of the Parties</w:t>
      </w:r>
    </w:p>
    <w:p w14:paraId="359A574E" w14:textId="7631A26F" w:rsidR="00D92FF5" w:rsidRPr="00954FC0" w:rsidRDefault="00F8364E" w:rsidP="00FE536D">
      <w:pPr>
        <w:pStyle w:val="Para1"/>
        <w:numPr>
          <w:ilvl w:val="0"/>
          <w:numId w:val="0"/>
        </w:numPr>
        <w:ind w:left="567" w:firstLine="567"/>
        <w:rPr>
          <w:i/>
          <w:iCs/>
          <w:szCs w:val="22"/>
        </w:rPr>
      </w:pPr>
      <w:r w:rsidRPr="00954FC0">
        <w:rPr>
          <w:i/>
          <w:color w:val="000000"/>
        </w:rPr>
        <w:t xml:space="preserve">The Subsidiary Body </w:t>
      </w:r>
      <w:r w:rsidRPr="00954FC0">
        <w:rPr>
          <w:i/>
          <w:iCs/>
          <w:color w:val="000000"/>
          <w:szCs w:val="22"/>
        </w:rPr>
        <w:t>on Implementation</w:t>
      </w:r>
      <w:r w:rsidR="000F49DC" w:rsidRPr="00954FC0">
        <w:rPr>
          <w:color w:val="000000"/>
          <w:szCs w:val="22"/>
        </w:rPr>
        <w:t>,</w:t>
      </w:r>
    </w:p>
    <w:p w14:paraId="34ACDDBC" w14:textId="211E5C8E" w:rsidR="00D92FF5" w:rsidRPr="00954FC0" w:rsidRDefault="00D92FF5" w:rsidP="00FE536D">
      <w:pPr>
        <w:pStyle w:val="Para1"/>
        <w:numPr>
          <w:ilvl w:val="0"/>
          <w:numId w:val="0"/>
        </w:numPr>
        <w:ind w:left="567" w:firstLine="567"/>
        <w:rPr>
          <w:color w:val="000000"/>
          <w:szCs w:val="22"/>
        </w:rPr>
      </w:pPr>
      <w:r w:rsidRPr="00954FC0">
        <w:rPr>
          <w:i/>
          <w:iCs/>
          <w:color w:val="000000"/>
          <w:szCs w:val="22"/>
        </w:rPr>
        <w:t>Noting</w:t>
      </w:r>
      <w:r w:rsidRPr="00954FC0">
        <w:rPr>
          <w:color w:val="000000"/>
          <w:szCs w:val="22"/>
        </w:rPr>
        <w:t xml:space="preserve"> paragraph 9 of </w:t>
      </w:r>
      <w:r w:rsidR="00E62FA5" w:rsidRPr="00954FC0">
        <w:rPr>
          <w:color w:val="000000"/>
          <w:szCs w:val="22"/>
        </w:rPr>
        <w:t>d</w:t>
      </w:r>
      <w:r w:rsidRPr="00954FC0">
        <w:rPr>
          <w:color w:val="000000"/>
          <w:szCs w:val="22"/>
        </w:rPr>
        <w:t>ecision 15/4</w:t>
      </w:r>
      <w:r w:rsidR="007415F3" w:rsidRPr="00954FC0">
        <w:rPr>
          <w:color w:val="000000"/>
          <w:szCs w:val="22"/>
        </w:rPr>
        <w:t xml:space="preserve"> </w:t>
      </w:r>
      <w:r w:rsidR="007C3E3C" w:rsidRPr="00954FC0">
        <w:rPr>
          <w:color w:val="000000"/>
          <w:szCs w:val="22"/>
        </w:rPr>
        <w:t xml:space="preserve">of the Conference of the Parties </w:t>
      </w:r>
      <w:r w:rsidR="007415F3" w:rsidRPr="00954FC0">
        <w:rPr>
          <w:color w:val="000000"/>
          <w:szCs w:val="22"/>
        </w:rPr>
        <w:t>of 19 December 2022</w:t>
      </w:r>
      <w:r w:rsidR="00F0245E" w:rsidRPr="00954FC0">
        <w:rPr>
          <w:color w:val="000000"/>
          <w:szCs w:val="22"/>
        </w:rPr>
        <w:t>,</w:t>
      </w:r>
    </w:p>
    <w:p w14:paraId="66C33283" w14:textId="7EB2CDF3" w:rsidR="00D92FF5" w:rsidRPr="00954FC0" w:rsidRDefault="00D92FF5" w:rsidP="00FE536D">
      <w:pPr>
        <w:pStyle w:val="Para1"/>
        <w:numPr>
          <w:ilvl w:val="0"/>
          <w:numId w:val="0"/>
        </w:numPr>
        <w:ind w:left="567" w:firstLine="567"/>
        <w:rPr>
          <w:color w:val="000000"/>
          <w:szCs w:val="22"/>
        </w:rPr>
      </w:pPr>
      <w:r w:rsidRPr="00954FC0">
        <w:rPr>
          <w:i/>
          <w:iCs/>
          <w:color w:val="000000"/>
          <w:szCs w:val="22"/>
        </w:rPr>
        <w:t xml:space="preserve">Noting </w:t>
      </w:r>
      <w:r w:rsidR="00B54A39" w:rsidRPr="00954FC0">
        <w:rPr>
          <w:i/>
          <w:iCs/>
          <w:color w:val="000000"/>
          <w:szCs w:val="22"/>
        </w:rPr>
        <w:t>also</w:t>
      </w:r>
      <w:r w:rsidRPr="00954FC0" w:rsidDel="00C75075">
        <w:rPr>
          <w:color w:val="000000"/>
          <w:szCs w:val="22"/>
        </w:rPr>
        <w:t xml:space="preserve"> </w:t>
      </w:r>
      <w:r w:rsidR="00860E40" w:rsidRPr="00954FC0">
        <w:rPr>
          <w:color w:val="000000"/>
          <w:szCs w:val="22"/>
        </w:rPr>
        <w:t>r</w:t>
      </w:r>
      <w:r w:rsidRPr="00954FC0">
        <w:rPr>
          <w:color w:val="000000"/>
          <w:szCs w:val="22"/>
        </w:rPr>
        <w:t xml:space="preserve">ecommendation </w:t>
      </w:r>
      <w:r w:rsidR="002D181B" w:rsidRPr="00954FC0">
        <w:rPr>
          <w:color w:val="000000"/>
          <w:szCs w:val="22"/>
        </w:rPr>
        <w:t xml:space="preserve">26/2 </w:t>
      </w:r>
      <w:r w:rsidR="005A68B4" w:rsidRPr="00954FC0">
        <w:rPr>
          <w:color w:val="000000"/>
          <w:szCs w:val="22"/>
        </w:rPr>
        <w:t xml:space="preserve">of the Subsidiary Body on Scientific, Technical and Technological Advice </w:t>
      </w:r>
      <w:r w:rsidR="002D181B" w:rsidRPr="00954FC0">
        <w:rPr>
          <w:color w:val="000000"/>
          <w:szCs w:val="22"/>
        </w:rPr>
        <w:t>of 18 May 2024</w:t>
      </w:r>
      <w:r w:rsidR="00064997" w:rsidRPr="00954FC0">
        <w:t xml:space="preserve"> </w:t>
      </w:r>
      <w:r w:rsidR="00064997" w:rsidRPr="00954FC0">
        <w:rPr>
          <w:color w:val="000000"/>
          <w:szCs w:val="22"/>
        </w:rPr>
        <w:t>and its complementarity to the present recommendation</w:t>
      </w:r>
      <w:r w:rsidR="008E782C" w:rsidRPr="00954FC0">
        <w:rPr>
          <w:color w:val="000000"/>
          <w:szCs w:val="22"/>
        </w:rPr>
        <w:t>,</w:t>
      </w:r>
    </w:p>
    <w:p w14:paraId="632F941D" w14:textId="0A8094F4" w:rsidR="00FE3AB8" w:rsidRDefault="00922792" w:rsidP="00FE536D">
      <w:pPr>
        <w:pStyle w:val="NormalWeb"/>
        <w:spacing w:before="120" w:beforeAutospacing="0" w:after="120" w:afterAutospacing="0"/>
        <w:ind w:left="567" w:firstLine="567"/>
        <w:rPr>
          <w:sz w:val="22"/>
          <w:szCs w:val="22"/>
        </w:rPr>
      </w:pPr>
      <w:r w:rsidRPr="00954FC0" w:rsidDel="002F23C8">
        <w:rPr>
          <w:i/>
          <w:iCs/>
          <w:sz w:val="22"/>
          <w:szCs w:val="22"/>
        </w:rPr>
        <w:t>R</w:t>
      </w:r>
      <w:r w:rsidR="00F045BE" w:rsidRPr="00954FC0">
        <w:rPr>
          <w:i/>
          <w:iCs/>
          <w:sz w:val="22"/>
          <w:szCs w:val="22"/>
        </w:rPr>
        <w:t>ecommend</w:t>
      </w:r>
      <w:r w:rsidRPr="00954FC0">
        <w:rPr>
          <w:i/>
          <w:iCs/>
          <w:sz w:val="22"/>
          <w:szCs w:val="22"/>
        </w:rPr>
        <w:t>s</w:t>
      </w:r>
      <w:r w:rsidR="007622D3" w:rsidRPr="00954FC0">
        <w:rPr>
          <w:sz w:val="22"/>
          <w:szCs w:val="22"/>
        </w:rPr>
        <w:t xml:space="preserve"> that</w:t>
      </w:r>
      <w:r w:rsidR="0027455F" w:rsidRPr="00954FC0">
        <w:rPr>
          <w:sz w:val="22"/>
          <w:szCs w:val="22"/>
        </w:rPr>
        <w:t>, at its sixteenth meeting,</w:t>
      </w:r>
      <w:r w:rsidR="007622D3" w:rsidRPr="00954FC0">
        <w:rPr>
          <w:sz w:val="22"/>
          <w:szCs w:val="22"/>
        </w:rPr>
        <w:t xml:space="preserve"> the Conference of the Parties</w:t>
      </w:r>
      <w:r w:rsidR="00B94890" w:rsidRPr="00954FC0">
        <w:rPr>
          <w:sz w:val="22"/>
          <w:szCs w:val="22"/>
        </w:rPr>
        <w:t xml:space="preserve"> </w:t>
      </w:r>
      <w:r w:rsidR="007622D3" w:rsidRPr="00954FC0">
        <w:rPr>
          <w:sz w:val="22"/>
          <w:szCs w:val="22"/>
        </w:rPr>
        <w:t>adopt a</w:t>
      </w:r>
      <w:r w:rsidR="006F78D9" w:rsidRPr="00954FC0">
        <w:rPr>
          <w:sz w:val="22"/>
          <w:szCs w:val="22"/>
        </w:rPr>
        <w:t xml:space="preserve"> decision</w:t>
      </w:r>
      <w:r w:rsidR="00F045BE" w:rsidRPr="00954FC0">
        <w:rPr>
          <w:sz w:val="22"/>
          <w:szCs w:val="22"/>
        </w:rPr>
        <w:t xml:space="preserve"> </w:t>
      </w:r>
      <w:r w:rsidR="00425593" w:rsidRPr="00954FC0">
        <w:rPr>
          <w:sz w:val="22"/>
          <w:szCs w:val="22"/>
        </w:rPr>
        <w:t>along the following lines:</w:t>
      </w:r>
    </w:p>
    <w:p w14:paraId="5905A258" w14:textId="3C3278D6" w:rsidR="00425593" w:rsidRPr="00954FC0" w:rsidRDefault="009166E1" w:rsidP="006F10E5">
      <w:pPr>
        <w:tabs>
          <w:tab w:val="left" w:pos="1701"/>
        </w:tabs>
        <w:spacing w:before="120" w:after="120"/>
        <w:ind w:left="1134" w:firstLine="567"/>
        <w:rPr>
          <w:iCs/>
          <w:kern w:val="22"/>
          <w:szCs w:val="22"/>
        </w:rPr>
      </w:pPr>
      <w:r w:rsidRPr="00954FC0">
        <w:rPr>
          <w:rStyle w:val="FootnoteReference"/>
          <w:i/>
          <w:kern w:val="22"/>
          <w:szCs w:val="22"/>
        </w:rPr>
        <w:footnoteReference w:customMarkFollows="1" w:id="2"/>
        <w:t>*</w:t>
      </w:r>
      <w:r w:rsidR="009B74BE" w:rsidRPr="00954FC0">
        <w:rPr>
          <w:iCs/>
          <w:kern w:val="22"/>
          <w:szCs w:val="22"/>
        </w:rPr>
        <w:t>[</w:t>
      </w:r>
      <w:r w:rsidR="00425593" w:rsidRPr="00954FC0">
        <w:rPr>
          <w:i/>
          <w:kern w:val="22"/>
          <w:szCs w:val="22"/>
        </w:rPr>
        <w:t xml:space="preserve">The </w:t>
      </w:r>
      <w:r w:rsidR="00425593" w:rsidRPr="00954FC0">
        <w:rPr>
          <w:i/>
          <w:snapToGrid w:val="0"/>
          <w:kern w:val="22"/>
          <w:szCs w:val="22"/>
        </w:rPr>
        <w:t>Conference of the Parties</w:t>
      </w:r>
      <w:r w:rsidR="00425593" w:rsidRPr="00954FC0">
        <w:rPr>
          <w:iCs/>
          <w:kern w:val="22"/>
          <w:szCs w:val="22"/>
        </w:rPr>
        <w:t>,</w:t>
      </w:r>
    </w:p>
    <w:p w14:paraId="4832006E" w14:textId="1783927A" w:rsidR="00425593" w:rsidRPr="008B10BB" w:rsidRDefault="008F689D" w:rsidP="00FE536D">
      <w:pPr>
        <w:tabs>
          <w:tab w:val="left" w:pos="1701"/>
        </w:tabs>
        <w:spacing w:before="120" w:after="120"/>
        <w:ind w:left="1134" w:firstLine="567"/>
        <w:rPr>
          <w:iCs/>
          <w:snapToGrid w:val="0"/>
          <w:kern w:val="22"/>
          <w:szCs w:val="22"/>
        </w:rPr>
      </w:pPr>
      <w:r w:rsidRPr="00954FC0">
        <w:rPr>
          <w:i/>
          <w:kern w:val="22"/>
          <w:szCs w:val="22"/>
        </w:rPr>
        <w:t xml:space="preserve">Recalling </w:t>
      </w:r>
      <w:r w:rsidRPr="00954FC0">
        <w:rPr>
          <w:iCs/>
          <w:kern w:val="22"/>
          <w:szCs w:val="22"/>
        </w:rPr>
        <w:t xml:space="preserve">its decision </w:t>
      </w:r>
      <w:hyperlink r:id="rId14" w:history="1">
        <w:r w:rsidRPr="00954FC0">
          <w:rPr>
            <w:rStyle w:val="Hyperlink"/>
            <w:iCs/>
            <w:kern w:val="22"/>
            <w:szCs w:val="22"/>
          </w:rPr>
          <w:t>15/4</w:t>
        </w:r>
      </w:hyperlink>
      <w:r w:rsidR="00047449" w:rsidRPr="00954FC0">
        <w:rPr>
          <w:iCs/>
          <w:kern w:val="22"/>
          <w:szCs w:val="22"/>
        </w:rPr>
        <w:t xml:space="preserve"> of 19 December 2022,</w:t>
      </w:r>
      <w:r w:rsidRPr="00954FC0">
        <w:rPr>
          <w:iCs/>
          <w:kern w:val="22"/>
          <w:szCs w:val="22"/>
        </w:rPr>
        <w:t xml:space="preserve"> </w:t>
      </w:r>
      <w:r w:rsidR="00AF2899" w:rsidRPr="00954FC0">
        <w:rPr>
          <w:iCs/>
          <w:kern w:val="22"/>
          <w:szCs w:val="22"/>
        </w:rPr>
        <w:t xml:space="preserve">in </w:t>
      </w:r>
      <w:r w:rsidRPr="00954FC0">
        <w:rPr>
          <w:iCs/>
          <w:kern w:val="22"/>
          <w:szCs w:val="22"/>
        </w:rPr>
        <w:t xml:space="preserve">which </w:t>
      </w:r>
      <w:r w:rsidR="00714DEC" w:rsidRPr="00954FC0">
        <w:rPr>
          <w:iCs/>
          <w:kern w:val="22"/>
          <w:szCs w:val="22"/>
        </w:rPr>
        <w:t>it</w:t>
      </w:r>
      <w:r w:rsidRPr="00954FC0">
        <w:rPr>
          <w:iCs/>
          <w:kern w:val="22"/>
          <w:szCs w:val="22"/>
        </w:rPr>
        <w:t xml:space="preserve"> decided that the </w:t>
      </w:r>
      <w:bookmarkStart w:id="1" w:name="_Hlk171362147"/>
      <w:r w:rsidRPr="00954FC0">
        <w:rPr>
          <w:iCs/>
          <w:kern w:val="22"/>
          <w:szCs w:val="22"/>
        </w:rPr>
        <w:t>Kunming-Montreal Global Biodiversity Framework</w:t>
      </w:r>
      <w:bookmarkEnd w:id="1"/>
      <w:r w:rsidR="00CA4714" w:rsidRPr="00954FC0">
        <w:rPr>
          <w:rStyle w:val="FootnoteReference"/>
          <w:iCs/>
          <w:kern w:val="22"/>
          <w:szCs w:val="22"/>
        </w:rPr>
        <w:footnoteReference w:id="3"/>
      </w:r>
      <w:r w:rsidRPr="00954FC0">
        <w:rPr>
          <w:iCs/>
          <w:kern w:val="22"/>
          <w:szCs w:val="22"/>
        </w:rPr>
        <w:t xml:space="preserve"> should be used as a strategic plan for the implementation of the Convention </w:t>
      </w:r>
      <w:r w:rsidR="0042680A" w:rsidRPr="00954FC0">
        <w:rPr>
          <w:iCs/>
          <w:kern w:val="22"/>
          <w:szCs w:val="22"/>
        </w:rPr>
        <w:t>on Biological Diversity</w:t>
      </w:r>
      <w:r w:rsidR="00927622" w:rsidRPr="00954FC0">
        <w:rPr>
          <w:rStyle w:val="FootnoteReference"/>
          <w:iCs/>
          <w:kern w:val="22"/>
          <w:szCs w:val="22"/>
        </w:rPr>
        <w:footnoteReference w:id="4"/>
      </w:r>
      <w:r w:rsidR="0042680A" w:rsidRPr="00954FC0">
        <w:rPr>
          <w:iCs/>
          <w:kern w:val="22"/>
          <w:szCs w:val="22"/>
        </w:rPr>
        <w:t xml:space="preserve"> </w:t>
      </w:r>
      <w:r w:rsidRPr="00954FC0">
        <w:rPr>
          <w:iCs/>
          <w:kern w:val="22"/>
          <w:szCs w:val="22"/>
        </w:rPr>
        <w:t>and its Protocols, its bodies and its Secretariat over the period 2022–2030</w:t>
      </w:r>
      <w:r w:rsidR="00425593" w:rsidRPr="00954FC0">
        <w:rPr>
          <w:iCs/>
          <w:snapToGrid w:val="0"/>
          <w:kern w:val="22"/>
          <w:szCs w:val="22"/>
        </w:rPr>
        <w:t>,</w:t>
      </w:r>
    </w:p>
    <w:p w14:paraId="45F475DA" w14:textId="6305B0A5" w:rsidR="00A1673D" w:rsidRPr="00AD0FE8" w:rsidRDefault="00A1673D" w:rsidP="00FE536D">
      <w:pPr>
        <w:tabs>
          <w:tab w:val="left" w:pos="1701"/>
        </w:tabs>
        <w:spacing w:before="120" w:after="120"/>
        <w:ind w:left="1134" w:firstLine="567"/>
      </w:pPr>
      <w:r w:rsidRPr="008B10BB">
        <w:rPr>
          <w:i/>
          <w:kern w:val="22"/>
          <w:szCs w:val="22"/>
        </w:rPr>
        <w:t>Recalling</w:t>
      </w:r>
      <w:r w:rsidR="00143B75" w:rsidRPr="008B10BB">
        <w:rPr>
          <w:i/>
          <w:kern w:val="22"/>
          <w:szCs w:val="22"/>
        </w:rPr>
        <w:t xml:space="preserve"> also</w:t>
      </w:r>
      <w:r w:rsidRPr="008B10BB">
        <w:rPr>
          <w:i/>
          <w:kern w:val="22"/>
          <w:szCs w:val="22"/>
        </w:rPr>
        <w:t xml:space="preserve"> </w:t>
      </w:r>
      <w:r w:rsidRPr="008B10BB">
        <w:rPr>
          <w:iCs/>
          <w:kern w:val="22"/>
          <w:szCs w:val="22"/>
        </w:rPr>
        <w:t xml:space="preserve">its </w:t>
      </w:r>
      <w:r w:rsidRPr="00840190">
        <w:t xml:space="preserve">decision </w:t>
      </w:r>
      <w:hyperlink r:id="rId15" w:history="1">
        <w:r w:rsidRPr="00840190">
          <w:rPr>
            <w:rStyle w:val="Hyperlink"/>
          </w:rPr>
          <w:t>15/33</w:t>
        </w:r>
      </w:hyperlink>
      <w:r w:rsidRPr="00840190">
        <w:t xml:space="preserve"> </w:t>
      </w:r>
      <w:r w:rsidR="006B0B7F" w:rsidRPr="00840190">
        <w:t xml:space="preserve">of 19 December 2022, </w:t>
      </w:r>
      <w:r w:rsidR="00AF2899" w:rsidRPr="00840190">
        <w:rPr>
          <w:iCs/>
          <w:kern w:val="22"/>
          <w:szCs w:val="22"/>
        </w:rPr>
        <w:t xml:space="preserve">in </w:t>
      </w:r>
      <w:r w:rsidRPr="00840190">
        <w:rPr>
          <w:iCs/>
          <w:kern w:val="22"/>
          <w:szCs w:val="22"/>
        </w:rPr>
        <w:t xml:space="preserve">which </w:t>
      </w:r>
      <w:r w:rsidR="00AF2899" w:rsidRPr="00840190">
        <w:t xml:space="preserve">it </w:t>
      </w:r>
      <w:r w:rsidRPr="00840190">
        <w:t xml:space="preserve">noted that it would review progress in the implementation of the Convention and the Framework at each of its meetings up to 2030 and decided that the development of further guidance for policy development and implementation should support achievement </w:t>
      </w:r>
      <w:r w:rsidRPr="00840190" w:rsidDel="00B70F30">
        <w:t xml:space="preserve">of the </w:t>
      </w:r>
      <w:r w:rsidRPr="00840190">
        <w:t xml:space="preserve">goals and targets </w:t>
      </w:r>
      <w:r w:rsidR="00DE5E33">
        <w:t xml:space="preserve">set out in </w:t>
      </w:r>
      <w:r w:rsidRPr="00840190">
        <w:t>the Framework, the outcome of the global analysis of information in national biodiversity strategies and action plans, including national targets, and</w:t>
      </w:r>
      <w:r w:rsidR="00BD1F2D" w:rsidRPr="00840190">
        <w:t xml:space="preserve"> </w:t>
      </w:r>
      <w:r w:rsidR="00982AB8">
        <w:t xml:space="preserve">the </w:t>
      </w:r>
      <w:r w:rsidRPr="00840190">
        <w:t xml:space="preserve">global review of collective progress in implementation, as well as new information that </w:t>
      </w:r>
      <w:r w:rsidR="003C3E02" w:rsidRPr="00840190">
        <w:t xml:space="preserve">might </w:t>
      </w:r>
      <w:r w:rsidRPr="00840190">
        <w:t>become available, including through scientific assessments,</w:t>
      </w:r>
    </w:p>
    <w:p w14:paraId="69B33FA2" w14:textId="24A9C940" w:rsidR="00425593" w:rsidRPr="00FE536D" w:rsidRDefault="00E43E6A" w:rsidP="00FE536D">
      <w:pPr>
        <w:tabs>
          <w:tab w:val="left" w:pos="2268"/>
        </w:tabs>
        <w:spacing w:before="120" w:after="120"/>
        <w:ind w:left="1134" w:firstLine="567"/>
        <w:rPr>
          <w:kern w:val="22"/>
        </w:rPr>
      </w:pPr>
      <w:r w:rsidRPr="00FE536D">
        <w:rPr>
          <w:color w:val="000000"/>
        </w:rPr>
        <w:t>1.</w:t>
      </w:r>
      <w:r w:rsidR="002B69B6" w:rsidRPr="00FE536D">
        <w:rPr>
          <w:color w:val="000000"/>
        </w:rPr>
        <w:tab/>
      </w:r>
      <w:r w:rsidR="00425593" w:rsidRPr="008B10BB">
        <w:rPr>
          <w:i/>
          <w:kern w:val="22"/>
          <w:szCs w:val="22"/>
        </w:rPr>
        <w:t>Decides</w:t>
      </w:r>
      <w:r w:rsidR="00425593" w:rsidRPr="008B10BB">
        <w:rPr>
          <w:kern w:val="22"/>
          <w:szCs w:val="22"/>
        </w:rPr>
        <w:t xml:space="preserve"> to update </w:t>
      </w:r>
      <w:r w:rsidR="008F49C7" w:rsidRPr="008B10BB">
        <w:rPr>
          <w:kern w:val="22"/>
          <w:szCs w:val="22"/>
        </w:rPr>
        <w:t xml:space="preserve">its </w:t>
      </w:r>
      <w:r w:rsidR="00425593" w:rsidRPr="008B10BB">
        <w:rPr>
          <w:kern w:val="22"/>
          <w:szCs w:val="22"/>
        </w:rPr>
        <w:t>multi-year programme of work up to 20</w:t>
      </w:r>
      <w:r w:rsidR="00A1673D" w:rsidRPr="008B10BB">
        <w:rPr>
          <w:kern w:val="22"/>
          <w:szCs w:val="22"/>
        </w:rPr>
        <w:t>3</w:t>
      </w:r>
      <w:r w:rsidR="00425593" w:rsidRPr="008B10BB">
        <w:rPr>
          <w:kern w:val="22"/>
          <w:szCs w:val="22"/>
        </w:rPr>
        <w:t xml:space="preserve">0 according to the list of issues </w:t>
      </w:r>
      <w:r w:rsidR="006F79FE" w:rsidRPr="008B10BB">
        <w:rPr>
          <w:kern w:val="22"/>
          <w:szCs w:val="22"/>
        </w:rPr>
        <w:t xml:space="preserve">set out </w:t>
      </w:r>
      <w:r w:rsidR="00425593" w:rsidRPr="008B10BB">
        <w:rPr>
          <w:kern w:val="22"/>
          <w:szCs w:val="22"/>
        </w:rPr>
        <w:t>in the annex to the present decision;</w:t>
      </w:r>
    </w:p>
    <w:p w14:paraId="7E584FDD" w14:textId="6940DA50" w:rsidR="00281A8D" w:rsidRPr="002B69B6" w:rsidRDefault="00281A8D" w:rsidP="00FE536D">
      <w:pPr>
        <w:tabs>
          <w:tab w:val="left" w:pos="2268"/>
        </w:tabs>
        <w:spacing w:before="120" w:after="120"/>
        <w:ind w:left="1134" w:firstLine="567"/>
        <w:rPr>
          <w:iCs/>
          <w:snapToGrid w:val="0"/>
          <w:kern w:val="22"/>
          <w:szCs w:val="22"/>
          <w:lang w:val="en-US"/>
        </w:rPr>
      </w:pPr>
      <w:r w:rsidRPr="00FE536D">
        <w:rPr>
          <w:color w:val="000000"/>
          <w:szCs w:val="22"/>
        </w:rPr>
        <w:t>2</w:t>
      </w:r>
      <w:r>
        <w:rPr>
          <w:i/>
          <w:iCs/>
          <w:color w:val="000000"/>
          <w:szCs w:val="22"/>
        </w:rPr>
        <w:t>.</w:t>
      </w:r>
      <w:r w:rsidR="00F0245E">
        <w:rPr>
          <w:i/>
          <w:iCs/>
          <w:color w:val="000000"/>
          <w:szCs w:val="22"/>
        </w:rPr>
        <w:tab/>
      </w:r>
      <w:r>
        <w:rPr>
          <w:i/>
          <w:iCs/>
          <w:color w:val="000000"/>
          <w:szCs w:val="22"/>
        </w:rPr>
        <w:t>Also d</w:t>
      </w:r>
      <w:r w:rsidRPr="004F04AA">
        <w:rPr>
          <w:i/>
          <w:iCs/>
          <w:color w:val="000000"/>
          <w:szCs w:val="22"/>
        </w:rPr>
        <w:t>ecides</w:t>
      </w:r>
      <w:r w:rsidRPr="004F04AA">
        <w:rPr>
          <w:color w:val="000000"/>
          <w:szCs w:val="22"/>
        </w:rPr>
        <w:t xml:space="preserve"> to </w:t>
      </w:r>
      <w:r w:rsidR="00B23554">
        <w:rPr>
          <w:color w:val="000000"/>
          <w:szCs w:val="22"/>
        </w:rPr>
        <w:t>review</w:t>
      </w:r>
      <w:r w:rsidR="00747BB6">
        <w:rPr>
          <w:color w:val="000000"/>
          <w:szCs w:val="22"/>
        </w:rPr>
        <w:t xml:space="preserve"> and update</w:t>
      </w:r>
      <w:r w:rsidR="00B23554">
        <w:rPr>
          <w:color w:val="000000"/>
          <w:szCs w:val="22"/>
        </w:rPr>
        <w:t>,</w:t>
      </w:r>
      <w:r w:rsidR="00CE2C28">
        <w:rPr>
          <w:color w:val="000000"/>
          <w:szCs w:val="22"/>
        </w:rPr>
        <w:t xml:space="preserve"> at its seventeenth and eighteenth meetings</w:t>
      </w:r>
      <w:r w:rsidR="00B23554">
        <w:rPr>
          <w:color w:val="000000"/>
          <w:szCs w:val="22"/>
        </w:rPr>
        <w:t xml:space="preserve">, the programmes of work </w:t>
      </w:r>
      <w:r w:rsidR="00747BB6">
        <w:rPr>
          <w:color w:val="000000"/>
          <w:szCs w:val="22"/>
        </w:rPr>
        <w:t xml:space="preserve">and </w:t>
      </w:r>
      <w:r w:rsidR="00747BB6" w:rsidRPr="005C4F0E">
        <w:rPr>
          <w:color w:val="000000"/>
          <w:szCs w:val="22"/>
        </w:rPr>
        <w:t xml:space="preserve">cross-cutting issues </w:t>
      </w:r>
      <w:r w:rsidR="0075220E">
        <w:rPr>
          <w:color w:val="000000"/>
          <w:szCs w:val="22"/>
        </w:rPr>
        <w:t>under</w:t>
      </w:r>
      <w:r w:rsidR="003D71F4" w:rsidRPr="005C4F0E">
        <w:rPr>
          <w:color w:val="000000"/>
          <w:szCs w:val="22"/>
        </w:rPr>
        <w:t xml:space="preserve"> </w:t>
      </w:r>
      <w:r w:rsidR="00B23554" w:rsidRPr="005C4F0E">
        <w:rPr>
          <w:color w:val="000000"/>
          <w:szCs w:val="22"/>
        </w:rPr>
        <w:t xml:space="preserve">the </w:t>
      </w:r>
      <w:r w:rsidRPr="005C4F0E" w:rsidDel="00747BB6">
        <w:rPr>
          <w:color w:val="000000"/>
          <w:szCs w:val="22"/>
        </w:rPr>
        <w:t>Convention</w:t>
      </w:r>
      <w:r w:rsidR="000B66AA" w:rsidRPr="000B66AA">
        <w:rPr>
          <w:iCs/>
          <w:kern w:val="22"/>
          <w:szCs w:val="22"/>
        </w:rPr>
        <w:t xml:space="preserve"> </w:t>
      </w:r>
      <w:r w:rsidR="000B66AA" w:rsidRPr="000B66AA">
        <w:rPr>
          <w:iCs/>
          <w:color w:val="000000"/>
          <w:szCs w:val="22"/>
        </w:rPr>
        <w:t>on Biological Diversity</w:t>
      </w:r>
      <w:r w:rsidRPr="005C4F0E">
        <w:rPr>
          <w:color w:val="000000"/>
          <w:szCs w:val="22"/>
        </w:rPr>
        <w:t xml:space="preserve">, focusing on their alignment with the </w:t>
      </w:r>
      <w:r w:rsidR="000B66AA" w:rsidRPr="000B66AA">
        <w:rPr>
          <w:iCs/>
          <w:color w:val="000000"/>
          <w:szCs w:val="22"/>
        </w:rPr>
        <w:t xml:space="preserve">Kunming-Montreal Global Biodiversity </w:t>
      </w:r>
      <w:r w:rsidRPr="005C4F0E">
        <w:rPr>
          <w:color w:val="000000"/>
          <w:szCs w:val="22"/>
        </w:rPr>
        <w:t xml:space="preserve">Framework </w:t>
      </w:r>
      <w:r w:rsidR="00704BA4" w:rsidRPr="005C4F0E">
        <w:rPr>
          <w:color w:val="000000"/>
          <w:szCs w:val="22"/>
        </w:rPr>
        <w:t xml:space="preserve">and addressing a limited number of </w:t>
      </w:r>
      <w:r w:rsidR="00611085" w:rsidRPr="005C4F0E">
        <w:rPr>
          <w:color w:val="000000"/>
          <w:szCs w:val="22"/>
        </w:rPr>
        <w:t xml:space="preserve">those </w:t>
      </w:r>
      <w:r w:rsidR="003B5D3B" w:rsidRPr="005C4F0E">
        <w:rPr>
          <w:color w:val="000000"/>
          <w:szCs w:val="22"/>
        </w:rPr>
        <w:t xml:space="preserve">programmes </w:t>
      </w:r>
      <w:r w:rsidR="00207DFC">
        <w:rPr>
          <w:color w:val="000000"/>
          <w:szCs w:val="22"/>
        </w:rPr>
        <w:t xml:space="preserve">of work </w:t>
      </w:r>
      <w:r w:rsidR="003B5D3B" w:rsidRPr="005C4F0E">
        <w:rPr>
          <w:color w:val="000000"/>
          <w:szCs w:val="22"/>
        </w:rPr>
        <w:t xml:space="preserve">and issues </w:t>
      </w:r>
      <w:r w:rsidR="00704BA4" w:rsidRPr="005C4F0E">
        <w:rPr>
          <w:color w:val="000000"/>
          <w:szCs w:val="22"/>
        </w:rPr>
        <w:t xml:space="preserve">at each </w:t>
      </w:r>
      <w:r w:rsidR="00ED5002" w:rsidRPr="005C4F0E">
        <w:rPr>
          <w:color w:val="000000"/>
          <w:szCs w:val="22"/>
        </w:rPr>
        <w:t>of its meeting</w:t>
      </w:r>
      <w:r w:rsidR="009775D2">
        <w:rPr>
          <w:color w:val="000000"/>
          <w:szCs w:val="22"/>
        </w:rPr>
        <w:t>s</w:t>
      </w:r>
      <w:r w:rsidR="00ED5002" w:rsidRPr="005C4F0E">
        <w:rPr>
          <w:color w:val="000000"/>
          <w:szCs w:val="22"/>
        </w:rPr>
        <w:t>;</w:t>
      </w:r>
    </w:p>
    <w:p w14:paraId="43879EA0" w14:textId="780424B2" w:rsidR="00B70F30" w:rsidRPr="004F04AA" w:rsidRDefault="002B69B6" w:rsidP="00FE536D">
      <w:pPr>
        <w:tabs>
          <w:tab w:val="left" w:pos="2268"/>
        </w:tabs>
        <w:spacing w:before="120" w:after="120"/>
        <w:ind w:left="1134" w:firstLine="567"/>
        <w:rPr>
          <w:snapToGrid w:val="0"/>
          <w:szCs w:val="22"/>
          <w:lang w:val="en-CA"/>
        </w:rPr>
      </w:pPr>
      <w:r>
        <w:rPr>
          <w:snapToGrid w:val="0"/>
          <w:kern w:val="22"/>
          <w:szCs w:val="22"/>
        </w:rPr>
        <w:t>3</w:t>
      </w:r>
      <w:r w:rsidR="00425593" w:rsidRPr="008B10BB">
        <w:rPr>
          <w:snapToGrid w:val="0"/>
          <w:kern w:val="22"/>
          <w:szCs w:val="22"/>
        </w:rPr>
        <w:t>.</w:t>
      </w:r>
      <w:r w:rsidR="00425593" w:rsidRPr="008B10BB">
        <w:rPr>
          <w:snapToGrid w:val="0"/>
          <w:kern w:val="22"/>
          <w:szCs w:val="22"/>
        </w:rPr>
        <w:tab/>
      </w:r>
      <w:r w:rsidR="0042680A">
        <w:rPr>
          <w:i/>
          <w:snapToGrid w:val="0"/>
          <w:kern w:val="22"/>
          <w:szCs w:val="22"/>
        </w:rPr>
        <w:t>Further</w:t>
      </w:r>
      <w:r w:rsidR="0042680A" w:rsidRPr="008B10BB">
        <w:rPr>
          <w:i/>
          <w:snapToGrid w:val="0"/>
          <w:kern w:val="22"/>
          <w:szCs w:val="22"/>
        </w:rPr>
        <w:t xml:space="preserve"> </w:t>
      </w:r>
      <w:r w:rsidR="00A1673D" w:rsidRPr="008B10BB">
        <w:rPr>
          <w:i/>
          <w:iCs/>
          <w:snapToGrid w:val="0"/>
          <w:szCs w:val="18"/>
          <w:lang w:val="en-CA"/>
        </w:rPr>
        <w:t>d</w:t>
      </w:r>
      <w:r w:rsidR="00A1673D" w:rsidRPr="008B10BB">
        <w:rPr>
          <w:i/>
          <w:snapToGrid w:val="0"/>
          <w:szCs w:val="18"/>
          <w:lang w:val="en-CA"/>
        </w:rPr>
        <w:t>ecides</w:t>
      </w:r>
      <w:r w:rsidR="00A1673D" w:rsidRPr="008B10BB">
        <w:rPr>
          <w:snapToGrid w:val="0"/>
          <w:szCs w:val="18"/>
          <w:lang w:val="en-CA"/>
        </w:rPr>
        <w:t xml:space="preserve"> to address, at each of its meetings, standing items consistent with </w:t>
      </w:r>
      <w:r w:rsidR="001214E6">
        <w:rPr>
          <w:snapToGrid w:val="0"/>
          <w:szCs w:val="18"/>
          <w:lang w:val="en-CA"/>
        </w:rPr>
        <w:t xml:space="preserve">its </w:t>
      </w:r>
      <w:r w:rsidR="00A1673D" w:rsidRPr="008B10BB">
        <w:rPr>
          <w:snapToGrid w:val="0"/>
          <w:szCs w:val="18"/>
          <w:lang w:val="en-CA"/>
        </w:rPr>
        <w:t xml:space="preserve">previous decisions, as well as other issues arising from </w:t>
      </w:r>
      <w:r w:rsidR="006C12B0" w:rsidRPr="008B10BB">
        <w:rPr>
          <w:snapToGrid w:val="0"/>
          <w:szCs w:val="18"/>
          <w:lang w:val="en-CA"/>
        </w:rPr>
        <w:t xml:space="preserve">its </w:t>
      </w:r>
      <w:r w:rsidR="00A1673D" w:rsidRPr="008B10BB">
        <w:rPr>
          <w:snapToGrid w:val="0"/>
          <w:szCs w:val="18"/>
          <w:lang w:val="en-CA"/>
        </w:rPr>
        <w:t>decisions relat</w:t>
      </w:r>
      <w:r w:rsidR="00A36BF1" w:rsidRPr="008B10BB">
        <w:rPr>
          <w:snapToGrid w:val="0"/>
          <w:szCs w:val="18"/>
          <w:lang w:val="en-CA"/>
        </w:rPr>
        <w:t>ed</w:t>
      </w:r>
      <w:r w:rsidR="00A1673D" w:rsidRPr="008B10BB">
        <w:rPr>
          <w:snapToGrid w:val="0"/>
          <w:szCs w:val="18"/>
          <w:lang w:val="en-CA"/>
        </w:rPr>
        <w:t xml:space="preserve"> to particular programmes of work and cross-cutting issues</w:t>
      </w:r>
      <w:r w:rsidR="00A1673D" w:rsidRPr="00E77B5F">
        <w:rPr>
          <w:snapToGrid w:val="0"/>
          <w:szCs w:val="18"/>
          <w:lang w:val="en-CA"/>
        </w:rPr>
        <w:t xml:space="preserve">, </w:t>
      </w:r>
      <w:r w:rsidR="00A1673D" w:rsidRPr="008B10BB">
        <w:rPr>
          <w:snapToGrid w:val="0"/>
          <w:szCs w:val="18"/>
          <w:lang w:val="en-CA"/>
        </w:rPr>
        <w:t xml:space="preserve">to maintain sufficient flexibility in </w:t>
      </w:r>
      <w:r w:rsidR="00AB49B2">
        <w:rPr>
          <w:snapToGrid w:val="0"/>
          <w:szCs w:val="18"/>
          <w:lang w:val="en-CA"/>
        </w:rPr>
        <w:t>its</w:t>
      </w:r>
      <w:r w:rsidR="00AB49B2" w:rsidRPr="008B10BB">
        <w:rPr>
          <w:snapToGrid w:val="0"/>
          <w:szCs w:val="18"/>
          <w:lang w:val="en-CA"/>
        </w:rPr>
        <w:t xml:space="preserve"> </w:t>
      </w:r>
      <w:r w:rsidR="00A1673D" w:rsidRPr="00E77B5F">
        <w:rPr>
          <w:snapToGrid w:val="0"/>
          <w:szCs w:val="18"/>
          <w:lang w:val="en-CA"/>
        </w:rPr>
        <w:t>multi</w:t>
      </w:r>
      <w:r w:rsidR="006C12B0" w:rsidRPr="008B10BB">
        <w:rPr>
          <w:snapToGrid w:val="0"/>
          <w:szCs w:val="18"/>
          <w:lang w:val="en-CA"/>
        </w:rPr>
        <w:t>-</w:t>
      </w:r>
      <w:r w:rsidR="00A1673D" w:rsidRPr="00E77B5F">
        <w:rPr>
          <w:snapToGrid w:val="0"/>
          <w:szCs w:val="18"/>
          <w:lang w:val="en-CA"/>
        </w:rPr>
        <w:t>year</w:t>
      </w:r>
      <w:r w:rsidR="00A1673D" w:rsidRPr="008B10BB">
        <w:rPr>
          <w:snapToGrid w:val="0"/>
          <w:szCs w:val="18"/>
          <w:lang w:val="en-CA"/>
        </w:rPr>
        <w:t xml:space="preserve"> programme of work </w:t>
      </w:r>
      <w:r w:rsidR="002F19D3">
        <w:rPr>
          <w:snapToGrid w:val="0"/>
          <w:szCs w:val="18"/>
          <w:lang w:val="en-CA"/>
        </w:rPr>
        <w:t xml:space="preserve">in order </w:t>
      </w:r>
      <w:r w:rsidR="00A1673D" w:rsidRPr="008B10BB">
        <w:rPr>
          <w:snapToGrid w:val="0"/>
          <w:szCs w:val="18"/>
          <w:lang w:val="en-CA"/>
        </w:rPr>
        <w:t xml:space="preserve">to accommodate emerging issues or opportunities </w:t>
      </w:r>
      <w:r w:rsidR="004020F4" w:rsidRPr="008B10BB">
        <w:rPr>
          <w:snapToGrid w:val="0"/>
          <w:szCs w:val="18"/>
          <w:lang w:val="en-CA"/>
        </w:rPr>
        <w:t xml:space="preserve">that it </w:t>
      </w:r>
      <w:r w:rsidR="00A1673D" w:rsidRPr="008B10BB">
        <w:rPr>
          <w:snapToGrid w:val="0"/>
          <w:szCs w:val="18"/>
          <w:lang w:val="en-CA"/>
        </w:rPr>
        <w:t xml:space="preserve">may </w:t>
      </w:r>
      <w:r w:rsidR="00A1673D" w:rsidRPr="003230AF">
        <w:rPr>
          <w:snapToGrid w:val="0"/>
          <w:szCs w:val="18"/>
          <w:lang w:val="en-CA"/>
        </w:rPr>
        <w:t>identif</w:t>
      </w:r>
      <w:r w:rsidR="004020F4" w:rsidRPr="003230AF">
        <w:rPr>
          <w:snapToGrid w:val="0"/>
          <w:szCs w:val="18"/>
          <w:lang w:val="en-CA"/>
        </w:rPr>
        <w:t>y</w:t>
      </w:r>
      <w:r w:rsidR="002837A6" w:rsidRPr="003230AF">
        <w:rPr>
          <w:snapToGrid w:val="0"/>
          <w:szCs w:val="18"/>
          <w:lang w:val="en-CA"/>
        </w:rPr>
        <w:t xml:space="preserve"> and</w:t>
      </w:r>
      <w:r w:rsidR="00D62E76">
        <w:rPr>
          <w:snapToGrid w:val="0"/>
          <w:szCs w:val="18"/>
          <w:lang w:val="en-CA"/>
        </w:rPr>
        <w:t>,</w:t>
      </w:r>
      <w:r w:rsidR="002837A6" w:rsidRPr="003230AF">
        <w:rPr>
          <w:snapToGrid w:val="0"/>
          <w:szCs w:val="18"/>
          <w:lang w:val="en-CA"/>
        </w:rPr>
        <w:t xml:space="preserve"> to that end</w:t>
      </w:r>
      <w:r w:rsidR="00950E34">
        <w:rPr>
          <w:snapToGrid w:val="0"/>
          <w:szCs w:val="18"/>
          <w:lang w:val="en-CA"/>
        </w:rPr>
        <w:t>,</w:t>
      </w:r>
      <w:r w:rsidR="002837A6" w:rsidRPr="003230AF">
        <w:rPr>
          <w:snapToGrid w:val="0"/>
          <w:szCs w:val="18"/>
          <w:lang w:val="en-CA"/>
        </w:rPr>
        <w:t xml:space="preserve"> </w:t>
      </w:r>
      <w:r w:rsidR="00EC07ED" w:rsidRPr="003230AF">
        <w:rPr>
          <w:snapToGrid w:val="0"/>
          <w:szCs w:val="18"/>
          <w:lang w:val="en-CA"/>
        </w:rPr>
        <w:t xml:space="preserve">to </w:t>
      </w:r>
      <w:r w:rsidR="002837A6" w:rsidRPr="003230AF">
        <w:rPr>
          <w:snapToGrid w:val="0"/>
          <w:szCs w:val="18"/>
          <w:lang w:val="en-CA"/>
        </w:rPr>
        <w:t xml:space="preserve">review its </w:t>
      </w:r>
      <w:r w:rsidR="00B513A9" w:rsidRPr="003230AF">
        <w:rPr>
          <w:color w:val="000000"/>
          <w:szCs w:val="22"/>
        </w:rPr>
        <w:t xml:space="preserve">multi-year programme of work </w:t>
      </w:r>
      <w:r w:rsidR="002837A6" w:rsidRPr="003230AF">
        <w:rPr>
          <w:color w:val="000000"/>
          <w:szCs w:val="22"/>
        </w:rPr>
        <w:t>at its</w:t>
      </w:r>
      <w:r w:rsidR="00B513A9" w:rsidRPr="003230AF">
        <w:rPr>
          <w:color w:val="000000"/>
          <w:szCs w:val="22"/>
        </w:rPr>
        <w:t xml:space="preserve"> seventeenth and eighteenth meetings</w:t>
      </w:r>
      <w:r w:rsidR="002837A6" w:rsidRPr="003230AF">
        <w:rPr>
          <w:color w:val="000000"/>
          <w:szCs w:val="22"/>
        </w:rPr>
        <w:t>,</w:t>
      </w:r>
      <w:r w:rsidR="00CE2C28" w:rsidRPr="003230AF">
        <w:rPr>
          <w:color w:val="000000"/>
          <w:szCs w:val="22"/>
        </w:rPr>
        <w:t xml:space="preserve"> </w:t>
      </w:r>
      <w:r w:rsidR="006851AD" w:rsidRPr="003230AF">
        <w:rPr>
          <w:color w:val="000000"/>
          <w:szCs w:val="22"/>
        </w:rPr>
        <w:t xml:space="preserve">so as </w:t>
      </w:r>
      <w:r w:rsidR="00B513A9" w:rsidRPr="003230AF">
        <w:rPr>
          <w:color w:val="000000"/>
          <w:szCs w:val="22"/>
        </w:rPr>
        <w:t>to enable any necessary adjustments to be made</w:t>
      </w:r>
      <w:r w:rsidR="00B513A9" w:rsidRPr="003230AF">
        <w:rPr>
          <w:color w:val="000000"/>
        </w:rPr>
        <w:t>.</w:t>
      </w:r>
    </w:p>
    <w:p w14:paraId="6D8A8801" w14:textId="5200C79C" w:rsidR="00817A82" w:rsidRPr="00E77B5F" w:rsidRDefault="00817A82" w:rsidP="00861050">
      <w:pPr>
        <w:keepNext/>
        <w:spacing w:before="240"/>
        <w:ind w:left="567"/>
        <w:jc w:val="left"/>
        <w:rPr>
          <w:b/>
          <w:bCs/>
          <w:iCs/>
          <w:sz w:val="24"/>
          <w:lang w:val="en-US"/>
        </w:rPr>
      </w:pPr>
      <w:r w:rsidRPr="00E77B5F">
        <w:rPr>
          <w:b/>
          <w:bCs/>
          <w:iCs/>
          <w:sz w:val="24"/>
          <w:lang w:val="en-US"/>
        </w:rPr>
        <w:t>Annex</w:t>
      </w:r>
    </w:p>
    <w:p w14:paraId="167ACF0C" w14:textId="6166BDE5" w:rsidR="007C1B62" w:rsidRPr="00D730C0" w:rsidRDefault="00802FCB" w:rsidP="00701D57">
      <w:pPr>
        <w:pStyle w:val="Title"/>
        <w:spacing w:before="60" w:after="60"/>
        <w:jc w:val="left"/>
        <w:rPr>
          <w:sz w:val="24"/>
          <w:szCs w:val="24"/>
        </w:rPr>
      </w:pPr>
      <w:r w:rsidRPr="00E77B5F">
        <w:rPr>
          <w:sz w:val="24"/>
          <w:szCs w:val="24"/>
        </w:rPr>
        <w:t>L</w:t>
      </w:r>
      <w:r w:rsidR="00817A82" w:rsidRPr="00E77B5F">
        <w:rPr>
          <w:sz w:val="24"/>
          <w:szCs w:val="24"/>
        </w:rPr>
        <w:t xml:space="preserve">ist of the main issues to be addressed </w:t>
      </w:r>
      <w:r w:rsidR="004020F4" w:rsidRPr="00E77B5F">
        <w:rPr>
          <w:sz w:val="24"/>
          <w:szCs w:val="24"/>
        </w:rPr>
        <w:t xml:space="preserve">at </w:t>
      </w:r>
      <w:r w:rsidR="000E22A8">
        <w:rPr>
          <w:sz w:val="24"/>
          <w:szCs w:val="24"/>
        </w:rPr>
        <w:t>each</w:t>
      </w:r>
      <w:r w:rsidR="00ED4C7A">
        <w:rPr>
          <w:sz w:val="24"/>
          <w:szCs w:val="24"/>
        </w:rPr>
        <w:t xml:space="preserve"> </w:t>
      </w:r>
      <w:r w:rsidR="00817A82" w:rsidRPr="00E77B5F">
        <w:rPr>
          <w:sz w:val="24"/>
          <w:szCs w:val="24"/>
        </w:rPr>
        <w:t xml:space="preserve">meeting of the Conference of the Parties </w:t>
      </w:r>
      <w:r w:rsidR="00662EA6">
        <w:rPr>
          <w:sz w:val="24"/>
          <w:szCs w:val="24"/>
        </w:rPr>
        <w:t xml:space="preserve">to the Convention on Biological Diversity </w:t>
      </w:r>
      <w:r w:rsidR="00817A82" w:rsidRPr="00E77B5F">
        <w:rPr>
          <w:sz w:val="24"/>
          <w:szCs w:val="24"/>
        </w:rPr>
        <w:t>during the period 2023–2030</w:t>
      </w:r>
    </w:p>
    <w:tbl>
      <w:tblPr>
        <w:tblpPr w:leftFromText="180" w:rightFromText="180" w:vertAnchor="text" w:horzAnchor="margin" w:tblpY="29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817A82" w:rsidRPr="008B10BB" w14:paraId="71E84867" w14:textId="77777777" w:rsidTr="00701D57">
        <w:trPr>
          <w:tblHeader/>
        </w:trPr>
        <w:tc>
          <w:tcPr>
            <w:tcW w:w="2405" w:type="dxa"/>
            <w:tcBorders>
              <w:top w:val="single" w:sz="4" w:space="0" w:color="auto"/>
              <w:left w:val="single" w:sz="4" w:space="0" w:color="auto"/>
              <w:bottom w:val="single" w:sz="4" w:space="0" w:color="auto"/>
              <w:right w:val="single" w:sz="4" w:space="0" w:color="auto"/>
            </w:tcBorders>
            <w:hideMark/>
          </w:tcPr>
          <w:p w14:paraId="21F6AB38" w14:textId="05855765" w:rsidR="00817A82" w:rsidRPr="00E77B5F" w:rsidRDefault="00817A82" w:rsidP="00BA2200">
            <w:pPr>
              <w:spacing w:before="60" w:after="60"/>
              <w:jc w:val="left"/>
              <w:rPr>
                <w:bCs/>
                <w:i/>
                <w:iCs/>
                <w:sz w:val="20"/>
                <w:szCs w:val="22"/>
              </w:rPr>
            </w:pPr>
            <w:r w:rsidRPr="00E77B5F">
              <w:rPr>
                <w:bCs/>
                <w:i/>
                <w:iCs/>
                <w:sz w:val="20"/>
                <w:szCs w:val="22"/>
              </w:rPr>
              <w:t>Meeting</w:t>
            </w:r>
            <w:r w:rsidR="009B452F">
              <w:t xml:space="preserve"> </w:t>
            </w:r>
            <w:r w:rsidR="009B452F" w:rsidRPr="009B452F">
              <w:rPr>
                <w:bCs/>
                <w:i/>
                <w:iCs/>
                <w:sz w:val="20"/>
                <w:szCs w:val="22"/>
              </w:rPr>
              <w:t>of the Conference of the Parties</w:t>
            </w:r>
          </w:p>
        </w:tc>
        <w:tc>
          <w:tcPr>
            <w:tcW w:w="7088" w:type="dxa"/>
            <w:tcBorders>
              <w:top w:val="single" w:sz="4" w:space="0" w:color="auto"/>
              <w:left w:val="single" w:sz="4" w:space="0" w:color="auto"/>
              <w:bottom w:val="single" w:sz="4" w:space="0" w:color="auto"/>
              <w:right w:val="single" w:sz="4" w:space="0" w:color="auto"/>
            </w:tcBorders>
            <w:hideMark/>
          </w:tcPr>
          <w:p w14:paraId="0F13491B" w14:textId="77777777" w:rsidR="00817A82" w:rsidRPr="00E77B5F" w:rsidRDefault="00817A82" w:rsidP="009C52FD">
            <w:pPr>
              <w:spacing w:before="60" w:after="60"/>
              <w:jc w:val="left"/>
              <w:rPr>
                <w:bCs/>
                <w:i/>
                <w:iCs/>
                <w:sz w:val="20"/>
                <w:szCs w:val="22"/>
              </w:rPr>
            </w:pPr>
            <w:r w:rsidRPr="00E77B5F">
              <w:rPr>
                <w:bCs/>
                <w:i/>
                <w:iCs/>
                <w:sz w:val="20"/>
                <w:szCs w:val="22"/>
              </w:rPr>
              <w:t>Strategic issues</w:t>
            </w:r>
          </w:p>
        </w:tc>
      </w:tr>
      <w:tr w:rsidR="00817A82" w:rsidRPr="008B10BB" w14:paraId="0DBE8183" w14:textId="77777777" w:rsidTr="00701D57">
        <w:tc>
          <w:tcPr>
            <w:tcW w:w="2405" w:type="dxa"/>
            <w:tcBorders>
              <w:top w:val="single" w:sz="4" w:space="0" w:color="auto"/>
              <w:left w:val="single" w:sz="4" w:space="0" w:color="auto"/>
              <w:bottom w:val="single" w:sz="4" w:space="0" w:color="auto"/>
              <w:right w:val="single" w:sz="4" w:space="0" w:color="auto"/>
            </w:tcBorders>
          </w:tcPr>
          <w:p w14:paraId="199FAFC0" w14:textId="1CF04C8C" w:rsidR="00817A82" w:rsidRPr="008B10BB" w:rsidRDefault="00024F92" w:rsidP="00BA2200">
            <w:pPr>
              <w:spacing w:before="60" w:after="60"/>
              <w:jc w:val="left"/>
              <w:rPr>
                <w:sz w:val="20"/>
                <w:szCs w:val="22"/>
              </w:rPr>
            </w:pPr>
            <w:r w:rsidRPr="00E77B5F">
              <w:rPr>
                <w:sz w:val="20"/>
                <w:szCs w:val="22"/>
              </w:rPr>
              <w:t xml:space="preserve">Seventeenth </w:t>
            </w:r>
            <w:r w:rsidR="00817A82" w:rsidRPr="00E77B5F">
              <w:rPr>
                <w:sz w:val="20"/>
                <w:szCs w:val="22"/>
              </w:rPr>
              <w:t>(2026)</w:t>
            </w:r>
          </w:p>
        </w:tc>
        <w:tc>
          <w:tcPr>
            <w:tcW w:w="7088" w:type="dxa"/>
            <w:tcBorders>
              <w:top w:val="single" w:sz="4" w:space="0" w:color="auto"/>
              <w:left w:val="single" w:sz="4" w:space="0" w:color="auto"/>
              <w:bottom w:val="single" w:sz="4" w:space="0" w:color="auto"/>
              <w:right w:val="single" w:sz="4" w:space="0" w:color="auto"/>
            </w:tcBorders>
          </w:tcPr>
          <w:p w14:paraId="1FFDB3A6" w14:textId="4735FB35" w:rsidR="000F49DC" w:rsidRPr="00701D57" w:rsidRDefault="00567AFA" w:rsidP="00BA2200">
            <w:pPr>
              <w:spacing w:before="60" w:after="60"/>
              <w:ind w:left="360" w:hanging="360"/>
              <w:jc w:val="left"/>
              <w:rPr>
                <w:i/>
                <w:iCs/>
                <w:snapToGrid w:val="0"/>
                <w:sz w:val="20"/>
                <w:szCs w:val="22"/>
              </w:rPr>
            </w:pPr>
            <w:r w:rsidRPr="00E77B5F">
              <w:rPr>
                <w:rFonts w:asciiTheme="majorBidi" w:hAnsiTheme="majorBidi" w:cstheme="majorBidi"/>
                <w:sz w:val="20"/>
                <w:szCs w:val="22"/>
              </w:rPr>
              <w:t>(a)</w:t>
            </w:r>
            <w:r w:rsidR="00817A82" w:rsidRPr="008B10BB">
              <w:rPr>
                <w:rFonts w:ascii="Symbol" w:hAnsi="Symbol"/>
                <w:sz w:val="20"/>
                <w:szCs w:val="22"/>
              </w:rPr>
              <w:tab/>
            </w:r>
            <w:r w:rsidR="00291EC3" w:rsidRPr="0012724F">
              <w:rPr>
                <w:color w:val="000000"/>
                <w:sz w:val="20"/>
                <w:szCs w:val="20"/>
              </w:rPr>
              <w:t>Global analysis of information in national biodiversity strategies and action plans, including national targets</w:t>
            </w:r>
            <w:r w:rsidR="00361908">
              <w:rPr>
                <w:color w:val="000000"/>
                <w:sz w:val="20"/>
                <w:szCs w:val="20"/>
              </w:rPr>
              <w:t>,</w:t>
            </w:r>
            <w:r w:rsidR="00291EC3" w:rsidRPr="0012724F">
              <w:rPr>
                <w:color w:val="000000"/>
                <w:sz w:val="20"/>
                <w:szCs w:val="20"/>
              </w:rPr>
              <w:t xml:space="preserve"> to assess the contribution towards </w:t>
            </w:r>
            <w:r w:rsidR="00696414">
              <w:rPr>
                <w:color w:val="000000"/>
                <w:sz w:val="20"/>
                <w:szCs w:val="20"/>
              </w:rPr>
              <w:t xml:space="preserve">implementation of </w:t>
            </w:r>
            <w:r w:rsidR="00291EC3" w:rsidRPr="0012724F">
              <w:rPr>
                <w:color w:val="000000"/>
                <w:sz w:val="20"/>
                <w:szCs w:val="20"/>
              </w:rPr>
              <w:t>the Kunming-Montreal Global Biodiversity Framework;</w:t>
            </w:r>
          </w:p>
          <w:p w14:paraId="7B1F102C" w14:textId="7910BABB" w:rsidR="00E526DF" w:rsidRPr="0012724F" w:rsidRDefault="00E526DF" w:rsidP="00BA2200">
            <w:pPr>
              <w:spacing w:before="60" w:after="60"/>
              <w:ind w:left="360" w:hanging="360"/>
              <w:jc w:val="left"/>
              <w:rPr>
                <w:rFonts w:ascii="Symbol" w:hAnsi="Symbol"/>
                <w:sz w:val="20"/>
              </w:rPr>
            </w:pPr>
            <w:r w:rsidRPr="0012724F">
              <w:rPr>
                <w:color w:val="000000"/>
                <w:sz w:val="20"/>
                <w:szCs w:val="20"/>
              </w:rPr>
              <w:t>(b)</w:t>
            </w:r>
            <w:r w:rsidR="00E77733" w:rsidRPr="0012724F">
              <w:rPr>
                <w:color w:val="000000"/>
                <w:sz w:val="20"/>
                <w:szCs w:val="20"/>
              </w:rPr>
              <w:tab/>
            </w:r>
            <w:r w:rsidR="00291EC3" w:rsidRPr="0012724F">
              <w:rPr>
                <w:sz w:val="20"/>
                <w:szCs w:val="22"/>
              </w:rPr>
              <w:t xml:space="preserve">Global review of the </w:t>
            </w:r>
            <w:r w:rsidR="00291EC3" w:rsidRPr="0012724F">
              <w:rPr>
                <w:snapToGrid w:val="0"/>
                <w:sz w:val="20"/>
                <w:szCs w:val="22"/>
              </w:rPr>
              <w:t xml:space="preserve">implementation of the Framework and related means of implementation based on, inter alia, the seventh national </w:t>
            </w:r>
            <w:proofErr w:type="spellStart"/>
            <w:proofErr w:type="gramStart"/>
            <w:r w:rsidR="00291EC3" w:rsidRPr="0012724F">
              <w:rPr>
                <w:snapToGrid w:val="0"/>
                <w:sz w:val="20"/>
                <w:szCs w:val="22"/>
              </w:rPr>
              <w:t>reports;</w:t>
            </w:r>
            <w:r w:rsidR="00291EC3" w:rsidRPr="0012724F">
              <w:rPr>
                <w:i/>
                <w:iCs/>
                <w:snapToGrid w:val="0"/>
                <w:sz w:val="20"/>
                <w:szCs w:val="22"/>
                <w:vertAlign w:val="superscript"/>
              </w:rPr>
              <w:t>a</w:t>
            </w:r>
            <w:proofErr w:type="spellEnd"/>
            <w:proofErr w:type="gramEnd"/>
          </w:p>
          <w:p w14:paraId="31AEC05D" w14:textId="3DA59E28" w:rsidR="00291EC3" w:rsidRPr="0012724F" w:rsidRDefault="00291EC3" w:rsidP="00BA2200">
            <w:pPr>
              <w:spacing w:before="60" w:after="60"/>
              <w:ind w:left="360" w:hanging="360"/>
              <w:jc w:val="left"/>
              <w:rPr>
                <w:color w:val="000000"/>
                <w:sz w:val="20"/>
                <w:szCs w:val="20"/>
              </w:rPr>
            </w:pPr>
            <w:r w:rsidRPr="0012724F">
              <w:rPr>
                <w:color w:val="000000"/>
                <w:sz w:val="20"/>
                <w:szCs w:val="20"/>
              </w:rPr>
              <w:t>(c)</w:t>
            </w:r>
            <w:r w:rsidR="00E77733" w:rsidRPr="0012724F">
              <w:rPr>
                <w:color w:val="000000"/>
                <w:sz w:val="20"/>
                <w:szCs w:val="20"/>
              </w:rPr>
              <w:tab/>
            </w:r>
            <w:r w:rsidRPr="0012724F">
              <w:rPr>
                <w:color w:val="000000"/>
                <w:sz w:val="20"/>
                <w:szCs w:val="20"/>
              </w:rPr>
              <w:t>Review of the implementation of the monitoring framework</w:t>
            </w:r>
            <w:r w:rsidR="00894075" w:rsidRPr="0012724F">
              <w:rPr>
                <w:color w:val="000000"/>
                <w:sz w:val="20"/>
                <w:szCs w:val="20"/>
              </w:rPr>
              <w:t xml:space="preserve"> for the </w:t>
            </w:r>
            <w:r w:rsidR="00894075" w:rsidRPr="0012724F">
              <w:rPr>
                <w:snapToGrid w:val="0"/>
                <w:sz w:val="20"/>
                <w:szCs w:val="22"/>
              </w:rPr>
              <w:t xml:space="preserve">Kunming-Montreal Global Biodiversity </w:t>
            </w:r>
            <w:proofErr w:type="spellStart"/>
            <w:proofErr w:type="gramStart"/>
            <w:r w:rsidR="00894075" w:rsidRPr="0012724F">
              <w:rPr>
                <w:snapToGrid w:val="0"/>
                <w:sz w:val="20"/>
                <w:szCs w:val="22"/>
              </w:rPr>
              <w:t>Framework</w:t>
            </w:r>
            <w:r w:rsidRPr="0012724F">
              <w:rPr>
                <w:color w:val="000000"/>
                <w:sz w:val="20"/>
                <w:szCs w:val="20"/>
              </w:rPr>
              <w:t>;</w:t>
            </w:r>
            <w:r w:rsidR="00F21261" w:rsidRPr="00F21261">
              <w:rPr>
                <w:i/>
                <w:iCs/>
                <w:color w:val="000000"/>
                <w:sz w:val="20"/>
                <w:szCs w:val="20"/>
                <w:vertAlign w:val="superscript"/>
              </w:rPr>
              <w:t>b</w:t>
            </w:r>
            <w:proofErr w:type="spellEnd"/>
            <w:proofErr w:type="gramEnd"/>
          </w:p>
          <w:p w14:paraId="37D4BA88" w14:textId="7A49DA22" w:rsidR="00817A82" w:rsidRPr="0012724F" w:rsidRDefault="00567AFA" w:rsidP="00BA2200">
            <w:pPr>
              <w:spacing w:before="60" w:after="60"/>
              <w:ind w:left="360" w:hanging="360"/>
              <w:jc w:val="left"/>
              <w:rPr>
                <w:snapToGrid w:val="0"/>
                <w:sz w:val="20"/>
                <w:szCs w:val="22"/>
              </w:rPr>
            </w:pPr>
            <w:r w:rsidRPr="0012724F">
              <w:rPr>
                <w:rFonts w:ascii="Symbol" w:hAnsi="Symbol"/>
                <w:snapToGrid w:val="0"/>
                <w:sz w:val="20"/>
                <w:szCs w:val="22"/>
              </w:rPr>
              <w:t>(</w:t>
            </w:r>
            <w:r w:rsidR="00291EC3" w:rsidRPr="0012724F">
              <w:rPr>
                <w:rFonts w:asciiTheme="majorBidi" w:hAnsiTheme="majorBidi" w:cstheme="majorBidi"/>
                <w:snapToGrid w:val="0"/>
                <w:sz w:val="20"/>
                <w:szCs w:val="22"/>
              </w:rPr>
              <w:t>d</w:t>
            </w:r>
            <w:r w:rsidRPr="0012724F">
              <w:rPr>
                <w:rFonts w:ascii="Symbol" w:hAnsi="Symbol"/>
                <w:snapToGrid w:val="0"/>
                <w:sz w:val="20"/>
                <w:szCs w:val="22"/>
              </w:rPr>
              <w:t>)</w:t>
            </w:r>
            <w:r w:rsidR="00817A82" w:rsidRPr="0012724F">
              <w:rPr>
                <w:rFonts w:ascii="Symbol" w:hAnsi="Symbol"/>
                <w:snapToGrid w:val="0"/>
                <w:sz w:val="20"/>
                <w:szCs w:val="22"/>
              </w:rPr>
              <w:tab/>
            </w:r>
            <w:r w:rsidR="00817A82" w:rsidRPr="0012724F">
              <w:rPr>
                <w:snapToGrid w:val="0"/>
                <w:sz w:val="20"/>
                <w:szCs w:val="22"/>
              </w:rPr>
              <w:t xml:space="preserve">Strategic actions to enhance </w:t>
            </w:r>
            <w:r w:rsidR="00CC6320" w:rsidRPr="0012724F">
              <w:rPr>
                <w:snapToGrid w:val="0"/>
                <w:sz w:val="20"/>
                <w:szCs w:val="22"/>
              </w:rPr>
              <w:t xml:space="preserve">the </w:t>
            </w:r>
            <w:r w:rsidR="00817A82" w:rsidRPr="0012724F">
              <w:rPr>
                <w:snapToGrid w:val="0"/>
                <w:sz w:val="20"/>
                <w:szCs w:val="22"/>
              </w:rPr>
              <w:t xml:space="preserve">implementation of the Convention </w:t>
            </w:r>
            <w:r w:rsidR="006E1E60">
              <w:rPr>
                <w:snapToGrid w:val="0"/>
                <w:sz w:val="20"/>
                <w:szCs w:val="22"/>
              </w:rPr>
              <w:t xml:space="preserve">on Biological Diversity </w:t>
            </w:r>
            <w:r w:rsidR="00817A82" w:rsidRPr="0012724F">
              <w:rPr>
                <w:snapToGrid w:val="0"/>
                <w:sz w:val="20"/>
                <w:szCs w:val="22"/>
              </w:rPr>
              <w:t>and the Framework</w:t>
            </w:r>
            <w:r w:rsidR="00D34DFB" w:rsidRPr="0012724F">
              <w:rPr>
                <w:snapToGrid w:val="0"/>
                <w:sz w:val="20"/>
                <w:szCs w:val="22"/>
              </w:rPr>
              <w:t xml:space="preserve">, including </w:t>
            </w:r>
            <w:r w:rsidR="00CC6320" w:rsidRPr="0012724F">
              <w:rPr>
                <w:snapToGrid w:val="0"/>
                <w:sz w:val="20"/>
                <w:szCs w:val="22"/>
              </w:rPr>
              <w:t xml:space="preserve">in </w:t>
            </w:r>
            <w:r w:rsidR="00D34DFB" w:rsidRPr="0012724F">
              <w:rPr>
                <w:snapToGrid w:val="0"/>
                <w:sz w:val="20"/>
                <w:szCs w:val="22"/>
              </w:rPr>
              <w:t>relation to means of implementation</w:t>
            </w:r>
            <w:r w:rsidR="002478AC" w:rsidRPr="0012724F">
              <w:rPr>
                <w:snapToGrid w:val="0"/>
                <w:sz w:val="20"/>
                <w:szCs w:val="22"/>
              </w:rPr>
              <w:t>;</w:t>
            </w:r>
          </w:p>
          <w:p w14:paraId="532128D2" w14:textId="7CF30C13" w:rsidR="00104949" w:rsidRPr="0012724F" w:rsidRDefault="00983057" w:rsidP="00BA2200">
            <w:pPr>
              <w:spacing w:before="60" w:after="60"/>
              <w:ind w:left="360" w:hanging="360"/>
              <w:jc w:val="left"/>
              <w:rPr>
                <w:snapToGrid w:val="0"/>
                <w:sz w:val="20"/>
                <w:szCs w:val="20"/>
              </w:rPr>
            </w:pPr>
            <w:r w:rsidRPr="0012724F">
              <w:rPr>
                <w:color w:val="000000"/>
                <w:sz w:val="20"/>
              </w:rPr>
              <w:t>(</w:t>
            </w:r>
            <w:r w:rsidR="00291EC3" w:rsidRPr="0012724F">
              <w:rPr>
                <w:color w:val="000000"/>
                <w:sz w:val="20"/>
                <w:szCs w:val="20"/>
              </w:rPr>
              <w:t>e</w:t>
            </w:r>
            <w:r w:rsidRPr="0012724F">
              <w:rPr>
                <w:color w:val="000000"/>
                <w:sz w:val="20"/>
                <w:szCs w:val="20"/>
              </w:rPr>
              <w:t>)</w:t>
            </w:r>
            <w:r w:rsidR="00E77733" w:rsidRPr="0012724F">
              <w:rPr>
                <w:color w:val="000000"/>
                <w:sz w:val="20"/>
                <w:szCs w:val="20"/>
              </w:rPr>
              <w:tab/>
            </w:r>
            <w:r w:rsidRPr="0012724F">
              <w:rPr>
                <w:color w:val="000000"/>
                <w:sz w:val="20"/>
                <w:szCs w:val="20"/>
              </w:rPr>
              <w:t xml:space="preserve">Further work on tools and guidance related to mainstreaming </w:t>
            </w:r>
            <w:proofErr w:type="spellStart"/>
            <w:proofErr w:type="gramStart"/>
            <w:r w:rsidRPr="0012724F">
              <w:rPr>
                <w:color w:val="000000"/>
                <w:sz w:val="20"/>
                <w:szCs w:val="20"/>
              </w:rPr>
              <w:t>biodiversity</w:t>
            </w:r>
            <w:r w:rsidR="0046185C" w:rsidRPr="0012724F">
              <w:rPr>
                <w:color w:val="000000"/>
                <w:sz w:val="20"/>
                <w:szCs w:val="20"/>
              </w:rPr>
              <w:t>;</w:t>
            </w:r>
            <w:r w:rsidR="00F21261">
              <w:rPr>
                <w:i/>
                <w:iCs/>
                <w:color w:val="000000"/>
                <w:sz w:val="20"/>
                <w:szCs w:val="20"/>
                <w:vertAlign w:val="superscript"/>
              </w:rPr>
              <w:t>c</w:t>
            </w:r>
            <w:proofErr w:type="spellEnd"/>
            <w:proofErr w:type="gramEnd"/>
          </w:p>
          <w:p w14:paraId="5605951F" w14:textId="3215EB0A" w:rsidR="004A1B66" w:rsidRPr="008B10BB" w:rsidRDefault="00CD4A98" w:rsidP="00BA2200">
            <w:pPr>
              <w:spacing w:before="60" w:after="60"/>
              <w:ind w:left="360" w:hanging="360"/>
              <w:jc w:val="left"/>
              <w:rPr>
                <w:snapToGrid w:val="0"/>
                <w:sz w:val="20"/>
              </w:rPr>
            </w:pPr>
            <w:r w:rsidRPr="0012724F">
              <w:rPr>
                <w:sz w:val="20"/>
                <w:szCs w:val="22"/>
              </w:rPr>
              <w:t>(</w:t>
            </w:r>
            <w:r w:rsidR="00291EC3" w:rsidRPr="0012724F">
              <w:rPr>
                <w:sz w:val="20"/>
                <w:szCs w:val="22"/>
              </w:rPr>
              <w:t>f</w:t>
            </w:r>
            <w:r w:rsidRPr="0012724F">
              <w:rPr>
                <w:sz w:val="20"/>
                <w:szCs w:val="22"/>
              </w:rPr>
              <w:t>)</w:t>
            </w:r>
            <w:r w:rsidR="00817A82" w:rsidRPr="0012724F">
              <w:rPr>
                <w:rFonts w:ascii="Symbol" w:hAnsi="Symbol"/>
                <w:sz w:val="20"/>
                <w:szCs w:val="22"/>
              </w:rPr>
              <w:tab/>
            </w:r>
            <w:r w:rsidR="00817A82" w:rsidRPr="0012724F">
              <w:rPr>
                <w:sz w:val="20"/>
                <w:szCs w:val="22"/>
              </w:rPr>
              <w:t xml:space="preserve">Implications for the work </w:t>
            </w:r>
            <w:r w:rsidR="00171A8D">
              <w:rPr>
                <w:sz w:val="20"/>
                <w:szCs w:val="22"/>
              </w:rPr>
              <w:t xml:space="preserve">of </w:t>
            </w:r>
            <w:r w:rsidR="00817A82" w:rsidRPr="0012724F">
              <w:rPr>
                <w:sz w:val="20"/>
                <w:szCs w:val="22"/>
              </w:rPr>
              <w:t>the Convention o</w:t>
            </w:r>
            <w:r w:rsidR="002C3713">
              <w:rPr>
                <w:sz w:val="20"/>
                <w:szCs w:val="22"/>
              </w:rPr>
              <w:t>f</w:t>
            </w:r>
            <w:r w:rsidR="00817A82" w:rsidRPr="0012724F">
              <w:rPr>
                <w:sz w:val="20"/>
                <w:szCs w:val="22"/>
              </w:rPr>
              <w:t xml:space="preserve"> the </w:t>
            </w:r>
            <w:r w:rsidR="00CA6595" w:rsidRPr="0012724F">
              <w:rPr>
                <w:sz w:val="20"/>
                <w:szCs w:val="22"/>
              </w:rPr>
              <w:t>deliverables</w:t>
            </w:r>
            <w:r w:rsidR="00662D8D" w:rsidRPr="0012724F" w:rsidDel="00CA6595">
              <w:rPr>
                <w:sz w:val="20"/>
                <w:szCs w:val="22"/>
              </w:rPr>
              <w:t xml:space="preserve"> </w:t>
            </w:r>
            <w:r w:rsidR="003724DF" w:rsidRPr="0012724F" w:rsidDel="00CA6595">
              <w:rPr>
                <w:sz w:val="20"/>
                <w:szCs w:val="22"/>
              </w:rPr>
              <w:t xml:space="preserve">of the </w:t>
            </w:r>
            <w:r w:rsidR="003724DF" w:rsidRPr="0012724F">
              <w:rPr>
                <w:sz w:val="20"/>
                <w:szCs w:val="22"/>
              </w:rPr>
              <w:t>Intergovernmental Science-Policy Platform on Biodiversity and Ecosystem Services</w:t>
            </w:r>
            <w:r w:rsidR="00CA6595" w:rsidRPr="0012724F">
              <w:rPr>
                <w:sz w:val="20"/>
                <w:szCs w:val="22"/>
              </w:rPr>
              <w:t>, including</w:t>
            </w:r>
            <w:r w:rsidR="004A1B66" w:rsidRPr="0012724F">
              <w:rPr>
                <w:sz w:val="20"/>
                <w:szCs w:val="22"/>
              </w:rPr>
              <w:t>:</w:t>
            </w:r>
          </w:p>
          <w:p w14:paraId="494C79FF" w14:textId="0DE6A4FE" w:rsidR="004A1B66" w:rsidRPr="008B10BB" w:rsidRDefault="00DE3162" w:rsidP="00BA2200">
            <w:pPr>
              <w:pStyle w:val="Para1"/>
              <w:numPr>
                <w:ilvl w:val="0"/>
                <w:numId w:val="0"/>
              </w:numPr>
              <w:tabs>
                <w:tab w:val="clear" w:pos="1134"/>
                <w:tab w:val="left" w:pos="2268"/>
              </w:tabs>
              <w:spacing w:before="60" w:after="60"/>
              <w:ind w:left="927" w:hanging="567"/>
              <w:jc w:val="left"/>
              <w:rPr>
                <w:sz w:val="20"/>
              </w:rPr>
            </w:pPr>
            <w:r w:rsidRPr="008B10BB">
              <w:rPr>
                <w:sz w:val="20"/>
              </w:rPr>
              <w:t>(</w:t>
            </w:r>
            <w:proofErr w:type="spellStart"/>
            <w:r w:rsidRPr="008B10BB">
              <w:rPr>
                <w:sz w:val="20"/>
              </w:rPr>
              <w:t>i</w:t>
            </w:r>
            <w:proofErr w:type="spellEnd"/>
            <w:r w:rsidRPr="008B10BB">
              <w:rPr>
                <w:sz w:val="20"/>
              </w:rPr>
              <w:t>)</w:t>
            </w:r>
            <w:r w:rsidRPr="008B10BB">
              <w:rPr>
                <w:sz w:val="20"/>
              </w:rPr>
              <w:tab/>
            </w:r>
            <w:r w:rsidR="004A1B66" w:rsidRPr="008B10BB">
              <w:rPr>
                <w:sz w:val="20"/>
              </w:rPr>
              <w:t>Thematic assessment of the interlinkages among biodiversity, water, food and health (“</w:t>
            </w:r>
            <w:r w:rsidR="00A02BAC">
              <w:rPr>
                <w:sz w:val="20"/>
              </w:rPr>
              <w:t>n</w:t>
            </w:r>
            <w:r w:rsidR="004A1B66" w:rsidRPr="008B10BB">
              <w:rPr>
                <w:sz w:val="20"/>
              </w:rPr>
              <w:t>exus assessment”)</w:t>
            </w:r>
            <w:r w:rsidR="00143AA2" w:rsidRPr="008B10BB">
              <w:rPr>
                <w:sz w:val="20"/>
              </w:rPr>
              <w:t>;</w:t>
            </w:r>
          </w:p>
          <w:p w14:paraId="5A2FA4B6" w14:textId="030F8047" w:rsidR="004A1B66" w:rsidRPr="008B10BB" w:rsidRDefault="00DE3162" w:rsidP="00BA2200">
            <w:pPr>
              <w:pStyle w:val="Para1"/>
              <w:numPr>
                <w:ilvl w:val="0"/>
                <w:numId w:val="0"/>
              </w:numPr>
              <w:tabs>
                <w:tab w:val="clear" w:pos="1134"/>
                <w:tab w:val="left" w:pos="2268"/>
              </w:tabs>
              <w:spacing w:before="60" w:after="60"/>
              <w:ind w:left="927" w:hanging="567"/>
              <w:jc w:val="left"/>
              <w:rPr>
                <w:sz w:val="20"/>
              </w:rPr>
            </w:pPr>
            <w:r w:rsidRPr="008B10BB">
              <w:rPr>
                <w:sz w:val="20"/>
              </w:rPr>
              <w:t>(ii)</w:t>
            </w:r>
            <w:r w:rsidRPr="008B10BB">
              <w:rPr>
                <w:sz w:val="20"/>
              </w:rPr>
              <w:tab/>
            </w:r>
            <w:r w:rsidR="004A1B66" w:rsidRPr="008B10BB">
              <w:rPr>
                <w:sz w:val="20"/>
              </w:rPr>
              <w:t>Thematic assessment of the underlying causes of biodiversity loss, determinants of transformative change and options for achieving the 2050 vision for biodiversity</w:t>
            </w:r>
            <w:r w:rsidR="00143AA2" w:rsidRPr="008B10BB">
              <w:rPr>
                <w:sz w:val="20"/>
              </w:rPr>
              <w:t>;</w:t>
            </w:r>
          </w:p>
          <w:p w14:paraId="37CD6D6E" w14:textId="362EDC8C" w:rsidR="004B3474" w:rsidRPr="003E4150" w:rsidRDefault="00DE3162" w:rsidP="00BA2200">
            <w:pPr>
              <w:pStyle w:val="Para1"/>
              <w:numPr>
                <w:ilvl w:val="0"/>
                <w:numId w:val="0"/>
              </w:numPr>
              <w:tabs>
                <w:tab w:val="clear" w:pos="1134"/>
                <w:tab w:val="left" w:pos="2268"/>
              </w:tabs>
              <w:spacing w:before="60" w:after="60"/>
              <w:ind w:left="927" w:hanging="567"/>
              <w:jc w:val="left"/>
              <w:rPr>
                <w:color w:val="000000"/>
                <w:sz w:val="20"/>
                <w:szCs w:val="20"/>
              </w:rPr>
            </w:pPr>
            <w:r w:rsidRPr="008B10BB">
              <w:rPr>
                <w:sz w:val="20"/>
              </w:rPr>
              <w:t>(iii)</w:t>
            </w:r>
            <w:r w:rsidRPr="008B10BB">
              <w:rPr>
                <w:sz w:val="20"/>
              </w:rPr>
              <w:tab/>
            </w:r>
            <w:r w:rsidR="004A1B66" w:rsidRPr="008B10BB">
              <w:rPr>
                <w:sz w:val="20"/>
              </w:rPr>
              <w:t xml:space="preserve">Methodological assessment of the impact and dependence of business on biodiversity and </w:t>
            </w:r>
            <w:r w:rsidR="00FE2FC3">
              <w:rPr>
                <w:sz w:val="20"/>
              </w:rPr>
              <w:t>nature’s</w:t>
            </w:r>
            <w:r w:rsidR="00820CF5" w:rsidRPr="008B10BB">
              <w:rPr>
                <w:sz w:val="20"/>
              </w:rPr>
              <w:t xml:space="preserve"> contributions </w:t>
            </w:r>
            <w:r w:rsidR="004A1B66" w:rsidRPr="008B10BB">
              <w:rPr>
                <w:sz w:val="20"/>
              </w:rPr>
              <w:t>to people</w:t>
            </w:r>
            <w:r w:rsidR="002B1FDD">
              <w:rPr>
                <w:sz w:val="20"/>
              </w:rPr>
              <w:t>;</w:t>
            </w:r>
          </w:p>
          <w:p w14:paraId="5D6C8141" w14:textId="1088D686" w:rsidR="00817A82" w:rsidRPr="00E77B5F" w:rsidRDefault="0083187B" w:rsidP="00BA2200">
            <w:pPr>
              <w:spacing w:before="60" w:after="60"/>
              <w:ind w:left="360" w:hanging="360"/>
              <w:jc w:val="left"/>
              <w:rPr>
                <w:snapToGrid w:val="0"/>
                <w:sz w:val="20"/>
              </w:rPr>
            </w:pPr>
            <w:r>
              <w:rPr>
                <w:sz w:val="20"/>
                <w:szCs w:val="22"/>
              </w:rPr>
              <w:t>[</w:t>
            </w:r>
            <w:r w:rsidR="00391B4F" w:rsidRPr="00E77B5F">
              <w:rPr>
                <w:sz w:val="20"/>
                <w:szCs w:val="22"/>
              </w:rPr>
              <w:t>(</w:t>
            </w:r>
            <w:r w:rsidR="00F103F6">
              <w:rPr>
                <w:sz w:val="20"/>
                <w:szCs w:val="22"/>
              </w:rPr>
              <w:t>g</w:t>
            </w:r>
            <w:r w:rsidR="00391B4F" w:rsidRPr="00E77B5F">
              <w:rPr>
                <w:sz w:val="20"/>
                <w:szCs w:val="22"/>
              </w:rPr>
              <w:t>)</w:t>
            </w:r>
            <w:r w:rsidR="00391B4F" w:rsidRPr="008B10BB">
              <w:rPr>
                <w:rFonts w:ascii="Symbol" w:hAnsi="Symbol"/>
                <w:sz w:val="20"/>
                <w:szCs w:val="22"/>
              </w:rPr>
              <w:tab/>
            </w:r>
            <w:r w:rsidR="00817A82" w:rsidRPr="008B10BB">
              <w:rPr>
                <w:sz w:val="20"/>
              </w:rPr>
              <w:t xml:space="preserve">Tools and </w:t>
            </w:r>
            <w:r w:rsidR="00C44D39" w:rsidRPr="008B10BB">
              <w:rPr>
                <w:sz w:val="20"/>
              </w:rPr>
              <w:t>g</w:t>
            </w:r>
            <w:r w:rsidR="00817A82" w:rsidRPr="008B10BB">
              <w:rPr>
                <w:sz w:val="20"/>
              </w:rPr>
              <w:t xml:space="preserve">uidance </w:t>
            </w:r>
            <w:r w:rsidR="00817A82" w:rsidRPr="008B10BB">
              <w:rPr>
                <w:snapToGrid w:val="0"/>
                <w:sz w:val="20"/>
                <w:szCs w:val="22"/>
              </w:rPr>
              <w:t xml:space="preserve">to support </w:t>
            </w:r>
            <w:r w:rsidR="00051403" w:rsidRPr="008B10BB">
              <w:rPr>
                <w:snapToGrid w:val="0"/>
                <w:sz w:val="20"/>
                <w:szCs w:val="22"/>
              </w:rPr>
              <w:t xml:space="preserve">the </w:t>
            </w:r>
            <w:r w:rsidR="00817A82" w:rsidRPr="008B10BB">
              <w:rPr>
                <w:snapToGrid w:val="0"/>
                <w:sz w:val="20"/>
                <w:szCs w:val="22"/>
              </w:rPr>
              <w:t xml:space="preserve">implementation of the </w:t>
            </w:r>
            <w:proofErr w:type="spellStart"/>
            <w:proofErr w:type="gramStart"/>
            <w:r w:rsidR="00817A82" w:rsidRPr="00E77B5F">
              <w:rPr>
                <w:snapToGrid w:val="0"/>
                <w:sz w:val="20"/>
                <w:szCs w:val="22"/>
              </w:rPr>
              <w:t>Framework</w:t>
            </w:r>
            <w:r w:rsidR="00817A82" w:rsidRPr="008B10BB">
              <w:rPr>
                <w:snapToGrid w:val="0"/>
                <w:sz w:val="20"/>
              </w:rPr>
              <w:t>:</w:t>
            </w:r>
            <w:r w:rsidR="00822BE0">
              <w:rPr>
                <w:i/>
                <w:iCs/>
                <w:sz w:val="20"/>
                <w:vertAlign w:val="superscript"/>
              </w:rPr>
              <w:t>d</w:t>
            </w:r>
            <w:proofErr w:type="spellEnd"/>
            <w:proofErr w:type="gramEnd"/>
          </w:p>
          <w:p w14:paraId="42153165" w14:textId="2191621A" w:rsidR="00817A82" w:rsidRPr="008B10BB" w:rsidRDefault="00DE3162" w:rsidP="00BA2200">
            <w:pPr>
              <w:pStyle w:val="Para1"/>
              <w:numPr>
                <w:ilvl w:val="0"/>
                <w:numId w:val="0"/>
              </w:numPr>
              <w:tabs>
                <w:tab w:val="clear" w:pos="1134"/>
                <w:tab w:val="left" w:pos="2268"/>
              </w:tabs>
              <w:spacing w:before="60" w:after="60"/>
              <w:ind w:left="927" w:hanging="567"/>
              <w:jc w:val="left"/>
              <w:rPr>
                <w:sz w:val="20"/>
              </w:rPr>
            </w:pPr>
            <w:r w:rsidRPr="008B10BB">
              <w:rPr>
                <w:sz w:val="20"/>
              </w:rPr>
              <w:t>(</w:t>
            </w:r>
            <w:proofErr w:type="spellStart"/>
            <w:r w:rsidRPr="008B10BB">
              <w:rPr>
                <w:sz w:val="20"/>
              </w:rPr>
              <w:t>i</w:t>
            </w:r>
            <w:proofErr w:type="spellEnd"/>
            <w:r w:rsidRPr="008B10BB">
              <w:rPr>
                <w:sz w:val="20"/>
              </w:rPr>
              <w:t>)</w:t>
            </w:r>
            <w:r w:rsidRPr="008B10BB">
              <w:rPr>
                <w:sz w:val="20"/>
              </w:rPr>
              <w:tab/>
            </w:r>
            <w:r w:rsidR="00143AA2" w:rsidRPr="00E77B5F">
              <w:rPr>
                <w:sz w:val="20"/>
              </w:rPr>
              <w:t>B</w:t>
            </w:r>
            <w:r w:rsidR="00817A82" w:rsidRPr="008B10BB">
              <w:rPr>
                <w:sz w:val="20"/>
              </w:rPr>
              <w:t>iodiversity-inclusive spatial planning</w:t>
            </w:r>
            <w:r w:rsidR="00906614" w:rsidRPr="008B10BB">
              <w:rPr>
                <w:sz w:val="20"/>
              </w:rPr>
              <w:t>;</w:t>
            </w:r>
            <w:r w:rsidR="00817A82" w:rsidRPr="008B10BB">
              <w:rPr>
                <w:sz w:val="20"/>
              </w:rPr>
              <w:t xml:space="preserve"> </w:t>
            </w:r>
          </w:p>
          <w:p w14:paraId="22C53422" w14:textId="616D4F2B" w:rsidR="00817A82" w:rsidRPr="008B10BB" w:rsidRDefault="00DE3162" w:rsidP="00BA2200">
            <w:pPr>
              <w:pStyle w:val="Para1"/>
              <w:numPr>
                <w:ilvl w:val="0"/>
                <w:numId w:val="0"/>
              </w:numPr>
              <w:tabs>
                <w:tab w:val="clear" w:pos="1134"/>
                <w:tab w:val="left" w:pos="2268"/>
              </w:tabs>
              <w:spacing w:before="60" w:after="60"/>
              <w:ind w:left="927" w:hanging="567"/>
              <w:jc w:val="left"/>
              <w:rPr>
                <w:sz w:val="20"/>
              </w:rPr>
            </w:pPr>
            <w:r w:rsidRPr="008B10BB">
              <w:rPr>
                <w:sz w:val="20"/>
              </w:rPr>
              <w:t>(ii)</w:t>
            </w:r>
            <w:r w:rsidRPr="008B10BB">
              <w:rPr>
                <w:sz w:val="20"/>
              </w:rPr>
              <w:tab/>
            </w:r>
            <w:r w:rsidR="00817A82" w:rsidRPr="008B10BB">
              <w:rPr>
                <w:sz w:val="20"/>
              </w:rPr>
              <w:t>Pollution and biodiversity</w:t>
            </w:r>
            <w:r w:rsidR="00906614" w:rsidRPr="008B10BB">
              <w:rPr>
                <w:sz w:val="20"/>
              </w:rPr>
              <w:t>;</w:t>
            </w:r>
          </w:p>
          <w:p w14:paraId="29CA40E4" w14:textId="3ECFA55A" w:rsidR="00817A82" w:rsidRPr="00FE536D" w:rsidRDefault="00DE3162" w:rsidP="00701D57">
            <w:pPr>
              <w:pStyle w:val="Para1"/>
              <w:numPr>
                <w:ilvl w:val="0"/>
                <w:numId w:val="0"/>
              </w:numPr>
              <w:tabs>
                <w:tab w:val="clear" w:pos="1134"/>
                <w:tab w:val="left" w:pos="2268"/>
              </w:tabs>
              <w:spacing w:before="60" w:after="60"/>
              <w:ind w:left="927" w:hanging="567"/>
              <w:jc w:val="left"/>
              <w:rPr>
                <w:color w:val="000000"/>
                <w:sz w:val="27"/>
              </w:rPr>
            </w:pPr>
            <w:r w:rsidRPr="008B10BB">
              <w:rPr>
                <w:sz w:val="20"/>
              </w:rPr>
              <w:t>(iii)</w:t>
            </w:r>
            <w:r w:rsidRPr="008B10BB">
              <w:rPr>
                <w:sz w:val="20"/>
              </w:rPr>
              <w:tab/>
            </w:r>
            <w:r w:rsidR="00817A82" w:rsidRPr="008B10BB">
              <w:rPr>
                <w:sz w:val="20"/>
              </w:rPr>
              <w:t>Sustainable biodiversity-based activities, products and services</w:t>
            </w:r>
            <w:r w:rsidR="00F266AB">
              <w:rPr>
                <w:sz w:val="20"/>
              </w:rPr>
              <w:t xml:space="preserve"> </w:t>
            </w:r>
            <w:r w:rsidR="00796BBE">
              <w:rPr>
                <w:sz w:val="20"/>
              </w:rPr>
              <w:t>that</w:t>
            </w:r>
            <w:r w:rsidR="00F266AB">
              <w:rPr>
                <w:sz w:val="20"/>
              </w:rPr>
              <w:t xml:space="preserve"> enhance biodiversity</w:t>
            </w:r>
            <w:r w:rsidR="00906614" w:rsidRPr="008B10BB">
              <w:rPr>
                <w:sz w:val="20"/>
              </w:rPr>
              <w:t>;</w:t>
            </w:r>
          </w:p>
          <w:p w14:paraId="195C6CA4" w14:textId="3F0733E7" w:rsidR="00817A82" w:rsidRPr="00482D86" w:rsidRDefault="00DE3162" w:rsidP="00BA2200">
            <w:pPr>
              <w:pStyle w:val="Para1"/>
              <w:numPr>
                <w:ilvl w:val="0"/>
                <w:numId w:val="0"/>
              </w:numPr>
              <w:tabs>
                <w:tab w:val="clear" w:pos="1134"/>
                <w:tab w:val="left" w:pos="2268"/>
              </w:tabs>
              <w:spacing w:before="60" w:after="60"/>
              <w:ind w:left="927" w:hanging="567"/>
              <w:jc w:val="left"/>
              <w:rPr>
                <w:color w:val="000000"/>
                <w:sz w:val="27"/>
                <w:szCs w:val="27"/>
              </w:rPr>
            </w:pPr>
            <w:r w:rsidRPr="008B10BB">
              <w:rPr>
                <w:sz w:val="20"/>
              </w:rPr>
              <w:t>(iv)</w:t>
            </w:r>
            <w:r w:rsidRPr="008B10BB">
              <w:rPr>
                <w:sz w:val="20"/>
              </w:rPr>
              <w:tab/>
            </w:r>
            <w:r w:rsidR="00817A82" w:rsidRPr="008B10BB">
              <w:rPr>
                <w:sz w:val="20"/>
              </w:rPr>
              <w:t>Equity</w:t>
            </w:r>
            <w:r w:rsidR="00762909">
              <w:rPr>
                <w:sz w:val="20"/>
              </w:rPr>
              <w:t xml:space="preserve">, </w:t>
            </w:r>
            <w:r w:rsidR="00504924">
              <w:rPr>
                <w:sz w:val="20"/>
              </w:rPr>
              <w:t>gender equ</w:t>
            </w:r>
            <w:r w:rsidR="007B42E2">
              <w:rPr>
                <w:sz w:val="20"/>
              </w:rPr>
              <w:t>al</w:t>
            </w:r>
            <w:r w:rsidR="00504924">
              <w:rPr>
                <w:sz w:val="20"/>
              </w:rPr>
              <w:t>ity</w:t>
            </w:r>
            <w:r w:rsidR="0030448C">
              <w:rPr>
                <w:sz w:val="20"/>
              </w:rPr>
              <w:t xml:space="preserve"> </w:t>
            </w:r>
            <w:r w:rsidR="00817A82" w:rsidRPr="008B10BB">
              <w:rPr>
                <w:sz w:val="20"/>
              </w:rPr>
              <w:t>and the human rights-based approach relating to the conservation and sustainable use of biodiversity</w:t>
            </w:r>
            <w:r w:rsidR="00587D7A" w:rsidRPr="0083187B">
              <w:rPr>
                <w:sz w:val="20"/>
              </w:rPr>
              <w:t>;</w:t>
            </w:r>
            <w:r w:rsidR="00482D86" w:rsidRPr="0083187B">
              <w:rPr>
                <w:sz w:val="20"/>
              </w:rPr>
              <w:t>]</w:t>
            </w:r>
          </w:p>
          <w:p w14:paraId="16766C5A" w14:textId="2C55FD0D" w:rsidR="00645AD0" w:rsidRPr="00645AD0" w:rsidRDefault="00645AD0" w:rsidP="00BA2200">
            <w:pPr>
              <w:spacing w:before="60" w:after="60"/>
              <w:ind w:left="360" w:hanging="360"/>
              <w:jc w:val="left"/>
              <w:rPr>
                <w:sz w:val="20"/>
              </w:rPr>
            </w:pPr>
            <w:r w:rsidRPr="00645AD0">
              <w:rPr>
                <w:sz w:val="20"/>
              </w:rPr>
              <w:t>(</w:t>
            </w:r>
            <w:r w:rsidR="00F103F6">
              <w:rPr>
                <w:sz w:val="20"/>
              </w:rPr>
              <w:t>h</w:t>
            </w:r>
            <w:r w:rsidRPr="00645AD0">
              <w:rPr>
                <w:sz w:val="20"/>
              </w:rPr>
              <w:t>)</w:t>
            </w:r>
            <w:r w:rsidR="00E77733">
              <w:rPr>
                <w:sz w:val="20"/>
              </w:rPr>
              <w:tab/>
            </w:r>
            <w:r w:rsidRPr="00645AD0">
              <w:rPr>
                <w:sz w:val="20"/>
              </w:rPr>
              <w:t>Fair and sustainable resource use and consumption patterns</w:t>
            </w:r>
            <w:r w:rsidR="00573713">
              <w:rPr>
                <w:sz w:val="20"/>
              </w:rPr>
              <w:t>;</w:t>
            </w:r>
          </w:p>
          <w:p w14:paraId="4156DD71" w14:textId="125F0654" w:rsidR="00856CEB" w:rsidRPr="008B10BB" w:rsidRDefault="00645AD0" w:rsidP="00BA2200">
            <w:pPr>
              <w:spacing w:before="60" w:after="60"/>
              <w:ind w:left="360" w:hanging="360"/>
              <w:jc w:val="left"/>
              <w:rPr>
                <w:sz w:val="20"/>
              </w:rPr>
            </w:pPr>
            <w:r w:rsidRPr="00645AD0">
              <w:rPr>
                <w:sz w:val="20"/>
              </w:rPr>
              <w:t>(</w:t>
            </w:r>
            <w:proofErr w:type="spellStart"/>
            <w:r w:rsidR="00F103F6">
              <w:rPr>
                <w:sz w:val="20"/>
              </w:rPr>
              <w:t>i</w:t>
            </w:r>
            <w:proofErr w:type="spellEnd"/>
            <w:r w:rsidRPr="00645AD0">
              <w:rPr>
                <w:sz w:val="20"/>
              </w:rPr>
              <w:t>)</w:t>
            </w:r>
            <w:r w:rsidR="00E77733">
              <w:rPr>
                <w:sz w:val="20"/>
              </w:rPr>
              <w:tab/>
            </w:r>
            <w:r w:rsidR="00A94CC4">
              <w:rPr>
                <w:sz w:val="20"/>
              </w:rPr>
              <w:t>R</w:t>
            </w:r>
            <w:r w:rsidRPr="00645AD0">
              <w:rPr>
                <w:sz w:val="20"/>
              </w:rPr>
              <w:t>elationship between biodiversity and sustainable livelihoods</w:t>
            </w:r>
            <w:r w:rsidR="00573713">
              <w:rPr>
                <w:sz w:val="20"/>
              </w:rPr>
              <w:t>;</w:t>
            </w:r>
          </w:p>
          <w:p w14:paraId="55FD2626" w14:textId="68C6CAEF" w:rsidR="00427678" w:rsidRDefault="00A506C8" w:rsidP="00BA2200">
            <w:pPr>
              <w:spacing w:before="60" w:after="60"/>
              <w:ind w:left="360" w:hanging="360"/>
              <w:jc w:val="left"/>
              <w:rPr>
                <w:color w:val="000000"/>
                <w:sz w:val="20"/>
                <w:szCs w:val="20"/>
              </w:rPr>
            </w:pPr>
            <w:r>
              <w:rPr>
                <w:sz w:val="20"/>
                <w:szCs w:val="20"/>
              </w:rPr>
              <w:t>(</w:t>
            </w:r>
            <w:r w:rsidR="00F103F6">
              <w:rPr>
                <w:sz w:val="20"/>
                <w:szCs w:val="20"/>
              </w:rPr>
              <w:t>j</w:t>
            </w:r>
            <w:r w:rsidR="00E5617A" w:rsidDel="00704BA4">
              <w:rPr>
                <w:sz w:val="20"/>
                <w:szCs w:val="20"/>
              </w:rPr>
              <w:t>)</w:t>
            </w:r>
            <w:r w:rsidR="00E77733">
              <w:rPr>
                <w:sz w:val="20"/>
                <w:szCs w:val="20"/>
              </w:rPr>
              <w:tab/>
            </w:r>
            <w:r w:rsidR="00427678" w:rsidRPr="003E4150">
              <w:rPr>
                <w:color w:val="000000"/>
                <w:sz w:val="20"/>
                <w:szCs w:val="20"/>
              </w:rPr>
              <w:t xml:space="preserve">Review and </w:t>
            </w:r>
            <w:r w:rsidR="003D2DF1">
              <w:rPr>
                <w:color w:val="000000"/>
                <w:sz w:val="20"/>
                <w:szCs w:val="20"/>
              </w:rPr>
              <w:t>u</w:t>
            </w:r>
            <w:r w:rsidR="00427678" w:rsidRPr="003E4150">
              <w:rPr>
                <w:color w:val="000000"/>
                <w:sz w:val="20"/>
                <w:szCs w:val="20"/>
              </w:rPr>
              <w:t xml:space="preserve">pdates of the </w:t>
            </w:r>
            <w:r w:rsidR="003D2DF1">
              <w:rPr>
                <w:color w:val="000000"/>
                <w:sz w:val="20"/>
                <w:szCs w:val="20"/>
              </w:rPr>
              <w:t>p</w:t>
            </w:r>
            <w:r w:rsidR="00427678" w:rsidRPr="003E4150">
              <w:rPr>
                <w:color w:val="000000"/>
                <w:sz w:val="20"/>
                <w:szCs w:val="20"/>
              </w:rPr>
              <w:t xml:space="preserve">rogrammes of </w:t>
            </w:r>
            <w:r w:rsidR="003D2DF1">
              <w:rPr>
                <w:color w:val="000000"/>
                <w:sz w:val="20"/>
                <w:szCs w:val="20"/>
              </w:rPr>
              <w:t>w</w:t>
            </w:r>
            <w:r w:rsidR="00427678" w:rsidRPr="003E4150">
              <w:rPr>
                <w:color w:val="000000"/>
                <w:sz w:val="20"/>
                <w:szCs w:val="20"/>
              </w:rPr>
              <w:t>ork</w:t>
            </w:r>
            <w:r w:rsidR="003D2DF1">
              <w:rPr>
                <w:color w:val="000000"/>
                <w:sz w:val="20"/>
                <w:szCs w:val="20"/>
              </w:rPr>
              <w:t xml:space="preserve">, </w:t>
            </w:r>
            <w:r w:rsidR="001850EF" w:rsidRPr="001850EF">
              <w:rPr>
                <w:color w:val="000000"/>
                <w:sz w:val="20"/>
                <w:szCs w:val="20"/>
              </w:rPr>
              <w:t xml:space="preserve">with a </w:t>
            </w:r>
            <w:r w:rsidR="003D2DF1" w:rsidRPr="00FE536D">
              <w:rPr>
                <w:color w:val="000000"/>
                <w:sz w:val="20"/>
                <w:szCs w:val="20"/>
              </w:rPr>
              <w:t>focus on their alignment with the Framework</w:t>
            </w:r>
            <w:r w:rsidR="00573713">
              <w:rPr>
                <w:color w:val="000000"/>
                <w:sz w:val="20"/>
                <w:szCs w:val="20"/>
              </w:rPr>
              <w:t>;</w:t>
            </w:r>
          </w:p>
          <w:p w14:paraId="46A3EBAB" w14:textId="62827D16" w:rsidR="00992B9B" w:rsidRPr="003E4150" w:rsidRDefault="00992B9B" w:rsidP="00BA2200">
            <w:pPr>
              <w:spacing w:before="60" w:after="60"/>
              <w:ind w:left="360" w:hanging="360"/>
              <w:jc w:val="left"/>
              <w:rPr>
                <w:snapToGrid w:val="0"/>
                <w:sz w:val="20"/>
                <w:szCs w:val="20"/>
              </w:rPr>
            </w:pPr>
            <w:r>
              <w:rPr>
                <w:color w:val="000000"/>
                <w:sz w:val="20"/>
                <w:szCs w:val="20"/>
              </w:rPr>
              <w:t>(</w:t>
            </w:r>
            <w:r w:rsidR="002B2EE1">
              <w:rPr>
                <w:color w:val="000000"/>
                <w:sz w:val="20"/>
                <w:szCs w:val="20"/>
              </w:rPr>
              <w:t>k</w:t>
            </w:r>
            <w:r>
              <w:rPr>
                <w:color w:val="000000"/>
                <w:sz w:val="20"/>
                <w:szCs w:val="20"/>
              </w:rPr>
              <w:t>)</w:t>
            </w:r>
            <w:r w:rsidR="001850EF">
              <w:rPr>
                <w:color w:val="000000"/>
                <w:sz w:val="20"/>
                <w:szCs w:val="20"/>
              </w:rPr>
              <w:tab/>
            </w:r>
            <w:r>
              <w:rPr>
                <w:color w:val="000000"/>
                <w:sz w:val="20"/>
                <w:szCs w:val="20"/>
              </w:rPr>
              <w:t>Placeholder for follow</w:t>
            </w:r>
            <w:r w:rsidR="00A94CC4">
              <w:rPr>
                <w:color w:val="000000"/>
                <w:sz w:val="20"/>
                <w:szCs w:val="20"/>
              </w:rPr>
              <w:t>-</w:t>
            </w:r>
            <w:r>
              <w:rPr>
                <w:color w:val="000000"/>
                <w:sz w:val="20"/>
                <w:szCs w:val="20"/>
              </w:rPr>
              <w:t>up, as needed, on</w:t>
            </w:r>
            <w:r w:rsidR="00B61560">
              <w:rPr>
                <w:color w:val="000000"/>
                <w:sz w:val="20"/>
                <w:szCs w:val="20"/>
              </w:rPr>
              <w:t xml:space="preserve"> the </w:t>
            </w:r>
            <w:r w:rsidR="00B61560" w:rsidRPr="00B61560">
              <w:rPr>
                <w:color w:val="000000"/>
                <w:sz w:val="20"/>
                <w:szCs w:val="20"/>
              </w:rPr>
              <w:t>multilateral mechanism for benefit-sharing from the use of digital sequence information on genetic resources</w:t>
            </w:r>
            <w:r w:rsidR="00573713">
              <w:rPr>
                <w:color w:val="000000"/>
                <w:sz w:val="20"/>
                <w:szCs w:val="20"/>
              </w:rPr>
              <w:t>;</w:t>
            </w:r>
          </w:p>
          <w:p w14:paraId="7704C9CC" w14:textId="6ABF5D90" w:rsidR="00947C34" w:rsidRPr="008B10BB" w:rsidRDefault="00391B4F" w:rsidP="00BA2200">
            <w:pPr>
              <w:spacing w:before="60" w:after="60"/>
              <w:ind w:left="360" w:hanging="360"/>
              <w:jc w:val="left"/>
              <w:rPr>
                <w:snapToGrid w:val="0"/>
                <w:sz w:val="20"/>
                <w:szCs w:val="22"/>
              </w:rPr>
            </w:pPr>
            <w:r w:rsidRPr="008B10BB">
              <w:rPr>
                <w:snapToGrid w:val="0"/>
                <w:sz w:val="20"/>
                <w:szCs w:val="22"/>
              </w:rPr>
              <w:t>(</w:t>
            </w:r>
            <w:r w:rsidR="002B2EE1">
              <w:rPr>
                <w:snapToGrid w:val="0"/>
                <w:sz w:val="20"/>
                <w:szCs w:val="22"/>
              </w:rPr>
              <w:t>l</w:t>
            </w:r>
            <w:r w:rsidRPr="008B10BB">
              <w:rPr>
                <w:snapToGrid w:val="0"/>
                <w:sz w:val="20"/>
                <w:szCs w:val="22"/>
              </w:rPr>
              <w:t>)</w:t>
            </w:r>
            <w:r w:rsidRPr="008B10BB">
              <w:rPr>
                <w:snapToGrid w:val="0"/>
                <w:sz w:val="20"/>
                <w:szCs w:val="22"/>
              </w:rPr>
              <w:tab/>
            </w:r>
            <w:r w:rsidR="00817A82" w:rsidRPr="0012724F">
              <w:rPr>
                <w:sz w:val="20"/>
                <w:szCs w:val="22"/>
              </w:rPr>
              <w:t>[</w:t>
            </w:r>
            <w:r w:rsidR="006F2B5A" w:rsidRPr="0012724F">
              <w:rPr>
                <w:i/>
                <w:iCs/>
                <w:sz w:val="20"/>
                <w:szCs w:val="22"/>
              </w:rPr>
              <w:t>O</w:t>
            </w:r>
            <w:r w:rsidR="001C5C87" w:rsidRPr="0012724F">
              <w:rPr>
                <w:i/>
                <w:iCs/>
                <w:sz w:val="20"/>
                <w:szCs w:val="22"/>
              </w:rPr>
              <w:t>ther items to be determined</w:t>
            </w:r>
            <w:r w:rsidR="00817A82" w:rsidRPr="0012724F">
              <w:rPr>
                <w:sz w:val="20"/>
                <w:szCs w:val="22"/>
              </w:rPr>
              <w:t>]</w:t>
            </w:r>
            <w:r w:rsidR="00906614" w:rsidRPr="0012724F">
              <w:rPr>
                <w:sz w:val="20"/>
                <w:szCs w:val="22"/>
              </w:rPr>
              <w:t>.</w:t>
            </w:r>
            <w:r w:rsidR="0059650A">
              <w:rPr>
                <w:sz w:val="20"/>
                <w:szCs w:val="22"/>
              </w:rPr>
              <w:t>]</w:t>
            </w:r>
          </w:p>
        </w:tc>
      </w:tr>
      <w:tr w:rsidR="00817A82" w:rsidRPr="008B10BB" w14:paraId="73BF068C" w14:textId="77777777" w:rsidTr="00701D57">
        <w:tc>
          <w:tcPr>
            <w:tcW w:w="2405" w:type="dxa"/>
            <w:tcBorders>
              <w:top w:val="single" w:sz="4" w:space="0" w:color="auto"/>
              <w:left w:val="single" w:sz="4" w:space="0" w:color="auto"/>
              <w:bottom w:val="single" w:sz="4" w:space="0" w:color="auto"/>
              <w:right w:val="single" w:sz="4" w:space="0" w:color="auto"/>
            </w:tcBorders>
            <w:shd w:val="clear" w:color="auto" w:fill="auto"/>
          </w:tcPr>
          <w:p w14:paraId="607B2F5E" w14:textId="43059427" w:rsidR="00817A82" w:rsidRPr="00ED6877" w:rsidRDefault="00024F92" w:rsidP="00BA2200">
            <w:pPr>
              <w:keepNext/>
              <w:spacing w:before="60" w:after="60"/>
              <w:jc w:val="left"/>
              <w:rPr>
                <w:sz w:val="20"/>
                <w:szCs w:val="22"/>
              </w:rPr>
            </w:pPr>
            <w:r w:rsidRPr="00ED6877">
              <w:rPr>
                <w:sz w:val="20"/>
                <w:szCs w:val="22"/>
              </w:rPr>
              <w:t xml:space="preserve">Eighteenth </w:t>
            </w:r>
            <w:r w:rsidR="00817A82" w:rsidRPr="00ED6877">
              <w:rPr>
                <w:sz w:val="20"/>
                <w:szCs w:val="22"/>
              </w:rPr>
              <w:t>(2028)</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340C28B" w14:textId="5F175159" w:rsidR="00E526DF" w:rsidRPr="00ED6877" w:rsidRDefault="004378B1" w:rsidP="00BA2200">
            <w:pPr>
              <w:keepNext/>
              <w:tabs>
                <w:tab w:val="left" w:pos="414"/>
              </w:tabs>
              <w:spacing w:before="60" w:after="60"/>
              <w:ind w:left="360" w:hanging="360"/>
              <w:jc w:val="left"/>
              <w:rPr>
                <w:snapToGrid w:val="0"/>
                <w:sz w:val="20"/>
                <w:szCs w:val="20"/>
              </w:rPr>
            </w:pPr>
            <w:r w:rsidRPr="00ED6877">
              <w:rPr>
                <w:sz w:val="20"/>
                <w:szCs w:val="22"/>
              </w:rPr>
              <w:t>(a)</w:t>
            </w:r>
            <w:r w:rsidRPr="00ED6877">
              <w:rPr>
                <w:sz w:val="20"/>
                <w:szCs w:val="22"/>
              </w:rPr>
              <w:tab/>
            </w:r>
            <w:r w:rsidR="00817A82" w:rsidRPr="00ED6877">
              <w:rPr>
                <w:sz w:val="20"/>
                <w:szCs w:val="22"/>
              </w:rPr>
              <w:t xml:space="preserve">Review of the </w:t>
            </w:r>
            <w:r w:rsidR="00817A82" w:rsidRPr="00ED6877">
              <w:rPr>
                <w:snapToGrid w:val="0"/>
                <w:sz w:val="20"/>
                <w:szCs w:val="22"/>
              </w:rPr>
              <w:t xml:space="preserve">implementation of the Framework and related means of </w:t>
            </w:r>
            <w:proofErr w:type="spellStart"/>
            <w:proofErr w:type="gramStart"/>
            <w:r w:rsidR="00817A82" w:rsidRPr="00ED6877">
              <w:rPr>
                <w:snapToGrid w:val="0"/>
                <w:sz w:val="20"/>
                <w:szCs w:val="22"/>
              </w:rPr>
              <w:t>implementation</w:t>
            </w:r>
            <w:r w:rsidR="002E2D1C">
              <w:rPr>
                <w:snapToGrid w:val="0"/>
                <w:sz w:val="20"/>
                <w:szCs w:val="22"/>
              </w:rPr>
              <w:t>,</w:t>
            </w:r>
            <w:r w:rsidR="007D36F6">
              <w:rPr>
                <w:i/>
                <w:iCs/>
                <w:snapToGrid w:val="0"/>
                <w:sz w:val="20"/>
                <w:szCs w:val="22"/>
                <w:vertAlign w:val="superscript"/>
              </w:rPr>
              <w:t>e</w:t>
            </w:r>
            <w:proofErr w:type="spellEnd"/>
            <w:proofErr w:type="gramEnd"/>
            <w:r w:rsidR="001850EF" w:rsidRPr="00ED6877">
              <w:rPr>
                <w:sz w:val="20"/>
                <w:szCs w:val="20"/>
              </w:rPr>
              <w:t xml:space="preserve"> i</w:t>
            </w:r>
            <w:r w:rsidR="00802AEE" w:rsidRPr="00ED6877">
              <w:rPr>
                <w:sz w:val="20"/>
                <w:szCs w:val="20"/>
              </w:rPr>
              <w:t xml:space="preserve">ncluding a </w:t>
            </w:r>
            <w:r w:rsidR="00802AEE" w:rsidRPr="00ED6877">
              <w:rPr>
                <w:color w:val="000000"/>
                <w:sz w:val="20"/>
                <w:szCs w:val="20"/>
              </w:rPr>
              <w:t>g</w:t>
            </w:r>
            <w:r w:rsidR="000F457F" w:rsidRPr="00ED6877">
              <w:rPr>
                <w:color w:val="000000"/>
                <w:sz w:val="20"/>
                <w:szCs w:val="20"/>
              </w:rPr>
              <w:t>lobal analysis of information in national biodiversity strategies and action plans, including national targets</w:t>
            </w:r>
            <w:r w:rsidR="002878C1">
              <w:rPr>
                <w:color w:val="000000"/>
                <w:sz w:val="20"/>
                <w:szCs w:val="20"/>
              </w:rPr>
              <w:t>,</w:t>
            </w:r>
            <w:r w:rsidR="000F457F" w:rsidRPr="00ED6877">
              <w:rPr>
                <w:color w:val="000000"/>
                <w:sz w:val="20"/>
                <w:szCs w:val="20"/>
              </w:rPr>
              <w:t xml:space="preserve"> to assess the contribution towards the </w:t>
            </w:r>
            <w:r w:rsidR="007D36F6">
              <w:rPr>
                <w:color w:val="000000"/>
                <w:sz w:val="20"/>
                <w:szCs w:val="20"/>
              </w:rPr>
              <w:t xml:space="preserve">implementation of the </w:t>
            </w:r>
            <w:r w:rsidR="000F457F" w:rsidRPr="00ED6877">
              <w:rPr>
                <w:color w:val="000000"/>
                <w:sz w:val="20"/>
                <w:szCs w:val="20"/>
              </w:rPr>
              <w:t>Framewor</w:t>
            </w:r>
            <w:r w:rsidR="00A63B6C" w:rsidRPr="00ED6877">
              <w:rPr>
                <w:color w:val="000000"/>
                <w:sz w:val="20"/>
                <w:szCs w:val="20"/>
              </w:rPr>
              <w:t>k</w:t>
            </w:r>
            <w:r w:rsidR="00A92298" w:rsidRPr="00ED6877">
              <w:rPr>
                <w:color w:val="000000"/>
                <w:sz w:val="20"/>
                <w:szCs w:val="20"/>
              </w:rPr>
              <w:t>;</w:t>
            </w:r>
          </w:p>
          <w:p w14:paraId="68577480" w14:textId="422FEA6A" w:rsidR="001C5C87" w:rsidRPr="00ED6877" w:rsidRDefault="004378B1" w:rsidP="00BA2200">
            <w:pPr>
              <w:keepNext/>
              <w:tabs>
                <w:tab w:val="left" w:pos="414"/>
              </w:tabs>
              <w:spacing w:before="60" w:after="60"/>
              <w:ind w:left="360" w:hanging="360"/>
              <w:jc w:val="left"/>
              <w:rPr>
                <w:snapToGrid w:val="0"/>
                <w:sz w:val="20"/>
                <w:szCs w:val="22"/>
              </w:rPr>
            </w:pPr>
            <w:r w:rsidRPr="00ED6877">
              <w:rPr>
                <w:snapToGrid w:val="0"/>
                <w:sz w:val="20"/>
                <w:szCs w:val="22"/>
              </w:rPr>
              <w:t>(b)</w:t>
            </w:r>
            <w:r w:rsidRPr="00ED6877">
              <w:rPr>
                <w:snapToGrid w:val="0"/>
                <w:sz w:val="20"/>
                <w:szCs w:val="22"/>
              </w:rPr>
              <w:tab/>
            </w:r>
            <w:r w:rsidR="00D34DFB" w:rsidRPr="00ED6877">
              <w:rPr>
                <w:sz w:val="20"/>
                <w:szCs w:val="22"/>
              </w:rPr>
              <w:t>Strategic</w:t>
            </w:r>
            <w:r w:rsidR="00D34DFB" w:rsidRPr="00ED6877">
              <w:rPr>
                <w:snapToGrid w:val="0"/>
                <w:sz w:val="20"/>
                <w:szCs w:val="22"/>
              </w:rPr>
              <w:t xml:space="preserve"> actions to enhance </w:t>
            </w:r>
            <w:r w:rsidR="00EF53EB" w:rsidRPr="00ED6877">
              <w:rPr>
                <w:snapToGrid w:val="0"/>
                <w:sz w:val="20"/>
                <w:szCs w:val="22"/>
              </w:rPr>
              <w:t xml:space="preserve">the </w:t>
            </w:r>
            <w:r w:rsidR="00D34DFB" w:rsidRPr="00ED6877">
              <w:rPr>
                <w:snapToGrid w:val="0"/>
                <w:sz w:val="20"/>
                <w:szCs w:val="22"/>
              </w:rPr>
              <w:t xml:space="preserve">implementation of the Convention and the Framework, including </w:t>
            </w:r>
            <w:r w:rsidR="00EF53EB" w:rsidRPr="00ED6877">
              <w:rPr>
                <w:snapToGrid w:val="0"/>
                <w:sz w:val="20"/>
                <w:szCs w:val="22"/>
              </w:rPr>
              <w:t xml:space="preserve">in </w:t>
            </w:r>
            <w:r w:rsidR="00D34DFB" w:rsidRPr="00ED6877">
              <w:rPr>
                <w:snapToGrid w:val="0"/>
                <w:sz w:val="20"/>
                <w:szCs w:val="22"/>
              </w:rPr>
              <w:t>relation to means of implementation</w:t>
            </w:r>
            <w:r w:rsidR="00AD5F9B" w:rsidRPr="00ED6877">
              <w:rPr>
                <w:snapToGrid w:val="0"/>
                <w:sz w:val="20"/>
                <w:szCs w:val="22"/>
              </w:rPr>
              <w:t>;</w:t>
            </w:r>
          </w:p>
          <w:p w14:paraId="793F2DBF" w14:textId="1C98AC29" w:rsidR="001C5C87" w:rsidRPr="00ED6877" w:rsidRDefault="004378B1" w:rsidP="00BA2200">
            <w:pPr>
              <w:keepNext/>
              <w:spacing w:before="60" w:after="60"/>
              <w:ind w:left="360" w:hanging="360"/>
              <w:jc w:val="left"/>
              <w:rPr>
                <w:sz w:val="20"/>
                <w:szCs w:val="20"/>
              </w:rPr>
            </w:pPr>
            <w:r w:rsidRPr="00ED6877">
              <w:rPr>
                <w:snapToGrid w:val="0"/>
                <w:sz w:val="20"/>
                <w:szCs w:val="22"/>
              </w:rPr>
              <w:t>(c)</w:t>
            </w:r>
            <w:r w:rsidRPr="00ED6877">
              <w:rPr>
                <w:snapToGrid w:val="0"/>
                <w:sz w:val="20"/>
                <w:szCs w:val="22"/>
              </w:rPr>
              <w:tab/>
            </w:r>
            <w:r w:rsidR="001C5C87" w:rsidRPr="00ED6877">
              <w:rPr>
                <w:sz w:val="20"/>
                <w:szCs w:val="20"/>
              </w:rPr>
              <w:t>R</w:t>
            </w:r>
            <w:r w:rsidR="00D34DFB" w:rsidRPr="00ED6877">
              <w:rPr>
                <w:sz w:val="20"/>
                <w:szCs w:val="20"/>
              </w:rPr>
              <w:t>eview o</w:t>
            </w:r>
            <w:r w:rsidR="001C5C87" w:rsidRPr="00ED6877">
              <w:rPr>
                <w:sz w:val="20"/>
                <w:szCs w:val="20"/>
              </w:rPr>
              <w:t>f</w:t>
            </w:r>
            <w:r w:rsidR="00D34DFB" w:rsidRPr="00ED6877">
              <w:rPr>
                <w:sz w:val="20"/>
                <w:szCs w:val="20"/>
              </w:rPr>
              <w:t xml:space="preserve"> the operations</w:t>
            </w:r>
            <w:r w:rsidR="00A63B6C" w:rsidRPr="00ED6877">
              <w:rPr>
                <w:sz w:val="20"/>
                <w:szCs w:val="20"/>
              </w:rPr>
              <w:t>,</w:t>
            </w:r>
            <w:r w:rsidR="00D34DFB" w:rsidRPr="00ED6877">
              <w:rPr>
                <w:sz w:val="20"/>
                <w:szCs w:val="20"/>
              </w:rPr>
              <w:t xml:space="preserve"> performance</w:t>
            </w:r>
            <w:r w:rsidR="003E4A66" w:rsidRPr="00ED6877">
              <w:rPr>
                <w:sz w:val="20"/>
                <w:szCs w:val="20"/>
              </w:rPr>
              <w:t xml:space="preserve"> and outcome</w:t>
            </w:r>
            <w:r w:rsidR="00C27112" w:rsidRPr="00ED6877">
              <w:rPr>
                <w:sz w:val="20"/>
                <w:szCs w:val="20"/>
              </w:rPr>
              <w:t>s</w:t>
            </w:r>
            <w:r w:rsidR="00D34DFB" w:rsidRPr="00ED6877">
              <w:rPr>
                <w:sz w:val="20"/>
                <w:szCs w:val="20"/>
              </w:rPr>
              <w:t xml:space="preserve"> of the Global Biodiversity Framework</w:t>
            </w:r>
            <w:r w:rsidR="00D34DFB" w:rsidRPr="00ED6877" w:rsidDel="00192EEF">
              <w:rPr>
                <w:sz w:val="20"/>
                <w:szCs w:val="20"/>
              </w:rPr>
              <w:t xml:space="preserve"> </w:t>
            </w:r>
            <w:r w:rsidR="00D34DFB" w:rsidRPr="00ED6877">
              <w:rPr>
                <w:sz w:val="20"/>
                <w:szCs w:val="20"/>
              </w:rPr>
              <w:t xml:space="preserve">Fund and future </w:t>
            </w:r>
            <w:proofErr w:type="spellStart"/>
            <w:proofErr w:type="gramStart"/>
            <w:r w:rsidR="00D34DFB" w:rsidRPr="00ED6877">
              <w:rPr>
                <w:sz w:val="20"/>
                <w:szCs w:val="20"/>
              </w:rPr>
              <w:t>arrangements</w:t>
            </w:r>
            <w:r w:rsidR="00AD5F9B" w:rsidRPr="00ED6877">
              <w:rPr>
                <w:sz w:val="20"/>
                <w:szCs w:val="20"/>
              </w:rPr>
              <w:t>;</w:t>
            </w:r>
            <w:r w:rsidR="002878C1">
              <w:rPr>
                <w:i/>
                <w:iCs/>
                <w:sz w:val="20"/>
                <w:szCs w:val="20"/>
                <w:vertAlign w:val="superscript"/>
              </w:rPr>
              <w:t>f</w:t>
            </w:r>
            <w:proofErr w:type="spellEnd"/>
            <w:proofErr w:type="gramEnd"/>
          </w:p>
          <w:p w14:paraId="10FA36B6" w14:textId="5293A1ED" w:rsidR="00817A82" w:rsidRPr="00ED6877" w:rsidRDefault="004378B1" w:rsidP="00BA2200">
            <w:pPr>
              <w:keepNext/>
              <w:spacing w:before="60" w:after="60"/>
              <w:ind w:left="360" w:hanging="360"/>
              <w:jc w:val="left"/>
              <w:rPr>
                <w:sz w:val="20"/>
                <w:szCs w:val="22"/>
              </w:rPr>
            </w:pPr>
            <w:r w:rsidRPr="00ED6877">
              <w:rPr>
                <w:snapToGrid w:val="0"/>
                <w:sz w:val="20"/>
                <w:szCs w:val="22"/>
              </w:rPr>
              <w:t>(d)</w:t>
            </w:r>
            <w:r w:rsidRPr="00ED6877">
              <w:rPr>
                <w:snapToGrid w:val="0"/>
                <w:sz w:val="20"/>
                <w:szCs w:val="22"/>
              </w:rPr>
              <w:tab/>
            </w:r>
            <w:r w:rsidR="00817A82" w:rsidRPr="00ED6877">
              <w:rPr>
                <w:sz w:val="20"/>
                <w:szCs w:val="22"/>
              </w:rPr>
              <w:t xml:space="preserve">Four-year outcome-oriented </w:t>
            </w:r>
            <w:r w:rsidR="00593127" w:rsidRPr="00ED6877">
              <w:rPr>
                <w:sz w:val="20"/>
                <w:szCs w:val="22"/>
              </w:rPr>
              <w:t xml:space="preserve">framework of </w:t>
            </w:r>
            <w:r w:rsidR="00817A82" w:rsidRPr="00ED6877">
              <w:rPr>
                <w:sz w:val="20"/>
                <w:szCs w:val="22"/>
              </w:rPr>
              <w:t xml:space="preserve">programme priorities and assessment of funding needs to inform the </w:t>
            </w:r>
            <w:r w:rsidR="00593127" w:rsidRPr="00ED6877">
              <w:rPr>
                <w:sz w:val="20"/>
                <w:szCs w:val="22"/>
              </w:rPr>
              <w:t xml:space="preserve">tenth </w:t>
            </w:r>
            <w:r w:rsidR="00817A82" w:rsidRPr="00ED6877">
              <w:rPr>
                <w:sz w:val="20"/>
                <w:szCs w:val="22"/>
              </w:rPr>
              <w:t xml:space="preserve">replenishment </w:t>
            </w:r>
            <w:r w:rsidR="00593127" w:rsidRPr="00ED6877">
              <w:rPr>
                <w:sz w:val="20"/>
                <w:szCs w:val="22"/>
              </w:rPr>
              <w:t>of the Global Environment Facility Trust Fund</w:t>
            </w:r>
            <w:r w:rsidR="00817A82" w:rsidRPr="00ED6877">
              <w:rPr>
                <w:sz w:val="20"/>
                <w:szCs w:val="22"/>
              </w:rPr>
              <w:t xml:space="preserve"> (2030</w:t>
            </w:r>
            <w:r w:rsidR="00817A82" w:rsidRPr="00ED6877">
              <w:rPr>
                <w:iCs/>
                <w:sz w:val="20"/>
              </w:rPr>
              <w:t>–</w:t>
            </w:r>
            <w:r w:rsidR="00817A82" w:rsidRPr="00ED6877">
              <w:rPr>
                <w:sz w:val="20"/>
                <w:szCs w:val="22"/>
              </w:rPr>
              <w:t>2034)</w:t>
            </w:r>
            <w:r w:rsidR="00AD5F9B" w:rsidRPr="00ED6877">
              <w:rPr>
                <w:sz w:val="20"/>
                <w:szCs w:val="22"/>
              </w:rPr>
              <w:t>;</w:t>
            </w:r>
          </w:p>
          <w:p w14:paraId="55B71FF4" w14:textId="281158CB" w:rsidR="00C51674" w:rsidRPr="00ED6877" w:rsidRDefault="004378B1" w:rsidP="00BA2200">
            <w:pPr>
              <w:keepNext/>
              <w:spacing w:before="60" w:after="60"/>
              <w:ind w:left="360" w:hanging="360"/>
              <w:jc w:val="left"/>
              <w:rPr>
                <w:snapToGrid w:val="0"/>
                <w:sz w:val="20"/>
                <w:szCs w:val="22"/>
              </w:rPr>
            </w:pPr>
            <w:r w:rsidRPr="00ED6877">
              <w:rPr>
                <w:snapToGrid w:val="0"/>
                <w:sz w:val="20"/>
                <w:szCs w:val="22"/>
              </w:rPr>
              <w:t>(</w:t>
            </w:r>
            <w:r w:rsidR="00D14CA8" w:rsidRPr="00ED6877">
              <w:rPr>
                <w:snapToGrid w:val="0"/>
                <w:sz w:val="20"/>
                <w:szCs w:val="22"/>
              </w:rPr>
              <w:t>e)</w:t>
            </w:r>
            <w:r w:rsidR="00D14CA8" w:rsidRPr="00ED6877">
              <w:rPr>
                <w:snapToGrid w:val="0"/>
                <w:sz w:val="20"/>
                <w:szCs w:val="22"/>
              </w:rPr>
              <w:tab/>
            </w:r>
            <w:r w:rsidR="006F1881" w:rsidRPr="00ED6877">
              <w:rPr>
                <w:snapToGrid w:val="0"/>
                <w:sz w:val="20"/>
                <w:szCs w:val="22"/>
              </w:rPr>
              <w:t>Review of the effectiveness of the financial</w:t>
            </w:r>
            <w:r w:rsidR="00D878E0" w:rsidRPr="00ED6877">
              <w:rPr>
                <w:snapToGrid w:val="0"/>
                <w:sz w:val="20"/>
                <w:szCs w:val="22"/>
              </w:rPr>
              <w:t xml:space="preserve"> </w:t>
            </w:r>
            <w:proofErr w:type="spellStart"/>
            <w:proofErr w:type="gramStart"/>
            <w:r w:rsidR="00D878E0" w:rsidRPr="00ED6877">
              <w:rPr>
                <w:snapToGrid w:val="0"/>
                <w:sz w:val="20"/>
                <w:szCs w:val="22"/>
              </w:rPr>
              <w:t>mechanism</w:t>
            </w:r>
            <w:r w:rsidR="00AD5F9B" w:rsidRPr="00ED6877">
              <w:rPr>
                <w:snapToGrid w:val="0"/>
                <w:sz w:val="20"/>
                <w:szCs w:val="22"/>
              </w:rPr>
              <w:t>;</w:t>
            </w:r>
            <w:r w:rsidR="001D0240">
              <w:rPr>
                <w:i/>
                <w:iCs/>
                <w:sz w:val="18"/>
                <w:szCs w:val="18"/>
                <w:vertAlign w:val="superscript"/>
              </w:rPr>
              <w:t>d</w:t>
            </w:r>
            <w:proofErr w:type="spellEnd"/>
            <w:proofErr w:type="gramEnd"/>
          </w:p>
          <w:p w14:paraId="575D2E45" w14:textId="19E2ABAB" w:rsidR="004A1B66" w:rsidRPr="00ED6877" w:rsidRDefault="00D14CA8" w:rsidP="00BA2200">
            <w:pPr>
              <w:keepNext/>
              <w:spacing w:before="60" w:after="60"/>
              <w:ind w:left="360" w:hanging="360"/>
              <w:jc w:val="left"/>
              <w:rPr>
                <w:snapToGrid w:val="0"/>
                <w:sz w:val="20"/>
              </w:rPr>
            </w:pPr>
            <w:r w:rsidRPr="00ED6877">
              <w:rPr>
                <w:sz w:val="20"/>
                <w:szCs w:val="22"/>
              </w:rPr>
              <w:t>(f)</w:t>
            </w:r>
            <w:r w:rsidRPr="00ED6877">
              <w:rPr>
                <w:sz w:val="20"/>
                <w:szCs w:val="22"/>
              </w:rPr>
              <w:tab/>
            </w:r>
            <w:r w:rsidR="004A1B66" w:rsidRPr="00ED6877">
              <w:rPr>
                <w:sz w:val="20"/>
                <w:szCs w:val="22"/>
              </w:rPr>
              <w:t>Implications for the work of the Convention of the</w:t>
            </w:r>
            <w:r w:rsidR="00C65577" w:rsidRPr="00ED6877">
              <w:rPr>
                <w:sz w:val="20"/>
                <w:szCs w:val="22"/>
              </w:rPr>
              <w:t xml:space="preserve"> </w:t>
            </w:r>
            <w:r w:rsidR="00014465" w:rsidRPr="00ED6877">
              <w:rPr>
                <w:sz w:val="20"/>
                <w:szCs w:val="20"/>
              </w:rPr>
              <w:t>deliverables</w:t>
            </w:r>
            <w:r w:rsidR="00014465" w:rsidRPr="00ED6877">
              <w:t xml:space="preserve"> </w:t>
            </w:r>
            <w:r w:rsidR="00D878E0" w:rsidRPr="00ED6877">
              <w:rPr>
                <w:sz w:val="20"/>
                <w:szCs w:val="22"/>
              </w:rPr>
              <w:t>of the Intergovernmental Science-Policy Platform on Biodiversity and Ecosystem Services</w:t>
            </w:r>
            <w:r w:rsidR="00074DBD" w:rsidRPr="00ED6877">
              <w:rPr>
                <w:sz w:val="20"/>
                <w:szCs w:val="22"/>
              </w:rPr>
              <w:t>, including</w:t>
            </w:r>
            <w:r w:rsidR="004A1B66" w:rsidRPr="00ED6877">
              <w:rPr>
                <w:sz w:val="20"/>
                <w:szCs w:val="22"/>
              </w:rPr>
              <w:t>:</w:t>
            </w:r>
          </w:p>
          <w:p w14:paraId="73E1E5A2" w14:textId="639A0EEC" w:rsidR="004A1B66" w:rsidRPr="00ED6877" w:rsidRDefault="00DE3162" w:rsidP="00701D57">
            <w:pPr>
              <w:pStyle w:val="Para1"/>
              <w:numPr>
                <w:ilvl w:val="0"/>
                <w:numId w:val="0"/>
              </w:numPr>
              <w:tabs>
                <w:tab w:val="clear" w:pos="1134"/>
                <w:tab w:val="left" w:pos="2268"/>
              </w:tabs>
              <w:spacing w:before="60" w:after="60"/>
              <w:ind w:left="927" w:hanging="567"/>
              <w:jc w:val="left"/>
              <w:rPr>
                <w:sz w:val="20"/>
              </w:rPr>
            </w:pPr>
            <w:r w:rsidRPr="00ED6877">
              <w:rPr>
                <w:sz w:val="20"/>
              </w:rPr>
              <w:t>(</w:t>
            </w:r>
            <w:proofErr w:type="spellStart"/>
            <w:r w:rsidRPr="00ED6877">
              <w:rPr>
                <w:sz w:val="20"/>
              </w:rPr>
              <w:t>i</w:t>
            </w:r>
            <w:proofErr w:type="spellEnd"/>
            <w:r w:rsidRPr="00ED6877">
              <w:rPr>
                <w:sz w:val="20"/>
              </w:rPr>
              <w:t>)</w:t>
            </w:r>
            <w:r w:rsidRPr="00ED6877">
              <w:rPr>
                <w:sz w:val="20"/>
              </w:rPr>
              <w:tab/>
            </w:r>
            <w:r w:rsidR="004A1B66" w:rsidRPr="00ED6877">
              <w:rPr>
                <w:sz w:val="20"/>
              </w:rPr>
              <w:t>Methodological assessment on monitoring biodiversity and nature’s contributions to people</w:t>
            </w:r>
            <w:r w:rsidR="003B5DE4" w:rsidRPr="00ED6877">
              <w:rPr>
                <w:sz w:val="20"/>
              </w:rPr>
              <w:t>;</w:t>
            </w:r>
          </w:p>
          <w:p w14:paraId="3DAB291F" w14:textId="001FEB7F" w:rsidR="004A1B66" w:rsidRPr="00ED6877" w:rsidRDefault="00DE3162" w:rsidP="00701D57">
            <w:pPr>
              <w:pStyle w:val="Para1"/>
              <w:numPr>
                <w:ilvl w:val="0"/>
                <w:numId w:val="0"/>
              </w:numPr>
              <w:tabs>
                <w:tab w:val="clear" w:pos="1134"/>
                <w:tab w:val="left" w:pos="2268"/>
              </w:tabs>
              <w:spacing w:before="60" w:after="60"/>
              <w:ind w:left="927" w:hanging="567"/>
              <w:jc w:val="left"/>
              <w:rPr>
                <w:sz w:val="20"/>
              </w:rPr>
            </w:pPr>
            <w:r w:rsidRPr="00ED6877">
              <w:rPr>
                <w:sz w:val="20"/>
              </w:rPr>
              <w:t>(ii)</w:t>
            </w:r>
            <w:r w:rsidRPr="00ED6877">
              <w:rPr>
                <w:sz w:val="20"/>
              </w:rPr>
              <w:tab/>
            </w:r>
            <w:r w:rsidR="004A1B66" w:rsidRPr="00ED6877">
              <w:rPr>
                <w:sz w:val="20"/>
              </w:rPr>
              <w:t>Methodological assessment of integrated biodiversity-inclusive spatial planning and ecological connectivity</w:t>
            </w:r>
            <w:r w:rsidR="00AD5F9B" w:rsidRPr="00ED6877">
              <w:rPr>
                <w:sz w:val="20"/>
              </w:rPr>
              <w:t>;</w:t>
            </w:r>
          </w:p>
          <w:p w14:paraId="6A119C29" w14:textId="51C433AB" w:rsidR="00817A82" w:rsidRPr="00ED6877" w:rsidRDefault="00D14CA8" w:rsidP="00BA2200">
            <w:pPr>
              <w:keepNext/>
              <w:spacing w:before="60" w:after="60"/>
              <w:ind w:left="360" w:hanging="360"/>
              <w:jc w:val="left"/>
              <w:rPr>
                <w:snapToGrid w:val="0"/>
                <w:sz w:val="20"/>
                <w:szCs w:val="20"/>
              </w:rPr>
            </w:pPr>
            <w:r w:rsidRPr="00ED6877">
              <w:rPr>
                <w:sz w:val="20"/>
                <w:szCs w:val="22"/>
              </w:rPr>
              <w:t>(g)</w:t>
            </w:r>
            <w:r w:rsidRPr="00ED6877">
              <w:rPr>
                <w:sz w:val="20"/>
                <w:szCs w:val="22"/>
              </w:rPr>
              <w:tab/>
            </w:r>
            <w:r w:rsidR="00817A82" w:rsidRPr="00ED6877">
              <w:rPr>
                <w:snapToGrid w:val="0"/>
                <w:sz w:val="20"/>
                <w:szCs w:val="22"/>
              </w:rPr>
              <w:t>Considerations for a follow-up to the Framework</w:t>
            </w:r>
            <w:r w:rsidR="002B1163" w:rsidRPr="00ED6877">
              <w:rPr>
                <w:snapToGrid w:val="0"/>
                <w:sz w:val="20"/>
                <w:szCs w:val="22"/>
              </w:rPr>
              <w:t>,</w:t>
            </w:r>
            <w:r w:rsidR="00613B6D" w:rsidRPr="00ED6877">
              <w:rPr>
                <w:snapToGrid w:val="0"/>
                <w:sz w:val="20"/>
                <w:szCs w:val="20"/>
              </w:rPr>
              <w:t xml:space="preserve"> </w:t>
            </w:r>
            <w:r w:rsidR="00613B6D" w:rsidRPr="00ED6877">
              <w:rPr>
                <w:color w:val="000000"/>
                <w:sz w:val="20"/>
                <w:szCs w:val="20"/>
              </w:rPr>
              <w:t xml:space="preserve">including a review of the effectiveness of measures to implement </w:t>
            </w:r>
            <w:r w:rsidR="00B41EAE" w:rsidRPr="00ED6877">
              <w:rPr>
                <w:color w:val="000000"/>
                <w:sz w:val="20"/>
                <w:szCs w:val="20"/>
              </w:rPr>
              <w:t>its</w:t>
            </w:r>
            <w:r w:rsidR="00613B6D" w:rsidRPr="00ED6877">
              <w:rPr>
                <w:color w:val="000000"/>
                <w:sz w:val="20"/>
                <w:szCs w:val="20"/>
              </w:rPr>
              <w:t xml:space="preserve"> goals and targets in line with the principles and objectives of the Conventio</w:t>
            </w:r>
            <w:r w:rsidR="002B1163" w:rsidRPr="00ED6877">
              <w:rPr>
                <w:color w:val="000000"/>
                <w:sz w:val="20"/>
                <w:szCs w:val="20"/>
              </w:rPr>
              <w:t>n</w:t>
            </w:r>
            <w:r w:rsidR="002B1163" w:rsidRPr="00ED6877">
              <w:rPr>
                <w:color w:val="000000"/>
                <w:sz w:val="20"/>
              </w:rPr>
              <w:t>;</w:t>
            </w:r>
          </w:p>
          <w:p w14:paraId="71653073" w14:textId="3C882A8E" w:rsidR="000C6EEA" w:rsidRPr="00ED6877" w:rsidRDefault="00117F6A" w:rsidP="00BA2200">
            <w:pPr>
              <w:spacing w:before="60" w:after="60"/>
              <w:ind w:left="360" w:hanging="360"/>
              <w:jc w:val="left"/>
              <w:rPr>
                <w:snapToGrid w:val="0"/>
                <w:sz w:val="20"/>
                <w:szCs w:val="20"/>
              </w:rPr>
            </w:pPr>
            <w:r w:rsidRPr="00ED6877">
              <w:rPr>
                <w:color w:val="000000"/>
                <w:sz w:val="20"/>
                <w:szCs w:val="20"/>
              </w:rPr>
              <w:t>(h)</w:t>
            </w:r>
            <w:r w:rsidR="00EC3434" w:rsidRPr="00ED6877">
              <w:rPr>
                <w:color w:val="000000"/>
                <w:sz w:val="20"/>
                <w:szCs w:val="20"/>
              </w:rPr>
              <w:tab/>
            </w:r>
            <w:r w:rsidR="000C6EEA" w:rsidRPr="00ED6877">
              <w:rPr>
                <w:color w:val="000000"/>
                <w:sz w:val="20"/>
                <w:szCs w:val="20"/>
              </w:rPr>
              <w:t xml:space="preserve">Review and </w:t>
            </w:r>
            <w:r w:rsidR="00751871" w:rsidRPr="00ED6877">
              <w:rPr>
                <w:color w:val="000000"/>
                <w:sz w:val="20"/>
                <w:szCs w:val="20"/>
              </w:rPr>
              <w:t>u</w:t>
            </w:r>
            <w:r w:rsidR="000C6EEA" w:rsidRPr="00ED6877">
              <w:rPr>
                <w:color w:val="000000"/>
                <w:sz w:val="20"/>
                <w:szCs w:val="20"/>
              </w:rPr>
              <w:t xml:space="preserve">pdates of the </w:t>
            </w:r>
            <w:r w:rsidR="00751871" w:rsidRPr="00ED6877">
              <w:rPr>
                <w:color w:val="000000"/>
                <w:sz w:val="20"/>
                <w:szCs w:val="20"/>
              </w:rPr>
              <w:t>p</w:t>
            </w:r>
            <w:r w:rsidR="000C6EEA" w:rsidRPr="00ED6877">
              <w:rPr>
                <w:color w:val="000000"/>
                <w:sz w:val="20"/>
                <w:szCs w:val="20"/>
              </w:rPr>
              <w:t xml:space="preserve">rogrammes of </w:t>
            </w:r>
            <w:r w:rsidR="00751871" w:rsidRPr="00ED6877">
              <w:rPr>
                <w:color w:val="000000"/>
                <w:sz w:val="20"/>
                <w:szCs w:val="20"/>
              </w:rPr>
              <w:t>w</w:t>
            </w:r>
            <w:r w:rsidR="000C6EEA" w:rsidRPr="00ED6877">
              <w:rPr>
                <w:color w:val="000000"/>
                <w:sz w:val="20"/>
                <w:szCs w:val="20"/>
              </w:rPr>
              <w:t>or</w:t>
            </w:r>
            <w:r w:rsidRPr="00ED6877">
              <w:rPr>
                <w:color w:val="000000"/>
                <w:sz w:val="20"/>
                <w:szCs w:val="20"/>
              </w:rPr>
              <w:t>k</w:t>
            </w:r>
            <w:r w:rsidR="00A63B6C" w:rsidRPr="00ED6877">
              <w:rPr>
                <w:color w:val="000000"/>
                <w:sz w:val="20"/>
                <w:szCs w:val="20"/>
              </w:rPr>
              <w:t xml:space="preserve">, </w:t>
            </w:r>
            <w:r w:rsidR="00751871" w:rsidRPr="00ED6877">
              <w:rPr>
                <w:color w:val="000000"/>
                <w:sz w:val="20"/>
                <w:szCs w:val="20"/>
              </w:rPr>
              <w:t>with a</w:t>
            </w:r>
            <w:r w:rsidR="00A63B6C" w:rsidRPr="00ED6877">
              <w:rPr>
                <w:color w:val="000000"/>
                <w:sz w:val="20"/>
                <w:szCs w:val="20"/>
              </w:rPr>
              <w:t xml:space="preserve"> focus on their alignments with the Framework</w:t>
            </w:r>
            <w:r w:rsidR="00EC3434" w:rsidRPr="00ED6877">
              <w:rPr>
                <w:color w:val="000000"/>
                <w:sz w:val="20"/>
                <w:szCs w:val="20"/>
              </w:rPr>
              <w:t>;</w:t>
            </w:r>
          </w:p>
          <w:p w14:paraId="40A0CC01" w14:textId="4594D145" w:rsidR="00817A82" w:rsidRPr="00ED6877" w:rsidRDefault="00DE3162" w:rsidP="00BA2200">
            <w:pPr>
              <w:keepNext/>
              <w:spacing w:before="60" w:after="60"/>
              <w:ind w:left="360" w:hanging="360"/>
              <w:jc w:val="left"/>
              <w:rPr>
                <w:sz w:val="20"/>
              </w:rPr>
            </w:pPr>
            <w:r w:rsidRPr="00ED6877">
              <w:rPr>
                <w:sz w:val="20"/>
              </w:rPr>
              <w:t>(</w:t>
            </w:r>
            <w:proofErr w:type="spellStart"/>
            <w:r w:rsidR="00117F6A" w:rsidRPr="00ED6877">
              <w:rPr>
                <w:sz w:val="20"/>
              </w:rPr>
              <w:t>i</w:t>
            </w:r>
            <w:proofErr w:type="spellEnd"/>
            <w:r w:rsidRPr="00ED6877">
              <w:rPr>
                <w:sz w:val="20"/>
              </w:rPr>
              <w:t>)</w:t>
            </w:r>
            <w:r w:rsidRPr="00ED6877">
              <w:rPr>
                <w:sz w:val="20"/>
              </w:rPr>
              <w:tab/>
            </w:r>
            <w:r w:rsidR="00817A82" w:rsidRPr="00ED6877">
              <w:rPr>
                <w:sz w:val="20"/>
                <w:szCs w:val="22"/>
              </w:rPr>
              <w:t>[</w:t>
            </w:r>
            <w:r w:rsidR="006F2B5A" w:rsidRPr="00ED6877">
              <w:rPr>
                <w:i/>
                <w:iCs/>
                <w:sz w:val="20"/>
                <w:szCs w:val="22"/>
              </w:rPr>
              <w:t>O</w:t>
            </w:r>
            <w:r w:rsidR="001C5C87" w:rsidRPr="00ED6877">
              <w:rPr>
                <w:i/>
                <w:iCs/>
                <w:sz w:val="20"/>
                <w:szCs w:val="22"/>
              </w:rPr>
              <w:t>ther items to be determined</w:t>
            </w:r>
            <w:r w:rsidR="00817A82" w:rsidRPr="00ED6877">
              <w:rPr>
                <w:sz w:val="20"/>
                <w:szCs w:val="22"/>
              </w:rPr>
              <w:t>]</w:t>
            </w:r>
            <w:r w:rsidR="00453EB3" w:rsidRPr="00ED6877">
              <w:rPr>
                <w:sz w:val="20"/>
                <w:szCs w:val="22"/>
              </w:rPr>
              <w:t>.</w:t>
            </w:r>
          </w:p>
        </w:tc>
      </w:tr>
      <w:tr w:rsidR="00817A82" w:rsidRPr="008B10BB" w14:paraId="76E6A067" w14:textId="77777777" w:rsidTr="00701D57">
        <w:tc>
          <w:tcPr>
            <w:tcW w:w="2405" w:type="dxa"/>
            <w:tcBorders>
              <w:top w:val="single" w:sz="4" w:space="0" w:color="auto"/>
              <w:left w:val="single" w:sz="4" w:space="0" w:color="auto"/>
              <w:bottom w:val="single" w:sz="4" w:space="0" w:color="auto"/>
              <w:right w:val="single" w:sz="4" w:space="0" w:color="auto"/>
            </w:tcBorders>
          </w:tcPr>
          <w:p w14:paraId="026B0DF1" w14:textId="6951956B" w:rsidR="00817A82" w:rsidRPr="008B10BB" w:rsidRDefault="00024F92" w:rsidP="00BA2200">
            <w:pPr>
              <w:keepNext/>
              <w:spacing w:before="60" w:after="60"/>
              <w:jc w:val="left"/>
              <w:rPr>
                <w:sz w:val="20"/>
                <w:szCs w:val="22"/>
              </w:rPr>
            </w:pPr>
            <w:r w:rsidRPr="00E77B5F">
              <w:rPr>
                <w:sz w:val="20"/>
                <w:szCs w:val="22"/>
              </w:rPr>
              <w:t xml:space="preserve">Nineteenth </w:t>
            </w:r>
            <w:r w:rsidR="00817A82" w:rsidRPr="00E77B5F">
              <w:rPr>
                <w:sz w:val="20"/>
                <w:szCs w:val="22"/>
              </w:rPr>
              <w:t>(2030)</w:t>
            </w:r>
          </w:p>
        </w:tc>
        <w:tc>
          <w:tcPr>
            <w:tcW w:w="7088" w:type="dxa"/>
            <w:tcBorders>
              <w:top w:val="single" w:sz="4" w:space="0" w:color="auto"/>
              <w:left w:val="single" w:sz="4" w:space="0" w:color="auto"/>
              <w:bottom w:val="single" w:sz="4" w:space="0" w:color="auto"/>
              <w:right w:val="single" w:sz="4" w:space="0" w:color="auto"/>
            </w:tcBorders>
          </w:tcPr>
          <w:p w14:paraId="6817F72F" w14:textId="39511111" w:rsidR="00704BA4" w:rsidRPr="00701D57" w:rsidRDefault="00EC3434" w:rsidP="00701D57">
            <w:pPr>
              <w:keepNext/>
              <w:spacing w:before="60" w:after="60"/>
              <w:ind w:left="360" w:hanging="360"/>
              <w:jc w:val="left"/>
              <w:rPr>
                <w:color w:val="000000"/>
                <w:sz w:val="20"/>
                <w:szCs w:val="20"/>
              </w:rPr>
            </w:pPr>
            <w:r>
              <w:rPr>
                <w:color w:val="000000"/>
                <w:sz w:val="20"/>
                <w:szCs w:val="20"/>
              </w:rPr>
              <w:t>(a)</w:t>
            </w:r>
            <w:r>
              <w:rPr>
                <w:color w:val="000000"/>
                <w:sz w:val="20"/>
                <w:szCs w:val="20"/>
              </w:rPr>
              <w:tab/>
            </w:r>
            <w:r w:rsidR="00704BA4" w:rsidRPr="00701D57">
              <w:rPr>
                <w:color w:val="000000"/>
                <w:sz w:val="20"/>
                <w:szCs w:val="20"/>
              </w:rPr>
              <w:t>Global analysis of information in national biodiversity strategies and action plans, including national targets</w:t>
            </w:r>
            <w:r w:rsidR="00370175">
              <w:rPr>
                <w:color w:val="000000"/>
                <w:sz w:val="20"/>
                <w:szCs w:val="20"/>
              </w:rPr>
              <w:t>,</w:t>
            </w:r>
            <w:r w:rsidR="00704BA4" w:rsidRPr="00701D57">
              <w:rPr>
                <w:color w:val="000000"/>
                <w:sz w:val="20"/>
                <w:szCs w:val="20"/>
              </w:rPr>
              <w:t xml:space="preserve"> to assess the contribution towards the Framework;</w:t>
            </w:r>
          </w:p>
          <w:p w14:paraId="2FAB8CE1" w14:textId="79DE0C06" w:rsidR="006C6C7F" w:rsidRPr="00701D57" w:rsidRDefault="00EC3434" w:rsidP="00701D57">
            <w:pPr>
              <w:keepNext/>
              <w:spacing w:before="60" w:after="60"/>
              <w:ind w:left="360" w:hanging="328"/>
              <w:jc w:val="left"/>
              <w:rPr>
                <w:sz w:val="20"/>
                <w:szCs w:val="22"/>
              </w:rPr>
            </w:pPr>
            <w:r>
              <w:rPr>
                <w:snapToGrid w:val="0"/>
                <w:sz w:val="20"/>
                <w:szCs w:val="22"/>
              </w:rPr>
              <w:t>(b)</w:t>
            </w:r>
            <w:r>
              <w:rPr>
                <w:snapToGrid w:val="0"/>
                <w:sz w:val="20"/>
                <w:szCs w:val="22"/>
              </w:rPr>
              <w:tab/>
            </w:r>
            <w:r w:rsidR="00D142CA" w:rsidRPr="00701D57">
              <w:rPr>
                <w:snapToGrid w:val="0"/>
                <w:sz w:val="20"/>
                <w:szCs w:val="22"/>
              </w:rPr>
              <w:t xml:space="preserve">Global review of the implementation of the Framework and related means of implementation: </w:t>
            </w:r>
            <w:r w:rsidR="009F5E84" w:rsidRPr="00701D57">
              <w:rPr>
                <w:snapToGrid w:val="0"/>
                <w:sz w:val="20"/>
                <w:szCs w:val="22"/>
              </w:rPr>
              <w:t>f</w:t>
            </w:r>
            <w:r w:rsidR="00817A82" w:rsidRPr="00701D57">
              <w:rPr>
                <w:snapToGrid w:val="0"/>
                <w:sz w:val="20"/>
                <w:szCs w:val="22"/>
              </w:rPr>
              <w:t xml:space="preserve">inal assessment of </w:t>
            </w:r>
            <w:r w:rsidR="004A1B66" w:rsidRPr="00701D57">
              <w:rPr>
                <w:snapToGrid w:val="0"/>
                <w:sz w:val="20"/>
                <w:szCs w:val="22"/>
              </w:rPr>
              <w:t xml:space="preserve">progress towards </w:t>
            </w:r>
            <w:r w:rsidR="0026042E">
              <w:rPr>
                <w:snapToGrid w:val="0"/>
                <w:sz w:val="20"/>
                <w:szCs w:val="22"/>
              </w:rPr>
              <w:t xml:space="preserve">achieving </w:t>
            </w:r>
            <w:r w:rsidR="004A1B66" w:rsidRPr="00701D57">
              <w:rPr>
                <w:snapToGrid w:val="0"/>
                <w:sz w:val="20"/>
                <w:szCs w:val="22"/>
              </w:rPr>
              <w:t xml:space="preserve">the </w:t>
            </w:r>
            <w:r w:rsidR="001C5E62" w:rsidRPr="00701D57">
              <w:rPr>
                <w:snapToGrid w:val="0"/>
                <w:sz w:val="20"/>
                <w:szCs w:val="22"/>
              </w:rPr>
              <w:t>t</w:t>
            </w:r>
            <w:r w:rsidR="004A1B66" w:rsidRPr="00701D57">
              <w:rPr>
                <w:snapToGrid w:val="0"/>
                <w:sz w:val="20"/>
                <w:szCs w:val="22"/>
              </w:rPr>
              <w:t>argets</w:t>
            </w:r>
            <w:r w:rsidR="00817A82" w:rsidRPr="00701D57">
              <w:rPr>
                <w:snapToGrid w:val="0"/>
                <w:sz w:val="20"/>
                <w:szCs w:val="22"/>
              </w:rPr>
              <w:t xml:space="preserve"> of the Framework </w:t>
            </w:r>
            <w:r w:rsidR="001C5E62" w:rsidRPr="00701D57">
              <w:rPr>
                <w:snapToGrid w:val="0"/>
                <w:sz w:val="20"/>
                <w:szCs w:val="22"/>
              </w:rPr>
              <w:t>based on</w:t>
            </w:r>
            <w:r w:rsidR="00994C98" w:rsidRPr="00701D57">
              <w:rPr>
                <w:snapToGrid w:val="0"/>
                <w:sz w:val="20"/>
                <w:szCs w:val="22"/>
              </w:rPr>
              <w:t>, inter alia,</w:t>
            </w:r>
            <w:r w:rsidR="00817A82" w:rsidRPr="00701D57">
              <w:rPr>
                <w:snapToGrid w:val="0"/>
                <w:sz w:val="20"/>
                <w:szCs w:val="22"/>
              </w:rPr>
              <w:t xml:space="preserve"> the </w:t>
            </w:r>
            <w:r w:rsidR="00817A82" w:rsidRPr="00701D57">
              <w:rPr>
                <w:sz w:val="20"/>
                <w:szCs w:val="22"/>
              </w:rPr>
              <w:t xml:space="preserve">eighth national </w:t>
            </w:r>
            <w:proofErr w:type="spellStart"/>
            <w:proofErr w:type="gramStart"/>
            <w:r w:rsidR="00817A82" w:rsidRPr="00701D57">
              <w:rPr>
                <w:sz w:val="20"/>
                <w:szCs w:val="22"/>
              </w:rPr>
              <w:t>report</w:t>
            </w:r>
            <w:r w:rsidR="00994C98" w:rsidRPr="00701D57">
              <w:rPr>
                <w:sz w:val="20"/>
                <w:szCs w:val="22"/>
              </w:rPr>
              <w:t>s</w:t>
            </w:r>
            <w:r w:rsidR="00D14CA8" w:rsidRPr="00701D57">
              <w:rPr>
                <w:sz w:val="20"/>
                <w:szCs w:val="22"/>
              </w:rPr>
              <w:t>;</w:t>
            </w:r>
            <w:r w:rsidR="0026042E">
              <w:rPr>
                <w:i/>
                <w:iCs/>
                <w:sz w:val="20"/>
                <w:szCs w:val="22"/>
                <w:vertAlign w:val="superscript"/>
              </w:rPr>
              <w:t>g</w:t>
            </w:r>
            <w:proofErr w:type="spellEnd"/>
            <w:proofErr w:type="gramEnd"/>
          </w:p>
          <w:p w14:paraId="5F2BA697" w14:textId="48558E16" w:rsidR="00D641D7" w:rsidRPr="003E4150" w:rsidRDefault="00D641D7" w:rsidP="00701D57">
            <w:pPr>
              <w:keepNext/>
              <w:spacing w:before="60" w:after="60"/>
              <w:ind w:left="360" w:hanging="328"/>
              <w:jc w:val="left"/>
              <w:rPr>
                <w:snapToGrid w:val="0"/>
                <w:sz w:val="20"/>
                <w:szCs w:val="20"/>
              </w:rPr>
            </w:pPr>
            <w:r w:rsidRPr="003E4150">
              <w:rPr>
                <w:color w:val="000000"/>
                <w:sz w:val="20"/>
                <w:szCs w:val="20"/>
              </w:rPr>
              <w:t>(c)</w:t>
            </w:r>
            <w:r w:rsidR="00EB6463">
              <w:rPr>
                <w:color w:val="000000"/>
                <w:sz w:val="20"/>
                <w:szCs w:val="20"/>
              </w:rPr>
              <w:tab/>
            </w:r>
            <w:r w:rsidRPr="00701D57">
              <w:rPr>
                <w:snapToGrid w:val="0"/>
                <w:sz w:val="20"/>
                <w:szCs w:val="22"/>
              </w:rPr>
              <w:t>Strategic</w:t>
            </w:r>
            <w:r w:rsidRPr="003E4150">
              <w:rPr>
                <w:color w:val="000000"/>
                <w:sz w:val="20"/>
                <w:szCs w:val="20"/>
              </w:rPr>
              <w:t xml:space="preserve"> actions to enhance the implementation</w:t>
            </w:r>
            <w:r w:rsidRPr="00FE536D">
              <w:rPr>
                <w:color w:val="000000"/>
                <w:sz w:val="20"/>
              </w:rPr>
              <w:t xml:space="preserve"> of </w:t>
            </w:r>
            <w:r w:rsidRPr="003E4150">
              <w:rPr>
                <w:color w:val="000000"/>
                <w:sz w:val="20"/>
                <w:szCs w:val="20"/>
              </w:rPr>
              <w:t>the Convention and the Framework, including in relation to means of implementation;</w:t>
            </w:r>
          </w:p>
          <w:p w14:paraId="390C86CB" w14:textId="0D5E07B7" w:rsidR="00817A82" w:rsidRPr="003E4150" w:rsidRDefault="00D14CA8" w:rsidP="00701D57">
            <w:pPr>
              <w:keepNext/>
              <w:spacing w:before="60" w:after="60"/>
              <w:ind w:left="360" w:hanging="328"/>
              <w:jc w:val="left"/>
              <w:rPr>
                <w:snapToGrid w:val="0"/>
                <w:sz w:val="20"/>
                <w:szCs w:val="20"/>
              </w:rPr>
            </w:pPr>
            <w:r w:rsidRPr="003E4150">
              <w:rPr>
                <w:snapToGrid w:val="0"/>
                <w:sz w:val="20"/>
                <w:szCs w:val="20"/>
              </w:rPr>
              <w:t>(</w:t>
            </w:r>
            <w:r w:rsidR="00262EF1">
              <w:rPr>
                <w:snapToGrid w:val="0"/>
                <w:sz w:val="20"/>
                <w:szCs w:val="20"/>
              </w:rPr>
              <w:t>d</w:t>
            </w:r>
            <w:r w:rsidRPr="004B7B11">
              <w:rPr>
                <w:snapToGrid w:val="0"/>
                <w:sz w:val="20"/>
                <w:szCs w:val="20"/>
              </w:rPr>
              <w:t>)</w:t>
            </w:r>
            <w:r w:rsidRPr="004B7B11">
              <w:rPr>
                <w:snapToGrid w:val="0"/>
                <w:sz w:val="20"/>
                <w:szCs w:val="20"/>
              </w:rPr>
              <w:tab/>
            </w:r>
            <w:r w:rsidR="00635192" w:rsidRPr="00701D57">
              <w:rPr>
                <w:snapToGrid w:val="0"/>
                <w:sz w:val="20"/>
                <w:szCs w:val="22"/>
              </w:rPr>
              <w:t>Implications</w:t>
            </w:r>
            <w:r w:rsidR="00635192" w:rsidRPr="003E4150">
              <w:rPr>
                <w:color w:val="000000"/>
                <w:sz w:val="20"/>
                <w:szCs w:val="20"/>
              </w:rPr>
              <w:t xml:space="preserve"> for the work of the Convention of the deliverables of the </w:t>
            </w:r>
            <w:r w:rsidR="00635192" w:rsidRPr="00ED6877">
              <w:rPr>
                <w:color w:val="000000"/>
                <w:sz w:val="20"/>
                <w:szCs w:val="20"/>
              </w:rPr>
              <w:t>Intergovernmental Science-Policy Platform on Biodiversity and Ecosystem Services</w:t>
            </w:r>
            <w:r w:rsidR="008C7C4E" w:rsidRPr="00ED6877">
              <w:rPr>
                <w:color w:val="000000"/>
                <w:sz w:val="20"/>
                <w:szCs w:val="20"/>
              </w:rPr>
              <w:t>, including</w:t>
            </w:r>
            <w:r w:rsidR="00635192" w:rsidRPr="00ED6877">
              <w:rPr>
                <w:color w:val="000000"/>
                <w:sz w:val="20"/>
                <w:szCs w:val="20"/>
              </w:rPr>
              <w:t xml:space="preserve"> </w:t>
            </w:r>
            <w:r w:rsidR="008E2C4C" w:rsidRPr="00ED6877">
              <w:rPr>
                <w:color w:val="000000"/>
                <w:sz w:val="20"/>
                <w:szCs w:val="20"/>
              </w:rPr>
              <w:t xml:space="preserve">its </w:t>
            </w:r>
            <w:r w:rsidR="00FA38EC" w:rsidRPr="00ED6877">
              <w:rPr>
                <w:sz w:val="20"/>
                <w:szCs w:val="22"/>
              </w:rPr>
              <w:t>s</w:t>
            </w:r>
            <w:r w:rsidR="004A1B66" w:rsidRPr="00ED6877">
              <w:rPr>
                <w:sz w:val="20"/>
                <w:szCs w:val="22"/>
              </w:rPr>
              <w:t xml:space="preserve">econd </w:t>
            </w:r>
            <w:r w:rsidR="00FA38EC" w:rsidRPr="00ED6877">
              <w:rPr>
                <w:sz w:val="20"/>
                <w:szCs w:val="22"/>
              </w:rPr>
              <w:t>g</w:t>
            </w:r>
            <w:r w:rsidR="004A1B66" w:rsidRPr="00ED6877">
              <w:rPr>
                <w:sz w:val="20"/>
                <w:szCs w:val="22"/>
              </w:rPr>
              <w:t xml:space="preserve">lobal </w:t>
            </w:r>
            <w:r w:rsidR="00FA38EC" w:rsidRPr="00ED6877">
              <w:rPr>
                <w:sz w:val="20"/>
                <w:szCs w:val="22"/>
              </w:rPr>
              <w:t>a</w:t>
            </w:r>
            <w:r w:rsidR="004A1B66" w:rsidRPr="00ED6877">
              <w:rPr>
                <w:sz w:val="20"/>
                <w:szCs w:val="22"/>
              </w:rPr>
              <w:t xml:space="preserve">ssessment of </w:t>
            </w:r>
            <w:r w:rsidR="00FA38EC" w:rsidRPr="00ED6877">
              <w:rPr>
                <w:sz w:val="20"/>
                <w:szCs w:val="22"/>
              </w:rPr>
              <w:t>b</w:t>
            </w:r>
            <w:r w:rsidR="004A1B66" w:rsidRPr="00ED6877">
              <w:rPr>
                <w:sz w:val="20"/>
                <w:szCs w:val="22"/>
              </w:rPr>
              <w:t xml:space="preserve">iodiversity and </w:t>
            </w:r>
            <w:r w:rsidR="00FA38EC" w:rsidRPr="00ED6877">
              <w:rPr>
                <w:sz w:val="20"/>
                <w:szCs w:val="22"/>
              </w:rPr>
              <w:t>e</w:t>
            </w:r>
            <w:r w:rsidR="004A1B66" w:rsidRPr="00ED6877">
              <w:rPr>
                <w:sz w:val="20"/>
                <w:szCs w:val="22"/>
              </w:rPr>
              <w:t xml:space="preserve">cosystem </w:t>
            </w:r>
            <w:r w:rsidR="00FA38EC" w:rsidRPr="00ED6877">
              <w:rPr>
                <w:sz w:val="20"/>
                <w:szCs w:val="22"/>
              </w:rPr>
              <w:t>s</w:t>
            </w:r>
            <w:r w:rsidR="004A1B66" w:rsidRPr="00ED6877">
              <w:rPr>
                <w:sz w:val="20"/>
                <w:szCs w:val="22"/>
              </w:rPr>
              <w:t>ervices</w:t>
            </w:r>
            <w:r w:rsidRPr="00ED6877">
              <w:rPr>
                <w:sz w:val="20"/>
                <w:szCs w:val="22"/>
              </w:rPr>
              <w:t>;</w:t>
            </w:r>
          </w:p>
          <w:p w14:paraId="6FCB6137" w14:textId="5BAA2363" w:rsidR="004A1B66" w:rsidRDefault="00D14CA8" w:rsidP="00701D57">
            <w:pPr>
              <w:keepNext/>
              <w:spacing w:before="60" w:after="60"/>
              <w:ind w:left="360" w:hanging="328"/>
              <w:jc w:val="left"/>
              <w:rPr>
                <w:snapToGrid w:val="0"/>
                <w:sz w:val="20"/>
                <w:szCs w:val="22"/>
              </w:rPr>
            </w:pPr>
            <w:r w:rsidRPr="008B10BB">
              <w:rPr>
                <w:snapToGrid w:val="0"/>
                <w:sz w:val="20"/>
                <w:szCs w:val="22"/>
              </w:rPr>
              <w:t>(</w:t>
            </w:r>
            <w:r w:rsidR="00C829CB">
              <w:rPr>
                <w:snapToGrid w:val="0"/>
                <w:sz w:val="20"/>
                <w:szCs w:val="22"/>
              </w:rPr>
              <w:t>e</w:t>
            </w:r>
            <w:r w:rsidRPr="008B10BB">
              <w:rPr>
                <w:snapToGrid w:val="0"/>
                <w:sz w:val="20"/>
                <w:szCs w:val="22"/>
              </w:rPr>
              <w:t>)</w:t>
            </w:r>
            <w:r w:rsidRPr="008B10BB">
              <w:rPr>
                <w:snapToGrid w:val="0"/>
                <w:sz w:val="20"/>
                <w:szCs w:val="22"/>
              </w:rPr>
              <w:tab/>
            </w:r>
            <w:r w:rsidR="004A1B66" w:rsidRPr="00701D57">
              <w:rPr>
                <w:snapToGrid w:val="0"/>
                <w:sz w:val="20"/>
                <w:szCs w:val="22"/>
              </w:rPr>
              <w:t>Update</w:t>
            </w:r>
            <w:r w:rsidR="004A1B66" w:rsidRPr="008B10BB">
              <w:rPr>
                <w:sz w:val="20"/>
                <w:szCs w:val="22"/>
              </w:rPr>
              <w:t xml:space="preserve"> of and follow-up to the </w:t>
            </w:r>
            <w:r w:rsidR="004A1B66" w:rsidRPr="00E77B5F">
              <w:rPr>
                <w:snapToGrid w:val="0"/>
                <w:sz w:val="20"/>
                <w:szCs w:val="22"/>
              </w:rPr>
              <w:t>Framework</w:t>
            </w:r>
            <w:r w:rsidR="00B532A5">
              <w:rPr>
                <w:snapToGrid w:val="0"/>
                <w:sz w:val="20"/>
                <w:szCs w:val="22"/>
              </w:rPr>
              <w:t xml:space="preserve"> and</w:t>
            </w:r>
            <w:r w:rsidR="003B0A63">
              <w:rPr>
                <w:snapToGrid w:val="0"/>
                <w:sz w:val="20"/>
                <w:szCs w:val="22"/>
              </w:rPr>
              <w:t xml:space="preserve"> follow</w:t>
            </w:r>
            <w:r w:rsidR="005E1D00">
              <w:rPr>
                <w:snapToGrid w:val="0"/>
                <w:sz w:val="20"/>
                <w:szCs w:val="22"/>
              </w:rPr>
              <w:t>-</w:t>
            </w:r>
            <w:r w:rsidR="003B0A63">
              <w:rPr>
                <w:snapToGrid w:val="0"/>
                <w:sz w:val="20"/>
                <w:szCs w:val="22"/>
              </w:rPr>
              <w:t xml:space="preserve">up to the Gender Plan of Action </w:t>
            </w:r>
            <w:r w:rsidR="00B532A5">
              <w:rPr>
                <w:snapToGrid w:val="0"/>
                <w:sz w:val="20"/>
                <w:szCs w:val="22"/>
              </w:rPr>
              <w:t>(2023</w:t>
            </w:r>
            <w:r w:rsidR="00B532A5">
              <w:rPr>
                <w:snapToGrid w:val="0"/>
                <w:sz w:val="20"/>
                <w:szCs w:val="22"/>
              </w:rPr>
              <w:sym w:font="Symbol" w:char="F02D"/>
            </w:r>
            <w:r w:rsidR="00B532A5">
              <w:rPr>
                <w:snapToGrid w:val="0"/>
                <w:sz w:val="20"/>
                <w:szCs w:val="22"/>
              </w:rPr>
              <w:t xml:space="preserve">2030) </w:t>
            </w:r>
            <w:r w:rsidR="003B0A63">
              <w:rPr>
                <w:snapToGrid w:val="0"/>
                <w:sz w:val="20"/>
                <w:szCs w:val="22"/>
              </w:rPr>
              <w:t xml:space="preserve">and the </w:t>
            </w:r>
            <w:r w:rsidR="00726FC8">
              <w:rPr>
                <w:snapToGrid w:val="0"/>
                <w:sz w:val="20"/>
                <w:szCs w:val="22"/>
              </w:rPr>
              <w:t>strategy for r</w:t>
            </w:r>
            <w:r w:rsidR="003B0A63">
              <w:rPr>
                <w:snapToGrid w:val="0"/>
                <w:sz w:val="20"/>
                <w:szCs w:val="22"/>
              </w:rPr>
              <w:t xml:space="preserve">esource </w:t>
            </w:r>
            <w:r w:rsidR="00726FC8">
              <w:rPr>
                <w:snapToGrid w:val="0"/>
                <w:sz w:val="20"/>
                <w:szCs w:val="22"/>
              </w:rPr>
              <w:t>m</w:t>
            </w:r>
            <w:r w:rsidR="003B0A63">
              <w:rPr>
                <w:snapToGrid w:val="0"/>
                <w:sz w:val="20"/>
                <w:szCs w:val="22"/>
              </w:rPr>
              <w:t>obilization</w:t>
            </w:r>
            <w:r w:rsidRPr="008B10BB">
              <w:rPr>
                <w:snapToGrid w:val="0"/>
                <w:sz w:val="20"/>
                <w:szCs w:val="22"/>
              </w:rPr>
              <w:t>;</w:t>
            </w:r>
          </w:p>
          <w:p w14:paraId="5CA9BDE3" w14:textId="291C8633" w:rsidR="00D34DFB" w:rsidRPr="008B10BB" w:rsidRDefault="00D14CA8" w:rsidP="00701D57">
            <w:pPr>
              <w:keepNext/>
              <w:spacing w:before="60" w:after="60"/>
              <w:ind w:left="360" w:hanging="328"/>
              <w:jc w:val="left"/>
              <w:rPr>
                <w:sz w:val="20"/>
                <w:szCs w:val="22"/>
              </w:rPr>
            </w:pPr>
            <w:r w:rsidRPr="008B10BB">
              <w:rPr>
                <w:snapToGrid w:val="0"/>
                <w:sz w:val="20"/>
                <w:szCs w:val="22"/>
              </w:rPr>
              <w:t>(</w:t>
            </w:r>
            <w:r w:rsidR="003B0A63" w:rsidRPr="00ED6877">
              <w:rPr>
                <w:snapToGrid w:val="0"/>
                <w:sz w:val="20"/>
                <w:szCs w:val="22"/>
              </w:rPr>
              <w:t>f</w:t>
            </w:r>
            <w:r w:rsidRPr="00ED6877">
              <w:rPr>
                <w:snapToGrid w:val="0"/>
                <w:sz w:val="20"/>
                <w:szCs w:val="22"/>
              </w:rPr>
              <w:t>)</w:t>
            </w:r>
            <w:r w:rsidRPr="00ED6877">
              <w:rPr>
                <w:snapToGrid w:val="0"/>
                <w:sz w:val="20"/>
                <w:szCs w:val="22"/>
              </w:rPr>
              <w:tab/>
            </w:r>
            <w:r w:rsidR="00D34DFB" w:rsidRPr="00ED6877">
              <w:rPr>
                <w:sz w:val="20"/>
                <w:szCs w:val="22"/>
              </w:rPr>
              <w:t>[</w:t>
            </w:r>
            <w:r w:rsidR="006F2B5A" w:rsidRPr="00ED6877">
              <w:rPr>
                <w:i/>
                <w:iCs/>
                <w:sz w:val="20"/>
                <w:szCs w:val="22"/>
              </w:rPr>
              <w:t>O</w:t>
            </w:r>
            <w:r w:rsidR="00D34DFB" w:rsidRPr="00ED6877">
              <w:rPr>
                <w:i/>
                <w:iCs/>
                <w:sz w:val="20"/>
                <w:szCs w:val="22"/>
              </w:rPr>
              <w:t>ther items to be determined</w:t>
            </w:r>
            <w:r w:rsidR="00D34DFB" w:rsidRPr="00ED6877">
              <w:rPr>
                <w:sz w:val="20"/>
                <w:szCs w:val="22"/>
              </w:rPr>
              <w:t>]</w:t>
            </w:r>
            <w:r w:rsidR="00FA38EC" w:rsidRPr="00ED6877">
              <w:rPr>
                <w:sz w:val="20"/>
                <w:szCs w:val="22"/>
              </w:rPr>
              <w:t>.</w:t>
            </w:r>
          </w:p>
        </w:tc>
      </w:tr>
    </w:tbl>
    <w:p w14:paraId="6D1C2346" w14:textId="7F54FB63" w:rsidR="008903EC" w:rsidRDefault="009F080D">
      <w:pPr>
        <w:pStyle w:val="Para1"/>
        <w:keepNext/>
        <w:numPr>
          <w:ilvl w:val="0"/>
          <w:numId w:val="0"/>
        </w:numPr>
        <w:tabs>
          <w:tab w:val="clear" w:pos="1134"/>
          <w:tab w:val="left" w:pos="284"/>
        </w:tabs>
        <w:spacing w:before="60" w:after="60"/>
        <w:rPr>
          <w:sz w:val="18"/>
          <w:szCs w:val="18"/>
        </w:rPr>
      </w:pPr>
      <w:r w:rsidRPr="002802FC">
        <w:rPr>
          <w:i/>
          <w:iCs/>
          <w:sz w:val="18"/>
          <w:szCs w:val="18"/>
          <w:vertAlign w:val="superscript"/>
        </w:rPr>
        <w:t>a</w:t>
      </w:r>
      <w:r w:rsidRPr="002802FC">
        <w:rPr>
          <w:sz w:val="18"/>
          <w:szCs w:val="18"/>
        </w:rPr>
        <w:tab/>
        <w:t xml:space="preserve">Conducted in conjunction with the review of the strategy for resource mobilization (decision </w:t>
      </w:r>
      <w:hyperlink r:id="rId16" w:history="1">
        <w:r w:rsidRPr="002802FC">
          <w:rPr>
            <w:rStyle w:val="Hyperlink"/>
            <w:sz w:val="18"/>
            <w:szCs w:val="18"/>
          </w:rPr>
          <w:t>15/7</w:t>
        </w:r>
      </w:hyperlink>
      <w:r w:rsidRPr="002802FC">
        <w:rPr>
          <w:sz w:val="18"/>
          <w:szCs w:val="18"/>
        </w:rPr>
        <w:t xml:space="preserve">, para. 46), the midterm review of the implementation of the Gender Plan of Action </w:t>
      </w:r>
      <w:r w:rsidR="00DA4B44" w:rsidRPr="002802FC">
        <w:rPr>
          <w:sz w:val="18"/>
          <w:szCs w:val="18"/>
          <w:lang w:val="en-US"/>
        </w:rPr>
        <w:t>(</w:t>
      </w:r>
      <w:r w:rsidRPr="002802FC">
        <w:rPr>
          <w:sz w:val="18"/>
          <w:szCs w:val="18"/>
        </w:rPr>
        <w:t>2023–2030</w:t>
      </w:r>
      <w:r w:rsidR="00DA4B44" w:rsidRPr="002802FC">
        <w:rPr>
          <w:sz w:val="18"/>
          <w:szCs w:val="18"/>
        </w:rPr>
        <w:t>)</w:t>
      </w:r>
      <w:r w:rsidRPr="002802FC">
        <w:rPr>
          <w:sz w:val="18"/>
          <w:szCs w:val="18"/>
        </w:rPr>
        <w:t xml:space="preserve"> (decision </w:t>
      </w:r>
      <w:hyperlink r:id="rId17" w:history="1">
        <w:r w:rsidRPr="002802FC">
          <w:rPr>
            <w:rStyle w:val="Hyperlink"/>
            <w:sz w:val="18"/>
            <w:szCs w:val="18"/>
          </w:rPr>
          <w:t>15/11</w:t>
        </w:r>
      </w:hyperlink>
      <w:r w:rsidRPr="002802FC">
        <w:rPr>
          <w:sz w:val="18"/>
          <w:szCs w:val="18"/>
        </w:rPr>
        <w:t xml:space="preserve">, para. 9), the review of the technical and scientific cooperation mechanism (decision </w:t>
      </w:r>
      <w:hyperlink r:id="rId18" w:history="1">
        <w:r w:rsidRPr="002802FC">
          <w:rPr>
            <w:rStyle w:val="Hyperlink"/>
            <w:sz w:val="18"/>
            <w:szCs w:val="18"/>
          </w:rPr>
          <w:t>15/8</w:t>
        </w:r>
      </w:hyperlink>
      <w:r w:rsidRPr="002802FC">
        <w:rPr>
          <w:sz w:val="18"/>
          <w:szCs w:val="18"/>
        </w:rPr>
        <w:t>, para. 32 (j)) and the review of the role of subnational governments, cities and other local authorities in the implementation of the objectives of the Convention and its Protocols and the Framework (decision</w:t>
      </w:r>
      <w:r w:rsidR="003846A0" w:rsidRPr="002802FC">
        <w:rPr>
          <w:sz w:val="18"/>
          <w:szCs w:val="18"/>
        </w:rPr>
        <w:t> </w:t>
      </w:r>
      <w:hyperlink r:id="rId19" w:history="1">
        <w:r w:rsidRPr="002802FC">
          <w:rPr>
            <w:rStyle w:val="Hyperlink"/>
            <w:sz w:val="18"/>
            <w:szCs w:val="18"/>
          </w:rPr>
          <w:t>15/12</w:t>
        </w:r>
      </w:hyperlink>
      <w:r w:rsidRPr="002802FC">
        <w:rPr>
          <w:sz w:val="18"/>
          <w:szCs w:val="18"/>
        </w:rPr>
        <w:t>, para. 7).</w:t>
      </w:r>
      <w:r w:rsidR="001C1E43">
        <w:rPr>
          <w:sz w:val="18"/>
          <w:szCs w:val="18"/>
        </w:rPr>
        <w:t xml:space="preserve"> </w:t>
      </w:r>
    </w:p>
    <w:p w14:paraId="4D7FE188" w14:textId="20A75B5B" w:rsidR="002D364E" w:rsidRPr="002D364E" w:rsidRDefault="002D364E" w:rsidP="00701D57">
      <w:pPr>
        <w:pStyle w:val="Para1"/>
        <w:keepNext/>
        <w:numPr>
          <w:ilvl w:val="0"/>
          <w:numId w:val="0"/>
        </w:numPr>
        <w:tabs>
          <w:tab w:val="clear" w:pos="1134"/>
          <w:tab w:val="left" w:pos="284"/>
        </w:tabs>
        <w:spacing w:before="60" w:after="60"/>
        <w:rPr>
          <w:i/>
          <w:iCs/>
          <w:sz w:val="18"/>
          <w:szCs w:val="18"/>
          <w:vertAlign w:val="superscript"/>
        </w:rPr>
      </w:pPr>
      <w:r w:rsidRPr="002D364E">
        <w:rPr>
          <w:i/>
          <w:iCs/>
          <w:sz w:val="18"/>
          <w:szCs w:val="18"/>
          <w:vertAlign w:val="superscript"/>
        </w:rPr>
        <w:t>b</w:t>
      </w:r>
      <w:r w:rsidR="00701D57">
        <w:rPr>
          <w:i/>
          <w:iCs/>
          <w:sz w:val="18"/>
          <w:szCs w:val="18"/>
          <w:vertAlign w:val="superscript"/>
        </w:rPr>
        <w:tab/>
      </w:r>
      <w:r w:rsidR="001C1E43">
        <w:rPr>
          <w:sz w:val="18"/>
          <w:szCs w:val="18"/>
        </w:rPr>
        <w:t>Decision 15/5, annex I.</w:t>
      </w:r>
    </w:p>
    <w:p w14:paraId="3734A2D9" w14:textId="37164D59" w:rsidR="00894075" w:rsidRPr="002802FC" w:rsidRDefault="002D364E" w:rsidP="00701D57">
      <w:pPr>
        <w:pStyle w:val="Para1"/>
        <w:keepNext/>
        <w:numPr>
          <w:ilvl w:val="0"/>
          <w:numId w:val="0"/>
        </w:numPr>
        <w:tabs>
          <w:tab w:val="clear" w:pos="1134"/>
          <w:tab w:val="left" w:pos="284"/>
        </w:tabs>
        <w:spacing w:before="60" w:after="60"/>
        <w:rPr>
          <w:sz w:val="18"/>
          <w:szCs w:val="18"/>
        </w:rPr>
      </w:pPr>
      <w:r>
        <w:rPr>
          <w:i/>
          <w:iCs/>
          <w:sz w:val="18"/>
          <w:szCs w:val="18"/>
          <w:vertAlign w:val="superscript"/>
        </w:rPr>
        <w:t>c</w:t>
      </w:r>
      <w:r w:rsidR="00894075" w:rsidRPr="002802FC">
        <w:rPr>
          <w:i/>
          <w:iCs/>
          <w:sz w:val="18"/>
          <w:szCs w:val="18"/>
          <w:vertAlign w:val="superscript"/>
        </w:rPr>
        <w:tab/>
      </w:r>
      <w:r w:rsidR="00BB11D0">
        <w:rPr>
          <w:sz w:val="18"/>
          <w:szCs w:val="18"/>
        </w:rPr>
        <w:t>Pending a decision by the Conference of the Parties at its sixteenth meeting</w:t>
      </w:r>
      <w:r w:rsidR="00894075" w:rsidRPr="002802FC">
        <w:rPr>
          <w:sz w:val="18"/>
          <w:szCs w:val="18"/>
        </w:rPr>
        <w:t>.</w:t>
      </w:r>
    </w:p>
    <w:p w14:paraId="25A78E9C" w14:textId="6DA22845" w:rsidR="009F080D" w:rsidRPr="002802FC" w:rsidRDefault="002D364E" w:rsidP="00701D57">
      <w:pPr>
        <w:pStyle w:val="Para1"/>
        <w:keepNext/>
        <w:numPr>
          <w:ilvl w:val="0"/>
          <w:numId w:val="0"/>
        </w:numPr>
        <w:tabs>
          <w:tab w:val="clear" w:pos="1134"/>
          <w:tab w:val="left" w:pos="284"/>
        </w:tabs>
        <w:spacing w:before="60" w:after="60"/>
        <w:rPr>
          <w:sz w:val="18"/>
          <w:szCs w:val="18"/>
        </w:rPr>
      </w:pPr>
      <w:r>
        <w:rPr>
          <w:i/>
          <w:iCs/>
          <w:sz w:val="18"/>
          <w:szCs w:val="18"/>
          <w:vertAlign w:val="superscript"/>
        </w:rPr>
        <w:t>d</w:t>
      </w:r>
      <w:r w:rsidR="009F080D" w:rsidRPr="002802FC">
        <w:rPr>
          <w:sz w:val="18"/>
          <w:szCs w:val="18"/>
        </w:rPr>
        <w:tab/>
        <w:t>Pending</w:t>
      </w:r>
      <w:r w:rsidR="00E361CA" w:rsidRPr="002802FC">
        <w:rPr>
          <w:sz w:val="18"/>
          <w:szCs w:val="18"/>
        </w:rPr>
        <w:t xml:space="preserve"> a decision by the Conference of the Parties at its sixteenth meeting</w:t>
      </w:r>
      <w:r w:rsidR="00D74DB3" w:rsidRPr="002802FC">
        <w:rPr>
          <w:sz w:val="18"/>
          <w:szCs w:val="18"/>
        </w:rPr>
        <w:t>.</w:t>
      </w:r>
    </w:p>
    <w:p w14:paraId="2BB10144" w14:textId="00EFD036" w:rsidR="00D74DB3" w:rsidRPr="002802FC" w:rsidRDefault="002D364E" w:rsidP="00701D57">
      <w:pPr>
        <w:pStyle w:val="Para1"/>
        <w:keepNext/>
        <w:numPr>
          <w:ilvl w:val="0"/>
          <w:numId w:val="0"/>
        </w:numPr>
        <w:tabs>
          <w:tab w:val="clear" w:pos="1134"/>
          <w:tab w:val="left" w:pos="284"/>
        </w:tabs>
        <w:spacing w:before="60" w:after="60"/>
        <w:rPr>
          <w:sz w:val="18"/>
          <w:szCs w:val="18"/>
        </w:rPr>
      </w:pPr>
      <w:r>
        <w:rPr>
          <w:i/>
          <w:iCs/>
          <w:sz w:val="18"/>
          <w:szCs w:val="18"/>
          <w:vertAlign w:val="superscript"/>
        </w:rPr>
        <w:t>e</w:t>
      </w:r>
      <w:r w:rsidR="00D74DB3" w:rsidRPr="002802FC">
        <w:rPr>
          <w:sz w:val="18"/>
          <w:szCs w:val="18"/>
        </w:rPr>
        <w:tab/>
      </w:r>
      <w:r w:rsidR="00A40A50" w:rsidRPr="002802FC">
        <w:rPr>
          <w:sz w:val="18"/>
          <w:szCs w:val="18"/>
        </w:rPr>
        <w:t xml:space="preserve">Conducted in conjunction with the further review of the strategy for resource mobilization (decision </w:t>
      </w:r>
      <w:hyperlink r:id="rId20" w:history="1">
        <w:r w:rsidR="00A40A50" w:rsidRPr="002802FC">
          <w:rPr>
            <w:rStyle w:val="Hyperlink"/>
            <w:sz w:val="18"/>
            <w:szCs w:val="18"/>
          </w:rPr>
          <w:t>15/</w:t>
        </w:r>
        <w:r w:rsidR="00EF53EB" w:rsidRPr="002802FC">
          <w:rPr>
            <w:rStyle w:val="Hyperlink"/>
            <w:sz w:val="18"/>
            <w:szCs w:val="18"/>
          </w:rPr>
          <w:t>7</w:t>
        </w:r>
      </w:hyperlink>
      <w:r w:rsidR="00A40A50" w:rsidRPr="002802FC">
        <w:rPr>
          <w:sz w:val="18"/>
          <w:szCs w:val="18"/>
        </w:rPr>
        <w:t>, para. 46).</w:t>
      </w:r>
    </w:p>
    <w:p w14:paraId="4EAEE3EA" w14:textId="0B1365E3" w:rsidR="00CC0193" w:rsidRPr="002802FC" w:rsidRDefault="002D364E" w:rsidP="00701D57">
      <w:pPr>
        <w:pStyle w:val="Para1"/>
        <w:keepNext/>
        <w:numPr>
          <w:ilvl w:val="0"/>
          <w:numId w:val="0"/>
        </w:numPr>
        <w:tabs>
          <w:tab w:val="clear" w:pos="1134"/>
          <w:tab w:val="left" w:pos="284"/>
        </w:tabs>
        <w:spacing w:before="60" w:after="60"/>
        <w:rPr>
          <w:sz w:val="18"/>
          <w:szCs w:val="18"/>
          <w:lang w:val="en-US"/>
        </w:rPr>
      </w:pPr>
      <w:r>
        <w:rPr>
          <w:i/>
          <w:iCs/>
          <w:sz w:val="18"/>
          <w:szCs w:val="18"/>
          <w:vertAlign w:val="superscript"/>
          <w:lang w:val="en-US"/>
        </w:rPr>
        <w:t>f</w:t>
      </w:r>
      <w:r w:rsidR="00CC0193" w:rsidRPr="002802FC">
        <w:rPr>
          <w:sz w:val="18"/>
          <w:szCs w:val="18"/>
          <w:lang w:val="en-US"/>
        </w:rPr>
        <w:tab/>
        <w:t xml:space="preserve">Decision </w:t>
      </w:r>
      <w:hyperlink r:id="rId21" w:history="1">
        <w:r w:rsidR="00CC0193" w:rsidRPr="002802FC">
          <w:rPr>
            <w:rStyle w:val="Hyperlink"/>
            <w:sz w:val="18"/>
            <w:szCs w:val="18"/>
            <w:lang w:val="en-US"/>
          </w:rPr>
          <w:t>15/15</w:t>
        </w:r>
      </w:hyperlink>
      <w:r w:rsidR="00CC0193" w:rsidRPr="002802FC">
        <w:rPr>
          <w:rStyle w:val="Hyperlink"/>
          <w:sz w:val="18"/>
          <w:szCs w:val="18"/>
          <w:lang w:val="en-US"/>
        </w:rPr>
        <w:t>,</w:t>
      </w:r>
      <w:r w:rsidR="00CC0193" w:rsidRPr="002802FC">
        <w:rPr>
          <w:sz w:val="18"/>
          <w:szCs w:val="18"/>
          <w:lang w:val="en-US"/>
        </w:rPr>
        <w:t xml:space="preserve"> para. 29.</w:t>
      </w:r>
    </w:p>
    <w:p w14:paraId="701A22C4" w14:textId="023866C6" w:rsidR="001C5E62" w:rsidRPr="00E77B5F" w:rsidRDefault="002D364E" w:rsidP="00701D57">
      <w:pPr>
        <w:pStyle w:val="Para1"/>
        <w:numPr>
          <w:ilvl w:val="0"/>
          <w:numId w:val="0"/>
        </w:numPr>
        <w:tabs>
          <w:tab w:val="clear" w:pos="1134"/>
          <w:tab w:val="left" w:pos="284"/>
        </w:tabs>
        <w:spacing w:before="60" w:after="60"/>
        <w:rPr>
          <w:sz w:val="18"/>
          <w:szCs w:val="18"/>
        </w:rPr>
      </w:pPr>
      <w:r>
        <w:rPr>
          <w:i/>
          <w:iCs/>
          <w:sz w:val="18"/>
          <w:szCs w:val="18"/>
          <w:vertAlign w:val="superscript"/>
          <w:lang w:val="en-US"/>
        </w:rPr>
        <w:t>g</w:t>
      </w:r>
      <w:r w:rsidR="001C5E62" w:rsidRPr="002802FC">
        <w:rPr>
          <w:sz w:val="18"/>
          <w:szCs w:val="18"/>
          <w:lang w:val="en-US"/>
        </w:rPr>
        <w:tab/>
      </w:r>
      <w:r w:rsidR="001C5E62" w:rsidRPr="002802FC">
        <w:rPr>
          <w:sz w:val="18"/>
          <w:szCs w:val="18"/>
        </w:rPr>
        <w:t xml:space="preserve">Conducted in conjunction with the evaluation of the long-term strategic framework for capacity-building and development (decision </w:t>
      </w:r>
      <w:hyperlink r:id="rId22" w:history="1">
        <w:r w:rsidR="001C5E62" w:rsidRPr="002802FC">
          <w:rPr>
            <w:rStyle w:val="Hyperlink"/>
            <w:sz w:val="18"/>
            <w:szCs w:val="18"/>
          </w:rPr>
          <w:t>15/8</w:t>
        </w:r>
      </w:hyperlink>
      <w:r w:rsidR="001C5E62" w:rsidRPr="002802FC">
        <w:rPr>
          <w:sz w:val="18"/>
          <w:szCs w:val="18"/>
        </w:rPr>
        <w:t>, para. 16 (</w:t>
      </w:r>
      <w:proofErr w:type="spellStart"/>
      <w:r w:rsidR="001C5E62" w:rsidRPr="002802FC">
        <w:rPr>
          <w:sz w:val="18"/>
          <w:szCs w:val="18"/>
        </w:rPr>
        <w:t>i</w:t>
      </w:r>
      <w:proofErr w:type="spellEnd"/>
      <w:r w:rsidR="001C5E62" w:rsidRPr="002802FC">
        <w:rPr>
          <w:sz w:val="18"/>
          <w:szCs w:val="18"/>
        </w:rPr>
        <w:t>)</w:t>
      </w:r>
      <w:r w:rsidR="008847A5" w:rsidRPr="002802FC">
        <w:rPr>
          <w:sz w:val="18"/>
          <w:szCs w:val="18"/>
        </w:rPr>
        <w:t>)</w:t>
      </w:r>
      <w:r w:rsidR="001C5E62" w:rsidRPr="002802FC">
        <w:rPr>
          <w:sz w:val="18"/>
          <w:szCs w:val="18"/>
        </w:rPr>
        <w:t xml:space="preserve"> and</w:t>
      </w:r>
      <w:r w:rsidR="001C5E62" w:rsidRPr="008B10BB">
        <w:rPr>
          <w:sz w:val="18"/>
          <w:szCs w:val="18"/>
        </w:rPr>
        <w:t xml:space="preserve"> other mechanisms adopted by the Conference of the Parties to support the means of implementation</w:t>
      </w:r>
      <w:r w:rsidR="001C5E62" w:rsidRPr="00451607">
        <w:rPr>
          <w:sz w:val="18"/>
          <w:szCs w:val="18"/>
        </w:rPr>
        <w:t>.</w:t>
      </w:r>
      <w:r w:rsidR="000A0720" w:rsidRPr="00451607">
        <w:rPr>
          <w:sz w:val="18"/>
          <w:szCs w:val="18"/>
        </w:rPr>
        <w:t>]</w:t>
      </w:r>
    </w:p>
    <w:p w14:paraId="31E1C4FD" w14:textId="1E517374" w:rsidR="002B559C" w:rsidRPr="00C02EA4" w:rsidRDefault="00ED3849" w:rsidP="00701D57">
      <w:pPr>
        <w:pStyle w:val="Para1"/>
        <w:numPr>
          <w:ilvl w:val="0"/>
          <w:numId w:val="0"/>
        </w:numPr>
        <w:spacing w:before="0" w:after="0"/>
        <w:jc w:val="center"/>
      </w:pPr>
      <w:r w:rsidRPr="008B10BB">
        <w:t>__________</w:t>
      </w:r>
    </w:p>
    <w:sectPr w:rsidR="002B559C" w:rsidRPr="00C02EA4" w:rsidSect="006D1797">
      <w:headerReference w:type="even" r:id="rId23"/>
      <w:headerReference w:type="default" r:id="rId24"/>
      <w:footerReference w:type="even" r:id="rId25"/>
      <w:footerReference w:type="default" r:id="rId26"/>
      <w:footnotePr>
        <w:numRestart w:val="eachSect"/>
      </w:footnotePr>
      <w:type w:val="continuous"/>
      <w:pgSz w:w="12240" w:h="15840"/>
      <w:pgMar w:top="1134" w:right="1440" w:bottom="107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8C3BB" w14:textId="77777777" w:rsidR="00D641C5" w:rsidRDefault="00D641C5" w:rsidP="00A96B21">
      <w:r>
        <w:separator/>
      </w:r>
    </w:p>
  </w:endnote>
  <w:endnote w:type="continuationSeparator" w:id="0">
    <w:p w14:paraId="318A5C6F" w14:textId="77777777" w:rsidR="00D641C5" w:rsidRDefault="00D641C5" w:rsidP="00A96B21">
      <w:r>
        <w:continuationSeparator/>
      </w:r>
    </w:p>
  </w:endnote>
  <w:endnote w:type="continuationNotice" w:id="1">
    <w:p w14:paraId="0551FE57" w14:textId="77777777" w:rsidR="00D641C5" w:rsidRDefault="00D64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8745602"/>
      <w:docPartObj>
        <w:docPartGallery w:val="Page Numbers (Bottom of Page)"/>
        <w:docPartUnique/>
      </w:docPartObj>
    </w:sdtPr>
    <w:sdtEndPr/>
    <w:sdtContent>
      <w:sdt>
        <w:sdtPr>
          <w:id w:val="1601221097"/>
          <w:docPartObj>
            <w:docPartGallery w:val="Page Numbers (Top of Page)"/>
            <w:docPartUnique/>
          </w:docPartObj>
        </w:sdtPr>
        <w:sdtEndPr/>
        <w:sdtContent>
          <w:p w14:paraId="75EA36C9" w14:textId="77777777" w:rsidR="00D142CA" w:rsidRDefault="00D142CA">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6696978"/>
      <w:docPartObj>
        <w:docPartGallery w:val="Page Numbers (Bottom of Page)"/>
        <w:docPartUnique/>
      </w:docPartObj>
    </w:sdtPr>
    <w:sdtEndPr/>
    <w:sdtContent>
      <w:sdt>
        <w:sdtPr>
          <w:id w:val="-2045743300"/>
          <w:docPartObj>
            <w:docPartGallery w:val="Page Numbers (Top of Page)"/>
            <w:docPartUnique/>
          </w:docPartObj>
        </w:sdtPr>
        <w:sdtEndPr/>
        <w:sdtContent>
          <w:p w14:paraId="26F6FE15" w14:textId="77777777" w:rsidR="00D142CA" w:rsidRDefault="00D142CA"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A2B55" w14:textId="77777777" w:rsidR="00D641C5" w:rsidRDefault="00D641C5" w:rsidP="00A96B21">
      <w:r>
        <w:separator/>
      </w:r>
    </w:p>
  </w:footnote>
  <w:footnote w:type="continuationSeparator" w:id="0">
    <w:p w14:paraId="6B61B115" w14:textId="77777777" w:rsidR="00D641C5" w:rsidRDefault="00D641C5" w:rsidP="00A96B21">
      <w:r>
        <w:continuationSeparator/>
      </w:r>
    </w:p>
  </w:footnote>
  <w:footnote w:type="continuationNotice" w:id="1">
    <w:p w14:paraId="515CA468" w14:textId="77777777" w:rsidR="00D641C5" w:rsidRDefault="00D641C5"/>
  </w:footnote>
  <w:footnote w:id="2">
    <w:p w14:paraId="43F3C239" w14:textId="1ABC777F" w:rsidR="009166E1" w:rsidRPr="00701D57" w:rsidRDefault="009166E1">
      <w:pPr>
        <w:pStyle w:val="FootnoteText"/>
        <w:rPr>
          <w:sz w:val="18"/>
          <w:szCs w:val="18"/>
          <w:lang w:val="en-US"/>
        </w:rPr>
      </w:pPr>
      <w:r w:rsidRPr="00701D57">
        <w:rPr>
          <w:rStyle w:val="FootnoteReference"/>
          <w:sz w:val="18"/>
          <w:szCs w:val="18"/>
        </w:rPr>
        <w:t>*</w:t>
      </w:r>
      <w:r w:rsidRPr="00701D57">
        <w:rPr>
          <w:sz w:val="18"/>
          <w:szCs w:val="18"/>
        </w:rPr>
        <w:t xml:space="preserve"> </w:t>
      </w:r>
      <w:r w:rsidRPr="003D30B8">
        <w:rPr>
          <w:sz w:val="18"/>
          <w:szCs w:val="18"/>
        </w:rPr>
        <w:t xml:space="preserve">The </w:t>
      </w:r>
      <w:r w:rsidR="009C5780">
        <w:rPr>
          <w:sz w:val="18"/>
          <w:szCs w:val="18"/>
        </w:rPr>
        <w:t xml:space="preserve">present </w:t>
      </w:r>
      <w:r w:rsidRPr="003D30B8">
        <w:rPr>
          <w:sz w:val="18"/>
          <w:szCs w:val="18"/>
        </w:rPr>
        <w:t xml:space="preserve">draft decision was prepared by the Chair of the Subsidiary Body </w:t>
      </w:r>
      <w:r w:rsidR="009C5780" w:rsidRPr="003D30B8">
        <w:rPr>
          <w:sz w:val="18"/>
          <w:szCs w:val="18"/>
        </w:rPr>
        <w:t xml:space="preserve">on Implementation </w:t>
      </w:r>
      <w:r w:rsidRPr="003D30B8">
        <w:rPr>
          <w:sz w:val="18"/>
          <w:szCs w:val="18"/>
        </w:rPr>
        <w:t xml:space="preserve">with the support of the Secretariat following the first reading of agenda items 11 and 12. The text </w:t>
      </w:r>
      <w:r w:rsidR="009C5780">
        <w:rPr>
          <w:sz w:val="18"/>
          <w:szCs w:val="18"/>
        </w:rPr>
        <w:t>of the draft decision w</w:t>
      </w:r>
      <w:r w:rsidRPr="003D30B8">
        <w:rPr>
          <w:sz w:val="18"/>
          <w:szCs w:val="18"/>
        </w:rPr>
        <w:t>as not reviewed by the Subsidiary Body at its fourth meeting.</w:t>
      </w:r>
    </w:p>
  </w:footnote>
  <w:footnote w:id="3">
    <w:p w14:paraId="2A6CBA2A" w14:textId="3C60242D" w:rsidR="00CA4714" w:rsidRPr="003D30B8" w:rsidRDefault="00CA4714">
      <w:pPr>
        <w:pStyle w:val="FootnoteText"/>
        <w:rPr>
          <w:sz w:val="18"/>
          <w:szCs w:val="18"/>
          <w:lang w:val="en-US"/>
        </w:rPr>
      </w:pPr>
      <w:r w:rsidRPr="003D30B8">
        <w:rPr>
          <w:rStyle w:val="FootnoteReference"/>
          <w:sz w:val="18"/>
          <w:szCs w:val="18"/>
        </w:rPr>
        <w:footnoteRef/>
      </w:r>
      <w:r w:rsidRPr="003D30B8">
        <w:rPr>
          <w:sz w:val="18"/>
          <w:szCs w:val="18"/>
        </w:rPr>
        <w:t xml:space="preserve"> Decision </w:t>
      </w:r>
      <w:hyperlink r:id="rId1" w:history="1">
        <w:r w:rsidRPr="003D30B8">
          <w:rPr>
            <w:rStyle w:val="Hyperlink"/>
            <w:sz w:val="18"/>
            <w:szCs w:val="18"/>
          </w:rPr>
          <w:t>15/4</w:t>
        </w:r>
      </w:hyperlink>
      <w:r w:rsidRPr="003D30B8">
        <w:rPr>
          <w:sz w:val="18"/>
          <w:szCs w:val="18"/>
        </w:rPr>
        <w:t>, annex.</w:t>
      </w:r>
    </w:p>
  </w:footnote>
  <w:footnote w:id="4">
    <w:p w14:paraId="2D9705CC" w14:textId="578B6B91" w:rsidR="00927622" w:rsidRPr="00FE536D" w:rsidRDefault="00927622">
      <w:pPr>
        <w:pStyle w:val="FootnoteText"/>
        <w:rPr>
          <w:sz w:val="18"/>
          <w:szCs w:val="18"/>
        </w:rPr>
      </w:pPr>
      <w:r w:rsidRPr="003D30B8">
        <w:rPr>
          <w:rStyle w:val="FootnoteReference"/>
          <w:sz w:val="18"/>
          <w:szCs w:val="18"/>
        </w:rPr>
        <w:footnoteRef/>
      </w:r>
      <w:r w:rsidRPr="003D30B8">
        <w:rPr>
          <w:sz w:val="18"/>
          <w:szCs w:val="18"/>
        </w:rPr>
        <w:t xml:space="preserve"> </w:t>
      </w:r>
      <w:r w:rsidRPr="003D30B8">
        <w:rPr>
          <w:color w:val="000000"/>
          <w:sz w:val="18"/>
          <w:szCs w:val="18"/>
        </w:rPr>
        <w:t xml:space="preserve">United Nations, </w:t>
      </w:r>
      <w:r w:rsidRPr="003D30B8">
        <w:rPr>
          <w:i/>
          <w:iCs/>
          <w:color w:val="000000"/>
          <w:sz w:val="18"/>
          <w:szCs w:val="18"/>
        </w:rPr>
        <w:t>Treaty Series</w:t>
      </w:r>
      <w:r w:rsidRPr="003D30B8">
        <w:rPr>
          <w:iCs/>
          <w:color w:val="000000"/>
          <w:sz w:val="18"/>
          <w:szCs w:val="18"/>
        </w:rPr>
        <w:t>,</w:t>
      </w:r>
      <w:r w:rsidRPr="003D30B8">
        <w:rPr>
          <w:i/>
          <w:iCs/>
          <w:color w:val="000000"/>
          <w:sz w:val="18"/>
          <w:szCs w:val="18"/>
        </w:rPr>
        <w:t xml:space="preserve"> </w:t>
      </w:r>
      <w:r w:rsidRPr="003D30B8">
        <w:rPr>
          <w:color w:val="000000"/>
          <w:sz w:val="18"/>
          <w:szCs w:val="18"/>
        </w:rPr>
        <w:t>vol. 1760,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7138B884" w14:textId="7D7A0F9B" w:rsidR="00D142CA" w:rsidRPr="002B559C" w:rsidRDefault="00D641C5"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B310BC">
          <w:rPr>
            <w:sz w:val="20"/>
            <w:szCs w:val="20"/>
            <w:lang w:val="fr-FR"/>
          </w:rPr>
          <w:t>CBD/SBI/REC/4/13</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CA522F9" w14:textId="4EB5AC3D" w:rsidR="00D142CA" w:rsidRPr="002B559C" w:rsidRDefault="00E2777F" w:rsidP="002B559C">
        <w:pPr>
          <w:pStyle w:val="Header"/>
          <w:pBdr>
            <w:bottom w:val="single" w:sz="4" w:space="1" w:color="auto"/>
          </w:pBdr>
          <w:spacing w:after="240"/>
          <w:jc w:val="right"/>
          <w:rPr>
            <w:sz w:val="20"/>
            <w:szCs w:val="20"/>
            <w:lang w:val="fr-FR"/>
          </w:rPr>
        </w:pPr>
        <w:r>
          <w:rPr>
            <w:sz w:val="20"/>
            <w:szCs w:val="20"/>
            <w:lang w:val="fr-FR"/>
          </w:rPr>
          <w:t>CBD/SBI/REC/4</w:t>
        </w:r>
        <w:r w:rsidR="00AC6C68">
          <w:rPr>
            <w:sz w:val="20"/>
            <w:szCs w:val="20"/>
            <w:lang w:val="fr-FR"/>
          </w:rPr>
          <w:t>/</w:t>
        </w:r>
        <w:r w:rsidR="00B310BC">
          <w:rPr>
            <w:sz w:val="20"/>
            <w:szCs w:val="20"/>
            <w:lang w:val="fr-FR"/>
          </w:rPr>
          <w:t>13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471C4"/>
    <w:multiLevelType w:val="hybridMultilevel"/>
    <w:tmpl w:val="8C4CCCD8"/>
    <w:lvl w:ilvl="0" w:tplc="A546EF44">
      <w:start w:val="8"/>
      <w:numFmt w:val="lowerLetter"/>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A493ED1"/>
    <w:multiLevelType w:val="hybridMultilevel"/>
    <w:tmpl w:val="08609BB2"/>
    <w:lvl w:ilvl="0" w:tplc="FFFFFFFF">
      <w:start w:val="1"/>
      <w:numFmt w:val="lowerLetter"/>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 w15:restartNumberingAfterBreak="0">
    <w:nsid w:val="12074D2D"/>
    <w:multiLevelType w:val="hybridMultilevel"/>
    <w:tmpl w:val="6F70A67A"/>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3" w15:restartNumberingAfterBreak="0">
    <w:nsid w:val="1DBD1D07"/>
    <w:multiLevelType w:val="hybridMultilevel"/>
    <w:tmpl w:val="8DEA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6" w15:restartNumberingAfterBreak="0">
    <w:nsid w:val="257532C8"/>
    <w:multiLevelType w:val="hybridMultilevel"/>
    <w:tmpl w:val="C8C6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8"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9154E33"/>
    <w:multiLevelType w:val="hybridMultilevel"/>
    <w:tmpl w:val="5CCC54E2"/>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0" w15:restartNumberingAfterBreak="0">
    <w:nsid w:val="2AC17AC3"/>
    <w:multiLevelType w:val="hybridMultilevel"/>
    <w:tmpl w:val="08609BB2"/>
    <w:lvl w:ilvl="0" w:tplc="FFFFFFFF">
      <w:start w:val="1"/>
      <w:numFmt w:val="lowerLetter"/>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1"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42934610"/>
    <w:multiLevelType w:val="hybridMultilevel"/>
    <w:tmpl w:val="7A6AB640"/>
    <w:lvl w:ilvl="0" w:tplc="1BE0BD02">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961CE"/>
    <w:multiLevelType w:val="hybridMultilevel"/>
    <w:tmpl w:val="AFDCF908"/>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E0442B4"/>
    <w:multiLevelType w:val="multilevel"/>
    <w:tmpl w:val="6406B29E"/>
    <w:lvl w:ilvl="0">
      <w:start w:val="1"/>
      <w:numFmt w:val="decimal"/>
      <w:lvlText w:val="%1."/>
      <w:lvlJc w:val="left"/>
      <w:pPr>
        <w:tabs>
          <w:tab w:val="num" w:pos="360"/>
        </w:tabs>
        <w:ind w:left="0" w:firstLine="0"/>
      </w:pPr>
      <w:rPr>
        <w:rFonts w:ascii="Times New Roman" w:eastAsia="MS Mincho" w:hAnsi="Times New Roman" w:cs="Angsana New"/>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8" w15:restartNumberingAfterBreak="0">
    <w:nsid w:val="60C41482"/>
    <w:multiLevelType w:val="hybridMultilevel"/>
    <w:tmpl w:val="08609BB2"/>
    <w:lvl w:ilvl="0" w:tplc="517C9B80">
      <w:start w:val="1"/>
      <w:numFmt w:val="lowerLetter"/>
      <w:lvlText w:val="(%1)"/>
      <w:lvlJc w:val="left"/>
      <w:pPr>
        <w:ind w:left="1138" w:hanging="640"/>
      </w:pPr>
      <w:rPr>
        <w:rFonts w:hint="default"/>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9" w15:restartNumberingAfterBreak="0">
    <w:nsid w:val="61FD7789"/>
    <w:multiLevelType w:val="hybridMultilevel"/>
    <w:tmpl w:val="A4D4C9A8"/>
    <w:lvl w:ilvl="0" w:tplc="660EAF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2" w15:restartNumberingAfterBreak="0">
    <w:nsid w:val="65ED0129"/>
    <w:multiLevelType w:val="hybridMultilevel"/>
    <w:tmpl w:val="426EE95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3" w15:restartNumberingAfterBreak="0">
    <w:nsid w:val="68B70991"/>
    <w:multiLevelType w:val="hybridMultilevel"/>
    <w:tmpl w:val="C7B2AEF4"/>
    <w:lvl w:ilvl="0" w:tplc="6B98FDBC">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74274B37"/>
    <w:multiLevelType w:val="hybridMultilevel"/>
    <w:tmpl w:val="961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ED46C58"/>
    <w:multiLevelType w:val="hybridMultilevel"/>
    <w:tmpl w:val="069E18DA"/>
    <w:lvl w:ilvl="0" w:tplc="890C22DE">
      <w:start w:val="1"/>
      <w:numFmt w:val="lowerLetter"/>
      <w:lvlText w:val="(%1)"/>
      <w:lvlJc w:val="left"/>
      <w:pPr>
        <w:ind w:left="770" w:hanging="41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528349">
    <w:abstractNumId w:val="13"/>
  </w:num>
  <w:num w:numId="2" w16cid:durableId="1904480901">
    <w:abstractNumId w:val="23"/>
  </w:num>
  <w:num w:numId="3" w16cid:durableId="1942178185">
    <w:abstractNumId w:val="25"/>
  </w:num>
  <w:num w:numId="4" w16cid:durableId="129791789">
    <w:abstractNumId w:val="4"/>
  </w:num>
  <w:num w:numId="5" w16cid:durableId="1936131510">
    <w:abstractNumId w:val="5"/>
  </w:num>
  <w:num w:numId="6" w16cid:durableId="675427181">
    <w:abstractNumId w:val="5"/>
  </w:num>
  <w:num w:numId="7" w16cid:durableId="1081876340">
    <w:abstractNumId w:val="8"/>
  </w:num>
  <w:num w:numId="8" w16cid:durableId="645939512">
    <w:abstractNumId w:val="16"/>
  </w:num>
  <w:num w:numId="9" w16cid:durableId="1193305208">
    <w:abstractNumId w:val="21"/>
  </w:num>
  <w:num w:numId="10" w16cid:durableId="1993363109">
    <w:abstractNumId w:val="20"/>
  </w:num>
  <w:num w:numId="11" w16cid:durableId="904295936">
    <w:abstractNumId w:val="15"/>
  </w:num>
  <w:num w:numId="12" w16cid:durableId="1885949633">
    <w:abstractNumId w:val="7"/>
  </w:num>
  <w:num w:numId="13" w16cid:durableId="1015109979">
    <w:abstractNumId w:val="7"/>
    <w:lvlOverride w:ilvl="0">
      <w:startOverride w:val="1"/>
    </w:lvlOverride>
  </w:num>
  <w:num w:numId="14" w16cid:durableId="1674992762">
    <w:abstractNumId w:val="17"/>
  </w:num>
  <w:num w:numId="15" w16cid:durableId="637149397">
    <w:abstractNumId w:val="17"/>
    <w:lvlOverride w:ilvl="0">
      <w:startOverride w:val="1"/>
    </w:lvlOverride>
  </w:num>
  <w:num w:numId="16" w16cid:durableId="2124767978">
    <w:abstractNumId w:val="23"/>
    <w:lvlOverride w:ilvl="0">
      <w:startOverride w:val="1"/>
    </w:lvlOverride>
  </w:num>
  <w:num w:numId="17" w16cid:durableId="1884058727">
    <w:abstractNumId w:val="17"/>
    <w:lvlOverride w:ilvl="0">
      <w:startOverride w:val="1"/>
    </w:lvlOverride>
  </w:num>
  <w:num w:numId="18" w16cid:durableId="802389149">
    <w:abstractNumId w:val="26"/>
  </w:num>
  <w:num w:numId="19" w16cid:durableId="887228458">
    <w:abstractNumId w:val="23"/>
    <w:lvlOverride w:ilvl="0">
      <w:startOverride w:val="1"/>
    </w:lvlOverride>
  </w:num>
  <w:num w:numId="20" w16cid:durableId="2031493968">
    <w:abstractNumId w:val="23"/>
    <w:lvlOverride w:ilvl="0">
      <w:startOverride w:val="1"/>
    </w:lvlOverride>
  </w:num>
  <w:num w:numId="21" w16cid:durableId="588583935">
    <w:abstractNumId w:val="14"/>
  </w:num>
  <w:num w:numId="22" w16cid:durableId="55129302">
    <w:abstractNumId w:val="14"/>
    <w:lvlOverride w:ilvl="0">
      <w:startOverride w:val="1"/>
    </w:lvlOverride>
  </w:num>
  <w:num w:numId="23" w16cid:durableId="994914948">
    <w:abstractNumId w:val="23"/>
    <w:lvlOverride w:ilvl="0">
      <w:startOverride w:val="1"/>
    </w:lvlOverride>
  </w:num>
  <w:num w:numId="24" w16cid:durableId="1074935240">
    <w:abstractNumId w:val="12"/>
  </w:num>
  <w:num w:numId="25" w16cid:durableId="1281061772">
    <w:abstractNumId w:val="11"/>
  </w:num>
  <w:num w:numId="26" w16cid:durableId="683824963">
    <w:abstractNumId w:val="3"/>
  </w:num>
  <w:num w:numId="27" w16cid:durableId="1061899916">
    <w:abstractNumId w:val="18"/>
  </w:num>
  <w:num w:numId="28" w16cid:durableId="1683508535">
    <w:abstractNumId w:val="19"/>
  </w:num>
  <w:num w:numId="29" w16cid:durableId="46610108">
    <w:abstractNumId w:val="10"/>
  </w:num>
  <w:num w:numId="30" w16cid:durableId="643975177">
    <w:abstractNumId w:val="6"/>
  </w:num>
  <w:num w:numId="31" w16cid:durableId="872771090">
    <w:abstractNumId w:val="24"/>
  </w:num>
  <w:num w:numId="32" w16cid:durableId="493957310">
    <w:abstractNumId w:val="1"/>
  </w:num>
  <w:num w:numId="33" w16cid:durableId="1040203830">
    <w:abstractNumId w:val="22"/>
  </w:num>
  <w:num w:numId="34" w16cid:durableId="829247557">
    <w:abstractNumId w:val="9"/>
  </w:num>
  <w:num w:numId="35" w16cid:durableId="162012270">
    <w:abstractNumId w:val="0"/>
  </w:num>
  <w:num w:numId="36" w16cid:durableId="2141068874">
    <w:abstractNumId w:val="2"/>
  </w:num>
  <w:num w:numId="37" w16cid:durableId="1982924588">
    <w:abstractNumId w:val="23"/>
  </w:num>
  <w:num w:numId="38" w16cid:durableId="1350452990">
    <w:abstractNumId w:val="23"/>
  </w:num>
  <w:num w:numId="39" w16cid:durableId="960302714">
    <w:abstractNumId w:val="23"/>
  </w:num>
  <w:num w:numId="40" w16cid:durableId="1055742780">
    <w:abstractNumId w:val="27"/>
  </w:num>
  <w:num w:numId="41" w16cid:durableId="378942650">
    <w:abstractNumId w:val="23"/>
  </w:num>
  <w:num w:numId="42" w16cid:durableId="1464152746">
    <w:abstractNumId w:val="23"/>
  </w:num>
  <w:num w:numId="43" w16cid:durableId="891844871">
    <w:abstractNumId w:val="23"/>
  </w:num>
  <w:num w:numId="44" w16cid:durableId="249120575">
    <w:abstractNumId w:val="23"/>
  </w:num>
  <w:num w:numId="45" w16cid:durableId="421487176">
    <w:abstractNumId w:val="23"/>
  </w:num>
  <w:num w:numId="46" w16cid:durableId="1459684484">
    <w:abstractNumId w:val="23"/>
  </w:num>
  <w:num w:numId="47" w16cid:durableId="1300771423">
    <w:abstractNumId w:val="23"/>
  </w:num>
  <w:num w:numId="48" w16cid:durableId="335018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oNotTrackFormatting/>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D6"/>
    <w:rsid w:val="000006C8"/>
    <w:rsid w:val="000013CA"/>
    <w:rsid w:val="00001FF5"/>
    <w:rsid w:val="00002391"/>
    <w:rsid w:val="00005359"/>
    <w:rsid w:val="00005594"/>
    <w:rsid w:val="00005A31"/>
    <w:rsid w:val="0000713F"/>
    <w:rsid w:val="00007426"/>
    <w:rsid w:val="00007F27"/>
    <w:rsid w:val="000116F9"/>
    <w:rsid w:val="00011952"/>
    <w:rsid w:val="000123F9"/>
    <w:rsid w:val="00014318"/>
    <w:rsid w:val="00014465"/>
    <w:rsid w:val="00015FBF"/>
    <w:rsid w:val="000160AE"/>
    <w:rsid w:val="00016C84"/>
    <w:rsid w:val="00017BE3"/>
    <w:rsid w:val="00024F92"/>
    <w:rsid w:val="00026674"/>
    <w:rsid w:val="0002694E"/>
    <w:rsid w:val="00027056"/>
    <w:rsid w:val="00027BF3"/>
    <w:rsid w:val="00031519"/>
    <w:rsid w:val="00031C79"/>
    <w:rsid w:val="00031E5A"/>
    <w:rsid w:val="00032633"/>
    <w:rsid w:val="00033B9B"/>
    <w:rsid w:val="00035005"/>
    <w:rsid w:val="000353BA"/>
    <w:rsid w:val="000379F0"/>
    <w:rsid w:val="00040598"/>
    <w:rsid w:val="00041541"/>
    <w:rsid w:val="00044DF3"/>
    <w:rsid w:val="00047449"/>
    <w:rsid w:val="00047ECA"/>
    <w:rsid w:val="000507CA"/>
    <w:rsid w:val="00051403"/>
    <w:rsid w:val="0005206D"/>
    <w:rsid w:val="00052B66"/>
    <w:rsid w:val="0005355D"/>
    <w:rsid w:val="000558B2"/>
    <w:rsid w:val="00057075"/>
    <w:rsid w:val="00060171"/>
    <w:rsid w:val="00061EAB"/>
    <w:rsid w:val="00064997"/>
    <w:rsid w:val="000656AA"/>
    <w:rsid w:val="00066569"/>
    <w:rsid w:val="000669DF"/>
    <w:rsid w:val="00067319"/>
    <w:rsid w:val="00067544"/>
    <w:rsid w:val="000675CB"/>
    <w:rsid w:val="0007043C"/>
    <w:rsid w:val="00073A02"/>
    <w:rsid w:val="00073A89"/>
    <w:rsid w:val="00074DBD"/>
    <w:rsid w:val="000773E2"/>
    <w:rsid w:val="00077749"/>
    <w:rsid w:val="00077E79"/>
    <w:rsid w:val="00077E9F"/>
    <w:rsid w:val="00082DCC"/>
    <w:rsid w:val="0008350D"/>
    <w:rsid w:val="000859CE"/>
    <w:rsid w:val="000869A2"/>
    <w:rsid w:val="00086CC2"/>
    <w:rsid w:val="0008728C"/>
    <w:rsid w:val="000907DE"/>
    <w:rsid w:val="00091EC6"/>
    <w:rsid w:val="00092522"/>
    <w:rsid w:val="000943B1"/>
    <w:rsid w:val="00095F0F"/>
    <w:rsid w:val="000961BA"/>
    <w:rsid w:val="00096324"/>
    <w:rsid w:val="00097E4D"/>
    <w:rsid w:val="000A05D5"/>
    <w:rsid w:val="000A0720"/>
    <w:rsid w:val="000A0A17"/>
    <w:rsid w:val="000A1281"/>
    <w:rsid w:val="000A165B"/>
    <w:rsid w:val="000A47E5"/>
    <w:rsid w:val="000A5E7E"/>
    <w:rsid w:val="000A6804"/>
    <w:rsid w:val="000A7EB3"/>
    <w:rsid w:val="000B1710"/>
    <w:rsid w:val="000B3CAF"/>
    <w:rsid w:val="000B50B1"/>
    <w:rsid w:val="000B66AA"/>
    <w:rsid w:val="000B6C5E"/>
    <w:rsid w:val="000C0E62"/>
    <w:rsid w:val="000C192E"/>
    <w:rsid w:val="000C2B4C"/>
    <w:rsid w:val="000C3416"/>
    <w:rsid w:val="000C5941"/>
    <w:rsid w:val="000C6996"/>
    <w:rsid w:val="000C6EEA"/>
    <w:rsid w:val="000C6F16"/>
    <w:rsid w:val="000D0EEF"/>
    <w:rsid w:val="000D12FC"/>
    <w:rsid w:val="000D1F72"/>
    <w:rsid w:val="000D45B0"/>
    <w:rsid w:val="000D4D1A"/>
    <w:rsid w:val="000D4DD2"/>
    <w:rsid w:val="000D4F28"/>
    <w:rsid w:val="000D551B"/>
    <w:rsid w:val="000D5AE3"/>
    <w:rsid w:val="000E0711"/>
    <w:rsid w:val="000E172C"/>
    <w:rsid w:val="000E22A8"/>
    <w:rsid w:val="000E71B2"/>
    <w:rsid w:val="000F12C5"/>
    <w:rsid w:val="000F17A3"/>
    <w:rsid w:val="000F1821"/>
    <w:rsid w:val="000F1D9E"/>
    <w:rsid w:val="000F3080"/>
    <w:rsid w:val="000F4097"/>
    <w:rsid w:val="000F457F"/>
    <w:rsid w:val="000F49DC"/>
    <w:rsid w:val="000F6192"/>
    <w:rsid w:val="000F63CB"/>
    <w:rsid w:val="000F7126"/>
    <w:rsid w:val="00101A1C"/>
    <w:rsid w:val="00101C22"/>
    <w:rsid w:val="0010270D"/>
    <w:rsid w:val="00103383"/>
    <w:rsid w:val="00104949"/>
    <w:rsid w:val="00104FF6"/>
    <w:rsid w:val="00105185"/>
    <w:rsid w:val="00110BC1"/>
    <w:rsid w:val="00111659"/>
    <w:rsid w:val="001127C6"/>
    <w:rsid w:val="001141B5"/>
    <w:rsid w:val="0011610B"/>
    <w:rsid w:val="00117412"/>
    <w:rsid w:val="00117F6A"/>
    <w:rsid w:val="0012034B"/>
    <w:rsid w:val="00121254"/>
    <w:rsid w:val="001214E6"/>
    <w:rsid w:val="0012202A"/>
    <w:rsid w:val="0012534A"/>
    <w:rsid w:val="0012539B"/>
    <w:rsid w:val="0012592E"/>
    <w:rsid w:val="00126B50"/>
    <w:rsid w:val="00126B53"/>
    <w:rsid w:val="0012724F"/>
    <w:rsid w:val="00127FC4"/>
    <w:rsid w:val="00131992"/>
    <w:rsid w:val="00132581"/>
    <w:rsid w:val="0013321B"/>
    <w:rsid w:val="00137D87"/>
    <w:rsid w:val="001426F9"/>
    <w:rsid w:val="00143580"/>
    <w:rsid w:val="00143AA2"/>
    <w:rsid w:val="00143B75"/>
    <w:rsid w:val="00144A13"/>
    <w:rsid w:val="00150EFE"/>
    <w:rsid w:val="00150F2B"/>
    <w:rsid w:val="00152895"/>
    <w:rsid w:val="0015555B"/>
    <w:rsid w:val="00156271"/>
    <w:rsid w:val="00156B4D"/>
    <w:rsid w:val="0015742B"/>
    <w:rsid w:val="00160F41"/>
    <w:rsid w:val="00162788"/>
    <w:rsid w:val="0016518B"/>
    <w:rsid w:val="00165C77"/>
    <w:rsid w:val="00165F1F"/>
    <w:rsid w:val="00167E15"/>
    <w:rsid w:val="001704A7"/>
    <w:rsid w:val="00171A8D"/>
    <w:rsid w:val="0017347F"/>
    <w:rsid w:val="00173D6A"/>
    <w:rsid w:val="00181756"/>
    <w:rsid w:val="00182617"/>
    <w:rsid w:val="00182A2D"/>
    <w:rsid w:val="0018363B"/>
    <w:rsid w:val="00183D9E"/>
    <w:rsid w:val="00184909"/>
    <w:rsid w:val="001850EF"/>
    <w:rsid w:val="00190968"/>
    <w:rsid w:val="00190B4B"/>
    <w:rsid w:val="00191555"/>
    <w:rsid w:val="00191CD1"/>
    <w:rsid w:val="00192D71"/>
    <w:rsid w:val="0019399D"/>
    <w:rsid w:val="0019402C"/>
    <w:rsid w:val="00197B4B"/>
    <w:rsid w:val="00197F74"/>
    <w:rsid w:val="001A17DE"/>
    <w:rsid w:val="001A231C"/>
    <w:rsid w:val="001A342E"/>
    <w:rsid w:val="001A3D2E"/>
    <w:rsid w:val="001A7DF1"/>
    <w:rsid w:val="001B1A4A"/>
    <w:rsid w:val="001B2549"/>
    <w:rsid w:val="001B289E"/>
    <w:rsid w:val="001B3FA6"/>
    <w:rsid w:val="001C0667"/>
    <w:rsid w:val="001C11E0"/>
    <w:rsid w:val="001C1E43"/>
    <w:rsid w:val="001C49DD"/>
    <w:rsid w:val="001C5C87"/>
    <w:rsid w:val="001C5C8F"/>
    <w:rsid w:val="001C5E62"/>
    <w:rsid w:val="001D0122"/>
    <w:rsid w:val="001D0240"/>
    <w:rsid w:val="001D1049"/>
    <w:rsid w:val="001D1F54"/>
    <w:rsid w:val="001D35BF"/>
    <w:rsid w:val="001D5062"/>
    <w:rsid w:val="001D6852"/>
    <w:rsid w:val="001D7501"/>
    <w:rsid w:val="001D7F60"/>
    <w:rsid w:val="001E04C2"/>
    <w:rsid w:val="001E0B60"/>
    <w:rsid w:val="001E27AD"/>
    <w:rsid w:val="001E319F"/>
    <w:rsid w:val="001E6205"/>
    <w:rsid w:val="001E727F"/>
    <w:rsid w:val="001F3948"/>
    <w:rsid w:val="001F3A63"/>
    <w:rsid w:val="001F3D45"/>
    <w:rsid w:val="001F43E6"/>
    <w:rsid w:val="001F4E54"/>
    <w:rsid w:val="001F6597"/>
    <w:rsid w:val="001F6F13"/>
    <w:rsid w:val="00200EBB"/>
    <w:rsid w:val="00204ACE"/>
    <w:rsid w:val="00204D58"/>
    <w:rsid w:val="00205326"/>
    <w:rsid w:val="00207DFC"/>
    <w:rsid w:val="002101D3"/>
    <w:rsid w:val="002103D3"/>
    <w:rsid w:val="0021093F"/>
    <w:rsid w:val="00210BD5"/>
    <w:rsid w:val="002111FC"/>
    <w:rsid w:val="00212181"/>
    <w:rsid w:val="00214E63"/>
    <w:rsid w:val="00215619"/>
    <w:rsid w:val="0022005D"/>
    <w:rsid w:val="00223782"/>
    <w:rsid w:val="00223D54"/>
    <w:rsid w:val="002254ED"/>
    <w:rsid w:val="002300E3"/>
    <w:rsid w:val="0023084C"/>
    <w:rsid w:val="002331EC"/>
    <w:rsid w:val="00234FD6"/>
    <w:rsid w:val="002371E4"/>
    <w:rsid w:val="00240C34"/>
    <w:rsid w:val="002425E6"/>
    <w:rsid w:val="00245C13"/>
    <w:rsid w:val="002478AC"/>
    <w:rsid w:val="0025085C"/>
    <w:rsid w:val="002515CC"/>
    <w:rsid w:val="00252AE8"/>
    <w:rsid w:val="00253108"/>
    <w:rsid w:val="00253BA6"/>
    <w:rsid w:val="0025400E"/>
    <w:rsid w:val="00255F27"/>
    <w:rsid w:val="00257059"/>
    <w:rsid w:val="002571DF"/>
    <w:rsid w:val="0026042E"/>
    <w:rsid w:val="00260702"/>
    <w:rsid w:val="002614BE"/>
    <w:rsid w:val="0026156F"/>
    <w:rsid w:val="00261EB0"/>
    <w:rsid w:val="00262EF1"/>
    <w:rsid w:val="00266C63"/>
    <w:rsid w:val="00267C67"/>
    <w:rsid w:val="00270249"/>
    <w:rsid w:val="002703DD"/>
    <w:rsid w:val="002714A3"/>
    <w:rsid w:val="00271DA0"/>
    <w:rsid w:val="002723F8"/>
    <w:rsid w:val="002737AA"/>
    <w:rsid w:val="00273F8C"/>
    <w:rsid w:val="0027455F"/>
    <w:rsid w:val="0027654A"/>
    <w:rsid w:val="0027680C"/>
    <w:rsid w:val="002802FC"/>
    <w:rsid w:val="00281A8D"/>
    <w:rsid w:val="0028216B"/>
    <w:rsid w:val="00282BB0"/>
    <w:rsid w:val="002837A6"/>
    <w:rsid w:val="00283EC2"/>
    <w:rsid w:val="00284274"/>
    <w:rsid w:val="00284AE8"/>
    <w:rsid w:val="00284FC9"/>
    <w:rsid w:val="002871E4"/>
    <w:rsid w:val="002878C1"/>
    <w:rsid w:val="00287F9F"/>
    <w:rsid w:val="00290682"/>
    <w:rsid w:val="00291EC3"/>
    <w:rsid w:val="00292310"/>
    <w:rsid w:val="00296C6F"/>
    <w:rsid w:val="002A0C8E"/>
    <w:rsid w:val="002A2954"/>
    <w:rsid w:val="002A2AAB"/>
    <w:rsid w:val="002A43B3"/>
    <w:rsid w:val="002A56CA"/>
    <w:rsid w:val="002B00CA"/>
    <w:rsid w:val="002B01A0"/>
    <w:rsid w:val="002B1150"/>
    <w:rsid w:val="002B1163"/>
    <w:rsid w:val="002B19EE"/>
    <w:rsid w:val="002B1FDD"/>
    <w:rsid w:val="002B2EE1"/>
    <w:rsid w:val="002B3E04"/>
    <w:rsid w:val="002B3F8D"/>
    <w:rsid w:val="002B559C"/>
    <w:rsid w:val="002B69B6"/>
    <w:rsid w:val="002B7186"/>
    <w:rsid w:val="002C0FBE"/>
    <w:rsid w:val="002C3713"/>
    <w:rsid w:val="002C4986"/>
    <w:rsid w:val="002C62AE"/>
    <w:rsid w:val="002C69AD"/>
    <w:rsid w:val="002C6D9B"/>
    <w:rsid w:val="002C733D"/>
    <w:rsid w:val="002C7D1A"/>
    <w:rsid w:val="002D181B"/>
    <w:rsid w:val="002D1CE7"/>
    <w:rsid w:val="002D2D81"/>
    <w:rsid w:val="002D364E"/>
    <w:rsid w:val="002D61A6"/>
    <w:rsid w:val="002E0CA4"/>
    <w:rsid w:val="002E125B"/>
    <w:rsid w:val="002E1525"/>
    <w:rsid w:val="002E2BAC"/>
    <w:rsid w:val="002E2D1C"/>
    <w:rsid w:val="002E4287"/>
    <w:rsid w:val="002E58C3"/>
    <w:rsid w:val="002E611F"/>
    <w:rsid w:val="002E690F"/>
    <w:rsid w:val="002E726E"/>
    <w:rsid w:val="002F0E71"/>
    <w:rsid w:val="002F11E9"/>
    <w:rsid w:val="002F19D3"/>
    <w:rsid w:val="002F23C8"/>
    <w:rsid w:val="002F6C28"/>
    <w:rsid w:val="002F6EA2"/>
    <w:rsid w:val="00301268"/>
    <w:rsid w:val="0030448C"/>
    <w:rsid w:val="003055C2"/>
    <w:rsid w:val="00305809"/>
    <w:rsid w:val="003063AE"/>
    <w:rsid w:val="00306FAA"/>
    <w:rsid w:val="00307EF4"/>
    <w:rsid w:val="00310608"/>
    <w:rsid w:val="00310DFB"/>
    <w:rsid w:val="00311E58"/>
    <w:rsid w:val="00313A35"/>
    <w:rsid w:val="00315D87"/>
    <w:rsid w:val="00316760"/>
    <w:rsid w:val="003168C1"/>
    <w:rsid w:val="00316B86"/>
    <w:rsid w:val="00317DBB"/>
    <w:rsid w:val="0032068A"/>
    <w:rsid w:val="003206F1"/>
    <w:rsid w:val="00321A02"/>
    <w:rsid w:val="003230AF"/>
    <w:rsid w:val="003233A0"/>
    <w:rsid w:val="00323F22"/>
    <w:rsid w:val="003242B9"/>
    <w:rsid w:val="0032464D"/>
    <w:rsid w:val="00327395"/>
    <w:rsid w:val="003277A9"/>
    <w:rsid w:val="003307F5"/>
    <w:rsid w:val="00332882"/>
    <w:rsid w:val="00335DC6"/>
    <w:rsid w:val="003360DB"/>
    <w:rsid w:val="003376F6"/>
    <w:rsid w:val="003378E3"/>
    <w:rsid w:val="00337EB6"/>
    <w:rsid w:val="0034000A"/>
    <w:rsid w:val="00345FBE"/>
    <w:rsid w:val="003476A9"/>
    <w:rsid w:val="00352E9B"/>
    <w:rsid w:val="00353D04"/>
    <w:rsid w:val="003545AE"/>
    <w:rsid w:val="00355079"/>
    <w:rsid w:val="00355306"/>
    <w:rsid w:val="00355EE7"/>
    <w:rsid w:val="00356088"/>
    <w:rsid w:val="003561C9"/>
    <w:rsid w:val="003561F9"/>
    <w:rsid w:val="00356FD7"/>
    <w:rsid w:val="0036151C"/>
    <w:rsid w:val="00361908"/>
    <w:rsid w:val="00362A65"/>
    <w:rsid w:val="00364372"/>
    <w:rsid w:val="00364C7A"/>
    <w:rsid w:val="00364CC5"/>
    <w:rsid w:val="0036722F"/>
    <w:rsid w:val="00367A46"/>
    <w:rsid w:val="00370175"/>
    <w:rsid w:val="003710F9"/>
    <w:rsid w:val="00372171"/>
    <w:rsid w:val="003724DF"/>
    <w:rsid w:val="003724E8"/>
    <w:rsid w:val="00376EFE"/>
    <w:rsid w:val="003776F0"/>
    <w:rsid w:val="0038048A"/>
    <w:rsid w:val="003846A0"/>
    <w:rsid w:val="003852A8"/>
    <w:rsid w:val="0038535A"/>
    <w:rsid w:val="00386C32"/>
    <w:rsid w:val="00387976"/>
    <w:rsid w:val="00390DD2"/>
    <w:rsid w:val="00390FF7"/>
    <w:rsid w:val="00391B40"/>
    <w:rsid w:val="00391B4F"/>
    <w:rsid w:val="003925E7"/>
    <w:rsid w:val="00393855"/>
    <w:rsid w:val="003A269C"/>
    <w:rsid w:val="003A6FB4"/>
    <w:rsid w:val="003A7A59"/>
    <w:rsid w:val="003B0A63"/>
    <w:rsid w:val="003B0B89"/>
    <w:rsid w:val="003B0E25"/>
    <w:rsid w:val="003B1C3B"/>
    <w:rsid w:val="003B225D"/>
    <w:rsid w:val="003B22B6"/>
    <w:rsid w:val="003B2F10"/>
    <w:rsid w:val="003B585F"/>
    <w:rsid w:val="003B5D3B"/>
    <w:rsid w:val="003B5DE4"/>
    <w:rsid w:val="003B5FC2"/>
    <w:rsid w:val="003B602A"/>
    <w:rsid w:val="003B6BE8"/>
    <w:rsid w:val="003B765F"/>
    <w:rsid w:val="003C05AE"/>
    <w:rsid w:val="003C15B5"/>
    <w:rsid w:val="003C3B3B"/>
    <w:rsid w:val="003C3E02"/>
    <w:rsid w:val="003C69C5"/>
    <w:rsid w:val="003C6C2F"/>
    <w:rsid w:val="003C6F10"/>
    <w:rsid w:val="003D1396"/>
    <w:rsid w:val="003D16D3"/>
    <w:rsid w:val="003D2DF1"/>
    <w:rsid w:val="003D30B8"/>
    <w:rsid w:val="003D3D52"/>
    <w:rsid w:val="003D6065"/>
    <w:rsid w:val="003D6960"/>
    <w:rsid w:val="003D71F4"/>
    <w:rsid w:val="003E182A"/>
    <w:rsid w:val="003E215D"/>
    <w:rsid w:val="003E307A"/>
    <w:rsid w:val="003E38F9"/>
    <w:rsid w:val="003E4150"/>
    <w:rsid w:val="003E4A66"/>
    <w:rsid w:val="003E512B"/>
    <w:rsid w:val="003E5E3D"/>
    <w:rsid w:val="003E64DB"/>
    <w:rsid w:val="003E715F"/>
    <w:rsid w:val="003E72B8"/>
    <w:rsid w:val="003E7FD4"/>
    <w:rsid w:val="003F0F62"/>
    <w:rsid w:val="003F179C"/>
    <w:rsid w:val="003F6E36"/>
    <w:rsid w:val="003F7568"/>
    <w:rsid w:val="0040104C"/>
    <w:rsid w:val="004020F4"/>
    <w:rsid w:val="00405F7D"/>
    <w:rsid w:val="004076F5"/>
    <w:rsid w:val="00410D6A"/>
    <w:rsid w:val="0041468D"/>
    <w:rsid w:val="004160B5"/>
    <w:rsid w:val="00416D94"/>
    <w:rsid w:val="004248BC"/>
    <w:rsid w:val="00424A67"/>
    <w:rsid w:val="00424B57"/>
    <w:rsid w:val="00425593"/>
    <w:rsid w:val="0042680A"/>
    <w:rsid w:val="00427678"/>
    <w:rsid w:val="00434C38"/>
    <w:rsid w:val="00434D30"/>
    <w:rsid w:val="0043590B"/>
    <w:rsid w:val="00435C22"/>
    <w:rsid w:val="004378B1"/>
    <w:rsid w:val="00440AF9"/>
    <w:rsid w:val="004410D9"/>
    <w:rsid w:val="00441498"/>
    <w:rsid w:val="00441D38"/>
    <w:rsid w:val="004428ED"/>
    <w:rsid w:val="00442B52"/>
    <w:rsid w:val="0044310C"/>
    <w:rsid w:val="004441EE"/>
    <w:rsid w:val="00444523"/>
    <w:rsid w:val="00450B15"/>
    <w:rsid w:val="00450C63"/>
    <w:rsid w:val="00451607"/>
    <w:rsid w:val="00453EB3"/>
    <w:rsid w:val="00456345"/>
    <w:rsid w:val="00456F56"/>
    <w:rsid w:val="00457016"/>
    <w:rsid w:val="0046185C"/>
    <w:rsid w:val="004628B3"/>
    <w:rsid w:val="00462FEC"/>
    <w:rsid w:val="00465C30"/>
    <w:rsid w:val="00466A5A"/>
    <w:rsid w:val="00467347"/>
    <w:rsid w:val="004701EE"/>
    <w:rsid w:val="00472510"/>
    <w:rsid w:val="00472FBE"/>
    <w:rsid w:val="00474615"/>
    <w:rsid w:val="00480A8D"/>
    <w:rsid w:val="00480B48"/>
    <w:rsid w:val="00482443"/>
    <w:rsid w:val="00482D86"/>
    <w:rsid w:val="0048301C"/>
    <w:rsid w:val="00484690"/>
    <w:rsid w:val="00484924"/>
    <w:rsid w:val="00487DC7"/>
    <w:rsid w:val="00492062"/>
    <w:rsid w:val="0049444E"/>
    <w:rsid w:val="00494FEC"/>
    <w:rsid w:val="00496529"/>
    <w:rsid w:val="00496F5C"/>
    <w:rsid w:val="004A0D06"/>
    <w:rsid w:val="004A0F1F"/>
    <w:rsid w:val="004A1B66"/>
    <w:rsid w:val="004A2A2D"/>
    <w:rsid w:val="004A467E"/>
    <w:rsid w:val="004B0724"/>
    <w:rsid w:val="004B08F9"/>
    <w:rsid w:val="004B3474"/>
    <w:rsid w:val="004B4B49"/>
    <w:rsid w:val="004B691A"/>
    <w:rsid w:val="004B7B11"/>
    <w:rsid w:val="004B7F9C"/>
    <w:rsid w:val="004B7FCA"/>
    <w:rsid w:val="004C0252"/>
    <w:rsid w:val="004C25EF"/>
    <w:rsid w:val="004C3054"/>
    <w:rsid w:val="004C397B"/>
    <w:rsid w:val="004C479D"/>
    <w:rsid w:val="004C70E5"/>
    <w:rsid w:val="004D2659"/>
    <w:rsid w:val="004D277F"/>
    <w:rsid w:val="004D421B"/>
    <w:rsid w:val="004D7E71"/>
    <w:rsid w:val="004D7FF9"/>
    <w:rsid w:val="004E5A26"/>
    <w:rsid w:val="004E5D74"/>
    <w:rsid w:val="004E65C1"/>
    <w:rsid w:val="004E786E"/>
    <w:rsid w:val="004E7E82"/>
    <w:rsid w:val="004F04AA"/>
    <w:rsid w:val="004F05F1"/>
    <w:rsid w:val="004F0E71"/>
    <w:rsid w:val="004F1DC8"/>
    <w:rsid w:val="004F2D42"/>
    <w:rsid w:val="004F3CCA"/>
    <w:rsid w:val="004F4CFC"/>
    <w:rsid w:val="004F6FFF"/>
    <w:rsid w:val="004F793C"/>
    <w:rsid w:val="00500A92"/>
    <w:rsid w:val="005011AE"/>
    <w:rsid w:val="005023A1"/>
    <w:rsid w:val="00504924"/>
    <w:rsid w:val="00505021"/>
    <w:rsid w:val="005053BD"/>
    <w:rsid w:val="00505EF5"/>
    <w:rsid w:val="00506457"/>
    <w:rsid w:val="00507B4D"/>
    <w:rsid w:val="00507E13"/>
    <w:rsid w:val="005103E0"/>
    <w:rsid w:val="00510A1C"/>
    <w:rsid w:val="00513361"/>
    <w:rsid w:val="00513DD1"/>
    <w:rsid w:val="00516660"/>
    <w:rsid w:val="00517C58"/>
    <w:rsid w:val="005201D7"/>
    <w:rsid w:val="00521C85"/>
    <w:rsid w:val="0052206A"/>
    <w:rsid w:val="00522766"/>
    <w:rsid w:val="00523E58"/>
    <w:rsid w:val="00524331"/>
    <w:rsid w:val="00526744"/>
    <w:rsid w:val="00527240"/>
    <w:rsid w:val="00531B2F"/>
    <w:rsid w:val="00531DDC"/>
    <w:rsid w:val="005343F7"/>
    <w:rsid w:val="0053693B"/>
    <w:rsid w:val="00537202"/>
    <w:rsid w:val="00537248"/>
    <w:rsid w:val="005403B9"/>
    <w:rsid w:val="0054121F"/>
    <w:rsid w:val="0054263D"/>
    <w:rsid w:val="00544523"/>
    <w:rsid w:val="005463FE"/>
    <w:rsid w:val="0054701D"/>
    <w:rsid w:val="005535FC"/>
    <w:rsid w:val="005535FD"/>
    <w:rsid w:val="00561A10"/>
    <w:rsid w:val="00564051"/>
    <w:rsid w:val="00564507"/>
    <w:rsid w:val="00566267"/>
    <w:rsid w:val="005667CC"/>
    <w:rsid w:val="00567939"/>
    <w:rsid w:val="00567AFA"/>
    <w:rsid w:val="00570EE8"/>
    <w:rsid w:val="00573713"/>
    <w:rsid w:val="0057599D"/>
    <w:rsid w:val="00576A35"/>
    <w:rsid w:val="005777F3"/>
    <w:rsid w:val="0058097A"/>
    <w:rsid w:val="00581A9D"/>
    <w:rsid w:val="00585221"/>
    <w:rsid w:val="00587D7A"/>
    <w:rsid w:val="00590C5A"/>
    <w:rsid w:val="0059307A"/>
    <w:rsid w:val="00593127"/>
    <w:rsid w:val="00596060"/>
    <w:rsid w:val="0059650A"/>
    <w:rsid w:val="00596F29"/>
    <w:rsid w:val="005A018D"/>
    <w:rsid w:val="005A1223"/>
    <w:rsid w:val="005A206E"/>
    <w:rsid w:val="005A21E3"/>
    <w:rsid w:val="005A45F4"/>
    <w:rsid w:val="005A5DE5"/>
    <w:rsid w:val="005A68B4"/>
    <w:rsid w:val="005B7009"/>
    <w:rsid w:val="005B73C9"/>
    <w:rsid w:val="005C0076"/>
    <w:rsid w:val="005C1A26"/>
    <w:rsid w:val="005C4E6D"/>
    <w:rsid w:val="005C4F0E"/>
    <w:rsid w:val="005C5917"/>
    <w:rsid w:val="005C5C8A"/>
    <w:rsid w:val="005C5F79"/>
    <w:rsid w:val="005D1CD2"/>
    <w:rsid w:val="005D2C44"/>
    <w:rsid w:val="005D3689"/>
    <w:rsid w:val="005D3ACB"/>
    <w:rsid w:val="005D3B7B"/>
    <w:rsid w:val="005D4504"/>
    <w:rsid w:val="005D54D4"/>
    <w:rsid w:val="005D7993"/>
    <w:rsid w:val="005E0496"/>
    <w:rsid w:val="005E04DE"/>
    <w:rsid w:val="005E1876"/>
    <w:rsid w:val="005E1D00"/>
    <w:rsid w:val="005E2605"/>
    <w:rsid w:val="005E3515"/>
    <w:rsid w:val="005E42F5"/>
    <w:rsid w:val="005E4FD3"/>
    <w:rsid w:val="005E5035"/>
    <w:rsid w:val="005F10FC"/>
    <w:rsid w:val="005F3ADA"/>
    <w:rsid w:val="005F42BE"/>
    <w:rsid w:val="005F4ADC"/>
    <w:rsid w:val="005F4BB6"/>
    <w:rsid w:val="00600AD1"/>
    <w:rsid w:val="00601470"/>
    <w:rsid w:val="00601665"/>
    <w:rsid w:val="00603CE5"/>
    <w:rsid w:val="00603EB6"/>
    <w:rsid w:val="00605FDB"/>
    <w:rsid w:val="00606A0C"/>
    <w:rsid w:val="00610E38"/>
    <w:rsid w:val="00611085"/>
    <w:rsid w:val="006132A6"/>
    <w:rsid w:val="00613B6D"/>
    <w:rsid w:val="00614250"/>
    <w:rsid w:val="00615DE5"/>
    <w:rsid w:val="006162F6"/>
    <w:rsid w:val="00616A4D"/>
    <w:rsid w:val="006200E9"/>
    <w:rsid w:val="00620A97"/>
    <w:rsid w:val="00620E19"/>
    <w:rsid w:val="00620FB0"/>
    <w:rsid w:val="00622CCB"/>
    <w:rsid w:val="00623503"/>
    <w:rsid w:val="00631D4A"/>
    <w:rsid w:val="006349E2"/>
    <w:rsid w:val="00635192"/>
    <w:rsid w:val="00635FAB"/>
    <w:rsid w:val="00636C60"/>
    <w:rsid w:val="00640D3A"/>
    <w:rsid w:val="00641A3E"/>
    <w:rsid w:val="00641BDA"/>
    <w:rsid w:val="00641D87"/>
    <w:rsid w:val="006426D6"/>
    <w:rsid w:val="00644186"/>
    <w:rsid w:val="00644284"/>
    <w:rsid w:val="00644D7F"/>
    <w:rsid w:val="00645AD0"/>
    <w:rsid w:val="0064642E"/>
    <w:rsid w:val="00647416"/>
    <w:rsid w:val="00647895"/>
    <w:rsid w:val="0065094E"/>
    <w:rsid w:val="00650E2D"/>
    <w:rsid w:val="00651C03"/>
    <w:rsid w:val="00653C00"/>
    <w:rsid w:val="00654050"/>
    <w:rsid w:val="006545B5"/>
    <w:rsid w:val="00655D1F"/>
    <w:rsid w:val="00657C3F"/>
    <w:rsid w:val="00657ED6"/>
    <w:rsid w:val="00660442"/>
    <w:rsid w:val="00661B42"/>
    <w:rsid w:val="0066252D"/>
    <w:rsid w:val="00662D8D"/>
    <w:rsid w:val="00662EA6"/>
    <w:rsid w:val="00663C95"/>
    <w:rsid w:val="00663EAA"/>
    <w:rsid w:val="00664A7A"/>
    <w:rsid w:val="00665013"/>
    <w:rsid w:val="00665DFA"/>
    <w:rsid w:val="006670E1"/>
    <w:rsid w:val="00667C67"/>
    <w:rsid w:val="00670AA4"/>
    <w:rsid w:val="00671723"/>
    <w:rsid w:val="0067256A"/>
    <w:rsid w:val="00675C14"/>
    <w:rsid w:val="006769C8"/>
    <w:rsid w:val="006806FB"/>
    <w:rsid w:val="006815FC"/>
    <w:rsid w:val="00682ACC"/>
    <w:rsid w:val="00682C4B"/>
    <w:rsid w:val="006836A6"/>
    <w:rsid w:val="00684ED3"/>
    <w:rsid w:val="006851AD"/>
    <w:rsid w:val="0068529E"/>
    <w:rsid w:val="00685560"/>
    <w:rsid w:val="00690F94"/>
    <w:rsid w:val="0069196B"/>
    <w:rsid w:val="0069220C"/>
    <w:rsid w:val="00692560"/>
    <w:rsid w:val="00693485"/>
    <w:rsid w:val="006949A4"/>
    <w:rsid w:val="00694C7D"/>
    <w:rsid w:val="00696042"/>
    <w:rsid w:val="00696068"/>
    <w:rsid w:val="00696414"/>
    <w:rsid w:val="00696EF5"/>
    <w:rsid w:val="006A124C"/>
    <w:rsid w:val="006A15D7"/>
    <w:rsid w:val="006A1D7A"/>
    <w:rsid w:val="006A21C0"/>
    <w:rsid w:val="006A2AD6"/>
    <w:rsid w:val="006A4C1E"/>
    <w:rsid w:val="006A53C9"/>
    <w:rsid w:val="006A6BE2"/>
    <w:rsid w:val="006A742F"/>
    <w:rsid w:val="006B00D7"/>
    <w:rsid w:val="006B0B7F"/>
    <w:rsid w:val="006B16C3"/>
    <w:rsid w:val="006B293D"/>
    <w:rsid w:val="006B4991"/>
    <w:rsid w:val="006B4C0C"/>
    <w:rsid w:val="006B5825"/>
    <w:rsid w:val="006B639E"/>
    <w:rsid w:val="006B7612"/>
    <w:rsid w:val="006B7B15"/>
    <w:rsid w:val="006C0059"/>
    <w:rsid w:val="006C0711"/>
    <w:rsid w:val="006C12B0"/>
    <w:rsid w:val="006C262B"/>
    <w:rsid w:val="006C50F1"/>
    <w:rsid w:val="006C6C7F"/>
    <w:rsid w:val="006C6F35"/>
    <w:rsid w:val="006D0CC2"/>
    <w:rsid w:val="006D1797"/>
    <w:rsid w:val="006D1849"/>
    <w:rsid w:val="006D2F86"/>
    <w:rsid w:val="006D3A32"/>
    <w:rsid w:val="006D3C53"/>
    <w:rsid w:val="006D51ED"/>
    <w:rsid w:val="006D51F5"/>
    <w:rsid w:val="006D59EA"/>
    <w:rsid w:val="006D7AE0"/>
    <w:rsid w:val="006E1E60"/>
    <w:rsid w:val="006E3896"/>
    <w:rsid w:val="006E5614"/>
    <w:rsid w:val="006E743B"/>
    <w:rsid w:val="006F10E5"/>
    <w:rsid w:val="006F1881"/>
    <w:rsid w:val="006F24AD"/>
    <w:rsid w:val="006F26F8"/>
    <w:rsid w:val="006F2AE7"/>
    <w:rsid w:val="006F2B5A"/>
    <w:rsid w:val="006F3207"/>
    <w:rsid w:val="006F4176"/>
    <w:rsid w:val="006F5C1A"/>
    <w:rsid w:val="006F774C"/>
    <w:rsid w:val="006F78D9"/>
    <w:rsid w:val="006F79FE"/>
    <w:rsid w:val="006F7A69"/>
    <w:rsid w:val="00700DEC"/>
    <w:rsid w:val="0070133A"/>
    <w:rsid w:val="00701361"/>
    <w:rsid w:val="007014B0"/>
    <w:rsid w:val="00701D57"/>
    <w:rsid w:val="007021C3"/>
    <w:rsid w:val="00704055"/>
    <w:rsid w:val="007044F5"/>
    <w:rsid w:val="00704BA4"/>
    <w:rsid w:val="00704E7C"/>
    <w:rsid w:val="00706175"/>
    <w:rsid w:val="0070794D"/>
    <w:rsid w:val="007102CD"/>
    <w:rsid w:val="00711214"/>
    <w:rsid w:val="00711EEF"/>
    <w:rsid w:val="007125D2"/>
    <w:rsid w:val="007138C3"/>
    <w:rsid w:val="00713FD0"/>
    <w:rsid w:val="0071422A"/>
    <w:rsid w:val="00714DEC"/>
    <w:rsid w:val="0071502A"/>
    <w:rsid w:val="007164F2"/>
    <w:rsid w:val="00716A24"/>
    <w:rsid w:val="007205A3"/>
    <w:rsid w:val="00721BE0"/>
    <w:rsid w:val="0072498C"/>
    <w:rsid w:val="00725720"/>
    <w:rsid w:val="00726D03"/>
    <w:rsid w:val="00726FC8"/>
    <w:rsid w:val="00727735"/>
    <w:rsid w:val="00731128"/>
    <w:rsid w:val="007311C5"/>
    <w:rsid w:val="007313EA"/>
    <w:rsid w:val="00732FA2"/>
    <w:rsid w:val="007336F8"/>
    <w:rsid w:val="0073403C"/>
    <w:rsid w:val="0073574E"/>
    <w:rsid w:val="0073624F"/>
    <w:rsid w:val="007366D3"/>
    <w:rsid w:val="00740A9B"/>
    <w:rsid w:val="00741375"/>
    <w:rsid w:val="0074149D"/>
    <w:rsid w:val="007415F3"/>
    <w:rsid w:val="00741789"/>
    <w:rsid w:val="007419B7"/>
    <w:rsid w:val="00743D4C"/>
    <w:rsid w:val="00745A72"/>
    <w:rsid w:val="00746E7B"/>
    <w:rsid w:val="00747BB6"/>
    <w:rsid w:val="00751606"/>
    <w:rsid w:val="00751871"/>
    <w:rsid w:val="0075220E"/>
    <w:rsid w:val="00755F2C"/>
    <w:rsid w:val="007561CE"/>
    <w:rsid w:val="00756647"/>
    <w:rsid w:val="00757B54"/>
    <w:rsid w:val="00760BC1"/>
    <w:rsid w:val="0076120E"/>
    <w:rsid w:val="007622D3"/>
    <w:rsid w:val="00762909"/>
    <w:rsid w:val="007635B0"/>
    <w:rsid w:val="00763E54"/>
    <w:rsid w:val="00763F19"/>
    <w:rsid w:val="00766207"/>
    <w:rsid w:val="00766C48"/>
    <w:rsid w:val="00767369"/>
    <w:rsid w:val="00767E7D"/>
    <w:rsid w:val="00770747"/>
    <w:rsid w:val="007721C7"/>
    <w:rsid w:val="007725CD"/>
    <w:rsid w:val="007728C0"/>
    <w:rsid w:val="00774825"/>
    <w:rsid w:val="00774AD3"/>
    <w:rsid w:val="00782E76"/>
    <w:rsid w:val="0078345D"/>
    <w:rsid w:val="00783AA1"/>
    <w:rsid w:val="0078543B"/>
    <w:rsid w:val="0078732F"/>
    <w:rsid w:val="007875DF"/>
    <w:rsid w:val="00790721"/>
    <w:rsid w:val="00790AB7"/>
    <w:rsid w:val="007911CF"/>
    <w:rsid w:val="00791D60"/>
    <w:rsid w:val="00792630"/>
    <w:rsid w:val="0079326D"/>
    <w:rsid w:val="007934F8"/>
    <w:rsid w:val="0079462B"/>
    <w:rsid w:val="007950CE"/>
    <w:rsid w:val="00796102"/>
    <w:rsid w:val="00796BBE"/>
    <w:rsid w:val="007A0227"/>
    <w:rsid w:val="007A300E"/>
    <w:rsid w:val="007A7546"/>
    <w:rsid w:val="007B0B51"/>
    <w:rsid w:val="007B29C3"/>
    <w:rsid w:val="007B42E2"/>
    <w:rsid w:val="007B48AA"/>
    <w:rsid w:val="007B4B87"/>
    <w:rsid w:val="007B4E41"/>
    <w:rsid w:val="007B506F"/>
    <w:rsid w:val="007B62F2"/>
    <w:rsid w:val="007B6685"/>
    <w:rsid w:val="007B7AAE"/>
    <w:rsid w:val="007B7F90"/>
    <w:rsid w:val="007C0889"/>
    <w:rsid w:val="007C0C94"/>
    <w:rsid w:val="007C0EF2"/>
    <w:rsid w:val="007C1B62"/>
    <w:rsid w:val="007C2EEE"/>
    <w:rsid w:val="007C33EF"/>
    <w:rsid w:val="007C3E3C"/>
    <w:rsid w:val="007C41F7"/>
    <w:rsid w:val="007C68B9"/>
    <w:rsid w:val="007C6C48"/>
    <w:rsid w:val="007C75D0"/>
    <w:rsid w:val="007C77BC"/>
    <w:rsid w:val="007D1479"/>
    <w:rsid w:val="007D1D42"/>
    <w:rsid w:val="007D36F6"/>
    <w:rsid w:val="007D4F69"/>
    <w:rsid w:val="007D6EC6"/>
    <w:rsid w:val="007E16F9"/>
    <w:rsid w:val="007E345D"/>
    <w:rsid w:val="007E3CE9"/>
    <w:rsid w:val="007E3FC0"/>
    <w:rsid w:val="007E4C94"/>
    <w:rsid w:val="007E57E1"/>
    <w:rsid w:val="007E593D"/>
    <w:rsid w:val="007F058E"/>
    <w:rsid w:val="007F1F13"/>
    <w:rsid w:val="007F2D6B"/>
    <w:rsid w:val="007F30C4"/>
    <w:rsid w:val="0080263D"/>
    <w:rsid w:val="00802AEE"/>
    <w:rsid w:val="00802FCB"/>
    <w:rsid w:val="00803D0B"/>
    <w:rsid w:val="0080414D"/>
    <w:rsid w:val="0080559E"/>
    <w:rsid w:val="00805C65"/>
    <w:rsid w:val="00810228"/>
    <w:rsid w:val="0081125C"/>
    <w:rsid w:val="00811CC1"/>
    <w:rsid w:val="0081362C"/>
    <w:rsid w:val="00813AD6"/>
    <w:rsid w:val="00813B5F"/>
    <w:rsid w:val="008153FE"/>
    <w:rsid w:val="00815F96"/>
    <w:rsid w:val="008178DF"/>
    <w:rsid w:val="00817A82"/>
    <w:rsid w:val="00820CF5"/>
    <w:rsid w:val="00821428"/>
    <w:rsid w:val="00822947"/>
    <w:rsid w:val="00822BE0"/>
    <w:rsid w:val="00824910"/>
    <w:rsid w:val="00824DDA"/>
    <w:rsid w:val="00827A59"/>
    <w:rsid w:val="008302B0"/>
    <w:rsid w:val="008312ED"/>
    <w:rsid w:val="0083187B"/>
    <w:rsid w:val="008336F5"/>
    <w:rsid w:val="00840190"/>
    <w:rsid w:val="00842B17"/>
    <w:rsid w:val="0084302A"/>
    <w:rsid w:val="00843A3A"/>
    <w:rsid w:val="00843B54"/>
    <w:rsid w:val="00851D93"/>
    <w:rsid w:val="008527A7"/>
    <w:rsid w:val="00853516"/>
    <w:rsid w:val="008543B9"/>
    <w:rsid w:val="00854444"/>
    <w:rsid w:val="00854A7A"/>
    <w:rsid w:val="00856CEB"/>
    <w:rsid w:val="008602E8"/>
    <w:rsid w:val="008606D0"/>
    <w:rsid w:val="00860E40"/>
    <w:rsid w:val="00861050"/>
    <w:rsid w:val="00866182"/>
    <w:rsid w:val="00866DE3"/>
    <w:rsid w:val="0087018B"/>
    <w:rsid w:val="0087203D"/>
    <w:rsid w:val="00873DFC"/>
    <w:rsid w:val="00874541"/>
    <w:rsid w:val="008752F4"/>
    <w:rsid w:val="00875530"/>
    <w:rsid w:val="00877625"/>
    <w:rsid w:val="00880330"/>
    <w:rsid w:val="00880F5E"/>
    <w:rsid w:val="008814A5"/>
    <w:rsid w:val="00882DEB"/>
    <w:rsid w:val="008832C0"/>
    <w:rsid w:val="008847A5"/>
    <w:rsid w:val="0088551D"/>
    <w:rsid w:val="008903EC"/>
    <w:rsid w:val="00892B39"/>
    <w:rsid w:val="00893806"/>
    <w:rsid w:val="00894075"/>
    <w:rsid w:val="0089494A"/>
    <w:rsid w:val="008966B4"/>
    <w:rsid w:val="008A0DB8"/>
    <w:rsid w:val="008A299E"/>
    <w:rsid w:val="008A2ED7"/>
    <w:rsid w:val="008A308F"/>
    <w:rsid w:val="008A3E5C"/>
    <w:rsid w:val="008A60F7"/>
    <w:rsid w:val="008A6588"/>
    <w:rsid w:val="008B10BB"/>
    <w:rsid w:val="008B2EEF"/>
    <w:rsid w:val="008B3043"/>
    <w:rsid w:val="008B311B"/>
    <w:rsid w:val="008B3369"/>
    <w:rsid w:val="008B385A"/>
    <w:rsid w:val="008B4ABE"/>
    <w:rsid w:val="008C0B6C"/>
    <w:rsid w:val="008C0C74"/>
    <w:rsid w:val="008C2C69"/>
    <w:rsid w:val="008C3D60"/>
    <w:rsid w:val="008C3F2A"/>
    <w:rsid w:val="008C4FE2"/>
    <w:rsid w:val="008C7C4E"/>
    <w:rsid w:val="008C7DB3"/>
    <w:rsid w:val="008D0B2C"/>
    <w:rsid w:val="008D2110"/>
    <w:rsid w:val="008D69D0"/>
    <w:rsid w:val="008E01C3"/>
    <w:rsid w:val="008E0581"/>
    <w:rsid w:val="008E0833"/>
    <w:rsid w:val="008E08FD"/>
    <w:rsid w:val="008E1080"/>
    <w:rsid w:val="008E2C4C"/>
    <w:rsid w:val="008E2E49"/>
    <w:rsid w:val="008E3CC7"/>
    <w:rsid w:val="008E3D93"/>
    <w:rsid w:val="008E3FD9"/>
    <w:rsid w:val="008E6C2F"/>
    <w:rsid w:val="008E7037"/>
    <w:rsid w:val="008E782C"/>
    <w:rsid w:val="008F0F9C"/>
    <w:rsid w:val="008F1ACD"/>
    <w:rsid w:val="008F3998"/>
    <w:rsid w:val="008F4274"/>
    <w:rsid w:val="008F49C7"/>
    <w:rsid w:val="008F5906"/>
    <w:rsid w:val="008F6573"/>
    <w:rsid w:val="008F689D"/>
    <w:rsid w:val="008F6C8C"/>
    <w:rsid w:val="00900783"/>
    <w:rsid w:val="00900F08"/>
    <w:rsid w:val="00902972"/>
    <w:rsid w:val="009037AA"/>
    <w:rsid w:val="00903815"/>
    <w:rsid w:val="00906614"/>
    <w:rsid w:val="009069A7"/>
    <w:rsid w:val="00911912"/>
    <w:rsid w:val="00911B80"/>
    <w:rsid w:val="00912E9C"/>
    <w:rsid w:val="00913C52"/>
    <w:rsid w:val="009166E1"/>
    <w:rsid w:val="00917770"/>
    <w:rsid w:val="00921F52"/>
    <w:rsid w:val="00922792"/>
    <w:rsid w:val="00922A91"/>
    <w:rsid w:val="00923477"/>
    <w:rsid w:val="0092568F"/>
    <w:rsid w:val="00927622"/>
    <w:rsid w:val="0093147D"/>
    <w:rsid w:val="00932812"/>
    <w:rsid w:val="009337E3"/>
    <w:rsid w:val="0093479B"/>
    <w:rsid w:val="00935461"/>
    <w:rsid w:val="00935466"/>
    <w:rsid w:val="00942767"/>
    <w:rsid w:val="00943611"/>
    <w:rsid w:val="00944C28"/>
    <w:rsid w:val="00945296"/>
    <w:rsid w:val="009459E3"/>
    <w:rsid w:val="0094723B"/>
    <w:rsid w:val="00947C34"/>
    <w:rsid w:val="0095005A"/>
    <w:rsid w:val="0095016F"/>
    <w:rsid w:val="00950AB5"/>
    <w:rsid w:val="00950E34"/>
    <w:rsid w:val="00954542"/>
    <w:rsid w:val="00954FC0"/>
    <w:rsid w:val="0095508E"/>
    <w:rsid w:val="0095610E"/>
    <w:rsid w:val="00957261"/>
    <w:rsid w:val="00957690"/>
    <w:rsid w:val="00957E7C"/>
    <w:rsid w:val="009613F3"/>
    <w:rsid w:val="009636C2"/>
    <w:rsid w:val="0096439D"/>
    <w:rsid w:val="00964620"/>
    <w:rsid w:val="009651F3"/>
    <w:rsid w:val="009720C4"/>
    <w:rsid w:val="0097519D"/>
    <w:rsid w:val="00975B78"/>
    <w:rsid w:val="009775D2"/>
    <w:rsid w:val="0098028E"/>
    <w:rsid w:val="0098091C"/>
    <w:rsid w:val="0098267A"/>
    <w:rsid w:val="00982AB8"/>
    <w:rsid w:val="00983057"/>
    <w:rsid w:val="00983F2A"/>
    <w:rsid w:val="00985B25"/>
    <w:rsid w:val="00986FAF"/>
    <w:rsid w:val="0098780F"/>
    <w:rsid w:val="00991311"/>
    <w:rsid w:val="00991CD3"/>
    <w:rsid w:val="00992B9B"/>
    <w:rsid w:val="00994C98"/>
    <w:rsid w:val="009957C5"/>
    <w:rsid w:val="00995DDC"/>
    <w:rsid w:val="00996872"/>
    <w:rsid w:val="00997623"/>
    <w:rsid w:val="00997936"/>
    <w:rsid w:val="009A0041"/>
    <w:rsid w:val="009A0CB6"/>
    <w:rsid w:val="009A1812"/>
    <w:rsid w:val="009A258E"/>
    <w:rsid w:val="009A265B"/>
    <w:rsid w:val="009B365D"/>
    <w:rsid w:val="009B3903"/>
    <w:rsid w:val="009B452F"/>
    <w:rsid w:val="009B54CA"/>
    <w:rsid w:val="009B62DC"/>
    <w:rsid w:val="009B74BE"/>
    <w:rsid w:val="009B7842"/>
    <w:rsid w:val="009B7E8D"/>
    <w:rsid w:val="009C0631"/>
    <w:rsid w:val="009C08D7"/>
    <w:rsid w:val="009C0F7A"/>
    <w:rsid w:val="009C1114"/>
    <w:rsid w:val="009C167C"/>
    <w:rsid w:val="009C3D90"/>
    <w:rsid w:val="009C4F65"/>
    <w:rsid w:val="009C52FD"/>
    <w:rsid w:val="009C5653"/>
    <w:rsid w:val="009C5780"/>
    <w:rsid w:val="009D0E91"/>
    <w:rsid w:val="009D1626"/>
    <w:rsid w:val="009D1A33"/>
    <w:rsid w:val="009D1EC0"/>
    <w:rsid w:val="009D2AD9"/>
    <w:rsid w:val="009D37EF"/>
    <w:rsid w:val="009D4609"/>
    <w:rsid w:val="009E0195"/>
    <w:rsid w:val="009E2391"/>
    <w:rsid w:val="009E2C19"/>
    <w:rsid w:val="009E3B5E"/>
    <w:rsid w:val="009E4A0B"/>
    <w:rsid w:val="009E4C83"/>
    <w:rsid w:val="009E7D41"/>
    <w:rsid w:val="009F080D"/>
    <w:rsid w:val="009F19F9"/>
    <w:rsid w:val="009F3913"/>
    <w:rsid w:val="009F3B3D"/>
    <w:rsid w:val="009F5534"/>
    <w:rsid w:val="009F5DD2"/>
    <w:rsid w:val="009F5E84"/>
    <w:rsid w:val="009F617A"/>
    <w:rsid w:val="009F6B75"/>
    <w:rsid w:val="009F6CD7"/>
    <w:rsid w:val="00A01281"/>
    <w:rsid w:val="00A02312"/>
    <w:rsid w:val="00A02BAC"/>
    <w:rsid w:val="00A02CC0"/>
    <w:rsid w:val="00A0624A"/>
    <w:rsid w:val="00A0747F"/>
    <w:rsid w:val="00A10A7B"/>
    <w:rsid w:val="00A118BB"/>
    <w:rsid w:val="00A1324F"/>
    <w:rsid w:val="00A1556B"/>
    <w:rsid w:val="00A1626F"/>
    <w:rsid w:val="00A1673D"/>
    <w:rsid w:val="00A16CCF"/>
    <w:rsid w:val="00A23000"/>
    <w:rsid w:val="00A2356A"/>
    <w:rsid w:val="00A25962"/>
    <w:rsid w:val="00A26B8E"/>
    <w:rsid w:val="00A270A9"/>
    <w:rsid w:val="00A3207D"/>
    <w:rsid w:val="00A32577"/>
    <w:rsid w:val="00A331D9"/>
    <w:rsid w:val="00A33BE7"/>
    <w:rsid w:val="00A35848"/>
    <w:rsid w:val="00A358E2"/>
    <w:rsid w:val="00A36BF1"/>
    <w:rsid w:val="00A40838"/>
    <w:rsid w:val="00A40A50"/>
    <w:rsid w:val="00A42AD7"/>
    <w:rsid w:val="00A44010"/>
    <w:rsid w:val="00A476B8"/>
    <w:rsid w:val="00A506C8"/>
    <w:rsid w:val="00A52832"/>
    <w:rsid w:val="00A52CFB"/>
    <w:rsid w:val="00A540FD"/>
    <w:rsid w:val="00A54FA0"/>
    <w:rsid w:val="00A575DB"/>
    <w:rsid w:val="00A57910"/>
    <w:rsid w:val="00A6285B"/>
    <w:rsid w:val="00A639B1"/>
    <w:rsid w:val="00A63B6C"/>
    <w:rsid w:val="00A644D5"/>
    <w:rsid w:val="00A64B94"/>
    <w:rsid w:val="00A65174"/>
    <w:rsid w:val="00A6533F"/>
    <w:rsid w:val="00A65EBE"/>
    <w:rsid w:val="00A6724C"/>
    <w:rsid w:val="00A700CF"/>
    <w:rsid w:val="00A70AE6"/>
    <w:rsid w:val="00A71C04"/>
    <w:rsid w:val="00A738FB"/>
    <w:rsid w:val="00A76430"/>
    <w:rsid w:val="00A817A0"/>
    <w:rsid w:val="00A82047"/>
    <w:rsid w:val="00A85F3C"/>
    <w:rsid w:val="00A87D2A"/>
    <w:rsid w:val="00A9084E"/>
    <w:rsid w:val="00A912E3"/>
    <w:rsid w:val="00A92298"/>
    <w:rsid w:val="00A92D83"/>
    <w:rsid w:val="00A93FAA"/>
    <w:rsid w:val="00A94529"/>
    <w:rsid w:val="00A94CC4"/>
    <w:rsid w:val="00A9568F"/>
    <w:rsid w:val="00A96B21"/>
    <w:rsid w:val="00A96D23"/>
    <w:rsid w:val="00AA3095"/>
    <w:rsid w:val="00AA30D5"/>
    <w:rsid w:val="00AA62A0"/>
    <w:rsid w:val="00AA6A21"/>
    <w:rsid w:val="00AB169C"/>
    <w:rsid w:val="00AB357B"/>
    <w:rsid w:val="00AB49B2"/>
    <w:rsid w:val="00AB4A42"/>
    <w:rsid w:val="00AB797F"/>
    <w:rsid w:val="00AC0F34"/>
    <w:rsid w:val="00AC18CD"/>
    <w:rsid w:val="00AC4541"/>
    <w:rsid w:val="00AC6C68"/>
    <w:rsid w:val="00AD0BAC"/>
    <w:rsid w:val="00AD0FE8"/>
    <w:rsid w:val="00AD3A55"/>
    <w:rsid w:val="00AD5F9B"/>
    <w:rsid w:val="00AD5FBD"/>
    <w:rsid w:val="00AE023E"/>
    <w:rsid w:val="00AE1A95"/>
    <w:rsid w:val="00AE2B39"/>
    <w:rsid w:val="00AE30A6"/>
    <w:rsid w:val="00AE5BC3"/>
    <w:rsid w:val="00AE634B"/>
    <w:rsid w:val="00AE7DE1"/>
    <w:rsid w:val="00AF0428"/>
    <w:rsid w:val="00AF1893"/>
    <w:rsid w:val="00AF2899"/>
    <w:rsid w:val="00AF2B46"/>
    <w:rsid w:val="00AF4A6C"/>
    <w:rsid w:val="00AF4C8E"/>
    <w:rsid w:val="00AF6548"/>
    <w:rsid w:val="00B001EB"/>
    <w:rsid w:val="00B039A9"/>
    <w:rsid w:val="00B065FF"/>
    <w:rsid w:val="00B1012F"/>
    <w:rsid w:val="00B1016A"/>
    <w:rsid w:val="00B11C56"/>
    <w:rsid w:val="00B14153"/>
    <w:rsid w:val="00B21AE8"/>
    <w:rsid w:val="00B21E96"/>
    <w:rsid w:val="00B224E8"/>
    <w:rsid w:val="00B22932"/>
    <w:rsid w:val="00B23554"/>
    <w:rsid w:val="00B24AEF"/>
    <w:rsid w:val="00B25672"/>
    <w:rsid w:val="00B26089"/>
    <w:rsid w:val="00B3093F"/>
    <w:rsid w:val="00B310BC"/>
    <w:rsid w:val="00B311CB"/>
    <w:rsid w:val="00B3140D"/>
    <w:rsid w:val="00B31E6C"/>
    <w:rsid w:val="00B33080"/>
    <w:rsid w:val="00B3358F"/>
    <w:rsid w:val="00B33CA4"/>
    <w:rsid w:val="00B35317"/>
    <w:rsid w:val="00B35BCF"/>
    <w:rsid w:val="00B36EA9"/>
    <w:rsid w:val="00B37C92"/>
    <w:rsid w:val="00B409F6"/>
    <w:rsid w:val="00B41651"/>
    <w:rsid w:val="00B41B46"/>
    <w:rsid w:val="00B41EAE"/>
    <w:rsid w:val="00B4431E"/>
    <w:rsid w:val="00B46D79"/>
    <w:rsid w:val="00B470A8"/>
    <w:rsid w:val="00B47233"/>
    <w:rsid w:val="00B50296"/>
    <w:rsid w:val="00B51369"/>
    <w:rsid w:val="00B513A9"/>
    <w:rsid w:val="00B51883"/>
    <w:rsid w:val="00B52046"/>
    <w:rsid w:val="00B532A5"/>
    <w:rsid w:val="00B54A39"/>
    <w:rsid w:val="00B54FBE"/>
    <w:rsid w:val="00B576ED"/>
    <w:rsid w:val="00B57801"/>
    <w:rsid w:val="00B60599"/>
    <w:rsid w:val="00B61560"/>
    <w:rsid w:val="00B61ED3"/>
    <w:rsid w:val="00B6232B"/>
    <w:rsid w:val="00B62DDD"/>
    <w:rsid w:val="00B64ECC"/>
    <w:rsid w:val="00B66280"/>
    <w:rsid w:val="00B6642D"/>
    <w:rsid w:val="00B67BBA"/>
    <w:rsid w:val="00B70243"/>
    <w:rsid w:val="00B70924"/>
    <w:rsid w:val="00B70F30"/>
    <w:rsid w:val="00B724BA"/>
    <w:rsid w:val="00B72E3A"/>
    <w:rsid w:val="00B7699A"/>
    <w:rsid w:val="00B76F03"/>
    <w:rsid w:val="00B77A6A"/>
    <w:rsid w:val="00B80527"/>
    <w:rsid w:val="00B81E17"/>
    <w:rsid w:val="00B8361C"/>
    <w:rsid w:val="00B86725"/>
    <w:rsid w:val="00B90511"/>
    <w:rsid w:val="00B91291"/>
    <w:rsid w:val="00B91A8C"/>
    <w:rsid w:val="00B91EDE"/>
    <w:rsid w:val="00B93A5E"/>
    <w:rsid w:val="00B94487"/>
    <w:rsid w:val="00B94890"/>
    <w:rsid w:val="00B94BA0"/>
    <w:rsid w:val="00BA06BE"/>
    <w:rsid w:val="00BA1F13"/>
    <w:rsid w:val="00BA2200"/>
    <w:rsid w:val="00BA3C94"/>
    <w:rsid w:val="00BA5519"/>
    <w:rsid w:val="00BA687C"/>
    <w:rsid w:val="00BA76E3"/>
    <w:rsid w:val="00BB11D0"/>
    <w:rsid w:val="00BB1E50"/>
    <w:rsid w:val="00BB25AD"/>
    <w:rsid w:val="00BB3E8D"/>
    <w:rsid w:val="00BB5092"/>
    <w:rsid w:val="00BB5464"/>
    <w:rsid w:val="00BB5569"/>
    <w:rsid w:val="00BB6537"/>
    <w:rsid w:val="00BC205D"/>
    <w:rsid w:val="00BC4044"/>
    <w:rsid w:val="00BC6540"/>
    <w:rsid w:val="00BC79B0"/>
    <w:rsid w:val="00BD1D30"/>
    <w:rsid w:val="00BD1F2D"/>
    <w:rsid w:val="00BD3475"/>
    <w:rsid w:val="00BD4C3E"/>
    <w:rsid w:val="00BD5B45"/>
    <w:rsid w:val="00BE0254"/>
    <w:rsid w:val="00BE3091"/>
    <w:rsid w:val="00BE32AA"/>
    <w:rsid w:val="00BE5174"/>
    <w:rsid w:val="00BE5BE3"/>
    <w:rsid w:val="00BE6074"/>
    <w:rsid w:val="00BE642A"/>
    <w:rsid w:val="00BE75CD"/>
    <w:rsid w:val="00BE7800"/>
    <w:rsid w:val="00BF0772"/>
    <w:rsid w:val="00BF2F95"/>
    <w:rsid w:val="00BF46B0"/>
    <w:rsid w:val="00BF4731"/>
    <w:rsid w:val="00BF50D0"/>
    <w:rsid w:val="00BF528F"/>
    <w:rsid w:val="00BF6B88"/>
    <w:rsid w:val="00C02BA8"/>
    <w:rsid w:val="00C02EA4"/>
    <w:rsid w:val="00C04B0D"/>
    <w:rsid w:val="00C0793D"/>
    <w:rsid w:val="00C1179E"/>
    <w:rsid w:val="00C119A0"/>
    <w:rsid w:val="00C12178"/>
    <w:rsid w:val="00C1267A"/>
    <w:rsid w:val="00C12D0A"/>
    <w:rsid w:val="00C13D83"/>
    <w:rsid w:val="00C141BD"/>
    <w:rsid w:val="00C225C5"/>
    <w:rsid w:val="00C22D8E"/>
    <w:rsid w:val="00C22F75"/>
    <w:rsid w:val="00C2354A"/>
    <w:rsid w:val="00C23D41"/>
    <w:rsid w:val="00C24946"/>
    <w:rsid w:val="00C27112"/>
    <w:rsid w:val="00C27CBE"/>
    <w:rsid w:val="00C332BC"/>
    <w:rsid w:val="00C33588"/>
    <w:rsid w:val="00C33DF4"/>
    <w:rsid w:val="00C35DC7"/>
    <w:rsid w:val="00C36DE2"/>
    <w:rsid w:val="00C402F0"/>
    <w:rsid w:val="00C424BB"/>
    <w:rsid w:val="00C42EC3"/>
    <w:rsid w:val="00C4300F"/>
    <w:rsid w:val="00C432A1"/>
    <w:rsid w:val="00C43E40"/>
    <w:rsid w:val="00C4462B"/>
    <w:rsid w:val="00C44775"/>
    <w:rsid w:val="00C44D39"/>
    <w:rsid w:val="00C457CA"/>
    <w:rsid w:val="00C51674"/>
    <w:rsid w:val="00C5185A"/>
    <w:rsid w:val="00C53052"/>
    <w:rsid w:val="00C53B46"/>
    <w:rsid w:val="00C56768"/>
    <w:rsid w:val="00C57F03"/>
    <w:rsid w:val="00C60A2F"/>
    <w:rsid w:val="00C61E65"/>
    <w:rsid w:val="00C62BC2"/>
    <w:rsid w:val="00C65577"/>
    <w:rsid w:val="00C65DC0"/>
    <w:rsid w:val="00C67033"/>
    <w:rsid w:val="00C7092D"/>
    <w:rsid w:val="00C70F1F"/>
    <w:rsid w:val="00C7418E"/>
    <w:rsid w:val="00C75075"/>
    <w:rsid w:val="00C76D15"/>
    <w:rsid w:val="00C829CB"/>
    <w:rsid w:val="00C8475E"/>
    <w:rsid w:val="00C931B2"/>
    <w:rsid w:val="00C931E4"/>
    <w:rsid w:val="00C94C56"/>
    <w:rsid w:val="00CA026D"/>
    <w:rsid w:val="00CA04F8"/>
    <w:rsid w:val="00CA080E"/>
    <w:rsid w:val="00CA08F7"/>
    <w:rsid w:val="00CA3273"/>
    <w:rsid w:val="00CA3BE8"/>
    <w:rsid w:val="00CA4714"/>
    <w:rsid w:val="00CA52C7"/>
    <w:rsid w:val="00CA5E99"/>
    <w:rsid w:val="00CA62A0"/>
    <w:rsid w:val="00CA6595"/>
    <w:rsid w:val="00CA76B0"/>
    <w:rsid w:val="00CB1759"/>
    <w:rsid w:val="00CB2187"/>
    <w:rsid w:val="00CB5152"/>
    <w:rsid w:val="00CC0193"/>
    <w:rsid w:val="00CC20BE"/>
    <w:rsid w:val="00CC34C1"/>
    <w:rsid w:val="00CC4D37"/>
    <w:rsid w:val="00CC50B8"/>
    <w:rsid w:val="00CC585B"/>
    <w:rsid w:val="00CC6320"/>
    <w:rsid w:val="00CC71D6"/>
    <w:rsid w:val="00CD10AF"/>
    <w:rsid w:val="00CD16B3"/>
    <w:rsid w:val="00CD1862"/>
    <w:rsid w:val="00CD18C6"/>
    <w:rsid w:val="00CD31B0"/>
    <w:rsid w:val="00CD4A98"/>
    <w:rsid w:val="00CD66B6"/>
    <w:rsid w:val="00CD6A07"/>
    <w:rsid w:val="00CD6BC5"/>
    <w:rsid w:val="00CD770D"/>
    <w:rsid w:val="00CD7A90"/>
    <w:rsid w:val="00CE0220"/>
    <w:rsid w:val="00CE03CF"/>
    <w:rsid w:val="00CE0727"/>
    <w:rsid w:val="00CE2C28"/>
    <w:rsid w:val="00CE76FD"/>
    <w:rsid w:val="00CF2810"/>
    <w:rsid w:val="00CF2D28"/>
    <w:rsid w:val="00CF3550"/>
    <w:rsid w:val="00CF3E13"/>
    <w:rsid w:val="00CF70AB"/>
    <w:rsid w:val="00D05024"/>
    <w:rsid w:val="00D11591"/>
    <w:rsid w:val="00D142CA"/>
    <w:rsid w:val="00D14B5B"/>
    <w:rsid w:val="00D14CA8"/>
    <w:rsid w:val="00D15F1F"/>
    <w:rsid w:val="00D160B5"/>
    <w:rsid w:val="00D1670F"/>
    <w:rsid w:val="00D20BD0"/>
    <w:rsid w:val="00D22062"/>
    <w:rsid w:val="00D221A5"/>
    <w:rsid w:val="00D2281A"/>
    <w:rsid w:val="00D25077"/>
    <w:rsid w:val="00D2651C"/>
    <w:rsid w:val="00D300AF"/>
    <w:rsid w:val="00D3059B"/>
    <w:rsid w:val="00D30D98"/>
    <w:rsid w:val="00D31ED8"/>
    <w:rsid w:val="00D322A4"/>
    <w:rsid w:val="00D33ED0"/>
    <w:rsid w:val="00D34DFB"/>
    <w:rsid w:val="00D37DA7"/>
    <w:rsid w:val="00D405BF"/>
    <w:rsid w:val="00D4140A"/>
    <w:rsid w:val="00D44F8F"/>
    <w:rsid w:val="00D458B1"/>
    <w:rsid w:val="00D45CD2"/>
    <w:rsid w:val="00D45F43"/>
    <w:rsid w:val="00D4778A"/>
    <w:rsid w:val="00D50695"/>
    <w:rsid w:val="00D5201A"/>
    <w:rsid w:val="00D5207C"/>
    <w:rsid w:val="00D54863"/>
    <w:rsid w:val="00D55D7C"/>
    <w:rsid w:val="00D57731"/>
    <w:rsid w:val="00D57F85"/>
    <w:rsid w:val="00D60046"/>
    <w:rsid w:val="00D60BF6"/>
    <w:rsid w:val="00D619CC"/>
    <w:rsid w:val="00D61EC4"/>
    <w:rsid w:val="00D62D4F"/>
    <w:rsid w:val="00D62E76"/>
    <w:rsid w:val="00D63B94"/>
    <w:rsid w:val="00D641C5"/>
    <w:rsid w:val="00D641D7"/>
    <w:rsid w:val="00D65151"/>
    <w:rsid w:val="00D6640A"/>
    <w:rsid w:val="00D667B0"/>
    <w:rsid w:val="00D70CF0"/>
    <w:rsid w:val="00D71230"/>
    <w:rsid w:val="00D71780"/>
    <w:rsid w:val="00D71FFB"/>
    <w:rsid w:val="00D730C0"/>
    <w:rsid w:val="00D73C28"/>
    <w:rsid w:val="00D74474"/>
    <w:rsid w:val="00D74DB3"/>
    <w:rsid w:val="00D77F17"/>
    <w:rsid w:val="00D77F9C"/>
    <w:rsid w:val="00D81441"/>
    <w:rsid w:val="00D83A65"/>
    <w:rsid w:val="00D83F0B"/>
    <w:rsid w:val="00D84529"/>
    <w:rsid w:val="00D85690"/>
    <w:rsid w:val="00D878E0"/>
    <w:rsid w:val="00D910D1"/>
    <w:rsid w:val="00D91887"/>
    <w:rsid w:val="00D92BFD"/>
    <w:rsid w:val="00D92E2C"/>
    <w:rsid w:val="00D92FF5"/>
    <w:rsid w:val="00D931D8"/>
    <w:rsid w:val="00D94801"/>
    <w:rsid w:val="00D94806"/>
    <w:rsid w:val="00D95D34"/>
    <w:rsid w:val="00D960E3"/>
    <w:rsid w:val="00DA0748"/>
    <w:rsid w:val="00DA1ABD"/>
    <w:rsid w:val="00DA2A94"/>
    <w:rsid w:val="00DA3404"/>
    <w:rsid w:val="00DA39AF"/>
    <w:rsid w:val="00DA4B44"/>
    <w:rsid w:val="00DA5D96"/>
    <w:rsid w:val="00DB05A0"/>
    <w:rsid w:val="00DB19AE"/>
    <w:rsid w:val="00DB1D59"/>
    <w:rsid w:val="00DB2CA9"/>
    <w:rsid w:val="00DB2E18"/>
    <w:rsid w:val="00DB3F4D"/>
    <w:rsid w:val="00DB6049"/>
    <w:rsid w:val="00DB69E3"/>
    <w:rsid w:val="00DB777B"/>
    <w:rsid w:val="00DC024F"/>
    <w:rsid w:val="00DC1781"/>
    <w:rsid w:val="00DC20B2"/>
    <w:rsid w:val="00DC2C62"/>
    <w:rsid w:val="00DC5330"/>
    <w:rsid w:val="00DC6E17"/>
    <w:rsid w:val="00DC6EEF"/>
    <w:rsid w:val="00DD025F"/>
    <w:rsid w:val="00DD077C"/>
    <w:rsid w:val="00DD1F32"/>
    <w:rsid w:val="00DD2A42"/>
    <w:rsid w:val="00DD37B8"/>
    <w:rsid w:val="00DD7990"/>
    <w:rsid w:val="00DD7A71"/>
    <w:rsid w:val="00DD7BDE"/>
    <w:rsid w:val="00DE1B5D"/>
    <w:rsid w:val="00DE1DAE"/>
    <w:rsid w:val="00DE3162"/>
    <w:rsid w:val="00DE3671"/>
    <w:rsid w:val="00DE4B36"/>
    <w:rsid w:val="00DE5349"/>
    <w:rsid w:val="00DE585C"/>
    <w:rsid w:val="00DE5E33"/>
    <w:rsid w:val="00DE76A2"/>
    <w:rsid w:val="00DF0E15"/>
    <w:rsid w:val="00DF263E"/>
    <w:rsid w:val="00DF3D27"/>
    <w:rsid w:val="00E02311"/>
    <w:rsid w:val="00E0494B"/>
    <w:rsid w:val="00E065C3"/>
    <w:rsid w:val="00E07296"/>
    <w:rsid w:val="00E077E6"/>
    <w:rsid w:val="00E10246"/>
    <w:rsid w:val="00E11649"/>
    <w:rsid w:val="00E124D9"/>
    <w:rsid w:val="00E13CB0"/>
    <w:rsid w:val="00E1456D"/>
    <w:rsid w:val="00E153BB"/>
    <w:rsid w:val="00E1597C"/>
    <w:rsid w:val="00E17581"/>
    <w:rsid w:val="00E229B9"/>
    <w:rsid w:val="00E25980"/>
    <w:rsid w:val="00E2777F"/>
    <w:rsid w:val="00E30AF9"/>
    <w:rsid w:val="00E30F93"/>
    <w:rsid w:val="00E312D9"/>
    <w:rsid w:val="00E31D4B"/>
    <w:rsid w:val="00E33BEA"/>
    <w:rsid w:val="00E3492A"/>
    <w:rsid w:val="00E361CA"/>
    <w:rsid w:val="00E36280"/>
    <w:rsid w:val="00E37C60"/>
    <w:rsid w:val="00E37FBB"/>
    <w:rsid w:val="00E43E6A"/>
    <w:rsid w:val="00E459F2"/>
    <w:rsid w:val="00E46067"/>
    <w:rsid w:val="00E460FA"/>
    <w:rsid w:val="00E50265"/>
    <w:rsid w:val="00E526DF"/>
    <w:rsid w:val="00E5428A"/>
    <w:rsid w:val="00E5617A"/>
    <w:rsid w:val="00E57084"/>
    <w:rsid w:val="00E6015D"/>
    <w:rsid w:val="00E60A42"/>
    <w:rsid w:val="00E60E17"/>
    <w:rsid w:val="00E611D0"/>
    <w:rsid w:val="00E611FC"/>
    <w:rsid w:val="00E61213"/>
    <w:rsid w:val="00E613A1"/>
    <w:rsid w:val="00E62F08"/>
    <w:rsid w:val="00E62FA5"/>
    <w:rsid w:val="00E6697B"/>
    <w:rsid w:val="00E67215"/>
    <w:rsid w:val="00E71731"/>
    <w:rsid w:val="00E7345E"/>
    <w:rsid w:val="00E737A7"/>
    <w:rsid w:val="00E74126"/>
    <w:rsid w:val="00E77733"/>
    <w:rsid w:val="00E77B5F"/>
    <w:rsid w:val="00E81266"/>
    <w:rsid w:val="00E81E16"/>
    <w:rsid w:val="00E83417"/>
    <w:rsid w:val="00E83443"/>
    <w:rsid w:val="00E86525"/>
    <w:rsid w:val="00E879E7"/>
    <w:rsid w:val="00E87B1F"/>
    <w:rsid w:val="00E922A7"/>
    <w:rsid w:val="00E9433D"/>
    <w:rsid w:val="00E943FE"/>
    <w:rsid w:val="00E956EB"/>
    <w:rsid w:val="00E9635C"/>
    <w:rsid w:val="00EA16DD"/>
    <w:rsid w:val="00EA199D"/>
    <w:rsid w:val="00EA2683"/>
    <w:rsid w:val="00EA32D5"/>
    <w:rsid w:val="00EA3F36"/>
    <w:rsid w:val="00EA419B"/>
    <w:rsid w:val="00EA5AE6"/>
    <w:rsid w:val="00EA5F1F"/>
    <w:rsid w:val="00EA5FCE"/>
    <w:rsid w:val="00EA6437"/>
    <w:rsid w:val="00EA77FB"/>
    <w:rsid w:val="00EB0BAF"/>
    <w:rsid w:val="00EB0E55"/>
    <w:rsid w:val="00EB16C5"/>
    <w:rsid w:val="00EB1C56"/>
    <w:rsid w:val="00EB3BA7"/>
    <w:rsid w:val="00EB5952"/>
    <w:rsid w:val="00EB6463"/>
    <w:rsid w:val="00EB7BAF"/>
    <w:rsid w:val="00EC07ED"/>
    <w:rsid w:val="00EC32CA"/>
    <w:rsid w:val="00EC3434"/>
    <w:rsid w:val="00EC480F"/>
    <w:rsid w:val="00EC4E06"/>
    <w:rsid w:val="00EC6B77"/>
    <w:rsid w:val="00EC75C6"/>
    <w:rsid w:val="00ED0CC5"/>
    <w:rsid w:val="00ED1216"/>
    <w:rsid w:val="00ED1732"/>
    <w:rsid w:val="00ED3849"/>
    <w:rsid w:val="00ED3A69"/>
    <w:rsid w:val="00ED3FAC"/>
    <w:rsid w:val="00ED46DA"/>
    <w:rsid w:val="00ED4C7A"/>
    <w:rsid w:val="00ED5002"/>
    <w:rsid w:val="00ED6877"/>
    <w:rsid w:val="00ED7F68"/>
    <w:rsid w:val="00EE0420"/>
    <w:rsid w:val="00EE21C9"/>
    <w:rsid w:val="00EE34F7"/>
    <w:rsid w:val="00EE5B30"/>
    <w:rsid w:val="00EE7A46"/>
    <w:rsid w:val="00EE7DC2"/>
    <w:rsid w:val="00EE7E30"/>
    <w:rsid w:val="00EF2D42"/>
    <w:rsid w:val="00EF4787"/>
    <w:rsid w:val="00EF534A"/>
    <w:rsid w:val="00EF53EB"/>
    <w:rsid w:val="00EF5E6A"/>
    <w:rsid w:val="00F01B23"/>
    <w:rsid w:val="00F0245E"/>
    <w:rsid w:val="00F03B30"/>
    <w:rsid w:val="00F045BE"/>
    <w:rsid w:val="00F0487B"/>
    <w:rsid w:val="00F04FB6"/>
    <w:rsid w:val="00F0526F"/>
    <w:rsid w:val="00F057C8"/>
    <w:rsid w:val="00F101D3"/>
    <w:rsid w:val="00F103F6"/>
    <w:rsid w:val="00F109AD"/>
    <w:rsid w:val="00F11134"/>
    <w:rsid w:val="00F1786D"/>
    <w:rsid w:val="00F21261"/>
    <w:rsid w:val="00F22919"/>
    <w:rsid w:val="00F2507D"/>
    <w:rsid w:val="00F252DB"/>
    <w:rsid w:val="00F2541A"/>
    <w:rsid w:val="00F258FB"/>
    <w:rsid w:val="00F266AB"/>
    <w:rsid w:val="00F31689"/>
    <w:rsid w:val="00F34179"/>
    <w:rsid w:val="00F34422"/>
    <w:rsid w:val="00F36AF2"/>
    <w:rsid w:val="00F3755D"/>
    <w:rsid w:val="00F37FBE"/>
    <w:rsid w:val="00F42981"/>
    <w:rsid w:val="00F43005"/>
    <w:rsid w:val="00F474C2"/>
    <w:rsid w:val="00F514E8"/>
    <w:rsid w:val="00F529F3"/>
    <w:rsid w:val="00F52D9E"/>
    <w:rsid w:val="00F52E5C"/>
    <w:rsid w:val="00F532E5"/>
    <w:rsid w:val="00F53F9B"/>
    <w:rsid w:val="00F54458"/>
    <w:rsid w:val="00F55555"/>
    <w:rsid w:val="00F563FC"/>
    <w:rsid w:val="00F5768F"/>
    <w:rsid w:val="00F606D2"/>
    <w:rsid w:val="00F619EE"/>
    <w:rsid w:val="00F646CC"/>
    <w:rsid w:val="00F65EC3"/>
    <w:rsid w:val="00F66F71"/>
    <w:rsid w:val="00F67AF9"/>
    <w:rsid w:val="00F7093F"/>
    <w:rsid w:val="00F7233B"/>
    <w:rsid w:val="00F756A9"/>
    <w:rsid w:val="00F75F90"/>
    <w:rsid w:val="00F76CAC"/>
    <w:rsid w:val="00F814B2"/>
    <w:rsid w:val="00F81BDF"/>
    <w:rsid w:val="00F82020"/>
    <w:rsid w:val="00F82A04"/>
    <w:rsid w:val="00F8364E"/>
    <w:rsid w:val="00F901AC"/>
    <w:rsid w:val="00F93C45"/>
    <w:rsid w:val="00F95665"/>
    <w:rsid w:val="00F96F50"/>
    <w:rsid w:val="00F972D3"/>
    <w:rsid w:val="00FA13C2"/>
    <w:rsid w:val="00FA18C9"/>
    <w:rsid w:val="00FA1A0F"/>
    <w:rsid w:val="00FA28B0"/>
    <w:rsid w:val="00FA38EC"/>
    <w:rsid w:val="00FA3CF0"/>
    <w:rsid w:val="00FA43FA"/>
    <w:rsid w:val="00FA4C9F"/>
    <w:rsid w:val="00FA6DD0"/>
    <w:rsid w:val="00FA6E75"/>
    <w:rsid w:val="00FB0158"/>
    <w:rsid w:val="00FB1714"/>
    <w:rsid w:val="00FB3255"/>
    <w:rsid w:val="00FB46B8"/>
    <w:rsid w:val="00FB4CCA"/>
    <w:rsid w:val="00FB5222"/>
    <w:rsid w:val="00FB555C"/>
    <w:rsid w:val="00FB5A99"/>
    <w:rsid w:val="00FC2A60"/>
    <w:rsid w:val="00FC76E2"/>
    <w:rsid w:val="00FD02A3"/>
    <w:rsid w:val="00FD4AD9"/>
    <w:rsid w:val="00FD4FF7"/>
    <w:rsid w:val="00FD6F6A"/>
    <w:rsid w:val="00FE2FC3"/>
    <w:rsid w:val="00FE3653"/>
    <w:rsid w:val="00FE3747"/>
    <w:rsid w:val="00FE3AB8"/>
    <w:rsid w:val="00FE47AD"/>
    <w:rsid w:val="00FE536D"/>
    <w:rsid w:val="00FF1543"/>
    <w:rsid w:val="00FF5921"/>
    <w:rsid w:val="00FF6845"/>
    <w:rsid w:val="00FF701D"/>
    <w:rsid w:val="00FF7B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04141"/>
  <w15:chartTrackingRefBased/>
  <w15:docId w15:val="{C9300B4D-9E10-4360-8CA7-8C9E1D3F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96F5C"/>
    <w:pPr>
      <w:numPr>
        <w:numId w:val="2"/>
      </w:num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14"/>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customStyle="1" w:styleId="Para3">
    <w:name w:val="Para3"/>
    <w:basedOn w:val="Normal"/>
    <w:rsid w:val="009720C4"/>
    <w:pPr>
      <w:numPr>
        <w:ilvl w:val="2"/>
        <w:numId w:val="21"/>
      </w:numPr>
      <w:tabs>
        <w:tab w:val="left" w:pos="1980"/>
      </w:tabs>
      <w:spacing w:before="80" w:after="80"/>
    </w:pPr>
    <w:rPr>
      <w:rFonts w:eastAsia="MS Mincho" w:cs="Angsana New"/>
      <w:szCs w:val="20"/>
    </w:rPr>
  </w:style>
  <w:style w:type="paragraph" w:styleId="Revision">
    <w:name w:val="Revision"/>
    <w:hidden/>
    <w:uiPriority w:val="99"/>
    <w:semiHidden/>
    <w:rsid w:val="001426F9"/>
    <w:pPr>
      <w:spacing w:after="0" w:line="240" w:lineRule="auto"/>
    </w:pPr>
    <w:rPr>
      <w:rFonts w:ascii="Times New Roman" w:eastAsia="Times New Roman" w:hAnsi="Times New Roman" w:cs="Times New Roman"/>
      <w:kern w:val="0"/>
      <w:szCs w:val="24"/>
      <w:lang w:val="en-GB"/>
      <w14:ligatures w14:val="none"/>
    </w:rPr>
  </w:style>
  <w:style w:type="paragraph" w:styleId="BalloonText">
    <w:name w:val="Balloon Text"/>
    <w:basedOn w:val="Normal"/>
    <w:link w:val="BalloonTextChar"/>
    <w:uiPriority w:val="99"/>
    <w:semiHidden/>
    <w:unhideWhenUsed/>
    <w:rsid w:val="00E71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731"/>
    <w:rPr>
      <w:rFonts w:ascii="Segoe UI" w:eastAsia="Times New Roman" w:hAnsi="Segoe UI" w:cs="Segoe UI"/>
      <w:kern w:val="0"/>
      <w:sz w:val="18"/>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65C77"/>
    <w:pPr>
      <w:ind w:left="720"/>
      <w:contextualSpacing/>
    </w:pPr>
  </w:style>
  <w:style w:type="character" w:styleId="Hyperlink">
    <w:name w:val="Hyperlink"/>
    <w:basedOn w:val="DefaultParagraphFont"/>
    <w:uiPriority w:val="99"/>
    <w:unhideWhenUsed/>
    <w:rsid w:val="00335DC6"/>
    <w:rPr>
      <w:color w:val="0563C1" w:themeColor="hyperlink"/>
      <w:u w:val="single"/>
    </w:rPr>
  </w:style>
  <w:style w:type="character" w:styleId="UnresolvedMention">
    <w:name w:val="Unresolved Mention"/>
    <w:basedOn w:val="DefaultParagraphFont"/>
    <w:uiPriority w:val="99"/>
    <w:semiHidden/>
    <w:unhideWhenUsed/>
    <w:rsid w:val="00335DC6"/>
    <w:rPr>
      <w:color w:val="605E5C"/>
      <w:shd w:val="clear" w:color="auto" w:fill="E1DFDD"/>
    </w:rPr>
  </w:style>
  <w:style w:type="character" w:styleId="FollowedHyperlink">
    <w:name w:val="FollowedHyperlink"/>
    <w:basedOn w:val="DefaultParagraphFont"/>
    <w:uiPriority w:val="99"/>
    <w:semiHidden/>
    <w:unhideWhenUsed/>
    <w:rsid w:val="0044310C"/>
    <w:rPr>
      <w:color w:val="954F72" w:themeColor="followedHyperlink"/>
      <w:u w:val="single"/>
    </w:rPr>
  </w:style>
  <w:style w:type="paragraph" w:customStyle="1" w:styleId="Para10">
    <w:name w:val="Para1"/>
    <w:basedOn w:val="Normal"/>
    <w:link w:val="Para1Char"/>
    <w:qFormat/>
    <w:rsid w:val="00817A82"/>
    <w:pPr>
      <w:spacing w:before="120" w:after="120"/>
    </w:pPr>
    <w:rPr>
      <w:snapToGrid w:val="0"/>
      <w:szCs w:val="18"/>
    </w:rPr>
  </w:style>
  <w:style w:type="character" w:customStyle="1" w:styleId="Para1Char">
    <w:name w:val="Para1 Char"/>
    <w:link w:val="Para10"/>
    <w:qFormat/>
    <w:locked/>
    <w:rsid w:val="00817A82"/>
    <w:rPr>
      <w:rFonts w:ascii="Times New Roman" w:eastAsia="Times New Roman" w:hAnsi="Times New Roman" w:cs="Times New Roman"/>
      <w:snapToGrid w:val="0"/>
      <w:kern w:val="0"/>
      <w:szCs w:val="18"/>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817A82"/>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817A82"/>
    <w:rPr>
      <w:rFonts w:ascii="Times New Roman" w:eastAsia="Times New Roman" w:hAnsi="Times New Roman" w:cs="Times New Roman"/>
      <w:kern w:val="0"/>
      <w:szCs w:val="24"/>
      <w:lang w:val="en-GB"/>
      <w14:ligatures w14:val="none"/>
    </w:rPr>
  </w:style>
  <w:style w:type="paragraph" w:styleId="NormalWeb">
    <w:name w:val="Normal (Web)"/>
    <w:basedOn w:val="Normal"/>
    <w:uiPriority w:val="99"/>
    <w:unhideWhenUsed/>
    <w:rsid w:val="00FD02A3"/>
    <w:pPr>
      <w:spacing w:before="100" w:beforeAutospacing="1" w:after="100" w:afterAutospacing="1"/>
      <w:jc w:val="left"/>
    </w:pPr>
    <w:rPr>
      <w:sz w:val="24"/>
      <w:lang w:val="en-US" w:eastAsia="zh-CN"/>
    </w:rPr>
  </w:style>
  <w:style w:type="paragraph" w:customStyle="1" w:styleId="CBDTitle">
    <w:name w:val="CBD_Title"/>
    <w:basedOn w:val="Normal"/>
    <w:next w:val="Normal"/>
    <w:qFormat/>
    <w:rsid w:val="001D1F54"/>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 w:type="paragraph" w:customStyle="1" w:styleId="AFCorNot12Bold">
    <w:name w:val="AF_CorNot12Bold"/>
    <w:basedOn w:val="Normal"/>
    <w:next w:val="Normal"/>
    <w:unhideWhenUsed/>
    <w:qFormat/>
    <w:rsid w:val="00BB5464"/>
    <w:pPr>
      <w:tabs>
        <w:tab w:val="left" w:pos="567"/>
        <w:tab w:val="left" w:pos="1134"/>
        <w:tab w:val="left" w:pos="1701"/>
        <w:tab w:val="left" w:pos="2268"/>
      </w:tabs>
      <w:jc w:val="left"/>
    </w:pPr>
    <w:rPr>
      <w:rFonts w:eastAsia="SimSun"/>
      <w:b/>
      <w:sz w:val="24"/>
      <w:szCs w:val="22"/>
    </w:rPr>
  </w:style>
  <w:style w:type="paragraph" w:customStyle="1" w:styleId="AFCorNotBold">
    <w:name w:val="AF_CorNotBold"/>
    <w:basedOn w:val="Normal"/>
    <w:next w:val="Normal"/>
    <w:unhideWhenUsed/>
    <w:qFormat/>
    <w:rsid w:val="00B51883"/>
    <w:pPr>
      <w:tabs>
        <w:tab w:val="left" w:pos="567"/>
        <w:tab w:val="left" w:pos="1134"/>
        <w:tab w:val="left" w:pos="1701"/>
        <w:tab w:val="left" w:pos="2268"/>
      </w:tabs>
    </w:pPr>
    <w:rPr>
      <w:rFonts w:eastAsia="SimSun"/>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22128">
      <w:bodyDiv w:val="1"/>
      <w:marLeft w:val="0"/>
      <w:marRight w:val="0"/>
      <w:marTop w:val="0"/>
      <w:marBottom w:val="0"/>
      <w:divBdr>
        <w:top w:val="none" w:sz="0" w:space="0" w:color="auto"/>
        <w:left w:val="none" w:sz="0" w:space="0" w:color="auto"/>
        <w:bottom w:val="none" w:sz="0" w:space="0" w:color="auto"/>
        <w:right w:val="none" w:sz="0" w:space="0" w:color="auto"/>
      </w:divBdr>
    </w:div>
    <w:div w:id="30863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08-en.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oc/decisions/cop-15/cop-15-dec-15-en.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11-en.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cop-15/cop-15-dec-07-en.pdf" TargetMode="External"/><Relationship Id="rId20" Type="http://schemas.openxmlformats.org/officeDocument/2006/relationships/hyperlink" Target="https://www.cbd.int/doc/decisions/cop-15/cop-15-dec-07-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bd.int/doc/decisions/cop-15/cop-15-dec-33-en.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decisions/cop-15/cop-15-dec-12-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en.pdf" TargetMode="External"/><Relationship Id="rId22" Type="http://schemas.openxmlformats.org/officeDocument/2006/relationships/hyperlink" Target="https://www.cbd.int/doc/decisions/cop-15/cop-15-dec-08-en.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5/cop-15-dec-04-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template-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85E4C-C806-4F10-8420-89CF53128477}">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2.xml><?xml version="1.0" encoding="utf-8"?>
<ds:datastoreItem xmlns:ds="http://schemas.openxmlformats.org/officeDocument/2006/customXml" ds:itemID="{B7CC7C0D-CECB-41F6-8EB8-290B0529DAF9}">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9107C249-D583-4E88-B7AB-22330515F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template-general.dotm</Template>
  <TotalTime>3</TotalTime>
  <Pages>1</Pages>
  <Words>1218</Words>
  <Characters>8350</Characters>
  <Application>Microsoft Office Word</Application>
  <DocSecurity>0</DocSecurity>
  <Lines>695</Lines>
  <Paragraphs>289</Paragraphs>
  <ScaleCrop>false</ScaleCrop>
  <HeadingPairs>
    <vt:vector size="2" baseType="variant">
      <vt:variant>
        <vt:lpstr>Title</vt:lpstr>
      </vt:variant>
      <vt:variant>
        <vt:i4>1</vt:i4>
      </vt:variant>
    </vt:vector>
  </HeadingPairs>
  <TitlesOfParts>
    <vt:vector size="1" baseType="lpstr">
      <vt:lpstr>Multi-year programme of work of the Conference of the Parties</vt:lpstr>
    </vt:vector>
  </TitlesOfParts>
  <Company/>
  <LinksUpToDate>false</LinksUpToDate>
  <CharactersWithSpaces>9279</CharactersWithSpaces>
  <SharedDoc>false</SharedDoc>
  <HLinks>
    <vt:vector size="102" baseType="variant">
      <vt:variant>
        <vt:i4>852042</vt:i4>
      </vt:variant>
      <vt:variant>
        <vt:i4>48</vt:i4>
      </vt:variant>
      <vt:variant>
        <vt:i4>0</vt:i4>
      </vt:variant>
      <vt:variant>
        <vt:i4>5</vt:i4>
      </vt:variant>
      <vt:variant>
        <vt:lpwstr>https://www.cbd.int/doc/decisions/cop-15/cop-15-dec-13-en.pdf</vt:lpwstr>
      </vt:variant>
      <vt:variant>
        <vt:lpwstr/>
      </vt:variant>
      <vt:variant>
        <vt:i4>393291</vt:i4>
      </vt:variant>
      <vt:variant>
        <vt:i4>45</vt:i4>
      </vt:variant>
      <vt:variant>
        <vt:i4>0</vt:i4>
      </vt:variant>
      <vt:variant>
        <vt:i4>5</vt:i4>
      </vt:variant>
      <vt:variant>
        <vt:lpwstr>https://www.cbd.int/doc/decisions/cop-15/cop-15-dec-08-en.pdf</vt:lpwstr>
      </vt:variant>
      <vt:variant>
        <vt:lpwstr/>
      </vt:variant>
      <vt:variant>
        <vt:i4>524363</vt:i4>
      </vt:variant>
      <vt:variant>
        <vt:i4>42</vt:i4>
      </vt:variant>
      <vt:variant>
        <vt:i4>0</vt:i4>
      </vt:variant>
      <vt:variant>
        <vt:i4>5</vt:i4>
      </vt:variant>
      <vt:variant>
        <vt:lpwstr>https://www.cbd.int/doc/decisions/cop-15/cop-15-dec-06-en.pdf</vt:lpwstr>
      </vt:variant>
      <vt:variant>
        <vt:lpwstr/>
      </vt:variant>
      <vt:variant>
        <vt:i4>720971</vt:i4>
      </vt:variant>
      <vt:variant>
        <vt:i4>39</vt:i4>
      </vt:variant>
      <vt:variant>
        <vt:i4>0</vt:i4>
      </vt:variant>
      <vt:variant>
        <vt:i4>5</vt:i4>
      </vt:variant>
      <vt:variant>
        <vt:lpwstr>https://www.cbd.int/doc/decisions/cop-15/cop-15-dec-05-en.pdf</vt:lpwstr>
      </vt:variant>
      <vt:variant>
        <vt:lpwstr/>
      </vt:variant>
      <vt:variant>
        <vt:i4>655435</vt:i4>
      </vt:variant>
      <vt:variant>
        <vt:i4>36</vt:i4>
      </vt:variant>
      <vt:variant>
        <vt:i4>0</vt:i4>
      </vt:variant>
      <vt:variant>
        <vt:i4>5</vt:i4>
      </vt:variant>
      <vt:variant>
        <vt:lpwstr>https://www.cbd.int/doc/decisions/cop-15/cop-15-dec-04-en.pdf</vt:lpwstr>
      </vt:variant>
      <vt:variant>
        <vt:lpwstr/>
      </vt:variant>
      <vt:variant>
        <vt:i4>7536689</vt:i4>
      </vt:variant>
      <vt:variant>
        <vt:i4>33</vt:i4>
      </vt:variant>
      <vt:variant>
        <vt:i4>0</vt:i4>
      </vt:variant>
      <vt:variant>
        <vt:i4>5</vt:i4>
      </vt:variant>
      <vt:variant>
        <vt:lpwstr>https://www.cbd.int/doc/decisions/np-mop-04/np-mop-04-dec-07-en.pdf</vt:lpwstr>
      </vt:variant>
      <vt:variant>
        <vt:lpwstr/>
      </vt:variant>
      <vt:variant>
        <vt:i4>524362</vt:i4>
      </vt:variant>
      <vt:variant>
        <vt:i4>30</vt:i4>
      </vt:variant>
      <vt:variant>
        <vt:i4>0</vt:i4>
      </vt:variant>
      <vt:variant>
        <vt:i4>5</vt:i4>
      </vt:variant>
      <vt:variant>
        <vt:lpwstr>https://www.cbd.int/doc/decisions/cop-15/cop-15-dec-16-en.pdf</vt:lpwstr>
      </vt:variant>
      <vt:variant>
        <vt:lpwstr/>
      </vt:variant>
      <vt:variant>
        <vt:i4>393291</vt:i4>
      </vt:variant>
      <vt:variant>
        <vt:i4>27</vt:i4>
      </vt:variant>
      <vt:variant>
        <vt:i4>0</vt:i4>
      </vt:variant>
      <vt:variant>
        <vt:i4>5</vt:i4>
      </vt:variant>
      <vt:variant>
        <vt:lpwstr>https://www.cbd.int/doc/decisions/cop-15/cop-15-dec-08-en.pdf</vt:lpwstr>
      </vt:variant>
      <vt:variant>
        <vt:lpwstr/>
      </vt:variant>
      <vt:variant>
        <vt:i4>8126513</vt:i4>
      </vt:variant>
      <vt:variant>
        <vt:i4>24</vt:i4>
      </vt:variant>
      <vt:variant>
        <vt:i4>0</vt:i4>
      </vt:variant>
      <vt:variant>
        <vt:i4>5</vt:i4>
      </vt:variant>
      <vt:variant>
        <vt:lpwstr>https://www.cbd.int/doc/decisions/np-mop-04/np-mop-04-dec-08-en.pdf</vt:lpwstr>
      </vt:variant>
      <vt:variant>
        <vt:lpwstr/>
      </vt:variant>
      <vt:variant>
        <vt:i4>8126513</vt:i4>
      </vt:variant>
      <vt:variant>
        <vt:i4>21</vt:i4>
      </vt:variant>
      <vt:variant>
        <vt:i4>0</vt:i4>
      </vt:variant>
      <vt:variant>
        <vt:i4>5</vt:i4>
      </vt:variant>
      <vt:variant>
        <vt:lpwstr>https://www.cbd.int/doc/decisions/cp-mop-10/cp-mop-10-dec-08-en.pdf</vt:lpwstr>
      </vt:variant>
      <vt:variant>
        <vt:lpwstr/>
      </vt:variant>
      <vt:variant>
        <vt:i4>720970</vt:i4>
      </vt:variant>
      <vt:variant>
        <vt:i4>18</vt:i4>
      </vt:variant>
      <vt:variant>
        <vt:i4>0</vt:i4>
      </vt:variant>
      <vt:variant>
        <vt:i4>5</vt:i4>
      </vt:variant>
      <vt:variant>
        <vt:lpwstr>https://www.cbd.int/doc/decisions/cop-15/cop-15-dec-15-en.pdf</vt:lpwstr>
      </vt:variant>
      <vt:variant>
        <vt:lpwstr/>
      </vt:variant>
      <vt:variant>
        <vt:i4>589899</vt:i4>
      </vt:variant>
      <vt:variant>
        <vt:i4>15</vt:i4>
      </vt:variant>
      <vt:variant>
        <vt:i4>0</vt:i4>
      </vt:variant>
      <vt:variant>
        <vt:i4>5</vt:i4>
      </vt:variant>
      <vt:variant>
        <vt:lpwstr>https://www.cbd.int/doc/decisions/cop-15/cop-15-dec-07-en.pdf</vt:lpwstr>
      </vt:variant>
      <vt:variant>
        <vt:lpwstr/>
      </vt:variant>
      <vt:variant>
        <vt:i4>524363</vt:i4>
      </vt:variant>
      <vt:variant>
        <vt:i4>12</vt:i4>
      </vt:variant>
      <vt:variant>
        <vt:i4>0</vt:i4>
      </vt:variant>
      <vt:variant>
        <vt:i4>5</vt:i4>
      </vt:variant>
      <vt:variant>
        <vt:lpwstr>https://www.cbd.int/doc/decisions/cop-15/cop-15-dec-06-en.pdf</vt:lpwstr>
      </vt:variant>
      <vt:variant>
        <vt:lpwstr/>
      </vt:variant>
      <vt:variant>
        <vt:i4>720971</vt:i4>
      </vt:variant>
      <vt:variant>
        <vt:i4>9</vt:i4>
      </vt:variant>
      <vt:variant>
        <vt:i4>0</vt:i4>
      </vt:variant>
      <vt:variant>
        <vt:i4>5</vt:i4>
      </vt:variant>
      <vt:variant>
        <vt:lpwstr>https://www.cbd.int/doc/decisions/cop-15/cop-15-dec-05-en.pdf</vt:lpwstr>
      </vt:variant>
      <vt:variant>
        <vt:lpwstr/>
      </vt:variant>
      <vt:variant>
        <vt:i4>524363</vt:i4>
      </vt:variant>
      <vt:variant>
        <vt:i4>6</vt:i4>
      </vt:variant>
      <vt:variant>
        <vt:i4>0</vt:i4>
      </vt:variant>
      <vt:variant>
        <vt:i4>5</vt:i4>
      </vt:variant>
      <vt:variant>
        <vt:lpwstr>https://www.cbd.int/doc/decisions/cop-15/cop-15-dec-06-en.pdf</vt:lpwstr>
      </vt:variant>
      <vt:variant>
        <vt:lpwstr/>
      </vt:variant>
      <vt:variant>
        <vt:i4>852047</vt:i4>
      </vt:variant>
      <vt:variant>
        <vt:i4>3</vt:i4>
      </vt:variant>
      <vt:variant>
        <vt:i4>0</vt:i4>
      </vt:variant>
      <vt:variant>
        <vt:i4>5</vt:i4>
      </vt:variant>
      <vt:variant>
        <vt:lpwstr>https://www.cbd.int/doc/decisions/cop-13/cop-13-dec-25-en.pdf</vt:lpwstr>
      </vt:variant>
      <vt:variant>
        <vt:lpwstr/>
      </vt:variant>
      <vt:variant>
        <vt:i4>983118</vt:i4>
      </vt:variant>
      <vt:variant>
        <vt:i4>0</vt:i4>
      </vt:variant>
      <vt:variant>
        <vt:i4>0</vt:i4>
      </vt:variant>
      <vt:variant>
        <vt:i4>5</vt:i4>
      </vt:variant>
      <vt:variant>
        <vt:lpwstr>https://www.cbd.int/doc/decisions/cop-12/cop-12-dec-26-en.pdf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Multi-year programme of work of the Conference of the Parties</dc:title>
  <dc:subject>CBD/SBI/REC/4/13</dc:subject>
  <dc:creator>Secretariat of the Convention on Biological Diversity</dc:creator>
  <cp:keywords>Subsidiary Body on Implementation</cp:keywords>
  <dc:description/>
  <cp:lastModifiedBy>Veronique Lefebvre</cp:lastModifiedBy>
  <cp:revision>8</cp:revision>
  <cp:lastPrinted>2024-05-26T10:36:00Z</cp:lastPrinted>
  <dcterms:created xsi:type="dcterms:W3CDTF">2024-07-16T12:54:00Z</dcterms:created>
  <dcterms:modified xsi:type="dcterms:W3CDTF">2024-07-16T12:59:00Z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