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1"/>
        <w:gridCol w:w="3933"/>
        <w:gridCol w:w="5627"/>
      </w:tblGrid>
      <w:tr w:rsidR="00A96B21" w:rsidRPr="00802693" w14:paraId="3D574279" w14:textId="77777777" w:rsidTr="0019402C">
        <w:trPr>
          <w:trHeight w:val="851"/>
        </w:trPr>
        <w:tc>
          <w:tcPr>
            <w:tcW w:w="465" w:type="pct"/>
            <w:tcBorders>
              <w:bottom w:val="single" w:sz="8" w:space="0" w:color="auto"/>
            </w:tcBorders>
            <w:vAlign w:val="bottom"/>
          </w:tcPr>
          <w:p w14:paraId="3D574276" w14:textId="77777777" w:rsidR="00A96B21" w:rsidRPr="00802693" w:rsidRDefault="00A96B21" w:rsidP="0019402C">
            <w:pPr>
              <w:spacing w:after="120"/>
              <w:jc w:val="left"/>
              <w:rPr>
                <w:lang w:val="fr-CA"/>
              </w:rPr>
            </w:pPr>
            <w:bookmarkStart w:id="0" w:name="_Hlk137651738"/>
            <w:r w:rsidRPr="00802693">
              <w:rPr>
                <w:noProof/>
                <w:lang w:val="fr-CA" w:eastAsia="fr-CA"/>
              </w:rPr>
              <w:drawing>
                <wp:inline distT="0" distB="0" distL="0" distR="0" wp14:anchorId="3D5742CA" wp14:editId="3D5742C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3D574277" w14:textId="77777777" w:rsidR="00A96B21" w:rsidRPr="00802693" w:rsidRDefault="00A31D79" w:rsidP="0019402C">
            <w:pPr>
              <w:spacing w:after="120"/>
              <w:jc w:val="left"/>
              <w:rPr>
                <w:lang w:val="fr-CA"/>
              </w:rPr>
            </w:pPr>
            <w:r w:rsidRPr="00802693">
              <w:rPr>
                <w:noProof/>
                <w:lang w:val="fr-CA" w:eastAsia="fr-CA"/>
              </w:rPr>
              <w:drawing>
                <wp:inline distT="0" distB="0" distL="0" distR="0" wp14:anchorId="3D5742CC" wp14:editId="3D5742CD">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3D574278" w14:textId="6828FE4F" w:rsidR="00A96B21" w:rsidRPr="00802693" w:rsidRDefault="00A86535" w:rsidP="0078582E">
            <w:pPr>
              <w:spacing w:after="120"/>
              <w:ind w:left="2021"/>
              <w:jc w:val="right"/>
              <w:rPr>
                <w:szCs w:val="22"/>
                <w:lang w:val="fr-CA"/>
              </w:rPr>
            </w:pPr>
            <w:r w:rsidRPr="00802693">
              <w:rPr>
                <w:sz w:val="40"/>
                <w:szCs w:val="40"/>
                <w:lang w:val="fr-CA"/>
              </w:rPr>
              <w:t>CBD</w:t>
            </w:r>
            <w:r w:rsidRPr="00802693">
              <w:rPr>
                <w:szCs w:val="22"/>
                <w:lang w:val="fr-CA"/>
              </w:rPr>
              <w:t>/SBI/</w:t>
            </w:r>
            <w:r w:rsidR="0078582E">
              <w:rPr>
                <w:szCs w:val="22"/>
                <w:lang w:val="fr-CA"/>
              </w:rPr>
              <w:t>REC/</w:t>
            </w:r>
            <w:r w:rsidRPr="00802693">
              <w:rPr>
                <w:szCs w:val="22"/>
                <w:lang w:val="fr-CA"/>
              </w:rPr>
              <w:t>4/</w:t>
            </w:r>
            <w:r w:rsidR="0078582E">
              <w:rPr>
                <w:szCs w:val="22"/>
                <w:lang w:val="fr-CA"/>
              </w:rPr>
              <w:t>13</w:t>
            </w:r>
            <w:r w:rsidR="004469AB">
              <w:rPr>
                <w:rStyle w:val="FootnoteReference"/>
                <w:szCs w:val="22"/>
                <w:lang w:val="fr-CA"/>
              </w:rPr>
              <w:footnoteReference w:customMarkFollows="1" w:id="2"/>
              <w:t>*</w:t>
            </w:r>
          </w:p>
        </w:tc>
      </w:tr>
      <w:tr w:rsidR="00A96B21" w:rsidRPr="004469AB" w14:paraId="3D574280" w14:textId="77777777" w:rsidTr="0019402C">
        <w:tc>
          <w:tcPr>
            <w:tcW w:w="2297" w:type="pct"/>
            <w:gridSpan w:val="2"/>
            <w:tcBorders>
              <w:top w:val="single" w:sz="8" w:space="0" w:color="auto"/>
              <w:bottom w:val="single" w:sz="12" w:space="0" w:color="auto"/>
            </w:tcBorders>
          </w:tcPr>
          <w:p w14:paraId="3D57427A" w14:textId="77777777" w:rsidR="00A96B21" w:rsidRPr="00802693" w:rsidRDefault="00A31D79" w:rsidP="0019402C">
            <w:pPr>
              <w:pStyle w:val="Cornernotation"/>
              <w:suppressLineNumbers/>
              <w:suppressAutoHyphens/>
              <w:spacing w:before="120" w:after="120"/>
              <w:ind w:left="0" w:right="0" w:firstLine="0"/>
              <w:rPr>
                <w:lang w:val="fr-CA"/>
              </w:rPr>
            </w:pPr>
            <w:r w:rsidRPr="00802693">
              <w:rPr>
                <w:bCs/>
                <w:noProof/>
                <w:szCs w:val="22"/>
                <w:lang w:val="fr-CA" w:eastAsia="fr-CA"/>
              </w:rPr>
              <w:drawing>
                <wp:inline distT="0" distB="0" distL="0" distR="0" wp14:anchorId="3D5742CE" wp14:editId="3D5742CF">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3D57427B" w14:textId="5579CEEC" w:rsidR="00A96B21" w:rsidRPr="00802693" w:rsidRDefault="00A31D79" w:rsidP="003C6F10">
            <w:pPr>
              <w:ind w:left="2584"/>
              <w:rPr>
                <w:noProof/>
                <w:sz w:val="22"/>
                <w:szCs w:val="22"/>
                <w:lang w:val="fr-CA"/>
              </w:rPr>
            </w:pPr>
            <w:r w:rsidRPr="00802693">
              <w:rPr>
                <w:noProof/>
                <w:sz w:val="22"/>
                <w:szCs w:val="22"/>
                <w:lang w:val="fr-CA"/>
              </w:rPr>
              <w:t>Distr.</w:t>
            </w:r>
            <w:r w:rsidR="009569C8" w:rsidRPr="00802693">
              <w:rPr>
                <w:noProof/>
                <w:sz w:val="22"/>
                <w:szCs w:val="22"/>
                <w:lang w:val="fr-CA"/>
              </w:rPr>
              <w:t xml:space="preserve"> : </w:t>
            </w:r>
            <w:r w:rsidR="0078582E">
              <w:rPr>
                <w:noProof/>
                <w:sz w:val="22"/>
                <w:szCs w:val="22"/>
                <w:lang w:val="fr-CA"/>
              </w:rPr>
              <w:t>Générale</w:t>
            </w:r>
          </w:p>
          <w:p w14:paraId="3D57427C" w14:textId="6111E146" w:rsidR="00A96B21" w:rsidRPr="00802693" w:rsidRDefault="00BD7F7C" w:rsidP="003C6F10">
            <w:pPr>
              <w:ind w:left="2584"/>
              <w:rPr>
                <w:sz w:val="22"/>
                <w:szCs w:val="22"/>
                <w:lang w:val="fr-CA"/>
              </w:rPr>
            </w:pPr>
            <w:r w:rsidRPr="00802693">
              <w:rPr>
                <w:sz w:val="22"/>
                <w:szCs w:val="22"/>
                <w:lang w:val="fr-CA"/>
              </w:rPr>
              <w:t>2</w:t>
            </w:r>
            <w:r w:rsidR="00181021">
              <w:rPr>
                <w:sz w:val="22"/>
                <w:szCs w:val="22"/>
                <w:lang w:val="fr-CA"/>
              </w:rPr>
              <w:t>9</w:t>
            </w:r>
            <w:r w:rsidRPr="00802693">
              <w:rPr>
                <w:sz w:val="22"/>
                <w:szCs w:val="22"/>
                <w:lang w:val="fr-CA"/>
              </w:rPr>
              <w:t> </w:t>
            </w:r>
            <w:r w:rsidR="009569C8" w:rsidRPr="00802693">
              <w:rPr>
                <w:sz w:val="22"/>
                <w:szCs w:val="22"/>
                <w:lang w:val="fr-CA"/>
              </w:rPr>
              <w:t>mai</w:t>
            </w:r>
            <w:r w:rsidRPr="00802693">
              <w:rPr>
                <w:sz w:val="22"/>
                <w:szCs w:val="22"/>
                <w:lang w:val="fr-CA"/>
              </w:rPr>
              <w:t> </w:t>
            </w:r>
            <w:r w:rsidR="00A96B21" w:rsidRPr="00802693">
              <w:rPr>
                <w:sz w:val="22"/>
                <w:szCs w:val="22"/>
                <w:lang w:val="fr-CA"/>
              </w:rPr>
              <w:t>202</w:t>
            </w:r>
            <w:r w:rsidR="005D2C44" w:rsidRPr="00802693">
              <w:rPr>
                <w:sz w:val="22"/>
                <w:szCs w:val="22"/>
                <w:lang w:val="fr-CA"/>
              </w:rPr>
              <w:t>4</w:t>
            </w:r>
          </w:p>
          <w:p w14:paraId="3D57427D" w14:textId="77777777" w:rsidR="00A96B21" w:rsidRPr="00802693" w:rsidRDefault="00A31D79" w:rsidP="003C6F10">
            <w:pPr>
              <w:ind w:left="2584"/>
              <w:rPr>
                <w:sz w:val="22"/>
                <w:szCs w:val="22"/>
                <w:lang w:val="fr-CA"/>
              </w:rPr>
            </w:pPr>
            <w:r w:rsidRPr="00802693">
              <w:rPr>
                <w:sz w:val="22"/>
                <w:szCs w:val="22"/>
                <w:lang w:val="fr-CA"/>
              </w:rPr>
              <w:t>Français</w:t>
            </w:r>
          </w:p>
          <w:p w14:paraId="3D57427E" w14:textId="77777777" w:rsidR="00A96B21" w:rsidRPr="00802693" w:rsidRDefault="00A96B21" w:rsidP="003C6F10">
            <w:pPr>
              <w:ind w:left="2584"/>
              <w:rPr>
                <w:sz w:val="22"/>
                <w:szCs w:val="22"/>
                <w:lang w:val="fr-CA"/>
              </w:rPr>
            </w:pPr>
            <w:r w:rsidRPr="00802693">
              <w:rPr>
                <w:sz w:val="22"/>
                <w:szCs w:val="22"/>
                <w:lang w:val="fr-CA"/>
              </w:rPr>
              <w:t>Original</w:t>
            </w:r>
            <w:r w:rsidR="00BD7F7C" w:rsidRPr="00802693">
              <w:rPr>
                <w:sz w:val="22"/>
                <w:szCs w:val="22"/>
                <w:lang w:val="fr-CA"/>
              </w:rPr>
              <w:t> :</w:t>
            </w:r>
            <w:r w:rsidRPr="00802693">
              <w:rPr>
                <w:sz w:val="22"/>
                <w:szCs w:val="22"/>
                <w:lang w:val="fr-CA"/>
              </w:rPr>
              <w:t xml:space="preserve"> </w:t>
            </w:r>
            <w:r w:rsidR="009569C8" w:rsidRPr="00802693">
              <w:rPr>
                <w:sz w:val="22"/>
                <w:szCs w:val="22"/>
                <w:lang w:val="fr-CA"/>
              </w:rPr>
              <w:t>A</w:t>
            </w:r>
            <w:r w:rsidR="00A31D79" w:rsidRPr="00802693">
              <w:rPr>
                <w:sz w:val="22"/>
                <w:szCs w:val="22"/>
                <w:lang w:val="fr-CA"/>
              </w:rPr>
              <w:t>nglais</w:t>
            </w:r>
          </w:p>
          <w:p w14:paraId="3D57427F" w14:textId="77777777" w:rsidR="00A96B21" w:rsidRPr="00802693" w:rsidRDefault="00A96B21" w:rsidP="0019402C">
            <w:pPr>
              <w:rPr>
                <w:lang w:val="fr-CA"/>
              </w:rPr>
            </w:pPr>
          </w:p>
        </w:tc>
      </w:tr>
    </w:tbl>
    <w:p w14:paraId="3D574281" w14:textId="4BD3A820" w:rsidR="00A31D79" w:rsidRPr="00802693" w:rsidRDefault="00A31D79" w:rsidP="00A31D79">
      <w:pPr>
        <w:pStyle w:val="Cornernotation"/>
        <w:ind w:right="5490"/>
        <w:rPr>
          <w:bCs/>
          <w:lang w:val="fr-CA"/>
        </w:rPr>
      </w:pPr>
      <w:r w:rsidRPr="00802693">
        <w:rPr>
          <w:bCs/>
          <w:lang w:val="fr-CA"/>
        </w:rPr>
        <w:t xml:space="preserve">Organe subsidiaire </w:t>
      </w:r>
      <w:r w:rsidR="00926C93">
        <w:rPr>
          <w:bCs/>
          <w:lang w:val="fr-CA"/>
        </w:rPr>
        <w:t xml:space="preserve">chargé de </w:t>
      </w:r>
      <w:r w:rsidR="00926C93">
        <w:rPr>
          <w:bCs/>
          <w:lang w:val="fr-CA"/>
        </w:rPr>
        <w:br/>
        <w:t>l’application</w:t>
      </w:r>
      <w:r w:rsidRPr="00802693">
        <w:rPr>
          <w:bCs/>
          <w:lang w:val="fr-CA"/>
        </w:rPr>
        <w:t xml:space="preserve"> </w:t>
      </w:r>
    </w:p>
    <w:p w14:paraId="3D574282" w14:textId="77777777" w:rsidR="00A31D79" w:rsidRPr="00802693" w:rsidRDefault="00A31D79" w:rsidP="00A31D79">
      <w:pPr>
        <w:pStyle w:val="Cornernotation"/>
        <w:rPr>
          <w:bCs/>
          <w:szCs w:val="22"/>
          <w:lang w:val="fr-CA"/>
        </w:rPr>
      </w:pPr>
      <w:r w:rsidRPr="00802693">
        <w:rPr>
          <w:bCs/>
          <w:szCs w:val="22"/>
          <w:lang w:val="fr-CA"/>
        </w:rPr>
        <w:t>Quatrième réunion</w:t>
      </w:r>
    </w:p>
    <w:p w14:paraId="3D574283" w14:textId="77777777" w:rsidR="00A31D79" w:rsidRPr="00802693" w:rsidRDefault="00BD7F7C" w:rsidP="00A31D79">
      <w:pPr>
        <w:pStyle w:val="Venuedate"/>
        <w:rPr>
          <w:lang w:val="fr-CA"/>
        </w:rPr>
      </w:pPr>
      <w:r w:rsidRPr="00802693">
        <w:rPr>
          <w:lang w:val="fr-CA"/>
        </w:rPr>
        <w:t>Nairobi, 21-29 mai </w:t>
      </w:r>
      <w:r w:rsidR="00A31D79" w:rsidRPr="00802693">
        <w:rPr>
          <w:lang w:val="fr-CA"/>
        </w:rPr>
        <w:t xml:space="preserve">2024 </w:t>
      </w:r>
    </w:p>
    <w:p w14:paraId="3D574284" w14:textId="77777777" w:rsidR="00A96B21" w:rsidRPr="00802693" w:rsidRDefault="00A31D79" w:rsidP="00A31D79">
      <w:pPr>
        <w:pStyle w:val="Cornernotation-Item"/>
        <w:rPr>
          <w:b w:val="0"/>
          <w:bCs w:val="0"/>
          <w:lang w:val="fr-CA"/>
        </w:rPr>
      </w:pPr>
      <w:r w:rsidRPr="00802693">
        <w:rPr>
          <w:b w:val="0"/>
          <w:bCs w:val="0"/>
          <w:lang w:val="fr-CA"/>
        </w:rPr>
        <w:t>Point</w:t>
      </w:r>
      <w:r w:rsidR="00BD7F7C" w:rsidRPr="00802693">
        <w:rPr>
          <w:b w:val="0"/>
          <w:bCs w:val="0"/>
          <w:lang w:val="fr-CA"/>
        </w:rPr>
        <w:t>s </w:t>
      </w:r>
      <w:r w:rsidR="009569C8" w:rsidRPr="00802693">
        <w:rPr>
          <w:b w:val="0"/>
          <w:bCs w:val="0"/>
          <w:lang w:val="fr-CA"/>
        </w:rPr>
        <w:t>11 et</w:t>
      </w:r>
      <w:r w:rsidR="00BD7F7C" w:rsidRPr="00802693">
        <w:rPr>
          <w:b w:val="0"/>
          <w:bCs w:val="0"/>
          <w:lang w:val="fr-CA"/>
        </w:rPr>
        <w:t> </w:t>
      </w:r>
      <w:r w:rsidRPr="00802693">
        <w:rPr>
          <w:b w:val="0"/>
          <w:bCs w:val="0"/>
          <w:lang w:val="fr-CA"/>
        </w:rPr>
        <w:t>12 de l</w:t>
      </w:r>
      <w:r w:rsidR="00802693" w:rsidRPr="00802693">
        <w:rPr>
          <w:b w:val="0"/>
          <w:bCs w:val="0"/>
          <w:lang w:val="fr-CA"/>
        </w:rPr>
        <w:t>’</w:t>
      </w:r>
      <w:r w:rsidRPr="00802693">
        <w:rPr>
          <w:b w:val="0"/>
          <w:bCs w:val="0"/>
          <w:lang w:val="fr-CA"/>
        </w:rPr>
        <w:t xml:space="preserve">ordre du jour </w:t>
      </w:r>
    </w:p>
    <w:p w14:paraId="3D574285" w14:textId="77777777" w:rsidR="00A96B21" w:rsidRDefault="009569C8" w:rsidP="00A96B21">
      <w:pPr>
        <w:pStyle w:val="Cornernotation-Item"/>
        <w:rPr>
          <w:lang w:val="fr-CA"/>
        </w:rPr>
      </w:pPr>
      <w:r w:rsidRPr="00802693">
        <w:rPr>
          <w:lang w:val="fr-CA"/>
        </w:rPr>
        <w:t>Examen des programmes</w:t>
      </w:r>
      <w:r w:rsidR="00A31D79" w:rsidRPr="00802693">
        <w:rPr>
          <w:lang w:val="fr-CA"/>
        </w:rPr>
        <w:t xml:space="preserve"> de travail </w:t>
      </w:r>
      <w:r w:rsidRPr="00802693">
        <w:rPr>
          <w:lang w:val="fr-CA"/>
        </w:rPr>
        <w:t>de la Convention</w:t>
      </w:r>
    </w:p>
    <w:p w14:paraId="3D041584" w14:textId="77777777" w:rsidR="0078582E" w:rsidRDefault="0078582E" w:rsidP="00A96B21">
      <w:pPr>
        <w:pStyle w:val="Cornernotation-Item"/>
        <w:rPr>
          <w:lang w:val="fr-CA"/>
        </w:rPr>
      </w:pPr>
    </w:p>
    <w:p w14:paraId="1492B5D3" w14:textId="77777777" w:rsidR="0078582E" w:rsidRDefault="0078582E" w:rsidP="00A96B21">
      <w:pPr>
        <w:pStyle w:val="Cornernotation-Item"/>
        <w:rPr>
          <w:lang w:val="fr-CA"/>
        </w:rPr>
      </w:pPr>
      <w:r>
        <w:rPr>
          <w:lang w:val="fr-CA"/>
        </w:rPr>
        <w:t>Programme de travail pluriannuel</w:t>
      </w:r>
    </w:p>
    <w:p w14:paraId="60BA445D" w14:textId="5B562E2D" w:rsidR="0078582E" w:rsidRPr="00802693" w:rsidRDefault="0078582E" w:rsidP="00A96B21">
      <w:pPr>
        <w:pStyle w:val="Cornernotation-Item"/>
        <w:rPr>
          <w:lang w:val="fr-CA"/>
        </w:rPr>
      </w:pPr>
      <w:r>
        <w:rPr>
          <w:lang w:val="fr-CA"/>
        </w:rPr>
        <w:t>de la Conférence des Parties</w:t>
      </w:r>
    </w:p>
    <w:bookmarkEnd w:id="0"/>
    <w:p w14:paraId="7FC9B131" w14:textId="09E1878B" w:rsidR="0078582E" w:rsidRDefault="0078582E" w:rsidP="00595331">
      <w:pPr>
        <w:pStyle w:val="Title"/>
        <w:keepNext w:val="0"/>
        <w:widowControl w:val="0"/>
        <w:ind w:left="547"/>
        <w:jc w:val="left"/>
        <w:rPr>
          <w:lang w:val="fr-CA"/>
        </w:rPr>
      </w:pPr>
      <w:r>
        <w:rPr>
          <w:lang w:val="fr-CA"/>
        </w:rPr>
        <w:t xml:space="preserve">Recommandation adoptée par l’Organe subsidiaire </w:t>
      </w:r>
      <w:r w:rsidR="00926C93">
        <w:rPr>
          <w:lang w:val="fr-CA"/>
        </w:rPr>
        <w:t>chargé de l’application</w:t>
      </w:r>
      <w:r>
        <w:rPr>
          <w:lang w:val="fr-CA"/>
        </w:rPr>
        <w:t xml:space="preserve"> le 29 mai 2024</w:t>
      </w:r>
    </w:p>
    <w:p w14:paraId="3D574287" w14:textId="4119F9AA" w:rsidR="00A96B21" w:rsidRPr="00802693" w:rsidRDefault="0078582E" w:rsidP="00A96B21">
      <w:pPr>
        <w:pStyle w:val="Title"/>
        <w:rPr>
          <w:lang w:val="fr-CA"/>
        </w:rPr>
      </w:pPr>
      <w:r>
        <w:rPr>
          <w:lang w:val="fr-CA"/>
        </w:rPr>
        <w:t>4/13.</w:t>
      </w:r>
      <w:r>
        <w:rPr>
          <w:lang w:val="fr-CA"/>
        </w:rPr>
        <w:tab/>
      </w:r>
      <w:r w:rsidR="005F68DC" w:rsidRPr="00802693">
        <w:rPr>
          <w:lang w:val="fr-CA"/>
        </w:rPr>
        <w:t>Programme de travail pluriannuel de la Conférence des Parties</w:t>
      </w:r>
    </w:p>
    <w:p w14:paraId="3D574289" w14:textId="2C914505" w:rsidR="00D5296D" w:rsidRPr="00802693" w:rsidRDefault="00D5296D" w:rsidP="00E77B5F">
      <w:pPr>
        <w:tabs>
          <w:tab w:val="left" w:pos="1701"/>
        </w:tabs>
        <w:spacing w:before="120" w:after="120"/>
        <w:ind w:left="567" w:firstLine="567"/>
        <w:rPr>
          <w:i/>
          <w:kern w:val="22"/>
          <w:szCs w:val="22"/>
          <w:lang w:val="fr-CA"/>
        </w:rPr>
      </w:pPr>
      <w:r w:rsidRPr="00802693">
        <w:rPr>
          <w:i/>
          <w:kern w:val="22"/>
          <w:szCs w:val="22"/>
          <w:lang w:val="fr-CA"/>
        </w:rPr>
        <w:t>L</w:t>
      </w:r>
      <w:r w:rsidR="00802693" w:rsidRPr="00802693">
        <w:rPr>
          <w:i/>
          <w:kern w:val="22"/>
          <w:szCs w:val="22"/>
          <w:lang w:val="fr-CA"/>
        </w:rPr>
        <w:t>’</w:t>
      </w:r>
      <w:r w:rsidRPr="00802693">
        <w:rPr>
          <w:i/>
          <w:kern w:val="22"/>
          <w:szCs w:val="22"/>
          <w:lang w:val="fr-CA"/>
        </w:rPr>
        <w:t xml:space="preserve">Organe subsidiaire </w:t>
      </w:r>
      <w:r w:rsidR="00926C93">
        <w:rPr>
          <w:i/>
          <w:kern w:val="22"/>
          <w:szCs w:val="22"/>
          <w:lang w:val="fr-CA"/>
        </w:rPr>
        <w:t>chargé de l’application</w:t>
      </w:r>
      <w:r w:rsidRPr="00802693">
        <w:rPr>
          <w:i/>
          <w:kern w:val="22"/>
          <w:szCs w:val="22"/>
          <w:lang w:val="fr-CA"/>
        </w:rPr>
        <w:t>,</w:t>
      </w:r>
    </w:p>
    <w:p w14:paraId="3D57428A" w14:textId="77777777" w:rsidR="00425593" w:rsidRPr="00802693" w:rsidRDefault="00D5296D" w:rsidP="00E77B5F">
      <w:pPr>
        <w:tabs>
          <w:tab w:val="left" w:pos="1701"/>
        </w:tabs>
        <w:spacing w:before="120" w:after="120"/>
        <w:ind w:left="567" w:firstLine="567"/>
        <w:rPr>
          <w:kern w:val="22"/>
          <w:szCs w:val="22"/>
          <w:lang w:val="fr-CA"/>
        </w:rPr>
      </w:pPr>
      <w:r w:rsidRPr="00802693">
        <w:rPr>
          <w:i/>
          <w:kern w:val="22"/>
          <w:szCs w:val="22"/>
          <w:lang w:val="fr-CA"/>
        </w:rPr>
        <w:t xml:space="preserve">Prenant note </w:t>
      </w:r>
      <w:r w:rsidR="00802693">
        <w:rPr>
          <w:kern w:val="22"/>
          <w:szCs w:val="22"/>
          <w:lang w:val="fr-CA"/>
        </w:rPr>
        <w:t>du paragraphe 9 de la décision </w:t>
      </w:r>
      <w:r w:rsidRPr="00802693">
        <w:rPr>
          <w:kern w:val="22"/>
          <w:szCs w:val="22"/>
          <w:lang w:val="fr-CA"/>
        </w:rPr>
        <w:t xml:space="preserve">15/4 de la Conférence des Parties </w:t>
      </w:r>
      <w:r w:rsidR="00833DE3" w:rsidRPr="00802693">
        <w:rPr>
          <w:kern w:val="22"/>
          <w:szCs w:val="22"/>
          <w:lang w:val="fr-CA"/>
        </w:rPr>
        <w:t>du 19 décembre </w:t>
      </w:r>
      <w:r w:rsidRPr="00802693">
        <w:rPr>
          <w:kern w:val="22"/>
          <w:szCs w:val="22"/>
          <w:lang w:val="fr-CA"/>
        </w:rPr>
        <w:t>2022,</w:t>
      </w:r>
    </w:p>
    <w:p w14:paraId="3D57428B" w14:textId="77777777" w:rsidR="00D5296D" w:rsidRPr="00802693" w:rsidRDefault="00D5296D" w:rsidP="00E77B5F">
      <w:pPr>
        <w:tabs>
          <w:tab w:val="left" w:pos="1701"/>
        </w:tabs>
        <w:spacing w:before="120" w:after="120"/>
        <w:ind w:left="567" w:firstLine="567"/>
        <w:rPr>
          <w:kern w:val="22"/>
          <w:szCs w:val="22"/>
          <w:lang w:val="fr-CA"/>
        </w:rPr>
      </w:pPr>
      <w:r w:rsidRPr="00802693">
        <w:rPr>
          <w:i/>
          <w:kern w:val="22"/>
          <w:szCs w:val="22"/>
          <w:lang w:val="fr-CA"/>
        </w:rPr>
        <w:t xml:space="preserve">Prenant note également </w:t>
      </w:r>
      <w:r w:rsidR="00802693">
        <w:rPr>
          <w:kern w:val="22"/>
          <w:szCs w:val="22"/>
          <w:lang w:val="fr-CA"/>
        </w:rPr>
        <w:t>de la recommandation </w:t>
      </w:r>
      <w:r w:rsidRPr="00802693">
        <w:rPr>
          <w:kern w:val="22"/>
          <w:szCs w:val="22"/>
          <w:lang w:val="fr-CA"/>
        </w:rPr>
        <w:t>26/2 de l</w:t>
      </w:r>
      <w:r w:rsidR="00802693" w:rsidRPr="00802693">
        <w:rPr>
          <w:kern w:val="22"/>
          <w:szCs w:val="22"/>
          <w:lang w:val="fr-CA"/>
        </w:rPr>
        <w:t>’</w:t>
      </w:r>
      <w:r w:rsidRPr="00802693">
        <w:rPr>
          <w:kern w:val="22"/>
          <w:szCs w:val="22"/>
          <w:lang w:val="fr-CA"/>
        </w:rPr>
        <w:t>Organe subsidiaire chargé de fournir des avis scientifiques, tec</w:t>
      </w:r>
      <w:r w:rsidR="00802693">
        <w:rPr>
          <w:kern w:val="22"/>
          <w:szCs w:val="22"/>
          <w:lang w:val="fr-CA"/>
        </w:rPr>
        <w:t>hniques et technologiques du 18 mai </w:t>
      </w:r>
      <w:r w:rsidRPr="00802693">
        <w:rPr>
          <w:kern w:val="22"/>
          <w:szCs w:val="22"/>
          <w:lang w:val="fr-CA"/>
        </w:rPr>
        <w:t>202</w:t>
      </w:r>
      <w:r w:rsidR="009F3E1F" w:rsidRPr="00802693">
        <w:rPr>
          <w:kern w:val="22"/>
          <w:szCs w:val="22"/>
          <w:lang w:val="fr-CA"/>
        </w:rPr>
        <w:t>4</w:t>
      </w:r>
      <w:r w:rsidRPr="00802693">
        <w:rPr>
          <w:kern w:val="22"/>
          <w:szCs w:val="22"/>
          <w:lang w:val="fr-CA"/>
        </w:rPr>
        <w:t xml:space="preserve"> et de son caractère complémentaire à la présente décision,</w:t>
      </w:r>
    </w:p>
    <w:p w14:paraId="3D57428C" w14:textId="77777777" w:rsidR="00D5296D" w:rsidRPr="00802693" w:rsidRDefault="00D5296D" w:rsidP="00E77B5F">
      <w:pPr>
        <w:tabs>
          <w:tab w:val="left" w:pos="1701"/>
        </w:tabs>
        <w:spacing w:before="120" w:after="120"/>
        <w:ind w:left="567" w:firstLine="567"/>
        <w:rPr>
          <w:kern w:val="22"/>
          <w:szCs w:val="22"/>
          <w:lang w:val="fr-CA"/>
        </w:rPr>
      </w:pPr>
      <w:r w:rsidRPr="00802693">
        <w:rPr>
          <w:i/>
          <w:kern w:val="22"/>
          <w:szCs w:val="22"/>
          <w:lang w:val="fr-CA"/>
        </w:rPr>
        <w:t xml:space="preserve">Recommande </w:t>
      </w:r>
      <w:r w:rsidRPr="00802693">
        <w:rPr>
          <w:kern w:val="22"/>
          <w:szCs w:val="22"/>
          <w:lang w:val="fr-CA"/>
        </w:rPr>
        <w:t>que la Conférence des Parties, à sa seizième réunion, adopte une décision qui ressemble à ce qui suit</w:t>
      </w:r>
      <w:r w:rsidR="00802693" w:rsidRPr="00802693">
        <w:rPr>
          <w:kern w:val="22"/>
          <w:szCs w:val="22"/>
          <w:lang w:val="fr-CA"/>
        </w:rPr>
        <w:t>;</w:t>
      </w:r>
    </w:p>
    <w:p w14:paraId="3D57428E" w14:textId="661F5851" w:rsidR="00BD7F7C" w:rsidRPr="00802693" w:rsidRDefault="00802693" w:rsidP="000C7E42">
      <w:pPr>
        <w:keepNext/>
        <w:tabs>
          <w:tab w:val="left" w:pos="1701"/>
        </w:tabs>
        <w:spacing w:before="120" w:after="120"/>
        <w:ind w:left="1138" w:firstLine="562"/>
        <w:rPr>
          <w:i/>
          <w:kern w:val="22"/>
          <w:szCs w:val="22"/>
          <w:lang w:val="fr-CA"/>
        </w:rPr>
      </w:pPr>
      <w:r w:rsidRPr="00802693">
        <w:rPr>
          <w:rStyle w:val="FootnoteReference"/>
          <w:iCs/>
          <w:kern w:val="22"/>
          <w:szCs w:val="22"/>
          <w:lang w:val="fr-CA"/>
        </w:rPr>
        <w:footnoteReference w:customMarkFollows="1" w:id="3"/>
        <w:sym w:font="Symbol" w:char="F02A"/>
      </w:r>
      <w:r w:rsidR="00BD7F7C" w:rsidRPr="00802693">
        <w:rPr>
          <w:iCs/>
          <w:kern w:val="22"/>
          <w:szCs w:val="22"/>
          <w:lang w:val="fr-CA"/>
        </w:rPr>
        <w:t>[</w:t>
      </w:r>
      <w:r w:rsidR="00B15515">
        <w:rPr>
          <w:i/>
          <w:kern w:val="22"/>
          <w:szCs w:val="22"/>
          <w:lang w:val="fr-CA"/>
        </w:rPr>
        <w:t>La Conférence des Parties</w:t>
      </w:r>
      <w:r w:rsidR="00582852">
        <w:rPr>
          <w:i/>
          <w:kern w:val="22"/>
          <w:szCs w:val="22"/>
          <w:lang w:val="fr-CA"/>
        </w:rPr>
        <w:t>,</w:t>
      </w:r>
    </w:p>
    <w:p w14:paraId="3D57428F" w14:textId="77777777" w:rsidR="00425593" w:rsidRPr="00802693" w:rsidRDefault="00DE3105" w:rsidP="000C7E42">
      <w:pPr>
        <w:tabs>
          <w:tab w:val="left" w:pos="1701"/>
        </w:tabs>
        <w:spacing w:before="120" w:after="120"/>
        <w:ind w:left="1170" w:firstLine="630"/>
        <w:rPr>
          <w:iCs/>
          <w:snapToGrid w:val="0"/>
          <w:kern w:val="22"/>
          <w:szCs w:val="22"/>
          <w:lang w:val="fr-CA"/>
        </w:rPr>
      </w:pPr>
      <w:r w:rsidRPr="00802693">
        <w:rPr>
          <w:i/>
          <w:kern w:val="22"/>
          <w:szCs w:val="22"/>
          <w:lang w:val="fr-CA"/>
        </w:rPr>
        <w:t xml:space="preserve">Rappelant </w:t>
      </w:r>
      <w:r w:rsidRPr="00802693">
        <w:rPr>
          <w:kern w:val="22"/>
          <w:szCs w:val="22"/>
          <w:lang w:val="fr-CA"/>
        </w:rPr>
        <w:t>sa décision</w:t>
      </w:r>
      <w:r w:rsidR="008F689D" w:rsidRPr="00802693">
        <w:rPr>
          <w:iCs/>
          <w:kern w:val="22"/>
          <w:szCs w:val="22"/>
          <w:lang w:val="fr-CA"/>
        </w:rPr>
        <w:t xml:space="preserve"> </w:t>
      </w:r>
      <w:hyperlink r:id="rId14" w:history="1">
        <w:r w:rsidR="008F689D" w:rsidRPr="00802693">
          <w:rPr>
            <w:rStyle w:val="Hyperlink"/>
            <w:iCs/>
            <w:kern w:val="22"/>
            <w:szCs w:val="22"/>
            <w:lang w:val="fr-CA"/>
          </w:rPr>
          <w:t>15/4</w:t>
        </w:r>
      </w:hyperlink>
      <w:r w:rsidR="00047449" w:rsidRPr="00802693">
        <w:rPr>
          <w:iCs/>
          <w:kern w:val="22"/>
          <w:szCs w:val="22"/>
          <w:lang w:val="fr-CA"/>
        </w:rPr>
        <w:t xml:space="preserve"> </w:t>
      </w:r>
      <w:r w:rsidRPr="00802693">
        <w:rPr>
          <w:iCs/>
          <w:kern w:val="22"/>
          <w:szCs w:val="22"/>
          <w:lang w:val="fr-CA"/>
        </w:rPr>
        <w:t>du 19 décembre 2022, dans laquelle elle a décidé que le Cadre mondial de la biodiversité de Kunming-Montréal</w:t>
      </w:r>
      <w:r w:rsidR="00CA4714" w:rsidRPr="00802693">
        <w:rPr>
          <w:rStyle w:val="FootnoteReference"/>
          <w:iCs/>
          <w:kern w:val="22"/>
          <w:szCs w:val="22"/>
          <w:lang w:val="fr-CA"/>
        </w:rPr>
        <w:footnoteReference w:id="4"/>
      </w:r>
      <w:r w:rsidR="008F689D" w:rsidRPr="00802693">
        <w:rPr>
          <w:iCs/>
          <w:kern w:val="22"/>
          <w:szCs w:val="22"/>
          <w:lang w:val="fr-CA"/>
        </w:rPr>
        <w:t xml:space="preserve"> </w:t>
      </w:r>
      <w:r w:rsidRPr="00802693">
        <w:rPr>
          <w:iCs/>
          <w:kern w:val="22"/>
          <w:szCs w:val="22"/>
          <w:lang w:val="fr-CA"/>
        </w:rPr>
        <w:t xml:space="preserve">devrait être utilisé en tant que plan stratégique pour la mise en œuvre de la Convention </w:t>
      </w:r>
      <w:r w:rsidR="00833DE3" w:rsidRPr="00802693">
        <w:rPr>
          <w:iCs/>
          <w:kern w:val="22"/>
          <w:szCs w:val="22"/>
          <w:lang w:val="fr-CA"/>
        </w:rPr>
        <w:t>sur la diversité biologique</w:t>
      </w:r>
      <w:r w:rsidR="00833DE3" w:rsidRPr="00802693">
        <w:rPr>
          <w:rStyle w:val="FootnoteReference"/>
          <w:iCs/>
          <w:kern w:val="22"/>
          <w:szCs w:val="22"/>
          <w:lang w:val="fr-CA"/>
        </w:rPr>
        <w:footnoteReference w:id="5"/>
      </w:r>
      <w:r w:rsidR="00833DE3" w:rsidRPr="00802693">
        <w:rPr>
          <w:iCs/>
          <w:kern w:val="22"/>
          <w:szCs w:val="22"/>
          <w:lang w:val="fr-CA"/>
        </w:rPr>
        <w:t xml:space="preserve"> </w:t>
      </w:r>
      <w:r w:rsidRPr="00802693">
        <w:rPr>
          <w:iCs/>
          <w:kern w:val="22"/>
          <w:szCs w:val="22"/>
          <w:lang w:val="fr-CA"/>
        </w:rPr>
        <w:t>et de ses Protocoles, ses organes et le Secrétariat au cours de la période 2022-2030</w:t>
      </w:r>
      <w:r w:rsidR="00425593" w:rsidRPr="00802693">
        <w:rPr>
          <w:iCs/>
          <w:snapToGrid w:val="0"/>
          <w:kern w:val="22"/>
          <w:szCs w:val="22"/>
          <w:lang w:val="fr-CA"/>
        </w:rPr>
        <w:t>,</w:t>
      </w:r>
    </w:p>
    <w:p w14:paraId="3D574290" w14:textId="77777777" w:rsidR="00A1673D" w:rsidRPr="00802693" w:rsidRDefault="00DE3105" w:rsidP="000C7E42">
      <w:pPr>
        <w:tabs>
          <w:tab w:val="left" w:pos="1701"/>
        </w:tabs>
        <w:spacing w:before="120" w:after="120"/>
        <w:ind w:left="1170" w:firstLine="630"/>
        <w:rPr>
          <w:iCs/>
          <w:snapToGrid w:val="0"/>
          <w:kern w:val="22"/>
          <w:szCs w:val="22"/>
          <w:lang w:val="fr-CA"/>
        </w:rPr>
      </w:pPr>
      <w:r w:rsidRPr="00802693">
        <w:rPr>
          <w:i/>
          <w:kern w:val="22"/>
          <w:szCs w:val="22"/>
          <w:lang w:val="fr-CA"/>
        </w:rPr>
        <w:t xml:space="preserve">Rappelant également </w:t>
      </w:r>
      <w:r w:rsidRPr="00802693">
        <w:rPr>
          <w:kern w:val="22"/>
          <w:szCs w:val="22"/>
          <w:lang w:val="fr-CA"/>
        </w:rPr>
        <w:t xml:space="preserve">sa décision </w:t>
      </w:r>
      <w:hyperlink r:id="rId15" w:history="1">
        <w:r w:rsidRPr="00802693">
          <w:rPr>
            <w:rStyle w:val="Hyperlink"/>
            <w:kern w:val="22"/>
            <w:szCs w:val="22"/>
            <w:lang w:val="fr-CA"/>
          </w:rPr>
          <w:t>15/33</w:t>
        </w:r>
      </w:hyperlink>
      <w:r w:rsidRPr="00802693">
        <w:rPr>
          <w:kern w:val="22"/>
          <w:szCs w:val="22"/>
          <w:lang w:val="fr-CA"/>
        </w:rPr>
        <w:t xml:space="preserve"> du 19 décembre 2022</w:t>
      </w:r>
      <w:r w:rsidR="005017EF" w:rsidRPr="00802693">
        <w:rPr>
          <w:kern w:val="22"/>
          <w:szCs w:val="22"/>
          <w:lang w:val="fr-CA"/>
        </w:rPr>
        <w:t>,</w:t>
      </w:r>
      <w:r w:rsidRPr="00802693">
        <w:rPr>
          <w:kern w:val="22"/>
          <w:szCs w:val="22"/>
          <w:lang w:val="fr-CA"/>
        </w:rPr>
        <w:t xml:space="preserve"> dans laquelle elle a pris note qu</w:t>
      </w:r>
      <w:r w:rsidR="00802693" w:rsidRPr="00802693">
        <w:rPr>
          <w:kern w:val="22"/>
          <w:szCs w:val="22"/>
          <w:lang w:val="fr-CA"/>
        </w:rPr>
        <w:t>’</w:t>
      </w:r>
      <w:r w:rsidRPr="00802693">
        <w:rPr>
          <w:kern w:val="22"/>
          <w:szCs w:val="22"/>
          <w:lang w:val="fr-CA"/>
        </w:rPr>
        <w:t xml:space="preserve">elle évaluerait les progrès </w:t>
      </w:r>
      <w:r w:rsidR="00870C6B" w:rsidRPr="00802693">
        <w:rPr>
          <w:kern w:val="22"/>
          <w:szCs w:val="22"/>
          <w:lang w:val="fr-CA"/>
        </w:rPr>
        <w:t xml:space="preserve">accomplis </w:t>
      </w:r>
      <w:r w:rsidRPr="00802693">
        <w:rPr>
          <w:kern w:val="22"/>
          <w:szCs w:val="22"/>
          <w:lang w:val="fr-CA"/>
        </w:rPr>
        <w:t>dans la mise en œuvre de</w:t>
      </w:r>
      <w:r w:rsidR="00870C6B" w:rsidRPr="00802693">
        <w:rPr>
          <w:kern w:val="22"/>
          <w:szCs w:val="22"/>
          <w:lang w:val="fr-CA"/>
        </w:rPr>
        <w:t xml:space="preserve"> </w:t>
      </w:r>
      <w:r w:rsidRPr="00802693">
        <w:rPr>
          <w:kern w:val="22"/>
          <w:szCs w:val="22"/>
          <w:lang w:val="fr-CA"/>
        </w:rPr>
        <w:t xml:space="preserve">la Convention et du Cadre </w:t>
      </w:r>
      <w:r w:rsidR="00870C6B" w:rsidRPr="00802693">
        <w:rPr>
          <w:kern w:val="22"/>
          <w:szCs w:val="22"/>
          <w:lang w:val="fr-CA"/>
        </w:rPr>
        <w:t>à chacune de ses ré</w:t>
      </w:r>
      <w:r w:rsidRPr="00802693">
        <w:rPr>
          <w:kern w:val="22"/>
          <w:szCs w:val="22"/>
          <w:lang w:val="fr-CA"/>
        </w:rPr>
        <w:t>unions jusqu</w:t>
      </w:r>
      <w:r w:rsidR="00802693" w:rsidRPr="00802693">
        <w:rPr>
          <w:kern w:val="22"/>
          <w:szCs w:val="22"/>
          <w:lang w:val="fr-CA"/>
        </w:rPr>
        <w:t>’</w:t>
      </w:r>
      <w:r w:rsidR="00870C6B" w:rsidRPr="00802693">
        <w:rPr>
          <w:kern w:val="22"/>
          <w:szCs w:val="22"/>
          <w:lang w:val="fr-CA"/>
        </w:rPr>
        <w:t>en 2030 et a décid</w:t>
      </w:r>
      <w:r w:rsidRPr="00802693">
        <w:rPr>
          <w:kern w:val="22"/>
          <w:szCs w:val="22"/>
          <w:lang w:val="fr-CA"/>
        </w:rPr>
        <w:t xml:space="preserve">é que </w:t>
      </w:r>
      <w:r w:rsidR="00870C6B" w:rsidRPr="00802693">
        <w:rPr>
          <w:lang w:val="fr-CA"/>
        </w:rPr>
        <w:t xml:space="preserve">la définition de nouvelles orientations </w:t>
      </w:r>
      <w:r w:rsidR="007B73A4" w:rsidRPr="00802693">
        <w:rPr>
          <w:lang w:val="fr-CA"/>
        </w:rPr>
        <w:t>aux fins d</w:t>
      </w:r>
      <w:r w:rsidR="00802693" w:rsidRPr="00802693">
        <w:rPr>
          <w:lang w:val="fr-CA"/>
        </w:rPr>
        <w:t>’</w:t>
      </w:r>
      <w:r w:rsidR="00870C6B" w:rsidRPr="00802693">
        <w:rPr>
          <w:lang w:val="fr-CA"/>
        </w:rPr>
        <w:t xml:space="preserve">élaboration </w:t>
      </w:r>
      <w:r w:rsidR="007B73A4" w:rsidRPr="00802693">
        <w:rPr>
          <w:lang w:val="fr-CA"/>
        </w:rPr>
        <w:t xml:space="preserve">et de mise en œuvre </w:t>
      </w:r>
      <w:r w:rsidR="00870C6B" w:rsidRPr="00802693">
        <w:rPr>
          <w:lang w:val="fr-CA"/>
        </w:rPr>
        <w:t xml:space="preserve">de politiques devrait contribuer à la </w:t>
      </w:r>
      <w:r w:rsidR="00870C6B" w:rsidRPr="00802693">
        <w:rPr>
          <w:lang w:val="fr-CA"/>
        </w:rPr>
        <w:lastRenderedPageBreak/>
        <w:t xml:space="preserve">réalisation des objectifs et des cibles fixés dans le Cadre mondial de la biodiversité de Kunming-Montréal, </w:t>
      </w:r>
      <w:r w:rsidR="007B73A4" w:rsidRPr="00802693">
        <w:rPr>
          <w:lang w:val="fr-CA"/>
        </w:rPr>
        <w:t>aux</w:t>
      </w:r>
      <w:r w:rsidR="00870C6B" w:rsidRPr="00802693">
        <w:rPr>
          <w:lang w:val="fr-CA"/>
        </w:rPr>
        <w:t xml:space="preserve"> résultats de l</w:t>
      </w:r>
      <w:r w:rsidR="00802693" w:rsidRPr="00802693">
        <w:rPr>
          <w:lang w:val="fr-CA"/>
        </w:rPr>
        <w:t>’</w:t>
      </w:r>
      <w:r w:rsidR="00870C6B" w:rsidRPr="00802693">
        <w:rPr>
          <w:lang w:val="fr-CA"/>
        </w:rPr>
        <w:t>analyse générale des informations contenues dans les stratégies et plans d</w:t>
      </w:r>
      <w:r w:rsidR="00802693" w:rsidRPr="00802693">
        <w:rPr>
          <w:lang w:val="fr-CA"/>
        </w:rPr>
        <w:t>’</w:t>
      </w:r>
      <w:r w:rsidR="00870C6B" w:rsidRPr="00802693">
        <w:rPr>
          <w:lang w:val="fr-CA"/>
        </w:rPr>
        <w:t xml:space="preserve">actions nationaux pour la biodiversité, y compris les objectifs nationaux, et </w:t>
      </w:r>
      <w:r w:rsidR="007B73A4" w:rsidRPr="00802693">
        <w:rPr>
          <w:lang w:val="fr-CA"/>
        </w:rPr>
        <w:t xml:space="preserve">à </w:t>
      </w:r>
      <w:r w:rsidR="00870C6B" w:rsidRPr="00802693">
        <w:rPr>
          <w:lang w:val="fr-CA"/>
        </w:rPr>
        <w:t>l</w:t>
      </w:r>
      <w:r w:rsidR="00802693" w:rsidRPr="00802693">
        <w:rPr>
          <w:lang w:val="fr-CA"/>
        </w:rPr>
        <w:t>’</w:t>
      </w:r>
      <w:r w:rsidR="00870C6B" w:rsidRPr="00802693">
        <w:rPr>
          <w:lang w:val="fr-CA"/>
        </w:rPr>
        <w:t>examen général des progrès collectifs réalisés dans l</w:t>
      </w:r>
      <w:r w:rsidR="00802693" w:rsidRPr="00802693">
        <w:rPr>
          <w:lang w:val="fr-CA"/>
        </w:rPr>
        <w:t>’</w:t>
      </w:r>
      <w:r w:rsidR="00870C6B" w:rsidRPr="00802693">
        <w:rPr>
          <w:lang w:val="fr-CA"/>
        </w:rPr>
        <w:t xml:space="preserve">application, ainsi </w:t>
      </w:r>
      <w:r w:rsidR="007B73A4" w:rsidRPr="00802693">
        <w:rPr>
          <w:lang w:val="fr-CA"/>
        </w:rPr>
        <w:t>qu</w:t>
      </w:r>
      <w:r w:rsidR="00802693" w:rsidRPr="00802693">
        <w:rPr>
          <w:lang w:val="fr-CA"/>
        </w:rPr>
        <w:t>’</w:t>
      </w:r>
      <w:r w:rsidR="007B73A4" w:rsidRPr="00802693">
        <w:rPr>
          <w:lang w:val="fr-CA"/>
        </w:rPr>
        <w:t>aux</w:t>
      </w:r>
      <w:r w:rsidR="00870C6B" w:rsidRPr="00802693">
        <w:rPr>
          <w:lang w:val="fr-CA"/>
        </w:rPr>
        <w:t xml:space="preserve"> nouvelles informations pouvant éventuellement apparaître, notamment dans le cadre d</w:t>
      </w:r>
      <w:r w:rsidR="00802693" w:rsidRPr="00802693">
        <w:rPr>
          <w:lang w:val="fr-CA"/>
        </w:rPr>
        <w:t>’</w:t>
      </w:r>
      <w:r w:rsidR="00870C6B" w:rsidRPr="00802693">
        <w:rPr>
          <w:lang w:val="fr-CA"/>
        </w:rPr>
        <w:t>évaluations scientifiques</w:t>
      </w:r>
      <w:r w:rsidR="00A1673D" w:rsidRPr="00802693">
        <w:rPr>
          <w:lang w:val="fr-CA"/>
        </w:rPr>
        <w:t>,</w:t>
      </w:r>
    </w:p>
    <w:p w14:paraId="3D574291" w14:textId="77777777" w:rsidR="00425593" w:rsidRPr="00802693" w:rsidRDefault="007C6C48" w:rsidP="00870635">
      <w:pPr>
        <w:tabs>
          <w:tab w:val="left" w:pos="1701"/>
        </w:tabs>
        <w:spacing w:before="120" w:after="120"/>
        <w:ind w:left="1170" w:firstLine="567"/>
        <w:rPr>
          <w:kern w:val="22"/>
          <w:szCs w:val="22"/>
          <w:lang w:val="fr-CA"/>
        </w:rPr>
      </w:pPr>
      <w:r w:rsidRPr="00802693">
        <w:rPr>
          <w:kern w:val="22"/>
          <w:szCs w:val="22"/>
          <w:lang w:val="fr-CA"/>
        </w:rPr>
        <w:t>1</w:t>
      </w:r>
      <w:r w:rsidR="00425593" w:rsidRPr="00802693">
        <w:rPr>
          <w:kern w:val="22"/>
          <w:szCs w:val="22"/>
          <w:lang w:val="fr-CA"/>
        </w:rPr>
        <w:t>.</w:t>
      </w:r>
      <w:r w:rsidR="00425593" w:rsidRPr="00802693">
        <w:rPr>
          <w:kern w:val="22"/>
          <w:szCs w:val="22"/>
          <w:lang w:val="fr-CA"/>
        </w:rPr>
        <w:tab/>
      </w:r>
      <w:r w:rsidR="00870C6B" w:rsidRPr="00802693">
        <w:rPr>
          <w:i/>
          <w:kern w:val="22"/>
          <w:szCs w:val="22"/>
          <w:lang w:val="fr-CA"/>
        </w:rPr>
        <w:t>Décide</w:t>
      </w:r>
      <w:r w:rsidR="00425593" w:rsidRPr="00802693">
        <w:rPr>
          <w:kern w:val="22"/>
          <w:szCs w:val="22"/>
          <w:lang w:val="fr-CA"/>
        </w:rPr>
        <w:t xml:space="preserve"> </w:t>
      </w:r>
      <w:r w:rsidR="00870C6B" w:rsidRPr="00802693">
        <w:rPr>
          <w:kern w:val="22"/>
          <w:szCs w:val="22"/>
          <w:lang w:val="fr-CA"/>
        </w:rPr>
        <w:t>d</w:t>
      </w:r>
      <w:r w:rsidR="00802693" w:rsidRPr="00802693">
        <w:rPr>
          <w:kern w:val="22"/>
          <w:szCs w:val="22"/>
          <w:lang w:val="fr-CA"/>
        </w:rPr>
        <w:t>’</w:t>
      </w:r>
      <w:r w:rsidR="00870C6B" w:rsidRPr="00802693">
        <w:rPr>
          <w:kern w:val="22"/>
          <w:szCs w:val="22"/>
          <w:lang w:val="fr-CA"/>
        </w:rPr>
        <w:t>actualiser son programme de travail pluriannuel jusqu</w:t>
      </w:r>
      <w:r w:rsidR="00802693" w:rsidRPr="00802693">
        <w:rPr>
          <w:kern w:val="22"/>
          <w:szCs w:val="22"/>
          <w:lang w:val="fr-CA"/>
        </w:rPr>
        <w:t>’</w:t>
      </w:r>
      <w:r w:rsidR="00870C6B" w:rsidRPr="00802693">
        <w:rPr>
          <w:kern w:val="22"/>
          <w:szCs w:val="22"/>
          <w:lang w:val="fr-CA"/>
        </w:rPr>
        <w:t>en 2030 en fonction de la liste des questions annexée à la présente décision</w:t>
      </w:r>
      <w:r w:rsidR="00802693" w:rsidRPr="00802693">
        <w:rPr>
          <w:kern w:val="22"/>
          <w:szCs w:val="22"/>
          <w:lang w:val="fr-CA"/>
        </w:rPr>
        <w:t>;</w:t>
      </w:r>
    </w:p>
    <w:p w14:paraId="3D574292" w14:textId="57072721" w:rsidR="005017EF" w:rsidRPr="00802693" w:rsidRDefault="005017EF" w:rsidP="00870635">
      <w:pPr>
        <w:tabs>
          <w:tab w:val="left" w:pos="1701"/>
        </w:tabs>
        <w:spacing w:before="120" w:after="120"/>
        <w:ind w:left="1170" w:firstLine="630"/>
        <w:rPr>
          <w:kern w:val="22"/>
          <w:szCs w:val="22"/>
          <w:lang w:val="fr-CA"/>
        </w:rPr>
      </w:pPr>
      <w:r w:rsidRPr="00802693">
        <w:rPr>
          <w:kern w:val="22"/>
          <w:szCs w:val="22"/>
          <w:lang w:val="fr-CA"/>
        </w:rPr>
        <w:t>2.</w:t>
      </w:r>
      <w:r w:rsidRPr="00802693">
        <w:rPr>
          <w:kern w:val="22"/>
          <w:szCs w:val="22"/>
          <w:lang w:val="fr-CA"/>
        </w:rPr>
        <w:tab/>
      </w:r>
      <w:r w:rsidRPr="00802693">
        <w:rPr>
          <w:i/>
          <w:kern w:val="22"/>
          <w:szCs w:val="22"/>
          <w:lang w:val="fr-CA"/>
        </w:rPr>
        <w:t>Décide également</w:t>
      </w:r>
      <w:r w:rsidRPr="00802693">
        <w:rPr>
          <w:kern w:val="22"/>
          <w:szCs w:val="22"/>
          <w:lang w:val="fr-CA"/>
        </w:rPr>
        <w:t xml:space="preserve"> </w:t>
      </w:r>
      <w:r w:rsidR="0066757A" w:rsidRPr="00802693">
        <w:rPr>
          <w:kern w:val="22"/>
          <w:szCs w:val="22"/>
          <w:lang w:val="fr-CA"/>
        </w:rPr>
        <w:t>de réviser</w:t>
      </w:r>
      <w:r w:rsidRPr="00802693">
        <w:rPr>
          <w:kern w:val="22"/>
          <w:szCs w:val="22"/>
          <w:lang w:val="fr-CA"/>
        </w:rPr>
        <w:t xml:space="preserve"> et de mettre à jour les programmes de travail et les questions intersectorielles au titre de la Convention</w:t>
      </w:r>
      <w:r w:rsidR="00870635">
        <w:rPr>
          <w:kern w:val="22"/>
          <w:szCs w:val="22"/>
          <w:lang w:val="fr-CA"/>
        </w:rPr>
        <w:t xml:space="preserve"> sur la diversité biologique</w:t>
      </w:r>
      <w:r w:rsidRPr="00802693">
        <w:rPr>
          <w:kern w:val="22"/>
          <w:szCs w:val="22"/>
          <w:lang w:val="fr-CA"/>
        </w:rPr>
        <w:t xml:space="preserve"> à ses dix-septième et dix-huitièmes réunions, en mettant l</w:t>
      </w:r>
      <w:r w:rsidR="00802693" w:rsidRPr="00802693">
        <w:rPr>
          <w:kern w:val="22"/>
          <w:szCs w:val="22"/>
          <w:lang w:val="fr-CA"/>
        </w:rPr>
        <w:t>’</w:t>
      </w:r>
      <w:r w:rsidRPr="00802693">
        <w:rPr>
          <w:kern w:val="22"/>
          <w:szCs w:val="22"/>
          <w:lang w:val="fr-CA"/>
        </w:rPr>
        <w:t xml:space="preserve">accent sur leur alignement </w:t>
      </w:r>
      <w:r w:rsidR="009F3E1F" w:rsidRPr="00802693">
        <w:rPr>
          <w:kern w:val="22"/>
          <w:szCs w:val="22"/>
          <w:lang w:val="fr-CA"/>
        </w:rPr>
        <w:t>par rapport au</w:t>
      </w:r>
      <w:r w:rsidRPr="00802693">
        <w:rPr>
          <w:kern w:val="22"/>
          <w:szCs w:val="22"/>
          <w:lang w:val="fr-CA"/>
        </w:rPr>
        <w:t xml:space="preserve"> </w:t>
      </w:r>
      <w:r w:rsidR="00870635">
        <w:rPr>
          <w:kern w:val="22"/>
          <w:szCs w:val="22"/>
          <w:lang w:val="fr-CA"/>
        </w:rPr>
        <w:t>Cadre mondial de la biodiversité de Kunming-Montréal</w:t>
      </w:r>
      <w:r w:rsidR="00321FD6" w:rsidRPr="00802693">
        <w:rPr>
          <w:kern w:val="22"/>
          <w:szCs w:val="22"/>
          <w:lang w:val="fr-CA"/>
        </w:rPr>
        <w:t xml:space="preserve"> et en n</w:t>
      </w:r>
      <w:r w:rsidR="00802693" w:rsidRPr="00802693">
        <w:rPr>
          <w:kern w:val="22"/>
          <w:szCs w:val="22"/>
          <w:lang w:val="fr-CA"/>
        </w:rPr>
        <w:t>’</w:t>
      </w:r>
      <w:r w:rsidR="00321FD6" w:rsidRPr="00802693">
        <w:rPr>
          <w:kern w:val="22"/>
          <w:szCs w:val="22"/>
          <w:lang w:val="fr-CA"/>
        </w:rPr>
        <w:t xml:space="preserve">abordant que quelques-uns de ces programmes </w:t>
      </w:r>
      <w:r w:rsidR="00712F2C">
        <w:rPr>
          <w:kern w:val="22"/>
          <w:szCs w:val="22"/>
          <w:lang w:val="fr-CA"/>
        </w:rPr>
        <w:t xml:space="preserve">de travail </w:t>
      </w:r>
      <w:r w:rsidR="00321FD6" w:rsidRPr="00802693">
        <w:rPr>
          <w:kern w:val="22"/>
          <w:szCs w:val="22"/>
          <w:lang w:val="fr-CA"/>
        </w:rPr>
        <w:t>et questions à chacune de ses réunions</w:t>
      </w:r>
      <w:r w:rsidRPr="00802693">
        <w:rPr>
          <w:kern w:val="22"/>
          <w:szCs w:val="22"/>
          <w:lang w:val="fr-CA"/>
        </w:rPr>
        <w:t xml:space="preserve">,  </w:t>
      </w:r>
    </w:p>
    <w:p w14:paraId="3D574293" w14:textId="77777777" w:rsidR="00425593" w:rsidRPr="00802693" w:rsidRDefault="00321FD6" w:rsidP="00870635">
      <w:pPr>
        <w:tabs>
          <w:tab w:val="left" w:pos="1701"/>
        </w:tabs>
        <w:spacing w:before="120" w:after="120"/>
        <w:ind w:left="1170" w:firstLine="567"/>
        <w:rPr>
          <w:snapToGrid w:val="0"/>
          <w:kern w:val="22"/>
          <w:szCs w:val="22"/>
          <w:lang w:val="fr-CA"/>
        </w:rPr>
      </w:pPr>
      <w:r w:rsidRPr="00802693">
        <w:rPr>
          <w:snapToGrid w:val="0"/>
          <w:kern w:val="22"/>
          <w:szCs w:val="22"/>
          <w:lang w:val="fr-CA"/>
        </w:rPr>
        <w:t>3</w:t>
      </w:r>
      <w:r w:rsidR="00425593" w:rsidRPr="00802693">
        <w:rPr>
          <w:snapToGrid w:val="0"/>
          <w:kern w:val="22"/>
          <w:szCs w:val="22"/>
          <w:lang w:val="fr-CA"/>
        </w:rPr>
        <w:t>.</w:t>
      </w:r>
      <w:r w:rsidR="00425593" w:rsidRPr="00802693">
        <w:rPr>
          <w:snapToGrid w:val="0"/>
          <w:kern w:val="22"/>
          <w:szCs w:val="22"/>
          <w:lang w:val="fr-CA"/>
        </w:rPr>
        <w:tab/>
      </w:r>
      <w:r w:rsidR="007B210C" w:rsidRPr="00802693">
        <w:rPr>
          <w:i/>
          <w:snapToGrid w:val="0"/>
          <w:kern w:val="22"/>
          <w:szCs w:val="22"/>
          <w:lang w:val="fr-CA"/>
        </w:rPr>
        <w:t xml:space="preserve">Décide </w:t>
      </w:r>
      <w:r w:rsidRPr="00802693">
        <w:rPr>
          <w:i/>
          <w:snapToGrid w:val="0"/>
          <w:kern w:val="22"/>
          <w:szCs w:val="22"/>
          <w:lang w:val="fr-CA"/>
        </w:rPr>
        <w:t>en outre</w:t>
      </w:r>
      <w:r w:rsidR="007B210C" w:rsidRPr="00802693">
        <w:rPr>
          <w:i/>
          <w:snapToGrid w:val="0"/>
          <w:kern w:val="22"/>
          <w:szCs w:val="22"/>
          <w:lang w:val="fr-CA"/>
        </w:rPr>
        <w:t xml:space="preserve"> </w:t>
      </w:r>
      <w:r w:rsidR="007B210C" w:rsidRPr="00802693">
        <w:rPr>
          <w:snapToGrid w:val="0"/>
          <w:kern w:val="22"/>
          <w:szCs w:val="22"/>
          <w:lang w:val="fr-CA"/>
        </w:rPr>
        <w:t>d</w:t>
      </w:r>
      <w:r w:rsidR="00802693" w:rsidRPr="00802693">
        <w:rPr>
          <w:snapToGrid w:val="0"/>
          <w:kern w:val="22"/>
          <w:szCs w:val="22"/>
          <w:lang w:val="fr-CA"/>
        </w:rPr>
        <w:t>’</w:t>
      </w:r>
      <w:r w:rsidR="007B210C" w:rsidRPr="00802693">
        <w:rPr>
          <w:snapToGrid w:val="0"/>
          <w:kern w:val="22"/>
          <w:szCs w:val="22"/>
          <w:lang w:val="fr-CA"/>
        </w:rPr>
        <w:t>aborder, à chacune de ses réunions, les points permanents conformes à ses décisions antérieures, ainsi que d</w:t>
      </w:r>
      <w:r w:rsidR="00802693" w:rsidRPr="00802693">
        <w:rPr>
          <w:snapToGrid w:val="0"/>
          <w:kern w:val="22"/>
          <w:szCs w:val="22"/>
          <w:lang w:val="fr-CA"/>
        </w:rPr>
        <w:t>’</w:t>
      </w:r>
      <w:r w:rsidR="007B210C" w:rsidRPr="00802693">
        <w:rPr>
          <w:snapToGrid w:val="0"/>
          <w:kern w:val="22"/>
          <w:szCs w:val="22"/>
          <w:lang w:val="fr-CA"/>
        </w:rPr>
        <w:t xml:space="preserve">autres points émanant de ces décisions liés à des programmes de travail et questions </w:t>
      </w:r>
      <w:r w:rsidR="0066757A" w:rsidRPr="00802693">
        <w:rPr>
          <w:snapToGrid w:val="0"/>
          <w:kern w:val="22"/>
          <w:szCs w:val="22"/>
          <w:lang w:val="fr-CA"/>
        </w:rPr>
        <w:t>inter</w:t>
      </w:r>
      <w:r w:rsidR="007B210C" w:rsidRPr="00802693">
        <w:rPr>
          <w:snapToGrid w:val="0"/>
          <w:kern w:val="22"/>
          <w:szCs w:val="22"/>
          <w:lang w:val="fr-CA"/>
        </w:rPr>
        <w:t xml:space="preserve">sectorielles particuliers, </w:t>
      </w:r>
      <w:r w:rsidRPr="00802693">
        <w:rPr>
          <w:snapToGrid w:val="0"/>
          <w:kern w:val="22"/>
          <w:szCs w:val="22"/>
          <w:lang w:val="fr-CA"/>
        </w:rPr>
        <w:t xml:space="preserve">et </w:t>
      </w:r>
      <w:r w:rsidR="007B210C" w:rsidRPr="00802693">
        <w:rPr>
          <w:snapToGrid w:val="0"/>
          <w:kern w:val="22"/>
          <w:szCs w:val="22"/>
          <w:lang w:val="fr-CA"/>
        </w:rPr>
        <w:t xml:space="preserve">que son programme de travail </w:t>
      </w:r>
      <w:r w:rsidR="006D4962" w:rsidRPr="00802693">
        <w:rPr>
          <w:snapToGrid w:val="0"/>
          <w:kern w:val="22"/>
          <w:szCs w:val="22"/>
          <w:lang w:val="fr-CA"/>
        </w:rPr>
        <w:t xml:space="preserve">pluriannuel </w:t>
      </w:r>
      <w:r w:rsidR="007B210C" w:rsidRPr="00802693">
        <w:rPr>
          <w:snapToGrid w:val="0"/>
          <w:kern w:val="22"/>
          <w:szCs w:val="22"/>
          <w:lang w:val="fr-CA"/>
        </w:rPr>
        <w:t>doit conserver suffisamment de souplesse pour accommoder les questions ou points émergents qu</w:t>
      </w:r>
      <w:r w:rsidR="00802693" w:rsidRPr="00802693">
        <w:rPr>
          <w:snapToGrid w:val="0"/>
          <w:kern w:val="22"/>
          <w:szCs w:val="22"/>
          <w:lang w:val="fr-CA"/>
        </w:rPr>
        <w:t>’</w:t>
      </w:r>
      <w:r w:rsidR="007B210C" w:rsidRPr="00802693">
        <w:rPr>
          <w:snapToGrid w:val="0"/>
          <w:kern w:val="22"/>
          <w:szCs w:val="22"/>
          <w:lang w:val="fr-CA"/>
        </w:rPr>
        <w:t>elle peut cerner</w:t>
      </w:r>
      <w:r w:rsidRPr="00802693">
        <w:rPr>
          <w:snapToGrid w:val="0"/>
          <w:kern w:val="22"/>
          <w:szCs w:val="22"/>
          <w:lang w:val="fr-CA"/>
        </w:rPr>
        <w:t>, et que pour ces raisons, elle révisera ses programmes de travail à ses dix-septième et dix-huitième réunions, afin que les modifications nécessaires puisent y être apportées</w:t>
      </w:r>
      <w:r w:rsidR="004020F4" w:rsidRPr="00802693">
        <w:rPr>
          <w:snapToGrid w:val="0"/>
          <w:szCs w:val="18"/>
          <w:lang w:val="fr-CA"/>
        </w:rPr>
        <w:t>.</w:t>
      </w:r>
    </w:p>
    <w:p w14:paraId="3D574294" w14:textId="24BB452F" w:rsidR="00817A82" w:rsidRPr="00802693" w:rsidRDefault="00817A82" w:rsidP="00E77B5F">
      <w:pPr>
        <w:keepNext/>
        <w:spacing w:before="140" w:after="140"/>
        <w:ind w:left="567"/>
        <w:jc w:val="left"/>
        <w:rPr>
          <w:b/>
          <w:bCs/>
          <w:iCs/>
          <w:sz w:val="24"/>
          <w:lang w:val="fr-CA"/>
        </w:rPr>
      </w:pPr>
      <w:bookmarkStart w:id="1" w:name="_Hlk167912407"/>
      <w:r w:rsidRPr="00802693">
        <w:rPr>
          <w:b/>
          <w:bCs/>
          <w:iCs/>
          <w:sz w:val="24"/>
          <w:lang w:val="fr-CA"/>
        </w:rPr>
        <w:t>Annex</w:t>
      </w:r>
      <w:r w:rsidR="006D4962" w:rsidRPr="00802693">
        <w:rPr>
          <w:b/>
          <w:bCs/>
          <w:iCs/>
          <w:sz w:val="24"/>
          <w:lang w:val="fr-CA"/>
        </w:rPr>
        <w:t>e</w:t>
      </w:r>
      <w:r w:rsidRPr="00802693">
        <w:rPr>
          <w:b/>
          <w:bCs/>
          <w:iCs/>
          <w:sz w:val="24"/>
          <w:lang w:val="fr-CA"/>
        </w:rPr>
        <w:t xml:space="preserve"> </w:t>
      </w:r>
    </w:p>
    <w:p w14:paraId="3D574295" w14:textId="4874F07F" w:rsidR="00817A82" w:rsidRPr="00802693" w:rsidRDefault="006D4962" w:rsidP="00E77B5F">
      <w:pPr>
        <w:pStyle w:val="Title"/>
        <w:spacing w:after="120"/>
        <w:rPr>
          <w:sz w:val="24"/>
          <w:lang w:val="fr-CA"/>
        </w:rPr>
      </w:pPr>
      <w:r w:rsidRPr="00802693">
        <w:rPr>
          <w:sz w:val="24"/>
          <w:szCs w:val="24"/>
          <w:lang w:val="fr-CA"/>
        </w:rPr>
        <w:t xml:space="preserve">Liste des principales </w:t>
      </w:r>
      <w:bookmarkEnd w:id="1"/>
      <w:r w:rsidRPr="00802693">
        <w:rPr>
          <w:sz w:val="24"/>
          <w:szCs w:val="24"/>
          <w:lang w:val="fr-CA"/>
        </w:rPr>
        <w:t xml:space="preserve">questions à aborder </w:t>
      </w:r>
      <w:r w:rsidR="0066757A" w:rsidRPr="00802693">
        <w:rPr>
          <w:sz w:val="24"/>
          <w:szCs w:val="24"/>
          <w:lang w:val="fr-CA"/>
        </w:rPr>
        <w:t>à chacune des</w:t>
      </w:r>
      <w:r w:rsidRPr="00802693">
        <w:rPr>
          <w:sz w:val="24"/>
          <w:szCs w:val="24"/>
          <w:lang w:val="fr-CA"/>
        </w:rPr>
        <w:t xml:space="preserve"> réunions de la Conférence des Parties </w:t>
      </w:r>
      <w:r w:rsidR="00712F2C">
        <w:rPr>
          <w:sz w:val="24"/>
          <w:szCs w:val="24"/>
          <w:lang w:val="fr-CA"/>
        </w:rPr>
        <w:t xml:space="preserve">à la Convention sur la diversité biologique </w:t>
      </w:r>
      <w:r w:rsidRPr="00802693">
        <w:rPr>
          <w:sz w:val="24"/>
          <w:szCs w:val="24"/>
          <w:lang w:val="fr-CA"/>
        </w:rPr>
        <w:t>au cours de la période 2023-2030</w:t>
      </w:r>
    </w:p>
    <w:tbl>
      <w:tblPr>
        <w:tblpPr w:leftFromText="180" w:rightFromText="180" w:vertAnchor="text" w:horzAnchor="margin" w:tblpY="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836"/>
      </w:tblGrid>
      <w:tr w:rsidR="00817A82" w:rsidRPr="00802693" w14:paraId="3D574298" w14:textId="77777777" w:rsidTr="00E77B5F">
        <w:trPr>
          <w:tblHeader/>
        </w:trPr>
        <w:tc>
          <w:tcPr>
            <w:tcW w:w="1514" w:type="dxa"/>
            <w:tcBorders>
              <w:top w:val="single" w:sz="4" w:space="0" w:color="auto"/>
              <w:left w:val="single" w:sz="4" w:space="0" w:color="auto"/>
              <w:bottom w:val="single" w:sz="4" w:space="0" w:color="auto"/>
              <w:right w:val="single" w:sz="4" w:space="0" w:color="auto"/>
            </w:tcBorders>
            <w:hideMark/>
          </w:tcPr>
          <w:p w14:paraId="3D574296" w14:textId="77777777" w:rsidR="00817A82" w:rsidRPr="00802693" w:rsidRDefault="006D4962" w:rsidP="00D34DFB">
            <w:pPr>
              <w:keepNext/>
              <w:spacing w:before="40" w:after="40"/>
              <w:jc w:val="left"/>
              <w:rPr>
                <w:bCs/>
                <w:i/>
                <w:iCs/>
                <w:sz w:val="20"/>
                <w:lang w:val="fr-CA"/>
              </w:rPr>
            </w:pPr>
            <w:r w:rsidRPr="00802693">
              <w:rPr>
                <w:bCs/>
                <w:i/>
                <w:iCs/>
                <w:sz w:val="20"/>
                <w:szCs w:val="22"/>
                <w:lang w:val="fr-CA"/>
              </w:rPr>
              <w:t xml:space="preserve">Réunion de la Conférence des Parties </w:t>
            </w:r>
          </w:p>
        </w:tc>
        <w:tc>
          <w:tcPr>
            <w:tcW w:w="7836" w:type="dxa"/>
            <w:tcBorders>
              <w:top w:val="single" w:sz="4" w:space="0" w:color="auto"/>
              <w:left w:val="single" w:sz="4" w:space="0" w:color="auto"/>
              <w:bottom w:val="single" w:sz="4" w:space="0" w:color="auto"/>
              <w:right w:val="single" w:sz="4" w:space="0" w:color="auto"/>
            </w:tcBorders>
            <w:hideMark/>
          </w:tcPr>
          <w:p w14:paraId="3D574297" w14:textId="77777777" w:rsidR="00817A82" w:rsidRPr="00802693" w:rsidRDefault="006D4962" w:rsidP="00D34DFB">
            <w:pPr>
              <w:keepNext/>
              <w:spacing w:before="40" w:after="40"/>
              <w:jc w:val="left"/>
              <w:rPr>
                <w:bCs/>
                <w:i/>
                <w:iCs/>
                <w:sz w:val="20"/>
                <w:lang w:val="fr-CA"/>
              </w:rPr>
            </w:pPr>
            <w:r w:rsidRPr="00802693">
              <w:rPr>
                <w:bCs/>
                <w:i/>
                <w:iCs/>
                <w:sz w:val="20"/>
                <w:szCs w:val="22"/>
                <w:lang w:val="fr-CA"/>
              </w:rPr>
              <w:t>Questions stratégiques</w:t>
            </w:r>
          </w:p>
        </w:tc>
      </w:tr>
      <w:tr w:rsidR="00817A82" w:rsidRPr="004469AB" w14:paraId="3D5742AD" w14:textId="77777777" w:rsidTr="00817A82">
        <w:tc>
          <w:tcPr>
            <w:tcW w:w="1514" w:type="dxa"/>
            <w:tcBorders>
              <w:top w:val="single" w:sz="4" w:space="0" w:color="auto"/>
              <w:left w:val="single" w:sz="4" w:space="0" w:color="auto"/>
              <w:bottom w:val="single" w:sz="4" w:space="0" w:color="auto"/>
              <w:right w:val="single" w:sz="4" w:space="0" w:color="auto"/>
            </w:tcBorders>
          </w:tcPr>
          <w:p w14:paraId="3D574299" w14:textId="493B0FA7" w:rsidR="00817A82" w:rsidRPr="00802693" w:rsidRDefault="006D4962" w:rsidP="00712F2C">
            <w:pPr>
              <w:keepNext/>
              <w:spacing w:before="40" w:after="40"/>
              <w:jc w:val="left"/>
              <w:rPr>
                <w:sz w:val="20"/>
                <w:lang w:val="fr-CA"/>
              </w:rPr>
            </w:pPr>
            <w:r w:rsidRPr="00802693">
              <w:rPr>
                <w:sz w:val="20"/>
                <w:szCs w:val="22"/>
                <w:lang w:val="fr-CA"/>
              </w:rPr>
              <w:t xml:space="preserve">Dix-septième </w:t>
            </w:r>
            <w:r w:rsidR="00817A82" w:rsidRPr="00802693">
              <w:rPr>
                <w:sz w:val="20"/>
                <w:szCs w:val="22"/>
                <w:lang w:val="fr-CA"/>
              </w:rPr>
              <w:t>(2026)</w:t>
            </w:r>
          </w:p>
        </w:tc>
        <w:tc>
          <w:tcPr>
            <w:tcW w:w="7836" w:type="dxa"/>
            <w:tcBorders>
              <w:top w:val="single" w:sz="4" w:space="0" w:color="auto"/>
              <w:left w:val="single" w:sz="4" w:space="0" w:color="auto"/>
              <w:bottom w:val="single" w:sz="4" w:space="0" w:color="auto"/>
              <w:right w:val="single" w:sz="4" w:space="0" w:color="auto"/>
            </w:tcBorders>
          </w:tcPr>
          <w:p w14:paraId="3D57429A" w14:textId="76D2B4CE" w:rsidR="0066757A" w:rsidRPr="00802693" w:rsidRDefault="00567AFA" w:rsidP="00B001EB">
            <w:pPr>
              <w:keepNext/>
              <w:spacing w:before="40" w:after="40"/>
              <w:ind w:left="360" w:hanging="360"/>
              <w:jc w:val="left"/>
              <w:rPr>
                <w:noProof/>
                <w:sz w:val="20"/>
                <w:lang w:val="fr-CA"/>
              </w:rPr>
            </w:pPr>
            <w:r w:rsidRPr="00802693">
              <w:rPr>
                <w:sz w:val="20"/>
                <w:szCs w:val="22"/>
                <w:lang w:val="fr-CA"/>
              </w:rPr>
              <w:t>a)</w:t>
            </w:r>
            <w:r w:rsidR="00817A82" w:rsidRPr="00802693">
              <w:rPr>
                <w:sz w:val="20"/>
                <w:szCs w:val="22"/>
                <w:lang w:val="fr-CA"/>
              </w:rPr>
              <w:tab/>
            </w:r>
            <w:r w:rsidR="0066757A" w:rsidRPr="00802693">
              <w:rPr>
                <w:sz w:val="20"/>
                <w:szCs w:val="22"/>
                <w:lang w:val="fr-CA"/>
              </w:rPr>
              <w:t>Examen général de l</w:t>
            </w:r>
            <w:r w:rsidR="00802693" w:rsidRPr="00802693">
              <w:rPr>
                <w:sz w:val="20"/>
                <w:szCs w:val="22"/>
                <w:lang w:val="fr-CA"/>
              </w:rPr>
              <w:t>’</w:t>
            </w:r>
            <w:r w:rsidR="0066757A" w:rsidRPr="00802693">
              <w:rPr>
                <w:sz w:val="20"/>
                <w:szCs w:val="22"/>
                <w:lang w:val="fr-CA"/>
              </w:rPr>
              <w:t>information contenue dans les stratégies et plans d</w:t>
            </w:r>
            <w:r w:rsidR="00802693" w:rsidRPr="00802693">
              <w:rPr>
                <w:sz w:val="20"/>
                <w:szCs w:val="22"/>
                <w:lang w:val="fr-CA"/>
              </w:rPr>
              <w:t>’</w:t>
            </w:r>
            <w:r w:rsidR="0066757A" w:rsidRPr="00802693">
              <w:rPr>
                <w:sz w:val="20"/>
                <w:szCs w:val="22"/>
                <w:lang w:val="fr-CA"/>
              </w:rPr>
              <w:t>action nationaux pour la biodiversité, dont les cibles nationales, afin d</w:t>
            </w:r>
            <w:r w:rsidR="00802693" w:rsidRPr="00802693">
              <w:rPr>
                <w:sz w:val="20"/>
                <w:szCs w:val="22"/>
                <w:lang w:val="fr-CA"/>
              </w:rPr>
              <w:t>’</w:t>
            </w:r>
            <w:r w:rsidR="00712F2C">
              <w:rPr>
                <w:sz w:val="20"/>
                <w:szCs w:val="22"/>
                <w:lang w:val="fr-CA"/>
              </w:rPr>
              <w:t>évaluer la contribution à la mise en œuvre d</w:t>
            </w:r>
            <w:r w:rsidR="0066757A" w:rsidRPr="00802693">
              <w:rPr>
                <w:sz w:val="20"/>
                <w:szCs w:val="22"/>
                <w:lang w:val="fr-CA"/>
              </w:rPr>
              <w:t>u Cadre mondial de la biodiversité de Kunming-</w:t>
            </w:r>
            <w:r w:rsidR="0066757A" w:rsidRPr="00802693">
              <w:rPr>
                <w:noProof/>
                <w:sz w:val="20"/>
                <w:szCs w:val="22"/>
                <w:lang w:val="fr-CA"/>
              </w:rPr>
              <w:t>Montréal</w:t>
            </w:r>
            <w:r w:rsidR="00712F2C">
              <w:rPr>
                <w:noProof/>
                <w:sz w:val="20"/>
                <w:szCs w:val="22"/>
                <w:lang w:val="fr-CA"/>
              </w:rPr>
              <w:t xml:space="preserve"> </w:t>
            </w:r>
            <w:r w:rsidR="00802693" w:rsidRPr="00802693">
              <w:rPr>
                <w:noProof/>
                <w:sz w:val="20"/>
                <w:szCs w:val="22"/>
                <w:lang w:val="fr-CA"/>
              </w:rPr>
              <w:t>;</w:t>
            </w:r>
          </w:p>
          <w:p w14:paraId="3D57429B" w14:textId="0C6F2931" w:rsidR="00817A82" w:rsidRPr="00802693" w:rsidRDefault="0066757A" w:rsidP="00B001EB">
            <w:pPr>
              <w:keepNext/>
              <w:spacing w:before="40" w:after="40"/>
              <w:ind w:left="360" w:hanging="360"/>
              <w:jc w:val="left"/>
              <w:rPr>
                <w:iCs/>
                <w:noProof/>
                <w:snapToGrid w:val="0"/>
                <w:sz w:val="20"/>
                <w:lang w:val="fr-CA"/>
              </w:rPr>
            </w:pPr>
            <w:r w:rsidRPr="00802693">
              <w:rPr>
                <w:noProof/>
                <w:sz w:val="20"/>
                <w:szCs w:val="22"/>
                <w:lang w:val="fr-CA"/>
              </w:rPr>
              <w:t>b)</w:t>
            </w:r>
            <w:r w:rsidRPr="00802693">
              <w:rPr>
                <w:noProof/>
                <w:sz w:val="20"/>
                <w:szCs w:val="22"/>
                <w:lang w:val="fr-CA"/>
              </w:rPr>
              <w:tab/>
            </w:r>
            <w:r w:rsidR="00DE2B07" w:rsidRPr="00802693">
              <w:rPr>
                <w:noProof/>
                <w:sz w:val="20"/>
                <w:szCs w:val="22"/>
                <w:lang w:val="fr-CA"/>
              </w:rPr>
              <w:t xml:space="preserve">Examen </w:t>
            </w:r>
            <w:r w:rsidR="00A8725D" w:rsidRPr="00802693">
              <w:rPr>
                <w:noProof/>
                <w:sz w:val="20"/>
                <w:szCs w:val="22"/>
                <w:lang w:val="fr-CA"/>
              </w:rPr>
              <w:t>général de la mise en œuvre du C</w:t>
            </w:r>
            <w:r w:rsidR="00DE2B07" w:rsidRPr="00802693">
              <w:rPr>
                <w:noProof/>
                <w:sz w:val="20"/>
                <w:szCs w:val="22"/>
                <w:lang w:val="fr-CA"/>
              </w:rPr>
              <w:t>adre et des moyens connexes de mise en œuvre sur la base, entre autres, des septièmes rapports nationaux</w:t>
            </w:r>
            <w:r w:rsidR="00712F2C">
              <w:rPr>
                <w:noProof/>
                <w:sz w:val="20"/>
                <w:szCs w:val="22"/>
                <w:lang w:val="fr-CA"/>
              </w:rPr>
              <w:t xml:space="preserve"> </w:t>
            </w:r>
            <w:r w:rsidR="00802693" w:rsidRPr="00802693">
              <w:rPr>
                <w:noProof/>
                <w:sz w:val="20"/>
                <w:szCs w:val="22"/>
                <w:lang w:val="fr-CA"/>
              </w:rPr>
              <w:t>;</w:t>
            </w:r>
            <w:r w:rsidR="009F080D" w:rsidRPr="00802693">
              <w:rPr>
                <w:i/>
                <w:iCs/>
                <w:noProof/>
                <w:snapToGrid w:val="0"/>
                <w:sz w:val="20"/>
                <w:szCs w:val="22"/>
                <w:vertAlign w:val="superscript"/>
                <w:lang w:val="fr-CA"/>
              </w:rPr>
              <w:t>a</w:t>
            </w:r>
          </w:p>
          <w:p w14:paraId="3D57429C" w14:textId="1F8BF513" w:rsidR="009166BB" w:rsidRPr="00802693" w:rsidRDefault="009166BB" w:rsidP="00B001EB">
            <w:pPr>
              <w:keepNext/>
              <w:spacing w:before="40" w:after="40"/>
              <w:ind w:left="360" w:hanging="360"/>
              <w:jc w:val="left"/>
              <w:rPr>
                <w:sz w:val="20"/>
                <w:lang w:val="fr-CA"/>
              </w:rPr>
            </w:pPr>
            <w:r w:rsidRPr="00802693">
              <w:rPr>
                <w:iCs/>
                <w:noProof/>
                <w:snapToGrid w:val="0"/>
                <w:sz w:val="20"/>
                <w:szCs w:val="22"/>
                <w:lang w:val="fr-CA"/>
              </w:rPr>
              <w:t>c)</w:t>
            </w:r>
            <w:r w:rsidRPr="00802693">
              <w:rPr>
                <w:iCs/>
                <w:noProof/>
                <w:snapToGrid w:val="0"/>
                <w:sz w:val="20"/>
                <w:szCs w:val="22"/>
                <w:lang w:val="fr-CA"/>
              </w:rPr>
              <w:tab/>
              <w:t>Examen de la mise en œuvre du cadre de suivi</w:t>
            </w:r>
            <w:r w:rsidRPr="00802693">
              <w:rPr>
                <w:iCs/>
                <w:snapToGrid w:val="0"/>
                <w:sz w:val="20"/>
                <w:szCs w:val="22"/>
                <w:lang w:val="fr-CA"/>
              </w:rPr>
              <w:t xml:space="preserve"> du Cadre mondial de la biodiversité de Kunming-Montréal</w:t>
            </w:r>
            <w:proofErr w:type="gramStart"/>
            <w:r w:rsidR="00712F2C">
              <w:rPr>
                <w:iCs/>
                <w:snapToGrid w:val="0"/>
                <w:sz w:val="20"/>
                <w:szCs w:val="22"/>
                <w:lang w:val="fr-CA"/>
              </w:rPr>
              <w:t xml:space="preserve"> </w:t>
            </w:r>
            <w:r w:rsidR="00802693" w:rsidRPr="00802693">
              <w:rPr>
                <w:iCs/>
                <w:snapToGrid w:val="0"/>
                <w:sz w:val="20"/>
                <w:szCs w:val="22"/>
                <w:lang w:val="fr-CA"/>
              </w:rPr>
              <w:t>;</w:t>
            </w:r>
            <w:r w:rsidR="00712F2C" w:rsidRPr="00712F2C">
              <w:rPr>
                <w:i/>
                <w:iCs/>
                <w:snapToGrid w:val="0"/>
                <w:sz w:val="20"/>
                <w:szCs w:val="22"/>
                <w:vertAlign w:val="superscript"/>
                <w:lang w:val="fr-CA"/>
              </w:rPr>
              <w:t>b</w:t>
            </w:r>
            <w:proofErr w:type="gramEnd"/>
          </w:p>
          <w:p w14:paraId="3D57429D" w14:textId="6FA2CD36" w:rsidR="00817A82" w:rsidRPr="00802693" w:rsidRDefault="009166BB" w:rsidP="00D34DFB">
            <w:pPr>
              <w:keepNext/>
              <w:spacing w:before="40" w:after="40"/>
              <w:ind w:left="360" w:hanging="360"/>
              <w:jc w:val="left"/>
              <w:rPr>
                <w:snapToGrid w:val="0"/>
                <w:sz w:val="20"/>
                <w:lang w:val="fr-CA"/>
              </w:rPr>
            </w:pPr>
            <w:r w:rsidRPr="00802693">
              <w:rPr>
                <w:snapToGrid w:val="0"/>
                <w:sz w:val="20"/>
                <w:szCs w:val="22"/>
                <w:lang w:val="fr-CA"/>
              </w:rPr>
              <w:t>d)</w:t>
            </w:r>
            <w:r w:rsidR="00817A82" w:rsidRPr="00802693">
              <w:rPr>
                <w:snapToGrid w:val="0"/>
                <w:sz w:val="20"/>
                <w:szCs w:val="22"/>
                <w:lang w:val="fr-CA"/>
              </w:rPr>
              <w:tab/>
            </w:r>
            <w:r w:rsidR="00DE2B07" w:rsidRPr="00802693">
              <w:rPr>
                <w:sz w:val="20"/>
                <w:szCs w:val="22"/>
                <w:lang w:val="fr-CA"/>
              </w:rPr>
              <w:t>Actions stratégiques visant à renforcer la mise e</w:t>
            </w:r>
            <w:r w:rsidR="00A8725D" w:rsidRPr="00802693">
              <w:rPr>
                <w:sz w:val="20"/>
                <w:szCs w:val="22"/>
                <w:lang w:val="fr-CA"/>
              </w:rPr>
              <w:t xml:space="preserve">n œuvre de la Convention </w:t>
            </w:r>
            <w:r w:rsidR="00E97AE8">
              <w:rPr>
                <w:sz w:val="20"/>
                <w:szCs w:val="22"/>
                <w:lang w:val="fr-CA"/>
              </w:rPr>
              <w:t xml:space="preserve">sur la diversité biologique </w:t>
            </w:r>
            <w:r w:rsidR="00A8725D" w:rsidRPr="00802693">
              <w:rPr>
                <w:sz w:val="20"/>
                <w:szCs w:val="22"/>
                <w:lang w:val="fr-CA"/>
              </w:rPr>
              <w:t>et du C</w:t>
            </w:r>
            <w:r w:rsidR="00DE2B07" w:rsidRPr="00802693">
              <w:rPr>
                <w:sz w:val="20"/>
                <w:szCs w:val="22"/>
                <w:lang w:val="fr-CA"/>
              </w:rPr>
              <w:t>adre mondial de la biodiversité de Kunming-Montréal, y compris en lien avec les moyens de mise en œuvre</w:t>
            </w:r>
            <w:r w:rsidR="00712F2C">
              <w:rPr>
                <w:sz w:val="20"/>
                <w:szCs w:val="22"/>
                <w:lang w:val="fr-CA"/>
              </w:rPr>
              <w:t xml:space="preserve"> </w:t>
            </w:r>
            <w:r w:rsidR="00802693" w:rsidRPr="00802693">
              <w:rPr>
                <w:sz w:val="20"/>
                <w:szCs w:val="22"/>
                <w:lang w:val="fr-CA"/>
              </w:rPr>
              <w:t>;</w:t>
            </w:r>
          </w:p>
          <w:p w14:paraId="3D57429E" w14:textId="2CDDBD5B" w:rsidR="009166BB" w:rsidRPr="00802693" w:rsidRDefault="009166BB" w:rsidP="00D34DFB">
            <w:pPr>
              <w:keepNext/>
              <w:spacing w:before="40" w:after="40"/>
              <w:ind w:left="360" w:hanging="360"/>
              <w:jc w:val="left"/>
              <w:rPr>
                <w:noProof/>
                <w:snapToGrid w:val="0"/>
                <w:sz w:val="20"/>
                <w:lang w:val="fr-CA"/>
              </w:rPr>
            </w:pPr>
            <w:r w:rsidRPr="00802693">
              <w:rPr>
                <w:snapToGrid w:val="0"/>
                <w:sz w:val="20"/>
                <w:szCs w:val="22"/>
                <w:lang w:val="fr-CA"/>
              </w:rPr>
              <w:t>e)</w:t>
            </w:r>
            <w:r w:rsidRPr="00802693">
              <w:rPr>
                <w:snapToGrid w:val="0"/>
                <w:sz w:val="20"/>
                <w:szCs w:val="22"/>
                <w:lang w:val="fr-CA"/>
              </w:rPr>
              <w:tab/>
            </w:r>
            <w:r w:rsidRPr="00802693">
              <w:rPr>
                <w:noProof/>
                <w:snapToGrid w:val="0"/>
                <w:sz w:val="20"/>
                <w:szCs w:val="22"/>
                <w:lang w:val="fr-CA"/>
              </w:rPr>
              <w:t>Travaux plus poussés sur les outils et les orientations liés à l</w:t>
            </w:r>
            <w:r w:rsidR="00802693" w:rsidRPr="00802693">
              <w:rPr>
                <w:noProof/>
                <w:snapToGrid w:val="0"/>
                <w:sz w:val="20"/>
                <w:szCs w:val="22"/>
                <w:lang w:val="fr-CA"/>
              </w:rPr>
              <w:t>’</w:t>
            </w:r>
            <w:r w:rsidRPr="00802693">
              <w:rPr>
                <w:noProof/>
                <w:snapToGrid w:val="0"/>
                <w:sz w:val="20"/>
                <w:szCs w:val="22"/>
                <w:lang w:val="fr-CA"/>
              </w:rPr>
              <w:t>intégration de la biodiversité</w:t>
            </w:r>
            <w:r w:rsidR="00E97AE8">
              <w:rPr>
                <w:noProof/>
                <w:snapToGrid w:val="0"/>
                <w:sz w:val="20"/>
                <w:szCs w:val="22"/>
                <w:lang w:val="fr-CA"/>
              </w:rPr>
              <w:t> </w:t>
            </w:r>
            <w:r w:rsidR="00802693" w:rsidRPr="00802693">
              <w:rPr>
                <w:noProof/>
                <w:snapToGrid w:val="0"/>
                <w:sz w:val="20"/>
                <w:szCs w:val="22"/>
                <w:lang w:val="fr-CA"/>
              </w:rPr>
              <w:t>;</w:t>
            </w:r>
            <w:r w:rsidR="00E97AE8">
              <w:rPr>
                <w:i/>
                <w:iCs/>
                <w:noProof/>
                <w:color w:val="000000"/>
                <w:sz w:val="20"/>
                <w:szCs w:val="20"/>
                <w:vertAlign w:val="superscript"/>
                <w:lang w:val="fr-CA"/>
              </w:rPr>
              <w:t>c</w:t>
            </w:r>
          </w:p>
          <w:p w14:paraId="3D57429F" w14:textId="0E39F5F7" w:rsidR="004A1B66" w:rsidRPr="00802693" w:rsidRDefault="009166BB" w:rsidP="004378B1">
            <w:pPr>
              <w:keepNext/>
              <w:spacing w:before="40" w:after="40"/>
              <w:ind w:left="360" w:hanging="360"/>
              <w:jc w:val="left"/>
              <w:rPr>
                <w:snapToGrid w:val="0"/>
                <w:sz w:val="20"/>
                <w:lang w:val="fr-CA"/>
              </w:rPr>
            </w:pPr>
            <w:r w:rsidRPr="00802693">
              <w:rPr>
                <w:sz w:val="20"/>
                <w:szCs w:val="22"/>
                <w:lang w:val="fr-CA"/>
              </w:rPr>
              <w:t>f</w:t>
            </w:r>
            <w:r w:rsidR="00CD4A98" w:rsidRPr="00802693">
              <w:rPr>
                <w:sz w:val="20"/>
                <w:szCs w:val="22"/>
                <w:lang w:val="fr-CA"/>
              </w:rPr>
              <w:t>)</w:t>
            </w:r>
            <w:r w:rsidR="00817A82" w:rsidRPr="00802693">
              <w:rPr>
                <w:sz w:val="20"/>
                <w:szCs w:val="22"/>
                <w:lang w:val="fr-CA"/>
              </w:rPr>
              <w:tab/>
            </w:r>
            <w:r w:rsidR="00DE2B07" w:rsidRPr="00802693">
              <w:rPr>
                <w:sz w:val="20"/>
                <w:szCs w:val="22"/>
                <w:lang w:val="fr-CA"/>
              </w:rPr>
              <w:t xml:space="preserve">Conséquences sur les travaux de la Convention </w:t>
            </w:r>
            <w:r w:rsidR="00963684">
              <w:rPr>
                <w:sz w:val="20"/>
                <w:szCs w:val="22"/>
                <w:lang w:val="fr-CA"/>
              </w:rPr>
              <w:t>des</w:t>
            </w:r>
            <w:r w:rsidR="009E3E78" w:rsidRPr="00802693">
              <w:rPr>
                <w:sz w:val="20"/>
                <w:szCs w:val="22"/>
                <w:lang w:val="fr-CA"/>
              </w:rPr>
              <w:t xml:space="preserve"> réalisations attendues de</w:t>
            </w:r>
            <w:r w:rsidR="00DE2B07" w:rsidRPr="00802693">
              <w:rPr>
                <w:sz w:val="20"/>
                <w:szCs w:val="22"/>
                <w:lang w:val="fr-CA"/>
              </w:rPr>
              <w:t xml:space="preserve"> la </w:t>
            </w:r>
            <w:r w:rsidR="00DE2B07" w:rsidRPr="00802693">
              <w:rPr>
                <w:noProof/>
                <w:sz w:val="20"/>
                <w:szCs w:val="22"/>
                <w:lang w:val="fr-CA"/>
              </w:rPr>
              <w:t>Plateforme intergouvernementale scientifique et politique sur la biodiversité et les services écosystémiques</w:t>
            </w:r>
            <w:r w:rsidR="009E3E78" w:rsidRPr="00802693">
              <w:rPr>
                <w:sz w:val="20"/>
                <w:szCs w:val="22"/>
                <w:lang w:val="fr-CA"/>
              </w:rPr>
              <w:t>, notamment</w:t>
            </w:r>
            <w:r w:rsidR="00DE2B07" w:rsidRPr="00802693">
              <w:rPr>
                <w:sz w:val="20"/>
                <w:szCs w:val="22"/>
                <w:lang w:val="fr-CA"/>
              </w:rPr>
              <w:t xml:space="preserve"> </w:t>
            </w:r>
            <w:r w:rsidR="004A1B66" w:rsidRPr="00802693">
              <w:rPr>
                <w:sz w:val="20"/>
                <w:szCs w:val="22"/>
                <w:lang w:val="fr-CA"/>
              </w:rPr>
              <w:t>:</w:t>
            </w:r>
          </w:p>
          <w:p w14:paraId="3D5742A0" w14:textId="793971F6" w:rsidR="004A1B66" w:rsidRPr="00802693" w:rsidRDefault="006D4962" w:rsidP="006D4962">
            <w:pPr>
              <w:pStyle w:val="Para1"/>
              <w:numPr>
                <w:ilvl w:val="0"/>
                <w:numId w:val="0"/>
              </w:numPr>
              <w:tabs>
                <w:tab w:val="clear" w:pos="1134"/>
                <w:tab w:val="left" w:pos="2268"/>
              </w:tabs>
              <w:spacing w:before="40" w:after="40"/>
              <w:ind w:left="713" w:hanging="360"/>
              <w:jc w:val="left"/>
              <w:rPr>
                <w:sz w:val="20"/>
                <w:lang w:val="fr-CA"/>
              </w:rPr>
            </w:pPr>
            <w:r w:rsidRPr="00802693">
              <w:rPr>
                <w:sz w:val="20"/>
                <w:lang w:val="fr-CA"/>
              </w:rPr>
              <w:t xml:space="preserve">i)     </w:t>
            </w:r>
            <w:r w:rsidR="00DE2B07" w:rsidRPr="00802693">
              <w:rPr>
                <w:sz w:val="20"/>
                <w:lang w:val="fr-CA"/>
              </w:rPr>
              <w:t>Évaluation thématique des liens d</w:t>
            </w:r>
            <w:r w:rsidR="00802693" w:rsidRPr="00802693">
              <w:rPr>
                <w:sz w:val="20"/>
                <w:lang w:val="fr-CA"/>
              </w:rPr>
              <w:t>’</w:t>
            </w:r>
            <w:r w:rsidR="00DE2B07" w:rsidRPr="00802693">
              <w:rPr>
                <w:sz w:val="20"/>
                <w:lang w:val="fr-CA"/>
              </w:rPr>
              <w:t>interdépendance entre la biodiversité, l</w:t>
            </w:r>
            <w:r w:rsidR="00802693" w:rsidRPr="00802693">
              <w:rPr>
                <w:sz w:val="20"/>
                <w:lang w:val="fr-CA"/>
              </w:rPr>
              <w:t>’</w:t>
            </w:r>
            <w:r w:rsidR="00DE2B07" w:rsidRPr="00802693">
              <w:rPr>
                <w:sz w:val="20"/>
                <w:lang w:val="fr-CA"/>
              </w:rPr>
              <w:t>eau, la nourriture et la santé</w:t>
            </w:r>
            <w:r w:rsidR="004A1B66" w:rsidRPr="00802693">
              <w:rPr>
                <w:sz w:val="20"/>
                <w:lang w:val="fr-CA"/>
              </w:rPr>
              <w:t xml:space="preserve"> </w:t>
            </w:r>
            <w:r w:rsidR="0051253C" w:rsidRPr="00802693">
              <w:rPr>
                <w:sz w:val="20"/>
                <w:lang w:val="fr-CA"/>
              </w:rPr>
              <w:t>(évaluation des liens)</w:t>
            </w:r>
            <w:r w:rsidR="00712F2C">
              <w:rPr>
                <w:sz w:val="20"/>
                <w:lang w:val="fr-CA"/>
              </w:rPr>
              <w:t xml:space="preserve"> </w:t>
            </w:r>
            <w:r w:rsidR="00802693" w:rsidRPr="00802693">
              <w:rPr>
                <w:sz w:val="20"/>
                <w:lang w:val="fr-CA"/>
              </w:rPr>
              <w:t>;</w:t>
            </w:r>
          </w:p>
          <w:p w14:paraId="3D5742A1" w14:textId="2BD5E148" w:rsidR="004A1B66" w:rsidRPr="00802693" w:rsidRDefault="006D4962" w:rsidP="006D4962">
            <w:pPr>
              <w:pStyle w:val="Para1"/>
              <w:numPr>
                <w:ilvl w:val="0"/>
                <w:numId w:val="0"/>
              </w:numPr>
              <w:tabs>
                <w:tab w:val="clear" w:pos="1134"/>
                <w:tab w:val="left" w:pos="2268"/>
              </w:tabs>
              <w:spacing w:before="40" w:after="40"/>
              <w:ind w:left="713" w:hanging="360"/>
              <w:jc w:val="left"/>
              <w:rPr>
                <w:sz w:val="20"/>
                <w:lang w:val="fr-CA"/>
              </w:rPr>
            </w:pPr>
            <w:r w:rsidRPr="00802693">
              <w:rPr>
                <w:sz w:val="20"/>
                <w:lang w:val="fr-CA"/>
              </w:rPr>
              <w:t xml:space="preserve">ii)    </w:t>
            </w:r>
            <w:r w:rsidR="0051253C" w:rsidRPr="00802693">
              <w:rPr>
                <w:sz w:val="20"/>
                <w:lang w:val="fr-CA"/>
              </w:rPr>
              <w:t>Évaluation thématique des causes sous-jacentes de l</w:t>
            </w:r>
            <w:r w:rsidR="00802693" w:rsidRPr="00802693">
              <w:rPr>
                <w:sz w:val="20"/>
                <w:lang w:val="fr-CA"/>
              </w:rPr>
              <w:t>’</w:t>
            </w:r>
            <w:r w:rsidR="0051253C" w:rsidRPr="00802693">
              <w:rPr>
                <w:sz w:val="20"/>
                <w:lang w:val="fr-CA"/>
              </w:rPr>
              <w:t>appauvrissement de</w:t>
            </w:r>
            <w:r w:rsidR="00F738A2" w:rsidRPr="00802693">
              <w:rPr>
                <w:sz w:val="20"/>
                <w:lang w:val="fr-CA"/>
              </w:rPr>
              <w:t xml:space="preserve"> la diversité biologique, des dé</w:t>
            </w:r>
            <w:r w:rsidR="0051253C" w:rsidRPr="00802693">
              <w:rPr>
                <w:sz w:val="20"/>
                <w:lang w:val="fr-CA"/>
              </w:rPr>
              <w:t>terminants des changements transformateurs et des moy</w:t>
            </w:r>
            <w:r w:rsidR="00A8725D" w:rsidRPr="00802693">
              <w:rPr>
                <w:sz w:val="20"/>
                <w:lang w:val="fr-CA"/>
              </w:rPr>
              <w:t>ens possibles de réaliser la Vis</w:t>
            </w:r>
            <w:r w:rsidR="0051253C" w:rsidRPr="00802693">
              <w:rPr>
                <w:sz w:val="20"/>
                <w:lang w:val="fr-CA"/>
              </w:rPr>
              <w:t>ion 2050 pour la biodiversité</w:t>
            </w:r>
            <w:r w:rsidR="00712F2C">
              <w:rPr>
                <w:sz w:val="20"/>
                <w:lang w:val="fr-CA"/>
              </w:rPr>
              <w:t xml:space="preserve"> </w:t>
            </w:r>
            <w:r w:rsidR="00802693" w:rsidRPr="00802693">
              <w:rPr>
                <w:sz w:val="20"/>
                <w:lang w:val="fr-CA"/>
              </w:rPr>
              <w:t>;</w:t>
            </w:r>
          </w:p>
          <w:p w14:paraId="3D5742A2" w14:textId="473044D2" w:rsidR="004A1B66" w:rsidRPr="00802693" w:rsidRDefault="006D4962" w:rsidP="006D4962">
            <w:pPr>
              <w:pStyle w:val="Para1"/>
              <w:numPr>
                <w:ilvl w:val="0"/>
                <w:numId w:val="0"/>
              </w:numPr>
              <w:tabs>
                <w:tab w:val="clear" w:pos="1134"/>
                <w:tab w:val="left" w:pos="2268"/>
              </w:tabs>
              <w:spacing w:before="40" w:after="40"/>
              <w:ind w:left="713" w:hanging="360"/>
              <w:jc w:val="left"/>
              <w:rPr>
                <w:sz w:val="20"/>
                <w:lang w:val="fr-CA"/>
              </w:rPr>
            </w:pPr>
            <w:r w:rsidRPr="00802693">
              <w:rPr>
                <w:sz w:val="20"/>
                <w:lang w:val="fr-CA"/>
              </w:rPr>
              <w:lastRenderedPageBreak/>
              <w:t xml:space="preserve">iii)   </w:t>
            </w:r>
            <w:r w:rsidR="0051253C" w:rsidRPr="00802693">
              <w:rPr>
                <w:sz w:val="20"/>
                <w:lang w:val="fr-CA"/>
              </w:rPr>
              <w:t>Évaluation méthodologique</w:t>
            </w:r>
            <w:r w:rsidR="003F0A6E" w:rsidRPr="00802693">
              <w:rPr>
                <w:sz w:val="20"/>
                <w:lang w:val="fr-CA"/>
              </w:rPr>
              <w:t xml:space="preserve"> des impacts et de la dépendance des activités sur la biodiversité et la contribution de la nature aux peuples</w:t>
            </w:r>
            <w:r w:rsidR="00712F2C">
              <w:rPr>
                <w:sz w:val="20"/>
                <w:lang w:val="fr-CA"/>
              </w:rPr>
              <w:t xml:space="preserve"> </w:t>
            </w:r>
            <w:r w:rsidR="00802693" w:rsidRPr="00802693">
              <w:rPr>
                <w:sz w:val="20"/>
                <w:lang w:val="fr-CA"/>
              </w:rPr>
              <w:t>;</w:t>
            </w:r>
          </w:p>
          <w:p w14:paraId="3D5742A3" w14:textId="6439D382" w:rsidR="00817A82" w:rsidRPr="00802693" w:rsidRDefault="00C91E3F" w:rsidP="004378B1">
            <w:pPr>
              <w:keepNext/>
              <w:spacing w:before="40" w:after="40"/>
              <w:ind w:left="360" w:hanging="360"/>
              <w:jc w:val="left"/>
              <w:rPr>
                <w:snapToGrid w:val="0"/>
                <w:sz w:val="20"/>
                <w:lang w:val="fr-CA"/>
              </w:rPr>
            </w:pPr>
            <w:r>
              <w:rPr>
                <w:sz w:val="20"/>
                <w:szCs w:val="22"/>
                <w:lang w:val="fr-CA"/>
              </w:rPr>
              <w:t>[</w:t>
            </w:r>
            <w:r w:rsidR="009E3E78" w:rsidRPr="00802693">
              <w:rPr>
                <w:sz w:val="20"/>
                <w:szCs w:val="22"/>
                <w:lang w:val="fr-CA"/>
              </w:rPr>
              <w:t>g</w:t>
            </w:r>
            <w:r w:rsidR="00391B4F" w:rsidRPr="00802693">
              <w:rPr>
                <w:sz w:val="20"/>
                <w:szCs w:val="22"/>
                <w:lang w:val="fr-CA"/>
              </w:rPr>
              <w:t>)</w:t>
            </w:r>
            <w:r w:rsidR="00391B4F" w:rsidRPr="00802693">
              <w:rPr>
                <w:sz w:val="20"/>
                <w:szCs w:val="22"/>
                <w:lang w:val="fr-CA"/>
              </w:rPr>
              <w:tab/>
            </w:r>
            <w:r w:rsidR="003F0A6E" w:rsidRPr="00802693">
              <w:rPr>
                <w:sz w:val="20"/>
                <w:lang w:val="fr-CA"/>
              </w:rPr>
              <w:t>Outils et orientations en appui à la mise en œuvre du Cadre</w:t>
            </w:r>
            <w:proofErr w:type="gramStart"/>
            <w:r w:rsidR="003F0A6E" w:rsidRPr="00802693">
              <w:rPr>
                <w:sz w:val="20"/>
                <w:lang w:val="fr-CA"/>
              </w:rPr>
              <w:t> </w:t>
            </w:r>
            <w:r w:rsidR="00817A82" w:rsidRPr="00802693">
              <w:rPr>
                <w:snapToGrid w:val="0"/>
                <w:sz w:val="20"/>
                <w:lang w:val="fr-CA"/>
              </w:rPr>
              <w:t>:</w:t>
            </w:r>
            <w:r w:rsidR="00E97AE8" w:rsidRPr="00E97AE8">
              <w:rPr>
                <w:i/>
                <w:snapToGrid w:val="0"/>
                <w:sz w:val="20"/>
                <w:vertAlign w:val="superscript"/>
                <w:lang w:val="fr-CA"/>
              </w:rPr>
              <w:t>d</w:t>
            </w:r>
            <w:proofErr w:type="gramEnd"/>
          </w:p>
          <w:p w14:paraId="3D5742A4" w14:textId="21CD18F0" w:rsidR="00817A82" w:rsidRPr="00802693" w:rsidRDefault="003F0A6E" w:rsidP="003F0A6E">
            <w:pPr>
              <w:pStyle w:val="Para1"/>
              <w:numPr>
                <w:ilvl w:val="0"/>
                <w:numId w:val="0"/>
              </w:numPr>
              <w:tabs>
                <w:tab w:val="clear" w:pos="1134"/>
                <w:tab w:val="left" w:pos="2268"/>
              </w:tabs>
              <w:spacing w:before="40" w:after="40"/>
              <w:ind w:left="360"/>
              <w:jc w:val="left"/>
              <w:rPr>
                <w:sz w:val="20"/>
                <w:lang w:val="fr-CA"/>
              </w:rPr>
            </w:pPr>
            <w:r w:rsidRPr="00802693">
              <w:rPr>
                <w:sz w:val="20"/>
                <w:lang w:val="fr-CA"/>
              </w:rPr>
              <w:t>i)     Planification spatiale incluant la biodiversité</w:t>
            </w:r>
            <w:r w:rsidR="00712F2C">
              <w:rPr>
                <w:sz w:val="20"/>
                <w:lang w:val="fr-CA"/>
              </w:rPr>
              <w:t xml:space="preserve"> </w:t>
            </w:r>
            <w:r w:rsidR="00802693" w:rsidRPr="00802693">
              <w:rPr>
                <w:sz w:val="20"/>
                <w:lang w:val="fr-CA"/>
              </w:rPr>
              <w:t>;</w:t>
            </w:r>
            <w:r w:rsidR="00817A82" w:rsidRPr="00802693">
              <w:rPr>
                <w:sz w:val="20"/>
                <w:lang w:val="fr-CA"/>
              </w:rPr>
              <w:t xml:space="preserve"> </w:t>
            </w:r>
          </w:p>
          <w:p w14:paraId="3D5742A5" w14:textId="54427133" w:rsidR="00817A82" w:rsidRPr="00802693" w:rsidRDefault="003F0A6E" w:rsidP="003F0A6E">
            <w:pPr>
              <w:pStyle w:val="Para1"/>
              <w:numPr>
                <w:ilvl w:val="0"/>
                <w:numId w:val="0"/>
              </w:numPr>
              <w:tabs>
                <w:tab w:val="clear" w:pos="1134"/>
                <w:tab w:val="left" w:pos="2268"/>
              </w:tabs>
              <w:spacing w:before="40" w:after="40"/>
              <w:ind w:left="713" w:hanging="360"/>
              <w:jc w:val="left"/>
              <w:rPr>
                <w:sz w:val="20"/>
                <w:lang w:val="fr-CA"/>
              </w:rPr>
            </w:pPr>
            <w:r w:rsidRPr="00802693">
              <w:rPr>
                <w:sz w:val="20"/>
                <w:lang w:val="fr-CA"/>
              </w:rPr>
              <w:t>ii)    Pollution et biodiversité</w:t>
            </w:r>
            <w:r w:rsidR="00712F2C">
              <w:rPr>
                <w:sz w:val="20"/>
                <w:lang w:val="fr-CA"/>
              </w:rPr>
              <w:t xml:space="preserve"> </w:t>
            </w:r>
            <w:r w:rsidR="00802693" w:rsidRPr="00802693">
              <w:rPr>
                <w:sz w:val="20"/>
                <w:lang w:val="fr-CA"/>
              </w:rPr>
              <w:t>;</w:t>
            </w:r>
          </w:p>
          <w:p w14:paraId="3D5742A6" w14:textId="13FD8C58" w:rsidR="00817A82" w:rsidRPr="00802693" w:rsidRDefault="003F0A6E" w:rsidP="00945F6B">
            <w:pPr>
              <w:pStyle w:val="Para1"/>
              <w:numPr>
                <w:ilvl w:val="0"/>
                <w:numId w:val="0"/>
              </w:numPr>
              <w:tabs>
                <w:tab w:val="clear" w:pos="1134"/>
                <w:tab w:val="left" w:pos="2268"/>
              </w:tabs>
              <w:spacing w:before="40" w:after="40"/>
              <w:ind w:left="713" w:hanging="360"/>
              <w:jc w:val="left"/>
              <w:rPr>
                <w:sz w:val="20"/>
                <w:lang w:val="fr-CA"/>
              </w:rPr>
            </w:pPr>
            <w:r w:rsidRPr="00802693">
              <w:rPr>
                <w:sz w:val="20"/>
                <w:lang w:val="fr-CA"/>
              </w:rPr>
              <w:t>iii)   Activités</w:t>
            </w:r>
            <w:r w:rsidR="00BC151E" w:rsidRPr="00802693">
              <w:rPr>
                <w:sz w:val="20"/>
                <w:lang w:val="fr-CA"/>
              </w:rPr>
              <w:t>, produits et services fondé</w:t>
            </w:r>
            <w:r w:rsidRPr="00802693">
              <w:rPr>
                <w:sz w:val="20"/>
                <w:lang w:val="fr-CA"/>
              </w:rPr>
              <w:t>s sur la biodiversité durable</w:t>
            </w:r>
            <w:r w:rsidR="00BC151E" w:rsidRPr="00802693">
              <w:rPr>
                <w:sz w:val="20"/>
                <w:lang w:val="fr-CA"/>
              </w:rPr>
              <w:t xml:space="preserve">, </w:t>
            </w:r>
            <w:r w:rsidR="009E3E78" w:rsidRPr="00802693">
              <w:rPr>
                <w:sz w:val="20"/>
                <w:lang w:val="fr-CA"/>
              </w:rPr>
              <w:t>qui améliorent la biodiversité</w:t>
            </w:r>
            <w:r w:rsidR="00712F2C">
              <w:rPr>
                <w:sz w:val="20"/>
                <w:lang w:val="fr-CA"/>
              </w:rPr>
              <w:t xml:space="preserve"> </w:t>
            </w:r>
            <w:r w:rsidR="00802693" w:rsidRPr="00802693">
              <w:rPr>
                <w:sz w:val="20"/>
                <w:lang w:val="fr-CA"/>
              </w:rPr>
              <w:t>;</w:t>
            </w:r>
          </w:p>
          <w:p w14:paraId="3D5742A7" w14:textId="0AFB4E43" w:rsidR="00817A82" w:rsidRPr="00802693" w:rsidRDefault="003F0A6E" w:rsidP="003F0A6E">
            <w:pPr>
              <w:pStyle w:val="Para1"/>
              <w:numPr>
                <w:ilvl w:val="0"/>
                <w:numId w:val="0"/>
              </w:numPr>
              <w:tabs>
                <w:tab w:val="clear" w:pos="1134"/>
                <w:tab w:val="left" w:pos="2268"/>
              </w:tabs>
              <w:spacing w:before="40" w:after="40"/>
              <w:ind w:left="713" w:hanging="360"/>
              <w:jc w:val="left"/>
              <w:rPr>
                <w:sz w:val="20"/>
                <w:lang w:val="fr-CA"/>
              </w:rPr>
            </w:pPr>
            <w:r w:rsidRPr="00802693">
              <w:rPr>
                <w:sz w:val="20"/>
                <w:lang w:val="fr-CA"/>
              </w:rPr>
              <w:t xml:space="preserve">iv)   </w:t>
            </w:r>
            <w:r w:rsidR="00BC151E" w:rsidRPr="00802693">
              <w:rPr>
                <w:sz w:val="20"/>
                <w:lang w:val="fr-CA"/>
              </w:rPr>
              <w:t>Approche fondée sur l</w:t>
            </w:r>
            <w:r w:rsidR="00802693" w:rsidRPr="00802693">
              <w:rPr>
                <w:sz w:val="20"/>
                <w:lang w:val="fr-CA"/>
              </w:rPr>
              <w:t>’</w:t>
            </w:r>
            <w:r w:rsidR="00BC151E" w:rsidRPr="00802693">
              <w:rPr>
                <w:sz w:val="20"/>
                <w:lang w:val="fr-CA"/>
              </w:rPr>
              <w:t>équité</w:t>
            </w:r>
            <w:r w:rsidR="009E3E78" w:rsidRPr="00802693">
              <w:rPr>
                <w:sz w:val="20"/>
                <w:lang w:val="fr-CA"/>
              </w:rPr>
              <w:t xml:space="preserve">, </w:t>
            </w:r>
            <w:r w:rsidR="003C0439" w:rsidRPr="00802693">
              <w:rPr>
                <w:sz w:val="20"/>
                <w:lang w:val="fr-CA"/>
              </w:rPr>
              <w:t>l</w:t>
            </w:r>
            <w:r w:rsidR="00802693" w:rsidRPr="00802693">
              <w:rPr>
                <w:sz w:val="20"/>
                <w:lang w:val="fr-CA"/>
              </w:rPr>
              <w:t>’</w:t>
            </w:r>
            <w:r w:rsidR="003C0439" w:rsidRPr="00802693">
              <w:rPr>
                <w:sz w:val="20"/>
                <w:lang w:val="fr-CA"/>
              </w:rPr>
              <w:t>égalité</w:t>
            </w:r>
            <w:r w:rsidR="009E3E78" w:rsidRPr="00802693">
              <w:rPr>
                <w:sz w:val="20"/>
                <w:lang w:val="fr-CA"/>
              </w:rPr>
              <w:t xml:space="preserve"> des genres </w:t>
            </w:r>
            <w:r w:rsidR="00BC151E" w:rsidRPr="00802693">
              <w:rPr>
                <w:sz w:val="20"/>
                <w:lang w:val="fr-CA"/>
              </w:rPr>
              <w:t>et les droits de la personne en matière de conservation et d</w:t>
            </w:r>
            <w:r w:rsidR="00802693" w:rsidRPr="00802693">
              <w:rPr>
                <w:sz w:val="20"/>
                <w:lang w:val="fr-CA"/>
              </w:rPr>
              <w:t>’</w:t>
            </w:r>
            <w:r w:rsidR="00BC151E" w:rsidRPr="00802693">
              <w:rPr>
                <w:sz w:val="20"/>
                <w:lang w:val="fr-CA"/>
              </w:rPr>
              <w:t>utilisation durable de la biodiversité</w:t>
            </w:r>
            <w:r w:rsidR="00712F2C">
              <w:rPr>
                <w:sz w:val="20"/>
                <w:lang w:val="fr-CA"/>
              </w:rPr>
              <w:t xml:space="preserve"> </w:t>
            </w:r>
            <w:r w:rsidR="00802693" w:rsidRPr="00802693">
              <w:rPr>
                <w:sz w:val="20"/>
                <w:lang w:val="fr-CA"/>
              </w:rPr>
              <w:t>;</w:t>
            </w:r>
            <w:r w:rsidR="00B47D8E" w:rsidRPr="00802693">
              <w:rPr>
                <w:sz w:val="20"/>
                <w:lang w:val="fr-CA"/>
              </w:rPr>
              <w:t>]</w:t>
            </w:r>
          </w:p>
          <w:p w14:paraId="3D5742A8" w14:textId="2280C042" w:rsidR="00B47D8E" w:rsidRPr="00802693" w:rsidRDefault="00B47D8E" w:rsidP="00BC151E">
            <w:pPr>
              <w:keepNext/>
              <w:spacing w:before="40" w:after="40"/>
              <w:ind w:left="360" w:hanging="360"/>
              <w:jc w:val="left"/>
              <w:rPr>
                <w:snapToGrid w:val="0"/>
                <w:sz w:val="20"/>
                <w:lang w:val="fr-CA"/>
              </w:rPr>
            </w:pPr>
            <w:r w:rsidRPr="00802693">
              <w:rPr>
                <w:snapToGrid w:val="0"/>
                <w:sz w:val="20"/>
                <w:szCs w:val="22"/>
                <w:lang w:val="fr-CA"/>
              </w:rPr>
              <w:t>h</w:t>
            </w:r>
            <w:r w:rsidR="00391B4F" w:rsidRPr="00802693">
              <w:rPr>
                <w:snapToGrid w:val="0"/>
                <w:sz w:val="20"/>
                <w:szCs w:val="22"/>
                <w:lang w:val="fr-CA"/>
              </w:rPr>
              <w:t>)</w:t>
            </w:r>
            <w:r w:rsidR="00391B4F" w:rsidRPr="00802693">
              <w:rPr>
                <w:snapToGrid w:val="0"/>
                <w:sz w:val="20"/>
                <w:szCs w:val="22"/>
                <w:lang w:val="fr-CA"/>
              </w:rPr>
              <w:tab/>
            </w:r>
            <w:r w:rsidRPr="00802693">
              <w:rPr>
                <w:snapToGrid w:val="0"/>
                <w:sz w:val="20"/>
                <w:szCs w:val="22"/>
                <w:lang w:val="fr-CA"/>
              </w:rPr>
              <w:t>Utilisation juste et équitable des ressources et des habitudes de consommation</w:t>
            </w:r>
            <w:r w:rsidR="00712F2C">
              <w:rPr>
                <w:snapToGrid w:val="0"/>
                <w:sz w:val="20"/>
                <w:szCs w:val="22"/>
                <w:lang w:val="fr-CA"/>
              </w:rPr>
              <w:t xml:space="preserve"> </w:t>
            </w:r>
            <w:r w:rsidR="00802693" w:rsidRPr="00802693">
              <w:rPr>
                <w:snapToGrid w:val="0"/>
                <w:sz w:val="20"/>
                <w:szCs w:val="22"/>
                <w:lang w:val="fr-CA"/>
              </w:rPr>
              <w:t>;</w:t>
            </w:r>
          </w:p>
          <w:p w14:paraId="3D5742A9" w14:textId="405C7713" w:rsidR="00B47D8E" w:rsidRPr="00802693" w:rsidRDefault="00B47D8E" w:rsidP="00BC151E">
            <w:pPr>
              <w:keepNext/>
              <w:spacing w:before="40" w:after="40"/>
              <w:ind w:left="360" w:hanging="360"/>
              <w:jc w:val="left"/>
              <w:rPr>
                <w:snapToGrid w:val="0"/>
                <w:sz w:val="20"/>
                <w:lang w:val="fr-CA"/>
              </w:rPr>
            </w:pPr>
            <w:r w:rsidRPr="00802693">
              <w:rPr>
                <w:snapToGrid w:val="0"/>
                <w:sz w:val="20"/>
                <w:szCs w:val="22"/>
                <w:lang w:val="fr-CA"/>
              </w:rPr>
              <w:t>i)</w:t>
            </w:r>
            <w:r w:rsidRPr="00802693">
              <w:rPr>
                <w:snapToGrid w:val="0"/>
                <w:sz w:val="20"/>
                <w:szCs w:val="22"/>
                <w:lang w:val="fr-CA"/>
              </w:rPr>
              <w:tab/>
              <w:t>Lien entre la biodiversité et les modes de subsistance durables</w:t>
            </w:r>
            <w:r w:rsidR="00712F2C">
              <w:rPr>
                <w:snapToGrid w:val="0"/>
                <w:sz w:val="20"/>
                <w:szCs w:val="22"/>
                <w:lang w:val="fr-CA"/>
              </w:rPr>
              <w:t xml:space="preserve"> </w:t>
            </w:r>
            <w:r w:rsidR="00802693" w:rsidRPr="00802693">
              <w:rPr>
                <w:snapToGrid w:val="0"/>
                <w:sz w:val="20"/>
                <w:szCs w:val="22"/>
                <w:lang w:val="fr-CA"/>
              </w:rPr>
              <w:t>;</w:t>
            </w:r>
          </w:p>
          <w:p w14:paraId="3D5742AA" w14:textId="3650E3BD" w:rsidR="00B47D8E" w:rsidRPr="00802693" w:rsidRDefault="00B47D8E" w:rsidP="00BC151E">
            <w:pPr>
              <w:keepNext/>
              <w:spacing w:before="40" w:after="40"/>
              <w:ind w:left="360" w:hanging="360"/>
              <w:jc w:val="left"/>
              <w:rPr>
                <w:snapToGrid w:val="0"/>
                <w:sz w:val="20"/>
                <w:lang w:val="fr-CA"/>
              </w:rPr>
            </w:pPr>
            <w:r w:rsidRPr="00802693">
              <w:rPr>
                <w:snapToGrid w:val="0"/>
                <w:sz w:val="20"/>
                <w:szCs w:val="22"/>
                <w:lang w:val="fr-CA"/>
              </w:rPr>
              <w:t>j)</w:t>
            </w:r>
            <w:r w:rsidRPr="00802693">
              <w:rPr>
                <w:snapToGrid w:val="0"/>
                <w:sz w:val="20"/>
                <w:szCs w:val="22"/>
                <w:lang w:val="fr-CA"/>
              </w:rPr>
              <w:tab/>
              <w:t>Révision et mise à jour des programmes de travail en mettant l</w:t>
            </w:r>
            <w:r w:rsidR="00802693" w:rsidRPr="00802693">
              <w:rPr>
                <w:snapToGrid w:val="0"/>
                <w:sz w:val="20"/>
                <w:szCs w:val="22"/>
                <w:lang w:val="fr-CA"/>
              </w:rPr>
              <w:t>’</w:t>
            </w:r>
            <w:r w:rsidRPr="00802693">
              <w:rPr>
                <w:snapToGrid w:val="0"/>
                <w:sz w:val="20"/>
                <w:szCs w:val="22"/>
                <w:lang w:val="fr-CA"/>
              </w:rPr>
              <w:t>accent sur leur alignement par rapport au Cadre</w:t>
            </w:r>
            <w:r w:rsidR="00712F2C">
              <w:rPr>
                <w:snapToGrid w:val="0"/>
                <w:sz w:val="20"/>
                <w:szCs w:val="22"/>
                <w:lang w:val="fr-CA"/>
              </w:rPr>
              <w:t xml:space="preserve"> </w:t>
            </w:r>
            <w:r w:rsidR="00802693" w:rsidRPr="00802693">
              <w:rPr>
                <w:snapToGrid w:val="0"/>
                <w:sz w:val="20"/>
                <w:szCs w:val="22"/>
                <w:lang w:val="fr-CA"/>
              </w:rPr>
              <w:t>;</w:t>
            </w:r>
          </w:p>
          <w:p w14:paraId="3D5742AB" w14:textId="583DA4EC" w:rsidR="00B47D8E" w:rsidRPr="00802693" w:rsidRDefault="00B47D8E" w:rsidP="00BC151E">
            <w:pPr>
              <w:keepNext/>
              <w:spacing w:before="40" w:after="40"/>
              <w:ind w:left="360" w:hanging="360"/>
              <w:jc w:val="left"/>
              <w:rPr>
                <w:snapToGrid w:val="0"/>
                <w:sz w:val="20"/>
                <w:lang w:val="fr-CA"/>
              </w:rPr>
            </w:pPr>
            <w:r w:rsidRPr="00802693">
              <w:rPr>
                <w:snapToGrid w:val="0"/>
                <w:sz w:val="20"/>
                <w:szCs w:val="22"/>
                <w:lang w:val="fr-CA"/>
              </w:rPr>
              <w:t>k)</w:t>
            </w:r>
            <w:r w:rsidRPr="00802693">
              <w:rPr>
                <w:snapToGrid w:val="0"/>
                <w:sz w:val="20"/>
                <w:szCs w:val="22"/>
                <w:lang w:val="fr-CA"/>
              </w:rPr>
              <w:tab/>
            </w:r>
            <w:r w:rsidR="007222E5" w:rsidRPr="00802693">
              <w:rPr>
                <w:snapToGrid w:val="0"/>
                <w:sz w:val="20"/>
                <w:szCs w:val="22"/>
                <w:lang w:val="fr-CA"/>
              </w:rPr>
              <w:t>Espace réservé au suivi du mécanisme multilatéral du partage des avantages découlant de l</w:t>
            </w:r>
            <w:r w:rsidR="00802693" w:rsidRPr="00802693">
              <w:rPr>
                <w:snapToGrid w:val="0"/>
                <w:sz w:val="20"/>
                <w:szCs w:val="22"/>
                <w:lang w:val="fr-CA"/>
              </w:rPr>
              <w:t>’</w:t>
            </w:r>
            <w:r w:rsidR="007222E5" w:rsidRPr="00802693">
              <w:rPr>
                <w:snapToGrid w:val="0"/>
                <w:sz w:val="20"/>
                <w:szCs w:val="22"/>
                <w:lang w:val="fr-CA"/>
              </w:rPr>
              <w:t>utilisation de l</w:t>
            </w:r>
            <w:r w:rsidR="00802693" w:rsidRPr="00802693">
              <w:rPr>
                <w:snapToGrid w:val="0"/>
                <w:sz w:val="20"/>
                <w:szCs w:val="22"/>
                <w:lang w:val="fr-CA"/>
              </w:rPr>
              <w:t>’</w:t>
            </w:r>
            <w:r w:rsidR="007222E5" w:rsidRPr="00802693">
              <w:rPr>
                <w:snapToGrid w:val="0"/>
                <w:sz w:val="20"/>
                <w:szCs w:val="22"/>
                <w:lang w:val="fr-CA"/>
              </w:rPr>
              <w:t>information de séquençage numérique sur les ressources génétiques, si nécessaire</w:t>
            </w:r>
            <w:r w:rsidR="00712F2C">
              <w:rPr>
                <w:snapToGrid w:val="0"/>
                <w:sz w:val="20"/>
                <w:szCs w:val="22"/>
                <w:lang w:val="fr-CA"/>
              </w:rPr>
              <w:t xml:space="preserve"> </w:t>
            </w:r>
            <w:r w:rsidR="00802693" w:rsidRPr="00802693">
              <w:rPr>
                <w:snapToGrid w:val="0"/>
                <w:sz w:val="20"/>
                <w:szCs w:val="22"/>
                <w:lang w:val="fr-CA"/>
              </w:rPr>
              <w:t>;</w:t>
            </w:r>
          </w:p>
          <w:p w14:paraId="3D5742AC" w14:textId="506F2010" w:rsidR="00817A82" w:rsidRPr="00802693" w:rsidRDefault="007222E5" w:rsidP="00BC151E">
            <w:pPr>
              <w:keepNext/>
              <w:spacing w:before="40" w:after="40"/>
              <w:ind w:left="360" w:hanging="360"/>
              <w:jc w:val="left"/>
              <w:rPr>
                <w:snapToGrid w:val="0"/>
                <w:sz w:val="20"/>
                <w:lang w:val="fr-CA"/>
              </w:rPr>
            </w:pPr>
            <w:r w:rsidRPr="00802693">
              <w:rPr>
                <w:sz w:val="20"/>
                <w:szCs w:val="22"/>
                <w:lang w:val="fr-CA"/>
              </w:rPr>
              <w:t>l)</w:t>
            </w:r>
            <w:r w:rsidRPr="00802693">
              <w:rPr>
                <w:sz w:val="20"/>
                <w:szCs w:val="22"/>
                <w:lang w:val="fr-CA"/>
              </w:rPr>
              <w:tab/>
            </w:r>
            <w:r w:rsidR="00817A82" w:rsidRPr="00802693">
              <w:rPr>
                <w:sz w:val="20"/>
                <w:szCs w:val="22"/>
                <w:lang w:val="fr-CA"/>
              </w:rPr>
              <w:t>[</w:t>
            </w:r>
            <w:r w:rsidR="00BC151E" w:rsidRPr="00802693">
              <w:rPr>
                <w:i/>
                <w:iCs/>
                <w:sz w:val="20"/>
                <w:szCs w:val="22"/>
                <w:lang w:val="fr-CA"/>
              </w:rPr>
              <w:t>Autres points à déterminer</w:t>
            </w:r>
            <w:r w:rsidR="00817A82" w:rsidRPr="00802693">
              <w:rPr>
                <w:sz w:val="20"/>
                <w:szCs w:val="22"/>
                <w:lang w:val="fr-CA"/>
              </w:rPr>
              <w:t>]</w:t>
            </w:r>
            <w:r w:rsidR="00906614" w:rsidRPr="00802693">
              <w:rPr>
                <w:sz w:val="20"/>
                <w:szCs w:val="22"/>
                <w:lang w:val="fr-CA"/>
              </w:rPr>
              <w:t>.</w:t>
            </w:r>
            <w:r w:rsidR="0001421F">
              <w:rPr>
                <w:sz w:val="20"/>
                <w:szCs w:val="22"/>
                <w:lang w:val="fr-CA"/>
              </w:rPr>
              <w:t>]</w:t>
            </w:r>
          </w:p>
        </w:tc>
      </w:tr>
      <w:tr w:rsidR="00817A82" w:rsidRPr="004469AB" w14:paraId="3D5742BA" w14:textId="77777777" w:rsidTr="00817A82">
        <w:tc>
          <w:tcPr>
            <w:tcW w:w="1514" w:type="dxa"/>
            <w:tcBorders>
              <w:top w:val="single" w:sz="4" w:space="0" w:color="auto"/>
              <w:left w:val="single" w:sz="4" w:space="0" w:color="auto"/>
              <w:bottom w:val="single" w:sz="4" w:space="0" w:color="auto"/>
              <w:right w:val="single" w:sz="4" w:space="0" w:color="auto"/>
            </w:tcBorders>
          </w:tcPr>
          <w:p w14:paraId="483CB50F" w14:textId="77777777" w:rsidR="0001421F" w:rsidRDefault="00BC151E" w:rsidP="0001421F">
            <w:pPr>
              <w:keepNext/>
              <w:spacing w:before="40" w:after="40"/>
              <w:jc w:val="left"/>
              <w:rPr>
                <w:sz w:val="20"/>
                <w:szCs w:val="22"/>
                <w:lang w:val="fr-CA"/>
              </w:rPr>
            </w:pPr>
            <w:r w:rsidRPr="00802693">
              <w:rPr>
                <w:sz w:val="20"/>
                <w:szCs w:val="22"/>
                <w:lang w:val="fr-CA"/>
              </w:rPr>
              <w:lastRenderedPageBreak/>
              <w:t xml:space="preserve">Dix-huitième </w:t>
            </w:r>
          </w:p>
          <w:p w14:paraId="3D5742AE" w14:textId="5BFAE1A1" w:rsidR="00817A82" w:rsidRPr="00802693" w:rsidRDefault="00817A82" w:rsidP="0001421F">
            <w:pPr>
              <w:keepNext/>
              <w:spacing w:before="40" w:after="40"/>
              <w:jc w:val="left"/>
              <w:rPr>
                <w:sz w:val="20"/>
                <w:lang w:val="fr-CA"/>
              </w:rPr>
            </w:pPr>
            <w:r w:rsidRPr="00802693">
              <w:rPr>
                <w:sz w:val="20"/>
                <w:szCs w:val="22"/>
                <w:lang w:val="fr-CA"/>
              </w:rPr>
              <w:t>(2028)</w:t>
            </w:r>
          </w:p>
        </w:tc>
        <w:tc>
          <w:tcPr>
            <w:tcW w:w="7836" w:type="dxa"/>
            <w:tcBorders>
              <w:top w:val="single" w:sz="4" w:space="0" w:color="auto"/>
              <w:left w:val="single" w:sz="4" w:space="0" w:color="auto"/>
              <w:bottom w:val="single" w:sz="4" w:space="0" w:color="auto"/>
              <w:right w:val="single" w:sz="4" w:space="0" w:color="auto"/>
            </w:tcBorders>
          </w:tcPr>
          <w:p w14:paraId="3D5742AF" w14:textId="13DFF793" w:rsidR="00817A82" w:rsidRPr="00802693" w:rsidRDefault="004378B1" w:rsidP="00E77B5F">
            <w:pPr>
              <w:keepNext/>
              <w:tabs>
                <w:tab w:val="left" w:pos="414"/>
              </w:tabs>
              <w:spacing w:before="40" w:after="40"/>
              <w:ind w:left="360" w:hanging="360"/>
              <w:jc w:val="left"/>
              <w:rPr>
                <w:noProof/>
                <w:snapToGrid w:val="0"/>
                <w:sz w:val="20"/>
                <w:szCs w:val="20"/>
                <w:lang w:val="fr-CA"/>
              </w:rPr>
            </w:pPr>
            <w:r w:rsidRPr="00802693">
              <w:rPr>
                <w:sz w:val="20"/>
                <w:szCs w:val="22"/>
                <w:lang w:val="fr-CA"/>
              </w:rPr>
              <w:t>a)</w:t>
            </w:r>
            <w:r w:rsidRPr="00802693">
              <w:rPr>
                <w:sz w:val="20"/>
                <w:szCs w:val="22"/>
                <w:lang w:val="fr-CA"/>
              </w:rPr>
              <w:tab/>
            </w:r>
            <w:r w:rsidR="00A8725D" w:rsidRPr="00802693">
              <w:rPr>
                <w:sz w:val="20"/>
                <w:szCs w:val="20"/>
                <w:lang w:val="fr-CA"/>
              </w:rPr>
              <w:t>Examen de la mise en œuvre du C</w:t>
            </w:r>
            <w:r w:rsidR="00BC151E" w:rsidRPr="00802693">
              <w:rPr>
                <w:sz w:val="20"/>
                <w:szCs w:val="20"/>
                <w:lang w:val="fr-CA"/>
              </w:rPr>
              <w:t xml:space="preserve">adre mondial de la biodiversité de Kunming-Montréal et des moyens de mise en </w:t>
            </w:r>
            <w:r w:rsidR="00BC151E" w:rsidRPr="00802693">
              <w:rPr>
                <w:noProof/>
                <w:sz w:val="20"/>
                <w:szCs w:val="20"/>
                <w:lang w:val="fr-CA"/>
              </w:rPr>
              <w:t>œuvre connexes</w:t>
            </w:r>
            <w:r w:rsidR="00802693">
              <w:rPr>
                <w:noProof/>
                <w:sz w:val="20"/>
                <w:szCs w:val="20"/>
                <w:lang w:val="fr-CA"/>
              </w:rPr>
              <w:t>,</w:t>
            </w:r>
            <w:r w:rsidR="0001421F" w:rsidRPr="0001421F">
              <w:rPr>
                <w:i/>
                <w:noProof/>
                <w:sz w:val="20"/>
                <w:szCs w:val="20"/>
                <w:vertAlign w:val="superscript"/>
                <w:lang w:val="fr-CA"/>
              </w:rPr>
              <w:t>e</w:t>
            </w:r>
            <w:r w:rsidR="001A5D3F" w:rsidRPr="00802693">
              <w:rPr>
                <w:iCs/>
                <w:noProof/>
                <w:snapToGrid w:val="0"/>
                <w:sz w:val="20"/>
                <w:szCs w:val="20"/>
                <w:lang w:val="fr-CA"/>
              </w:rPr>
              <w:t xml:space="preserve"> comprenant une analyse mondiale de l</w:t>
            </w:r>
            <w:r w:rsidR="00802693" w:rsidRPr="00802693">
              <w:rPr>
                <w:iCs/>
                <w:noProof/>
                <w:snapToGrid w:val="0"/>
                <w:sz w:val="20"/>
                <w:szCs w:val="20"/>
                <w:lang w:val="fr-CA"/>
              </w:rPr>
              <w:t>’</w:t>
            </w:r>
            <w:r w:rsidR="001A5D3F" w:rsidRPr="00802693">
              <w:rPr>
                <w:iCs/>
                <w:noProof/>
                <w:snapToGrid w:val="0"/>
                <w:sz w:val="20"/>
                <w:szCs w:val="20"/>
                <w:lang w:val="fr-CA"/>
              </w:rPr>
              <w:t>information contenue dans les stratégies et plans d</w:t>
            </w:r>
            <w:r w:rsidR="00802693" w:rsidRPr="00802693">
              <w:rPr>
                <w:iCs/>
                <w:noProof/>
                <w:snapToGrid w:val="0"/>
                <w:sz w:val="20"/>
                <w:szCs w:val="20"/>
                <w:lang w:val="fr-CA"/>
              </w:rPr>
              <w:t>’</w:t>
            </w:r>
            <w:r w:rsidR="001A5D3F" w:rsidRPr="00802693">
              <w:rPr>
                <w:iCs/>
                <w:noProof/>
                <w:snapToGrid w:val="0"/>
                <w:sz w:val="20"/>
                <w:szCs w:val="20"/>
                <w:lang w:val="fr-CA"/>
              </w:rPr>
              <w:t>action nationaux pour la biodiversité, dont les cibles nationales, afin d</w:t>
            </w:r>
            <w:r w:rsidR="00802693" w:rsidRPr="00802693">
              <w:rPr>
                <w:iCs/>
                <w:noProof/>
                <w:snapToGrid w:val="0"/>
                <w:sz w:val="20"/>
                <w:szCs w:val="20"/>
                <w:lang w:val="fr-CA"/>
              </w:rPr>
              <w:t>’</w:t>
            </w:r>
            <w:r w:rsidR="0001421F">
              <w:rPr>
                <w:iCs/>
                <w:noProof/>
                <w:snapToGrid w:val="0"/>
                <w:sz w:val="20"/>
                <w:szCs w:val="20"/>
                <w:lang w:val="fr-CA"/>
              </w:rPr>
              <w:t>évaluer la contribution à la mise en œuvre d</w:t>
            </w:r>
            <w:r w:rsidR="001A5D3F" w:rsidRPr="00802693">
              <w:rPr>
                <w:iCs/>
                <w:noProof/>
                <w:snapToGrid w:val="0"/>
                <w:sz w:val="20"/>
                <w:szCs w:val="20"/>
                <w:lang w:val="fr-CA"/>
              </w:rPr>
              <w:t>u Cadre</w:t>
            </w:r>
            <w:r w:rsidR="0001421F">
              <w:rPr>
                <w:iCs/>
                <w:noProof/>
                <w:snapToGrid w:val="0"/>
                <w:sz w:val="20"/>
                <w:szCs w:val="20"/>
                <w:lang w:val="fr-CA"/>
              </w:rPr>
              <w:t xml:space="preserve"> </w:t>
            </w:r>
            <w:r w:rsidR="00802693" w:rsidRPr="00802693">
              <w:rPr>
                <w:iCs/>
                <w:noProof/>
                <w:snapToGrid w:val="0"/>
                <w:sz w:val="20"/>
                <w:szCs w:val="20"/>
                <w:lang w:val="fr-CA"/>
              </w:rPr>
              <w:t>;</w:t>
            </w:r>
          </w:p>
          <w:p w14:paraId="3D5742B0" w14:textId="560EE124" w:rsidR="001C5C87" w:rsidRPr="00802693" w:rsidRDefault="004378B1" w:rsidP="00E77B5F">
            <w:pPr>
              <w:keepNext/>
              <w:tabs>
                <w:tab w:val="left" w:pos="414"/>
              </w:tabs>
              <w:spacing w:before="40" w:after="40"/>
              <w:ind w:left="360" w:hanging="360"/>
              <w:jc w:val="left"/>
              <w:rPr>
                <w:noProof/>
                <w:snapToGrid w:val="0"/>
                <w:sz w:val="20"/>
                <w:szCs w:val="20"/>
                <w:lang w:val="fr-CA"/>
              </w:rPr>
            </w:pPr>
            <w:r w:rsidRPr="00802693">
              <w:rPr>
                <w:noProof/>
                <w:snapToGrid w:val="0"/>
                <w:sz w:val="20"/>
                <w:szCs w:val="20"/>
                <w:lang w:val="fr-CA"/>
              </w:rPr>
              <w:t>b)</w:t>
            </w:r>
            <w:r w:rsidRPr="00802693">
              <w:rPr>
                <w:noProof/>
                <w:snapToGrid w:val="0"/>
                <w:sz w:val="20"/>
                <w:szCs w:val="20"/>
                <w:lang w:val="fr-CA"/>
              </w:rPr>
              <w:tab/>
            </w:r>
            <w:r w:rsidR="00BC151E" w:rsidRPr="00802693">
              <w:rPr>
                <w:noProof/>
                <w:sz w:val="20"/>
                <w:szCs w:val="20"/>
                <w:lang w:val="fr-CA"/>
              </w:rPr>
              <w:t>Actions stratégiques en vue de renforcer l</w:t>
            </w:r>
            <w:r w:rsidR="00802693" w:rsidRPr="00802693">
              <w:rPr>
                <w:noProof/>
                <w:sz w:val="20"/>
                <w:szCs w:val="20"/>
                <w:lang w:val="fr-CA"/>
              </w:rPr>
              <w:t>’</w:t>
            </w:r>
            <w:r w:rsidR="00BC151E" w:rsidRPr="00802693">
              <w:rPr>
                <w:noProof/>
                <w:sz w:val="20"/>
                <w:szCs w:val="20"/>
                <w:lang w:val="fr-CA"/>
              </w:rPr>
              <w:t xml:space="preserve">application de la Convention et du </w:t>
            </w:r>
            <w:r w:rsidR="00A8725D" w:rsidRPr="00802693">
              <w:rPr>
                <w:noProof/>
                <w:sz w:val="20"/>
                <w:szCs w:val="20"/>
                <w:lang w:val="fr-CA"/>
              </w:rPr>
              <w:t>C</w:t>
            </w:r>
            <w:r w:rsidR="00BC151E" w:rsidRPr="00802693">
              <w:rPr>
                <w:noProof/>
                <w:sz w:val="20"/>
                <w:szCs w:val="20"/>
                <w:lang w:val="fr-CA"/>
              </w:rPr>
              <w:t>adre mondial de la biodiversité de Kunming-Montréal</w:t>
            </w:r>
            <w:r w:rsidR="0090717A" w:rsidRPr="00802693">
              <w:rPr>
                <w:noProof/>
                <w:sz w:val="20"/>
                <w:szCs w:val="20"/>
                <w:lang w:val="fr-CA"/>
              </w:rPr>
              <w:t>, y compris en lien avec les moyens de mise en œuvre</w:t>
            </w:r>
            <w:r w:rsidR="0001421F">
              <w:rPr>
                <w:noProof/>
                <w:sz w:val="20"/>
                <w:szCs w:val="20"/>
                <w:lang w:val="fr-CA"/>
              </w:rPr>
              <w:t xml:space="preserve"> </w:t>
            </w:r>
            <w:r w:rsidR="00802693" w:rsidRPr="00802693">
              <w:rPr>
                <w:noProof/>
                <w:sz w:val="20"/>
                <w:szCs w:val="20"/>
                <w:lang w:val="fr-CA"/>
              </w:rPr>
              <w:t>;</w:t>
            </w:r>
          </w:p>
          <w:p w14:paraId="3D5742B1" w14:textId="1DC3936F" w:rsidR="001C5C87" w:rsidRPr="00802693" w:rsidRDefault="004378B1" w:rsidP="00D14CA8">
            <w:pPr>
              <w:keepNext/>
              <w:spacing w:before="40" w:after="40"/>
              <w:ind w:left="360" w:hanging="360"/>
              <w:jc w:val="left"/>
              <w:rPr>
                <w:noProof/>
                <w:sz w:val="20"/>
                <w:szCs w:val="20"/>
                <w:lang w:val="fr-CA"/>
              </w:rPr>
            </w:pPr>
            <w:r w:rsidRPr="00802693">
              <w:rPr>
                <w:noProof/>
                <w:snapToGrid w:val="0"/>
                <w:sz w:val="20"/>
                <w:szCs w:val="20"/>
                <w:lang w:val="fr-CA"/>
              </w:rPr>
              <w:t>c)</w:t>
            </w:r>
            <w:r w:rsidRPr="00802693">
              <w:rPr>
                <w:noProof/>
                <w:snapToGrid w:val="0"/>
                <w:sz w:val="20"/>
                <w:szCs w:val="20"/>
                <w:lang w:val="fr-CA"/>
              </w:rPr>
              <w:tab/>
            </w:r>
            <w:r w:rsidR="0090717A" w:rsidRPr="00802693">
              <w:rPr>
                <w:noProof/>
                <w:sz w:val="20"/>
                <w:szCs w:val="20"/>
                <w:lang w:val="fr-CA"/>
              </w:rPr>
              <w:t>Examen du fonctionnement</w:t>
            </w:r>
            <w:r w:rsidR="001A5D3F" w:rsidRPr="00802693">
              <w:rPr>
                <w:noProof/>
                <w:sz w:val="20"/>
                <w:szCs w:val="20"/>
                <w:lang w:val="fr-CA"/>
              </w:rPr>
              <w:t>,</w:t>
            </w:r>
            <w:r w:rsidR="0090717A" w:rsidRPr="00802693">
              <w:rPr>
                <w:noProof/>
                <w:sz w:val="20"/>
                <w:szCs w:val="20"/>
                <w:lang w:val="fr-CA"/>
              </w:rPr>
              <w:t xml:space="preserve"> de l</w:t>
            </w:r>
            <w:r w:rsidR="00802693" w:rsidRPr="00802693">
              <w:rPr>
                <w:noProof/>
                <w:sz w:val="20"/>
                <w:szCs w:val="20"/>
                <w:lang w:val="fr-CA"/>
              </w:rPr>
              <w:t>’</w:t>
            </w:r>
            <w:r w:rsidR="0090717A" w:rsidRPr="00802693">
              <w:rPr>
                <w:noProof/>
                <w:sz w:val="20"/>
                <w:szCs w:val="20"/>
                <w:lang w:val="fr-CA"/>
              </w:rPr>
              <w:t xml:space="preserve">efficacité </w:t>
            </w:r>
            <w:r w:rsidR="00945F6B" w:rsidRPr="00802693">
              <w:rPr>
                <w:noProof/>
                <w:sz w:val="20"/>
                <w:szCs w:val="20"/>
                <w:lang w:val="fr-CA"/>
              </w:rPr>
              <w:t>e</w:t>
            </w:r>
            <w:r w:rsidR="001A5D3F" w:rsidRPr="00802693">
              <w:rPr>
                <w:noProof/>
                <w:sz w:val="20"/>
                <w:szCs w:val="20"/>
                <w:lang w:val="fr-CA"/>
              </w:rPr>
              <w:t xml:space="preserve">t des résultats </w:t>
            </w:r>
            <w:r w:rsidR="0090717A" w:rsidRPr="00802693">
              <w:rPr>
                <w:noProof/>
                <w:sz w:val="20"/>
                <w:szCs w:val="20"/>
                <w:lang w:val="fr-CA"/>
              </w:rPr>
              <w:t>du Fonds pour l</w:t>
            </w:r>
            <w:r w:rsidR="00802693" w:rsidRPr="00802693">
              <w:rPr>
                <w:noProof/>
                <w:sz w:val="20"/>
                <w:szCs w:val="20"/>
                <w:lang w:val="fr-CA"/>
              </w:rPr>
              <w:t>’</w:t>
            </w:r>
            <w:r w:rsidR="0090717A" w:rsidRPr="00802693">
              <w:rPr>
                <w:noProof/>
                <w:sz w:val="20"/>
                <w:szCs w:val="20"/>
                <w:lang w:val="fr-CA"/>
              </w:rPr>
              <w:t xml:space="preserve">application du Cadre mondial de la biodiversité de Kunming-Montréal </w:t>
            </w:r>
            <w:r w:rsidR="00B50926" w:rsidRPr="00802693">
              <w:rPr>
                <w:noProof/>
                <w:sz w:val="20"/>
                <w:szCs w:val="20"/>
                <w:lang w:val="fr-CA"/>
              </w:rPr>
              <w:t>et arrangement</w:t>
            </w:r>
            <w:r w:rsidR="0056201E" w:rsidRPr="00802693">
              <w:rPr>
                <w:noProof/>
                <w:sz w:val="20"/>
                <w:szCs w:val="20"/>
                <w:lang w:val="fr-CA"/>
              </w:rPr>
              <w:t>s</w:t>
            </w:r>
            <w:r w:rsidR="00B50926" w:rsidRPr="00802693">
              <w:rPr>
                <w:noProof/>
                <w:sz w:val="20"/>
                <w:szCs w:val="20"/>
                <w:lang w:val="fr-CA"/>
              </w:rPr>
              <w:t xml:space="preserve"> futurs</w:t>
            </w:r>
            <w:r w:rsidR="0001421F">
              <w:rPr>
                <w:noProof/>
                <w:sz w:val="20"/>
                <w:szCs w:val="20"/>
                <w:lang w:val="fr-CA"/>
              </w:rPr>
              <w:t xml:space="preserve"> </w:t>
            </w:r>
            <w:r w:rsidR="00802693" w:rsidRPr="00802693">
              <w:rPr>
                <w:noProof/>
                <w:sz w:val="20"/>
                <w:szCs w:val="20"/>
                <w:lang w:val="fr-CA"/>
              </w:rPr>
              <w:t>;</w:t>
            </w:r>
            <w:r w:rsidR="0001421F">
              <w:rPr>
                <w:i/>
                <w:iCs/>
                <w:noProof/>
                <w:sz w:val="20"/>
                <w:szCs w:val="20"/>
                <w:vertAlign w:val="superscript"/>
                <w:lang w:val="fr-CA"/>
              </w:rPr>
              <w:t>f</w:t>
            </w:r>
          </w:p>
          <w:p w14:paraId="3D5742B2" w14:textId="1160E422" w:rsidR="00817A82" w:rsidRPr="00802693" w:rsidRDefault="004378B1" w:rsidP="00D14CA8">
            <w:pPr>
              <w:keepNext/>
              <w:spacing w:before="40" w:after="40"/>
              <w:ind w:left="360" w:hanging="360"/>
              <w:jc w:val="left"/>
              <w:rPr>
                <w:noProof/>
                <w:sz w:val="20"/>
                <w:szCs w:val="20"/>
                <w:lang w:val="fr-CA"/>
              </w:rPr>
            </w:pPr>
            <w:r w:rsidRPr="00802693">
              <w:rPr>
                <w:noProof/>
                <w:snapToGrid w:val="0"/>
                <w:sz w:val="20"/>
                <w:szCs w:val="20"/>
                <w:lang w:val="fr-CA"/>
              </w:rPr>
              <w:t>d)</w:t>
            </w:r>
            <w:r w:rsidRPr="00802693">
              <w:rPr>
                <w:noProof/>
                <w:snapToGrid w:val="0"/>
                <w:sz w:val="20"/>
                <w:szCs w:val="20"/>
                <w:lang w:val="fr-CA"/>
              </w:rPr>
              <w:tab/>
            </w:r>
            <w:r w:rsidR="0090717A" w:rsidRPr="00802693">
              <w:rPr>
                <w:noProof/>
                <w:sz w:val="20"/>
                <w:szCs w:val="20"/>
                <w:lang w:val="fr-CA"/>
              </w:rPr>
              <w:t>Cadre quadriennal relatif aux priorités des programmes axés sur les résultats et à l</w:t>
            </w:r>
            <w:r w:rsidR="00802693" w:rsidRPr="00802693">
              <w:rPr>
                <w:noProof/>
                <w:sz w:val="20"/>
                <w:szCs w:val="20"/>
                <w:lang w:val="fr-CA"/>
              </w:rPr>
              <w:t>’</w:t>
            </w:r>
            <w:r w:rsidR="0090717A" w:rsidRPr="00802693">
              <w:rPr>
                <w:noProof/>
                <w:sz w:val="20"/>
                <w:szCs w:val="20"/>
                <w:lang w:val="fr-CA"/>
              </w:rPr>
              <w:t>évaluation des besoins de financement afin d</w:t>
            </w:r>
            <w:r w:rsidR="00802693" w:rsidRPr="00802693">
              <w:rPr>
                <w:noProof/>
                <w:sz w:val="20"/>
                <w:szCs w:val="20"/>
                <w:lang w:val="fr-CA"/>
              </w:rPr>
              <w:t>’</w:t>
            </w:r>
            <w:r w:rsidR="0090717A" w:rsidRPr="00802693">
              <w:rPr>
                <w:noProof/>
                <w:sz w:val="20"/>
                <w:szCs w:val="20"/>
                <w:lang w:val="fr-CA"/>
              </w:rPr>
              <w:t>éclairer la dixième reconstitution des ressources du Fonds pour l</w:t>
            </w:r>
            <w:r w:rsidR="00802693" w:rsidRPr="00802693">
              <w:rPr>
                <w:noProof/>
                <w:sz w:val="20"/>
                <w:szCs w:val="20"/>
                <w:lang w:val="fr-CA"/>
              </w:rPr>
              <w:t>’</w:t>
            </w:r>
            <w:r w:rsidR="0090717A" w:rsidRPr="00802693">
              <w:rPr>
                <w:noProof/>
                <w:sz w:val="20"/>
                <w:szCs w:val="20"/>
                <w:lang w:val="fr-CA"/>
              </w:rPr>
              <w:t>environnement mondial (2030-2034</w:t>
            </w:r>
            <w:r w:rsidR="00817A82" w:rsidRPr="00802693">
              <w:rPr>
                <w:noProof/>
                <w:sz w:val="20"/>
                <w:szCs w:val="20"/>
                <w:lang w:val="fr-CA"/>
              </w:rPr>
              <w:t>)</w:t>
            </w:r>
            <w:r w:rsidR="00963684">
              <w:rPr>
                <w:noProof/>
                <w:sz w:val="20"/>
                <w:szCs w:val="20"/>
                <w:lang w:val="fr-CA"/>
              </w:rPr>
              <w:t xml:space="preserve"> </w:t>
            </w:r>
            <w:r w:rsidR="00AD5F9B" w:rsidRPr="00802693">
              <w:rPr>
                <w:noProof/>
                <w:sz w:val="20"/>
                <w:szCs w:val="20"/>
                <w:lang w:val="fr-CA"/>
              </w:rPr>
              <w:t>;</w:t>
            </w:r>
          </w:p>
          <w:p w14:paraId="3D5742B3" w14:textId="175C141A" w:rsidR="00C51674" w:rsidRPr="00802693" w:rsidRDefault="00D14CA8" w:rsidP="00D14CA8">
            <w:pPr>
              <w:keepNext/>
              <w:spacing w:before="40" w:after="40"/>
              <w:ind w:left="360" w:hanging="360"/>
              <w:jc w:val="left"/>
              <w:rPr>
                <w:noProof/>
                <w:snapToGrid w:val="0"/>
                <w:sz w:val="20"/>
                <w:lang w:val="fr-CA"/>
              </w:rPr>
            </w:pPr>
            <w:r w:rsidRPr="00802693">
              <w:rPr>
                <w:noProof/>
                <w:snapToGrid w:val="0"/>
                <w:sz w:val="20"/>
                <w:szCs w:val="22"/>
                <w:lang w:val="fr-CA"/>
              </w:rPr>
              <w:t>e)</w:t>
            </w:r>
            <w:r w:rsidRPr="00802693">
              <w:rPr>
                <w:noProof/>
                <w:snapToGrid w:val="0"/>
                <w:sz w:val="20"/>
                <w:szCs w:val="22"/>
                <w:lang w:val="fr-CA"/>
              </w:rPr>
              <w:tab/>
            </w:r>
            <w:r w:rsidR="00B50926" w:rsidRPr="00802693">
              <w:rPr>
                <w:noProof/>
                <w:snapToGrid w:val="0"/>
                <w:sz w:val="20"/>
                <w:szCs w:val="22"/>
                <w:lang w:val="fr-CA"/>
              </w:rPr>
              <w:t>Examen de l</w:t>
            </w:r>
            <w:r w:rsidR="00802693" w:rsidRPr="00802693">
              <w:rPr>
                <w:noProof/>
                <w:snapToGrid w:val="0"/>
                <w:sz w:val="20"/>
                <w:szCs w:val="22"/>
                <w:lang w:val="fr-CA"/>
              </w:rPr>
              <w:t>’</w:t>
            </w:r>
            <w:r w:rsidR="00B50926" w:rsidRPr="00802693">
              <w:rPr>
                <w:noProof/>
                <w:snapToGrid w:val="0"/>
                <w:sz w:val="20"/>
                <w:szCs w:val="22"/>
                <w:lang w:val="fr-CA"/>
              </w:rPr>
              <w:t>efficacité du mécanisme de financement</w:t>
            </w:r>
            <w:r w:rsidR="00963684">
              <w:rPr>
                <w:noProof/>
                <w:snapToGrid w:val="0"/>
                <w:sz w:val="20"/>
                <w:szCs w:val="22"/>
                <w:lang w:val="fr-CA"/>
              </w:rPr>
              <w:t xml:space="preserve"> </w:t>
            </w:r>
            <w:r w:rsidR="00802693" w:rsidRPr="00802693">
              <w:rPr>
                <w:noProof/>
                <w:snapToGrid w:val="0"/>
                <w:sz w:val="20"/>
                <w:szCs w:val="22"/>
                <w:lang w:val="fr-CA"/>
              </w:rPr>
              <w:t>;</w:t>
            </w:r>
            <w:r w:rsidR="00963684" w:rsidRPr="00963684">
              <w:rPr>
                <w:i/>
                <w:noProof/>
                <w:snapToGrid w:val="0"/>
                <w:sz w:val="20"/>
                <w:szCs w:val="22"/>
                <w:vertAlign w:val="superscript"/>
                <w:lang w:val="fr-CA"/>
              </w:rPr>
              <w:t>d</w:t>
            </w:r>
          </w:p>
          <w:p w14:paraId="3D5742B4" w14:textId="77777777" w:rsidR="004A1B66" w:rsidRPr="00802693" w:rsidRDefault="00D14CA8" w:rsidP="00D14CA8">
            <w:pPr>
              <w:keepNext/>
              <w:spacing w:before="40" w:after="40"/>
              <w:ind w:left="360" w:hanging="360"/>
              <w:jc w:val="left"/>
              <w:rPr>
                <w:noProof/>
                <w:snapToGrid w:val="0"/>
                <w:sz w:val="20"/>
                <w:lang w:val="fr-CA"/>
              </w:rPr>
            </w:pPr>
            <w:r w:rsidRPr="00802693">
              <w:rPr>
                <w:noProof/>
                <w:sz w:val="20"/>
                <w:szCs w:val="22"/>
                <w:lang w:val="fr-CA"/>
              </w:rPr>
              <w:t>f)</w:t>
            </w:r>
            <w:r w:rsidRPr="00802693">
              <w:rPr>
                <w:noProof/>
                <w:sz w:val="20"/>
                <w:szCs w:val="22"/>
                <w:lang w:val="fr-CA"/>
              </w:rPr>
              <w:tab/>
            </w:r>
            <w:r w:rsidR="00B50926" w:rsidRPr="00802693">
              <w:rPr>
                <w:noProof/>
                <w:sz w:val="20"/>
                <w:szCs w:val="22"/>
                <w:lang w:val="fr-CA"/>
              </w:rPr>
              <w:t xml:space="preserve">Conséquences sur les travaux de la Convention </w:t>
            </w:r>
            <w:r w:rsidR="00A8725D" w:rsidRPr="00802693">
              <w:rPr>
                <w:noProof/>
                <w:sz w:val="20"/>
                <w:szCs w:val="22"/>
                <w:lang w:val="fr-CA"/>
              </w:rPr>
              <w:t xml:space="preserve">des </w:t>
            </w:r>
            <w:r w:rsidR="000A35AB" w:rsidRPr="00802693">
              <w:rPr>
                <w:noProof/>
                <w:sz w:val="20"/>
                <w:szCs w:val="22"/>
                <w:lang w:val="fr-CA"/>
              </w:rPr>
              <w:t xml:space="preserve">réalisations attendues de </w:t>
            </w:r>
            <w:r w:rsidR="00B50926" w:rsidRPr="00802693">
              <w:rPr>
                <w:noProof/>
                <w:sz w:val="20"/>
                <w:szCs w:val="22"/>
                <w:lang w:val="fr-CA"/>
              </w:rPr>
              <w:t>la Plateforme intergouvernementale scientifique et politique sur la biodiversité et les services écosystémiques</w:t>
            </w:r>
            <w:r w:rsidR="000A35AB" w:rsidRPr="00802693">
              <w:rPr>
                <w:noProof/>
                <w:sz w:val="20"/>
                <w:szCs w:val="22"/>
                <w:lang w:val="fr-CA"/>
              </w:rPr>
              <w:t>, y compris</w:t>
            </w:r>
            <w:r w:rsidR="00B50926" w:rsidRPr="00802693">
              <w:rPr>
                <w:noProof/>
                <w:sz w:val="20"/>
                <w:szCs w:val="22"/>
                <w:lang w:val="fr-CA"/>
              </w:rPr>
              <w:t xml:space="preserve"> </w:t>
            </w:r>
            <w:r w:rsidR="004A1B66" w:rsidRPr="00802693">
              <w:rPr>
                <w:noProof/>
                <w:sz w:val="20"/>
                <w:szCs w:val="22"/>
                <w:lang w:val="fr-CA"/>
              </w:rPr>
              <w:t>:</w:t>
            </w:r>
          </w:p>
          <w:p w14:paraId="3D5742B5" w14:textId="609DC086" w:rsidR="004A1B66" w:rsidRPr="00802693" w:rsidRDefault="00B50926" w:rsidP="00B50926">
            <w:pPr>
              <w:pStyle w:val="Para1"/>
              <w:numPr>
                <w:ilvl w:val="0"/>
                <w:numId w:val="0"/>
              </w:numPr>
              <w:tabs>
                <w:tab w:val="clear" w:pos="1134"/>
                <w:tab w:val="left" w:pos="2268"/>
              </w:tabs>
              <w:spacing w:before="40" w:after="40"/>
              <w:ind w:left="713" w:hanging="360"/>
              <w:rPr>
                <w:noProof/>
                <w:sz w:val="20"/>
                <w:lang w:val="fr-CA"/>
              </w:rPr>
            </w:pPr>
            <w:r w:rsidRPr="00802693">
              <w:rPr>
                <w:noProof/>
                <w:sz w:val="20"/>
                <w:lang w:val="fr-CA"/>
              </w:rPr>
              <w:t xml:space="preserve">i)    </w:t>
            </w:r>
            <w:r w:rsidR="00F730C3" w:rsidRPr="00802693">
              <w:rPr>
                <w:noProof/>
                <w:sz w:val="20"/>
                <w:lang w:val="fr-CA"/>
              </w:rPr>
              <w:t xml:space="preserve"> </w:t>
            </w:r>
            <w:r w:rsidRPr="00802693">
              <w:rPr>
                <w:noProof/>
                <w:sz w:val="20"/>
                <w:lang w:val="fr-CA"/>
              </w:rPr>
              <w:t>Évaluation méthodologique du suivi de la biodiversité et de la contribution de la nature aux peuples</w:t>
            </w:r>
            <w:r w:rsidR="00963684">
              <w:rPr>
                <w:noProof/>
                <w:sz w:val="20"/>
                <w:lang w:val="fr-CA"/>
              </w:rPr>
              <w:t xml:space="preserve"> </w:t>
            </w:r>
            <w:r w:rsidR="00802693" w:rsidRPr="00802693">
              <w:rPr>
                <w:noProof/>
                <w:sz w:val="20"/>
                <w:lang w:val="fr-CA"/>
              </w:rPr>
              <w:t>;</w:t>
            </w:r>
          </w:p>
          <w:p w14:paraId="3D5742B6" w14:textId="6BBC3959" w:rsidR="004A1B66" w:rsidRPr="00802693" w:rsidRDefault="00B50926" w:rsidP="00B50926">
            <w:pPr>
              <w:pStyle w:val="Para1"/>
              <w:numPr>
                <w:ilvl w:val="0"/>
                <w:numId w:val="0"/>
              </w:numPr>
              <w:tabs>
                <w:tab w:val="clear" w:pos="1134"/>
                <w:tab w:val="left" w:pos="2268"/>
              </w:tabs>
              <w:spacing w:before="40" w:after="40"/>
              <w:ind w:left="713" w:hanging="360"/>
              <w:rPr>
                <w:sz w:val="20"/>
                <w:lang w:val="fr-CA"/>
              </w:rPr>
            </w:pPr>
            <w:r w:rsidRPr="00802693">
              <w:rPr>
                <w:sz w:val="20"/>
                <w:lang w:val="fr-CA"/>
              </w:rPr>
              <w:t xml:space="preserve">ii) </w:t>
            </w:r>
            <w:r w:rsidR="00F730C3" w:rsidRPr="00802693">
              <w:rPr>
                <w:sz w:val="20"/>
                <w:lang w:val="fr-CA"/>
              </w:rPr>
              <w:t xml:space="preserve">  </w:t>
            </w:r>
            <w:r w:rsidRPr="00802693">
              <w:rPr>
                <w:sz w:val="20"/>
                <w:lang w:val="fr-CA"/>
              </w:rPr>
              <w:t xml:space="preserve"> Évaluation méthodologique de la planification spatiale </w:t>
            </w:r>
            <w:r w:rsidR="00F730C3" w:rsidRPr="00802693">
              <w:rPr>
                <w:sz w:val="20"/>
                <w:lang w:val="fr-CA"/>
              </w:rPr>
              <w:t xml:space="preserve">intégrant la diversité biologique et </w:t>
            </w:r>
            <w:r w:rsidR="00963684">
              <w:rPr>
                <w:sz w:val="20"/>
                <w:lang w:val="fr-CA"/>
              </w:rPr>
              <w:t xml:space="preserve">la </w:t>
            </w:r>
            <w:r w:rsidR="00F730C3" w:rsidRPr="00802693">
              <w:rPr>
                <w:sz w:val="20"/>
                <w:lang w:val="fr-CA"/>
              </w:rPr>
              <w:t>connectivité écologique</w:t>
            </w:r>
            <w:r w:rsidR="00963684">
              <w:rPr>
                <w:sz w:val="20"/>
                <w:lang w:val="fr-CA"/>
              </w:rPr>
              <w:t xml:space="preserve"> </w:t>
            </w:r>
            <w:r w:rsidR="00AD5F9B" w:rsidRPr="00802693">
              <w:rPr>
                <w:sz w:val="20"/>
                <w:lang w:val="fr-CA"/>
              </w:rPr>
              <w:t>;</w:t>
            </w:r>
          </w:p>
          <w:p w14:paraId="3D5742B7" w14:textId="2EF10325" w:rsidR="00817A82" w:rsidRPr="00802693" w:rsidRDefault="00D14CA8" w:rsidP="00D34DFB">
            <w:pPr>
              <w:keepNext/>
              <w:spacing w:before="40" w:after="40"/>
              <w:ind w:left="360" w:hanging="360"/>
              <w:jc w:val="left"/>
              <w:rPr>
                <w:snapToGrid w:val="0"/>
                <w:sz w:val="18"/>
                <w:lang w:val="fr-CA"/>
              </w:rPr>
            </w:pPr>
            <w:r w:rsidRPr="00802693">
              <w:rPr>
                <w:sz w:val="20"/>
                <w:szCs w:val="22"/>
                <w:lang w:val="fr-CA"/>
              </w:rPr>
              <w:t>g)</w:t>
            </w:r>
            <w:r w:rsidRPr="00802693">
              <w:rPr>
                <w:sz w:val="20"/>
                <w:szCs w:val="22"/>
                <w:lang w:val="fr-CA"/>
              </w:rPr>
              <w:tab/>
            </w:r>
            <w:r w:rsidR="00F730C3" w:rsidRPr="00802693">
              <w:rPr>
                <w:snapToGrid w:val="0"/>
                <w:sz w:val="20"/>
                <w:szCs w:val="22"/>
                <w:lang w:val="fr-CA"/>
              </w:rPr>
              <w:t>Questions r</w:t>
            </w:r>
            <w:r w:rsidR="008033CE" w:rsidRPr="00802693">
              <w:rPr>
                <w:snapToGrid w:val="0"/>
                <w:sz w:val="20"/>
                <w:szCs w:val="22"/>
                <w:lang w:val="fr-CA"/>
              </w:rPr>
              <w:t>elatives au suivi du C</w:t>
            </w:r>
            <w:r w:rsidR="00F730C3" w:rsidRPr="00802693">
              <w:rPr>
                <w:snapToGrid w:val="0"/>
                <w:sz w:val="20"/>
                <w:szCs w:val="22"/>
                <w:lang w:val="fr-CA"/>
              </w:rPr>
              <w:t>adre</w:t>
            </w:r>
            <w:r w:rsidR="000A35AB" w:rsidRPr="00802693">
              <w:rPr>
                <w:snapToGrid w:val="0"/>
                <w:sz w:val="20"/>
                <w:szCs w:val="22"/>
                <w:lang w:val="fr-CA"/>
              </w:rPr>
              <w:t>, dont un examen de l</w:t>
            </w:r>
            <w:r w:rsidR="00802693" w:rsidRPr="00802693">
              <w:rPr>
                <w:snapToGrid w:val="0"/>
                <w:sz w:val="20"/>
                <w:szCs w:val="22"/>
                <w:lang w:val="fr-CA"/>
              </w:rPr>
              <w:t>’</w:t>
            </w:r>
            <w:r w:rsidR="000A35AB" w:rsidRPr="00802693">
              <w:rPr>
                <w:snapToGrid w:val="0"/>
                <w:sz w:val="20"/>
                <w:szCs w:val="22"/>
                <w:lang w:val="fr-CA"/>
              </w:rPr>
              <w:t>efficacité des mesures pour mettre en œuvre ses objectifs et ses cibles, conformément aux principes et aux objectifs de la Convention</w:t>
            </w:r>
            <w:r w:rsidR="00963684">
              <w:rPr>
                <w:snapToGrid w:val="0"/>
                <w:sz w:val="20"/>
                <w:szCs w:val="22"/>
                <w:lang w:val="fr-CA"/>
              </w:rPr>
              <w:t xml:space="preserve"> </w:t>
            </w:r>
            <w:r w:rsidR="00802693" w:rsidRPr="00802693">
              <w:rPr>
                <w:snapToGrid w:val="0"/>
                <w:sz w:val="20"/>
                <w:szCs w:val="22"/>
                <w:lang w:val="fr-CA"/>
              </w:rPr>
              <w:t>;</w:t>
            </w:r>
          </w:p>
          <w:p w14:paraId="3D5742B8" w14:textId="6F126700" w:rsidR="000A35AB" w:rsidRPr="00802693" w:rsidRDefault="000A35AB" w:rsidP="00D34DFB">
            <w:pPr>
              <w:keepNext/>
              <w:spacing w:before="40" w:after="40"/>
              <w:ind w:left="360" w:hanging="360"/>
              <w:jc w:val="left"/>
              <w:rPr>
                <w:sz w:val="20"/>
                <w:lang w:val="fr-CA"/>
              </w:rPr>
            </w:pPr>
            <w:r w:rsidRPr="00802693">
              <w:rPr>
                <w:snapToGrid w:val="0"/>
                <w:sz w:val="20"/>
                <w:szCs w:val="22"/>
                <w:lang w:val="fr-CA"/>
              </w:rPr>
              <w:t>h)</w:t>
            </w:r>
            <w:r w:rsidRPr="00802693">
              <w:rPr>
                <w:snapToGrid w:val="0"/>
                <w:sz w:val="20"/>
                <w:szCs w:val="22"/>
                <w:lang w:val="fr-CA"/>
              </w:rPr>
              <w:tab/>
              <w:t>Révision et mise à jour des programmes de travail, en mettant l</w:t>
            </w:r>
            <w:r w:rsidR="00802693" w:rsidRPr="00802693">
              <w:rPr>
                <w:snapToGrid w:val="0"/>
                <w:sz w:val="20"/>
                <w:szCs w:val="22"/>
                <w:lang w:val="fr-CA"/>
              </w:rPr>
              <w:t>’</w:t>
            </w:r>
            <w:r w:rsidRPr="00802693">
              <w:rPr>
                <w:snapToGrid w:val="0"/>
                <w:sz w:val="20"/>
                <w:szCs w:val="22"/>
                <w:lang w:val="fr-CA"/>
              </w:rPr>
              <w:t>accent sur leur alignement par rapport au Cadre</w:t>
            </w:r>
            <w:r w:rsidR="00963684">
              <w:rPr>
                <w:snapToGrid w:val="0"/>
                <w:sz w:val="20"/>
                <w:szCs w:val="22"/>
                <w:lang w:val="fr-CA"/>
              </w:rPr>
              <w:t xml:space="preserve"> </w:t>
            </w:r>
            <w:r w:rsidR="00802693" w:rsidRPr="00802693">
              <w:rPr>
                <w:snapToGrid w:val="0"/>
                <w:sz w:val="20"/>
                <w:szCs w:val="22"/>
                <w:lang w:val="fr-CA"/>
              </w:rPr>
              <w:t>;</w:t>
            </w:r>
          </w:p>
          <w:p w14:paraId="3D5742B9" w14:textId="77777777" w:rsidR="00817A82" w:rsidRPr="00802693" w:rsidRDefault="000A35AB" w:rsidP="00F738A2">
            <w:pPr>
              <w:keepNext/>
              <w:spacing w:before="40" w:after="40"/>
              <w:ind w:left="366" w:hanging="373"/>
              <w:jc w:val="left"/>
              <w:rPr>
                <w:sz w:val="20"/>
                <w:lang w:val="fr-CA"/>
              </w:rPr>
            </w:pPr>
            <w:r w:rsidRPr="00802693">
              <w:rPr>
                <w:sz w:val="20"/>
                <w:szCs w:val="22"/>
                <w:lang w:val="fr-CA"/>
              </w:rPr>
              <w:t>i</w:t>
            </w:r>
            <w:r w:rsidR="00BC151E" w:rsidRPr="00802693">
              <w:rPr>
                <w:sz w:val="20"/>
                <w:szCs w:val="22"/>
                <w:lang w:val="fr-CA"/>
              </w:rPr>
              <w:t>)</w:t>
            </w:r>
            <w:proofErr w:type="gramStart"/>
            <w:r w:rsidR="00BC151E" w:rsidRPr="00802693">
              <w:rPr>
                <w:sz w:val="20"/>
                <w:szCs w:val="22"/>
                <w:lang w:val="fr-CA"/>
              </w:rPr>
              <w:t xml:space="preserve">   </w:t>
            </w:r>
            <w:r w:rsidR="00817A82" w:rsidRPr="00802693">
              <w:rPr>
                <w:sz w:val="20"/>
                <w:szCs w:val="22"/>
                <w:lang w:val="fr-CA"/>
              </w:rPr>
              <w:t>[</w:t>
            </w:r>
            <w:proofErr w:type="gramEnd"/>
            <w:r w:rsidR="00F730C3" w:rsidRPr="00802693">
              <w:rPr>
                <w:i/>
                <w:iCs/>
                <w:sz w:val="20"/>
                <w:szCs w:val="22"/>
                <w:lang w:val="fr-CA"/>
              </w:rPr>
              <w:t xml:space="preserve">Autres </w:t>
            </w:r>
            <w:r w:rsidR="00F738A2" w:rsidRPr="00802693">
              <w:rPr>
                <w:i/>
                <w:iCs/>
                <w:sz w:val="20"/>
                <w:szCs w:val="22"/>
                <w:lang w:val="fr-CA"/>
              </w:rPr>
              <w:t>points</w:t>
            </w:r>
            <w:r w:rsidR="00F730C3" w:rsidRPr="00802693">
              <w:rPr>
                <w:i/>
                <w:iCs/>
                <w:sz w:val="20"/>
                <w:szCs w:val="22"/>
                <w:lang w:val="fr-CA"/>
              </w:rPr>
              <w:t xml:space="preserve"> à déterminer</w:t>
            </w:r>
            <w:r w:rsidR="00817A82" w:rsidRPr="00802693">
              <w:rPr>
                <w:sz w:val="20"/>
                <w:szCs w:val="22"/>
                <w:lang w:val="fr-CA"/>
              </w:rPr>
              <w:t>]</w:t>
            </w:r>
            <w:r w:rsidR="00453EB3" w:rsidRPr="00802693">
              <w:rPr>
                <w:sz w:val="20"/>
                <w:szCs w:val="22"/>
                <w:lang w:val="fr-CA"/>
              </w:rPr>
              <w:t>.</w:t>
            </w:r>
          </w:p>
        </w:tc>
      </w:tr>
      <w:tr w:rsidR="00817A82" w:rsidRPr="004469AB" w14:paraId="3D5742C2" w14:textId="77777777" w:rsidTr="00817A82">
        <w:tc>
          <w:tcPr>
            <w:tcW w:w="1514" w:type="dxa"/>
            <w:tcBorders>
              <w:top w:val="single" w:sz="4" w:space="0" w:color="auto"/>
              <w:left w:val="single" w:sz="4" w:space="0" w:color="auto"/>
              <w:bottom w:val="single" w:sz="4" w:space="0" w:color="auto"/>
              <w:right w:val="single" w:sz="4" w:space="0" w:color="auto"/>
            </w:tcBorders>
          </w:tcPr>
          <w:p w14:paraId="3D5742BB" w14:textId="30064C8F" w:rsidR="00817A82" w:rsidRPr="00802693" w:rsidRDefault="00F730C3" w:rsidP="00963684">
            <w:pPr>
              <w:keepNext/>
              <w:spacing w:before="40" w:after="40"/>
              <w:jc w:val="left"/>
              <w:rPr>
                <w:sz w:val="20"/>
                <w:lang w:val="fr-CA"/>
              </w:rPr>
            </w:pPr>
            <w:r w:rsidRPr="00802693">
              <w:rPr>
                <w:sz w:val="20"/>
                <w:szCs w:val="22"/>
                <w:lang w:val="fr-CA"/>
              </w:rPr>
              <w:t xml:space="preserve">Dix-neuvième </w:t>
            </w:r>
            <w:r w:rsidR="00817A82" w:rsidRPr="00802693">
              <w:rPr>
                <w:sz w:val="20"/>
                <w:szCs w:val="22"/>
                <w:lang w:val="fr-CA"/>
              </w:rPr>
              <w:t>(2030)</w:t>
            </w:r>
          </w:p>
        </w:tc>
        <w:tc>
          <w:tcPr>
            <w:tcW w:w="7836" w:type="dxa"/>
            <w:tcBorders>
              <w:top w:val="single" w:sz="4" w:space="0" w:color="auto"/>
              <w:left w:val="single" w:sz="4" w:space="0" w:color="auto"/>
              <w:bottom w:val="single" w:sz="4" w:space="0" w:color="auto"/>
              <w:right w:val="single" w:sz="4" w:space="0" w:color="auto"/>
            </w:tcBorders>
          </w:tcPr>
          <w:p w14:paraId="3D5742BC" w14:textId="6D2D9D0B" w:rsidR="001F7DCE" w:rsidRPr="00802693" w:rsidRDefault="00D14CA8" w:rsidP="00963684">
            <w:pPr>
              <w:pStyle w:val="ListParagraph"/>
              <w:keepNext/>
              <w:spacing w:before="40" w:after="40"/>
              <w:ind w:left="353" w:hanging="360"/>
              <w:contextualSpacing w:val="0"/>
              <w:jc w:val="left"/>
              <w:rPr>
                <w:snapToGrid w:val="0"/>
                <w:sz w:val="20"/>
                <w:lang w:val="fr-CA"/>
              </w:rPr>
            </w:pPr>
            <w:r w:rsidRPr="00802693">
              <w:rPr>
                <w:snapToGrid w:val="0"/>
                <w:sz w:val="20"/>
                <w:szCs w:val="22"/>
                <w:lang w:val="fr-CA"/>
              </w:rPr>
              <w:t>a)</w:t>
            </w:r>
            <w:r w:rsidRPr="00802693">
              <w:rPr>
                <w:snapToGrid w:val="0"/>
                <w:sz w:val="20"/>
                <w:szCs w:val="22"/>
                <w:lang w:val="fr-CA"/>
              </w:rPr>
              <w:tab/>
            </w:r>
            <w:r w:rsidR="001F7DCE" w:rsidRPr="00802693">
              <w:rPr>
                <w:snapToGrid w:val="0"/>
                <w:sz w:val="20"/>
                <w:szCs w:val="22"/>
                <w:lang w:val="fr-CA"/>
              </w:rPr>
              <w:t>Analyse mondiale de l</w:t>
            </w:r>
            <w:r w:rsidR="00802693" w:rsidRPr="00802693">
              <w:rPr>
                <w:snapToGrid w:val="0"/>
                <w:sz w:val="20"/>
                <w:szCs w:val="22"/>
                <w:lang w:val="fr-CA"/>
              </w:rPr>
              <w:t>’</w:t>
            </w:r>
            <w:r w:rsidR="001F7DCE" w:rsidRPr="00802693">
              <w:rPr>
                <w:snapToGrid w:val="0"/>
                <w:sz w:val="20"/>
                <w:szCs w:val="22"/>
                <w:lang w:val="fr-CA"/>
              </w:rPr>
              <w:t>information contenue dans les stratégies et plans d</w:t>
            </w:r>
            <w:r w:rsidR="00802693" w:rsidRPr="00802693">
              <w:rPr>
                <w:snapToGrid w:val="0"/>
                <w:sz w:val="20"/>
                <w:szCs w:val="22"/>
                <w:lang w:val="fr-CA"/>
              </w:rPr>
              <w:t>’</w:t>
            </w:r>
            <w:r w:rsidR="001F7DCE" w:rsidRPr="00802693">
              <w:rPr>
                <w:snapToGrid w:val="0"/>
                <w:sz w:val="20"/>
                <w:szCs w:val="22"/>
                <w:lang w:val="fr-CA"/>
              </w:rPr>
              <w:t>action nationaux pour la biodiversité, y compris les cibles nationales, afin d</w:t>
            </w:r>
            <w:r w:rsidR="00802693" w:rsidRPr="00802693">
              <w:rPr>
                <w:snapToGrid w:val="0"/>
                <w:sz w:val="20"/>
                <w:szCs w:val="22"/>
                <w:lang w:val="fr-CA"/>
              </w:rPr>
              <w:t>’</w:t>
            </w:r>
            <w:r w:rsidR="001F7DCE" w:rsidRPr="00802693">
              <w:rPr>
                <w:snapToGrid w:val="0"/>
                <w:sz w:val="20"/>
                <w:szCs w:val="22"/>
                <w:lang w:val="fr-CA"/>
              </w:rPr>
              <w:t>évaluer la contribution au Cadre</w:t>
            </w:r>
            <w:r w:rsidR="00963684">
              <w:rPr>
                <w:snapToGrid w:val="0"/>
                <w:sz w:val="20"/>
                <w:szCs w:val="22"/>
                <w:lang w:val="fr-CA"/>
              </w:rPr>
              <w:t xml:space="preserve"> </w:t>
            </w:r>
            <w:r w:rsidR="001F7DCE" w:rsidRPr="00802693">
              <w:rPr>
                <w:snapToGrid w:val="0"/>
                <w:sz w:val="20"/>
                <w:szCs w:val="22"/>
                <w:lang w:val="fr-CA"/>
              </w:rPr>
              <w:t>;</w:t>
            </w:r>
          </w:p>
          <w:p w14:paraId="3D5742BD" w14:textId="153A6014" w:rsidR="006C6C7F" w:rsidRPr="00802693" w:rsidRDefault="001F7DCE" w:rsidP="00963684">
            <w:pPr>
              <w:pStyle w:val="ListParagraph"/>
              <w:keepNext/>
              <w:spacing w:before="40" w:after="40"/>
              <w:ind w:left="353" w:hanging="360"/>
              <w:contextualSpacing w:val="0"/>
              <w:jc w:val="left"/>
              <w:rPr>
                <w:noProof/>
                <w:sz w:val="20"/>
                <w:lang w:val="fr-CA"/>
              </w:rPr>
            </w:pPr>
            <w:r w:rsidRPr="00802693">
              <w:rPr>
                <w:snapToGrid w:val="0"/>
                <w:sz w:val="20"/>
                <w:szCs w:val="22"/>
                <w:lang w:val="fr-CA"/>
              </w:rPr>
              <w:t>b)</w:t>
            </w:r>
            <w:r w:rsidRPr="00802693">
              <w:rPr>
                <w:snapToGrid w:val="0"/>
                <w:sz w:val="20"/>
                <w:szCs w:val="22"/>
                <w:lang w:val="fr-CA"/>
              </w:rPr>
              <w:tab/>
            </w:r>
            <w:r w:rsidR="00F730C3" w:rsidRPr="00802693">
              <w:rPr>
                <w:snapToGrid w:val="0"/>
                <w:sz w:val="20"/>
                <w:szCs w:val="22"/>
                <w:lang w:val="fr-CA"/>
              </w:rPr>
              <w:t>Évaluation mondiale de la mise en œuvre du Cadre et des moyens de mise en œuvre :</w:t>
            </w:r>
            <w:r w:rsidR="008033CE" w:rsidRPr="00802693">
              <w:rPr>
                <w:snapToGrid w:val="0"/>
                <w:sz w:val="20"/>
                <w:szCs w:val="22"/>
                <w:lang w:val="fr-CA"/>
              </w:rPr>
              <w:t xml:space="preserve"> é</w:t>
            </w:r>
            <w:r w:rsidR="00F730C3" w:rsidRPr="00802693">
              <w:rPr>
                <w:snapToGrid w:val="0"/>
                <w:sz w:val="20"/>
                <w:szCs w:val="22"/>
                <w:lang w:val="fr-CA"/>
              </w:rPr>
              <w:t xml:space="preserve">valuation finale des progrès </w:t>
            </w:r>
            <w:r w:rsidR="00F730C3" w:rsidRPr="00802693">
              <w:rPr>
                <w:noProof/>
                <w:snapToGrid w:val="0"/>
                <w:sz w:val="20"/>
                <w:szCs w:val="22"/>
                <w:lang w:val="fr-CA"/>
              </w:rPr>
              <w:t xml:space="preserve">accomplis </w:t>
            </w:r>
            <w:r w:rsidR="002C678C">
              <w:rPr>
                <w:noProof/>
                <w:snapToGrid w:val="0"/>
                <w:sz w:val="20"/>
                <w:szCs w:val="22"/>
                <w:lang w:val="fr-CA"/>
              </w:rPr>
              <w:t>dans l’atteinte des</w:t>
            </w:r>
            <w:r w:rsidR="00F730C3" w:rsidRPr="00802693">
              <w:rPr>
                <w:noProof/>
                <w:snapToGrid w:val="0"/>
                <w:sz w:val="20"/>
                <w:szCs w:val="22"/>
                <w:lang w:val="fr-CA"/>
              </w:rPr>
              <w:t xml:space="preserve"> cibles du Cadre</w:t>
            </w:r>
            <w:r w:rsidR="00F738A2" w:rsidRPr="00802693">
              <w:rPr>
                <w:noProof/>
                <w:snapToGrid w:val="0"/>
                <w:sz w:val="20"/>
                <w:szCs w:val="22"/>
                <w:lang w:val="fr-CA"/>
              </w:rPr>
              <w:t>, sur la base, entre autres, des huitièmes rapports nationaux</w:t>
            </w:r>
            <w:r w:rsidR="00963684">
              <w:rPr>
                <w:noProof/>
                <w:snapToGrid w:val="0"/>
                <w:sz w:val="20"/>
                <w:szCs w:val="22"/>
                <w:lang w:val="fr-CA"/>
              </w:rPr>
              <w:t xml:space="preserve"> </w:t>
            </w:r>
            <w:r w:rsidR="00802693" w:rsidRPr="00802693">
              <w:rPr>
                <w:noProof/>
                <w:snapToGrid w:val="0"/>
                <w:sz w:val="20"/>
                <w:szCs w:val="22"/>
                <w:lang w:val="fr-CA"/>
              </w:rPr>
              <w:t>;</w:t>
            </w:r>
            <w:r w:rsidR="00C91E3F" w:rsidRPr="00E02D68">
              <w:rPr>
                <w:i/>
                <w:noProof/>
                <w:snapToGrid w:val="0"/>
                <w:sz w:val="20"/>
                <w:szCs w:val="22"/>
                <w:vertAlign w:val="superscript"/>
                <w:lang w:val="fr-CA"/>
              </w:rPr>
              <w:t>g</w:t>
            </w:r>
            <w:r w:rsidRPr="00802693">
              <w:rPr>
                <w:i/>
                <w:iCs/>
                <w:noProof/>
                <w:sz w:val="20"/>
                <w:szCs w:val="22"/>
                <w:vertAlign w:val="superscript"/>
                <w:lang w:val="fr-CA"/>
              </w:rPr>
              <w:t xml:space="preserve"> </w:t>
            </w:r>
          </w:p>
          <w:p w14:paraId="3D5742BE" w14:textId="20435D36" w:rsidR="001F7DCE" w:rsidRPr="00802693" w:rsidRDefault="001F7DCE" w:rsidP="00E77B5F">
            <w:pPr>
              <w:pStyle w:val="ListParagraph"/>
              <w:keepNext/>
              <w:spacing w:before="40" w:after="40"/>
              <w:ind w:left="360" w:hanging="360"/>
              <w:contextualSpacing w:val="0"/>
              <w:jc w:val="left"/>
              <w:rPr>
                <w:noProof/>
                <w:sz w:val="20"/>
                <w:lang w:val="fr-CA"/>
              </w:rPr>
            </w:pPr>
            <w:r w:rsidRPr="00802693">
              <w:rPr>
                <w:noProof/>
                <w:sz w:val="20"/>
                <w:szCs w:val="22"/>
                <w:lang w:val="fr-CA"/>
              </w:rPr>
              <w:lastRenderedPageBreak/>
              <w:t>c)</w:t>
            </w:r>
            <w:r w:rsidRPr="00802693">
              <w:rPr>
                <w:noProof/>
                <w:sz w:val="20"/>
                <w:szCs w:val="22"/>
                <w:lang w:val="fr-CA"/>
              </w:rPr>
              <w:tab/>
              <w:t>Actions stratégiques pour améliorer la mise en œuvre de la Convention et du Cadre, y compris par rapport aux moyens de mise en œuvre</w:t>
            </w:r>
            <w:r w:rsidR="00963684">
              <w:rPr>
                <w:noProof/>
                <w:sz w:val="20"/>
                <w:szCs w:val="22"/>
                <w:lang w:val="fr-CA"/>
              </w:rPr>
              <w:t xml:space="preserve"> </w:t>
            </w:r>
            <w:r w:rsidR="00802693" w:rsidRPr="00802693">
              <w:rPr>
                <w:noProof/>
                <w:sz w:val="20"/>
                <w:szCs w:val="22"/>
                <w:lang w:val="fr-CA"/>
              </w:rPr>
              <w:t>;</w:t>
            </w:r>
          </w:p>
          <w:p w14:paraId="3D5742BF" w14:textId="535BA480" w:rsidR="001F7DCE" w:rsidRPr="00802693" w:rsidRDefault="001F7DCE" w:rsidP="00E77B5F">
            <w:pPr>
              <w:pStyle w:val="ListParagraph"/>
              <w:keepNext/>
              <w:spacing w:before="40" w:after="40"/>
              <w:ind w:left="360" w:hanging="360"/>
              <w:contextualSpacing w:val="0"/>
              <w:jc w:val="left"/>
              <w:rPr>
                <w:noProof/>
                <w:sz w:val="20"/>
                <w:lang w:val="fr-CA"/>
              </w:rPr>
            </w:pPr>
            <w:r w:rsidRPr="00802693">
              <w:rPr>
                <w:noProof/>
                <w:sz w:val="20"/>
                <w:szCs w:val="22"/>
                <w:lang w:val="fr-CA"/>
              </w:rPr>
              <w:t>d)</w:t>
            </w:r>
            <w:r w:rsidRPr="00802693">
              <w:rPr>
                <w:noProof/>
                <w:sz w:val="20"/>
                <w:szCs w:val="22"/>
                <w:lang w:val="fr-CA"/>
              </w:rPr>
              <w:tab/>
              <w:t>Conséquences sur les travaux de la Convention des réalisations attendues de la Plateforme intergouvernementale scientifique et politique sur la biodiversité et les services écosystémiques</w:t>
            </w:r>
            <w:r w:rsidR="00875598" w:rsidRPr="00802693">
              <w:rPr>
                <w:noProof/>
                <w:sz w:val="20"/>
                <w:szCs w:val="22"/>
                <w:lang w:val="fr-CA"/>
              </w:rPr>
              <w:t>, y compris sa deuxième évaluation de la biodiversité et des services écosystémiques</w:t>
            </w:r>
            <w:r w:rsidR="00963684">
              <w:rPr>
                <w:noProof/>
                <w:sz w:val="20"/>
                <w:szCs w:val="22"/>
                <w:lang w:val="fr-CA"/>
              </w:rPr>
              <w:t xml:space="preserve"> </w:t>
            </w:r>
            <w:r w:rsidR="00802693" w:rsidRPr="00802693">
              <w:rPr>
                <w:noProof/>
                <w:sz w:val="20"/>
                <w:szCs w:val="22"/>
                <w:lang w:val="fr-CA"/>
              </w:rPr>
              <w:t>;</w:t>
            </w:r>
            <w:r w:rsidR="00875598" w:rsidRPr="00802693">
              <w:rPr>
                <w:noProof/>
                <w:sz w:val="20"/>
                <w:szCs w:val="22"/>
                <w:lang w:val="fr-CA"/>
              </w:rPr>
              <w:t xml:space="preserve"> </w:t>
            </w:r>
          </w:p>
          <w:p w14:paraId="3D5742C0" w14:textId="577FA3D6" w:rsidR="004A1B66" w:rsidRPr="00802693" w:rsidRDefault="00875598" w:rsidP="00D14CA8">
            <w:pPr>
              <w:keepNext/>
              <w:spacing w:before="40" w:after="40"/>
              <w:ind w:left="360" w:hanging="360"/>
              <w:jc w:val="left"/>
              <w:rPr>
                <w:snapToGrid w:val="0"/>
                <w:sz w:val="20"/>
                <w:lang w:val="fr-CA"/>
              </w:rPr>
            </w:pPr>
            <w:r w:rsidRPr="00802693">
              <w:rPr>
                <w:noProof/>
                <w:snapToGrid w:val="0"/>
                <w:sz w:val="20"/>
                <w:szCs w:val="22"/>
                <w:lang w:val="fr-CA"/>
              </w:rPr>
              <w:t>e)</w:t>
            </w:r>
            <w:r w:rsidRPr="00802693">
              <w:rPr>
                <w:noProof/>
                <w:snapToGrid w:val="0"/>
                <w:sz w:val="20"/>
                <w:szCs w:val="22"/>
                <w:lang w:val="fr-CA"/>
              </w:rPr>
              <w:tab/>
              <w:t xml:space="preserve">Mise </w:t>
            </w:r>
            <w:r w:rsidR="009920CB" w:rsidRPr="00802693">
              <w:rPr>
                <w:noProof/>
                <w:snapToGrid w:val="0"/>
                <w:sz w:val="20"/>
                <w:szCs w:val="22"/>
                <w:lang w:val="fr-CA"/>
              </w:rPr>
              <w:t xml:space="preserve">à </w:t>
            </w:r>
            <w:r w:rsidRPr="00802693">
              <w:rPr>
                <w:noProof/>
                <w:snapToGrid w:val="0"/>
                <w:sz w:val="20"/>
                <w:szCs w:val="22"/>
                <w:lang w:val="fr-CA"/>
              </w:rPr>
              <w:t>jour et suivi du Cadre, et suivi du plan d</w:t>
            </w:r>
            <w:r w:rsidR="00802693" w:rsidRPr="00802693">
              <w:rPr>
                <w:noProof/>
                <w:snapToGrid w:val="0"/>
                <w:sz w:val="20"/>
                <w:szCs w:val="22"/>
                <w:lang w:val="fr-CA"/>
              </w:rPr>
              <w:t>’</w:t>
            </w:r>
            <w:r w:rsidRPr="00802693">
              <w:rPr>
                <w:noProof/>
                <w:snapToGrid w:val="0"/>
                <w:sz w:val="20"/>
                <w:szCs w:val="22"/>
                <w:lang w:val="fr-CA"/>
              </w:rPr>
              <w:t xml:space="preserve">action relatif aux </w:t>
            </w:r>
            <w:r w:rsidR="004E0D22" w:rsidRPr="00802693">
              <w:rPr>
                <w:noProof/>
                <w:snapToGrid w:val="0"/>
                <w:sz w:val="20"/>
                <w:szCs w:val="22"/>
                <w:lang w:val="fr-CA"/>
              </w:rPr>
              <w:t>questions</w:t>
            </w:r>
            <w:r w:rsidRPr="00802693">
              <w:rPr>
                <w:noProof/>
                <w:snapToGrid w:val="0"/>
                <w:sz w:val="20"/>
                <w:szCs w:val="22"/>
                <w:lang w:val="fr-CA"/>
              </w:rPr>
              <w:t xml:space="preserve"> de genre (2023-203</w:t>
            </w:r>
            <w:r w:rsidR="004E0D22" w:rsidRPr="00802693">
              <w:rPr>
                <w:noProof/>
                <w:snapToGrid w:val="0"/>
                <w:sz w:val="20"/>
                <w:szCs w:val="22"/>
                <w:lang w:val="fr-CA"/>
              </w:rPr>
              <w:t>0</w:t>
            </w:r>
            <w:r w:rsidR="004E0D22" w:rsidRPr="00802693">
              <w:rPr>
                <w:snapToGrid w:val="0"/>
                <w:sz w:val="20"/>
                <w:szCs w:val="22"/>
                <w:lang w:val="fr-CA"/>
              </w:rPr>
              <w:t xml:space="preserve">) et </w:t>
            </w:r>
            <w:r w:rsidR="009920CB" w:rsidRPr="00802693">
              <w:rPr>
                <w:snapToGrid w:val="0"/>
                <w:sz w:val="20"/>
                <w:szCs w:val="22"/>
                <w:lang w:val="fr-CA"/>
              </w:rPr>
              <w:t xml:space="preserve">de </w:t>
            </w:r>
            <w:r w:rsidR="004E0D22" w:rsidRPr="00802693">
              <w:rPr>
                <w:snapToGrid w:val="0"/>
                <w:sz w:val="20"/>
                <w:szCs w:val="22"/>
                <w:lang w:val="fr-CA"/>
              </w:rPr>
              <w:t>la stratégie de mobilisati</w:t>
            </w:r>
            <w:r w:rsidRPr="00802693">
              <w:rPr>
                <w:snapToGrid w:val="0"/>
                <w:sz w:val="20"/>
                <w:szCs w:val="22"/>
                <w:lang w:val="fr-CA"/>
              </w:rPr>
              <w:t>on des ressources</w:t>
            </w:r>
            <w:r w:rsidR="002C678C">
              <w:rPr>
                <w:snapToGrid w:val="0"/>
                <w:sz w:val="20"/>
                <w:szCs w:val="22"/>
                <w:lang w:val="fr-CA"/>
              </w:rPr>
              <w:t xml:space="preserve"> </w:t>
            </w:r>
            <w:r w:rsidR="00802693" w:rsidRPr="00802693">
              <w:rPr>
                <w:snapToGrid w:val="0"/>
                <w:sz w:val="20"/>
                <w:szCs w:val="22"/>
                <w:lang w:val="fr-CA"/>
              </w:rPr>
              <w:t>;</w:t>
            </w:r>
            <w:r w:rsidR="00D14CA8" w:rsidRPr="00802693">
              <w:rPr>
                <w:snapToGrid w:val="0"/>
                <w:sz w:val="20"/>
                <w:szCs w:val="22"/>
                <w:lang w:val="fr-CA"/>
              </w:rPr>
              <w:tab/>
            </w:r>
            <w:r w:rsidR="000A35AB" w:rsidRPr="00802693">
              <w:rPr>
                <w:sz w:val="20"/>
                <w:szCs w:val="22"/>
                <w:lang w:val="fr-CA"/>
              </w:rPr>
              <w:t xml:space="preserve"> </w:t>
            </w:r>
          </w:p>
          <w:p w14:paraId="3D5742C1" w14:textId="77777777" w:rsidR="00D34DFB" w:rsidRPr="00802693" w:rsidRDefault="004E0D22" w:rsidP="00F738A2">
            <w:pPr>
              <w:keepNext/>
              <w:spacing w:before="40" w:after="40"/>
              <w:ind w:left="360" w:hanging="360"/>
              <w:jc w:val="left"/>
              <w:rPr>
                <w:sz w:val="20"/>
                <w:lang w:val="fr-CA"/>
              </w:rPr>
            </w:pPr>
            <w:r w:rsidRPr="00802693">
              <w:rPr>
                <w:snapToGrid w:val="0"/>
                <w:sz w:val="20"/>
                <w:szCs w:val="22"/>
                <w:lang w:val="fr-CA"/>
              </w:rPr>
              <w:t>f</w:t>
            </w:r>
            <w:r w:rsidR="00D14CA8" w:rsidRPr="00802693">
              <w:rPr>
                <w:snapToGrid w:val="0"/>
                <w:sz w:val="20"/>
                <w:szCs w:val="22"/>
                <w:lang w:val="fr-CA"/>
              </w:rPr>
              <w:t>)</w:t>
            </w:r>
            <w:r w:rsidR="00D14CA8" w:rsidRPr="00802693">
              <w:rPr>
                <w:snapToGrid w:val="0"/>
                <w:sz w:val="20"/>
                <w:szCs w:val="22"/>
                <w:lang w:val="fr-CA"/>
              </w:rPr>
              <w:tab/>
            </w:r>
            <w:r w:rsidR="00D34DFB" w:rsidRPr="00802693">
              <w:rPr>
                <w:sz w:val="20"/>
                <w:szCs w:val="22"/>
                <w:lang w:val="fr-CA"/>
              </w:rPr>
              <w:t>[</w:t>
            </w:r>
            <w:r w:rsidR="00F738A2" w:rsidRPr="00802693">
              <w:rPr>
                <w:i/>
                <w:iCs/>
                <w:sz w:val="20"/>
                <w:szCs w:val="22"/>
                <w:lang w:val="fr-CA"/>
              </w:rPr>
              <w:t>Autres points à déterminer</w:t>
            </w:r>
            <w:r w:rsidR="00D34DFB" w:rsidRPr="00802693">
              <w:rPr>
                <w:sz w:val="20"/>
                <w:szCs w:val="22"/>
                <w:lang w:val="fr-CA"/>
              </w:rPr>
              <w:t>]</w:t>
            </w:r>
            <w:r w:rsidR="00FA38EC" w:rsidRPr="00802693">
              <w:rPr>
                <w:sz w:val="20"/>
                <w:szCs w:val="22"/>
                <w:lang w:val="fr-CA"/>
              </w:rPr>
              <w:t>.</w:t>
            </w:r>
          </w:p>
        </w:tc>
      </w:tr>
    </w:tbl>
    <w:p w14:paraId="3D5742C3" w14:textId="77777777" w:rsidR="008903EC" w:rsidRDefault="009F080D" w:rsidP="002C678C">
      <w:pPr>
        <w:pStyle w:val="Para1"/>
        <w:numPr>
          <w:ilvl w:val="0"/>
          <w:numId w:val="0"/>
        </w:numPr>
        <w:tabs>
          <w:tab w:val="clear" w:pos="1134"/>
          <w:tab w:val="left" w:pos="360"/>
        </w:tabs>
        <w:spacing w:before="0" w:after="40"/>
        <w:rPr>
          <w:sz w:val="18"/>
          <w:szCs w:val="18"/>
          <w:lang w:val="fr-CA"/>
        </w:rPr>
      </w:pPr>
      <w:r w:rsidRPr="00802693">
        <w:rPr>
          <w:i/>
          <w:iCs/>
          <w:sz w:val="18"/>
          <w:szCs w:val="18"/>
          <w:vertAlign w:val="superscript"/>
          <w:lang w:val="fr-CA"/>
        </w:rPr>
        <w:lastRenderedPageBreak/>
        <w:t>a</w:t>
      </w:r>
      <w:r w:rsidRPr="00802693">
        <w:rPr>
          <w:sz w:val="18"/>
          <w:szCs w:val="18"/>
          <w:lang w:val="fr-CA"/>
        </w:rPr>
        <w:tab/>
      </w:r>
      <w:r w:rsidR="00F738A2" w:rsidRPr="00802693">
        <w:rPr>
          <w:sz w:val="18"/>
          <w:szCs w:val="18"/>
          <w:lang w:val="fr-CA"/>
        </w:rPr>
        <w:t>Réalisé de concert avec l</w:t>
      </w:r>
      <w:r w:rsidR="00802693" w:rsidRPr="00802693">
        <w:rPr>
          <w:sz w:val="18"/>
          <w:szCs w:val="18"/>
          <w:lang w:val="fr-CA"/>
        </w:rPr>
        <w:t>’</w:t>
      </w:r>
      <w:r w:rsidR="00F738A2" w:rsidRPr="00802693">
        <w:rPr>
          <w:sz w:val="18"/>
          <w:szCs w:val="18"/>
          <w:lang w:val="fr-CA"/>
        </w:rPr>
        <w:t xml:space="preserve">examen de la stratégie pour la mobilisation des ressources (par. 46 de la décision 15/7), </w:t>
      </w:r>
      <w:r w:rsidR="00187DF4" w:rsidRPr="00802693">
        <w:rPr>
          <w:sz w:val="18"/>
          <w:szCs w:val="18"/>
          <w:lang w:val="fr-CA"/>
        </w:rPr>
        <w:t>l</w:t>
      </w:r>
      <w:r w:rsidR="00802693" w:rsidRPr="00802693">
        <w:rPr>
          <w:sz w:val="18"/>
          <w:szCs w:val="18"/>
          <w:lang w:val="fr-CA"/>
        </w:rPr>
        <w:t>’</w:t>
      </w:r>
      <w:r w:rsidR="00F738A2" w:rsidRPr="00802693">
        <w:rPr>
          <w:sz w:val="18"/>
          <w:szCs w:val="18"/>
          <w:lang w:val="fr-CA"/>
        </w:rPr>
        <w:t>examen de mi-mandat des conséquences du Plan d</w:t>
      </w:r>
      <w:r w:rsidR="00802693" w:rsidRPr="00802693">
        <w:rPr>
          <w:sz w:val="18"/>
          <w:szCs w:val="18"/>
          <w:lang w:val="fr-CA"/>
        </w:rPr>
        <w:t>’</w:t>
      </w:r>
      <w:r w:rsidR="00F738A2" w:rsidRPr="00802693">
        <w:rPr>
          <w:sz w:val="18"/>
          <w:szCs w:val="18"/>
          <w:lang w:val="fr-CA"/>
        </w:rPr>
        <w:t xml:space="preserve">action </w:t>
      </w:r>
      <w:r w:rsidR="00560F0E" w:rsidRPr="00802693">
        <w:rPr>
          <w:sz w:val="18"/>
          <w:szCs w:val="18"/>
          <w:lang w:val="fr-CA"/>
        </w:rPr>
        <w:t xml:space="preserve">relatif aux questions de genre (2023-2030) (par. 9 de la décision 15/11), </w:t>
      </w:r>
      <w:r w:rsidR="00187DF4" w:rsidRPr="00802693">
        <w:rPr>
          <w:sz w:val="18"/>
          <w:szCs w:val="18"/>
          <w:lang w:val="fr-CA"/>
        </w:rPr>
        <w:t>l</w:t>
      </w:r>
      <w:r w:rsidR="00802693" w:rsidRPr="00802693">
        <w:rPr>
          <w:sz w:val="18"/>
          <w:szCs w:val="18"/>
          <w:lang w:val="fr-CA"/>
        </w:rPr>
        <w:t>’</w:t>
      </w:r>
      <w:r w:rsidR="00560F0E" w:rsidRPr="00802693">
        <w:rPr>
          <w:sz w:val="18"/>
          <w:szCs w:val="18"/>
          <w:lang w:val="fr-CA"/>
        </w:rPr>
        <w:t xml:space="preserve">examen du mécanisme de coopération technique et scientifique (par. 32 j) de la décision 15/8) et </w:t>
      </w:r>
      <w:r w:rsidR="00187DF4" w:rsidRPr="00802693">
        <w:rPr>
          <w:sz w:val="18"/>
          <w:szCs w:val="18"/>
          <w:lang w:val="fr-CA"/>
        </w:rPr>
        <w:t>l</w:t>
      </w:r>
      <w:r w:rsidR="00802693" w:rsidRPr="00802693">
        <w:rPr>
          <w:sz w:val="18"/>
          <w:szCs w:val="18"/>
          <w:lang w:val="fr-CA"/>
        </w:rPr>
        <w:t>’</w:t>
      </w:r>
      <w:r w:rsidR="00560F0E" w:rsidRPr="00802693">
        <w:rPr>
          <w:sz w:val="18"/>
          <w:szCs w:val="18"/>
          <w:lang w:val="fr-CA"/>
        </w:rPr>
        <w:t>examen du rôle des gouvernements infranationaux, des villes et des autres autorités locales dans la mise en œuvre des objectifs de la Convention et de ses protocoles</w:t>
      </w:r>
      <w:r w:rsidR="008033CE" w:rsidRPr="00802693">
        <w:rPr>
          <w:sz w:val="18"/>
          <w:szCs w:val="18"/>
          <w:lang w:val="fr-CA"/>
        </w:rPr>
        <w:t>,</w:t>
      </w:r>
      <w:r w:rsidR="00560F0E" w:rsidRPr="00802693">
        <w:rPr>
          <w:sz w:val="18"/>
          <w:szCs w:val="18"/>
          <w:lang w:val="fr-CA"/>
        </w:rPr>
        <w:t xml:space="preserve"> et du Cadre (par. 7 de la décision 15/12). </w:t>
      </w:r>
    </w:p>
    <w:p w14:paraId="3D5FBF05" w14:textId="45233E5E" w:rsidR="002C678C" w:rsidRPr="00802693" w:rsidRDefault="002C678C" w:rsidP="002C678C">
      <w:pPr>
        <w:pStyle w:val="Para1"/>
        <w:numPr>
          <w:ilvl w:val="0"/>
          <w:numId w:val="0"/>
        </w:numPr>
        <w:tabs>
          <w:tab w:val="clear" w:pos="1134"/>
          <w:tab w:val="left" w:pos="360"/>
        </w:tabs>
        <w:spacing w:before="0" w:after="40"/>
        <w:rPr>
          <w:sz w:val="18"/>
          <w:szCs w:val="18"/>
          <w:lang w:val="fr-CA"/>
        </w:rPr>
      </w:pPr>
      <w:r w:rsidRPr="002C678C">
        <w:rPr>
          <w:i/>
          <w:sz w:val="18"/>
          <w:szCs w:val="18"/>
          <w:vertAlign w:val="superscript"/>
          <w:lang w:val="fr-CA"/>
        </w:rPr>
        <w:t>b.</w:t>
      </w:r>
      <w:r>
        <w:rPr>
          <w:sz w:val="18"/>
          <w:szCs w:val="18"/>
          <w:lang w:val="fr-CA"/>
        </w:rPr>
        <w:tab/>
        <w:t>Annexe I à la décision 15/5.</w:t>
      </w:r>
    </w:p>
    <w:p w14:paraId="3D5742C4" w14:textId="4F51DD57" w:rsidR="004E0D22" w:rsidRPr="00802693" w:rsidRDefault="002C678C" w:rsidP="002C678C">
      <w:pPr>
        <w:pStyle w:val="Para1"/>
        <w:numPr>
          <w:ilvl w:val="0"/>
          <w:numId w:val="0"/>
        </w:numPr>
        <w:tabs>
          <w:tab w:val="clear" w:pos="1134"/>
          <w:tab w:val="left" w:pos="360"/>
        </w:tabs>
        <w:spacing w:before="0" w:after="40"/>
        <w:rPr>
          <w:sz w:val="18"/>
          <w:szCs w:val="18"/>
          <w:lang w:val="fr-CA"/>
        </w:rPr>
      </w:pPr>
      <w:r>
        <w:rPr>
          <w:i/>
          <w:sz w:val="18"/>
          <w:szCs w:val="18"/>
          <w:vertAlign w:val="superscript"/>
          <w:lang w:val="fr-CA"/>
        </w:rPr>
        <w:t>c</w:t>
      </w:r>
      <w:r w:rsidR="004E0D22" w:rsidRPr="00802693">
        <w:rPr>
          <w:i/>
          <w:sz w:val="18"/>
          <w:szCs w:val="18"/>
          <w:vertAlign w:val="superscript"/>
          <w:lang w:val="fr-CA"/>
        </w:rPr>
        <w:tab/>
      </w:r>
      <w:r w:rsidR="00C91E3F" w:rsidRPr="00802693">
        <w:rPr>
          <w:sz w:val="18"/>
          <w:szCs w:val="18"/>
          <w:lang w:val="fr-CA"/>
        </w:rPr>
        <w:t>En attente d’une décision de la Conférence des Parties à sa seizième réunion</w:t>
      </w:r>
    </w:p>
    <w:p w14:paraId="3D5742C5" w14:textId="0ABDCBB9" w:rsidR="009F080D" w:rsidRPr="00802693" w:rsidRDefault="002C678C" w:rsidP="00E77B5F">
      <w:pPr>
        <w:pStyle w:val="Para1"/>
        <w:numPr>
          <w:ilvl w:val="0"/>
          <w:numId w:val="0"/>
        </w:numPr>
        <w:tabs>
          <w:tab w:val="clear" w:pos="1134"/>
          <w:tab w:val="left" w:pos="360"/>
        </w:tabs>
        <w:spacing w:before="40" w:after="40"/>
        <w:rPr>
          <w:sz w:val="18"/>
          <w:szCs w:val="18"/>
          <w:lang w:val="fr-CA"/>
        </w:rPr>
      </w:pPr>
      <w:r>
        <w:rPr>
          <w:i/>
          <w:iCs/>
          <w:sz w:val="18"/>
          <w:szCs w:val="18"/>
          <w:vertAlign w:val="superscript"/>
          <w:lang w:val="fr-CA"/>
        </w:rPr>
        <w:t>d</w:t>
      </w:r>
      <w:r w:rsidR="009F080D" w:rsidRPr="00802693">
        <w:rPr>
          <w:sz w:val="18"/>
          <w:szCs w:val="18"/>
          <w:lang w:val="fr-CA"/>
        </w:rPr>
        <w:tab/>
      </w:r>
      <w:r w:rsidR="00560F0E" w:rsidRPr="00802693">
        <w:rPr>
          <w:sz w:val="18"/>
          <w:szCs w:val="18"/>
          <w:lang w:val="fr-CA"/>
        </w:rPr>
        <w:t xml:space="preserve">En attente </w:t>
      </w:r>
      <w:r w:rsidR="004E0D22" w:rsidRPr="00802693">
        <w:rPr>
          <w:sz w:val="18"/>
          <w:szCs w:val="18"/>
          <w:lang w:val="fr-CA"/>
        </w:rPr>
        <w:t>d</w:t>
      </w:r>
      <w:r w:rsidR="00802693" w:rsidRPr="00802693">
        <w:rPr>
          <w:sz w:val="18"/>
          <w:szCs w:val="18"/>
          <w:lang w:val="fr-CA"/>
        </w:rPr>
        <w:t>’</w:t>
      </w:r>
      <w:r w:rsidR="004E0D22" w:rsidRPr="00802693">
        <w:rPr>
          <w:sz w:val="18"/>
          <w:szCs w:val="18"/>
          <w:lang w:val="fr-CA"/>
        </w:rPr>
        <w:t>une décision de la Conférence des Parties à sa seizième réunion</w:t>
      </w:r>
      <w:r w:rsidR="00D74DB3" w:rsidRPr="00802693">
        <w:rPr>
          <w:sz w:val="18"/>
          <w:szCs w:val="18"/>
          <w:lang w:val="fr-CA"/>
        </w:rPr>
        <w:t>.</w:t>
      </w:r>
    </w:p>
    <w:p w14:paraId="3D5742C6" w14:textId="7AC4B5A0" w:rsidR="00D74DB3" w:rsidRPr="00802693" w:rsidRDefault="002C678C" w:rsidP="00E77B5F">
      <w:pPr>
        <w:pStyle w:val="Para1"/>
        <w:numPr>
          <w:ilvl w:val="0"/>
          <w:numId w:val="0"/>
        </w:numPr>
        <w:tabs>
          <w:tab w:val="clear" w:pos="1134"/>
          <w:tab w:val="left" w:pos="360"/>
        </w:tabs>
        <w:spacing w:before="40" w:after="40"/>
        <w:rPr>
          <w:sz w:val="18"/>
          <w:szCs w:val="18"/>
          <w:lang w:val="fr-CA"/>
        </w:rPr>
      </w:pPr>
      <w:r>
        <w:rPr>
          <w:i/>
          <w:iCs/>
          <w:sz w:val="18"/>
          <w:szCs w:val="18"/>
          <w:vertAlign w:val="superscript"/>
          <w:lang w:val="fr-CA"/>
        </w:rPr>
        <w:t>e</w:t>
      </w:r>
      <w:r w:rsidR="00D74DB3" w:rsidRPr="00802693">
        <w:rPr>
          <w:sz w:val="18"/>
          <w:szCs w:val="18"/>
          <w:lang w:val="fr-CA"/>
        </w:rPr>
        <w:tab/>
      </w:r>
      <w:r w:rsidR="00560F0E" w:rsidRPr="00802693">
        <w:rPr>
          <w:sz w:val="18"/>
          <w:szCs w:val="18"/>
          <w:lang w:val="fr-CA"/>
        </w:rPr>
        <w:t>Menée de concert avec l</w:t>
      </w:r>
      <w:r w:rsidR="00802693" w:rsidRPr="00802693">
        <w:rPr>
          <w:sz w:val="18"/>
          <w:szCs w:val="18"/>
          <w:lang w:val="fr-CA"/>
        </w:rPr>
        <w:t>’</w:t>
      </w:r>
      <w:r w:rsidR="00560F0E" w:rsidRPr="00802693">
        <w:rPr>
          <w:sz w:val="18"/>
          <w:szCs w:val="18"/>
          <w:lang w:val="fr-CA"/>
        </w:rPr>
        <w:t>examen plus approfondi de la stratégie pour la mobilisation des ressources (par. 46 de la décision </w:t>
      </w:r>
      <w:r w:rsidR="008033CE" w:rsidRPr="00802693">
        <w:rPr>
          <w:sz w:val="18"/>
          <w:szCs w:val="18"/>
          <w:lang w:val="fr-CA"/>
        </w:rPr>
        <w:t>15/7</w:t>
      </w:r>
      <w:r w:rsidR="00560F0E" w:rsidRPr="00802693">
        <w:rPr>
          <w:sz w:val="18"/>
          <w:szCs w:val="18"/>
          <w:lang w:val="fr-CA"/>
        </w:rPr>
        <w:t>)</w:t>
      </w:r>
    </w:p>
    <w:p w14:paraId="3D5742C7" w14:textId="1A813C41" w:rsidR="00CC0193" w:rsidRPr="00802693" w:rsidRDefault="002C678C" w:rsidP="00E77B5F">
      <w:pPr>
        <w:pStyle w:val="Para1"/>
        <w:numPr>
          <w:ilvl w:val="0"/>
          <w:numId w:val="0"/>
        </w:numPr>
        <w:tabs>
          <w:tab w:val="clear" w:pos="1134"/>
          <w:tab w:val="left" w:pos="360"/>
        </w:tabs>
        <w:spacing w:before="40" w:after="40"/>
        <w:rPr>
          <w:sz w:val="18"/>
          <w:szCs w:val="18"/>
          <w:lang w:val="fr-CA"/>
        </w:rPr>
      </w:pPr>
      <w:r>
        <w:rPr>
          <w:i/>
          <w:iCs/>
          <w:sz w:val="18"/>
          <w:szCs w:val="18"/>
          <w:vertAlign w:val="superscript"/>
          <w:lang w:val="fr-CA"/>
        </w:rPr>
        <w:t>f</w:t>
      </w:r>
      <w:r w:rsidR="00CC0193" w:rsidRPr="00802693">
        <w:rPr>
          <w:sz w:val="18"/>
          <w:szCs w:val="18"/>
          <w:lang w:val="fr-CA"/>
        </w:rPr>
        <w:tab/>
      </w:r>
      <w:r w:rsidR="00560F0E" w:rsidRPr="00802693">
        <w:rPr>
          <w:sz w:val="18"/>
          <w:szCs w:val="18"/>
          <w:lang w:val="fr-CA"/>
        </w:rPr>
        <w:t>Par</w:t>
      </w:r>
      <w:r w:rsidR="00207B66" w:rsidRPr="00802693">
        <w:rPr>
          <w:sz w:val="18"/>
          <w:szCs w:val="18"/>
          <w:lang w:val="fr-CA"/>
        </w:rPr>
        <w:t>agraphe</w:t>
      </w:r>
      <w:r w:rsidR="00560F0E" w:rsidRPr="00802693">
        <w:rPr>
          <w:sz w:val="18"/>
          <w:szCs w:val="18"/>
          <w:lang w:val="fr-CA"/>
        </w:rPr>
        <w:t xml:space="preserve"> 29 de la décision 15/15</w:t>
      </w:r>
      <w:r w:rsidR="00CC0193" w:rsidRPr="00802693">
        <w:rPr>
          <w:sz w:val="18"/>
          <w:szCs w:val="18"/>
          <w:lang w:val="fr-CA"/>
        </w:rPr>
        <w:t>.</w:t>
      </w:r>
    </w:p>
    <w:p w14:paraId="3D5742C8" w14:textId="43235424" w:rsidR="001C5E62" w:rsidRPr="00802693" w:rsidRDefault="002C678C" w:rsidP="00E77B5F">
      <w:pPr>
        <w:pStyle w:val="Para1"/>
        <w:numPr>
          <w:ilvl w:val="0"/>
          <w:numId w:val="0"/>
        </w:numPr>
        <w:tabs>
          <w:tab w:val="clear" w:pos="1134"/>
          <w:tab w:val="left" w:pos="360"/>
        </w:tabs>
        <w:spacing w:before="40"/>
        <w:rPr>
          <w:sz w:val="18"/>
          <w:szCs w:val="18"/>
          <w:lang w:val="fr-CA"/>
        </w:rPr>
      </w:pPr>
      <w:r>
        <w:rPr>
          <w:i/>
          <w:iCs/>
          <w:sz w:val="18"/>
          <w:szCs w:val="18"/>
          <w:vertAlign w:val="superscript"/>
          <w:lang w:val="fr-CA"/>
        </w:rPr>
        <w:t>g</w:t>
      </w:r>
      <w:r w:rsidR="001C5E62" w:rsidRPr="00802693">
        <w:rPr>
          <w:sz w:val="18"/>
          <w:szCs w:val="18"/>
          <w:lang w:val="fr-CA"/>
        </w:rPr>
        <w:tab/>
      </w:r>
      <w:r w:rsidR="00560F0E" w:rsidRPr="00802693">
        <w:rPr>
          <w:sz w:val="18"/>
          <w:szCs w:val="18"/>
          <w:lang w:val="fr-CA"/>
        </w:rPr>
        <w:t>Réalisé</w:t>
      </w:r>
      <w:r w:rsidR="00FD7AA5" w:rsidRPr="00802693">
        <w:rPr>
          <w:sz w:val="18"/>
          <w:szCs w:val="18"/>
          <w:lang w:val="fr-CA"/>
        </w:rPr>
        <w:t>s de concert avec l</w:t>
      </w:r>
      <w:r w:rsidR="00802693" w:rsidRPr="00802693">
        <w:rPr>
          <w:sz w:val="18"/>
          <w:szCs w:val="18"/>
          <w:lang w:val="fr-CA"/>
        </w:rPr>
        <w:t>’</w:t>
      </w:r>
      <w:r w:rsidR="00FD7AA5" w:rsidRPr="00802693">
        <w:rPr>
          <w:sz w:val="18"/>
          <w:szCs w:val="18"/>
          <w:lang w:val="fr-CA"/>
        </w:rPr>
        <w:t>évaluation du cadre stratégique à long terme pour le développement et le renforcement des capacités (par. 16 i) de la décision 15/8) et autres mécanismes adoptés par la Conférence des Parties pour soutenir les méthodes de mise en œuvre</w:t>
      </w:r>
      <w:r w:rsidR="001C5E62" w:rsidRPr="00802693">
        <w:rPr>
          <w:sz w:val="18"/>
          <w:szCs w:val="18"/>
          <w:lang w:val="fr-CA"/>
        </w:rPr>
        <w:t>.</w:t>
      </w:r>
      <w:r w:rsidR="00802693">
        <w:rPr>
          <w:sz w:val="18"/>
          <w:szCs w:val="18"/>
          <w:lang w:val="fr-CA"/>
        </w:rPr>
        <w:t>]</w:t>
      </w:r>
    </w:p>
    <w:p w14:paraId="3D5742C9" w14:textId="77777777" w:rsidR="002B559C" w:rsidRPr="00802693" w:rsidRDefault="00ED3849">
      <w:pPr>
        <w:pStyle w:val="Para1"/>
        <w:numPr>
          <w:ilvl w:val="0"/>
          <w:numId w:val="0"/>
        </w:numPr>
        <w:jc w:val="center"/>
        <w:rPr>
          <w:lang w:val="fr-CA"/>
        </w:rPr>
      </w:pPr>
      <w:r w:rsidRPr="00802693">
        <w:rPr>
          <w:lang w:val="fr-CA"/>
        </w:rPr>
        <w:t>__________</w:t>
      </w:r>
    </w:p>
    <w:sectPr w:rsidR="002B559C" w:rsidRPr="00802693" w:rsidSect="009F3E1F">
      <w:headerReference w:type="even" r:id="rId16"/>
      <w:headerReference w:type="default" r:id="rId17"/>
      <w:footerReference w:type="even" r:id="rId18"/>
      <w:footerReference w:type="default" r:id="rId19"/>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A18802" w14:textId="77777777" w:rsidR="00F90002" w:rsidRDefault="00F90002" w:rsidP="00A96B21">
      <w:r>
        <w:separator/>
      </w:r>
    </w:p>
  </w:endnote>
  <w:endnote w:type="continuationSeparator" w:id="0">
    <w:p w14:paraId="38BB1A04" w14:textId="77777777" w:rsidR="00F90002" w:rsidRDefault="00F90002" w:rsidP="00A96B21">
      <w:r>
        <w:continuationSeparator/>
      </w:r>
    </w:p>
  </w:endnote>
  <w:endnote w:type="continuationNotice" w:id="1">
    <w:p w14:paraId="7F20D731" w14:textId="77777777" w:rsidR="00F90002" w:rsidRDefault="00F90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variable"/>
    <w:sig w:usb0="00000000"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745602"/>
      <w:docPartObj>
        <w:docPartGallery w:val="Page Numbers (Bottom of Page)"/>
        <w:docPartUnique/>
      </w:docPartObj>
    </w:sdtPr>
    <w:sdtEndPr/>
    <w:sdtContent>
      <w:sdt>
        <w:sdtPr>
          <w:id w:val="1601221097"/>
          <w:docPartObj>
            <w:docPartGallery w:val="Page Numbers (Top of Page)"/>
            <w:docPartUnique/>
          </w:docPartObj>
        </w:sdtPr>
        <w:sdtEndPr/>
        <w:sdtContent>
          <w:p w14:paraId="3D5742D8" w14:textId="77777777" w:rsidR="0051253C" w:rsidRDefault="0009331B">
            <w:pPr>
              <w:pStyle w:val="Footer"/>
            </w:pPr>
            <w:r w:rsidRPr="002B559C">
              <w:rPr>
                <w:sz w:val="20"/>
                <w:szCs w:val="20"/>
              </w:rPr>
              <w:fldChar w:fldCharType="begin"/>
            </w:r>
            <w:r w:rsidR="0051253C" w:rsidRPr="002B559C">
              <w:rPr>
                <w:sz w:val="20"/>
                <w:szCs w:val="20"/>
              </w:rPr>
              <w:instrText xml:space="preserve"> PAGE </w:instrText>
            </w:r>
            <w:r w:rsidRPr="002B559C">
              <w:rPr>
                <w:sz w:val="20"/>
                <w:szCs w:val="20"/>
              </w:rPr>
              <w:fldChar w:fldCharType="separate"/>
            </w:r>
            <w:r w:rsidR="00926C93">
              <w:rPr>
                <w:noProof/>
                <w:sz w:val="20"/>
                <w:szCs w:val="20"/>
              </w:rPr>
              <w:t>4</w:t>
            </w:r>
            <w:r w:rsidRPr="002B559C">
              <w:rPr>
                <w:sz w:val="20"/>
                <w:szCs w:val="20"/>
              </w:rPr>
              <w:fldChar w:fldCharType="end"/>
            </w:r>
            <w:r w:rsidR="0051253C" w:rsidRPr="002B559C">
              <w:rPr>
                <w:sz w:val="20"/>
                <w:szCs w:val="20"/>
              </w:rPr>
              <w:t>/</w:t>
            </w:r>
            <w:r w:rsidRPr="002B559C">
              <w:rPr>
                <w:sz w:val="20"/>
                <w:szCs w:val="20"/>
              </w:rPr>
              <w:fldChar w:fldCharType="begin"/>
            </w:r>
            <w:r w:rsidR="0051253C" w:rsidRPr="002B559C">
              <w:rPr>
                <w:sz w:val="20"/>
                <w:szCs w:val="20"/>
              </w:rPr>
              <w:instrText xml:space="preserve"> NUMPAGES  </w:instrText>
            </w:r>
            <w:r w:rsidRPr="002B559C">
              <w:rPr>
                <w:sz w:val="20"/>
                <w:szCs w:val="20"/>
              </w:rPr>
              <w:fldChar w:fldCharType="separate"/>
            </w:r>
            <w:r w:rsidR="00926C93">
              <w:rPr>
                <w:noProof/>
                <w:sz w:val="20"/>
                <w:szCs w:val="20"/>
              </w:rPr>
              <w:t>4</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6696978"/>
      <w:docPartObj>
        <w:docPartGallery w:val="Page Numbers (Bottom of Page)"/>
        <w:docPartUnique/>
      </w:docPartObj>
    </w:sdtPr>
    <w:sdtEndPr/>
    <w:sdtContent>
      <w:sdt>
        <w:sdtPr>
          <w:id w:val="-2045743300"/>
          <w:docPartObj>
            <w:docPartGallery w:val="Page Numbers (Top of Page)"/>
            <w:docPartUnique/>
          </w:docPartObj>
        </w:sdtPr>
        <w:sdtEndPr/>
        <w:sdtContent>
          <w:p w14:paraId="3D5742D9" w14:textId="77777777" w:rsidR="0051253C" w:rsidRDefault="0009331B" w:rsidP="002B559C">
            <w:pPr>
              <w:pStyle w:val="Footer"/>
              <w:jc w:val="right"/>
            </w:pPr>
            <w:r w:rsidRPr="002B559C">
              <w:rPr>
                <w:sz w:val="20"/>
                <w:szCs w:val="20"/>
              </w:rPr>
              <w:fldChar w:fldCharType="begin"/>
            </w:r>
            <w:r w:rsidR="0051253C" w:rsidRPr="002B559C">
              <w:rPr>
                <w:sz w:val="20"/>
                <w:szCs w:val="20"/>
              </w:rPr>
              <w:instrText xml:space="preserve"> PAGE </w:instrText>
            </w:r>
            <w:r w:rsidRPr="002B559C">
              <w:rPr>
                <w:sz w:val="20"/>
                <w:szCs w:val="20"/>
              </w:rPr>
              <w:fldChar w:fldCharType="separate"/>
            </w:r>
            <w:r w:rsidR="00926C93">
              <w:rPr>
                <w:noProof/>
                <w:sz w:val="20"/>
                <w:szCs w:val="20"/>
              </w:rPr>
              <w:t>3</w:t>
            </w:r>
            <w:r w:rsidRPr="002B559C">
              <w:rPr>
                <w:sz w:val="20"/>
                <w:szCs w:val="20"/>
              </w:rPr>
              <w:fldChar w:fldCharType="end"/>
            </w:r>
            <w:r w:rsidR="0051253C" w:rsidRPr="002B559C">
              <w:rPr>
                <w:sz w:val="20"/>
                <w:szCs w:val="20"/>
              </w:rPr>
              <w:t>/</w:t>
            </w:r>
            <w:r w:rsidRPr="002B559C">
              <w:rPr>
                <w:sz w:val="20"/>
                <w:szCs w:val="20"/>
              </w:rPr>
              <w:fldChar w:fldCharType="begin"/>
            </w:r>
            <w:r w:rsidR="0051253C" w:rsidRPr="002B559C">
              <w:rPr>
                <w:sz w:val="20"/>
                <w:szCs w:val="20"/>
              </w:rPr>
              <w:instrText xml:space="preserve"> NUMPAGES  </w:instrText>
            </w:r>
            <w:r w:rsidRPr="002B559C">
              <w:rPr>
                <w:sz w:val="20"/>
                <w:szCs w:val="20"/>
              </w:rPr>
              <w:fldChar w:fldCharType="separate"/>
            </w:r>
            <w:r w:rsidR="00926C93">
              <w:rPr>
                <w:noProof/>
                <w:sz w:val="20"/>
                <w:szCs w:val="20"/>
              </w:rPr>
              <w:t>4</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246E7" w14:textId="77777777" w:rsidR="00F90002" w:rsidRDefault="00F90002" w:rsidP="00A96B21">
      <w:r>
        <w:separator/>
      </w:r>
    </w:p>
  </w:footnote>
  <w:footnote w:type="continuationSeparator" w:id="0">
    <w:p w14:paraId="53E9D98D" w14:textId="77777777" w:rsidR="00F90002" w:rsidRDefault="00F90002" w:rsidP="00A96B21">
      <w:r>
        <w:continuationSeparator/>
      </w:r>
    </w:p>
  </w:footnote>
  <w:footnote w:type="continuationNotice" w:id="1">
    <w:p w14:paraId="73CCA133" w14:textId="77777777" w:rsidR="00F90002" w:rsidRDefault="00F90002"/>
  </w:footnote>
  <w:footnote w:id="2">
    <w:p w14:paraId="07B10CB9" w14:textId="69DC8FD4" w:rsidR="004469AB" w:rsidRPr="004469AB" w:rsidRDefault="004469AB">
      <w:pPr>
        <w:pStyle w:val="FootnoteText"/>
        <w:rPr>
          <w:lang w:val="fr-FR"/>
        </w:rPr>
      </w:pPr>
      <w:r w:rsidRPr="004469AB">
        <w:rPr>
          <w:rStyle w:val="FootnoteReference"/>
          <w:lang w:val="fr-FR"/>
        </w:rPr>
        <w:t>*</w:t>
      </w:r>
      <w:r w:rsidRPr="004469AB">
        <w:rPr>
          <w:lang w:val="fr-FR"/>
        </w:rPr>
        <w:t xml:space="preserve"> </w:t>
      </w:r>
      <w:r w:rsidRPr="00D81794">
        <w:rPr>
          <w:sz w:val="18"/>
          <w:szCs w:val="18"/>
          <w:lang w:val="fr-FR"/>
        </w:rPr>
        <w:t>Nouveau tirage pour raisons techniques (</w:t>
      </w:r>
      <w:r w:rsidR="00204300">
        <w:rPr>
          <w:sz w:val="18"/>
          <w:szCs w:val="18"/>
          <w:lang w:val="fr-FR"/>
        </w:rPr>
        <w:t>10</w:t>
      </w:r>
      <w:r>
        <w:rPr>
          <w:sz w:val="18"/>
          <w:szCs w:val="18"/>
          <w:lang w:val="fr-FR"/>
        </w:rPr>
        <w:t xml:space="preserve"> septembre</w:t>
      </w:r>
      <w:r w:rsidRPr="00D81794">
        <w:rPr>
          <w:sz w:val="18"/>
          <w:szCs w:val="18"/>
          <w:lang w:val="fr-FR"/>
        </w:rPr>
        <w:t xml:space="preserve"> 2024).</w:t>
      </w:r>
    </w:p>
  </w:footnote>
  <w:footnote w:id="3">
    <w:p w14:paraId="3D5742DA" w14:textId="4012A14D" w:rsidR="00802693" w:rsidRPr="00802693" w:rsidRDefault="00802693" w:rsidP="00BD7F7C">
      <w:pPr>
        <w:pStyle w:val="FootnoteText"/>
        <w:rPr>
          <w:lang w:val="fr-CA"/>
        </w:rPr>
      </w:pPr>
      <w:r w:rsidRPr="00802693">
        <w:rPr>
          <w:rStyle w:val="FootnoteReference"/>
        </w:rPr>
        <w:sym w:font="Symbol" w:char="F02A"/>
      </w:r>
      <w:r w:rsidRPr="00802693">
        <w:rPr>
          <w:sz w:val="18"/>
          <w:szCs w:val="18"/>
          <w:lang w:val="fr-CA"/>
        </w:rPr>
        <w:t xml:space="preserve"> </w:t>
      </w:r>
      <w:r w:rsidR="00870635">
        <w:rPr>
          <w:sz w:val="18"/>
          <w:szCs w:val="18"/>
          <w:lang w:val="fr-CA"/>
        </w:rPr>
        <w:t>C</w:t>
      </w:r>
      <w:r>
        <w:rPr>
          <w:sz w:val="18"/>
          <w:szCs w:val="18"/>
          <w:lang w:val="fr-CA"/>
        </w:rPr>
        <w:t>e projet de</w:t>
      </w:r>
      <w:r w:rsidR="00870635">
        <w:rPr>
          <w:sz w:val="18"/>
          <w:szCs w:val="18"/>
          <w:lang w:val="fr-CA"/>
        </w:rPr>
        <w:t xml:space="preserve"> décision a été élaboré par le p</w:t>
      </w:r>
      <w:r>
        <w:rPr>
          <w:sz w:val="18"/>
          <w:szCs w:val="18"/>
          <w:lang w:val="fr-CA"/>
        </w:rPr>
        <w:t xml:space="preserve">résident de l’Organe subsidiaire </w:t>
      </w:r>
      <w:r w:rsidR="00926C93">
        <w:rPr>
          <w:sz w:val="18"/>
          <w:szCs w:val="18"/>
          <w:lang w:val="fr-CA"/>
        </w:rPr>
        <w:t>chargé de l’application</w:t>
      </w:r>
      <w:r w:rsidR="00870635">
        <w:rPr>
          <w:sz w:val="18"/>
          <w:szCs w:val="18"/>
          <w:lang w:val="fr-CA"/>
        </w:rPr>
        <w:t xml:space="preserve"> </w:t>
      </w:r>
      <w:r>
        <w:rPr>
          <w:sz w:val="18"/>
          <w:szCs w:val="18"/>
          <w:lang w:val="fr-CA"/>
        </w:rPr>
        <w:t>avec l’appui du Secrétariat après la première lecture des points 11 et 12 de l’ordre du jour. Le texte</w:t>
      </w:r>
      <w:r w:rsidR="00870635">
        <w:rPr>
          <w:sz w:val="18"/>
          <w:szCs w:val="18"/>
          <w:lang w:val="fr-CA"/>
        </w:rPr>
        <w:t xml:space="preserve"> du projet de décision </w:t>
      </w:r>
      <w:r>
        <w:rPr>
          <w:sz w:val="18"/>
          <w:szCs w:val="18"/>
          <w:lang w:val="fr-CA"/>
        </w:rPr>
        <w:t>n’a pas été examiné par l’Organe subsidiaire chargé à sa quatrième réunion.</w:t>
      </w:r>
    </w:p>
  </w:footnote>
  <w:footnote w:id="4">
    <w:p w14:paraId="3D5742DB" w14:textId="77777777" w:rsidR="0051253C" w:rsidRPr="00802693" w:rsidRDefault="0051253C">
      <w:pPr>
        <w:pStyle w:val="FootnoteText"/>
        <w:rPr>
          <w:sz w:val="18"/>
          <w:szCs w:val="18"/>
          <w:lang w:val="fr-CA"/>
        </w:rPr>
      </w:pPr>
      <w:r w:rsidRPr="00802693">
        <w:rPr>
          <w:rStyle w:val="FootnoteReference"/>
          <w:sz w:val="18"/>
          <w:szCs w:val="18"/>
          <w:lang w:val="fr-CA"/>
        </w:rPr>
        <w:footnoteRef/>
      </w:r>
      <w:r w:rsidRPr="00802693">
        <w:rPr>
          <w:sz w:val="18"/>
          <w:szCs w:val="18"/>
          <w:lang w:val="fr-CA"/>
        </w:rPr>
        <w:t xml:space="preserve"> </w:t>
      </w:r>
      <w:r w:rsidR="00802693">
        <w:rPr>
          <w:sz w:val="18"/>
          <w:szCs w:val="18"/>
          <w:lang w:val="fr-CA"/>
        </w:rPr>
        <w:t>Annexe à la décision </w:t>
      </w:r>
      <w:r w:rsidR="003E0A38" w:rsidRPr="00802693">
        <w:rPr>
          <w:sz w:val="18"/>
          <w:szCs w:val="18"/>
          <w:lang w:val="fr-CA"/>
        </w:rPr>
        <w:t>15/4</w:t>
      </w:r>
      <w:r w:rsidRPr="00802693">
        <w:rPr>
          <w:sz w:val="18"/>
          <w:szCs w:val="18"/>
          <w:lang w:val="fr-CA"/>
        </w:rPr>
        <w:t>.</w:t>
      </w:r>
    </w:p>
  </w:footnote>
  <w:footnote w:id="5">
    <w:p w14:paraId="3D5742DC" w14:textId="77777777" w:rsidR="00833DE3" w:rsidRPr="00802693" w:rsidRDefault="00833DE3" w:rsidP="00833DE3">
      <w:pPr>
        <w:pStyle w:val="FootnoteText"/>
        <w:rPr>
          <w:sz w:val="18"/>
          <w:szCs w:val="18"/>
          <w:lang w:val="fr-CA"/>
        </w:rPr>
      </w:pPr>
      <w:r w:rsidRPr="00802693">
        <w:rPr>
          <w:rStyle w:val="FootnoteReference"/>
          <w:sz w:val="18"/>
          <w:szCs w:val="18"/>
          <w:lang w:val="fr-CA"/>
        </w:rPr>
        <w:footnoteRef/>
      </w:r>
      <w:r w:rsidRPr="00802693">
        <w:rPr>
          <w:sz w:val="18"/>
          <w:szCs w:val="18"/>
          <w:lang w:val="fr-CA"/>
        </w:rPr>
        <w:t xml:space="preserve"> </w:t>
      </w:r>
      <w:r w:rsidRPr="00802693">
        <w:rPr>
          <w:color w:val="000000"/>
          <w:sz w:val="18"/>
          <w:szCs w:val="18"/>
          <w:lang w:val="fr-CA"/>
        </w:rPr>
        <w:t xml:space="preserve">Nations Unies, </w:t>
      </w:r>
      <w:r w:rsidRPr="00802693">
        <w:rPr>
          <w:i/>
          <w:iCs/>
          <w:color w:val="000000"/>
          <w:sz w:val="18"/>
          <w:szCs w:val="18"/>
          <w:lang w:val="fr-CA"/>
        </w:rPr>
        <w:t>Série des traités</w:t>
      </w:r>
      <w:r w:rsidRPr="00802693">
        <w:rPr>
          <w:iCs/>
          <w:color w:val="000000"/>
          <w:sz w:val="18"/>
          <w:szCs w:val="18"/>
          <w:lang w:val="fr-CA"/>
        </w:rPr>
        <w:t>,</w:t>
      </w:r>
      <w:r w:rsidRPr="00802693">
        <w:rPr>
          <w:i/>
          <w:iCs/>
          <w:color w:val="000000"/>
          <w:sz w:val="18"/>
          <w:szCs w:val="18"/>
          <w:lang w:val="fr-CA"/>
        </w:rPr>
        <w:t xml:space="preserve"> </w:t>
      </w:r>
      <w:r w:rsidR="00802693">
        <w:rPr>
          <w:color w:val="000000"/>
          <w:sz w:val="18"/>
          <w:szCs w:val="18"/>
          <w:lang w:val="fr-CA"/>
        </w:rPr>
        <w:t>vol. </w:t>
      </w:r>
      <w:r w:rsidRPr="00802693">
        <w:rPr>
          <w:color w:val="000000"/>
          <w:sz w:val="18"/>
          <w:szCs w:val="18"/>
          <w:lang w:val="fr-CA"/>
        </w:rPr>
        <w:t>1760, n</w:t>
      </w:r>
      <w:r w:rsidRPr="00802693">
        <w:rPr>
          <w:color w:val="000000"/>
          <w:sz w:val="18"/>
          <w:szCs w:val="18"/>
          <w:vertAlign w:val="superscript"/>
          <w:lang w:val="fr-CA"/>
        </w:rPr>
        <w:t>o</w:t>
      </w:r>
      <w:r w:rsidR="00802693">
        <w:rPr>
          <w:color w:val="000000"/>
          <w:sz w:val="18"/>
          <w:szCs w:val="18"/>
          <w:lang w:val="fr-CA"/>
        </w:rPr>
        <w:t> </w:t>
      </w:r>
      <w:r w:rsidRPr="00802693">
        <w:rPr>
          <w:color w:val="000000"/>
          <w:sz w:val="18"/>
          <w:szCs w:val="18"/>
          <w:lang w:val="fr-CA"/>
        </w:rPr>
        <w:t>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2" w:name="_Hlk137802784"/>
  <w:bookmarkStart w:id="3" w:name="_Hlk137802785"/>
  <w:p w14:paraId="3D5742D6" w14:textId="2F7216E3" w:rsidR="0051253C" w:rsidRPr="002B559C" w:rsidRDefault="00595331"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207B66">
          <w:rPr>
            <w:sz w:val="20"/>
            <w:szCs w:val="20"/>
            <w:lang w:val="fr-FR"/>
          </w:rPr>
          <w:t>CBD/SBI/</w:t>
        </w:r>
        <w:r w:rsidR="0078582E">
          <w:rPr>
            <w:sz w:val="20"/>
            <w:szCs w:val="20"/>
            <w:lang w:val="fr-FR"/>
          </w:rPr>
          <w:t>REC/</w:t>
        </w:r>
        <w:r w:rsidR="00207B66">
          <w:rPr>
            <w:sz w:val="20"/>
            <w:szCs w:val="20"/>
            <w:lang w:val="fr-FR"/>
          </w:rPr>
          <w:t>4/</w:t>
        </w:r>
        <w:r w:rsidR="0078582E">
          <w:rPr>
            <w:sz w:val="20"/>
            <w:szCs w:val="20"/>
            <w:lang w:val="fr-FR"/>
          </w:rPr>
          <w:t>13</w:t>
        </w:r>
      </w:sdtContent>
    </w:sdt>
    <w:bookmarkEnd w:id="2"/>
    <w:bookmarkEnd w:id="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3D5742D7" w14:textId="0160EC45" w:rsidR="0051253C" w:rsidRPr="002B559C" w:rsidRDefault="00BD7F7C" w:rsidP="002B559C">
        <w:pPr>
          <w:pStyle w:val="Header"/>
          <w:pBdr>
            <w:bottom w:val="single" w:sz="4" w:space="1" w:color="auto"/>
          </w:pBdr>
          <w:spacing w:after="240"/>
          <w:jc w:val="right"/>
          <w:rPr>
            <w:sz w:val="20"/>
            <w:szCs w:val="20"/>
            <w:lang w:val="fr-FR"/>
          </w:rPr>
        </w:pPr>
        <w:r w:rsidRPr="00602F0E">
          <w:rPr>
            <w:sz w:val="20"/>
            <w:szCs w:val="20"/>
            <w:lang w:val="fr-FR"/>
          </w:rPr>
          <w:t>CBD/SBI/</w:t>
        </w:r>
        <w:r w:rsidR="0078582E">
          <w:rPr>
            <w:sz w:val="20"/>
            <w:szCs w:val="20"/>
            <w:lang w:val="fr-FR"/>
          </w:rPr>
          <w:t>REC/4/13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71C4"/>
    <w:multiLevelType w:val="hybridMultilevel"/>
    <w:tmpl w:val="8C4CCCD8"/>
    <w:lvl w:ilvl="0" w:tplc="A546EF44">
      <w:start w:val="8"/>
      <w:numFmt w:val="lowerLetter"/>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1" w15:restartNumberingAfterBreak="0">
    <w:nsid w:val="0A493ED1"/>
    <w:multiLevelType w:val="hybridMultilevel"/>
    <w:tmpl w:val="08609BB2"/>
    <w:lvl w:ilvl="0" w:tplc="FFFFFFFF">
      <w:start w:val="1"/>
      <w:numFmt w:val="lowerLetter"/>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 w15:restartNumberingAfterBreak="0">
    <w:nsid w:val="12074D2D"/>
    <w:multiLevelType w:val="hybridMultilevel"/>
    <w:tmpl w:val="6F70A67A"/>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3" w15:restartNumberingAfterBreak="0">
    <w:nsid w:val="1DBD1D07"/>
    <w:multiLevelType w:val="hybridMultilevel"/>
    <w:tmpl w:val="8DEA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6" w15:restartNumberingAfterBreak="0">
    <w:nsid w:val="257532C8"/>
    <w:multiLevelType w:val="hybridMultilevel"/>
    <w:tmpl w:val="C8C6E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8"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9154E33"/>
    <w:multiLevelType w:val="hybridMultilevel"/>
    <w:tmpl w:val="51BAA4CC"/>
    <w:lvl w:ilvl="0" w:tplc="9438A7BC">
      <w:start w:val="1"/>
      <w:numFmt w:val="lowerRoman"/>
      <w:lvlText w:val="(%1)"/>
      <w:lvlJc w:val="left"/>
      <w:pPr>
        <w:ind w:left="1138" w:hanging="640"/>
      </w:pPr>
      <w:rPr>
        <w:rFonts w:hint="default"/>
        <w:lang w:val="en-US"/>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0" w15:restartNumberingAfterBreak="0">
    <w:nsid w:val="2AC17AC3"/>
    <w:multiLevelType w:val="hybridMultilevel"/>
    <w:tmpl w:val="08609BB2"/>
    <w:lvl w:ilvl="0" w:tplc="FFFFFFFF">
      <w:start w:val="1"/>
      <w:numFmt w:val="lowerLetter"/>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11" w15:restartNumberingAfterBreak="0">
    <w:nsid w:val="31247F21"/>
    <w:multiLevelType w:val="hybridMultilevel"/>
    <w:tmpl w:val="F992DA8C"/>
    <w:lvl w:ilvl="0" w:tplc="0C0C000F">
      <w:start w:val="1"/>
      <w:numFmt w:val="decimal"/>
      <w:lvlText w:val="%1."/>
      <w:lvlJc w:val="left"/>
      <w:pPr>
        <w:ind w:left="1854" w:hanging="360"/>
      </w:pPr>
    </w:lvl>
    <w:lvl w:ilvl="1" w:tplc="0C0C0019" w:tentative="1">
      <w:start w:val="1"/>
      <w:numFmt w:val="lowerLetter"/>
      <w:lvlText w:val="%2."/>
      <w:lvlJc w:val="left"/>
      <w:pPr>
        <w:ind w:left="2574" w:hanging="360"/>
      </w:pPr>
    </w:lvl>
    <w:lvl w:ilvl="2" w:tplc="0C0C001B" w:tentative="1">
      <w:start w:val="1"/>
      <w:numFmt w:val="lowerRoman"/>
      <w:lvlText w:val="%3."/>
      <w:lvlJc w:val="right"/>
      <w:pPr>
        <w:ind w:left="3294" w:hanging="180"/>
      </w:pPr>
    </w:lvl>
    <w:lvl w:ilvl="3" w:tplc="0C0C000F" w:tentative="1">
      <w:start w:val="1"/>
      <w:numFmt w:val="decimal"/>
      <w:lvlText w:val="%4."/>
      <w:lvlJc w:val="left"/>
      <w:pPr>
        <w:ind w:left="4014" w:hanging="360"/>
      </w:pPr>
    </w:lvl>
    <w:lvl w:ilvl="4" w:tplc="0C0C0019" w:tentative="1">
      <w:start w:val="1"/>
      <w:numFmt w:val="lowerLetter"/>
      <w:lvlText w:val="%5."/>
      <w:lvlJc w:val="left"/>
      <w:pPr>
        <w:ind w:left="4734" w:hanging="360"/>
      </w:pPr>
    </w:lvl>
    <w:lvl w:ilvl="5" w:tplc="0C0C001B" w:tentative="1">
      <w:start w:val="1"/>
      <w:numFmt w:val="lowerRoman"/>
      <w:lvlText w:val="%6."/>
      <w:lvlJc w:val="right"/>
      <w:pPr>
        <w:ind w:left="5454" w:hanging="180"/>
      </w:pPr>
    </w:lvl>
    <w:lvl w:ilvl="6" w:tplc="0C0C000F" w:tentative="1">
      <w:start w:val="1"/>
      <w:numFmt w:val="decimal"/>
      <w:lvlText w:val="%7."/>
      <w:lvlJc w:val="left"/>
      <w:pPr>
        <w:ind w:left="6174" w:hanging="360"/>
      </w:pPr>
    </w:lvl>
    <w:lvl w:ilvl="7" w:tplc="0C0C0019" w:tentative="1">
      <w:start w:val="1"/>
      <w:numFmt w:val="lowerLetter"/>
      <w:lvlText w:val="%8."/>
      <w:lvlJc w:val="left"/>
      <w:pPr>
        <w:ind w:left="6894" w:hanging="360"/>
      </w:pPr>
    </w:lvl>
    <w:lvl w:ilvl="8" w:tplc="0C0C001B" w:tentative="1">
      <w:start w:val="1"/>
      <w:numFmt w:val="lowerRoman"/>
      <w:lvlText w:val="%9."/>
      <w:lvlJc w:val="right"/>
      <w:pPr>
        <w:ind w:left="7614" w:hanging="180"/>
      </w:pPr>
    </w:lvl>
  </w:abstractNum>
  <w:abstractNum w:abstractNumId="12" w15:restartNumberingAfterBreak="0">
    <w:nsid w:val="33E80680"/>
    <w:multiLevelType w:val="hybridMultilevel"/>
    <w:tmpl w:val="338E2D3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42934610"/>
    <w:multiLevelType w:val="hybridMultilevel"/>
    <w:tmpl w:val="7A6AB640"/>
    <w:lvl w:ilvl="0" w:tplc="1BE0BD02">
      <w:start w:val="1"/>
      <w:numFmt w:val="lowerLetter"/>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7961CE"/>
    <w:multiLevelType w:val="hybridMultilevel"/>
    <w:tmpl w:val="AFDCF908"/>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E0442B4"/>
    <w:multiLevelType w:val="multilevel"/>
    <w:tmpl w:val="6406B29E"/>
    <w:lvl w:ilvl="0">
      <w:start w:val="1"/>
      <w:numFmt w:val="decimal"/>
      <w:lvlText w:val="%1."/>
      <w:lvlJc w:val="left"/>
      <w:pPr>
        <w:tabs>
          <w:tab w:val="num" w:pos="360"/>
        </w:tabs>
        <w:ind w:left="0" w:firstLine="0"/>
      </w:pPr>
      <w:rPr>
        <w:rFonts w:ascii="Times New Roman" w:eastAsia="MS Mincho" w:hAnsi="Times New Roman" w:cs="Angsana New"/>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7"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E180578"/>
    <w:multiLevelType w:val="hybridMultilevel"/>
    <w:tmpl w:val="251AB796"/>
    <w:lvl w:ilvl="0" w:tplc="8862B882">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9" w15:restartNumberingAfterBreak="0">
    <w:nsid w:val="60C41482"/>
    <w:multiLevelType w:val="hybridMultilevel"/>
    <w:tmpl w:val="08609BB2"/>
    <w:lvl w:ilvl="0" w:tplc="517C9B80">
      <w:start w:val="1"/>
      <w:numFmt w:val="lowerLetter"/>
      <w:lvlText w:val="(%1)"/>
      <w:lvlJc w:val="left"/>
      <w:pPr>
        <w:ind w:left="1138" w:hanging="640"/>
      </w:pPr>
      <w:rPr>
        <w:rFonts w:hint="default"/>
      </w:rPr>
    </w:lvl>
    <w:lvl w:ilvl="1" w:tplc="04090019" w:tentative="1">
      <w:start w:val="1"/>
      <w:numFmt w:val="lowerLetter"/>
      <w:lvlText w:val="%2."/>
      <w:lvlJc w:val="left"/>
      <w:pPr>
        <w:ind w:left="1578" w:hanging="360"/>
      </w:pPr>
    </w:lvl>
    <w:lvl w:ilvl="2" w:tplc="0409001B" w:tentative="1">
      <w:start w:val="1"/>
      <w:numFmt w:val="lowerRoman"/>
      <w:lvlText w:val="%3."/>
      <w:lvlJc w:val="right"/>
      <w:pPr>
        <w:ind w:left="2298" w:hanging="180"/>
      </w:pPr>
    </w:lvl>
    <w:lvl w:ilvl="3" w:tplc="0409000F" w:tentative="1">
      <w:start w:val="1"/>
      <w:numFmt w:val="decimal"/>
      <w:lvlText w:val="%4."/>
      <w:lvlJc w:val="left"/>
      <w:pPr>
        <w:ind w:left="3018" w:hanging="360"/>
      </w:pPr>
    </w:lvl>
    <w:lvl w:ilvl="4" w:tplc="04090019" w:tentative="1">
      <w:start w:val="1"/>
      <w:numFmt w:val="lowerLetter"/>
      <w:lvlText w:val="%5."/>
      <w:lvlJc w:val="left"/>
      <w:pPr>
        <w:ind w:left="3738" w:hanging="360"/>
      </w:pPr>
    </w:lvl>
    <w:lvl w:ilvl="5" w:tplc="0409001B" w:tentative="1">
      <w:start w:val="1"/>
      <w:numFmt w:val="lowerRoman"/>
      <w:lvlText w:val="%6."/>
      <w:lvlJc w:val="right"/>
      <w:pPr>
        <w:ind w:left="4458" w:hanging="180"/>
      </w:pPr>
    </w:lvl>
    <w:lvl w:ilvl="6" w:tplc="0409000F" w:tentative="1">
      <w:start w:val="1"/>
      <w:numFmt w:val="decimal"/>
      <w:lvlText w:val="%7."/>
      <w:lvlJc w:val="left"/>
      <w:pPr>
        <w:ind w:left="5178" w:hanging="360"/>
      </w:pPr>
    </w:lvl>
    <w:lvl w:ilvl="7" w:tplc="04090019" w:tentative="1">
      <w:start w:val="1"/>
      <w:numFmt w:val="lowerLetter"/>
      <w:lvlText w:val="%8."/>
      <w:lvlJc w:val="left"/>
      <w:pPr>
        <w:ind w:left="5898" w:hanging="360"/>
      </w:pPr>
    </w:lvl>
    <w:lvl w:ilvl="8" w:tplc="0409001B" w:tentative="1">
      <w:start w:val="1"/>
      <w:numFmt w:val="lowerRoman"/>
      <w:lvlText w:val="%9."/>
      <w:lvlJc w:val="right"/>
      <w:pPr>
        <w:ind w:left="6618" w:hanging="180"/>
      </w:pPr>
    </w:lvl>
  </w:abstractNum>
  <w:abstractNum w:abstractNumId="20" w15:restartNumberingAfterBreak="0">
    <w:nsid w:val="61FD7789"/>
    <w:multiLevelType w:val="hybridMultilevel"/>
    <w:tmpl w:val="A4D4C9A8"/>
    <w:lvl w:ilvl="0" w:tplc="660EAF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2"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3" w15:restartNumberingAfterBreak="0">
    <w:nsid w:val="65ED0129"/>
    <w:multiLevelType w:val="hybridMultilevel"/>
    <w:tmpl w:val="426EE956"/>
    <w:lvl w:ilvl="0" w:tplc="307EBE1C">
      <w:start w:val="1"/>
      <w:numFmt w:val="lowerRoman"/>
      <w:lvlText w:val="(%1)"/>
      <w:lvlJc w:val="left"/>
      <w:pPr>
        <w:ind w:left="1138" w:hanging="640"/>
      </w:pPr>
      <w:rPr>
        <w:rFonts w:hint="default"/>
      </w:r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24" w15:restartNumberingAfterBreak="0">
    <w:nsid w:val="68B70991"/>
    <w:multiLevelType w:val="hybridMultilevel"/>
    <w:tmpl w:val="C7B2AEF4"/>
    <w:lvl w:ilvl="0" w:tplc="6B98FDBC">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74274B37"/>
    <w:multiLevelType w:val="hybridMultilevel"/>
    <w:tmpl w:val="96165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7BFF494A"/>
    <w:multiLevelType w:val="hybridMultilevel"/>
    <w:tmpl w:val="B8C27F8A"/>
    <w:lvl w:ilvl="0" w:tplc="48DEED9E">
      <w:start w:val="1"/>
      <w:numFmt w:val="lowerRoman"/>
      <w:pStyle w:val="Para30"/>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18925387">
    <w:abstractNumId w:val="14"/>
  </w:num>
  <w:num w:numId="2" w16cid:durableId="1274556449">
    <w:abstractNumId w:val="24"/>
  </w:num>
  <w:num w:numId="3" w16cid:durableId="1424909904">
    <w:abstractNumId w:val="26"/>
  </w:num>
  <w:num w:numId="4" w16cid:durableId="142085203">
    <w:abstractNumId w:val="4"/>
  </w:num>
  <w:num w:numId="5" w16cid:durableId="1595090060">
    <w:abstractNumId w:val="5"/>
  </w:num>
  <w:num w:numId="6" w16cid:durableId="1563326712">
    <w:abstractNumId w:val="5"/>
  </w:num>
  <w:num w:numId="7" w16cid:durableId="202866015">
    <w:abstractNumId w:val="8"/>
  </w:num>
  <w:num w:numId="8" w16cid:durableId="185796789">
    <w:abstractNumId w:val="17"/>
  </w:num>
  <w:num w:numId="9" w16cid:durableId="1923103528">
    <w:abstractNumId w:val="22"/>
  </w:num>
  <w:num w:numId="10" w16cid:durableId="1437825356">
    <w:abstractNumId w:val="21"/>
  </w:num>
  <w:num w:numId="11" w16cid:durableId="356544827">
    <w:abstractNumId w:val="16"/>
  </w:num>
  <w:num w:numId="12" w16cid:durableId="486285850">
    <w:abstractNumId w:val="7"/>
  </w:num>
  <w:num w:numId="13" w16cid:durableId="1099569097">
    <w:abstractNumId w:val="7"/>
    <w:lvlOverride w:ilvl="0">
      <w:startOverride w:val="1"/>
    </w:lvlOverride>
  </w:num>
  <w:num w:numId="14" w16cid:durableId="1976375645">
    <w:abstractNumId w:val="18"/>
  </w:num>
  <w:num w:numId="15" w16cid:durableId="921643030">
    <w:abstractNumId w:val="18"/>
    <w:lvlOverride w:ilvl="0">
      <w:startOverride w:val="1"/>
    </w:lvlOverride>
  </w:num>
  <w:num w:numId="16" w16cid:durableId="2072996029">
    <w:abstractNumId w:val="24"/>
    <w:lvlOverride w:ilvl="0">
      <w:startOverride w:val="1"/>
    </w:lvlOverride>
  </w:num>
  <w:num w:numId="17" w16cid:durableId="431975271">
    <w:abstractNumId w:val="18"/>
    <w:lvlOverride w:ilvl="0">
      <w:startOverride w:val="1"/>
    </w:lvlOverride>
  </w:num>
  <w:num w:numId="18" w16cid:durableId="92436663">
    <w:abstractNumId w:val="27"/>
  </w:num>
  <w:num w:numId="19" w16cid:durableId="249310761">
    <w:abstractNumId w:val="24"/>
    <w:lvlOverride w:ilvl="0">
      <w:startOverride w:val="1"/>
    </w:lvlOverride>
  </w:num>
  <w:num w:numId="20" w16cid:durableId="1206218585">
    <w:abstractNumId w:val="24"/>
    <w:lvlOverride w:ilvl="0">
      <w:startOverride w:val="1"/>
    </w:lvlOverride>
  </w:num>
  <w:num w:numId="21" w16cid:durableId="78214118">
    <w:abstractNumId w:val="15"/>
  </w:num>
  <w:num w:numId="22" w16cid:durableId="1401369327">
    <w:abstractNumId w:val="15"/>
    <w:lvlOverride w:ilvl="0">
      <w:startOverride w:val="1"/>
    </w:lvlOverride>
  </w:num>
  <w:num w:numId="23" w16cid:durableId="2035303305">
    <w:abstractNumId w:val="24"/>
    <w:lvlOverride w:ilvl="0">
      <w:startOverride w:val="1"/>
    </w:lvlOverride>
  </w:num>
  <w:num w:numId="24" w16cid:durableId="402989503">
    <w:abstractNumId w:val="13"/>
  </w:num>
  <w:num w:numId="25" w16cid:durableId="2051957287">
    <w:abstractNumId w:val="12"/>
  </w:num>
  <w:num w:numId="26" w16cid:durableId="810250971">
    <w:abstractNumId w:val="3"/>
  </w:num>
  <w:num w:numId="27" w16cid:durableId="14428009">
    <w:abstractNumId w:val="19"/>
  </w:num>
  <w:num w:numId="28" w16cid:durableId="1430080287">
    <w:abstractNumId w:val="20"/>
  </w:num>
  <w:num w:numId="29" w16cid:durableId="1971859370">
    <w:abstractNumId w:val="10"/>
  </w:num>
  <w:num w:numId="30" w16cid:durableId="2131707215">
    <w:abstractNumId w:val="6"/>
  </w:num>
  <w:num w:numId="31" w16cid:durableId="1946841434">
    <w:abstractNumId w:val="25"/>
  </w:num>
  <w:num w:numId="32" w16cid:durableId="2092896642">
    <w:abstractNumId w:val="1"/>
  </w:num>
  <w:num w:numId="33" w16cid:durableId="388722476">
    <w:abstractNumId w:val="23"/>
  </w:num>
  <w:num w:numId="34" w16cid:durableId="1162889528">
    <w:abstractNumId w:val="9"/>
  </w:num>
  <w:num w:numId="35" w16cid:durableId="1673528282">
    <w:abstractNumId w:val="0"/>
  </w:num>
  <w:num w:numId="36" w16cid:durableId="983696829">
    <w:abstractNumId w:val="2"/>
  </w:num>
  <w:num w:numId="37" w16cid:durableId="1648258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attachedTemplate r:id="rId1"/>
  <w:defaultTabStop w:val="720"/>
  <w:hyphenationZone w:val="425"/>
  <w:evenAndOddHeaders/>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D6"/>
    <w:rsid w:val="000006C8"/>
    <w:rsid w:val="000013CA"/>
    <w:rsid w:val="00001FF5"/>
    <w:rsid w:val="00002391"/>
    <w:rsid w:val="00005359"/>
    <w:rsid w:val="00005594"/>
    <w:rsid w:val="00005A31"/>
    <w:rsid w:val="00006747"/>
    <w:rsid w:val="00007426"/>
    <w:rsid w:val="00007F27"/>
    <w:rsid w:val="000116F9"/>
    <w:rsid w:val="000123F9"/>
    <w:rsid w:val="0001421F"/>
    <w:rsid w:val="00014318"/>
    <w:rsid w:val="00015FBF"/>
    <w:rsid w:val="000160AE"/>
    <w:rsid w:val="00016C84"/>
    <w:rsid w:val="00017BE3"/>
    <w:rsid w:val="00024F92"/>
    <w:rsid w:val="00026674"/>
    <w:rsid w:val="0002694E"/>
    <w:rsid w:val="00027056"/>
    <w:rsid w:val="00027BF3"/>
    <w:rsid w:val="00033B9B"/>
    <w:rsid w:val="00034F8D"/>
    <w:rsid w:val="00035005"/>
    <w:rsid w:val="000353BA"/>
    <w:rsid w:val="000379F0"/>
    <w:rsid w:val="00040598"/>
    <w:rsid w:val="00041541"/>
    <w:rsid w:val="00044DF3"/>
    <w:rsid w:val="00047449"/>
    <w:rsid w:val="00047ECA"/>
    <w:rsid w:val="000507CA"/>
    <w:rsid w:val="00051403"/>
    <w:rsid w:val="0005206D"/>
    <w:rsid w:val="00052B66"/>
    <w:rsid w:val="0005355D"/>
    <w:rsid w:val="000558B2"/>
    <w:rsid w:val="00061EAB"/>
    <w:rsid w:val="000656AA"/>
    <w:rsid w:val="00066569"/>
    <w:rsid w:val="000669DF"/>
    <w:rsid w:val="00067544"/>
    <w:rsid w:val="000675CB"/>
    <w:rsid w:val="00073A02"/>
    <w:rsid w:val="00077749"/>
    <w:rsid w:val="00077E9F"/>
    <w:rsid w:val="00082DCC"/>
    <w:rsid w:val="0008350D"/>
    <w:rsid w:val="000859CE"/>
    <w:rsid w:val="000869A2"/>
    <w:rsid w:val="00086CC2"/>
    <w:rsid w:val="0008728C"/>
    <w:rsid w:val="000907DE"/>
    <w:rsid w:val="00091EC6"/>
    <w:rsid w:val="00092522"/>
    <w:rsid w:val="0009331B"/>
    <w:rsid w:val="000950E8"/>
    <w:rsid w:val="00095F0F"/>
    <w:rsid w:val="00096324"/>
    <w:rsid w:val="00097E4D"/>
    <w:rsid w:val="000A05D5"/>
    <w:rsid w:val="000A0A17"/>
    <w:rsid w:val="000A1281"/>
    <w:rsid w:val="000A165B"/>
    <w:rsid w:val="000A35AB"/>
    <w:rsid w:val="000A5E7E"/>
    <w:rsid w:val="000A6804"/>
    <w:rsid w:val="000A7EB3"/>
    <w:rsid w:val="000B0718"/>
    <w:rsid w:val="000B1710"/>
    <w:rsid w:val="000B3CAF"/>
    <w:rsid w:val="000B50B1"/>
    <w:rsid w:val="000C2B4C"/>
    <w:rsid w:val="000C3416"/>
    <w:rsid w:val="000C5941"/>
    <w:rsid w:val="000C6996"/>
    <w:rsid w:val="000C6F16"/>
    <w:rsid w:val="000C7194"/>
    <w:rsid w:val="000C7E42"/>
    <w:rsid w:val="000D0EEF"/>
    <w:rsid w:val="000D12FC"/>
    <w:rsid w:val="000D45B0"/>
    <w:rsid w:val="000D4DD2"/>
    <w:rsid w:val="000D4F28"/>
    <w:rsid w:val="000E0711"/>
    <w:rsid w:val="000F1821"/>
    <w:rsid w:val="000F1D9E"/>
    <w:rsid w:val="000F3080"/>
    <w:rsid w:val="000F4097"/>
    <w:rsid w:val="000F63CB"/>
    <w:rsid w:val="00101A1C"/>
    <w:rsid w:val="00101C22"/>
    <w:rsid w:val="0010270D"/>
    <w:rsid w:val="00105185"/>
    <w:rsid w:val="00110BC1"/>
    <w:rsid w:val="00111659"/>
    <w:rsid w:val="001127C6"/>
    <w:rsid w:val="0011610B"/>
    <w:rsid w:val="0012034B"/>
    <w:rsid w:val="00121254"/>
    <w:rsid w:val="001214E6"/>
    <w:rsid w:val="0012202A"/>
    <w:rsid w:val="0012539B"/>
    <w:rsid w:val="0012592E"/>
    <w:rsid w:val="00126B50"/>
    <w:rsid w:val="00126B53"/>
    <w:rsid w:val="00127FC4"/>
    <w:rsid w:val="00131992"/>
    <w:rsid w:val="00132581"/>
    <w:rsid w:val="00137D87"/>
    <w:rsid w:val="001426F9"/>
    <w:rsid w:val="00143AA2"/>
    <w:rsid w:val="00143B75"/>
    <w:rsid w:val="00150F2B"/>
    <w:rsid w:val="00152895"/>
    <w:rsid w:val="00156271"/>
    <w:rsid w:val="00156B4D"/>
    <w:rsid w:val="00160F41"/>
    <w:rsid w:val="0016518B"/>
    <w:rsid w:val="00165C77"/>
    <w:rsid w:val="00165F1F"/>
    <w:rsid w:val="00173D6A"/>
    <w:rsid w:val="00181021"/>
    <w:rsid w:val="00181756"/>
    <w:rsid w:val="00182617"/>
    <w:rsid w:val="00183D9E"/>
    <w:rsid w:val="00184909"/>
    <w:rsid w:val="00187DF4"/>
    <w:rsid w:val="00190968"/>
    <w:rsid w:val="00190B4B"/>
    <w:rsid w:val="00191CD1"/>
    <w:rsid w:val="00192D71"/>
    <w:rsid w:val="0019402C"/>
    <w:rsid w:val="00197B4B"/>
    <w:rsid w:val="00197F74"/>
    <w:rsid w:val="001A17DE"/>
    <w:rsid w:val="001A231C"/>
    <w:rsid w:val="001A342E"/>
    <w:rsid w:val="001A5D3F"/>
    <w:rsid w:val="001A7DF1"/>
    <w:rsid w:val="001B1A4A"/>
    <w:rsid w:val="001B2549"/>
    <w:rsid w:val="001C0667"/>
    <w:rsid w:val="001C11E0"/>
    <w:rsid w:val="001C5C87"/>
    <w:rsid w:val="001C5E62"/>
    <w:rsid w:val="001D1049"/>
    <w:rsid w:val="001D35BF"/>
    <w:rsid w:val="001D5062"/>
    <w:rsid w:val="001D7501"/>
    <w:rsid w:val="001D7F60"/>
    <w:rsid w:val="001E04C2"/>
    <w:rsid w:val="001E0B60"/>
    <w:rsid w:val="001E27AD"/>
    <w:rsid w:val="001E319F"/>
    <w:rsid w:val="001E6205"/>
    <w:rsid w:val="001E727F"/>
    <w:rsid w:val="001F3A63"/>
    <w:rsid w:val="001F43E6"/>
    <w:rsid w:val="001F4E54"/>
    <w:rsid w:val="001F6597"/>
    <w:rsid w:val="001F6F13"/>
    <w:rsid w:val="001F7DCE"/>
    <w:rsid w:val="00204300"/>
    <w:rsid w:val="00204ACE"/>
    <w:rsid w:val="00204D58"/>
    <w:rsid w:val="00205326"/>
    <w:rsid w:val="00207B66"/>
    <w:rsid w:val="002101D3"/>
    <w:rsid w:val="0021093F"/>
    <w:rsid w:val="00212181"/>
    <w:rsid w:val="00213196"/>
    <w:rsid w:val="00214E63"/>
    <w:rsid w:val="00223D54"/>
    <w:rsid w:val="002254ED"/>
    <w:rsid w:val="002300E3"/>
    <w:rsid w:val="0023084C"/>
    <w:rsid w:val="00234FD6"/>
    <w:rsid w:val="00240C34"/>
    <w:rsid w:val="00245C13"/>
    <w:rsid w:val="002478AC"/>
    <w:rsid w:val="002515CC"/>
    <w:rsid w:val="00253108"/>
    <w:rsid w:val="00253BA6"/>
    <w:rsid w:val="0025400E"/>
    <w:rsid w:val="00255F27"/>
    <w:rsid w:val="00257059"/>
    <w:rsid w:val="00260702"/>
    <w:rsid w:val="002614BE"/>
    <w:rsid w:val="0026156F"/>
    <w:rsid w:val="00261EB0"/>
    <w:rsid w:val="00266C63"/>
    <w:rsid w:val="00270249"/>
    <w:rsid w:val="002703DD"/>
    <w:rsid w:val="00271DA0"/>
    <w:rsid w:val="002723F8"/>
    <w:rsid w:val="002737AA"/>
    <w:rsid w:val="00273F8C"/>
    <w:rsid w:val="0027455F"/>
    <w:rsid w:val="0028216B"/>
    <w:rsid w:val="00282BB0"/>
    <w:rsid w:val="00283EC2"/>
    <w:rsid w:val="00284274"/>
    <w:rsid w:val="00284AE8"/>
    <w:rsid w:val="00284FC9"/>
    <w:rsid w:val="002871E4"/>
    <w:rsid w:val="00292310"/>
    <w:rsid w:val="00296C6F"/>
    <w:rsid w:val="002A0C8E"/>
    <w:rsid w:val="002A2954"/>
    <w:rsid w:val="002A2AAB"/>
    <w:rsid w:val="002A43B3"/>
    <w:rsid w:val="002A56CA"/>
    <w:rsid w:val="002B00CA"/>
    <w:rsid w:val="002B1150"/>
    <w:rsid w:val="002B1FDD"/>
    <w:rsid w:val="002B3E04"/>
    <w:rsid w:val="002B3F8D"/>
    <w:rsid w:val="002B559C"/>
    <w:rsid w:val="002B7186"/>
    <w:rsid w:val="002C0FBE"/>
    <w:rsid w:val="002C4986"/>
    <w:rsid w:val="002C62AE"/>
    <w:rsid w:val="002C678C"/>
    <w:rsid w:val="002C69AD"/>
    <w:rsid w:val="002C6D9B"/>
    <w:rsid w:val="002C6F79"/>
    <w:rsid w:val="002C7D1A"/>
    <w:rsid w:val="002D1CE7"/>
    <w:rsid w:val="002D61A6"/>
    <w:rsid w:val="002E0CA4"/>
    <w:rsid w:val="002E125B"/>
    <w:rsid w:val="002E1525"/>
    <w:rsid w:val="002E2BAC"/>
    <w:rsid w:val="002E58C3"/>
    <w:rsid w:val="002E611F"/>
    <w:rsid w:val="002E690F"/>
    <w:rsid w:val="002E726E"/>
    <w:rsid w:val="002F11E9"/>
    <w:rsid w:val="002F6C28"/>
    <w:rsid w:val="002F6EA2"/>
    <w:rsid w:val="00301268"/>
    <w:rsid w:val="003063AE"/>
    <w:rsid w:val="00310608"/>
    <w:rsid w:val="00310DFB"/>
    <w:rsid w:val="00316760"/>
    <w:rsid w:val="003168C1"/>
    <w:rsid w:val="00316B86"/>
    <w:rsid w:val="0032068A"/>
    <w:rsid w:val="00321A02"/>
    <w:rsid w:val="00321FD6"/>
    <w:rsid w:val="003233A0"/>
    <w:rsid w:val="00323F22"/>
    <w:rsid w:val="00327395"/>
    <w:rsid w:val="003277A9"/>
    <w:rsid w:val="003307F5"/>
    <w:rsid w:val="00332882"/>
    <w:rsid w:val="00335DC6"/>
    <w:rsid w:val="003360DB"/>
    <w:rsid w:val="003378E3"/>
    <w:rsid w:val="00337EB6"/>
    <w:rsid w:val="0034000A"/>
    <w:rsid w:val="00345FBE"/>
    <w:rsid w:val="003476A9"/>
    <w:rsid w:val="00355EE7"/>
    <w:rsid w:val="00356088"/>
    <w:rsid w:val="003561F9"/>
    <w:rsid w:val="00356FD7"/>
    <w:rsid w:val="0036151C"/>
    <w:rsid w:val="00364372"/>
    <w:rsid w:val="00364C7A"/>
    <w:rsid w:val="0036722F"/>
    <w:rsid w:val="003710F9"/>
    <w:rsid w:val="00372171"/>
    <w:rsid w:val="003724DF"/>
    <w:rsid w:val="003724E8"/>
    <w:rsid w:val="00376EFE"/>
    <w:rsid w:val="003776F0"/>
    <w:rsid w:val="0038048A"/>
    <w:rsid w:val="003846A0"/>
    <w:rsid w:val="003852A8"/>
    <w:rsid w:val="0038535A"/>
    <w:rsid w:val="00386C32"/>
    <w:rsid w:val="00387976"/>
    <w:rsid w:val="00390FF7"/>
    <w:rsid w:val="00391B40"/>
    <w:rsid w:val="00391B4F"/>
    <w:rsid w:val="00393855"/>
    <w:rsid w:val="003A269C"/>
    <w:rsid w:val="003A7A59"/>
    <w:rsid w:val="003B1C3B"/>
    <w:rsid w:val="003B22B6"/>
    <w:rsid w:val="003B2F10"/>
    <w:rsid w:val="003B585F"/>
    <w:rsid w:val="003B5DE4"/>
    <w:rsid w:val="003B5FC2"/>
    <w:rsid w:val="003B765F"/>
    <w:rsid w:val="003C0439"/>
    <w:rsid w:val="003C05AE"/>
    <w:rsid w:val="003C15B5"/>
    <w:rsid w:val="003C6C2F"/>
    <w:rsid w:val="003C6F10"/>
    <w:rsid w:val="003D1396"/>
    <w:rsid w:val="003D3D52"/>
    <w:rsid w:val="003D6065"/>
    <w:rsid w:val="003D6960"/>
    <w:rsid w:val="003E0A38"/>
    <w:rsid w:val="003E182A"/>
    <w:rsid w:val="003E307A"/>
    <w:rsid w:val="003E38F9"/>
    <w:rsid w:val="003E512B"/>
    <w:rsid w:val="003E5E3D"/>
    <w:rsid w:val="003E64DB"/>
    <w:rsid w:val="003E715F"/>
    <w:rsid w:val="003E72B8"/>
    <w:rsid w:val="003E7FD4"/>
    <w:rsid w:val="003F0A6E"/>
    <w:rsid w:val="003F0F62"/>
    <w:rsid w:val="003F179C"/>
    <w:rsid w:val="003F6E36"/>
    <w:rsid w:val="003F7568"/>
    <w:rsid w:val="0040104C"/>
    <w:rsid w:val="00401364"/>
    <w:rsid w:val="004020F4"/>
    <w:rsid w:val="00405F7D"/>
    <w:rsid w:val="004076F5"/>
    <w:rsid w:val="00410D6A"/>
    <w:rsid w:val="0041468D"/>
    <w:rsid w:val="004248BC"/>
    <w:rsid w:val="00424A67"/>
    <w:rsid w:val="00424B57"/>
    <w:rsid w:val="00425593"/>
    <w:rsid w:val="00434C38"/>
    <w:rsid w:val="00434D30"/>
    <w:rsid w:val="0043590B"/>
    <w:rsid w:val="00435C22"/>
    <w:rsid w:val="004378B1"/>
    <w:rsid w:val="00440AF9"/>
    <w:rsid w:val="00441498"/>
    <w:rsid w:val="00441D38"/>
    <w:rsid w:val="004428ED"/>
    <w:rsid w:val="0044310C"/>
    <w:rsid w:val="004441EE"/>
    <w:rsid w:val="00444523"/>
    <w:rsid w:val="004469AB"/>
    <w:rsid w:val="00450B15"/>
    <w:rsid w:val="00453EB3"/>
    <w:rsid w:val="00456345"/>
    <w:rsid w:val="00457016"/>
    <w:rsid w:val="004628B3"/>
    <w:rsid w:val="00462FEC"/>
    <w:rsid w:val="00465C30"/>
    <w:rsid w:val="00466A5A"/>
    <w:rsid w:val="00467347"/>
    <w:rsid w:val="004701EE"/>
    <w:rsid w:val="00472510"/>
    <w:rsid w:val="00472FBE"/>
    <w:rsid w:val="00474615"/>
    <w:rsid w:val="00480A8D"/>
    <w:rsid w:val="00480B48"/>
    <w:rsid w:val="00481463"/>
    <w:rsid w:val="0048301C"/>
    <w:rsid w:val="00484924"/>
    <w:rsid w:val="00487DC7"/>
    <w:rsid w:val="0049444E"/>
    <w:rsid w:val="00494FEC"/>
    <w:rsid w:val="00496529"/>
    <w:rsid w:val="00496F5C"/>
    <w:rsid w:val="004A0D06"/>
    <w:rsid w:val="004A1B66"/>
    <w:rsid w:val="004A2A2D"/>
    <w:rsid w:val="004A467E"/>
    <w:rsid w:val="004B0724"/>
    <w:rsid w:val="004B08F9"/>
    <w:rsid w:val="004B691A"/>
    <w:rsid w:val="004B7FCA"/>
    <w:rsid w:val="004C0252"/>
    <w:rsid w:val="004C25EF"/>
    <w:rsid w:val="004C3054"/>
    <w:rsid w:val="004C397B"/>
    <w:rsid w:val="004C479D"/>
    <w:rsid w:val="004C70E5"/>
    <w:rsid w:val="004D2659"/>
    <w:rsid w:val="004D421B"/>
    <w:rsid w:val="004D7E71"/>
    <w:rsid w:val="004D7FF9"/>
    <w:rsid w:val="004E0D22"/>
    <w:rsid w:val="004E5A26"/>
    <w:rsid w:val="004E5D74"/>
    <w:rsid w:val="004E65C1"/>
    <w:rsid w:val="004E786E"/>
    <w:rsid w:val="004E7E82"/>
    <w:rsid w:val="004F05F1"/>
    <w:rsid w:val="004F0E71"/>
    <w:rsid w:val="004F1DC8"/>
    <w:rsid w:val="004F2D42"/>
    <w:rsid w:val="004F3CCA"/>
    <w:rsid w:val="004F4CFC"/>
    <w:rsid w:val="004F6FFF"/>
    <w:rsid w:val="004F793C"/>
    <w:rsid w:val="005017EF"/>
    <w:rsid w:val="00505EF5"/>
    <w:rsid w:val="00506457"/>
    <w:rsid w:val="00507E13"/>
    <w:rsid w:val="00510A1C"/>
    <w:rsid w:val="0051253C"/>
    <w:rsid w:val="00513DD1"/>
    <w:rsid w:val="00516660"/>
    <w:rsid w:val="00517C58"/>
    <w:rsid w:val="005201D7"/>
    <w:rsid w:val="00521C85"/>
    <w:rsid w:val="0052206A"/>
    <w:rsid w:val="00522766"/>
    <w:rsid w:val="00524331"/>
    <w:rsid w:val="00526744"/>
    <w:rsid w:val="00531B2F"/>
    <w:rsid w:val="00531DDC"/>
    <w:rsid w:val="005343F7"/>
    <w:rsid w:val="0053693B"/>
    <w:rsid w:val="00537202"/>
    <w:rsid w:val="00537248"/>
    <w:rsid w:val="005403B9"/>
    <w:rsid w:val="0054121F"/>
    <w:rsid w:val="0054263D"/>
    <w:rsid w:val="00544523"/>
    <w:rsid w:val="005463FE"/>
    <w:rsid w:val="0054701D"/>
    <w:rsid w:val="005535FC"/>
    <w:rsid w:val="005535FD"/>
    <w:rsid w:val="00560F0E"/>
    <w:rsid w:val="00561A10"/>
    <w:rsid w:val="0056201E"/>
    <w:rsid w:val="00564051"/>
    <w:rsid w:val="00564507"/>
    <w:rsid w:val="00566267"/>
    <w:rsid w:val="005667CC"/>
    <w:rsid w:val="00567939"/>
    <w:rsid w:val="00567AFA"/>
    <w:rsid w:val="00570EE8"/>
    <w:rsid w:val="0057599D"/>
    <w:rsid w:val="00576A35"/>
    <w:rsid w:val="005777F3"/>
    <w:rsid w:val="0058097A"/>
    <w:rsid w:val="00581A9D"/>
    <w:rsid w:val="00582852"/>
    <w:rsid w:val="00586986"/>
    <w:rsid w:val="00590C5A"/>
    <w:rsid w:val="00593127"/>
    <w:rsid w:val="00595331"/>
    <w:rsid w:val="00596060"/>
    <w:rsid w:val="00596F29"/>
    <w:rsid w:val="005A018D"/>
    <w:rsid w:val="005A1223"/>
    <w:rsid w:val="005A206E"/>
    <w:rsid w:val="005A21E3"/>
    <w:rsid w:val="005A45F4"/>
    <w:rsid w:val="005B73C9"/>
    <w:rsid w:val="005C0076"/>
    <w:rsid w:val="005C1A26"/>
    <w:rsid w:val="005C5C8A"/>
    <w:rsid w:val="005C5F79"/>
    <w:rsid w:val="005D1CD2"/>
    <w:rsid w:val="005D2C44"/>
    <w:rsid w:val="005D3689"/>
    <w:rsid w:val="005D3ACB"/>
    <w:rsid w:val="005D4504"/>
    <w:rsid w:val="005D54D4"/>
    <w:rsid w:val="005D7993"/>
    <w:rsid w:val="005E0496"/>
    <w:rsid w:val="005E1876"/>
    <w:rsid w:val="005E2605"/>
    <w:rsid w:val="005E3515"/>
    <w:rsid w:val="005E42F5"/>
    <w:rsid w:val="005E4FD3"/>
    <w:rsid w:val="005F10FC"/>
    <w:rsid w:val="005F3ADA"/>
    <w:rsid w:val="005F42BE"/>
    <w:rsid w:val="005F4ADC"/>
    <w:rsid w:val="005F68DC"/>
    <w:rsid w:val="00600AD1"/>
    <w:rsid w:val="00601470"/>
    <w:rsid w:val="00601665"/>
    <w:rsid w:val="00603CE5"/>
    <w:rsid w:val="00603EB6"/>
    <w:rsid w:val="00605FDB"/>
    <w:rsid w:val="00610E38"/>
    <w:rsid w:val="00614250"/>
    <w:rsid w:val="00615DE5"/>
    <w:rsid w:val="00616A4D"/>
    <w:rsid w:val="006200E9"/>
    <w:rsid w:val="00620A97"/>
    <w:rsid w:val="00620E19"/>
    <w:rsid w:val="00622CCB"/>
    <w:rsid w:val="00640D3A"/>
    <w:rsid w:val="00641A3E"/>
    <w:rsid w:val="00641BDA"/>
    <w:rsid w:val="006426D6"/>
    <w:rsid w:val="00644186"/>
    <w:rsid w:val="00644284"/>
    <w:rsid w:val="00644D7F"/>
    <w:rsid w:val="0064642E"/>
    <w:rsid w:val="0065094E"/>
    <w:rsid w:val="00651C03"/>
    <w:rsid w:val="00653C00"/>
    <w:rsid w:val="00654050"/>
    <w:rsid w:val="006545B5"/>
    <w:rsid w:val="00657C3F"/>
    <w:rsid w:val="00657ED6"/>
    <w:rsid w:val="00660442"/>
    <w:rsid w:val="00661B42"/>
    <w:rsid w:val="0066252D"/>
    <w:rsid w:val="00663EAA"/>
    <w:rsid w:val="00664A7A"/>
    <w:rsid w:val="00665013"/>
    <w:rsid w:val="00665DFA"/>
    <w:rsid w:val="006670E1"/>
    <w:rsid w:val="0066757A"/>
    <w:rsid w:val="00670AA4"/>
    <w:rsid w:val="0067256A"/>
    <w:rsid w:val="00675C14"/>
    <w:rsid w:val="006769C8"/>
    <w:rsid w:val="00682ACC"/>
    <w:rsid w:val="00682C4B"/>
    <w:rsid w:val="006836A6"/>
    <w:rsid w:val="00684ED3"/>
    <w:rsid w:val="0068529E"/>
    <w:rsid w:val="00690F94"/>
    <w:rsid w:val="0069196B"/>
    <w:rsid w:val="0069220C"/>
    <w:rsid w:val="00692560"/>
    <w:rsid w:val="00693485"/>
    <w:rsid w:val="006949A4"/>
    <w:rsid w:val="00694C7D"/>
    <w:rsid w:val="00696042"/>
    <w:rsid w:val="00696068"/>
    <w:rsid w:val="00696EF5"/>
    <w:rsid w:val="006A0F9D"/>
    <w:rsid w:val="006A124C"/>
    <w:rsid w:val="006A15D7"/>
    <w:rsid w:val="006A1D7A"/>
    <w:rsid w:val="006A21C0"/>
    <w:rsid w:val="006A2AD6"/>
    <w:rsid w:val="006A4C1E"/>
    <w:rsid w:val="006A53C9"/>
    <w:rsid w:val="006A6BE2"/>
    <w:rsid w:val="006A742F"/>
    <w:rsid w:val="006B00D7"/>
    <w:rsid w:val="006B0B7F"/>
    <w:rsid w:val="006B293D"/>
    <w:rsid w:val="006B4991"/>
    <w:rsid w:val="006B4C0C"/>
    <w:rsid w:val="006B5825"/>
    <w:rsid w:val="006B639E"/>
    <w:rsid w:val="006B7612"/>
    <w:rsid w:val="006C0711"/>
    <w:rsid w:val="006C12B0"/>
    <w:rsid w:val="006C262B"/>
    <w:rsid w:val="006C50F1"/>
    <w:rsid w:val="006C6C7F"/>
    <w:rsid w:val="006C6F35"/>
    <w:rsid w:val="006D0CC2"/>
    <w:rsid w:val="006D1849"/>
    <w:rsid w:val="006D2F86"/>
    <w:rsid w:val="006D3A32"/>
    <w:rsid w:val="006D3C53"/>
    <w:rsid w:val="006D4962"/>
    <w:rsid w:val="006D51ED"/>
    <w:rsid w:val="006D51F5"/>
    <w:rsid w:val="006D59EA"/>
    <w:rsid w:val="006D7AE0"/>
    <w:rsid w:val="006E3896"/>
    <w:rsid w:val="006E5614"/>
    <w:rsid w:val="006F1881"/>
    <w:rsid w:val="006F24AD"/>
    <w:rsid w:val="006F26F8"/>
    <w:rsid w:val="006F2AE7"/>
    <w:rsid w:val="006F2B5A"/>
    <w:rsid w:val="006F3207"/>
    <w:rsid w:val="006F4176"/>
    <w:rsid w:val="006F539D"/>
    <w:rsid w:val="006F774C"/>
    <w:rsid w:val="006F78D9"/>
    <w:rsid w:val="006F79FE"/>
    <w:rsid w:val="006F7A69"/>
    <w:rsid w:val="00700DEC"/>
    <w:rsid w:val="0070133A"/>
    <w:rsid w:val="00701361"/>
    <w:rsid w:val="007021C3"/>
    <w:rsid w:val="00704055"/>
    <w:rsid w:val="007044F5"/>
    <w:rsid w:val="00704E7C"/>
    <w:rsid w:val="00706175"/>
    <w:rsid w:val="0070794D"/>
    <w:rsid w:val="007102CD"/>
    <w:rsid w:val="00711214"/>
    <w:rsid w:val="00711EEF"/>
    <w:rsid w:val="00712F2C"/>
    <w:rsid w:val="007138C3"/>
    <w:rsid w:val="00713FD0"/>
    <w:rsid w:val="0071422A"/>
    <w:rsid w:val="00714DEC"/>
    <w:rsid w:val="0071502A"/>
    <w:rsid w:val="007164F2"/>
    <w:rsid w:val="00716A24"/>
    <w:rsid w:val="007205A3"/>
    <w:rsid w:val="00721BE0"/>
    <w:rsid w:val="007222E5"/>
    <w:rsid w:val="0072498C"/>
    <w:rsid w:val="00726D03"/>
    <w:rsid w:val="00727735"/>
    <w:rsid w:val="00731128"/>
    <w:rsid w:val="00732FA2"/>
    <w:rsid w:val="0073403C"/>
    <w:rsid w:val="0073574E"/>
    <w:rsid w:val="0073624F"/>
    <w:rsid w:val="00740A9B"/>
    <w:rsid w:val="00741375"/>
    <w:rsid w:val="0074149D"/>
    <w:rsid w:val="007419B7"/>
    <w:rsid w:val="00743D4C"/>
    <w:rsid w:val="00746E7B"/>
    <w:rsid w:val="00751606"/>
    <w:rsid w:val="00755F2C"/>
    <w:rsid w:val="007561CE"/>
    <w:rsid w:val="00760BC1"/>
    <w:rsid w:val="0076120E"/>
    <w:rsid w:val="007622D3"/>
    <w:rsid w:val="007635B0"/>
    <w:rsid w:val="00763E54"/>
    <w:rsid w:val="00763F19"/>
    <w:rsid w:val="00766207"/>
    <w:rsid w:val="00767369"/>
    <w:rsid w:val="00767E7D"/>
    <w:rsid w:val="00770747"/>
    <w:rsid w:val="00770FFF"/>
    <w:rsid w:val="007721C7"/>
    <w:rsid w:val="00774825"/>
    <w:rsid w:val="00782E76"/>
    <w:rsid w:val="0078345D"/>
    <w:rsid w:val="00783AA1"/>
    <w:rsid w:val="007856A2"/>
    <w:rsid w:val="0078582E"/>
    <w:rsid w:val="007875DF"/>
    <w:rsid w:val="00790721"/>
    <w:rsid w:val="00792630"/>
    <w:rsid w:val="007934F8"/>
    <w:rsid w:val="0079462B"/>
    <w:rsid w:val="00795021"/>
    <w:rsid w:val="007950CE"/>
    <w:rsid w:val="00796102"/>
    <w:rsid w:val="007A0227"/>
    <w:rsid w:val="007A300E"/>
    <w:rsid w:val="007A7546"/>
    <w:rsid w:val="007B0B51"/>
    <w:rsid w:val="007B210C"/>
    <w:rsid w:val="007B48AA"/>
    <w:rsid w:val="007B4B87"/>
    <w:rsid w:val="007B506F"/>
    <w:rsid w:val="007B6685"/>
    <w:rsid w:val="007B73A4"/>
    <w:rsid w:val="007B7AAE"/>
    <w:rsid w:val="007B7F90"/>
    <w:rsid w:val="007C0889"/>
    <w:rsid w:val="007C0EF2"/>
    <w:rsid w:val="007C2EEE"/>
    <w:rsid w:val="007C3FDC"/>
    <w:rsid w:val="007C68B9"/>
    <w:rsid w:val="007C6C48"/>
    <w:rsid w:val="007C77BC"/>
    <w:rsid w:val="007D1479"/>
    <w:rsid w:val="007D1D42"/>
    <w:rsid w:val="007D4F69"/>
    <w:rsid w:val="007D6EC6"/>
    <w:rsid w:val="007E16F9"/>
    <w:rsid w:val="007E345D"/>
    <w:rsid w:val="007E3FC0"/>
    <w:rsid w:val="007E4C94"/>
    <w:rsid w:val="007E57E1"/>
    <w:rsid w:val="007E593D"/>
    <w:rsid w:val="007F1F13"/>
    <w:rsid w:val="007F2D6B"/>
    <w:rsid w:val="007F30C4"/>
    <w:rsid w:val="0080263D"/>
    <w:rsid w:val="00802693"/>
    <w:rsid w:val="00802FCB"/>
    <w:rsid w:val="008033CE"/>
    <w:rsid w:val="0080414D"/>
    <w:rsid w:val="0080559E"/>
    <w:rsid w:val="00805C65"/>
    <w:rsid w:val="00810228"/>
    <w:rsid w:val="0081125C"/>
    <w:rsid w:val="00811CC1"/>
    <w:rsid w:val="0081362C"/>
    <w:rsid w:val="00813AD6"/>
    <w:rsid w:val="00813B5F"/>
    <w:rsid w:val="008153FE"/>
    <w:rsid w:val="008178DF"/>
    <w:rsid w:val="00817A82"/>
    <w:rsid w:val="00821428"/>
    <w:rsid w:val="00822947"/>
    <w:rsid w:val="00824910"/>
    <w:rsid w:val="00824DDA"/>
    <w:rsid w:val="00827A59"/>
    <w:rsid w:val="008302B0"/>
    <w:rsid w:val="008312ED"/>
    <w:rsid w:val="008336F5"/>
    <w:rsid w:val="00833DE3"/>
    <w:rsid w:val="00842B17"/>
    <w:rsid w:val="0084302A"/>
    <w:rsid w:val="00843A3A"/>
    <w:rsid w:val="00851D93"/>
    <w:rsid w:val="008527A7"/>
    <w:rsid w:val="00853516"/>
    <w:rsid w:val="008543B9"/>
    <w:rsid w:val="00854444"/>
    <w:rsid w:val="00854A7A"/>
    <w:rsid w:val="008606D0"/>
    <w:rsid w:val="0086287C"/>
    <w:rsid w:val="00866DE3"/>
    <w:rsid w:val="00870635"/>
    <w:rsid w:val="00870C6B"/>
    <w:rsid w:val="0087203D"/>
    <w:rsid w:val="00873DFC"/>
    <w:rsid w:val="00874541"/>
    <w:rsid w:val="008752F4"/>
    <w:rsid w:val="00875530"/>
    <w:rsid w:val="00875598"/>
    <w:rsid w:val="00877625"/>
    <w:rsid w:val="008814A5"/>
    <w:rsid w:val="00882DEB"/>
    <w:rsid w:val="008832C0"/>
    <w:rsid w:val="008847A5"/>
    <w:rsid w:val="00885108"/>
    <w:rsid w:val="008903EC"/>
    <w:rsid w:val="00893806"/>
    <w:rsid w:val="0089494A"/>
    <w:rsid w:val="00895B67"/>
    <w:rsid w:val="008966B4"/>
    <w:rsid w:val="008A0DB8"/>
    <w:rsid w:val="008A308F"/>
    <w:rsid w:val="008A3E5C"/>
    <w:rsid w:val="008A60F7"/>
    <w:rsid w:val="008A6588"/>
    <w:rsid w:val="008A71AD"/>
    <w:rsid w:val="008B10BB"/>
    <w:rsid w:val="008B2EEF"/>
    <w:rsid w:val="008B311B"/>
    <w:rsid w:val="008B3369"/>
    <w:rsid w:val="008B385A"/>
    <w:rsid w:val="008B4ABE"/>
    <w:rsid w:val="008C0B6C"/>
    <w:rsid w:val="008C3D60"/>
    <w:rsid w:val="008C3F2A"/>
    <w:rsid w:val="008C4FE2"/>
    <w:rsid w:val="008C7DB3"/>
    <w:rsid w:val="008D0B2C"/>
    <w:rsid w:val="008D2110"/>
    <w:rsid w:val="008E0581"/>
    <w:rsid w:val="008E08FD"/>
    <w:rsid w:val="008E1080"/>
    <w:rsid w:val="008E2E49"/>
    <w:rsid w:val="008E3CC7"/>
    <w:rsid w:val="008E3D93"/>
    <w:rsid w:val="008E3FD9"/>
    <w:rsid w:val="008E6C2F"/>
    <w:rsid w:val="008E7037"/>
    <w:rsid w:val="008F1ACD"/>
    <w:rsid w:val="008F3998"/>
    <w:rsid w:val="008F49C7"/>
    <w:rsid w:val="008F5906"/>
    <w:rsid w:val="008F689D"/>
    <w:rsid w:val="008F6C8C"/>
    <w:rsid w:val="00900F08"/>
    <w:rsid w:val="00902972"/>
    <w:rsid w:val="00906614"/>
    <w:rsid w:val="009069A7"/>
    <w:rsid w:val="0090717A"/>
    <w:rsid w:val="00911912"/>
    <w:rsid w:val="00911B80"/>
    <w:rsid w:val="00912E9C"/>
    <w:rsid w:val="009166BB"/>
    <w:rsid w:val="00917770"/>
    <w:rsid w:val="00921F52"/>
    <w:rsid w:val="00922A91"/>
    <w:rsid w:val="00923477"/>
    <w:rsid w:val="0092568F"/>
    <w:rsid w:val="00926C93"/>
    <w:rsid w:val="00932812"/>
    <w:rsid w:val="0093479B"/>
    <w:rsid w:val="00935461"/>
    <w:rsid w:val="00935466"/>
    <w:rsid w:val="00943611"/>
    <w:rsid w:val="00944C28"/>
    <w:rsid w:val="00945296"/>
    <w:rsid w:val="009459E3"/>
    <w:rsid w:val="00945F6B"/>
    <w:rsid w:val="00946061"/>
    <w:rsid w:val="0094723B"/>
    <w:rsid w:val="0095005A"/>
    <w:rsid w:val="0095016F"/>
    <w:rsid w:val="00950AB5"/>
    <w:rsid w:val="00954542"/>
    <w:rsid w:val="0095508E"/>
    <w:rsid w:val="0095610E"/>
    <w:rsid w:val="009569C8"/>
    <w:rsid w:val="00957261"/>
    <w:rsid w:val="00957690"/>
    <w:rsid w:val="00957E7C"/>
    <w:rsid w:val="00963684"/>
    <w:rsid w:val="00964620"/>
    <w:rsid w:val="009720C4"/>
    <w:rsid w:val="0097519D"/>
    <w:rsid w:val="00975B78"/>
    <w:rsid w:val="0098028E"/>
    <w:rsid w:val="0098091C"/>
    <w:rsid w:val="0098267A"/>
    <w:rsid w:val="00983F2A"/>
    <w:rsid w:val="00986FAF"/>
    <w:rsid w:val="0098780F"/>
    <w:rsid w:val="00991311"/>
    <w:rsid w:val="00991CD3"/>
    <w:rsid w:val="009920CB"/>
    <w:rsid w:val="00994C98"/>
    <w:rsid w:val="009957C5"/>
    <w:rsid w:val="00995DDC"/>
    <w:rsid w:val="00996872"/>
    <w:rsid w:val="00997623"/>
    <w:rsid w:val="00997936"/>
    <w:rsid w:val="009A0CB6"/>
    <w:rsid w:val="009A1812"/>
    <w:rsid w:val="009A265B"/>
    <w:rsid w:val="009B365D"/>
    <w:rsid w:val="009B3903"/>
    <w:rsid w:val="009B452F"/>
    <w:rsid w:val="009B54CA"/>
    <w:rsid w:val="009B62DC"/>
    <w:rsid w:val="009B7E8D"/>
    <w:rsid w:val="009C0631"/>
    <w:rsid w:val="009C08D7"/>
    <w:rsid w:val="009C0F7A"/>
    <w:rsid w:val="009C1114"/>
    <w:rsid w:val="009C167C"/>
    <w:rsid w:val="009C3D90"/>
    <w:rsid w:val="009C4F65"/>
    <w:rsid w:val="009C5653"/>
    <w:rsid w:val="009D0E91"/>
    <w:rsid w:val="009D1A33"/>
    <w:rsid w:val="009D1EC0"/>
    <w:rsid w:val="009D2AD9"/>
    <w:rsid w:val="009D4609"/>
    <w:rsid w:val="009E2391"/>
    <w:rsid w:val="009E2C19"/>
    <w:rsid w:val="009E3B5E"/>
    <w:rsid w:val="009E3E78"/>
    <w:rsid w:val="009E4A0B"/>
    <w:rsid w:val="009E4C83"/>
    <w:rsid w:val="009E7D41"/>
    <w:rsid w:val="009F080D"/>
    <w:rsid w:val="009F19F9"/>
    <w:rsid w:val="009F3913"/>
    <w:rsid w:val="009F3B3D"/>
    <w:rsid w:val="009F3E1F"/>
    <w:rsid w:val="009F5534"/>
    <w:rsid w:val="009F5DD2"/>
    <w:rsid w:val="009F5E84"/>
    <w:rsid w:val="009F617A"/>
    <w:rsid w:val="009F6CD7"/>
    <w:rsid w:val="00A02312"/>
    <w:rsid w:val="00A02CC0"/>
    <w:rsid w:val="00A0747F"/>
    <w:rsid w:val="00A10A7B"/>
    <w:rsid w:val="00A118BB"/>
    <w:rsid w:val="00A1626F"/>
    <w:rsid w:val="00A1673D"/>
    <w:rsid w:val="00A23000"/>
    <w:rsid w:val="00A2356A"/>
    <w:rsid w:val="00A25962"/>
    <w:rsid w:val="00A26B8E"/>
    <w:rsid w:val="00A270A9"/>
    <w:rsid w:val="00A31D79"/>
    <w:rsid w:val="00A32577"/>
    <w:rsid w:val="00A331D9"/>
    <w:rsid w:val="00A33BE7"/>
    <w:rsid w:val="00A35848"/>
    <w:rsid w:val="00A358E2"/>
    <w:rsid w:val="00A36BF1"/>
    <w:rsid w:val="00A40A50"/>
    <w:rsid w:val="00A42AD7"/>
    <w:rsid w:val="00A44010"/>
    <w:rsid w:val="00A476B8"/>
    <w:rsid w:val="00A52832"/>
    <w:rsid w:val="00A52CFB"/>
    <w:rsid w:val="00A540FD"/>
    <w:rsid w:val="00A54FA0"/>
    <w:rsid w:val="00A575DB"/>
    <w:rsid w:val="00A6285B"/>
    <w:rsid w:val="00A639B1"/>
    <w:rsid w:val="00A644D5"/>
    <w:rsid w:val="00A64B94"/>
    <w:rsid w:val="00A65174"/>
    <w:rsid w:val="00A6533F"/>
    <w:rsid w:val="00A65EBE"/>
    <w:rsid w:val="00A6724C"/>
    <w:rsid w:val="00A70AE6"/>
    <w:rsid w:val="00A71C04"/>
    <w:rsid w:val="00A76430"/>
    <w:rsid w:val="00A85F3C"/>
    <w:rsid w:val="00A86535"/>
    <w:rsid w:val="00A8725D"/>
    <w:rsid w:val="00A87D2A"/>
    <w:rsid w:val="00A9084E"/>
    <w:rsid w:val="00A912E3"/>
    <w:rsid w:val="00A92D83"/>
    <w:rsid w:val="00A93FAA"/>
    <w:rsid w:val="00A96B21"/>
    <w:rsid w:val="00AA3095"/>
    <w:rsid w:val="00AA30D5"/>
    <w:rsid w:val="00AA3F96"/>
    <w:rsid w:val="00AA62A0"/>
    <w:rsid w:val="00AA6A21"/>
    <w:rsid w:val="00AB357B"/>
    <w:rsid w:val="00AB49B2"/>
    <w:rsid w:val="00AB4A42"/>
    <w:rsid w:val="00AB797F"/>
    <w:rsid w:val="00AC0F34"/>
    <w:rsid w:val="00AC18CD"/>
    <w:rsid w:val="00AC4541"/>
    <w:rsid w:val="00AD0BAC"/>
    <w:rsid w:val="00AD3A55"/>
    <w:rsid w:val="00AD5F9B"/>
    <w:rsid w:val="00AE023E"/>
    <w:rsid w:val="00AE1A95"/>
    <w:rsid w:val="00AE30A6"/>
    <w:rsid w:val="00AE5BC3"/>
    <w:rsid w:val="00AE634B"/>
    <w:rsid w:val="00AF0428"/>
    <w:rsid w:val="00AF1893"/>
    <w:rsid w:val="00AF2899"/>
    <w:rsid w:val="00AF2B46"/>
    <w:rsid w:val="00AF4A6C"/>
    <w:rsid w:val="00AF4C8E"/>
    <w:rsid w:val="00B001EB"/>
    <w:rsid w:val="00B039A9"/>
    <w:rsid w:val="00B065FF"/>
    <w:rsid w:val="00B1016A"/>
    <w:rsid w:val="00B15515"/>
    <w:rsid w:val="00B21AE8"/>
    <w:rsid w:val="00B21E96"/>
    <w:rsid w:val="00B22932"/>
    <w:rsid w:val="00B24AEF"/>
    <w:rsid w:val="00B25672"/>
    <w:rsid w:val="00B3093F"/>
    <w:rsid w:val="00B311CB"/>
    <w:rsid w:val="00B3140D"/>
    <w:rsid w:val="00B31E6C"/>
    <w:rsid w:val="00B33080"/>
    <w:rsid w:val="00B3358F"/>
    <w:rsid w:val="00B33CA4"/>
    <w:rsid w:val="00B35BCF"/>
    <w:rsid w:val="00B36EA9"/>
    <w:rsid w:val="00B41651"/>
    <w:rsid w:val="00B4431E"/>
    <w:rsid w:val="00B46D79"/>
    <w:rsid w:val="00B470A8"/>
    <w:rsid w:val="00B47233"/>
    <w:rsid w:val="00B47D8E"/>
    <w:rsid w:val="00B50296"/>
    <w:rsid w:val="00B50926"/>
    <w:rsid w:val="00B51369"/>
    <w:rsid w:val="00B52046"/>
    <w:rsid w:val="00B54FBE"/>
    <w:rsid w:val="00B576ED"/>
    <w:rsid w:val="00B57801"/>
    <w:rsid w:val="00B60599"/>
    <w:rsid w:val="00B61ED3"/>
    <w:rsid w:val="00B6232B"/>
    <w:rsid w:val="00B66280"/>
    <w:rsid w:val="00B6642D"/>
    <w:rsid w:val="00B66AD0"/>
    <w:rsid w:val="00B67BBA"/>
    <w:rsid w:val="00B70924"/>
    <w:rsid w:val="00B724BA"/>
    <w:rsid w:val="00B72E3A"/>
    <w:rsid w:val="00B7699A"/>
    <w:rsid w:val="00B76F03"/>
    <w:rsid w:val="00B77A6A"/>
    <w:rsid w:val="00B80527"/>
    <w:rsid w:val="00B81E17"/>
    <w:rsid w:val="00B8361C"/>
    <w:rsid w:val="00B86725"/>
    <w:rsid w:val="00B90511"/>
    <w:rsid w:val="00B91EDE"/>
    <w:rsid w:val="00B93841"/>
    <w:rsid w:val="00B93A5E"/>
    <w:rsid w:val="00B94890"/>
    <w:rsid w:val="00B94BA0"/>
    <w:rsid w:val="00BA06BE"/>
    <w:rsid w:val="00BA1F13"/>
    <w:rsid w:val="00BA5519"/>
    <w:rsid w:val="00BA76E3"/>
    <w:rsid w:val="00BB25AD"/>
    <w:rsid w:val="00BB5092"/>
    <w:rsid w:val="00BB5569"/>
    <w:rsid w:val="00BC151E"/>
    <w:rsid w:val="00BC205D"/>
    <w:rsid w:val="00BC4044"/>
    <w:rsid w:val="00BC79B0"/>
    <w:rsid w:val="00BD1F2D"/>
    <w:rsid w:val="00BD3475"/>
    <w:rsid w:val="00BD4C3E"/>
    <w:rsid w:val="00BD5B45"/>
    <w:rsid w:val="00BD7F7C"/>
    <w:rsid w:val="00BE0254"/>
    <w:rsid w:val="00BE3091"/>
    <w:rsid w:val="00BE32AA"/>
    <w:rsid w:val="00BE5174"/>
    <w:rsid w:val="00BE5BE3"/>
    <w:rsid w:val="00BE642A"/>
    <w:rsid w:val="00BE75CD"/>
    <w:rsid w:val="00BE7800"/>
    <w:rsid w:val="00BF0772"/>
    <w:rsid w:val="00BF46B0"/>
    <w:rsid w:val="00BF4731"/>
    <w:rsid w:val="00BF50D0"/>
    <w:rsid w:val="00C02BA8"/>
    <w:rsid w:val="00C02EA4"/>
    <w:rsid w:val="00C119A0"/>
    <w:rsid w:val="00C12178"/>
    <w:rsid w:val="00C12D0A"/>
    <w:rsid w:val="00C13D83"/>
    <w:rsid w:val="00C141BD"/>
    <w:rsid w:val="00C225C5"/>
    <w:rsid w:val="00C22D8E"/>
    <w:rsid w:val="00C22F75"/>
    <w:rsid w:val="00C2354A"/>
    <w:rsid w:val="00C23D41"/>
    <w:rsid w:val="00C24946"/>
    <w:rsid w:val="00C27CBE"/>
    <w:rsid w:val="00C332BC"/>
    <w:rsid w:val="00C33DF4"/>
    <w:rsid w:val="00C35DC7"/>
    <w:rsid w:val="00C402F0"/>
    <w:rsid w:val="00C424BB"/>
    <w:rsid w:val="00C42EC3"/>
    <w:rsid w:val="00C4300F"/>
    <w:rsid w:val="00C43E40"/>
    <w:rsid w:val="00C4462B"/>
    <w:rsid w:val="00C44775"/>
    <w:rsid w:val="00C44D39"/>
    <w:rsid w:val="00C457CA"/>
    <w:rsid w:val="00C51674"/>
    <w:rsid w:val="00C5185A"/>
    <w:rsid w:val="00C53B46"/>
    <w:rsid w:val="00C56768"/>
    <w:rsid w:val="00C57F03"/>
    <w:rsid w:val="00C60A2F"/>
    <w:rsid w:val="00C61E65"/>
    <w:rsid w:val="00C62BC2"/>
    <w:rsid w:val="00C65577"/>
    <w:rsid w:val="00C65DC0"/>
    <w:rsid w:val="00C70F1F"/>
    <w:rsid w:val="00C7418E"/>
    <w:rsid w:val="00C8475E"/>
    <w:rsid w:val="00C91E3F"/>
    <w:rsid w:val="00C931B2"/>
    <w:rsid w:val="00C931E4"/>
    <w:rsid w:val="00C94C56"/>
    <w:rsid w:val="00CA00D8"/>
    <w:rsid w:val="00CA026D"/>
    <w:rsid w:val="00CA04F8"/>
    <w:rsid w:val="00CA08F7"/>
    <w:rsid w:val="00CA3273"/>
    <w:rsid w:val="00CA4714"/>
    <w:rsid w:val="00CA52C7"/>
    <w:rsid w:val="00CA5E99"/>
    <w:rsid w:val="00CA62A0"/>
    <w:rsid w:val="00CA76B0"/>
    <w:rsid w:val="00CB1759"/>
    <w:rsid w:val="00CB2187"/>
    <w:rsid w:val="00CB5152"/>
    <w:rsid w:val="00CC0193"/>
    <w:rsid w:val="00CC20BE"/>
    <w:rsid w:val="00CC34C1"/>
    <w:rsid w:val="00CC4D37"/>
    <w:rsid w:val="00CC50B8"/>
    <w:rsid w:val="00CC585B"/>
    <w:rsid w:val="00CC6320"/>
    <w:rsid w:val="00CC71D6"/>
    <w:rsid w:val="00CD10AF"/>
    <w:rsid w:val="00CD16B3"/>
    <w:rsid w:val="00CD18C6"/>
    <w:rsid w:val="00CD31B0"/>
    <w:rsid w:val="00CD4A98"/>
    <w:rsid w:val="00CD66B6"/>
    <w:rsid w:val="00CD6A07"/>
    <w:rsid w:val="00CD770D"/>
    <w:rsid w:val="00CD7A90"/>
    <w:rsid w:val="00CE0220"/>
    <w:rsid w:val="00CE0727"/>
    <w:rsid w:val="00CE76FD"/>
    <w:rsid w:val="00CF2810"/>
    <w:rsid w:val="00CF2D28"/>
    <w:rsid w:val="00CF3550"/>
    <w:rsid w:val="00CF3E13"/>
    <w:rsid w:val="00CF70AB"/>
    <w:rsid w:val="00D05024"/>
    <w:rsid w:val="00D11591"/>
    <w:rsid w:val="00D13814"/>
    <w:rsid w:val="00D142CA"/>
    <w:rsid w:val="00D14CA8"/>
    <w:rsid w:val="00D15F1F"/>
    <w:rsid w:val="00D160B5"/>
    <w:rsid w:val="00D1670F"/>
    <w:rsid w:val="00D20BD0"/>
    <w:rsid w:val="00D21671"/>
    <w:rsid w:val="00D2281A"/>
    <w:rsid w:val="00D2651C"/>
    <w:rsid w:val="00D300AF"/>
    <w:rsid w:val="00D3059B"/>
    <w:rsid w:val="00D31ED8"/>
    <w:rsid w:val="00D322A4"/>
    <w:rsid w:val="00D34DFB"/>
    <w:rsid w:val="00D37DA7"/>
    <w:rsid w:val="00D405BF"/>
    <w:rsid w:val="00D4140A"/>
    <w:rsid w:val="00D458B1"/>
    <w:rsid w:val="00D45CD2"/>
    <w:rsid w:val="00D4778A"/>
    <w:rsid w:val="00D50695"/>
    <w:rsid w:val="00D5201A"/>
    <w:rsid w:val="00D5207C"/>
    <w:rsid w:val="00D5296D"/>
    <w:rsid w:val="00D54863"/>
    <w:rsid w:val="00D57731"/>
    <w:rsid w:val="00D57F85"/>
    <w:rsid w:val="00D60046"/>
    <w:rsid w:val="00D60BF6"/>
    <w:rsid w:val="00D619CC"/>
    <w:rsid w:val="00D61EC4"/>
    <w:rsid w:val="00D62D4F"/>
    <w:rsid w:val="00D63B94"/>
    <w:rsid w:val="00D65151"/>
    <w:rsid w:val="00D6640A"/>
    <w:rsid w:val="00D667B0"/>
    <w:rsid w:val="00D70CF0"/>
    <w:rsid w:val="00D71230"/>
    <w:rsid w:val="00D71FFB"/>
    <w:rsid w:val="00D73C28"/>
    <w:rsid w:val="00D74474"/>
    <w:rsid w:val="00D74DB3"/>
    <w:rsid w:val="00D77F17"/>
    <w:rsid w:val="00D77F9C"/>
    <w:rsid w:val="00D81441"/>
    <w:rsid w:val="00D83F0B"/>
    <w:rsid w:val="00D84529"/>
    <w:rsid w:val="00D85690"/>
    <w:rsid w:val="00D878E0"/>
    <w:rsid w:val="00D910D1"/>
    <w:rsid w:val="00D91887"/>
    <w:rsid w:val="00D92BFD"/>
    <w:rsid w:val="00D931D8"/>
    <w:rsid w:val="00D94801"/>
    <w:rsid w:val="00D95D34"/>
    <w:rsid w:val="00DA0748"/>
    <w:rsid w:val="00DA1ABD"/>
    <w:rsid w:val="00DA2A94"/>
    <w:rsid w:val="00DA39AF"/>
    <w:rsid w:val="00DA4B44"/>
    <w:rsid w:val="00DA5D96"/>
    <w:rsid w:val="00DB05A0"/>
    <w:rsid w:val="00DB1D59"/>
    <w:rsid w:val="00DB2CA9"/>
    <w:rsid w:val="00DB2E18"/>
    <w:rsid w:val="00DB3F4D"/>
    <w:rsid w:val="00DB69E3"/>
    <w:rsid w:val="00DC024F"/>
    <w:rsid w:val="00DC1781"/>
    <w:rsid w:val="00DC2C62"/>
    <w:rsid w:val="00DC5330"/>
    <w:rsid w:val="00DC6E17"/>
    <w:rsid w:val="00DC6EEF"/>
    <w:rsid w:val="00DD1F32"/>
    <w:rsid w:val="00DD2A42"/>
    <w:rsid w:val="00DD37B8"/>
    <w:rsid w:val="00DD7990"/>
    <w:rsid w:val="00DD7BDE"/>
    <w:rsid w:val="00DE2B07"/>
    <w:rsid w:val="00DE3105"/>
    <w:rsid w:val="00DE3671"/>
    <w:rsid w:val="00DE4B36"/>
    <w:rsid w:val="00DE585C"/>
    <w:rsid w:val="00DF0E15"/>
    <w:rsid w:val="00DF263E"/>
    <w:rsid w:val="00DF3D27"/>
    <w:rsid w:val="00E02311"/>
    <w:rsid w:val="00E02D68"/>
    <w:rsid w:val="00E0494B"/>
    <w:rsid w:val="00E065C3"/>
    <w:rsid w:val="00E07296"/>
    <w:rsid w:val="00E10246"/>
    <w:rsid w:val="00E11649"/>
    <w:rsid w:val="00E124D9"/>
    <w:rsid w:val="00E13CB0"/>
    <w:rsid w:val="00E1456D"/>
    <w:rsid w:val="00E153BB"/>
    <w:rsid w:val="00E1597C"/>
    <w:rsid w:val="00E229B9"/>
    <w:rsid w:val="00E25980"/>
    <w:rsid w:val="00E26F6C"/>
    <w:rsid w:val="00E30AF9"/>
    <w:rsid w:val="00E312D9"/>
    <w:rsid w:val="00E36280"/>
    <w:rsid w:val="00E37C60"/>
    <w:rsid w:val="00E459F2"/>
    <w:rsid w:val="00E46067"/>
    <w:rsid w:val="00E50265"/>
    <w:rsid w:val="00E5428A"/>
    <w:rsid w:val="00E57084"/>
    <w:rsid w:val="00E60E17"/>
    <w:rsid w:val="00E61213"/>
    <w:rsid w:val="00E613A1"/>
    <w:rsid w:val="00E62F08"/>
    <w:rsid w:val="00E6697B"/>
    <w:rsid w:val="00E67215"/>
    <w:rsid w:val="00E71731"/>
    <w:rsid w:val="00E737A7"/>
    <w:rsid w:val="00E77B5F"/>
    <w:rsid w:val="00E81266"/>
    <w:rsid w:val="00E81E16"/>
    <w:rsid w:val="00E83443"/>
    <w:rsid w:val="00E86525"/>
    <w:rsid w:val="00E87B1F"/>
    <w:rsid w:val="00E922A7"/>
    <w:rsid w:val="00E9433D"/>
    <w:rsid w:val="00E943FE"/>
    <w:rsid w:val="00E97AE8"/>
    <w:rsid w:val="00EA16DD"/>
    <w:rsid w:val="00EA16E1"/>
    <w:rsid w:val="00EA199D"/>
    <w:rsid w:val="00EA2683"/>
    <w:rsid w:val="00EA419B"/>
    <w:rsid w:val="00EA5AE6"/>
    <w:rsid w:val="00EA5F1F"/>
    <w:rsid w:val="00EA5FCE"/>
    <w:rsid w:val="00EA6437"/>
    <w:rsid w:val="00EA77FB"/>
    <w:rsid w:val="00EB0BAF"/>
    <w:rsid w:val="00EB0E55"/>
    <w:rsid w:val="00EB16C5"/>
    <w:rsid w:val="00EB1C56"/>
    <w:rsid w:val="00EB3BA7"/>
    <w:rsid w:val="00EB5952"/>
    <w:rsid w:val="00EB7BAF"/>
    <w:rsid w:val="00EC480F"/>
    <w:rsid w:val="00EC4E06"/>
    <w:rsid w:val="00EC6B77"/>
    <w:rsid w:val="00EC75C6"/>
    <w:rsid w:val="00ED1732"/>
    <w:rsid w:val="00ED3849"/>
    <w:rsid w:val="00ED3A69"/>
    <w:rsid w:val="00ED3FAC"/>
    <w:rsid w:val="00ED46DA"/>
    <w:rsid w:val="00ED4C7A"/>
    <w:rsid w:val="00ED7F68"/>
    <w:rsid w:val="00EE0420"/>
    <w:rsid w:val="00EE21C9"/>
    <w:rsid w:val="00EE34F7"/>
    <w:rsid w:val="00EE5B30"/>
    <w:rsid w:val="00EE7E30"/>
    <w:rsid w:val="00EF4787"/>
    <w:rsid w:val="00EF53EB"/>
    <w:rsid w:val="00F01B23"/>
    <w:rsid w:val="00F03B30"/>
    <w:rsid w:val="00F045BE"/>
    <w:rsid w:val="00F0487B"/>
    <w:rsid w:val="00F04FB6"/>
    <w:rsid w:val="00F0526F"/>
    <w:rsid w:val="00F057C8"/>
    <w:rsid w:val="00F109AD"/>
    <w:rsid w:val="00F1786D"/>
    <w:rsid w:val="00F22919"/>
    <w:rsid w:val="00F2507D"/>
    <w:rsid w:val="00F252DB"/>
    <w:rsid w:val="00F2541A"/>
    <w:rsid w:val="00F258FB"/>
    <w:rsid w:val="00F31689"/>
    <w:rsid w:val="00F36AF2"/>
    <w:rsid w:val="00F3755D"/>
    <w:rsid w:val="00F37FBE"/>
    <w:rsid w:val="00F42981"/>
    <w:rsid w:val="00F43005"/>
    <w:rsid w:val="00F474C2"/>
    <w:rsid w:val="00F514E8"/>
    <w:rsid w:val="00F529F3"/>
    <w:rsid w:val="00F52E5C"/>
    <w:rsid w:val="00F532E5"/>
    <w:rsid w:val="00F53F9B"/>
    <w:rsid w:val="00F563FC"/>
    <w:rsid w:val="00F5768F"/>
    <w:rsid w:val="00F606D2"/>
    <w:rsid w:val="00F619EE"/>
    <w:rsid w:val="00F65EC3"/>
    <w:rsid w:val="00F67AF9"/>
    <w:rsid w:val="00F7093F"/>
    <w:rsid w:val="00F7233B"/>
    <w:rsid w:val="00F730C3"/>
    <w:rsid w:val="00F738A2"/>
    <w:rsid w:val="00F75F90"/>
    <w:rsid w:val="00F814B2"/>
    <w:rsid w:val="00F81BDF"/>
    <w:rsid w:val="00F82020"/>
    <w:rsid w:val="00F90002"/>
    <w:rsid w:val="00F901AC"/>
    <w:rsid w:val="00F93C45"/>
    <w:rsid w:val="00F95665"/>
    <w:rsid w:val="00FA13C2"/>
    <w:rsid w:val="00FA18C9"/>
    <w:rsid w:val="00FA1A0F"/>
    <w:rsid w:val="00FA38EC"/>
    <w:rsid w:val="00FA4C9F"/>
    <w:rsid w:val="00FA6DD0"/>
    <w:rsid w:val="00FA6E75"/>
    <w:rsid w:val="00FB0158"/>
    <w:rsid w:val="00FB1714"/>
    <w:rsid w:val="00FB46B8"/>
    <w:rsid w:val="00FB5222"/>
    <w:rsid w:val="00FB5A99"/>
    <w:rsid w:val="00FC06FF"/>
    <w:rsid w:val="00FC2A60"/>
    <w:rsid w:val="00FC49A4"/>
    <w:rsid w:val="00FC5681"/>
    <w:rsid w:val="00FC76E2"/>
    <w:rsid w:val="00FD4FF7"/>
    <w:rsid w:val="00FD6F6A"/>
    <w:rsid w:val="00FD7AA5"/>
    <w:rsid w:val="00FE3653"/>
    <w:rsid w:val="00FE3747"/>
    <w:rsid w:val="00FE3AB8"/>
    <w:rsid w:val="00FE47AD"/>
    <w:rsid w:val="00FF1543"/>
    <w:rsid w:val="00FF5921"/>
    <w:rsid w:val="00FF701D"/>
  </w:rsids>
  <m:mathPr>
    <m:mathFont m:val="Cambria Math"/>
    <m:brkBin m:val="before"/>
    <m:brkBinSub m:val="--"/>
    <m:smallFrac m:val="0"/>
    <m:dispDef/>
    <m:lMargin m:val="0"/>
    <m:rMargin m:val="0"/>
    <m:defJc m:val="centerGroup"/>
    <m:wrapIndent m:val="1440"/>
    <m:intLim m:val="subSup"/>
    <m:naryLim m:val="undOvr"/>
  </m:mathPr>
  <w:themeFontLang w:val="fr-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574276"/>
  <w15:docId w15:val="{2B149EF7-F3C4-4F6C-B2D2-FCA9FD775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nhideWhenUsed/>
    <w:qFormat/>
    <w:rsid w:val="00A96B21"/>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qFormat/>
    <w:rsid w:val="00A96B21"/>
    <w:rPr>
      <w:rFonts w:ascii="Times New Roman" w:eastAsia="Times New Roman" w:hAnsi="Times New Roman" w:cs="Times New Roman"/>
      <w:kern w:val="0"/>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496F5C"/>
    <w:pPr>
      <w:numPr>
        <w:numId w:val="2"/>
      </w:numPr>
      <w:tabs>
        <w:tab w:val="left" w:pos="1134"/>
      </w:tabs>
      <w:spacing w:before="120" w:after="120"/>
      <w:ind w:left="567" w:firstLine="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paragraph" w:customStyle="1" w:styleId="Para3">
    <w:name w:val="Para3"/>
    <w:basedOn w:val="Normal"/>
    <w:rsid w:val="009720C4"/>
    <w:pPr>
      <w:numPr>
        <w:ilvl w:val="2"/>
        <w:numId w:val="21"/>
      </w:numPr>
      <w:tabs>
        <w:tab w:val="left" w:pos="1980"/>
      </w:tabs>
      <w:spacing w:before="80" w:after="80"/>
    </w:pPr>
    <w:rPr>
      <w:rFonts w:eastAsia="MS Mincho" w:cs="Angsana New"/>
      <w:szCs w:val="20"/>
    </w:rPr>
  </w:style>
  <w:style w:type="paragraph" w:styleId="Revision">
    <w:name w:val="Revision"/>
    <w:hidden/>
    <w:uiPriority w:val="99"/>
    <w:semiHidden/>
    <w:rsid w:val="001426F9"/>
    <w:pPr>
      <w:spacing w:after="0" w:line="240" w:lineRule="auto"/>
    </w:pPr>
    <w:rPr>
      <w:rFonts w:ascii="Times New Roman" w:eastAsia="Times New Roman" w:hAnsi="Times New Roman" w:cs="Times New Roman"/>
      <w:kern w:val="0"/>
      <w:szCs w:val="24"/>
      <w:lang w:val="en-GB"/>
    </w:rPr>
  </w:style>
  <w:style w:type="paragraph" w:styleId="BalloonText">
    <w:name w:val="Balloon Text"/>
    <w:basedOn w:val="Normal"/>
    <w:link w:val="BalloonTextChar"/>
    <w:uiPriority w:val="99"/>
    <w:semiHidden/>
    <w:unhideWhenUsed/>
    <w:rsid w:val="00E717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731"/>
    <w:rPr>
      <w:rFonts w:ascii="Segoe UI" w:eastAsia="Times New Roman" w:hAnsi="Segoe UI" w:cs="Segoe UI"/>
      <w:kern w:val="0"/>
      <w:sz w:val="18"/>
      <w:szCs w:val="18"/>
      <w:lang w:val="en-GB"/>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165C77"/>
    <w:pPr>
      <w:ind w:left="720"/>
      <w:contextualSpacing/>
    </w:pPr>
  </w:style>
  <w:style w:type="character" w:styleId="Hyperlink">
    <w:name w:val="Hyperlink"/>
    <w:basedOn w:val="DefaultParagraphFont"/>
    <w:uiPriority w:val="99"/>
    <w:unhideWhenUsed/>
    <w:rsid w:val="00335DC6"/>
    <w:rPr>
      <w:color w:val="0563C1" w:themeColor="hyperlink"/>
      <w:u w:val="single"/>
    </w:rPr>
  </w:style>
  <w:style w:type="character" w:customStyle="1" w:styleId="UnresolvedMention1">
    <w:name w:val="Unresolved Mention1"/>
    <w:basedOn w:val="DefaultParagraphFont"/>
    <w:uiPriority w:val="99"/>
    <w:semiHidden/>
    <w:unhideWhenUsed/>
    <w:rsid w:val="00335DC6"/>
    <w:rPr>
      <w:color w:val="605E5C"/>
      <w:shd w:val="clear" w:color="auto" w:fill="E1DFDD"/>
    </w:rPr>
  </w:style>
  <w:style w:type="character" w:styleId="FollowedHyperlink">
    <w:name w:val="FollowedHyperlink"/>
    <w:basedOn w:val="DefaultParagraphFont"/>
    <w:uiPriority w:val="99"/>
    <w:semiHidden/>
    <w:unhideWhenUsed/>
    <w:rsid w:val="0044310C"/>
    <w:rPr>
      <w:color w:val="954F72" w:themeColor="followedHyperlink"/>
      <w:u w:val="single"/>
    </w:rPr>
  </w:style>
  <w:style w:type="paragraph" w:customStyle="1" w:styleId="Para10">
    <w:name w:val="Para1"/>
    <w:basedOn w:val="Normal"/>
    <w:link w:val="Para1Char"/>
    <w:qFormat/>
    <w:rsid w:val="00817A82"/>
    <w:pPr>
      <w:spacing w:before="120" w:after="120"/>
    </w:pPr>
    <w:rPr>
      <w:snapToGrid w:val="0"/>
      <w:szCs w:val="18"/>
    </w:rPr>
  </w:style>
  <w:style w:type="character" w:customStyle="1" w:styleId="Para1Char">
    <w:name w:val="Para1 Char"/>
    <w:link w:val="Para10"/>
    <w:qFormat/>
    <w:locked/>
    <w:rsid w:val="00817A82"/>
    <w:rPr>
      <w:rFonts w:ascii="Times New Roman" w:eastAsia="Times New Roman" w:hAnsi="Times New Roman" w:cs="Times New Roman"/>
      <w:snapToGrid w:val="0"/>
      <w:kern w:val="0"/>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qFormat/>
    <w:rsid w:val="00817A82"/>
    <w:pPr>
      <w:spacing w:after="160" w:line="240" w:lineRule="exact"/>
    </w:pPr>
    <w:rPr>
      <w:rFonts w:asciiTheme="minorHAnsi" w:eastAsiaTheme="minorHAnsi" w:hAnsiTheme="minorHAnsi" w:cstheme="minorBidi"/>
      <w:kern w:val="2"/>
      <w:szCs w:val="22"/>
      <w:vertAlign w:val="superscript"/>
      <w:lang w:val="en-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817A82"/>
    <w:rPr>
      <w:rFonts w:ascii="Times New Roman" w:eastAsia="Times New Roman" w:hAnsi="Times New Roman" w:cs="Times New Roman"/>
      <w:kern w:val="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72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5/cop-15-dec-33-fr.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General\Templates\template-gener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85E4C-C806-4F10-8420-89CF53128477}">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2.xml><?xml version="1.0" encoding="utf-8"?>
<ds:datastoreItem xmlns:ds="http://schemas.openxmlformats.org/officeDocument/2006/customXml" ds:itemID="{9107C249-D583-4E88-B7AB-22330515F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4.xml><?xml version="1.0" encoding="utf-8"?>
<ds:datastoreItem xmlns:ds="http://schemas.openxmlformats.org/officeDocument/2006/customXml" ds:itemID="{35DC3A66-9A40-47BD-BD72-675AAEFC9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template-general.dotm</Template>
  <TotalTime>30</TotalTime>
  <Pages>4</Pages>
  <Words>1567</Words>
  <Characters>8671</Characters>
  <Application>Microsoft Office Word</Application>
  <DocSecurity>0</DocSecurity>
  <Lines>72</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Programme de travail pluriannuel de la Conférence des Parties</vt:lpstr>
      <vt:lpstr>Programme de travail pluriannuel de la Conférence des Parties</vt:lpstr>
    </vt:vector>
  </TitlesOfParts>
  <Company/>
  <LinksUpToDate>false</LinksUpToDate>
  <CharactersWithSpaces>10218</CharactersWithSpaces>
  <SharedDoc>false</SharedDoc>
  <HLinks>
    <vt:vector size="102" baseType="variant">
      <vt:variant>
        <vt:i4>852042</vt:i4>
      </vt:variant>
      <vt:variant>
        <vt:i4>48</vt:i4>
      </vt:variant>
      <vt:variant>
        <vt:i4>0</vt:i4>
      </vt:variant>
      <vt:variant>
        <vt:i4>5</vt:i4>
      </vt:variant>
      <vt:variant>
        <vt:lpwstr>https://www.cbd.int/doc/decisions/cop-15/cop-15-dec-13-en.pdf</vt:lpwstr>
      </vt:variant>
      <vt:variant>
        <vt:lpwstr/>
      </vt:variant>
      <vt:variant>
        <vt:i4>393291</vt:i4>
      </vt:variant>
      <vt:variant>
        <vt:i4>45</vt:i4>
      </vt:variant>
      <vt:variant>
        <vt:i4>0</vt:i4>
      </vt:variant>
      <vt:variant>
        <vt:i4>5</vt:i4>
      </vt:variant>
      <vt:variant>
        <vt:lpwstr>https://www.cbd.int/doc/decisions/cop-15/cop-15-dec-08-en.pdf</vt:lpwstr>
      </vt:variant>
      <vt:variant>
        <vt:lpwstr/>
      </vt:variant>
      <vt:variant>
        <vt:i4>524363</vt:i4>
      </vt:variant>
      <vt:variant>
        <vt:i4>42</vt:i4>
      </vt:variant>
      <vt:variant>
        <vt:i4>0</vt:i4>
      </vt:variant>
      <vt:variant>
        <vt:i4>5</vt:i4>
      </vt:variant>
      <vt:variant>
        <vt:lpwstr>https://www.cbd.int/doc/decisions/cop-15/cop-15-dec-06-en.pdf</vt:lpwstr>
      </vt:variant>
      <vt:variant>
        <vt:lpwstr/>
      </vt:variant>
      <vt:variant>
        <vt:i4>720971</vt:i4>
      </vt:variant>
      <vt:variant>
        <vt:i4>39</vt:i4>
      </vt:variant>
      <vt:variant>
        <vt:i4>0</vt:i4>
      </vt:variant>
      <vt:variant>
        <vt:i4>5</vt:i4>
      </vt:variant>
      <vt:variant>
        <vt:lpwstr>https://www.cbd.int/doc/decisions/cop-15/cop-15-dec-05-en.pdf</vt:lpwstr>
      </vt:variant>
      <vt:variant>
        <vt:lpwstr/>
      </vt:variant>
      <vt:variant>
        <vt:i4>655435</vt:i4>
      </vt:variant>
      <vt:variant>
        <vt:i4>36</vt:i4>
      </vt:variant>
      <vt:variant>
        <vt:i4>0</vt:i4>
      </vt:variant>
      <vt:variant>
        <vt:i4>5</vt:i4>
      </vt:variant>
      <vt:variant>
        <vt:lpwstr>https://www.cbd.int/doc/decisions/cop-15/cop-15-dec-04-en.pdf</vt:lpwstr>
      </vt:variant>
      <vt:variant>
        <vt:lpwstr/>
      </vt:variant>
      <vt:variant>
        <vt:i4>7536689</vt:i4>
      </vt:variant>
      <vt:variant>
        <vt:i4>33</vt:i4>
      </vt:variant>
      <vt:variant>
        <vt:i4>0</vt:i4>
      </vt:variant>
      <vt:variant>
        <vt:i4>5</vt:i4>
      </vt:variant>
      <vt:variant>
        <vt:lpwstr>https://www.cbd.int/doc/decisions/np-mop-04/np-mop-04-dec-07-en.pdf</vt:lpwstr>
      </vt:variant>
      <vt:variant>
        <vt:lpwstr/>
      </vt:variant>
      <vt:variant>
        <vt:i4>524362</vt:i4>
      </vt:variant>
      <vt:variant>
        <vt:i4>30</vt:i4>
      </vt:variant>
      <vt:variant>
        <vt:i4>0</vt:i4>
      </vt:variant>
      <vt:variant>
        <vt:i4>5</vt:i4>
      </vt:variant>
      <vt:variant>
        <vt:lpwstr>https://www.cbd.int/doc/decisions/cop-15/cop-15-dec-16-en.pdf</vt:lpwstr>
      </vt:variant>
      <vt:variant>
        <vt:lpwstr/>
      </vt:variant>
      <vt:variant>
        <vt:i4>393291</vt:i4>
      </vt:variant>
      <vt:variant>
        <vt:i4>27</vt:i4>
      </vt:variant>
      <vt:variant>
        <vt:i4>0</vt:i4>
      </vt:variant>
      <vt:variant>
        <vt:i4>5</vt:i4>
      </vt:variant>
      <vt:variant>
        <vt:lpwstr>https://www.cbd.int/doc/decisions/cop-15/cop-15-dec-08-en.pdf</vt:lpwstr>
      </vt:variant>
      <vt:variant>
        <vt:lpwstr/>
      </vt:variant>
      <vt:variant>
        <vt:i4>8126513</vt:i4>
      </vt:variant>
      <vt:variant>
        <vt:i4>24</vt:i4>
      </vt:variant>
      <vt:variant>
        <vt:i4>0</vt:i4>
      </vt:variant>
      <vt:variant>
        <vt:i4>5</vt:i4>
      </vt:variant>
      <vt:variant>
        <vt:lpwstr>https://www.cbd.int/doc/decisions/np-mop-04/np-mop-04-dec-08-en.pdf</vt:lpwstr>
      </vt:variant>
      <vt:variant>
        <vt:lpwstr/>
      </vt:variant>
      <vt:variant>
        <vt:i4>8126513</vt:i4>
      </vt:variant>
      <vt:variant>
        <vt:i4>21</vt:i4>
      </vt:variant>
      <vt:variant>
        <vt:i4>0</vt:i4>
      </vt:variant>
      <vt:variant>
        <vt:i4>5</vt:i4>
      </vt:variant>
      <vt:variant>
        <vt:lpwstr>https://www.cbd.int/doc/decisions/cp-mop-10/cp-mop-10-dec-08-en.pdf</vt:lpwstr>
      </vt:variant>
      <vt:variant>
        <vt:lpwstr/>
      </vt:variant>
      <vt:variant>
        <vt:i4>720970</vt:i4>
      </vt:variant>
      <vt:variant>
        <vt:i4>18</vt:i4>
      </vt:variant>
      <vt:variant>
        <vt:i4>0</vt:i4>
      </vt:variant>
      <vt:variant>
        <vt:i4>5</vt:i4>
      </vt:variant>
      <vt:variant>
        <vt:lpwstr>https://www.cbd.int/doc/decisions/cop-15/cop-15-dec-15-en.pdf</vt:lpwstr>
      </vt:variant>
      <vt:variant>
        <vt:lpwstr/>
      </vt:variant>
      <vt:variant>
        <vt:i4>589899</vt:i4>
      </vt:variant>
      <vt:variant>
        <vt:i4>15</vt:i4>
      </vt:variant>
      <vt:variant>
        <vt:i4>0</vt:i4>
      </vt:variant>
      <vt:variant>
        <vt:i4>5</vt:i4>
      </vt:variant>
      <vt:variant>
        <vt:lpwstr>https://www.cbd.int/doc/decisions/cop-15/cop-15-dec-07-en.pdf</vt:lpwstr>
      </vt:variant>
      <vt:variant>
        <vt:lpwstr/>
      </vt:variant>
      <vt:variant>
        <vt:i4>524363</vt:i4>
      </vt:variant>
      <vt:variant>
        <vt:i4>12</vt:i4>
      </vt:variant>
      <vt:variant>
        <vt:i4>0</vt:i4>
      </vt:variant>
      <vt:variant>
        <vt:i4>5</vt:i4>
      </vt:variant>
      <vt:variant>
        <vt:lpwstr>https://www.cbd.int/doc/decisions/cop-15/cop-15-dec-06-en.pdf</vt:lpwstr>
      </vt:variant>
      <vt:variant>
        <vt:lpwstr/>
      </vt:variant>
      <vt:variant>
        <vt:i4>720971</vt:i4>
      </vt:variant>
      <vt:variant>
        <vt:i4>9</vt:i4>
      </vt:variant>
      <vt:variant>
        <vt:i4>0</vt:i4>
      </vt:variant>
      <vt:variant>
        <vt:i4>5</vt:i4>
      </vt:variant>
      <vt:variant>
        <vt:lpwstr>https://www.cbd.int/doc/decisions/cop-15/cop-15-dec-05-en.pdf</vt:lpwstr>
      </vt:variant>
      <vt:variant>
        <vt:lpwstr/>
      </vt:variant>
      <vt:variant>
        <vt:i4>524363</vt:i4>
      </vt:variant>
      <vt:variant>
        <vt:i4>6</vt:i4>
      </vt:variant>
      <vt:variant>
        <vt:i4>0</vt:i4>
      </vt:variant>
      <vt:variant>
        <vt:i4>5</vt:i4>
      </vt:variant>
      <vt:variant>
        <vt:lpwstr>https://www.cbd.int/doc/decisions/cop-15/cop-15-dec-06-en.pdf</vt:lpwstr>
      </vt:variant>
      <vt:variant>
        <vt:lpwstr/>
      </vt:variant>
      <vt:variant>
        <vt:i4>852047</vt:i4>
      </vt:variant>
      <vt:variant>
        <vt:i4>3</vt:i4>
      </vt:variant>
      <vt:variant>
        <vt:i4>0</vt:i4>
      </vt:variant>
      <vt:variant>
        <vt:i4>5</vt:i4>
      </vt:variant>
      <vt:variant>
        <vt:lpwstr>https://www.cbd.int/doc/decisions/cop-13/cop-13-dec-25-en.pdf</vt:lpwstr>
      </vt:variant>
      <vt:variant>
        <vt:lpwstr/>
      </vt:variant>
      <vt:variant>
        <vt:i4>983118</vt:i4>
      </vt:variant>
      <vt:variant>
        <vt:i4>0</vt:i4>
      </vt:variant>
      <vt:variant>
        <vt:i4>0</vt:i4>
      </vt:variant>
      <vt:variant>
        <vt:i4>5</vt:i4>
      </vt:variant>
      <vt:variant>
        <vt:lpwstr>https://www.cbd.int/doc/decisions/cop-12/cop-12-dec-26-en.pdf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de travail pluriannuel de la Conférence des Parties</dc:title>
  <dc:subject>CBD/SBI/REC/4/13</dc:subject>
  <dc:creator>veronique.lefebvre</dc:creator>
  <cp:lastModifiedBy>Tatiana Zavarzina</cp:lastModifiedBy>
  <cp:revision>7</cp:revision>
  <cp:lastPrinted>2024-04-29T11:30:00Z</cp:lastPrinted>
  <dcterms:created xsi:type="dcterms:W3CDTF">2024-07-17T17:10:00Z</dcterms:created>
  <dcterms:modified xsi:type="dcterms:W3CDTF">2024-09-10T15:59:00Z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