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D5FF2" w:rsidRPr="00C73776" w14:paraId="32E34E0B" w14:textId="77777777" w:rsidTr="005A4C39">
        <w:trPr>
          <w:trHeight w:val="850"/>
        </w:trPr>
        <w:tc>
          <w:tcPr>
            <w:tcW w:w="975" w:type="dxa"/>
            <w:vAlign w:val="bottom"/>
          </w:tcPr>
          <w:p w14:paraId="1B0C67C0" w14:textId="77777777" w:rsidR="001D5FF2" w:rsidRPr="00C73776" w:rsidRDefault="001D5FF2" w:rsidP="005A4C39">
            <w:pPr>
              <w:pStyle w:val="AASmallLogo"/>
              <w:rPr>
                <w:lang w:val="fr-FR"/>
              </w:rPr>
            </w:pPr>
            <w:r w:rsidRPr="00C73776">
              <w:rPr>
                <w:noProof/>
                <w:lang w:val="fr-FR"/>
              </w:rPr>
              <w:drawing>
                <wp:inline distT="0" distB="0" distL="0" distR="0" wp14:anchorId="5F1DBF25" wp14:editId="47F82746">
                  <wp:extent cx="474727" cy="402337"/>
                  <wp:effectExtent l="0" t="0" r="1905" b="0"/>
                  <wp:docPr id="1244614358" name="Picture 1"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244614358" name="Picture 1" descr="Une image contenant noir, obscurité&#10;&#10;Le contenu généré par l’IA peut être incorrect."/>
                          <pic:cNvPicPr/>
                        </pic:nvPicPr>
                        <pic:blipFill>
                          <a:blip r:embed="rId7"/>
                          <a:stretch>
                            <a:fillRect/>
                          </a:stretch>
                        </pic:blipFill>
                        <pic:spPr>
                          <a:xfrm>
                            <a:off x="0" y="0"/>
                            <a:ext cx="474727" cy="402337"/>
                          </a:xfrm>
                          <a:prstGeom prst="rect">
                            <a:avLst/>
                          </a:prstGeom>
                        </pic:spPr>
                      </pic:pic>
                    </a:graphicData>
                  </a:graphic>
                </wp:inline>
              </w:drawing>
            </w:r>
            <w:r w:rsidRPr="00C73776">
              <w:rPr>
                <w:lang w:val="fr-FR"/>
              </w:rPr>
              <w:t xml:space="preserve"> </w:t>
            </w:r>
          </w:p>
          <w:p w14:paraId="45F4F0D0" w14:textId="77777777" w:rsidR="001D5FF2" w:rsidRPr="00C73776" w:rsidRDefault="001D5FF2" w:rsidP="005A4C39">
            <w:pPr>
              <w:pStyle w:val="AASmallLogo"/>
              <w:rPr>
                <w:lang w:val="fr-FR"/>
              </w:rPr>
            </w:pPr>
          </w:p>
        </w:tc>
        <w:tc>
          <w:tcPr>
            <w:tcW w:w="1434" w:type="dxa"/>
            <w:noWrap/>
            <w:vAlign w:val="bottom"/>
          </w:tcPr>
          <w:p w14:paraId="60C74104" w14:textId="77777777" w:rsidR="001D5FF2" w:rsidRPr="00C73776" w:rsidRDefault="001D5FF2" w:rsidP="005A4C39">
            <w:pPr>
              <w:pStyle w:val="AASmallLogo"/>
              <w:rPr>
                <w:lang w:val="fr-FR"/>
              </w:rPr>
            </w:pPr>
            <w:r w:rsidRPr="00C73776">
              <w:rPr>
                <w:lang w:val="fr-FR"/>
              </w:rPr>
              <w:t xml:space="preserve"> </w:t>
            </w:r>
            <w:r w:rsidRPr="00C73776">
              <w:rPr>
                <w:noProof/>
                <w:lang w:val="fr-FR" w:eastAsia="fr-CA"/>
                <w14:ligatures w14:val="standardContextual"/>
              </w:rPr>
              <w:drawing>
                <wp:inline distT="0" distB="0" distL="0" distR="0" wp14:anchorId="5546F41B" wp14:editId="1607877B">
                  <wp:extent cx="590550" cy="361950"/>
                  <wp:effectExtent l="0" t="0" r="0" b="0"/>
                  <wp:docPr id="2" name="Image 2"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 name="Image 2" descr="Une image contenant noir, obscurité&#10;&#10;Le contenu généré par l’IA peut être incorrec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p w14:paraId="57160E0B" w14:textId="77777777" w:rsidR="001D5FF2" w:rsidRPr="00C73776" w:rsidRDefault="001D5FF2" w:rsidP="005A4C39">
            <w:pPr>
              <w:pStyle w:val="AASmallLogo"/>
              <w:rPr>
                <w:lang w:val="fr-FR"/>
              </w:rPr>
            </w:pPr>
          </w:p>
        </w:tc>
        <w:tc>
          <w:tcPr>
            <w:tcW w:w="8073" w:type="dxa"/>
            <w:vAlign w:val="bottom"/>
          </w:tcPr>
          <w:p w14:paraId="0425A2CD" w14:textId="77777777" w:rsidR="001D5FF2" w:rsidRPr="00C73776" w:rsidRDefault="001D5FF2" w:rsidP="005A4C39">
            <w:pPr>
              <w:pStyle w:val="ABSymbol"/>
              <w:rPr>
                <w:lang w:val="fr-FR"/>
              </w:rPr>
            </w:pPr>
            <w:r w:rsidRPr="00C73776">
              <w:rPr>
                <w:sz w:val="40"/>
                <w:lang w:val="fr-FR"/>
              </w:rPr>
              <w:t>CBD</w:t>
            </w:r>
            <w:r w:rsidRPr="00C73776">
              <w:rPr>
                <w:lang w:val="fr-FR"/>
              </w:rPr>
              <w:t>/SBI/REC/6/7</w:t>
            </w:r>
          </w:p>
        </w:tc>
      </w:tr>
    </w:tbl>
    <w:p w14:paraId="5535BEFB" w14:textId="77777777" w:rsidR="001D5FF2" w:rsidRPr="00C73776" w:rsidRDefault="001D5FF2" w:rsidP="001D5FF2">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D5FF2" w:rsidRPr="00C73776" w14:paraId="2C0B07AD" w14:textId="77777777" w:rsidTr="005A4C39">
        <w:trPr>
          <w:trHeight w:val="1814"/>
        </w:trPr>
        <w:tc>
          <w:tcPr>
            <w:tcW w:w="7370" w:type="dxa"/>
          </w:tcPr>
          <w:p w14:paraId="09EC8BDD" w14:textId="77777777" w:rsidR="001D5FF2" w:rsidRPr="00C73776" w:rsidRDefault="001D5FF2" w:rsidP="005A4C39">
            <w:pPr>
              <w:pStyle w:val="ACLargeLogo"/>
              <w:rPr>
                <w:lang w:val="fr-FR"/>
              </w:rPr>
            </w:pPr>
            <w:r w:rsidRPr="00C73776">
              <w:rPr>
                <w:noProof/>
                <w:lang w:val="fr-FR" w:eastAsia="fr-CA"/>
                <w14:ligatures w14:val="standardContextual"/>
              </w:rPr>
              <w:drawing>
                <wp:inline distT="0" distB="0" distL="0" distR="0" wp14:anchorId="5722FFD3" wp14:editId="74BD38A3">
                  <wp:extent cx="2857500" cy="1076325"/>
                  <wp:effectExtent l="0" t="0" r="0" b="9525"/>
                  <wp:docPr id="1" name="Image 1" descr="CBD_logo_fr-CMYK-black [Converted]"/>
                  <wp:cNvGraphicFramePr/>
                  <a:graphic xmlns:a="http://schemas.openxmlformats.org/drawingml/2006/main">
                    <a:graphicData uri="http://schemas.openxmlformats.org/drawingml/2006/picture">
                      <pic:pic xmlns:pic="http://schemas.openxmlformats.org/drawingml/2006/picture">
                        <pic:nvPicPr>
                          <pic:cNvPr id="1" name="Image 1" descr="CBD_logo_fr-CMYK-black [Converte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Pr="00C73776">
              <w:rPr>
                <w:lang w:val="fr-FR"/>
              </w:rPr>
              <w:t xml:space="preserve"> </w:t>
            </w:r>
          </w:p>
          <w:p w14:paraId="52BE473F" w14:textId="77777777" w:rsidR="001D5FF2" w:rsidRPr="00C73776" w:rsidRDefault="001D5FF2" w:rsidP="005A4C39">
            <w:pPr>
              <w:pStyle w:val="ACLargeLogo"/>
              <w:rPr>
                <w:lang w:val="fr-FR"/>
              </w:rPr>
            </w:pPr>
          </w:p>
        </w:tc>
        <w:tc>
          <w:tcPr>
            <w:tcW w:w="3112" w:type="dxa"/>
          </w:tcPr>
          <w:p w14:paraId="68C00AEF" w14:textId="77777777" w:rsidR="001D5FF2" w:rsidRPr="00C73776" w:rsidRDefault="001D5FF2" w:rsidP="005A4C39">
            <w:pPr>
              <w:pStyle w:val="AEDistrNormal"/>
              <w:rPr>
                <w:lang w:val="fr-FR"/>
              </w:rPr>
            </w:pPr>
            <w:r w:rsidRPr="00C73776">
              <w:rPr>
                <w:lang w:val="fr-FR"/>
              </w:rPr>
              <w:t xml:space="preserve">Distr. générale </w:t>
            </w:r>
          </w:p>
          <w:p w14:paraId="2A7064DE" w14:textId="77777777" w:rsidR="001D5FF2" w:rsidRPr="00C73776" w:rsidRDefault="001D5FF2" w:rsidP="005A4C39">
            <w:pPr>
              <w:pStyle w:val="AEDistrNormal"/>
              <w:rPr>
                <w:lang w:val="fr-FR"/>
              </w:rPr>
            </w:pPr>
            <w:r w:rsidRPr="00C73776">
              <w:rPr>
                <w:lang w:val="fr-FR"/>
              </w:rPr>
              <w:t>19 février 2026</w:t>
            </w:r>
          </w:p>
          <w:p w14:paraId="34DA5DA9" w14:textId="77777777" w:rsidR="001D5FF2" w:rsidRPr="00C73776" w:rsidRDefault="001D5FF2" w:rsidP="005A4C39">
            <w:pPr>
              <w:pStyle w:val="AEDistrNormal6pt"/>
              <w:spacing w:before="0"/>
              <w:rPr>
                <w:lang w:val="fr-FR"/>
              </w:rPr>
            </w:pPr>
            <w:r w:rsidRPr="00C73776">
              <w:rPr>
                <w:lang w:val="fr-FR"/>
              </w:rPr>
              <w:t>Français</w:t>
            </w:r>
          </w:p>
          <w:p w14:paraId="3847DB09" w14:textId="77777777" w:rsidR="001D5FF2" w:rsidRPr="00C73776" w:rsidRDefault="001D5FF2" w:rsidP="005A4C39">
            <w:pPr>
              <w:pStyle w:val="AEDistrNormal6pt"/>
              <w:spacing w:before="0"/>
              <w:rPr>
                <w:lang w:val="fr-FR"/>
              </w:rPr>
            </w:pPr>
            <w:r w:rsidRPr="00C73776">
              <w:rPr>
                <w:lang w:val="fr-FR"/>
              </w:rPr>
              <w:t>Original : anglais</w:t>
            </w:r>
          </w:p>
          <w:p w14:paraId="37AABC6A" w14:textId="77777777" w:rsidR="001D5FF2" w:rsidRPr="00C73776" w:rsidRDefault="001D5FF2" w:rsidP="005A4C39">
            <w:pPr>
              <w:pStyle w:val="AEDistrNormal6pt"/>
              <w:rPr>
                <w:lang w:val="fr-FR"/>
              </w:rPr>
            </w:pPr>
          </w:p>
        </w:tc>
      </w:tr>
    </w:tbl>
    <w:p w14:paraId="3E32312B" w14:textId="77777777" w:rsidR="001D5FF2" w:rsidRPr="00C73776" w:rsidRDefault="001D5FF2" w:rsidP="001D5FF2">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D5FF2" w:rsidRPr="00C73776" w14:paraId="42B30837" w14:textId="77777777" w:rsidTr="005A4C39">
        <w:trPr>
          <w:trHeight w:val="57"/>
        </w:trPr>
        <w:tc>
          <w:tcPr>
            <w:tcW w:w="6094" w:type="dxa"/>
          </w:tcPr>
          <w:p w14:paraId="269516BD" w14:textId="77777777" w:rsidR="001D5FF2" w:rsidRPr="00C73776" w:rsidRDefault="001D5FF2" w:rsidP="005A4C39">
            <w:pPr>
              <w:pStyle w:val="AFCorN12Bold"/>
              <w:rPr>
                <w:lang w:val="fr-FR"/>
              </w:rPr>
            </w:pPr>
            <w:r w:rsidRPr="00C73776">
              <w:rPr>
                <w:lang w:val="fr-FR"/>
              </w:rPr>
              <w:t xml:space="preserve">Organe subsidiaire chargé de l’application </w:t>
            </w:r>
          </w:p>
          <w:p w14:paraId="40961B84" w14:textId="77777777" w:rsidR="001D5FF2" w:rsidRPr="00C73776" w:rsidRDefault="001D5FF2" w:rsidP="005A4C39">
            <w:pPr>
              <w:pStyle w:val="AFCorN12Bold"/>
              <w:rPr>
                <w:lang w:val="fr-FR"/>
              </w:rPr>
            </w:pPr>
            <w:r w:rsidRPr="00C73776">
              <w:rPr>
                <w:lang w:val="fr-FR"/>
              </w:rPr>
              <w:t xml:space="preserve">Sixième réunion </w:t>
            </w:r>
          </w:p>
          <w:p w14:paraId="59AA5C09" w14:textId="77777777" w:rsidR="001D5FF2" w:rsidRPr="00C73776" w:rsidRDefault="001D5FF2" w:rsidP="005A4C39">
            <w:pPr>
              <w:pStyle w:val="AFCorNNormal"/>
              <w:rPr>
                <w:lang w:val="fr-FR"/>
              </w:rPr>
            </w:pPr>
            <w:r w:rsidRPr="00C73776">
              <w:rPr>
                <w:lang w:val="fr-FR"/>
              </w:rPr>
              <w:t>Rome, 16–19 février 2026</w:t>
            </w:r>
          </w:p>
          <w:p w14:paraId="7799B13D" w14:textId="77777777" w:rsidR="001D5FF2" w:rsidRPr="00C73776" w:rsidRDefault="001D5FF2" w:rsidP="005A4C39">
            <w:pPr>
              <w:pStyle w:val="AFCorNNormal"/>
              <w:rPr>
                <w:lang w:val="fr-FR"/>
              </w:rPr>
            </w:pPr>
            <w:r w:rsidRPr="00C73776">
              <w:rPr>
                <w:lang w:val="fr-FR"/>
              </w:rPr>
              <w:t>Point 8 de l’ordre du jour</w:t>
            </w:r>
          </w:p>
          <w:p w14:paraId="5E31678C" w14:textId="77777777" w:rsidR="001D5FF2" w:rsidRPr="00C73776" w:rsidRDefault="001D5FF2" w:rsidP="005A4C39">
            <w:pPr>
              <w:pStyle w:val="AFCorNBold"/>
              <w:rPr>
                <w:lang w:val="fr-FR"/>
              </w:rPr>
            </w:pPr>
            <w:r w:rsidRPr="00C73776">
              <w:rPr>
                <w:lang w:val="fr-FR"/>
              </w:rPr>
              <w:t>Instruments internationaux spécialisés en matière d’accès et de partage des avantages au titre de l’article 4, paragraphe 4 du Protocole de Nagoya</w:t>
            </w:r>
          </w:p>
        </w:tc>
        <w:tc>
          <w:tcPr>
            <w:tcW w:w="4388" w:type="dxa"/>
          </w:tcPr>
          <w:p w14:paraId="285E3F67" w14:textId="77777777" w:rsidR="001D5FF2" w:rsidRPr="00C73776" w:rsidRDefault="001D5FF2" w:rsidP="005A4C39">
            <w:pPr>
              <w:pStyle w:val="CBDNormal"/>
              <w:jc w:val="left"/>
              <w:rPr>
                <w:lang w:val="fr-FR"/>
              </w:rPr>
            </w:pPr>
          </w:p>
        </w:tc>
      </w:tr>
    </w:tbl>
    <w:p w14:paraId="694F0FDA" w14:textId="6DD97AF4" w:rsidR="001D5FF2" w:rsidRPr="00C73776" w:rsidRDefault="00401B98" w:rsidP="001D5FF2">
      <w:pPr>
        <w:pStyle w:val="CBDTitle"/>
        <w:rPr>
          <w:lang w:val="fr-FR"/>
        </w:rPr>
      </w:pPr>
      <w:sdt>
        <w:sdtPr>
          <w:rPr>
            <w:lang w:val="fr-FR"/>
          </w:rPr>
          <w:alias w:val="Title"/>
          <w:tag w:val=""/>
          <w:id w:val="772832786"/>
          <w:placeholder>
            <w:docPart w:val="62B8822F3CF308419A69D908333635A1"/>
          </w:placeholder>
          <w:dataBinding w:prefixMappings="xmlns:ns0='http://purl.org/dc/elements/1.1/' xmlns:ns1='http://schemas.openxmlformats.org/package/2006/metadata/core-properties' " w:xpath="/ns1:coreProperties[1]/ns0:title[1]" w:storeItemID="{6C3C8BC8-F283-45AE-878A-BAB7291924A1}"/>
          <w:text/>
        </w:sdtPr>
        <w:sdtContent>
          <w:r w:rsidRPr="00401B98">
            <w:rPr>
              <w:lang w:val="fr-FR"/>
            </w:rPr>
            <w:t>Recommandation adoptée par l'Organe subsidiaire chargé de l'application le 19 février 2026</w:t>
          </w:r>
        </w:sdtContent>
      </w:sdt>
    </w:p>
    <w:p w14:paraId="1920114A" w14:textId="77777777" w:rsidR="001D5FF2" w:rsidRPr="00C73776" w:rsidRDefault="001D5FF2" w:rsidP="001D5FF2">
      <w:pPr>
        <w:pStyle w:val="CBDTitle"/>
        <w:rPr>
          <w:sz w:val="22"/>
          <w:lang w:val="fr-FR"/>
        </w:rPr>
      </w:pPr>
      <w:r w:rsidRPr="00C73776">
        <w:rPr>
          <w:sz w:val="22"/>
          <w:lang w:val="fr-FR"/>
        </w:rPr>
        <w:t>6/7.</w:t>
      </w:r>
      <w:r w:rsidRPr="00C73776">
        <w:rPr>
          <w:sz w:val="22"/>
          <w:lang w:val="fr-FR"/>
        </w:rPr>
        <w:tab/>
        <w:t xml:space="preserve">Instruments internationaux spécialisés en matière d’accès et de partage des avantages au titre </w:t>
      </w:r>
      <w:r>
        <w:rPr>
          <w:sz w:val="22"/>
          <w:lang w:val="fr-FR"/>
        </w:rPr>
        <w:t xml:space="preserve">du </w:t>
      </w:r>
      <w:r w:rsidRPr="00C73776">
        <w:rPr>
          <w:sz w:val="22"/>
          <w:lang w:val="fr-FR"/>
        </w:rPr>
        <w:t xml:space="preserve">paragraphe 4 de l’article 4 du Protocole de Nagoya </w:t>
      </w:r>
    </w:p>
    <w:p w14:paraId="7E43F75B" w14:textId="77777777" w:rsidR="001D5FF2" w:rsidRPr="00C73776" w:rsidRDefault="001D5FF2" w:rsidP="001D5FF2">
      <w:pPr>
        <w:pStyle w:val="CBDNormalNumber"/>
        <w:numPr>
          <w:ilvl w:val="0"/>
          <w:numId w:val="0"/>
        </w:numPr>
        <w:ind w:left="567" w:firstLine="567"/>
        <w:rPr>
          <w:i/>
          <w:iCs/>
          <w:lang w:val="fr-FR"/>
        </w:rPr>
      </w:pPr>
      <w:r w:rsidRPr="00C73776">
        <w:rPr>
          <w:i/>
          <w:iCs/>
          <w:lang w:val="fr-FR"/>
        </w:rPr>
        <w:t xml:space="preserve">L’Organe subsidiaire chargé de l’application </w:t>
      </w:r>
    </w:p>
    <w:p w14:paraId="10755619" w14:textId="77777777" w:rsidR="001D5FF2" w:rsidRPr="00C73776" w:rsidRDefault="001D5FF2" w:rsidP="001D5FF2">
      <w:pPr>
        <w:pStyle w:val="CBDNormalNumber"/>
        <w:numPr>
          <w:ilvl w:val="0"/>
          <w:numId w:val="0"/>
        </w:numPr>
        <w:ind w:left="567" w:firstLine="567"/>
        <w:rPr>
          <w:i/>
          <w:iCs/>
          <w:lang w:val="fr-FR"/>
        </w:rPr>
      </w:pPr>
      <w:r w:rsidRPr="00C73776">
        <w:rPr>
          <w:i/>
          <w:iCs/>
          <w:lang w:val="fr-FR"/>
        </w:rPr>
        <w:t xml:space="preserve">Recommande </w:t>
      </w:r>
      <w:r w:rsidRPr="00C73776">
        <w:rPr>
          <w:lang w:val="fr-FR"/>
        </w:rPr>
        <w:t>que, lors de sa sixième réunion, la Conférence des Parties siégeant en tant que réunion des Parties au Protocole de Nagoya sur l’accès aux ressources génétiques et le partage juste et équitable des avantages découlant de leur utilisation</w:t>
      </w:r>
      <w:r w:rsidRPr="00C73776">
        <w:rPr>
          <w:rStyle w:val="Appelnotedebasdep"/>
          <w:lang w:val="fr-FR"/>
        </w:rPr>
        <w:footnoteReference w:id="1"/>
      </w:r>
      <w:r w:rsidRPr="00C73776">
        <w:rPr>
          <w:lang w:val="fr-FR"/>
        </w:rPr>
        <w:t xml:space="preserve"> adopte une décision </w:t>
      </w:r>
      <w:r>
        <w:rPr>
          <w:lang w:val="fr-FR"/>
        </w:rPr>
        <w:t>sur le modèle suivant</w:t>
      </w:r>
      <w:r w:rsidRPr="00C73776">
        <w:rPr>
          <w:lang w:val="fr-FR"/>
        </w:rPr>
        <w:t> :</w:t>
      </w:r>
    </w:p>
    <w:p w14:paraId="0074B01D" w14:textId="77777777" w:rsidR="001D5FF2" w:rsidRPr="00C73776" w:rsidRDefault="001D5FF2" w:rsidP="001D5FF2">
      <w:pPr>
        <w:pStyle w:val="CBDDesicionText"/>
        <w:tabs>
          <w:tab w:val="clear" w:pos="567"/>
        </w:tabs>
        <w:ind w:left="1134"/>
        <w:rPr>
          <w:i/>
          <w:iCs/>
          <w:lang w:val="fr-FR"/>
        </w:rPr>
      </w:pPr>
      <w:r w:rsidRPr="00C73776">
        <w:rPr>
          <w:i/>
          <w:iCs/>
          <w:lang w:val="fr-FR"/>
        </w:rPr>
        <w:t>La Conférence des Parties siégeant en tant que réunion des Parties au Protocole de Nagoya</w:t>
      </w:r>
      <w:r w:rsidRPr="00C73776">
        <w:rPr>
          <w:lang w:val="fr-FR"/>
        </w:rPr>
        <w:t>,</w:t>
      </w:r>
    </w:p>
    <w:p w14:paraId="1794F066" w14:textId="77777777" w:rsidR="001D5FF2" w:rsidRPr="00C73776" w:rsidRDefault="001D5FF2" w:rsidP="001D5FF2">
      <w:pPr>
        <w:pStyle w:val="CBDDesicionText"/>
        <w:tabs>
          <w:tab w:val="clear" w:pos="567"/>
        </w:tabs>
        <w:ind w:left="1134"/>
        <w:rPr>
          <w:lang w:val="fr-FR"/>
        </w:rPr>
      </w:pPr>
      <w:r w:rsidRPr="00C73776">
        <w:rPr>
          <w:lang w:val="fr-FR"/>
        </w:rPr>
        <w:t>[</w:t>
      </w:r>
      <w:r w:rsidRPr="00C73776">
        <w:rPr>
          <w:i/>
          <w:iCs/>
          <w:lang w:val="fr-FR"/>
        </w:rPr>
        <w:t xml:space="preserve">Rappelant </w:t>
      </w:r>
      <w:r w:rsidRPr="00C73776">
        <w:rPr>
          <w:lang w:val="fr-FR"/>
        </w:rPr>
        <w:t>le paragraphe 4 de l’article 4 du Protocole de Nagoya sur l’accès aux ressources génétiques et le partage juste et équitable des avantages découlant de leur utilisation</w:t>
      </w:r>
      <w:r w:rsidRPr="00C73776">
        <w:rPr>
          <w:rStyle w:val="Appelnotedebasdep"/>
          <w:lang w:val="fr-FR"/>
        </w:rPr>
        <w:footnoteReference w:id="2"/>
      </w:r>
      <w:r w:rsidRPr="00C73776">
        <w:rPr>
          <w:lang w:val="fr-FR"/>
        </w:rPr>
        <w:t>,</w:t>
      </w:r>
    </w:p>
    <w:p w14:paraId="47D744CF" w14:textId="77777777" w:rsidR="001D5FF2" w:rsidRPr="00C73776" w:rsidRDefault="001D5FF2" w:rsidP="001D5FF2">
      <w:pPr>
        <w:pStyle w:val="CBDDesicionText"/>
        <w:tabs>
          <w:tab w:val="clear" w:pos="567"/>
        </w:tabs>
        <w:ind w:left="1134"/>
        <w:rPr>
          <w:lang w:val="fr-FR"/>
        </w:rPr>
      </w:pPr>
      <w:r w:rsidRPr="00C73776">
        <w:rPr>
          <w:i/>
          <w:iCs/>
          <w:lang w:val="fr-FR"/>
        </w:rPr>
        <w:t>Reconnaissant</w:t>
      </w:r>
      <w:r w:rsidRPr="00C73776">
        <w:rPr>
          <w:lang w:val="fr-FR"/>
        </w:rPr>
        <w:t xml:space="preserve"> la nécessité de renforcer la clarté juridique, l’équité et la cohérence dans la mise en œuvre du paragraphe 4 de l’article 4 du Protocole de Nagoya et d’éviter les doubles emplois et la fragmentation entre les </w:t>
      </w:r>
      <w:r>
        <w:rPr>
          <w:lang w:val="fr-FR"/>
        </w:rPr>
        <w:t>systèmes</w:t>
      </w:r>
      <w:r w:rsidRPr="00C73776">
        <w:rPr>
          <w:lang w:val="fr-FR"/>
        </w:rPr>
        <w:t xml:space="preserve"> d’accès et de partage des avantages,</w:t>
      </w:r>
    </w:p>
    <w:p w14:paraId="287790AE" w14:textId="77777777" w:rsidR="001D5FF2" w:rsidRPr="00C73776" w:rsidRDefault="001D5FF2" w:rsidP="001D5FF2">
      <w:pPr>
        <w:pStyle w:val="CBDDesicionText"/>
        <w:tabs>
          <w:tab w:val="clear" w:pos="567"/>
        </w:tabs>
        <w:ind w:left="1134"/>
        <w:rPr>
          <w:lang w:val="fr-FR"/>
        </w:rPr>
      </w:pPr>
      <w:r w:rsidRPr="00C73776">
        <w:rPr>
          <w:i/>
          <w:iCs/>
          <w:lang w:val="fr-FR"/>
        </w:rPr>
        <w:t xml:space="preserve">Affirmant </w:t>
      </w:r>
      <w:r w:rsidRPr="00C73776">
        <w:rPr>
          <w:lang w:val="fr-FR"/>
        </w:rPr>
        <w:t xml:space="preserve">l’importance </w:t>
      </w:r>
      <w:r>
        <w:rPr>
          <w:lang w:val="fr-FR"/>
        </w:rPr>
        <w:t>d’assurer un appui</w:t>
      </w:r>
      <w:r w:rsidRPr="00C73776">
        <w:rPr>
          <w:lang w:val="fr-FR"/>
        </w:rPr>
        <w:t xml:space="preserve"> mutuel entre les instruments internationaux, conformément au paragraphe 3 de l’article 4 du Protocole de Nagoya, et </w:t>
      </w:r>
      <w:r>
        <w:rPr>
          <w:lang w:val="fr-FR"/>
        </w:rPr>
        <w:t>de respecter</w:t>
      </w:r>
      <w:r w:rsidRPr="00C73776">
        <w:rPr>
          <w:lang w:val="fr-FR"/>
        </w:rPr>
        <w:t xml:space="preserve"> </w:t>
      </w:r>
      <w:r>
        <w:rPr>
          <w:lang w:val="fr-FR"/>
        </w:rPr>
        <w:t>l</w:t>
      </w:r>
      <w:r w:rsidRPr="00C73776">
        <w:rPr>
          <w:lang w:val="fr-FR"/>
        </w:rPr>
        <w:t>es droits souverains des Parties,</w:t>
      </w:r>
    </w:p>
    <w:p w14:paraId="0DF62C6B" w14:textId="77777777" w:rsidR="001D5FF2" w:rsidRPr="00C73776" w:rsidRDefault="001D5FF2" w:rsidP="001D5FF2">
      <w:pPr>
        <w:pStyle w:val="CBDDesicionText"/>
        <w:tabs>
          <w:tab w:val="clear" w:pos="567"/>
        </w:tabs>
        <w:ind w:left="1134"/>
        <w:rPr>
          <w:lang w:val="fr-FR"/>
        </w:rPr>
      </w:pPr>
      <w:r w:rsidRPr="00C73776">
        <w:rPr>
          <w:i/>
          <w:iCs/>
          <w:lang w:val="fr-FR"/>
        </w:rPr>
        <w:t xml:space="preserve">Rappelant </w:t>
      </w:r>
      <w:r w:rsidRPr="00C73776">
        <w:rPr>
          <w:lang w:val="fr-FR"/>
        </w:rPr>
        <w:t xml:space="preserve">l’article 10 du Protocole de Nagoya,]  </w:t>
      </w:r>
    </w:p>
    <w:p w14:paraId="3812CA1B" w14:textId="77777777" w:rsidR="001D5FF2" w:rsidRPr="00C73776" w:rsidRDefault="001D5FF2" w:rsidP="001D5FF2">
      <w:pPr>
        <w:pStyle w:val="CBDDesicionText"/>
        <w:tabs>
          <w:tab w:val="clear" w:pos="567"/>
        </w:tabs>
        <w:ind w:left="1134"/>
        <w:rPr>
          <w:lang w:val="fr-FR"/>
        </w:rPr>
      </w:pPr>
      <w:r w:rsidRPr="00C73776">
        <w:rPr>
          <w:lang w:val="fr-FR"/>
        </w:rPr>
        <w:t>[1.</w:t>
      </w:r>
      <w:r w:rsidRPr="00C73776">
        <w:rPr>
          <w:i/>
          <w:iCs/>
          <w:lang w:val="fr-FR"/>
        </w:rPr>
        <w:tab/>
        <w:t>Prend note</w:t>
      </w:r>
      <w:r w:rsidRPr="00C73776">
        <w:rPr>
          <w:lang w:val="fr-FR"/>
        </w:rPr>
        <w:t xml:space="preserve"> de la synthèse des observations reçues conformément à la décision </w:t>
      </w:r>
      <w:hyperlink r:id="rId10" w:history="1">
        <w:r w:rsidRPr="00C73776">
          <w:rPr>
            <w:rStyle w:val="Lienhypertexte"/>
            <w:lang w:val="fr-FR"/>
          </w:rPr>
          <w:t>NP-5/8</w:t>
        </w:r>
      </w:hyperlink>
      <w:r w:rsidRPr="00C73776">
        <w:rPr>
          <w:lang w:val="fr-FR"/>
        </w:rPr>
        <w:t xml:space="preserve"> du 25 octobre 2024, telle qu’elle figure dans le document </w:t>
      </w:r>
      <w:hyperlink r:id="rId11" w:history="1">
        <w:r w:rsidRPr="00C73776">
          <w:rPr>
            <w:rStyle w:val="Lienhypertexte"/>
            <w:lang w:val="fr-FR"/>
          </w:rPr>
          <w:t>CBD/SBI/6/8</w:t>
        </w:r>
      </w:hyperlink>
      <w:r w:rsidRPr="00C73776">
        <w:rPr>
          <w:lang w:val="fr-FR"/>
        </w:rPr>
        <w:t>, qui sert de base à l’examen approfondi du processus de reconnaissance des instruments internationaux spécialisés en matière d’accès et de partage des avantages au titre du paragraphe 4 de l’article 4 du Protocole de Nagoya sur l’accès et le partage des avantages découlant de leur utilisation ;</w:t>
      </w:r>
    </w:p>
    <w:p w14:paraId="43E0415B" w14:textId="77777777" w:rsidR="001D5FF2" w:rsidRPr="00C73776" w:rsidRDefault="001D5FF2" w:rsidP="001D5FF2">
      <w:pPr>
        <w:pStyle w:val="CBDDesicionText"/>
        <w:tabs>
          <w:tab w:val="clear" w:pos="567"/>
        </w:tabs>
        <w:ind w:left="1134"/>
        <w:rPr>
          <w:lang w:val="fr-FR"/>
        </w:rPr>
      </w:pPr>
      <w:r w:rsidRPr="00C73776">
        <w:rPr>
          <w:lang w:val="fr-FR"/>
        </w:rPr>
        <w:lastRenderedPageBreak/>
        <w:t>2.</w:t>
      </w:r>
      <w:r w:rsidRPr="00C73776">
        <w:rPr>
          <w:i/>
          <w:iCs/>
          <w:lang w:val="fr-FR"/>
        </w:rPr>
        <w:tab/>
        <w:t xml:space="preserve">Prend note également </w:t>
      </w:r>
      <w:r w:rsidRPr="00C73776">
        <w:rPr>
          <w:lang w:val="fr-FR"/>
        </w:rPr>
        <w:t>des options proposées dans la section I de l’annexe I à la présente décision comme des voies possibles pour aborder le processus de reconnaissance d’un instrument international spécialisé en matière d’accès et de partage des avantages, conformément au paragraphe 4 de l’article 4 du Protocole de Nagoya ;]</w:t>
      </w:r>
    </w:p>
    <w:p w14:paraId="0D3807D8" w14:textId="77777777" w:rsidR="001D5FF2" w:rsidRPr="00C73776" w:rsidRDefault="001D5FF2" w:rsidP="001D5FF2">
      <w:pPr>
        <w:pStyle w:val="CBDDesicionText"/>
        <w:tabs>
          <w:tab w:val="clear" w:pos="567"/>
        </w:tabs>
        <w:ind w:left="1134"/>
        <w:rPr>
          <w:lang w:val="fr-FR"/>
        </w:rPr>
      </w:pPr>
      <w:r w:rsidRPr="00C73776">
        <w:rPr>
          <w:lang w:val="fr-FR"/>
        </w:rPr>
        <w:t>3.</w:t>
      </w:r>
      <w:r w:rsidRPr="00C73776">
        <w:rPr>
          <w:lang w:val="fr-FR"/>
        </w:rPr>
        <w:tab/>
      </w:r>
      <w:r w:rsidRPr="00C73776">
        <w:rPr>
          <w:i/>
          <w:iCs/>
          <w:lang w:val="fr-FR"/>
        </w:rPr>
        <w:t xml:space="preserve">Invite </w:t>
      </w:r>
      <w:r w:rsidRPr="00C73776">
        <w:rPr>
          <w:lang w:val="fr-FR"/>
        </w:rPr>
        <w:t xml:space="preserve">les Parties, les autres gouvernements, les peuples autochtones et les communautés locales, les parties prenantes concernées ainsi que les organisations et processus internationaux à communiquer leurs vues sur les options et les critères indicatifs, y compris les propositions supplémentaires, concernant les instruments internationaux spécialisés en matière d’accès et de partage des avantages, qui figurent dans les sections I et II de l’annexe I à la présente décision, respectivement ; </w:t>
      </w:r>
    </w:p>
    <w:p w14:paraId="39919D65" w14:textId="77777777" w:rsidR="001D5FF2" w:rsidRPr="00C73776" w:rsidRDefault="001D5FF2" w:rsidP="001D5FF2">
      <w:pPr>
        <w:pStyle w:val="CBDDesicionText"/>
        <w:tabs>
          <w:tab w:val="clear" w:pos="567"/>
        </w:tabs>
        <w:ind w:left="1134"/>
        <w:rPr>
          <w:lang w:val="fr-FR"/>
        </w:rPr>
      </w:pPr>
      <w:r w:rsidRPr="00C73776">
        <w:rPr>
          <w:lang w:val="fr-FR"/>
        </w:rPr>
        <w:t>4.</w:t>
      </w:r>
      <w:r w:rsidRPr="00C73776">
        <w:rPr>
          <w:lang w:val="fr-FR"/>
        </w:rPr>
        <w:tab/>
      </w:r>
      <w:r w:rsidRPr="00C73776">
        <w:rPr>
          <w:i/>
          <w:iCs/>
          <w:lang w:val="fr-FR"/>
        </w:rPr>
        <w:t xml:space="preserve">Décide </w:t>
      </w:r>
      <w:r w:rsidRPr="00C73776">
        <w:rPr>
          <w:lang w:val="fr-FR"/>
        </w:rPr>
        <w:t>de créer un groupe informel</w:t>
      </w:r>
      <w:r w:rsidRPr="00C73776">
        <w:rPr>
          <w:rStyle w:val="Appelnotedebasdep"/>
          <w:lang w:val="fr-FR"/>
        </w:rPr>
        <w:footnoteReference w:id="3"/>
      </w:r>
      <w:r w:rsidRPr="00C73776">
        <w:rPr>
          <w:lang w:val="fr-FR"/>
        </w:rPr>
        <w:t xml:space="preserve"> chargé de faire avancer les travaux [relatifs au paragraphe 4 de l’article 4] dans le cadre d’un processus [en ligne et] pleinement inclusif ouvert à toutes les Parties, aux peuples autochtones et communautés locales, aux organisations internationales et aux parties prenantes concernées, afin d’informer l’Organe subsidiaire chargé de l’application à sa huitième réunion [et de clore le point de l’ordre du jour consacré aux instruments internationaux spécialisés en matière d’accès et de partage des avantages au titre de l’article 4, paragraphe 4 du Protocole de Nagoya à la septième réunion de la Conférence des Parties siégeant en tant que réunion des Parties au Protocole de Nagoya] ;  </w:t>
      </w:r>
    </w:p>
    <w:p w14:paraId="225000D0" w14:textId="77777777" w:rsidR="001D5FF2" w:rsidRPr="00C73776" w:rsidRDefault="001D5FF2" w:rsidP="001D5FF2">
      <w:pPr>
        <w:pStyle w:val="CBDDesicionText"/>
        <w:tabs>
          <w:tab w:val="clear" w:pos="567"/>
        </w:tabs>
        <w:ind w:left="1134"/>
        <w:rPr>
          <w:lang w:val="fr-FR"/>
        </w:rPr>
      </w:pPr>
      <w:r w:rsidRPr="00C73776">
        <w:rPr>
          <w:lang w:val="fr-FR"/>
        </w:rPr>
        <w:t>5.</w:t>
      </w:r>
      <w:r w:rsidRPr="00C73776">
        <w:rPr>
          <w:lang w:val="fr-FR"/>
        </w:rPr>
        <w:tab/>
      </w:r>
      <w:r w:rsidRPr="00C73776">
        <w:rPr>
          <w:i/>
          <w:iCs/>
          <w:lang w:val="fr-FR"/>
        </w:rPr>
        <w:t xml:space="preserve">Prie </w:t>
      </w:r>
      <w:r w:rsidRPr="00C73776">
        <w:rPr>
          <w:lang w:val="fr-FR"/>
        </w:rPr>
        <w:t>la Secrétaire exécutive, sous réserve de la disponibilité des ressources :</w:t>
      </w:r>
    </w:p>
    <w:p w14:paraId="723BEC39" w14:textId="77777777" w:rsidR="001D5FF2" w:rsidRPr="00C73776" w:rsidRDefault="001D5FF2" w:rsidP="001D5FF2">
      <w:pPr>
        <w:pStyle w:val="CBDDesicionText"/>
        <w:tabs>
          <w:tab w:val="clear" w:pos="567"/>
        </w:tabs>
        <w:ind w:left="1134"/>
        <w:rPr>
          <w:lang w:val="fr-FR"/>
        </w:rPr>
      </w:pPr>
      <w:r w:rsidRPr="00C73776">
        <w:rPr>
          <w:lang w:val="fr-FR"/>
        </w:rPr>
        <w:t>a)</w:t>
      </w:r>
      <w:r w:rsidRPr="00C73776">
        <w:rPr>
          <w:lang w:val="fr-FR"/>
        </w:rPr>
        <w:tab/>
        <w:t xml:space="preserve">D’établir une synthèse des vues mentionnées au paragraphe 3 ci-dessus, pour examen par </w:t>
      </w:r>
      <w:r w:rsidRPr="00C73776">
        <w:rPr>
          <w:bCs/>
          <w:lang w:val="fr-FR"/>
        </w:rPr>
        <w:t>le groupe informel ;</w:t>
      </w:r>
    </w:p>
    <w:p w14:paraId="7FE23D8A" w14:textId="77777777" w:rsidR="001D5FF2" w:rsidRPr="00C73776" w:rsidRDefault="001D5FF2" w:rsidP="001D5FF2">
      <w:pPr>
        <w:pStyle w:val="CBDDesicionText"/>
        <w:tabs>
          <w:tab w:val="clear" w:pos="567"/>
        </w:tabs>
        <w:ind w:left="1134"/>
        <w:rPr>
          <w:lang w:val="fr-FR"/>
        </w:rPr>
      </w:pPr>
      <w:r w:rsidRPr="00C73776">
        <w:rPr>
          <w:lang w:val="fr-FR"/>
        </w:rPr>
        <w:t>b)</w:t>
      </w:r>
      <w:r w:rsidRPr="00C73776">
        <w:rPr>
          <w:lang w:val="fr-FR"/>
        </w:rPr>
        <w:tab/>
        <w:t>D’aider les coprésidents du groupe informel à organiser et à tenir les réunions [en ligne] du groupe et à établir leur rapport ;</w:t>
      </w:r>
    </w:p>
    <w:p w14:paraId="255FDA7C" w14:textId="77777777" w:rsidR="001D5FF2" w:rsidRPr="00C73776" w:rsidRDefault="001D5FF2" w:rsidP="001D5FF2">
      <w:pPr>
        <w:pStyle w:val="CBDDesicionText"/>
        <w:tabs>
          <w:tab w:val="clear" w:pos="567"/>
        </w:tabs>
        <w:ind w:left="1134"/>
        <w:rPr>
          <w:lang w:val="fr-FR"/>
        </w:rPr>
      </w:pPr>
      <w:r w:rsidRPr="00C73776">
        <w:rPr>
          <w:lang w:val="fr-FR"/>
        </w:rPr>
        <w:t>[6.</w:t>
      </w:r>
      <w:r w:rsidRPr="00C73776">
        <w:rPr>
          <w:lang w:val="fr-FR"/>
        </w:rPr>
        <w:tab/>
      </w:r>
      <w:r w:rsidRPr="00C73776">
        <w:rPr>
          <w:i/>
          <w:iCs/>
          <w:lang w:val="fr-FR"/>
        </w:rPr>
        <w:t>Recommande</w:t>
      </w:r>
      <w:r w:rsidRPr="00C73776">
        <w:rPr>
          <w:lang w:val="fr-FR"/>
        </w:rPr>
        <w:t xml:space="preserve"> l’inclusion de la « coopération avec d’autres organisations internationales et les organes directeurs et secrétariats des instruments internationaux » comme point permanent à l’ordre du jour des futures réunions de la Conférence des Parties siégeant en tant que réunion des Parties au Protocole de Nagoya, afin de suivre les développements pertinents au regard du paragraphe 4 de l’article 4 du Protocole et de promouvoir le soutien mutuel.] </w:t>
      </w:r>
    </w:p>
    <w:p w14:paraId="694D8A8E" w14:textId="77777777" w:rsidR="001D5FF2" w:rsidRPr="00C73776" w:rsidRDefault="001D5FF2" w:rsidP="001D5FF2">
      <w:pPr>
        <w:pStyle w:val="CBDDesicionAnnex"/>
        <w:ind w:left="1134"/>
        <w:rPr>
          <w:lang w:val="fr-FR"/>
        </w:rPr>
      </w:pPr>
      <w:r w:rsidRPr="00C73776">
        <w:rPr>
          <w:lang w:val="fr-FR"/>
        </w:rPr>
        <w:t>Annexe I</w:t>
      </w:r>
    </w:p>
    <w:p w14:paraId="5EC95CAD" w14:textId="77777777" w:rsidR="001D5FF2" w:rsidRPr="00C73776" w:rsidRDefault="001D5FF2" w:rsidP="001D5FF2">
      <w:pPr>
        <w:pStyle w:val="CBDDesicionText"/>
        <w:ind w:left="1134" w:firstLine="0"/>
        <w:rPr>
          <w:b/>
          <w:bCs/>
          <w:sz w:val="24"/>
          <w:szCs w:val="24"/>
          <w:lang w:val="fr-FR"/>
        </w:rPr>
      </w:pPr>
      <w:r w:rsidRPr="00C73776">
        <w:rPr>
          <w:b/>
          <w:bCs/>
          <w:sz w:val="24"/>
          <w:szCs w:val="24"/>
          <w:lang w:val="fr-FR"/>
        </w:rPr>
        <w:t xml:space="preserve">[Options proposées pour </w:t>
      </w:r>
      <w:r>
        <w:rPr>
          <w:b/>
          <w:bCs/>
          <w:sz w:val="24"/>
          <w:szCs w:val="24"/>
          <w:lang w:val="fr-FR"/>
        </w:rPr>
        <w:t>déterminer le</w:t>
      </w:r>
      <w:r w:rsidRPr="00C73776">
        <w:rPr>
          <w:b/>
          <w:bCs/>
          <w:sz w:val="24"/>
          <w:szCs w:val="24"/>
          <w:lang w:val="fr-FR"/>
        </w:rPr>
        <w:t xml:space="preserve"> statut ou </w:t>
      </w:r>
      <w:r>
        <w:rPr>
          <w:b/>
          <w:bCs/>
          <w:sz w:val="24"/>
          <w:szCs w:val="24"/>
          <w:lang w:val="fr-FR"/>
        </w:rPr>
        <w:t>reconnaitre</w:t>
      </w:r>
      <w:r w:rsidRPr="00C73776">
        <w:rPr>
          <w:b/>
          <w:bCs/>
          <w:sz w:val="24"/>
          <w:szCs w:val="24"/>
          <w:lang w:val="fr-FR"/>
        </w:rPr>
        <w:t xml:space="preserve"> des instruments internationaux spécialisés en matière d’accès et de partage des avantages</w:t>
      </w:r>
    </w:p>
    <w:p w14:paraId="6DF532AF" w14:textId="77777777" w:rsidR="001D5FF2" w:rsidRPr="00DA2AA3" w:rsidRDefault="001D5FF2" w:rsidP="001D5FF2">
      <w:pPr>
        <w:pStyle w:val="CBDH2"/>
        <w:numPr>
          <w:ilvl w:val="0"/>
          <w:numId w:val="3"/>
        </w:numPr>
        <w:tabs>
          <w:tab w:val="clear" w:pos="567"/>
        </w:tabs>
        <w:ind w:left="1134" w:right="1705" w:hanging="567"/>
        <w:jc w:val="left"/>
        <w:rPr>
          <w:bCs/>
          <w:szCs w:val="24"/>
          <w:lang w:val="fr-FR"/>
        </w:rPr>
      </w:pPr>
      <w:r w:rsidRPr="00C73776">
        <w:rPr>
          <w:lang w:val="fr-FR"/>
        </w:rPr>
        <w:t>Options pour la reconnaissance des instruments spécialisés</w:t>
      </w:r>
      <w:r w:rsidRPr="00C73776">
        <w:rPr>
          <w:bCs/>
          <w:szCs w:val="24"/>
          <w:lang w:val="fr-FR"/>
        </w:rPr>
        <w:t xml:space="preserve"> </w:t>
      </w:r>
      <w:r w:rsidRPr="00B21F86">
        <w:rPr>
          <w:lang w:val="fr-FR"/>
        </w:rPr>
        <w:t>internationaux</w:t>
      </w:r>
      <w:r>
        <w:t xml:space="preserve"> </w:t>
      </w:r>
      <w:r w:rsidRPr="00DA2AA3">
        <w:rPr>
          <w:bCs/>
          <w:szCs w:val="24"/>
          <w:lang w:val="fr-FR"/>
        </w:rPr>
        <w:t xml:space="preserve">en matière </w:t>
      </w:r>
      <w:r w:rsidRPr="00DA2AA3">
        <w:rPr>
          <w:lang w:val="fr-FR"/>
        </w:rPr>
        <w:t xml:space="preserve">d’accès et de partage des avantages </w:t>
      </w:r>
    </w:p>
    <w:p w14:paraId="72A65B9B" w14:textId="77777777" w:rsidR="001D5FF2" w:rsidRPr="00C73776" w:rsidRDefault="001D5FF2" w:rsidP="001D5FF2">
      <w:pPr>
        <w:pStyle w:val="CBDH3"/>
        <w:tabs>
          <w:tab w:val="clear" w:pos="567"/>
        </w:tabs>
        <w:ind w:left="1134" w:firstLine="0"/>
        <w:rPr>
          <w:lang w:val="fr-FR"/>
        </w:rPr>
      </w:pPr>
      <w:r w:rsidRPr="00C73776">
        <w:rPr>
          <w:lang w:val="fr-FR"/>
        </w:rPr>
        <w:t xml:space="preserve">Option A </w:t>
      </w:r>
      <w:r w:rsidRPr="00C73776">
        <w:rPr>
          <w:lang w:val="fr-FR"/>
        </w:rPr>
        <w:br/>
        <w:t>Reconnaissance par la Conférence des Parties siégeant en tant que réunion des Parties au Protocole de Nagoya sur l’accès aux ressources génétiques et le partage juste et équitable des avantages découlant de leur utilisation</w:t>
      </w:r>
    </w:p>
    <w:p w14:paraId="7315490F" w14:textId="77777777" w:rsidR="001D5FF2" w:rsidRPr="00C73776" w:rsidRDefault="001D5FF2" w:rsidP="001D5FF2">
      <w:pPr>
        <w:pStyle w:val="CBDNormalNoNumber"/>
        <w:tabs>
          <w:tab w:val="clear" w:pos="567"/>
        </w:tabs>
        <w:ind w:left="1134"/>
        <w:rPr>
          <w:lang w:val="fr-FR"/>
        </w:rPr>
      </w:pPr>
      <w:r w:rsidRPr="00C73776">
        <w:rPr>
          <w:lang w:val="fr-FR"/>
        </w:rPr>
        <w:t>1.</w:t>
      </w:r>
      <w:r w:rsidRPr="00C73776">
        <w:rPr>
          <w:lang w:val="fr-FR"/>
        </w:rPr>
        <w:tab/>
        <w:t xml:space="preserve">L’objectif de l’option A est d’établir un mécanisme officiel dirigé par les Parties de reconnaissance des instruments internationaux spécialisés en matière d’accès et de partage des avantages par </w:t>
      </w:r>
      <w:r>
        <w:rPr>
          <w:lang w:val="fr-FR"/>
        </w:rPr>
        <w:t>l’intermédiaire</w:t>
      </w:r>
      <w:r w:rsidRPr="00C73776">
        <w:rPr>
          <w:lang w:val="fr-FR"/>
        </w:rPr>
        <w:t xml:space="preserve"> de la Conférence des Parties siégeant en tant que réunion des Parties au Protocole de Nagoya sur l’accès aux ressources génétiques et le partage juste et </w:t>
      </w:r>
      <w:r w:rsidRPr="00C73776">
        <w:rPr>
          <w:lang w:val="fr-FR"/>
        </w:rPr>
        <w:lastRenderedPageBreak/>
        <w:t>équitable des avantages découlant de leur utilisation</w:t>
      </w:r>
      <w:r w:rsidRPr="00C73776">
        <w:rPr>
          <w:rStyle w:val="Appelnotedebasdep"/>
          <w:lang w:val="fr-FR"/>
        </w:rPr>
        <w:footnoteReference w:id="4"/>
      </w:r>
      <w:r w:rsidRPr="00C73776">
        <w:rPr>
          <w:lang w:val="fr-FR"/>
        </w:rPr>
        <w:t xml:space="preserve"> à partir des critères indicatifs énoncés dans la section II. Cette option peut inclure les éléments suivants :</w:t>
      </w:r>
    </w:p>
    <w:p w14:paraId="12A0B91E" w14:textId="77777777" w:rsidR="001D5FF2" w:rsidRPr="00C73776" w:rsidRDefault="001D5FF2" w:rsidP="001D5FF2">
      <w:pPr>
        <w:pStyle w:val="CBDNormalNoNumber"/>
        <w:tabs>
          <w:tab w:val="clear" w:pos="567"/>
        </w:tabs>
        <w:ind w:left="1134" w:firstLine="567"/>
        <w:rPr>
          <w:lang w:val="fr-FR"/>
        </w:rPr>
      </w:pPr>
      <w:r w:rsidRPr="00C73776">
        <w:rPr>
          <w:lang w:val="fr-FR"/>
        </w:rPr>
        <w:t>a)</w:t>
      </w:r>
      <w:r w:rsidRPr="00C73776">
        <w:rPr>
          <w:lang w:val="fr-FR"/>
        </w:rPr>
        <w:tab/>
        <w:t>Critères indicatifs convenus par la Conférence des Parties siégeant en tant que réunion des Parties au Protocole de Nagoya (voir section II) ;</w:t>
      </w:r>
    </w:p>
    <w:p w14:paraId="3AEA6055" w14:textId="77777777" w:rsidR="001D5FF2" w:rsidRPr="00C73776" w:rsidRDefault="001D5FF2" w:rsidP="001D5FF2">
      <w:pPr>
        <w:pStyle w:val="CBDNormalNoNumber"/>
        <w:tabs>
          <w:tab w:val="clear" w:pos="567"/>
        </w:tabs>
        <w:ind w:left="1134" w:firstLine="567"/>
        <w:rPr>
          <w:lang w:val="fr-FR"/>
        </w:rPr>
      </w:pPr>
      <w:r w:rsidRPr="00C73776">
        <w:rPr>
          <w:lang w:val="fr-FR"/>
        </w:rPr>
        <w:t>b)</w:t>
      </w:r>
      <w:r w:rsidRPr="00C73776">
        <w:rPr>
          <w:lang w:val="fr-FR"/>
        </w:rPr>
        <w:tab/>
      </w:r>
      <w:r>
        <w:rPr>
          <w:lang w:val="fr-FR"/>
        </w:rPr>
        <w:t>C</w:t>
      </w:r>
      <w:r w:rsidRPr="00C73776">
        <w:rPr>
          <w:lang w:val="fr-FR"/>
        </w:rPr>
        <w:t>ommunication des dossiers par les Parties ;</w:t>
      </w:r>
    </w:p>
    <w:p w14:paraId="4C7E6BB4" w14:textId="77777777" w:rsidR="001D5FF2" w:rsidRPr="00C73776" w:rsidRDefault="001D5FF2" w:rsidP="001D5FF2">
      <w:pPr>
        <w:pStyle w:val="CBDNormalNoNumber"/>
        <w:tabs>
          <w:tab w:val="clear" w:pos="567"/>
        </w:tabs>
        <w:ind w:left="1134" w:firstLine="567"/>
        <w:rPr>
          <w:lang w:val="fr-FR"/>
        </w:rPr>
      </w:pPr>
      <w:r w:rsidRPr="00C73776">
        <w:rPr>
          <w:lang w:val="fr-FR"/>
        </w:rPr>
        <w:t>c)</w:t>
      </w:r>
      <w:r w:rsidRPr="00C73776">
        <w:rPr>
          <w:lang w:val="fr-FR"/>
        </w:rPr>
        <w:tab/>
      </w:r>
      <w:r>
        <w:rPr>
          <w:lang w:val="fr-FR"/>
        </w:rPr>
        <w:t>C</w:t>
      </w:r>
      <w:r w:rsidRPr="00C73776">
        <w:rPr>
          <w:lang w:val="fr-FR"/>
        </w:rPr>
        <w:t>onsultations inclusives avec les parties prenantes ;</w:t>
      </w:r>
    </w:p>
    <w:p w14:paraId="28F6B587" w14:textId="77777777" w:rsidR="001D5FF2" w:rsidRPr="00C73776" w:rsidRDefault="001D5FF2" w:rsidP="001D5FF2">
      <w:pPr>
        <w:pStyle w:val="CBDNormalNoNumber"/>
        <w:tabs>
          <w:tab w:val="clear" w:pos="567"/>
        </w:tabs>
        <w:ind w:left="1134" w:firstLine="567"/>
        <w:rPr>
          <w:lang w:val="fr-FR"/>
        </w:rPr>
      </w:pPr>
      <w:r w:rsidRPr="00C73776">
        <w:rPr>
          <w:lang w:val="fr-FR"/>
        </w:rPr>
        <w:t>d)</w:t>
      </w:r>
      <w:r w:rsidRPr="00C73776">
        <w:rPr>
          <w:lang w:val="fr-FR"/>
        </w:rPr>
        <w:tab/>
      </w:r>
      <w:r>
        <w:rPr>
          <w:lang w:val="fr-FR"/>
        </w:rPr>
        <w:t>R</w:t>
      </w:r>
      <w:r w:rsidRPr="00C73776">
        <w:rPr>
          <w:lang w:val="fr-FR"/>
        </w:rPr>
        <w:t>econnaissance limitée dans le temps et soumise à un examen périodique ;</w:t>
      </w:r>
    </w:p>
    <w:p w14:paraId="1B9ECD6B" w14:textId="77777777" w:rsidR="001D5FF2" w:rsidRPr="00C73776" w:rsidRDefault="001D5FF2" w:rsidP="001D5FF2">
      <w:pPr>
        <w:pStyle w:val="CBDNormalNoNumber"/>
        <w:tabs>
          <w:tab w:val="clear" w:pos="567"/>
        </w:tabs>
        <w:ind w:left="1134" w:firstLine="567"/>
        <w:rPr>
          <w:lang w:val="fr-FR"/>
        </w:rPr>
      </w:pPr>
      <w:r w:rsidRPr="00C73776">
        <w:rPr>
          <w:lang w:val="fr-FR"/>
        </w:rPr>
        <w:t>e)</w:t>
      </w:r>
      <w:r w:rsidRPr="00C73776">
        <w:rPr>
          <w:lang w:val="fr-FR"/>
        </w:rPr>
        <w:tab/>
      </w:r>
      <w:r>
        <w:rPr>
          <w:lang w:val="fr-FR"/>
        </w:rPr>
        <w:t>M</w:t>
      </w:r>
      <w:r w:rsidRPr="00C73776">
        <w:rPr>
          <w:lang w:val="fr-FR"/>
        </w:rPr>
        <w:t>écanisme de règlement des différends ;</w:t>
      </w:r>
    </w:p>
    <w:p w14:paraId="363B3F63" w14:textId="77777777" w:rsidR="001D5FF2" w:rsidRPr="00C73776" w:rsidRDefault="001D5FF2" w:rsidP="001D5FF2">
      <w:pPr>
        <w:pStyle w:val="CBDNormalNoNumber"/>
        <w:tabs>
          <w:tab w:val="clear" w:pos="567"/>
        </w:tabs>
        <w:ind w:left="1134" w:firstLine="567"/>
        <w:rPr>
          <w:lang w:val="fr-FR"/>
        </w:rPr>
      </w:pPr>
      <w:r w:rsidRPr="00C73776">
        <w:rPr>
          <w:lang w:val="fr-FR"/>
        </w:rPr>
        <w:t>f)</w:t>
      </w:r>
      <w:r w:rsidRPr="00C73776">
        <w:rPr>
          <w:lang w:val="fr-FR"/>
        </w:rPr>
        <w:tab/>
      </w:r>
      <w:r>
        <w:rPr>
          <w:lang w:val="fr-FR"/>
        </w:rPr>
        <w:t>R</w:t>
      </w:r>
      <w:r w:rsidRPr="00C73776">
        <w:rPr>
          <w:lang w:val="fr-FR"/>
        </w:rPr>
        <w:t>egistre au sein du Centre d’échange pour l’accès et le partage des avantages.</w:t>
      </w:r>
    </w:p>
    <w:p w14:paraId="19FB97AD" w14:textId="77777777" w:rsidR="001D5FF2" w:rsidRPr="00C73776" w:rsidRDefault="001D5FF2" w:rsidP="001D5FF2">
      <w:pPr>
        <w:pStyle w:val="CBDH3"/>
        <w:tabs>
          <w:tab w:val="clear" w:pos="567"/>
        </w:tabs>
        <w:ind w:left="1134" w:firstLine="0"/>
        <w:rPr>
          <w:lang w:val="fr-FR"/>
        </w:rPr>
      </w:pPr>
      <w:r w:rsidRPr="00C73776">
        <w:rPr>
          <w:lang w:val="fr-FR"/>
        </w:rPr>
        <w:t xml:space="preserve">Option B </w:t>
      </w:r>
      <w:r w:rsidRPr="00C73776">
        <w:rPr>
          <w:lang w:val="fr-FR"/>
        </w:rPr>
        <w:br/>
        <w:t>Approche fondée sur une coordination initiale sans reconnaissance officielle</w:t>
      </w:r>
    </w:p>
    <w:p w14:paraId="63F6921A" w14:textId="77777777" w:rsidR="001D5FF2" w:rsidRPr="00C73776" w:rsidRDefault="001D5FF2" w:rsidP="001D5FF2">
      <w:pPr>
        <w:pStyle w:val="CBDNormalNoNumber"/>
        <w:tabs>
          <w:tab w:val="clear" w:pos="567"/>
        </w:tabs>
        <w:ind w:left="1134"/>
        <w:rPr>
          <w:lang w:val="fr-FR"/>
        </w:rPr>
      </w:pPr>
      <w:r w:rsidRPr="00C73776">
        <w:rPr>
          <w:lang w:val="fr-FR"/>
        </w:rPr>
        <w:t>2.</w:t>
      </w:r>
      <w:r w:rsidRPr="00C73776">
        <w:rPr>
          <w:lang w:val="fr-FR"/>
        </w:rPr>
        <w:tab/>
        <w:t>L’option B a pour objectif de promouvoir une coordination structurée et un appui mutuel sans reconnaissance formelle. Elle se caractérise par les éléments suivants :</w:t>
      </w:r>
    </w:p>
    <w:p w14:paraId="054FC983" w14:textId="77777777" w:rsidR="001D5FF2" w:rsidRPr="00C73776" w:rsidRDefault="001D5FF2" w:rsidP="001D5FF2">
      <w:pPr>
        <w:pStyle w:val="CBDNormalNoNumber"/>
        <w:tabs>
          <w:tab w:val="clear" w:pos="567"/>
        </w:tabs>
        <w:ind w:left="1134" w:firstLine="567"/>
        <w:rPr>
          <w:lang w:val="fr-FR"/>
        </w:rPr>
      </w:pPr>
      <w:r w:rsidRPr="00C73776">
        <w:rPr>
          <w:lang w:val="fr-FR"/>
        </w:rPr>
        <w:t>a)</w:t>
      </w:r>
      <w:r w:rsidRPr="00C73776">
        <w:rPr>
          <w:lang w:val="fr-FR"/>
        </w:rPr>
        <w:tab/>
        <w:t>Coopération structurée avec d’autres organisations internationales ;</w:t>
      </w:r>
    </w:p>
    <w:p w14:paraId="60F266CD" w14:textId="77777777" w:rsidR="001D5FF2" w:rsidRPr="00C73776" w:rsidRDefault="001D5FF2" w:rsidP="001D5FF2">
      <w:pPr>
        <w:pStyle w:val="CBDNormalNoNumber"/>
        <w:tabs>
          <w:tab w:val="clear" w:pos="567"/>
        </w:tabs>
        <w:ind w:left="1134" w:firstLine="567"/>
        <w:rPr>
          <w:lang w:val="fr-FR"/>
        </w:rPr>
      </w:pPr>
      <w:r w:rsidRPr="00C73776">
        <w:rPr>
          <w:lang w:val="fr-FR"/>
        </w:rPr>
        <w:t>b)</w:t>
      </w:r>
      <w:r w:rsidRPr="00C73776">
        <w:rPr>
          <w:lang w:val="fr-FR"/>
        </w:rPr>
        <w:tab/>
        <w:t>Échange d’informations et transparence ;</w:t>
      </w:r>
    </w:p>
    <w:p w14:paraId="4E5EB9DD" w14:textId="77777777" w:rsidR="001D5FF2" w:rsidRPr="00C73776" w:rsidRDefault="001D5FF2" w:rsidP="001D5FF2">
      <w:pPr>
        <w:pStyle w:val="CBDNormalNoNumber"/>
        <w:tabs>
          <w:tab w:val="clear" w:pos="567"/>
        </w:tabs>
        <w:ind w:left="1134" w:firstLine="567"/>
        <w:rPr>
          <w:lang w:val="fr-FR"/>
        </w:rPr>
      </w:pPr>
      <w:r w:rsidRPr="00C73776">
        <w:rPr>
          <w:lang w:val="fr-FR"/>
        </w:rPr>
        <w:t>c)</w:t>
      </w:r>
      <w:r w:rsidRPr="00C73776">
        <w:rPr>
          <w:lang w:val="fr-FR"/>
        </w:rPr>
        <w:tab/>
        <w:t xml:space="preserve">Établissement de rapports nationaux sur les pratiques liées aux instruments internationaux spécialisés en matière d’accès et de partage des avantages ; </w:t>
      </w:r>
    </w:p>
    <w:p w14:paraId="230D22A3" w14:textId="77777777" w:rsidR="001D5FF2" w:rsidRPr="00C73776" w:rsidRDefault="001D5FF2" w:rsidP="001D5FF2">
      <w:pPr>
        <w:pStyle w:val="CBDNormalNoNumber"/>
        <w:tabs>
          <w:tab w:val="clear" w:pos="567"/>
        </w:tabs>
        <w:ind w:left="1134" w:firstLine="567"/>
        <w:rPr>
          <w:lang w:val="fr-FR"/>
        </w:rPr>
      </w:pPr>
      <w:r w:rsidRPr="00C73776">
        <w:rPr>
          <w:lang w:val="fr-FR"/>
        </w:rPr>
        <w:t>d)</w:t>
      </w:r>
      <w:r w:rsidRPr="00C73776">
        <w:rPr>
          <w:lang w:val="fr-FR"/>
        </w:rPr>
        <w:tab/>
        <w:t>Évaluations fondées sur le Protocole de Nagoya ;</w:t>
      </w:r>
    </w:p>
    <w:p w14:paraId="49F68867" w14:textId="77777777" w:rsidR="001D5FF2" w:rsidRPr="00C73776" w:rsidRDefault="001D5FF2" w:rsidP="001D5FF2">
      <w:pPr>
        <w:pStyle w:val="CBDNormalNoNumber"/>
        <w:tabs>
          <w:tab w:val="clear" w:pos="567"/>
        </w:tabs>
        <w:ind w:left="1134" w:firstLine="567"/>
        <w:rPr>
          <w:lang w:val="fr-FR"/>
        </w:rPr>
      </w:pPr>
      <w:r w:rsidRPr="00C73776">
        <w:rPr>
          <w:lang w:val="fr-FR"/>
        </w:rPr>
        <w:t>e)</w:t>
      </w:r>
      <w:r w:rsidRPr="00C73776">
        <w:rPr>
          <w:lang w:val="fr-FR"/>
        </w:rPr>
        <w:tab/>
        <w:t>Processus de révision ;</w:t>
      </w:r>
    </w:p>
    <w:p w14:paraId="11DBB24F" w14:textId="77777777" w:rsidR="001D5FF2" w:rsidRPr="00C73776" w:rsidRDefault="001D5FF2" w:rsidP="001D5FF2">
      <w:pPr>
        <w:pStyle w:val="CBDNormalNoNumber"/>
        <w:tabs>
          <w:tab w:val="clear" w:pos="567"/>
        </w:tabs>
        <w:ind w:left="1134" w:firstLine="567"/>
        <w:rPr>
          <w:b/>
          <w:bCs/>
          <w:lang w:val="fr-FR"/>
        </w:rPr>
      </w:pPr>
      <w:r w:rsidRPr="00C73776">
        <w:rPr>
          <w:lang w:val="fr-FR"/>
        </w:rPr>
        <w:t>f)</w:t>
      </w:r>
      <w:r w:rsidRPr="00C73776">
        <w:rPr>
          <w:lang w:val="fr-FR"/>
        </w:rPr>
        <w:tab/>
        <w:t>Aucune étape officielle de reconnaissance ou d’accréditation.</w:t>
      </w:r>
    </w:p>
    <w:p w14:paraId="345440D7" w14:textId="77777777" w:rsidR="001D5FF2" w:rsidRPr="00C73776" w:rsidRDefault="001D5FF2" w:rsidP="001D5FF2">
      <w:pPr>
        <w:pStyle w:val="CBDH3"/>
        <w:tabs>
          <w:tab w:val="clear" w:pos="567"/>
        </w:tabs>
        <w:ind w:left="1134" w:firstLine="0"/>
        <w:rPr>
          <w:lang w:val="fr-FR"/>
        </w:rPr>
      </w:pPr>
      <w:r w:rsidRPr="00C73776">
        <w:rPr>
          <w:lang w:val="fr-FR"/>
        </w:rPr>
        <w:t xml:space="preserve">Option C </w:t>
      </w:r>
      <w:r w:rsidRPr="00C73776">
        <w:rPr>
          <w:lang w:val="fr-FR"/>
        </w:rPr>
        <w:br/>
        <w:t>Modèle hybride « déférence et registre</w:t>
      </w:r>
      <w:r w:rsidRPr="00C73776">
        <w:rPr>
          <w:rStyle w:val="Appelnotedebasdep"/>
          <w:bCs/>
          <w:lang w:val="fr-FR"/>
        </w:rPr>
        <w:footnoteReference w:id="5"/>
      </w:r>
      <w:r w:rsidRPr="00C73776">
        <w:rPr>
          <w:lang w:val="fr-FR"/>
        </w:rPr>
        <w:t> »</w:t>
      </w:r>
    </w:p>
    <w:p w14:paraId="1F483E2A" w14:textId="77777777" w:rsidR="001D5FF2" w:rsidRPr="00C73776" w:rsidRDefault="001D5FF2" w:rsidP="001D5FF2">
      <w:pPr>
        <w:pStyle w:val="CBDNormalNoNumber"/>
        <w:tabs>
          <w:tab w:val="clear" w:pos="567"/>
        </w:tabs>
        <w:ind w:left="1134"/>
        <w:rPr>
          <w:lang w:val="fr-FR"/>
        </w:rPr>
      </w:pPr>
      <w:r w:rsidRPr="00C73776">
        <w:rPr>
          <w:lang w:val="fr-FR"/>
        </w:rPr>
        <w:t>3.</w:t>
      </w:r>
      <w:r w:rsidRPr="00C73776">
        <w:rPr>
          <w:lang w:val="fr-FR"/>
        </w:rPr>
        <w:tab/>
        <w:t>L’option C a pour objectif de combiner les déclarations volontaires des organes directeurs et des secrétariats des instruments internationaux spécialisés en matière d’accès et de partage des avantages, qui seraient enregistrées par la Conférence des Parties siégeant en tant que réunion des Parties au Protocole de Nagoya, avec un examen minimal. Cette option se définit par les éléments suivants :</w:t>
      </w:r>
    </w:p>
    <w:p w14:paraId="3185A4BB" w14:textId="77777777" w:rsidR="001D5FF2" w:rsidRPr="00C73776" w:rsidRDefault="001D5FF2" w:rsidP="001D5FF2">
      <w:pPr>
        <w:pStyle w:val="CBDNormalNoNumber"/>
        <w:tabs>
          <w:tab w:val="clear" w:pos="567"/>
        </w:tabs>
        <w:ind w:left="1134" w:firstLine="567"/>
        <w:rPr>
          <w:lang w:val="fr-FR"/>
        </w:rPr>
      </w:pPr>
      <w:r w:rsidRPr="00C73776">
        <w:rPr>
          <w:lang w:val="fr-FR"/>
        </w:rPr>
        <w:t>a)</w:t>
      </w:r>
      <w:r w:rsidRPr="00C73776">
        <w:rPr>
          <w:lang w:val="fr-FR"/>
        </w:rPr>
        <w:tab/>
        <w:t>Déclarations primaires par les organes directeurs ou les secrétariats des instruments internationaux spécialisés en matière d’accès et de partage des avantages</w:t>
      </w:r>
      <w:r w:rsidRPr="00C73776">
        <w:rPr>
          <w:sz w:val="24"/>
          <w:szCs w:val="24"/>
          <w:lang w:val="fr-FR"/>
        </w:rPr>
        <w:t> </w:t>
      </w:r>
      <w:r w:rsidRPr="00C73776">
        <w:rPr>
          <w:lang w:val="fr-FR"/>
        </w:rPr>
        <w:t>;</w:t>
      </w:r>
    </w:p>
    <w:p w14:paraId="6F0D5ABE" w14:textId="77777777" w:rsidR="001D5FF2" w:rsidRPr="00C73776" w:rsidRDefault="001D5FF2" w:rsidP="001D5FF2">
      <w:pPr>
        <w:pStyle w:val="CBDNormalNoNumber"/>
        <w:tabs>
          <w:tab w:val="clear" w:pos="567"/>
        </w:tabs>
        <w:ind w:left="1134" w:firstLine="567"/>
        <w:rPr>
          <w:lang w:val="fr-FR"/>
        </w:rPr>
      </w:pPr>
      <w:r w:rsidRPr="00C73776">
        <w:rPr>
          <w:lang w:val="fr-FR"/>
        </w:rPr>
        <w:t>b)</w:t>
      </w:r>
      <w:r w:rsidRPr="00C73776">
        <w:rPr>
          <w:lang w:val="fr-FR"/>
        </w:rPr>
        <w:tab/>
        <w:t>Enregistrement ou prise en note des déclarations volontaires par la Conférence des Parties siégeant en tant que réunion des Parties au Protocole de Nagoya ;</w:t>
      </w:r>
    </w:p>
    <w:p w14:paraId="6E5F2FCB" w14:textId="77777777" w:rsidR="001D5FF2" w:rsidRPr="00C73776" w:rsidRDefault="001D5FF2" w:rsidP="001D5FF2">
      <w:pPr>
        <w:pStyle w:val="CBDNormalNoNumber"/>
        <w:tabs>
          <w:tab w:val="clear" w:pos="567"/>
        </w:tabs>
        <w:ind w:left="1134" w:firstLine="567"/>
        <w:rPr>
          <w:lang w:val="fr-FR"/>
        </w:rPr>
      </w:pPr>
      <w:r w:rsidRPr="00C73776">
        <w:rPr>
          <w:lang w:val="fr-FR"/>
        </w:rPr>
        <w:t>c)</w:t>
      </w:r>
      <w:r w:rsidRPr="00C73776">
        <w:rPr>
          <w:lang w:val="fr-FR"/>
        </w:rPr>
        <w:tab/>
        <w:t>Utilisation de critères volontaires par les organes directeurs ou le secrétariat des instruments internationaux spécialisés en matière d’accès et de partage des avantages pour déterminer le statut de ces instruments au regard du paragraphe 4 de l’article 4 du Protocole ;</w:t>
      </w:r>
    </w:p>
    <w:p w14:paraId="54B979DA" w14:textId="77777777" w:rsidR="001D5FF2" w:rsidRPr="00C73776" w:rsidRDefault="001D5FF2" w:rsidP="001D5FF2">
      <w:pPr>
        <w:pStyle w:val="CBDNormalNoNumber"/>
        <w:tabs>
          <w:tab w:val="clear" w:pos="567"/>
        </w:tabs>
        <w:ind w:left="1134" w:firstLine="567"/>
        <w:rPr>
          <w:lang w:val="fr-FR"/>
        </w:rPr>
      </w:pPr>
      <w:r w:rsidRPr="00C73776">
        <w:rPr>
          <w:lang w:val="fr-FR"/>
        </w:rPr>
        <w:t>d)</w:t>
      </w:r>
      <w:r w:rsidRPr="00C73776">
        <w:rPr>
          <w:lang w:val="fr-FR"/>
        </w:rPr>
        <w:tab/>
        <w:t>Listes intersessions glissantes ;</w:t>
      </w:r>
    </w:p>
    <w:p w14:paraId="6A848AD1" w14:textId="77777777" w:rsidR="001D5FF2" w:rsidRPr="00C73776" w:rsidRDefault="001D5FF2" w:rsidP="001D5FF2">
      <w:pPr>
        <w:pStyle w:val="CBDNormalNoNumber"/>
        <w:tabs>
          <w:tab w:val="clear" w:pos="567"/>
        </w:tabs>
        <w:ind w:left="1134" w:firstLine="567"/>
        <w:rPr>
          <w:lang w:val="fr-FR"/>
        </w:rPr>
      </w:pPr>
      <w:r w:rsidRPr="00C73776">
        <w:rPr>
          <w:lang w:val="fr-FR"/>
        </w:rPr>
        <w:t>e)</w:t>
      </w:r>
      <w:r w:rsidRPr="00C73776">
        <w:rPr>
          <w:lang w:val="fr-FR"/>
        </w:rPr>
        <w:tab/>
        <w:t>Création d’un registre dans le Centre d’échange pour l’accès et le partage des avantages ;</w:t>
      </w:r>
    </w:p>
    <w:p w14:paraId="79CE5FF8" w14:textId="77777777" w:rsidR="001D5FF2" w:rsidRPr="00C73776" w:rsidRDefault="001D5FF2" w:rsidP="001D5FF2">
      <w:pPr>
        <w:pStyle w:val="CBDNormalNoNumber"/>
        <w:tabs>
          <w:tab w:val="clear" w:pos="567"/>
        </w:tabs>
        <w:ind w:left="1134" w:firstLine="567"/>
        <w:rPr>
          <w:lang w:val="fr-FR"/>
        </w:rPr>
      </w:pPr>
      <w:r w:rsidRPr="00C73776">
        <w:rPr>
          <w:lang w:val="fr-FR"/>
        </w:rPr>
        <w:lastRenderedPageBreak/>
        <w:t>f)</w:t>
      </w:r>
      <w:r w:rsidRPr="00C73776">
        <w:rPr>
          <w:lang w:val="fr-FR"/>
        </w:rPr>
        <w:tab/>
      </w:r>
      <w:r>
        <w:rPr>
          <w:lang w:val="fr-FR"/>
        </w:rPr>
        <w:t>S</w:t>
      </w:r>
      <w:r w:rsidRPr="00C73776">
        <w:rPr>
          <w:lang w:val="fr-FR"/>
        </w:rPr>
        <w:t>ervice d’assistance inter-</w:t>
      </w:r>
      <w:r>
        <w:rPr>
          <w:lang w:val="fr-FR"/>
        </w:rPr>
        <w:t>système</w:t>
      </w:r>
      <w:r w:rsidRPr="00C73776">
        <w:rPr>
          <w:lang w:val="fr-FR"/>
        </w:rPr>
        <w:t xml:space="preserve"> pour les Parties et les parties prenantes.</w:t>
      </w:r>
    </w:p>
    <w:p w14:paraId="7D44AA72" w14:textId="77777777" w:rsidR="001D5FF2" w:rsidRPr="00C73776" w:rsidRDefault="001D5FF2" w:rsidP="001D5FF2">
      <w:pPr>
        <w:pStyle w:val="CBDH2"/>
        <w:tabs>
          <w:tab w:val="clear" w:pos="567"/>
        </w:tabs>
        <w:ind w:left="1134"/>
        <w:jc w:val="left"/>
        <w:rPr>
          <w:lang w:val="fr-FR"/>
        </w:rPr>
      </w:pPr>
      <w:r w:rsidRPr="00C73776">
        <w:rPr>
          <w:lang w:val="fr-FR"/>
        </w:rPr>
        <w:t>II.</w:t>
      </w:r>
      <w:r w:rsidRPr="00C73776">
        <w:rPr>
          <w:lang w:val="fr-FR"/>
        </w:rPr>
        <w:tab/>
        <w:t>Critères indicatifs proposés pour la détermination du statut des instruments internationaux spécialisés en matière d’accès et de partage des avantages ou leur reconnaissance (applicables aux options I.A et I.C)</w:t>
      </w:r>
    </w:p>
    <w:p w14:paraId="4E4BD345" w14:textId="77777777" w:rsidR="001D5FF2" w:rsidRPr="00C73776" w:rsidRDefault="001D5FF2" w:rsidP="001D5FF2">
      <w:pPr>
        <w:pStyle w:val="CBDNormalNoNumber"/>
        <w:tabs>
          <w:tab w:val="clear" w:pos="567"/>
        </w:tabs>
        <w:ind w:left="1134"/>
        <w:rPr>
          <w:lang w:val="fr-FR"/>
        </w:rPr>
      </w:pPr>
      <w:r w:rsidRPr="00C73776">
        <w:rPr>
          <w:lang w:val="fr-FR"/>
        </w:rPr>
        <w:t>4.</w:t>
      </w:r>
      <w:r w:rsidRPr="00C73776">
        <w:rPr>
          <w:lang w:val="fr-FR"/>
        </w:rPr>
        <w:tab/>
        <w:t>Les critères indicatifs de reconnaissance comprennent :</w:t>
      </w:r>
    </w:p>
    <w:p w14:paraId="4DF4E1A5" w14:textId="77777777" w:rsidR="001D5FF2" w:rsidRPr="00C73776" w:rsidRDefault="001D5FF2" w:rsidP="001D5FF2">
      <w:pPr>
        <w:pStyle w:val="CBDNormalNoNumber"/>
        <w:tabs>
          <w:tab w:val="clear" w:pos="567"/>
        </w:tabs>
        <w:ind w:left="1134" w:firstLine="567"/>
        <w:rPr>
          <w:lang w:val="fr-FR"/>
        </w:rPr>
      </w:pPr>
      <w:r w:rsidRPr="00C73776">
        <w:rPr>
          <w:lang w:val="fr-FR"/>
        </w:rPr>
        <w:t>a)</w:t>
      </w:r>
      <w:r w:rsidRPr="00C73776">
        <w:rPr>
          <w:lang w:val="fr-FR"/>
        </w:rPr>
        <w:tab/>
        <w:t>Une base juridique fournie par adoption ou approbation intergouvernementale ;</w:t>
      </w:r>
    </w:p>
    <w:p w14:paraId="46816024" w14:textId="77777777" w:rsidR="001D5FF2" w:rsidRPr="00C73776" w:rsidRDefault="001D5FF2" w:rsidP="001D5FF2">
      <w:pPr>
        <w:pStyle w:val="CBDNormalNoNumber"/>
        <w:tabs>
          <w:tab w:val="clear" w:pos="567"/>
        </w:tabs>
        <w:ind w:left="1134" w:firstLine="567"/>
        <w:rPr>
          <w:lang w:val="fr-FR"/>
        </w:rPr>
      </w:pPr>
      <w:r w:rsidRPr="00C73776">
        <w:rPr>
          <w:lang w:val="fr-FR"/>
        </w:rPr>
        <w:t>b)</w:t>
      </w:r>
      <w:r w:rsidRPr="00C73776">
        <w:rPr>
          <w:lang w:val="fr-FR"/>
        </w:rPr>
        <w:tab/>
        <w:t xml:space="preserve">Une spécialisation en </w:t>
      </w:r>
      <w:r>
        <w:rPr>
          <w:lang w:val="fr-FR"/>
        </w:rPr>
        <w:t>matière</w:t>
      </w:r>
      <w:r w:rsidRPr="00C73776">
        <w:rPr>
          <w:lang w:val="fr-FR"/>
        </w:rPr>
        <w:t xml:space="preserve"> de portée et d’objectif ;</w:t>
      </w:r>
    </w:p>
    <w:p w14:paraId="6C521FD0" w14:textId="77777777" w:rsidR="001D5FF2" w:rsidRPr="00C73776" w:rsidRDefault="001D5FF2" w:rsidP="001D5FF2">
      <w:pPr>
        <w:pStyle w:val="CBDNormalNoNumber"/>
        <w:tabs>
          <w:tab w:val="clear" w:pos="567"/>
        </w:tabs>
        <w:ind w:left="1134" w:firstLine="567"/>
        <w:rPr>
          <w:lang w:val="fr-FR"/>
        </w:rPr>
      </w:pPr>
      <w:r w:rsidRPr="00C73776">
        <w:rPr>
          <w:lang w:val="fr-FR"/>
        </w:rPr>
        <w:t>c)</w:t>
      </w:r>
      <w:r w:rsidRPr="00C73776">
        <w:rPr>
          <w:lang w:val="fr-FR"/>
        </w:rPr>
        <w:tab/>
        <w:t xml:space="preserve">L’alignement </w:t>
      </w:r>
      <w:r>
        <w:rPr>
          <w:lang w:val="fr-FR"/>
        </w:rPr>
        <w:t>sur</w:t>
      </w:r>
      <w:r w:rsidRPr="00C73776">
        <w:rPr>
          <w:lang w:val="fr-FR"/>
        </w:rPr>
        <w:t xml:space="preserve"> les objectifs de la Convention sur la diversité biologique</w:t>
      </w:r>
      <w:r w:rsidRPr="00C73776">
        <w:rPr>
          <w:rStyle w:val="Appelnotedebasdep"/>
          <w:lang w:val="fr-FR"/>
        </w:rPr>
        <w:footnoteReference w:id="6"/>
      </w:r>
      <w:r w:rsidRPr="00C73776">
        <w:rPr>
          <w:lang w:val="fr-FR"/>
        </w:rPr>
        <w:t xml:space="preserve"> et le Protocole de Nagoya ; </w:t>
      </w:r>
    </w:p>
    <w:p w14:paraId="259B6D7E" w14:textId="77777777" w:rsidR="001D5FF2" w:rsidRPr="00C73776" w:rsidRDefault="001D5FF2" w:rsidP="001D5FF2">
      <w:pPr>
        <w:pStyle w:val="CBDNormalNoNumber"/>
        <w:tabs>
          <w:tab w:val="clear" w:pos="567"/>
        </w:tabs>
        <w:ind w:left="1134" w:firstLine="567"/>
        <w:rPr>
          <w:lang w:val="fr-FR"/>
        </w:rPr>
      </w:pPr>
      <w:r w:rsidRPr="00C73776">
        <w:rPr>
          <w:lang w:val="fr-FR"/>
        </w:rPr>
        <w:t>d)</w:t>
      </w:r>
      <w:r w:rsidRPr="00C73776">
        <w:rPr>
          <w:lang w:val="fr-FR"/>
        </w:rPr>
        <w:tab/>
        <w:t>Des mécanismes de partage des avantages justes et équitables ;</w:t>
      </w:r>
    </w:p>
    <w:p w14:paraId="56C44913" w14:textId="77777777" w:rsidR="001D5FF2" w:rsidRPr="00C73776" w:rsidRDefault="001D5FF2" w:rsidP="001D5FF2">
      <w:pPr>
        <w:pStyle w:val="CBDNormalNoNumber"/>
        <w:tabs>
          <w:tab w:val="clear" w:pos="567"/>
        </w:tabs>
        <w:ind w:left="1134" w:firstLine="567"/>
        <w:rPr>
          <w:lang w:val="fr-FR"/>
        </w:rPr>
      </w:pPr>
      <w:r w:rsidRPr="00C73776">
        <w:rPr>
          <w:lang w:val="fr-FR"/>
        </w:rPr>
        <w:t>e)</w:t>
      </w:r>
      <w:r w:rsidRPr="00C73776">
        <w:rPr>
          <w:lang w:val="fr-FR"/>
        </w:rPr>
        <w:tab/>
        <w:t xml:space="preserve">La participation effective des peuples autochtones et des communautés locales ; </w:t>
      </w:r>
    </w:p>
    <w:p w14:paraId="433430A0" w14:textId="77777777" w:rsidR="001D5FF2" w:rsidRPr="00C73776" w:rsidRDefault="001D5FF2" w:rsidP="001D5FF2">
      <w:pPr>
        <w:pStyle w:val="CBDNormalNoNumber"/>
        <w:tabs>
          <w:tab w:val="clear" w:pos="567"/>
        </w:tabs>
        <w:ind w:left="1134" w:firstLine="567"/>
        <w:rPr>
          <w:lang w:val="fr-FR"/>
        </w:rPr>
      </w:pPr>
      <w:r w:rsidRPr="00C73776">
        <w:rPr>
          <w:lang w:val="fr-FR"/>
        </w:rPr>
        <w:t>f)</w:t>
      </w:r>
      <w:r w:rsidRPr="00C73776">
        <w:rPr>
          <w:lang w:val="fr-FR"/>
        </w:rPr>
        <w:tab/>
        <w:t xml:space="preserve">Des dispositions relatives à la transparence, au suivi et à la responsabilité ; </w:t>
      </w:r>
    </w:p>
    <w:p w14:paraId="443A31FB" w14:textId="77777777" w:rsidR="001D5FF2" w:rsidRPr="00C73776" w:rsidRDefault="001D5FF2" w:rsidP="001D5FF2">
      <w:pPr>
        <w:pStyle w:val="CBDNormalNoNumber"/>
        <w:tabs>
          <w:tab w:val="clear" w:pos="567"/>
        </w:tabs>
        <w:ind w:left="1134" w:firstLine="567"/>
        <w:rPr>
          <w:lang w:val="fr-FR"/>
        </w:rPr>
      </w:pPr>
      <w:r w:rsidRPr="00C73776">
        <w:rPr>
          <w:lang w:val="fr-FR"/>
        </w:rPr>
        <w:t>g)</w:t>
      </w:r>
      <w:r w:rsidRPr="00C73776">
        <w:rPr>
          <w:lang w:val="fr-FR"/>
        </w:rPr>
        <w:tab/>
        <w:t>La promotion du soutien mutuel et la prévention des doubles emplois.]</w:t>
      </w:r>
    </w:p>
    <w:p w14:paraId="079C4B72" w14:textId="77777777" w:rsidR="001D5FF2" w:rsidRPr="00C73776" w:rsidRDefault="001D5FF2" w:rsidP="001D5FF2">
      <w:pPr>
        <w:pStyle w:val="CBDDesicionAnnex"/>
        <w:ind w:left="1134"/>
        <w:rPr>
          <w:lang w:val="fr-FR"/>
        </w:rPr>
      </w:pPr>
      <w:r w:rsidRPr="00C73776">
        <w:rPr>
          <w:lang w:val="fr-FR"/>
        </w:rPr>
        <w:t>Annexe II</w:t>
      </w:r>
    </w:p>
    <w:p w14:paraId="1206FF0D" w14:textId="77777777" w:rsidR="001D5FF2" w:rsidRPr="00C73776" w:rsidRDefault="001D5FF2" w:rsidP="001D5FF2">
      <w:pPr>
        <w:pStyle w:val="CBDDesicionAnnex"/>
        <w:spacing w:before="120"/>
        <w:ind w:left="1134"/>
        <w:rPr>
          <w:lang w:val="fr-FR"/>
        </w:rPr>
      </w:pPr>
      <w:r w:rsidRPr="00C73776">
        <w:rPr>
          <w:lang w:val="fr-FR"/>
        </w:rPr>
        <w:t>Mandat du groupe informel chargé de faire avancer les travaux relatifs au paragraphe 4 de l'article 4 du Protocole de Nagoya</w:t>
      </w:r>
    </w:p>
    <w:p w14:paraId="317356C3" w14:textId="77777777" w:rsidR="001D5FF2" w:rsidRPr="00C73776" w:rsidRDefault="001D5FF2" w:rsidP="001D5FF2">
      <w:pPr>
        <w:pStyle w:val="CBDNormalNoNumber"/>
        <w:tabs>
          <w:tab w:val="clear" w:pos="567"/>
        </w:tabs>
        <w:ind w:left="1134"/>
        <w:rPr>
          <w:lang w:val="fr-FR"/>
        </w:rPr>
      </w:pPr>
      <w:r w:rsidRPr="00C73776">
        <w:rPr>
          <w:lang w:val="fr-FR"/>
        </w:rPr>
        <w:t>1.</w:t>
      </w:r>
      <w:r w:rsidRPr="00C73776">
        <w:rPr>
          <w:lang w:val="fr-FR"/>
        </w:rPr>
        <w:tab/>
        <w:t>Le groupe informel chargé de faire avancer les travaux relatifs au paragraphe 4 de l'article 4 du Protocole de Nagoya sur l'accès aux ressources génétiques et le partage juste et équitable des avantages découlant de leur utilisation</w:t>
      </w:r>
      <w:r w:rsidRPr="00C73776">
        <w:rPr>
          <w:rStyle w:val="Appelnotedebasdep"/>
          <w:lang w:val="fr-FR"/>
        </w:rPr>
        <w:footnoteReference w:id="7"/>
      </w:r>
      <w:r w:rsidRPr="00C73776">
        <w:rPr>
          <w:lang w:val="fr-FR"/>
        </w:rPr>
        <w:t xml:space="preserve"> examinera :</w:t>
      </w:r>
    </w:p>
    <w:p w14:paraId="30D443CB" w14:textId="77777777" w:rsidR="001D5FF2" w:rsidRPr="00C73776" w:rsidRDefault="001D5FF2" w:rsidP="001D5FF2">
      <w:pPr>
        <w:pStyle w:val="CBDDesicionText"/>
        <w:ind w:left="1134"/>
        <w:rPr>
          <w:lang w:val="fr-FR"/>
        </w:rPr>
      </w:pPr>
      <w:r w:rsidRPr="00C73776">
        <w:rPr>
          <w:lang w:val="fr-FR"/>
        </w:rPr>
        <w:t>a)</w:t>
      </w:r>
      <w:r w:rsidRPr="00C73776">
        <w:rPr>
          <w:lang w:val="fr-FR"/>
        </w:rPr>
        <w:tab/>
        <w:t xml:space="preserve">La synthèse des vues mentionnées au paragraphe 5 a) de la présente décision, en vue d’établir les points de divergence et de convergence ; </w:t>
      </w:r>
    </w:p>
    <w:p w14:paraId="5A398B20" w14:textId="77777777" w:rsidR="001D5FF2" w:rsidRPr="00C73776" w:rsidRDefault="001D5FF2" w:rsidP="001D5FF2">
      <w:pPr>
        <w:pStyle w:val="CBDDesicionText"/>
        <w:ind w:left="1134"/>
        <w:rPr>
          <w:lang w:val="fr-FR"/>
        </w:rPr>
      </w:pPr>
      <w:r w:rsidRPr="00C73776">
        <w:rPr>
          <w:lang w:val="fr-FR"/>
        </w:rPr>
        <w:t>b)</w:t>
      </w:r>
      <w:r w:rsidRPr="00C73776">
        <w:rPr>
          <w:lang w:val="fr-FR"/>
        </w:rPr>
        <w:tab/>
        <w:t xml:space="preserve">Les informations décrites dans les premiers rapports nationaux sur la mise en œuvre du Protocole de Nagoya, et la deuxième évaluation et le deuxième examen du Protocole. </w:t>
      </w:r>
    </w:p>
    <w:p w14:paraId="6C9B364B" w14:textId="77777777" w:rsidR="001D5FF2" w:rsidRPr="00C73776" w:rsidRDefault="001D5FF2" w:rsidP="001D5FF2">
      <w:pPr>
        <w:pStyle w:val="CBDNormalNoNumber"/>
        <w:tabs>
          <w:tab w:val="clear" w:pos="567"/>
        </w:tabs>
        <w:ind w:left="1134"/>
        <w:rPr>
          <w:lang w:val="fr-FR"/>
        </w:rPr>
      </w:pPr>
      <w:r w:rsidRPr="00C73776">
        <w:rPr>
          <w:lang w:val="fr-FR"/>
        </w:rPr>
        <w:t>2.</w:t>
      </w:r>
      <w:r w:rsidRPr="00C73776">
        <w:rPr>
          <w:lang w:val="fr-FR"/>
        </w:rPr>
        <w:tab/>
        <w:t xml:space="preserve">Le groupe informel se réunira jusqu’à trois fois pendant la période intersessions, [en ligne et] </w:t>
      </w:r>
      <w:r>
        <w:rPr>
          <w:lang w:val="fr-FR"/>
        </w:rPr>
        <w:t>en tenant</w:t>
      </w:r>
      <w:r w:rsidRPr="00C73776">
        <w:rPr>
          <w:lang w:val="fr-FR"/>
        </w:rPr>
        <w:t xml:space="preserve"> compte des différents fuseaux horaires. Chaque réunion devrait durer environ trois heures. La langue de travail sera l’anglais. </w:t>
      </w:r>
    </w:p>
    <w:p w14:paraId="197EDC20" w14:textId="77777777" w:rsidR="001D5FF2" w:rsidRPr="00C73776" w:rsidRDefault="001D5FF2" w:rsidP="001D5FF2">
      <w:pPr>
        <w:pStyle w:val="CBDNormalNoNumber"/>
        <w:tabs>
          <w:tab w:val="clear" w:pos="567"/>
        </w:tabs>
        <w:ind w:left="1134"/>
        <w:rPr>
          <w:lang w:val="fr-FR"/>
        </w:rPr>
      </w:pPr>
      <w:r w:rsidRPr="00C73776">
        <w:rPr>
          <w:lang w:val="fr-FR"/>
        </w:rPr>
        <w:t>3.</w:t>
      </w:r>
      <w:r w:rsidRPr="00C73776">
        <w:rPr>
          <w:lang w:val="fr-FR"/>
        </w:rPr>
        <w:tab/>
        <w:t>Le groupe informel sera dirigé par deux coprésidents. L’un des coprésidents sera originaire d’un pays développé et l’autre d’un pays en développement. Les coprésidents sont XXX et XXX</w:t>
      </w:r>
      <w:r w:rsidRPr="00C73776">
        <w:rPr>
          <w:rStyle w:val="Appelnotedebasdep"/>
          <w:lang w:val="fr-FR"/>
        </w:rPr>
        <w:footnoteReference w:id="8"/>
      </w:r>
      <w:r w:rsidRPr="00C73776">
        <w:rPr>
          <w:lang w:val="fr-FR"/>
        </w:rPr>
        <w:t xml:space="preserve">. </w:t>
      </w:r>
    </w:p>
    <w:p w14:paraId="32CF7B49" w14:textId="77777777" w:rsidR="001D5FF2" w:rsidRPr="00C73776" w:rsidRDefault="001D5FF2" w:rsidP="001D5FF2">
      <w:pPr>
        <w:pStyle w:val="CBDNormalNoNumber"/>
        <w:tabs>
          <w:tab w:val="clear" w:pos="567"/>
        </w:tabs>
        <w:ind w:left="1134"/>
        <w:rPr>
          <w:lang w:val="fr-FR"/>
        </w:rPr>
      </w:pPr>
      <w:r w:rsidRPr="00C73776">
        <w:rPr>
          <w:lang w:val="fr-FR"/>
        </w:rPr>
        <w:t>4.</w:t>
      </w:r>
      <w:r w:rsidRPr="00C73776">
        <w:rPr>
          <w:lang w:val="fr-FR"/>
        </w:rPr>
        <w:tab/>
        <w:t xml:space="preserve">Les coprésidents établiront un rapport portant, entre autres, sur ce qui suit : </w:t>
      </w:r>
    </w:p>
    <w:p w14:paraId="5CB97A2E" w14:textId="77777777" w:rsidR="001D5FF2" w:rsidRPr="00C73776" w:rsidRDefault="001D5FF2" w:rsidP="001D5FF2">
      <w:pPr>
        <w:pStyle w:val="CBDDesicionText"/>
        <w:ind w:left="1134"/>
        <w:rPr>
          <w:lang w:val="fr-FR"/>
        </w:rPr>
      </w:pPr>
      <w:r w:rsidRPr="00C73776">
        <w:rPr>
          <w:lang w:val="fr-FR"/>
        </w:rPr>
        <w:t>a)</w:t>
      </w:r>
      <w:r w:rsidRPr="00C73776">
        <w:rPr>
          <w:lang w:val="fr-FR"/>
        </w:rPr>
        <w:tab/>
        <w:t>Les conséquences juridiques et institutionnelles des options pour la mise en œuvre du paragraphe 4 de l’article 4 du Protocole ;</w:t>
      </w:r>
    </w:p>
    <w:p w14:paraId="52912EAC" w14:textId="77777777" w:rsidR="001D5FF2" w:rsidRPr="00C73776" w:rsidRDefault="001D5FF2" w:rsidP="001D5FF2">
      <w:pPr>
        <w:pStyle w:val="CBDDesicionText"/>
        <w:ind w:left="1134"/>
        <w:rPr>
          <w:lang w:val="fr-FR"/>
        </w:rPr>
      </w:pPr>
      <w:r w:rsidRPr="00C73776">
        <w:rPr>
          <w:lang w:val="fr-FR"/>
        </w:rPr>
        <w:t>b)</w:t>
      </w:r>
      <w:r w:rsidRPr="00C73776">
        <w:rPr>
          <w:lang w:val="fr-FR"/>
        </w:rPr>
        <w:tab/>
        <w:t>Le projet de critères indicatifs pour les instruments internationaux spécialisés en matière d’accès et de partage des avantages.</w:t>
      </w:r>
    </w:p>
    <w:p w14:paraId="26B84EE8" w14:textId="77777777" w:rsidR="001D5FF2" w:rsidRDefault="001D5FF2" w:rsidP="001D5FF2">
      <w:pPr>
        <w:pStyle w:val="CBDNormalNoNumber"/>
        <w:tabs>
          <w:tab w:val="clear" w:pos="567"/>
        </w:tabs>
        <w:ind w:left="1134"/>
        <w:rPr>
          <w:lang w:val="fr-FR"/>
        </w:rPr>
      </w:pPr>
      <w:r w:rsidRPr="00C73776">
        <w:rPr>
          <w:lang w:val="fr-FR"/>
        </w:rPr>
        <w:t>5.</w:t>
      </w:r>
      <w:r w:rsidRPr="00C73776">
        <w:rPr>
          <w:lang w:val="fr-FR"/>
        </w:rPr>
        <w:tab/>
        <w:t xml:space="preserve">D’autres gouvernements, observateurs et experts des Parties et d’organisations concernées peuvent être invités à participer aux réunions du groupe informel, ou à certaines parties de celles-ci, à l’initiative des coprésidents. </w:t>
      </w:r>
    </w:p>
    <w:p w14:paraId="07B7ECA2" w14:textId="77777777" w:rsidR="001D5FF2" w:rsidRPr="00C73776" w:rsidRDefault="001D5FF2" w:rsidP="001D5FF2">
      <w:pPr>
        <w:pStyle w:val="CBDNormalNoNumber"/>
        <w:tabs>
          <w:tab w:val="clear" w:pos="567"/>
        </w:tabs>
        <w:ind w:left="1134"/>
        <w:jc w:val="center"/>
        <w:rPr>
          <w:lang w:val="fr-FR"/>
        </w:rPr>
      </w:pPr>
      <w:r w:rsidRPr="00C73776">
        <w:rPr>
          <w:lang w:val="fr-FR"/>
        </w:rPr>
        <w:lastRenderedPageBreak/>
        <w:t>_______________</w:t>
      </w:r>
    </w:p>
    <w:p w14:paraId="6CC5434B" w14:textId="77777777" w:rsidR="007E4D9D" w:rsidRDefault="007E4D9D"/>
    <w:sectPr w:rsidR="007E4D9D" w:rsidSect="00C41957">
      <w:headerReference w:type="even" r:id="rId12"/>
      <w:headerReference w:type="default" r:id="rId13"/>
      <w:footerReference w:type="even" r:id="rId14"/>
      <w:footerReference w:type="default" r:id="rId15"/>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1326" w14:textId="77777777" w:rsidR="005603C5" w:rsidRDefault="005603C5" w:rsidP="001D5FF2">
      <w:r>
        <w:separator/>
      </w:r>
    </w:p>
  </w:endnote>
  <w:endnote w:type="continuationSeparator" w:id="0">
    <w:p w14:paraId="587A7F62" w14:textId="77777777" w:rsidR="005603C5" w:rsidRDefault="005603C5" w:rsidP="001D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6B44C2F1" w14:textId="77777777" w:rsidR="001D5FF2" w:rsidRPr="00866063" w:rsidRDefault="001D5FF2" w:rsidP="009B5624">
            <w:pPr>
              <w:pStyle w:val="CBDFooter"/>
            </w:pPr>
            <w:r w:rsidRPr="00866063">
              <w:fldChar w:fldCharType="begin"/>
            </w:r>
            <w:r w:rsidRPr="00866063">
              <w:instrText xml:space="preserve"> PAGE </w:instrText>
            </w:r>
            <w:r w:rsidRPr="00866063">
              <w:fldChar w:fldCharType="separate"/>
            </w:r>
            <w:r w:rsidRPr="00866063">
              <w:rPr>
                <w:noProof/>
              </w:rPr>
              <w:t>2</w:t>
            </w:r>
            <w:r w:rsidRPr="00866063">
              <w:fldChar w:fldCharType="end"/>
            </w:r>
            <w:r w:rsidRPr="00866063">
              <w:t>/</w:t>
            </w:r>
            <w:r w:rsidRPr="00866063">
              <w:fldChar w:fldCharType="begin"/>
            </w:r>
            <w:r w:rsidRPr="00866063">
              <w:instrText xml:space="preserve"> NUMPAGES  </w:instrText>
            </w:r>
            <w:r w:rsidRPr="00866063">
              <w:fldChar w:fldCharType="separate"/>
            </w:r>
            <w:r w:rsidRPr="00866063">
              <w:rPr>
                <w:noProof/>
              </w:rPr>
              <w:t>2</w:t>
            </w:r>
            <w:r w:rsidRPr="0086606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7D8BDB0E" w14:textId="77777777" w:rsidR="001D5FF2" w:rsidRPr="00866063" w:rsidRDefault="001D5FF2" w:rsidP="009B5624">
        <w:pPr>
          <w:pStyle w:val="CBDFooter"/>
          <w:jc w:val="right"/>
        </w:pPr>
        <w:r w:rsidRPr="00866063">
          <w:fldChar w:fldCharType="begin"/>
        </w:r>
        <w:r w:rsidRPr="00866063">
          <w:instrText xml:space="preserve"> PAGE </w:instrText>
        </w:r>
        <w:r w:rsidRPr="00866063">
          <w:fldChar w:fldCharType="separate"/>
        </w:r>
        <w:r w:rsidRPr="00866063">
          <w:t>2</w:t>
        </w:r>
        <w:r w:rsidRPr="00866063">
          <w:fldChar w:fldCharType="end"/>
        </w:r>
        <w:r w:rsidRPr="00866063">
          <w:t>/</w:t>
        </w:r>
        <w:r w:rsidRPr="00866063">
          <w:fldChar w:fldCharType="begin"/>
        </w:r>
        <w:r w:rsidRPr="00866063">
          <w:instrText xml:space="preserve"> NUMPAGES  </w:instrText>
        </w:r>
        <w:r w:rsidRPr="00866063">
          <w:fldChar w:fldCharType="separate"/>
        </w:r>
        <w:r w:rsidRPr="00866063">
          <w:t>3</w:t>
        </w:r>
        <w:r w:rsidRPr="0086606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1820" w14:textId="77777777" w:rsidR="005603C5" w:rsidRDefault="005603C5" w:rsidP="001D5FF2">
      <w:r>
        <w:separator/>
      </w:r>
    </w:p>
  </w:footnote>
  <w:footnote w:type="continuationSeparator" w:id="0">
    <w:p w14:paraId="42D3297E" w14:textId="77777777" w:rsidR="005603C5" w:rsidRDefault="005603C5" w:rsidP="001D5FF2">
      <w:r>
        <w:continuationSeparator/>
      </w:r>
    </w:p>
  </w:footnote>
  <w:footnote w:id="1">
    <w:p w14:paraId="1A32B024" w14:textId="77777777" w:rsidR="001D5FF2" w:rsidRPr="00C73776" w:rsidRDefault="001D5FF2" w:rsidP="001D5FF2">
      <w:pPr>
        <w:pStyle w:val="Notedebasdepage"/>
        <w:rPr>
          <w:lang w:val="fr-FR"/>
        </w:rPr>
      </w:pPr>
      <w:r w:rsidRPr="00C73776">
        <w:rPr>
          <w:rStyle w:val="Appelnotedebasdep"/>
          <w:lang w:val="fr-FR"/>
        </w:rPr>
        <w:footnoteRef/>
      </w:r>
      <w:r w:rsidRPr="00C73776">
        <w:rPr>
          <w:lang w:val="fr-FR"/>
        </w:rPr>
        <w:t xml:space="preserve"> Nations Unies, </w:t>
      </w:r>
      <w:r w:rsidRPr="00C73776">
        <w:rPr>
          <w:i/>
          <w:iCs/>
          <w:lang w:val="fr-FR"/>
        </w:rPr>
        <w:t>Recueil des Traités</w:t>
      </w:r>
      <w:r w:rsidRPr="00C73776">
        <w:rPr>
          <w:lang w:val="fr-FR"/>
        </w:rPr>
        <w:t>, vol. 3008, n</w:t>
      </w:r>
      <w:r w:rsidRPr="00C73776">
        <w:rPr>
          <w:vertAlign w:val="superscript"/>
          <w:lang w:val="fr-FR"/>
        </w:rPr>
        <w:t>o</w:t>
      </w:r>
      <w:r w:rsidRPr="00C73776">
        <w:rPr>
          <w:lang w:val="fr-FR"/>
        </w:rPr>
        <w:t xml:space="preserve"> 30619.</w:t>
      </w:r>
    </w:p>
  </w:footnote>
  <w:footnote w:id="2">
    <w:p w14:paraId="259C1059" w14:textId="77777777" w:rsidR="001D5FF2" w:rsidRPr="00C73776" w:rsidRDefault="001D5FF2" w:rsidP="001D5FF2">
      <w:pPr>
        <w:pStyle w:val="Notedebasdepage"/>
        <w:rPr>
          <w:lang w:val="fr-FR"/>
        </w:rPr>
      </w:pPr>
      <w:r w:rsidRPr="00C73776">
        <w:rPr>
          <w:rStyle w:val="Appelnotedebasdep"/>
          <w:lang w:val="fr-FR"/>
        </w:rPr>
        <w:footnoteRef/>
      </w:r>
      <w:r w:rsidRPr="00C73776">
        <w:rPr>
          <w:lang w:val="fr-FR"/>
        </w:rPr>
        <w:t xml:space="preserve"> Ibid. </w:t>
      </w:r>
    </w:p>
  </w:footnote>
  <w:footnote w:id="3">
    <w:p w14:paraId="6F2BF3CE" w14:textId="77777777" w:rsidR="001D5FF2" w:rsidRPr="00C73776" w:rsidRDefault="001D5FF2" w:rsidP="001D5FF2">
      <w:pPr>
        <w:pStyle w:val="Notedebasdepage"/>
        <w:rPr>
          <w:lang w:val="fr-FR"/>
        </w:rPr>
      </w:pPr>
      <w:r w:rsidRPr="00C73776">
        <w:rPr>
          <w:rStyle w:val="Appelnotedebasdep"/>
          <w:lang w:val="fr-FR"/>
        </w:rPr>
        <w:footnoteRef/>
      </w:r>
      <w:r w:rsidRPr="00C73776">
        <w:rPr>
          <w:lang w:val="fr-FR"/>
        </w:rPr>
        <w:t xml:space="preserve"> Le terme « groupe informel » est provisoire jusqu'à ce que les Parties décident du nom à donner à ce groupe. Les options proposées lors de la sixième réunion de l'Organe subsidiaire chargé de l'application comprennent « groupe consultatif informel à composition non limitée</w:t>
      </w:r>
      <w:r>
        <w:rPr>
          <w:lang w:val="fr-FR"/>
        </w:rPr>
        <w:t xml:space="preserve"> </w:t>
      </w:r>
      <w:r w:rsidRPr="00C73776">
        <w:rPr>
          <w:lang w:val="fr-FR"/>
        </w:rPr>
        <w:t xml:space="preserve">» et « forum de discussion ». </w:t>
      </w:r>
    </w:p>
  </w:footnote>
  <w:footnote w:id="4">
    <w:p w14:paraId="04351F00" w14:textId="77777777" w:rsidR="001D5FF2" w:rsidRPr="00C73776" w:rsidRDefault="001D5FF2" w:rsidP="001D5FF2">
      <w:pPr>
        <w:pStyle w:val="Notedebasdepage"/>
        <w:rPr>
          <w:lang w:val="fr-FR"/>
        </w:rPr>
      </w:pPr>
      <w:r w:rsidRPr="00C73776">
        <w:rPr>
          <w:rStyle w:val="Appelnotedebasdep"/>
          <w:lang w:val="fr-FR"/>
        </w:rPr>
        <w:footnoteRef/>
      </w:r>
      <w:r w:rsidRPr="00C73776">
        <w:rPr>
          <w:lang w:val="fr-FR"/>
        </w:rPr>
        <w:t xml:space="preserve"> Nations Unies, </w:t>
      </w:r>
      <w:r w:rsidRPr="00C73776">
        <w:rPr>
          <w:i/>
          <w:iCs/>
          <w:lang w:val="fr-FR"/>
        </w:rPr>
        <w:t>Recueil des traités</w:t>
      </w:r>
      <w:r w:rsidRPr="00C73776">
        <w:rPr>
          <w:lang w:val="fr-FR"/>
        </w:rPr>
        <w:t>, vol. 3008, n° 30619.</w:t>
      </w:r>
    </w:p>
  </w:footnote>
  <w:footnote w:id="5">
    <w:p w14:paraId="04F2EB8A" w14:textId="77777777" w:rsidR="001D5FF2" w:rsidRPr="00C73776" w:rsidRDefault="001D5FF2" w:rsidP="001D5FF2">
      <w:pPr>
        <w:pStyle w:val="Notedebasdepage"/>
        <w:rPr>
          <w:lang w:val="fr-FR"/>
        </w:rPr>
      </w:pPr>
      <w:r w:rsidRPr="00C73776">
        <w:rPr>
          <w:rStyle w:val="Appelnotedebasdep"/>
          <w:lang w:val="fr-FR"/>
        </w:rPr>
        <w:footnoteRef/>
      </w:r>
      <w:r w:rsidRPr="00C73776">
        <w:rPr>
          <w:lang w:val="fr-FR"/>
        </w:rPr>
        <w:t xml:space="preserve"> Un modèle hybride « déférence et registre » désigne une approche stratégique de gouvernance qui combine la discrétion laissée aux Parties (déférence) et un processus structuré et transparent (registre) pouvant être utilisé pour examiner et reconnaître les instruments internationaux spécialisés en matière d’accès et de partage des avantages, conformément au paragraphe 4 de l’article 4 du Protocole de Nagoya.</w:t>
      </w:r>
    </w:p>
  </w:footnote>
  <w:footnote w:id="6">
    <w:p w14:paraId="7642CADF" w14:textId="77777777" w:rsidR="001D5FF2" w:rsidRPr="00C73776" w:rsidRDefault="001D5FF2" w:rsidP="001D5FF2">
      <w:pPr>
        <w:pStyle w:val="Notedebasdepage"/>
        <w:rPr>
          <w:lang w:val="fr-FR"/>
        </w:rPr>
      </w:pPr>
      <w:r w:rsidRPr="00C73776">
        <w:rPr>
          <w:rStyle w:val="Appelnotedebasdep"/>
          <w:lang w:val="fr-FR"/>
        </w:rPr>
        <w:footnoteRef/>
      </w:r>
      <w:r w:rsidRPr="00C73776">
        <w:rPr>
          <w:lang w:val="fr-FR"/>
        </w:rPr>
        <w:t xml:space="preserve"> Nations Unies, </w:t>
      </w:r>
      <w:r w:rsidRPr="00C73776">
        <w:rPr>
          <w:i/>
          <w:iCs/>
          <w:lang w:val="fr-FR"/>
        </w:rPr>
        <w:t>Recueil des Traités</w:t>
      </w:r>
      <w:r w:rsidRPr="00C73776">
        <w:rPr>
          <w:lang w:val="fr-FR"/>
        </w:rPr>
        <w:t>, vol. 1760,</w:t>
      </w:r>
      <w:r>
        <w:rPr>
          <w:lang w:val="fr-FR"/>
        </w:rPr>
        <w:t xml:space="preserve"> </w:t>
      </w:r>
      <w:r w:rsidRPr="00C73776">
        <w:rPr>
          <w:lang w:val="fr-FR"/>
        </w:rPr>
        <w:t>30619.</w:t>
      </w:r>
    </w:p>
  </w:footnote>
  <w:footnote w:id="7">
    <w:p w14:paraId="7B6DC09F" w14:textId="77777777" w:rsidR="001D5FF2" w:rsidRPr="00C73776" w:rsidRDefault="001D5FF2" w:rsidP="001D5FF2">
      <w:pPr>
        <w:pStyle w:val="Notedebasdepage"/>
        <w:rPr>
          <w:lang w:val="fr-FR"/>
        </w:rPr>
      </w:pPr>
      <w:r w:rsidRPr="00C73776">
        <w:rPr>
          <w:rStyle w:val="Appelnotedebasdep"/>
          <w:lang w:val="fr-FR"/>
        </w:rPr>
        <w:footnoteRef/>
      </w:r>
      <w:r w:rsidRPr="00C73776">
        <w:rPr>
          <w:i/>
          <w:iCs/>
          <w:lang w:val="fr-FR"/>
        </w:rPr>
        <w:t xml:space="preserve"> </w:t>
      </w:r>
      <w:r w:rsidRPr="00C73776">
        <w:rPr>
          <w:lang w:val="fr-FR"/>
        </w:rPr>
        <w:t>Ibid., vol. 3008, n° 30619.</w:t>
      </w:r>
    </w:p>
  </w:footnote>
  <w:footnote w:id="8">
    <w:p w14:paraId="3C839E74" w14:textId="77777777" w:rsidR="001D5FF2" w:rsidRPr="00C73776" w:rsidRDefault="001D5FF2" w:rsidP="001D5FF2">
      <w:pPr>
        <w:pStyle w:val="Notedebasdepage"/>
        <w:rPr>
          <w:lang w:val="fr-FR"/>
        </w:rPr>
      </w:pPr>
      <w:r w:rsidRPr="00C73776">
        <w:rPr>
          <w:rStyle w:val="Appelnotedebasdep"/>
          <w:lang w:val="fr-FR"/>
        </w:rPr>
        <w:footnoteRef/>
      </w:r>
      <w:r w:rsidRPr="00C73776">
        <w:rPr>
          <w:lang w:val="fr-FR"/>
        </w:rPr>
        <w:t xml:space="preserve"> Il est prévu de désigner les coprésidents à la sixième réunion de la Conférence des Parties siégeant en tant que réunion des Parties au Protocole de Nagoya.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062AA60" w14:textId="0285A715" w:rsidR="001D5FF2" w:rsidRPr="00866063" w:rsidRDefault="00C41957" w:rsidP="007C4951">
        <w:pPr>
          <w:pStyle w:val="En-tte"/>
          <w:spacing w:after="240"/>
          <w:rPr>
            <w:szCs w:val="20"/>
          </w:rPr>
        </w:pPr>
        <w:r>
          <w:rPr>
            <w:szCs w:val="20"/>
          </w:rPr>
          <w:t>CBD/SBI/REC/6/7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497777011"/>
      <w:dataBinding w:prefixMappings="xmlns:ns0='http://purl.org/dc/elements/1.1/' xmlns:ns1='http://schemas.openxmlformats.org/package/2006/metadata/core-properties' " w:xpath="/ns1:coreProperties[1]/ns0:subject[1]" w:storeItemID="{6C3C8BC8-F283-45AE-878A-BAB7291924A1}"/>
      <w:text/>
    </w:sdtPr>
    <w:sdtContent>
      <w:p w14:paraId="14EF5DB5" w14:textId="3603AE78" w:rsidR="001D5FF2" w:rsidRPr="00866063" w:rsidRDefault="00C41957" w:rsidP="007C4951">
        <w:pPr>
          <w:pStyle w:val="En-tte"/>
          <w:spacing w:after="240"/>
          <w:jc w:val="right"/>
        </w:pPr>
        <w:r w:rsidRPr="00C41957">
          <w:rPr>
            <w:szCs w:val="20"/>
          </w:rPr>
          <w:t>CBD/SBI/REC/6/7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16C7"/>
    <w:multiLevelType w:val="hybridMultilevel"/>
    <w:tmpl w:val="13E6CED6"/>
    <w:lvl w:ilvl="0" w:tplc="1982D20E">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 w15:restartNumberingAfterBreak="0">
    <w:nsid w:val="5D943BEE"/>
    <w:multiLevelType w:val="multilevel"/>
    <w:tmpl w:val="222A08B4"/>
    <w:numStyleLink w:val="ListCBD"/>
  </w:abstractNum>
  <w:num w:numId="1" w16cid:durableId="960385107">
    <w:abstractNumId w:val="1"/>
  </w:num>
  <w:num w:numId="2" w16cid:durableId="323945383">
    <w:abstractNumId w:val="2"/>
  </w:num>
  <w:num w:numId="3" w16cid:durableId="131814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F2"/>
    <w:rsid w:val="001D5FF2"/>
    <w:rsid w:val="00283B4B"/>
    <w:rsid w:val="00401B98"/>
    <w:rsid w:val="005062CA"/>
    <w:rsid w:val="005603C5"/>
    <w:rsid w:val="0067713A"/>
    <w:rsid w:val="0072592E"/>
    <w:rsid w:val="007E4D9D"/>
    <w:rsid w:val="00C41957"/>
    <w:rsid w:val="00C75FB4"/>
    <w:rsid w:val="00E113C3"/>
    <w:rsid w:val="00EA4C56"/>
    <w:rsid w:val="00EF0521"/>
    <w:rsid w:val="00F4109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C646BC"/>
  <w15:chartTrackingRefBased/>
  <w15:docId w15:val="{DB58A844-AD7B-914C-9C23-724AE545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F2"/>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eastAsia="en-US"/>
      <w14:ligatures w14:val="none"/>
    </w:rPr>
  </w:style>
  <w:style w:type="paragraph" w:styleId="Titre1">
    <w:name w:val="heading 1"/>
    <w:basedOn w:val="Normal"/>
    <w:next w:val="Normal"/>
    <w:link w:val="Titre1Car"/>
    <w:uiPriority w:val="9"/>
    <w:qFormat/>
    <w:rsid w:val="001D5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5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5F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5F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5F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5FF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5FF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5FF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5FF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5F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5F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5F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5F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5F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5F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5F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5F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5FF2"/>
    <w:rPr>
      <w:rFonts w:eastAsiaTheme="majorEastAsia" w:cstheme="majorBidi"/>
      <w:color w:val="272727" w:themeColor="text1" w:themeTint="D8"/>
    </w:rPr>
  </w:style>
  <w:style w:type="paragraph" w:styleId="Titre">
    <w:name w:val="Title"/>
    <w:basedOn w:val="Normal"/>
    <w:next w:val="Normal"/>
    <w:link w:val="TitreCar"/>
    <w:uiPriority w:val="10"/>
    <w:qFormat/>
    <w:rsid w:val="001D5FF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5F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5F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5F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5FF2"/>
    <w:pPr>
      <w:spacing w:before="160"/>
      <w:jc w:val="center"/>
    </w:pPr>
    <w:rPr>
      <w:i/>
      <w:iCs/>
      <w:color w:val="404040" w:themeColor="text1" w:themeTint="BF"/>
    </w:rPr>
  </w:style>
  <w:style w:type="character" w:customStyle="1" w:styleId="CitationCar">
    <w:name w:val="Citation Car"/>
    <w:basedOn w:val="Policepardfaut"/>
    <w:link w:val="Citation"/>
    <w:uiPriority w:val="29"/>
    <w:rsid w:val="001D5FF2"/>
    <w:rPr>
      <w:i/>
      <w:iCs/>
      <w:color w:val="404040" w:themeColor="text1" w:themeTint="BF"/>
    </w:rPr>
  </w:style>
  <w:style w:type="paragraph" w:styleId="Paragraphedeliste">
    <w:name w:val="List Paragraph"/>
    <w:basedOn w:val="Normal"/>
    <w:uiPriority w:val="34"/>
    <w:qFormat/>
    <w:rsid w:val="001D5FF2"/>
    <w:pPr>
      <w:ind w:left="720"/>
      <w:contextualSpacing/>
    </w:pPr>
  </w:style>
  <w:style w:type="character" w:styleId="Accentuationintense">
    <w:name w:val="Intense Emphasis"/>
    <w:basedOn w:val="Policepardfaut"/>
    <w:uiPriority w:val="21"/>
    <w:qFormat/>
    <w:rsid w:val="001D5FF2"/>
    <w:rPr>
      <w:i/>
      <w:iCs/>
      <w:color w:val="0F4761" w:themeColor="accent1" w:themeShade="BF"/>
    </w:rPr>
  </w:style>
  <w:style w:type="paragraph" w:styleId="Citationintense">
    <w:name w:val="Intense Quote"/>
    <w:basedOn w:val="Normal"/>
    <w:next w:val="Normal"/>
    <w:link w:val="CitationintenseCar"/>
    <w:uiPriority w:val="30"/>
    <w:qFormat/>
    <w:rsid w:val="001D5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5FF2"/>
    <w:rPr>
      <w:i/>
      <w:iCs/>
      <w:color w:val="0F4761" w:themeColor="accent1" w:themeShade="BF"/>
    </w:rPr>
  </w:style>
  <w:style w:type="character" w:styleId="Rfrenceintense">
    <w:name w:val="Intense Reference"/>
    <w:basedOn w:val="Policepardfaut"/>
    <w:uiPriority w:val="32"/>
    <w:qFormat/>
    <w:rsid w:val="001D5FF2"/>
    <w:rPr>
      <w:b/>
      <w:bCs/>
      <w:smallCaps/>
      <w:color w:val="0F4761" w:themeColor="accent1" w:themeShade="BF"/>
      <w:spacing w:val="5"/>
    </w:rPr>
  </w:style>
  <w:style w:type="paragraph" w:styleId="En-tte">
    <w:name w:val="header"/>
    <w:basedOn w:val="Normal"/>
    <w:link w:val="En-tteCar"/>
    <w:rsid w:val="001D5FF2"/>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1D5FF2"/>
    <w:rPr>
      <w:rFonts w:ascii="Times New Roman" w:eastAsia="SimSun" w:hAnsi="Times New Roman" w:cs="Times New Roman"/>
      <w:kern w:val="0"/>
      <w:sz w:val="20"/>
      <w:szCs w:val="22"/>
      <w:lang w:val="en-GB" w:eastAsia="en-US"/>
      <w14:ligatures w14:val="none"/>
    </w:rPr>
  </w:style>
  <w:style w:type="character" w:styleId="Appelnotedebasdep">
    <w:name w:val="footnote reference"/>
    <w:basedOn w:val="Policepardfaut"/>
    <w:uiPriority w:val="99"/>
    <w:semiHidden/>
    <w:unhideWhenUsed/>
    <w:rsid w:val="001D5FF2"/>
    <w:rPr>
      <w:vertAlign w:val="superscript"/>
      <w:lang w:val="en-GB"/>
    </w:rPr>
  </w:style>
  <w:style w:type="paragraph" w:styleId="Notedebasdepage">
    <w:name w:val="footnote text"/>
    <w:basedOn w:val="Normal"/>
    <w:link w:val="NotedebasdepageCar"/>
    <w:uiPriority w:val="99"/>
    <w:semiHidden/>
    <w:unhideWhenUsed/>
    <w:rsid w:val="001D5FF2"/>
    <w:pPr>
      <w:jc w:val="left"/>
    </w:pPr>
    <w:rPr>
      <w:sz w:val="18"/>
      <w:szCs w:val="20"/>
    </w:rPr>
  </w:style>
  <w:style w:type="character" w:customStyle="1" w:styleId="NotedebasdepageCar">
    <w:name w:val="Note de bas de page Car"/>
    <w:basedOn w:val="Policepardfaut"/>
    <w:link w:val="Notedebasdepage"/>
    <w:uiPriority w:val="99"/>
    <w:semiHidden/>
    <w:rsid w:val="001D5FF2"/>
    <w:rPr>
      <w:rFonts w:ascii="Times New Roman" w:eastAsia="SimSun" w:hAnsi="Times New Roman" w:cs="Times New Roman"/>
      <w:kern w:val="0"/>
      <w:sz w:val="18"/>
      <w:szCs w:val="20"/>
      <w:lang w:val="en-GB" w:eastAsia="en-US"/>
      <w14:ligatures w14:val="none"/>
    </w:rPr>
  </w:style>
  <w:style w:type="character" w:styleId="Lienhypertexte">
    <w:name w:val="Hyperlink"/>
    <w:basedOn w:val="Policepardfaut"/>
    <w:uiPriority w:val="99"/>
    <w:unhideWhenUsed/>
    <w:rsid w:val="001D5FF2"/>
    <w:rPr>
      <w:rFonts w:ascii="Times New Roman" w:hAnsi="Times New Roman"/>
      <w:color w:val="467886" w:themeColor="hyperlink"/>
      <w:u w:val="single"/>
      <w:lang w:val="en-GB"/>
    </w:rPr>
  </w:style>
  <w:style w:type="paragraph" w:customStyle="1" w:styleId="CBDNormalNoNumber">
    <w:name w:val="CBD_Normal_NoNumber"/>
    <w:basedOn w:val="CBDNormal"/>
    <w:qFormat/>
    <w:rsid w:val="001D5FF2"/>
    <w:pPr>
      <w:spacing w:after="120"/>
      <w:ind w:left="567"/>
    </w:pPr>
  </w:style>
  <w:style w:type="paragraph" w:customStyle="1" w:styleId="ABSymbol">
    <w:name w:val="AB_Symbol"/>
    <w:basedOn w:val="Normal"/>
    <w:qFormat/>
    <w:rsid w:val="001D5FF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1D5FF2"/>
    <w:pPr>
      <w:numPr>
        <w:numId w:val="2"/>
      </w:numPr>
      <w:tabs>
        <w:tab w:val="left" w:pos="3969"/>
      </w:tabs>
      <w:spacing w:before="120" w:after="120"/>
    </w:pPr>
  </w:style>
  <w:style w:type="paragraph" w:customStyle="1" w:styleId="AFCorNNormal">
    <w:name w:val="AF_CorNNormal"/>
    <w:basedOn w:val="Normal"/>
    <w:unhideWhenUsed/>
    <w:rsid w:val="001D5FF2"/>
    <w:pPr>
      <w:jc w:val="left"/>
    </w:pPr>
  </w:style>
  <w:style w:type="paragraph" w:customStyle="1" w:styleId="AEDistrNormal">
    <w:name w:val="AE_DistrNormal"/>
    <w:basedOn w:val="Normal"/>
    <w:unhideWhenUsed/>
    <w:rsid w:val="001D5FF2"/>
    <w:pPr>
      <w:jc w:val="left"/>
    </w:pPr>
  </w:style>
  <w:style w:type="paragraph" w:customStyle="1" w:styleId="AASmallLogo">
    <w:name w:val="AA_SmallLogo"/>
    <w:basedOn w:val="AEDistrNormal"/>
    <w:unhideWhenUsed/>
    <w:rsid w:val="001D5FF2"/>
    <w:pPr>
      <w:spacing w:before="40"/>
    </w:pPr>
    <w:rPr>
      <w:sz w:val="4"/>
    </w:rPr>
  </w:style>
  <w:style w:type="paragraph" w:customStyle="1" w:styleId="ACLargeLogo">
    <w:name w:val="AC_LargeLogo"/>
    <w:basedOn w:val="AFCorNNormal"/>
    <w:next w:val="AISpacer"/>
    <w:unhideWhenUsed/>
    <w:rsid w:val="001D5FF2"/>
    <w:pPr>
      <w:spacing w:before="120"/>
      <w:contextualSpacing/>
    </w:pPr>
    <w:rPr>
      <w:sz w:val="8"/>
    </w:rPr>
  </w:style>
  <w:style w:type="paragraph" w:customStyle="1" w:styleId="CBDNormal">
    <w:name w:val="CBD_Normal"/>
    <w:unhideWhenUsed/>
    <w:qFormat/>
    <w:rsid w:val="001D5FF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eastAsia="en-US"/>
      <w14:ligatures w14:val="none"/>
    </w:rPr>
  </w:style>
  <w:style w:type="numbering" w:customStyle="1" w:styleId="ListCBD">
    <w:name w:val="ListCBD"/>
    <w:basedOn w:val="Aucuneliste"/>
    <w:uiPriority w:val="99"/>
    <w:rsid w:val="001D5FF2"/>
    <w:pPr>
      <w:numPr>
        <w:numId w:val="1"/>
      </w:numPr>
    </w:pPr>
  </w:style>
  <w:style w:type="paragraph" w:customStyle="1" w:styleId="AISpacer">
    <w:name w:val="AI_Spacer"/>
    <w:next w:val="Normal"/>
    <w:unhideWhenUsed/>
    <w:qFormat/>
    <w:rsid w:val="001D5FF2"/>
    <w:pPr>
      <w:spacing w:after="0" w:line="240" w:lineRule="auto"/>
    </w:pPr>
    <w:rPr>
      <w:rFonts w:ascii="Times New Roman" w:eastAsia="SimSun" w:hAnsi="Times New Roman" w:cs="Times New Roman"/>
      <w:kern w:val="0"/>
      <w:sz w:val="2"/>
      <w:szCs w:val="22"/>
      <w:lang w:val="en-GB" w:eastAsia="en-US"/>
      <w14:ligatures w14:val="none"/>
    </w:rPr>
  </w:style>
  <w:style w:type="paragraph" w:customStyle="1" w:styleId="AEDistrNormal6pt">
    <w:name w:val="AE_DistrNormal6pt"/>
    <w:basedOn w:val="AEDistrNormal"/>
    <w:next w:val="AFCorNNormal"/>
    <w:unhideWhenUsed/>
    <w:qFormat/>
    <w:rsid w:val="001D5FF2"/>
    <w:pPr>
      <w:spacing w:before="120"/>
    </w:pPr>
  </w:style>
  <w:style w:type="paragraph" w:customStyle="1" w:styleId="AFCorNBold">
    <w:name w:val="AF_CorNBold"/>
    <w:basedOn w:val="AFCorNNormal"/>
    <w:next w:val="AFCorNNormal"/>
    <w:unhideWhenUsed/>
    <w:qFormat/>
    <w:rsid w:val="001D5FF2"/>
    <w:rPr>
      <w:b/>
    </w:rPr>
  </w:style>
  <w:style w:type="paragraph" w:customStyle="1" w:styleId="AFCorN12Bold">
    <w:name w:val="AF_CorN12Bold"/>
    <w:basedOn w:val="AFCorNNormal"/>
    <w:next w:val="AFCorNNormal"/>
    <w:unhideWhenUsed/>
    <w:qFormat/>
    <w:rsid w:val="001D5FF2"/>
    <w:rPr>
      <w:b/>
      <w:sz w:val="24"/>
    </w:rPr>
  </w:style>
  <w:style w:type="paragraph" w:customStyle="1" w:styleId="CBDDesicionText">
    <w:name w:val="CBD_DesicionText"/>
    <w:basedOn w:val="CBDNormal"/>
    <w:qFormat/>
    <w:rsid w:val="001D5FF2"/>
    <w:pPr>
      <w:spacing w:after="120"/>
      <w:ind w:left="567" w:firstLine="567"/>
    </w:pPr>
  </w:style>
  <w:style w:type="paragraph" w:customStyle="1" w:styleId="CBDDesicionAnnex">
    <w:name w:val="CBD_DesicionAnnex"/>
    <w:basedOn w:val="CBDNormal"/>
    <w:next w:val="CBDDesicionText"/>
    <w:qFormat/>
    <w:rsid w:val="001D5FF2"/>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Title">
    <w:name w:val="CBD_Title"/>
    <w:basedOn w:val="CBDNormal"/>
    <w:next w:val="Normal"/>
    <w:qFormat/>
    <w:rsid w:val="001D5FF2"/>
    <w:pPr>
      <w:keepNext/>
      <w:keepLines/>
      <w:spacing w:before="240" w:after="240"/>
      <w:ind w:left="567"/>
      <w:jc w:val="left"/>
    </w:pPr>
    <w:rPr>
      <w:b/>
      <w:sz w:val="28"/>
    </w:rPr>
  </w:style>
  <w:style w:type="paragraph" w:customStyle="1" w:styleId="CBDH2">
    <w:name w:val="CBD_H2"/>
    <w:basedOn w:val="CBDNormalNumber"/>
    <w:qFormat/>
    <w:rsid w:val="001D5FF2"/>
    <w:pPr>
      <w:keepNext/>
      <w:keepLines/>
      <w:numPr>
        <w:numId w:val="0"/>
      </w:numPr>
      <w:ind w:left="567" w:hanging="567"/>
    </w:pPr>
    <w:rPr>
      <w:b/>
      <w:sz w:val="24"/>
    </w:rPr>
  </w:style>
  <w:style w:type="paragraph" w:customStyle="1" w:styleId="CBDFooter">
    <w:name w:val="CBD_Footer"/>
    <w:basedOn w:val="CBDNormal"/>
    <w:qFormat/>
    <w:rsid w:val="001D5FF2"/>
    <w:rPr>
      <w:sz w:val="20"/>
    </w:rPr>
  </w:style>
  <w:style w:type="paragraph" w:customStyle="1" w:styleId="CBDH3">
    <w:name w:val="CBD_H3"/>
    <w:basedOn w:val="CBDNormal"/>
    <w:qFormat/>
    <w:rsid w:val="001D5FF2"/>
    <w:pPr>
      <w:keepNext/>
      <w:keepLines/>
      <w:spacing w:before="120" w:after="120"/>
      <w:ind w:left="567" w:hanging="567"/>
      <w:jc w:val="left"/>
    </w:pPr>
    <w:rPr>
      <w:b/>
    </w:rPr>
  </w:style>
  <w:style w:type="character" w:styleId="Textedelespacerserv">
    <w:name w:val="Placeholder Text"/>
    <w:basedOn w:val="Policepardfaut"/>
    <w:uiPriority w:val="99"/>
    <w:semiHidden/>
    <w:rsid w:val="001D5FF2"/>
    <w:rPr>
      <w:color w:val="808080"/>
    </w:rPr>
  </w:style>
  <w:style w:type="paragraph" w:styleId="Pieddepage">
    <w:name w:val="footer"/>
    <w:basedOn w:val="Normal"/>
    <w:link w:val="PieddepageCar"/>
    <w:uiPriority w:val="99"/>
    <w:unhideWhenUsed/>
    <w:rsid w:val="00C41957"/>
    <w:pPr>
      <w:tabs>
        <w:tab w:val="clear" w:pos="567"/>
        <w:tab w:val="clear" w:pos="1134"/>
        <w:tab w:val="clear" w:pos="1701"/>
        <w:tab w:val="clear" w:pos="2268"/>
        <w:tab w:val="center" w:pos="4536"/>
        <w:tab w:val="right" w:pos="9072"/>
      </w:tabs>
    </w:pPr>
  </w:style>
  <w:style w:type="character" w:customStyle="1" w:styleId="PieddepageCar">
    <w:name w:val="Pied de page Car"/>
    <w:basedOn w:val="Policepardfaut"/>
    <w:link w:val="Pieddepage"/>
    <w:uiPriority w:val="99"/>
    <w:rsid w:val="00C41957"/>
    <w:rPr>
      <w:rFonts w:ascii="Times New Roman" w:eastAsia="SimSun" w:hAnsi="Times New Roman" w:cs="Times New Roman"/>
      <w:kern w:val="0"/>
      <w:sz w:val="22"/>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uments/CBD/SBI/6/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bd.int/decisions/np-mop/?m=np-mop-05"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B8822F3CF308419A69D908333635A1"/>
        <w:category>
          <w:name w:val="Général"/>
          <w:gallery w:val="placeholder"/>
        </w:category>
        <w:types>
          <w:type w:val="bbPlcHdr"/>
        </w:types>
        <w:behaviors>
          <w:behavior w:val="content"/>
        </w:behaviors>
        <w:guid w:val="{C7AB54D3-AD7B-9344-B954-1629C3DCEDBA}"/>
      </w:docPartPr>
      <w:docPartBody>
        <w:p w:rsidR="00BB70D1" w:rsidRDefault="00840DC8" w:rsidP="00840DC8">
          <w:pPr>
            <w:pStyle w:val="62B8822F3CF308419A69D908333635A1"/>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C8"/>
    <w:rsid w:val="0035383F"/>
    <w:rsid w:val="003D2500"/>
    <w:rsid w:val="0072592E"/>
    <w:rsid w:val="00840DC8"/>
    <w:rsid w:val="00BB70D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0DC8"/>
    <w:rPr>
      <w:color w:val="808080"/>
    </w:rPr>
  </w:style>
  <w:style w:type="paragraph" w:customStyle="1" w:styleId="62B8822F3CF308419A69D908333635A1">
    <w:name w:val="62B8822F3CF308419A69D908333635A1"/>
    <w:rsid w:val="00840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B22AF-AED0-4C35-9935-08E827473A5D}"/>
</file>

<file path=customXml/itemProps2.xml><?xml version="1.0" encoding="utf-8"?>
<ds:datastoreItem xmlns:ds="http://schemas.openxmlformats.org/officeDocument/2006/customXml" ds:itemID="{E15058DB-B9AA-4492-87BB-5F1C82B5683D}"/>
</file>

<file path=customXml/itemProps3.xml><?xml version="1.0" encoding="utf-8"?>
<ds:datastoreItem xmlns:ds="http://schemas.openxmlformats.org/officeDocument/2006/customXml" ds:itemID="{DC42D0F4-7AE5-4DA7-9F7A-D3986BBC8181}"/>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9073</Characters>
  <Application>Microsoft Office Word</Application>
  <DocSecurity>0</DocSecurity>
  <Lines>181</Lines>
  <Paragraphs>98</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 le 19 février 2026</dc:title>
  <dc:subject>CBD/SBI/REC/6/7</dc:subject>
  <dc:creator>Reviewer</dc:creator>
  <cp:keywords/>
  <dc:description/>
  <cp:lastModifiedBy>Reviewer</cp:lastModifiedBy>
  <cp:revision>4</cp:revision>
  <dcterms:created xsi:type="dcterms:W3CDTF">2026-03-13T11:32:00Z</dcterms:created>
  <dcterms:modified xsi:type="dcterms:W3CDTF">2026-03-13T11:36:00Z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ies>
</file>