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91730" w:rsidRPr="00D91730" w14:paraId="700CFB8E" w14:textId="77777777" w:rsidTr="008A1499">
        <w:trPr>
          <w:trHeight w:val="850"/>
        </w:trPr>
        <w:tc>
          <w:tcPr>
            <w:tcW w:w="975" w:type="dxa"/>
            <w:vAlign w:val="bottom"/>
          </w:tcPr>
          <w:p w14:paraId="25B8A47D" w14:textId="296E8767" w:rsidR="008A1499" w:rsidRPr="00D91730" w:rsidRDefault="00F37F8A" w:rsidP="008A1499">
            <w:pPr>
              <w:pStyle w:val="AASmallLogo"/>
            </w:pPr>
            <w:r w:rsidRPr="00D91730">
              <w:t xml:space="preserve"> </w:t>
            </w:r>
            <w:r w:rsidR="00CC3C58" w:rsidRPr="00903007">
              <w:rPr>
                <w:noProof/>
              </w:rPr>
              <w:drawing>
                <wp:inline distT="0" distB="0" distL="0" distR="0" wp14:anchorId="31D35391" wp14:editId="07AA4039">
                  <wp:extent cx="476250" cy="400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8A1499" w:rsidRPr="00D91730">
              <w:t xml:space="preserve"> </w:t>
            </w:r>
          </w:p>
          <w:p w14:paraId="378B0715" w14:textId="77777777" w:rsidR="008A1499" w:rsidRPr="00D91730" w:rsidRDefault="008A1499" w:rsidP="008A1499">
            <w:pPr>
              <w:pStyle w:val="AASmallLogo"/>
            </w:pPr>
          </w:p>
        </w:tc>
        <w:tc>
          <w:tcPr>
            <w:tcW w:w="1434" w:type="dxa"/>
            <w:noWrap/>
            <w:vAlign w:val="bottom"/>
          </w:tcPr>
          <w:p w14:paraId="4BCB518D" w14:textId="59684FE1" w:rsidR="00F044D4" w:rsidRPr="00D91730" w:rsidRDefault="00CC3C58" w:rsidP="00F044D4">
            <w:pPr>
              <w:spacing w:before="60"/>
              <w:rPr>
                <w:rFonts w:eastAsia="SimHei"/>
                <w:sz w:val="20"/>
                <w:szCs w:val="20"/>
                <w:lang w:eastAsia="zh-CN"/>
              </w:rPr>
            </w:pPr>
            <w:r>
              <w:rPr>
                <w:noProof/>
              </w:rPr>
              <w:drawing>
                <wp:anchor distT="0" distB="0" distL="114300" distR="114300" simplePos="0" relativeHeight="251659264" behindDoc="0" locked="0" layoutInCell="1" allowOverlap="1" wp14:anchorId="75968B86" wp14:editId="5CF5B687">
                  <wp:simplePos x="0" y="0"/>
                  <wp:positionH relativeFrom="column">
                    <wp:posOffset>407035</wp:posOffset>
                  </wp:positionH>
                  <wp:positionV relativeFrom="paragraph">
                    <wp:posOffset>22225</wp:posOffset>
                  </wp:positionV>
                  <wp:extent cx="180975" cy="191770"/>
                  <wp:effectExtent l="0" t="0" r="0" b="0"/>
                  <wp:wrapNone/>
                  <wp:docPr id="46312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044D4" w:rsidRPr="00D91730">
              <w:rPr>
                <w:rFonts w:eastAsia="SimHei" w:hint="eastAsia"/>
                <w:sz w:val="20"/>
                <w:szCs w:val="20"/>
                <w:lang w:eastAsia="zh-CN"/>
              </w:rPr>
              <w:t>联合国</w:t>
            </w:r>
          </w:p>
          <w:p w14:paraId="6B9B88E4" w14:textId="520459C0" w:rsidR="008A1499" w:rsidRPr="00D91730" w:rsidRDefault="00F044D4" w:rsidP="00F044D4">
            <w:pPr>
              <w:pStyle w:val="AASmallLogo"/>
            </w:pPr>
            <w:r w:rsidRPr="00D91730">
              <w:rPr>
                <w:rFonts w:eastAsia="SimHei" w:hint="eastAsia"/>
                <w:sz w:val="20"/>
                <w:szCs w:val="20"/>
                <w:lang w:eastAsia="zh-CN"/>
              </w:rPr>
              <w:t>环境规划署</w:t>
            </w:r>
          </w:p>
          <w:p w14:paraId="48DF91FB" w14:textId="77777777" w:rsidR="008A1499" w:rsidRPr="00D91730" w:rsidRDefault="008A1499" w:rsidP="008A1499">
            <w:pPr>
              <w:pStyle w:val="AASmallLogo"/>
            </w:pPr>
          </w:p>
        </w:tc>
        <w:tc>
          <w:tcPr>
            <w:tcW w:w="8073" w:type="dxa"/>
            <w:vAlign w:val="bottom"/>
          </w:tcPr>
          <w:p w14:paraId="43F02D77" w14:textId="10A23F7F" w:rsidR="008A1499" w:rsidRPr="00D91730" w:rsidRDefault="00D10DB5" w:rsidP="00B12247">
            <w:pPr>
              <w:pStyle w:val="ABSymbol"/>
              <w:rPr>
                <w:rFonts w:hint="eastAsia"/>
                <w:lang w:eastAsia="zh-CN"/>
              </w:rPr>
            </w:pPr>
            <w:r w:rsidRPr="00D91730">
              <w:rPr>
                <w:sz w:val="40"/>
              </w:rPr>
              <w:t>CBD</w:t>
            </w:r>
            <w:r w:rsidRPr="00D91730">
              <w:t>/SBI/</w:t>
            </w:r>
            <w:r w:rsidR="008D23E0">
              <w:rPr>
                <w:rFonts w:hint="eastAsia"/>
                <w:lang w:eastAsia="zh-CN"/>
              </w:rPr>
              <w:t>REC/</w:t>
            </w:r>
            <w:r w:rsidRPr="00D91730">
              <w:t>7/</w:t>
            </w:r>
            <w:r w:rsidR="008D23E0">
              <w:rPr>
                <w:rFonts w:hint="eastAsia"/>
                <w:lang w:eastAsia="zh-CN"/>
              </w:rPr>
              <w:t>10</w:t>
            </w:r>
          </w:p>
        </w:tc>
      </w:tr>
    </w:tbl>
    <w:p w14:paraId="3D1B61CF" w14:textId="77777777" w:rsidR="008A1499" w:rsidRPr="00D9173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91730" w:rsidRPr="00D91730" w14:paraId="77C8F6BD" w14:textId="77777777" w:rsidTr="008A1499">
        <w:trPr>
          <w:trHeight w:val="1814"/>
        </w:trPr>
        <w:tc>
          <w:tcPr>
            <w:tcW w:w="7370" w:type="dxa"/>
          </w:tcPr>
          <w:p w14:paraId="5E841957" w14:textId="5D094E4C" w:rsidR="008A1499" w:rsidRPr="00D91730" w:rsidRDefault="00CC3C58" w:rsidP="008A1499">
            <w:pPr>
              <w:pStyle w:val="ACLargeLogo"/>
            </w:pPr>
            <w:r w:rsidRPr="000B5431">
              <w:rPr>
                <w:b/>
                <w:noProof/>
                <w:lang w:val="en-US" w:eastAsia="zh-CN"/>
              </w:rPr>
              <w:drawing>
                <wp:inline distT="0" distB="0" distL="0" distR="0" wp14:anchorId="27DEB1A5" wp14:editId="64F318BF">
                  <wp:extent cx="28829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r w:rsidR="008A1499" w:rsidRPr="00D91730">
              <w:t xml:space="preserve"> </w:t>
            </w:r>
          </w:p>
          <w:p w14:paraId="0CCD01F7" w14:textId="77777777" w:rsidR="008A1499" w:rsidRPr="00D91730" w:rsidRDefault="008A1499" w:rsidP="008A1499">
            <w:pPr>
              <w:pStyle w:val="ACLargeLogo"/>
            </w:pPr>
          </w:p>
        </w:tc>
        <w:tc>
          <w:tcPr>
            <w:tcW w:w="3112" w:type="dxa"/>
          </w:tcPr>
          <w:p w14:paraId="2FD10EAA" w14:textId="4FE2F0BC" w:rsidR="008A1499" w:rsidRPr="00D91730" w:rsidRDefault="008A1499" w:rsidP="008A1499">
            <w:pPr>
              <w:pStyle w:val="AEDistrNormal"/>
              <w:rPr>
                <w:rFonts w:hint="eastAsia"/>
              </w:rPr>
            </w:pPr>
            <w:r w:rsidRPr="00D91730">
              <w:t xml:space="preserve">Distr.: </w:t>
            </w:r>
            <w:r w:rsidR="008D23E0">
              <w:rPr>
                <w:rFonts w:hint="eastAsia"/>
                <w:lang w:eastAsia="zh-CN"/>
              </w:rPr>
              <w:t>General</w:t>
            </w:r>
          </w:p>
          <w:p w14:paraId="022C5080" w14:textId="673E0BBA" w:rsidR="008A1499" w:rsidRPr="00D91730" w:rsidRDefault="00EA3AC8" w:rsidP="008A1499">
            <w:pPr>
              <w:pStyle w:val="AEDistrNormal"/>
            </w:pPr>
            <w:r>
              <w:rPr>
                <w:rFonts w:hint="eastAsia"/>
                <w:lang w:eastAsia="zh-CN"/>
              </w:rPr>
              <w:t>1</w:t>
            </w:r>
            <w:r w:rsidR="008D23E0">
              <w:rPr>
                <w:rFonts w:hint="eastAsia"/>
                <w:lang w:eastAsia="zh-CN"/>
              </w:rPr>
              <w:t>2</w:t>
            </w:r>
            <w:r w:rsidR="00D10DB5" w:rsidRPr="00D91730">
              <w:t xml:space="preserve"> August </w:t>
            </w:r>
            <w:r w:rsidR="00817CAF" w:rsidRPr="00D91730">
              <w:t>2026</w:t>
            </w:r>
          </w:p>
          <w:p w14:paraId="20A62A8B" w14:textId="05537508" w:rsidR="000A21B4" w:rsidRPr="00D91730" w:rsidRDefault="000A21B4" w:rsidP="006C07C7">
            <w:pPr>
              <w:pStyle w:val="AEDistrNormal"/>
            </w:pPr>
            <w:r w:rsidRPr="00D91730">
              <w:t>Chinese</w:t>
            </w:r>
          </w:p>
          <w:p w14:paraId="7918EF93" w14:textId="77777777" w:rsidR="008A1499" w:rsidRPr="00D91730" w:rsidRDefault="008A1499" w:rsidP="006C07C7">
            <w:pPr>
              <w:pStyle w:val="AEDistrNormal"/>
            </w:pPr>
            <w:r w:rsidRPr="00D91730">
              <w:t xml:space="preserve">Original: English </w:t>
            </w:r>
          </w:p>
          <w:p w14:paraId="4CABD9A2" w14:textId="77777777" w:rsidR="008A1499" w:rsidRPr="00D91730" w:rsidRDefault="008A1499" w:rsidP="008A1499">
            <w:pPr>
              <w:pStyle w:val="AEDistrNormal6pt"/>
            </w:pPr>
          </w:p>
        </w:tc>
      </w:tr>
    </w:tbl>
    <w:p w14:paraId="73AE9729" w14:textId="77777777" w:rsidR="008A1499" w:rsidRPr="00D91730" w:rsidRDefault="008A1499" w:rsidP="008A1499">
      <w:pPr>
        <w:pStyle w:val="AISpacer"/>
      </w:pPr>
    </w:p>
    <w:tbl>
      <w:tblPr>
        <w:tblW w:w="10469" w:type="dxa"/>
        <w:tblInd w:w="-270" w:type="dxa"/>
        <w:tblLayout w:type="fixed"/>
        <w:tblCellMar>
          <w:left w:w="283" w:type="dxa"/>
        </w:tblCellMar>
        <w:tblLook w:val="0000" w:firstRow="0" w:lastRow="0" w:firstColumn="0" w:lastColumn="0" w:noHBand="0" w:noVBand="0"/>
      </w:tblPr>
      <w:tblGrid>
        <w:gridCol w:w="6081"/>
        <w:gridCol w:w="4388"/>
      </w:tblGrid>
      <w:tr w:rsidR="00D91730" w:rsidRPr="00D91730" w14:paraId="49BE74D1" w14:textId="77777777" w:rsidTr="001838D7">
        <w:trPr>
          <w:trHeight w:val="57"/>
        </w:trPr>
        <w:tc>
          <w:tcPr>
            <w:tcW w:w="6081" w:type="dxa"/>
          </w:tcPr>
          <w:p w14:paraId="0BE9EC52" w14:textId="7FEA365E" w:rsidR="008A1499" w:rsidRPr="00D91730" w:rsidRDefault="00E35BDF" w:rsidP="008A1499">
            <w:pPr>
              <w:pStyle w:val="AFCorN12Bold"/>
              <w:rPr>
                <w:lang w:eastAsia="zh-CN"/>
              </w:rPr>
            </w:pPr>
            <w:r w:rsidRPr="00D91730">
              <w:rPr>
                <w:rFonts w:hint="eastAsia"/>
                <w:lang w:eastAsia="zh-CN"/>
              </w:rPr>
              <w:t>执行问题附属机构</w:t>
            </w:r>
            <w:r w:rsidR="008A1499" w:rsidRPr="00D91730">
              <w:rPr>
                <w:lang w:eastAsia="zh-CN"/>
              </w:rPr>
              <w:t xml:space="preserve"> </w:t>
            </w:r>
          </w:p>
          <w:p w14:paraId="281BB2F9" w14:textId="13D108D9" w:rsidR="008A1499" w:rsidRPr="00D91730" w:rsidRDefault="00265B25" w:rsidP="008A1499">
            <w:pPr>
              <w:pStyle w:val="AFCorNBold"/>
              <w:rPr>
                <w:lang w:eastAsia="zh-CN"/>
              </w:rPr>
            </w:pPr>
            <w:r w:rsidRPr="00D91730">
              <w:rPr>
                <w:rFonts w:hint="eastAsia"/>
                <w:lang w:eastAsia="zh-CN"/>
              </w:rPr>
              <w:t>第七次会议</w:t>
            </w:r>
            <w:r w:rsidR="008A1499" w:rsidRPr="00D91730">
              <w:rPr>
                <w:lang w:eastAsia="zh-CN"/>
              </w:rPr>
              <w:t xml:space="preserve"> </w:t>
            </w:r>
          </w:p>
          <w:p w14:paraId="065916FC" w14:textId="77777777" w:rsidR="00265B25" w:rsidRPr="00D91730" w:rsidRDefault="00265B25" w:rsidP="00265B25">
            <w:pPr>
              <w:spacing w:line="240" w:lineRule="atLeast"/>
              <w:rPr>
                <w:caps/>
                <w:snapToGrid w:val="0"/>
                <w:lang w:eastAsia="zh-CN"/>
              </w:rPr>
            </w:pPr>
            <w:r w:rsidRPr="00D91730">
              <w:rPr>
                <w:kern w:val="22"/>
                <w:lang w:eastAsia="zh-CN"/>
              </w:rPr>
              <w:t>2026</w:t>
            </w:r>
            <w:r w:rsidRPr="00D91730">
              <w:rPr>
                <w:kern w:val="22"/>
                <w:lang w:eastAsia="zh-CN"/>
              </w:rPr>
              <w:t>年</w:t>
            </w:r>
            <w:r w:rsidRPr="00D91730">
              <w:rPr>
                <w:kern w:val="22"/>
                <w:lang w:eastAsia="zh-CN"/>
              </w:rPr>
              <w:t>8</w:t>
            </w:r>
            <w:r w:rsidRPr="00D91730">
              <w:rPr>
                <w:kern w:val="22"/>
                <w:lang w:eastAsia="zh-CN"/>
              </w:rPr>
              <w:t>月</w:t>
            </w:r>
            <w:r w:rsidRPr="00D91730">
              <w:rPr>
                <w:kern w:val="22"/>
                <w:lang w:eastAsia="zh-CN"/>
              </w:rPr>
              <w:t>4</w:t>
            </w:r>
            <w:r w:rsidRPr="00D91730">
              <w:rPr>
                <w:kern w:val="22"/>
                <w:lang w:eastAsia="zh-CN"/>
              </w:rPr>
              <w:t>日至</w:t>
            </w:r>
            <w:r w:rsidRPr="00D91730">
              <w:rPr>
                <w:kern w:val="22"/>
                <w:lang w:eastAsia="zh-CN"/>
              </w:rPr>
              <w:t>12</w:t>
            </w:r>
            <w:r w:rsidRPr="00D91730">
              <w:rPr>
                <w:kern w:val="22"/>
                <w:lang w:eastAsia="zh-CN"/>
              </w:rPr>
              <w:t>日，</w:t>
            </w:r>
            <w:r w:rsidRPr="00D91730">
              <w:rPr>
                <w:caps/>
                <w:snapToGrid w:val="0"/>
                <w:lang w:eastAsia="zh-CN"/>
              </w:rPr>
              <w:t>内罗毕</w:t>
            </w:r>
          </w:p>
          <w:p w14:paraId="2A017873" w14:textId="1D787A4F" w:rsidR="008A1499" w:rsidRPr="00D91730" w:rsidRDefault="00265B25" w:rsidP="008A1499">
            <w:pPr>
              <w:pStyle w:val="AFCorNNormal"/>
              <w:rPr>
                <w:lang w:eastAsia="zh-CN"/>
              </w:rPr>
            </w:pPr>
            <w:r w:rsidRPr="00D91730">
              <w:rPr>
                <w:rFonts w:hint="eastAsia"/>
                <w:kern w:val="22"/>
                <w:lang w:eastAsia="zh-CN"/>
              </w:rPr>
              <w:t>议程</w:t>
            </w:r>
            <w:r w:rsidRPr="00D91730">
              <w:rPr>
                <w:rFonts w:hint="eastAsia"/>
                <w:lang w:eastAsia="zh-CN"/>
              </w:rPr>
              <w:t>项目</w:t>
            </w:r>
            <w:r w:rsidRPr="00D91730">
              <w:rPr>
                <w:rFonts w:hint="eastAsia"/>
                <w:lang w:eastAsia="zh-CN"/>
              </w:rPr>
              <w:t>1</w:t>
            </w:r>
            <w:r w:rsidRPr="00D91730">
              <w:rPr>
                <w:lang w:eastAsia="zh-CN"/>
              </w:rPr>
              <w:t>1</w:t>
            </w:r>
          </w:p>
          <w:p w14:paraId="58E5B965" w14:textId="05732A4D" w:rsidR="0071239A" w:rsidRPr="00D91730" w:rsidRDefault="0071239A" w:rsidP="0071239A">
            <w:pPr>
              <w:spacing w:line="240" w:lineRule="atLeast"/>
              <w:rPr>
                <w:b/>
                <w:sz w:val="24"/>
                <w:lang w:eastAsia="zh-CN"/>
              </w:rPr>
            </w:pPr>
            <w:r w:rsidRPr="00D91730">
              <w:rPr>
                <w:b/>
                <w:sz w:val="24"/>
                <w:lang w:eastAsia="zh-CN"/>
              </w:rPr>
              <w:t>信息交换</w:t>
            </w:r>
            <w:r w:rsidRPr="00D91730">
              <w:rPr>
                <w:rFonts w:hint="eastAsia"/>
                <w:b/>
                <w:sz w:val="24"/>
                <w:lang w:eastAsia="zh-CN"/>
              </w:rPr>
              <w:t>所</w:t>
            </w:r>
            <w:r w:rsidRPr="00D91730">
              <w:rPr>
                <w:b/>
                <w:sz w:val="24"/>
                <w:lang w:eastAsia="zh-CN"/>
              </w:rPr>
              <w:t>机制</w:t>
            </w:r>
            <w:r w:rsidRPr="00D91730">
              <w:rPr>
                <w:rFonts w:hint="eastAsia"/>
                <w:b/>
                <w:sz w:val="24"/>
                <w:lang w:eastAsia="zh-CN"/>
              </w:rPr>
              <w:t>与</w:t>
            </w:r>
            <w:r w:rsidRPr="00D91730">
              <w:rPr>
                <w:b/>
                <w:sz w:val="24"/>
                <w:lang w:eastAsia="zh-CN"/>
              </w:rPr>
              <w:t>知识管理</w:t>
            </w:r>
          </w:p>
          <w:p w14:paraId="1576A8E6" w14:textId="479276D6" w:rsidR="008A1499" w:rsidRPr="00D91730" w:rsidRDefault="008A1499" w:rsidP="00CA510D">
            <w:pPr>
              <w:pStyle w:val="AFCorNBold"/>
              <w:rPr>
                <w:lang w:eastAsia="zh-CN"/>
              </w:rPr>
            </w:pPr>
          </w:p>
        </w:tc>
        <w:tc>
          <w:tcPr>
            <w:tcW w:w="4388" w:type="dxa"/>
          </w:tcPr>
          <w:p w14:paraId="043A4039" w14:textId="77777777" w:rsidR="008A1499" w:rsidRPr="00D91730" w:rsidRDefault="008A1499" w:rsidP="008A1499">
            <w:pPr>
              <w:pStyle w:val="CBDNormal"/>
              <w:jc w:val="left"/>
              <w:rPr>
                <w:lang w:eastAsia="zh-CN"/>
              </w:rPr>
            </w:pPr>
          </w:p>
        </w:tc>
      </w:tr>
    </w:tbl>
    <w:p w14:paraId="66C6D34E" w14:textId="30ECECEE" w:rsidR="00EE73E3" w:rsidRPr="00EE73E3" w:rsidRDefault="00EE73E3" w:rsidP="00D10DB5">
      <w:pPr>
        <w:pStyle w:val="CBDTitle"/>
        <w:tabs>
          <w:tab w:val="clear" w:pos="567"/>
          <w:tab w:val="clear" w:pos="1134"/>
          <w:tab w:val="clear" w:pos="1701"/>
          <w:tab w:val="clear" w:pos="2268"/>
          <w:tab w:val="clear" w:pos="2835"/>
          <w:tab w:val="clear" w:pos="3402"/>
        </w:tabs>
        <w:ind w:left="490"/>
        <w:rPr>
          <w:rFonts w:eastAsia="SimHei"/>
          <w:szCs w:val="28"/>
          <w:lang w:eastAsia="zh-CN"/>
        </w:rPr>
      </w:pPr>
      <w:r w:rsidRPr="00EE73E3">
        <w:rPr>
          <w:rFonts w:eastAsia="SimHei"/>
          <w:szCs w:val="28"/>
          <w:lang w:eastAsia="zh-CN"/>
        </w:rPr>
        <w:t>2026</w:t>
      </w:r>
      <w:r w:rsidRPr="00EE73E3">
        <w:rPr>
          <w:rFonts w:eastAsia="SimHei"/>
          <w:szCs w:val="28"/>
          <w:lang w:eastAsia="zh-CN"/>
        </w:rPr>
        <w:t>年</w:t>
      </w:r>
      <w:r w:rsidRPr="00EE73E3">
        <w:rPr>
          <w:rFonts w:eastAsia="SimHei"/>
          <w:szCs w:val="28"/>
          <w:lang w:eastAsia="zh-CN"/>
        </w:rPr>
        <w:t>8</w:t>
      </w:r>
      <w:r w:rsidRPr="00EE73E3">
        <w:rPr>
          <w:rFonts w:eastAsia="SimHei"/>
          <w:szCs w:val="28"/>
          <w:lang w:eastAsia="zh-CN"/>
        </w:rPr>
        <w:t>月</w:t>
      </w:r>
      <w:r w:rsidRPr="00EE73E3">
        <w:rPr>
          <w:rFonts w:eastAsia="SimHei"/>
          <w:szCs w:val="28"/>
          <w:lang w:eastAsia="zh-CN"/>
        </w:rPr>
        <w:t>12</w:t>
      </w:r>
      <w:r w:rsidRPr="00EE73E3">
        <w:rPr>
          <w:rFonts w:eastAsia="SimHei"/>
          <w:szCs w:val="28"/>
          <w:lang w:eastAsia="zh-CN"/>
        </w:rPr>
        <w:t>日执行问题附属机构通过的建议</w:t>
      </w:r>
    </w:p>
    <w:p w14:paraId="2A9452EA" w14:textId="68B4C526" w:rsidR="00C9161D" w:rsidRPr="00EE73E3" w:rsidRDefault="008D23E0" w:rsidP="00D10DB5">
      <w:pPr>
        <w:pStyle w:val="CBDTitle"/>
        <w:tabs>
          <w:tab w:val="clear" w:pos="567"/>
          <w:tab w:val="clear" w:pos="1134"/>
          <w:tab w:val="clear" w:pos="1701"/>
          <w:tab w:val="clear" w:pos="2268"/>
          <w:tab w:val="clear" w:pos="2835"/>
          <w:tab w:val="clear" w:pos="3402"/>
        </w:tabs>
        <w:ind w:left="490"/>
        <w:rPr>
          <w:sz w:val="24"/>
          <w:szCs w:val="24"/>
          <w:lang w:eastAsia="zh-CN"/>
        </w:rPr>
      </w:pPr>
      <w:r w:rsidRPr="00EE73E3">
        <w:rPr>
          <w:sz w:val="24"/>
          <w:szCs w:val="24"/>
          <w:lang w:eastAsia="zh-CN"/>
        </w:rPr>
        <w:t>7/10.</w:t>
      </w:r>
      <w:r w:rsidR="00EE73E3">
        <w:rPr>
          <w:rFonts w:hint="eastAsia"/>
          <w:sz w:val="24"/>
          <w:szCs w:val="24"/>
          <w:lang w:eastAsia="zh-CN"/>
        </w:rPr>
        <w:t xml:space="preserve"> </w:t>
      </w:r>
      <w:r w:rsidR="00D10DB5" w:rsidRPr="00EE73E3">
        <w:rPr>
          <w:sz w:val="24"/>
          <w:szCs w:val="24"/>
          <w:lang w:eastAsia="zh-CN"/>
        </w:rPr>
        <w:t>信息交换所机制与知识管理</w:t>
      </w:r>
    </w:p>
    <w:p w14:paraId="043F5FA9" w14:textId="2FDD0F2C" w:rsidR="00C15A1C" w:rsidRPr="00D91730" w:rsidRDefault="00CD42D4"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KaiTi" w:eastAsia="KaiTi" w:hAnsi="KaiTi" w:hint="eastAsia"/>
          <w:sz w:val="24"/>
          <w:szCs w:val="24"/>
          <w:lang w:eastAsia="zh-CN"/>
        </w:rPr>
        <w:t>执行问题附属机构</w:t>
      </w:r>
      <w:r w:rsidR="00D10DB5" w:rsidRPr="00D91730">
        <w:rPr>
          <w:rFonts w:hint="eastAsia"/>
          <w:sz w:val="24"/>
          <w:szCs w:val="24"/>
          <w:lang w:eastAsia="zh-CN"/>
        </w:rPr>
        <w:t>，</w:t>
      </w:r>
    </w:p>
    <w:p w14:paraId="7ABFDA14" w14:textId="31579976" w:rsidR="00D10DB5" w:rsidRPr="00D91730" w:rsidRDefault="00D10DB5" w:rsidP="00D10DB5">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D91730">
        <w:rPr>
          <w:rFonts w:ascii="KaiTi" w:eastAsia="KaiTi" w:hAnsi="KaiTi" w:hint="eastAsia"/>
          <w:sz w:val="24"/>
          <w:szCs w:val="24"/>
          <w:lang w:eastAsia="zh-CN"/>
        </w:rPr>
        <w:t>建议</w:t>
      </w:r>
      <w:r w:rsidRPr="00D91730">
        <w:rPr>
          <w:rFonts w:hint="eastAsia"/>
          <w:sz w:val="24"/>
          <w:szCs w:val="24"/>
          <w:lang w:eastAsia="zh-CN"/>
        </w:rPr>
        <w:t>缔约方大会第十七届会议通过一项内容大致如下的决定：</w:t>
      </w:r>
    </w:p>
    <w:p w14:paraId="7F61FD45" w14:textId="77777777" w:rsidR="0017169D" w:rsidRPr="00E40B4B" w:rsidRDefault="0017169D" w:rsidP="0017169D">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缔约方大会,</w:t>
      </w:r>
    </w:p>
    <w:p w14:paraId="6D3E2BF6" w14:textId="77777777" w:rsidR="0017169D" w:rsidRPr="00E40B4B" w:rsidRDefault="0017169D" w:rsidP="0017169D">
      <w:pPr>
        <w:pStyle w:val="CBDNormalNoNumber"/>
        <w:tabs>
          <w:tab w:val="clear" w:pos="567"/>
          <w:tab w:val="clear" w:pos="1134"/>
          <w:tab w:val="clear" w:pos="1701"/>
          <w:tab w:val="clear" w:pos="2268"/>
          <w:tab w:val="clear" w:pos="2835"/>
          <w:tab w:val="clear" w:pos="3402"/>
        </w:tabs>
        <w:ind w:left="979" w:firstLine="490"/>
        <w:rPr>
          <w:i/>
          <w:iCs/>
          <w:sz w:val="24"/>
          <w:szCs w:val="24"/>
          <w:lang w:eastAsia="zh-CN"/>
        </w:rPr>
      </w:pPr>
      <w:r w:rsidRPr="00E40B4B">
        <w:rPr>
          <w:rFonts w:ascii="KaiTi" w:eastAsia="KaiTi" w:hAnsi="KaiTi" w:cs="Microsoft YaHei" w:hint="eastAsia"/>
          <w:sz w:val="24"/>
          <w:szCs w:val="24"/>
          <w:lang w:eastAsia="zh-CN"/>
        </w:rPr>
        <w:t>回顾</w:t>
      </w:r>
      <w:r w:rsidRPr="00E40B4B">
        <w:rPr>
          <w:rFonts w:hint="eastAsia"/>
          <w:sz w:val="24"/>
          <w:szCs w:val="24"/>
          <w:lang w:eastAsia="zh-CN"/>
        </w:rPr>
        <w:t>其</w:t>
      </w:r>
      <w:r w:rsidRPr="00E40B4B">
        <w:rPr>
          <w:rFonts w:hint="eastAsia"/>
          <w:sz w:val="24"/>
          <w:szCs w:val="24"/>
          <w:lang w:eastAsia="zh-CN"/>
        </w:rPr>
        <w:t>2024</w:t>
      </w:r>
      <w:r w:rsidRPr="00E40B4B">
        <w:rPr>
          <w:rFonts w:hint="eastAsia"/>
          <w:sz w:val="24"/>
          <w:szCs w:val="24"/>
          <w:lang w:eastAsia="zh-CN"/>
        </w:rPr>
        <w:t>年</w:t>
      </w:r>
      <w:r w:rsidRPr="00E40B4B">
        <w:rPr>
          <w:rFonts w:hint="eastAsia"/>
          <w:sz w:val="24"/>
          <w:szCs w:val="24"/>
          <w:lang w:eastAsia="zh-CN"/>
        </w:rPr>
        <w:t>11</w:t>
      </w:r>
      <w:r w:rsidRPr="00E40B4B">
        <w:rPr>
          <w:rFonts w:hint="eastAsia"/>
          <w:sz w:val="24"/>
          <w:szCs w:val="24"/>
          <w:lang w:eastAsia="zh-CN"/>
        </w:rPr>
        <w:t>月</w:t>
      </w:r>
      <w:r w:rsidRPr="00E40B4B">
        <w:rPr>
          <w:rFonts w:hint="eastAsia"/>
          <w:sz w:val="24"/>
          <w:szCs w:val="24"/>
          <w:lang w:eastAsia="zh-CN"/>
        </w:rPr>
        <w:t>1</w:t>
      </w:r>
      <w:r w:rsidRPr="00E40B4B">
        <w:rPr>
          <w:rFonts w:hint="eastAsia"/>
          <w:sz w:val="24"/>
          <w:szCs w:val="24"/>
          <w:lang w:eastAsia="zh-CN"/>
        </w:rPr>
        <w:t>日第</w:t>
      </w:r>
      <w:hyperlink r:id="rId15" w:history="1">
        <w:r w:rsidRPr="00370C4D">
          <w:rPr>
            <w:rStyle w:val="Hyperlink"/>
            <w:sz w:val="24"/>
            <w:szCs w:val="24"/>
            <w:lang w:eastAsia="zh-CN"/>
          </w:rPr>
          <w:t>16/9A</w:t>
        </w:r>
        <w:r>
          <w:rPr>
            <w:rStyle w:val="Hyperlink"/>
            <w:rFonts w:hint="eastAsia"/>
            <w:sz w:val="24"/>
            <w:szCs w:val="24"/>
            <w:lang w:eastAsia="zh-CN"/>
          </w:rPr>
          <w:t>和</w:t>
        </w:r>
        <w:r w:rsidRPr="00370C4D">
          <w:rPr>
            <w:rStyle w:val="Hyperlink"/>
            <w:sz w:val="24"/>
            <w:szCs w:val="24"/>
            <w:lang w:eastAsia="zh-CN"/>
          </w:rPr>
          <w:t>B</w:t>
        </w:r>
      </w:hyperlink>
      <w:r w:rsidRPr="00E40B4B">
        <w:rPr>
          <w:rFonts w:hint="eastAsia"/>
          <w:sz w:val="24"/>
          <w:szCs w:val="24"/>
          <w:lang w:eastAsia="zh-CN"/>
        </w:rPr>
        <w:t>号决定</w:t>
      </w:r>
      <w:r>
        <w:rPr>
          <w:rFonts w:hint="eastAsia"/>
          <w:sz w:val="24"/>
          <w:szCs w:val="24"/>
          <w:lang w:eastAsia="zh-CN"/>
        </w:rPr>
        <w:t>，</w:t>
      </w:r>
    </w:p>
    <w:p w14:paraId="05296BCA" w14:textId="25ABB2C1" w:rsidR="0017169D" w:rsidRPr="00E40B4B"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赞赏地注意到</w:t>
      </w:r>
      <w:r w:rsidRPr="00E40B4B">
        <w:rPr>
          <w:rFonts w:hint="eastAsia"/>
          <w:sz w:val="24"/>
          <w:szCs w:val="24"/>
          <w:lang w:eastAsia="zh-CN"/>
        </w:rPr>
        <w:t>在执行</w:t>
      </w:r>
      <w:r w:rsidRPr="00E40B4B">
        <w:rPr>
          <w:rFonts w:hint="eastAsia"/>
          <w:sz w:val="24"/>
          <w:szCs w:val="24"/>
          <w:lang w:eastAsia="zh-CN"/>
        </w:rPr>
        <w:t>20</w:t>
      </w:r>
      <w:r w:rsidRPr="00E40B4B">
        <w:rPr>
          <w:sz w:val="24"/>
          <w:szCs w:val="24"/>
          <w:lang w:eastAsia="zh-CN"/>
        </w:rPr>
        <w:t>24</w:t>
      </w:r>
      <w:r w:rsidRPr="00E40B4B">
        <w:rPr>
          <w:rFonts w:hint="eastAsia"/>
          <w:sz w:val="24"/>
          <w:szCs w:val="24"/>
          <w:lang w:eastAsia="zh-CN"/>
        </w:rPr>
        <w:t>-2</w:t>
      </w:r>
      <w:r w:rsidRPr="00E40B4B">
        <w:rPr>
          <w:sz w:val="24"/>
          <w:szCs w:val="24"/>
          <w:lang w:eastAsia="zh-CN"/>
        </w:rPr>
        <w:t>030</w:t>
      </w:r>
      <w:r w:rsidRPr="00E40B4B">
        <w:rPr>
          <w:rFonts w:hint="eastAsia"/>
          <w:sz w:val="24"/>
          <w:szCs w:val="24"/>
          <w:lang w:eastAsia="zh-CN"/>
        </w:rPr>
        <w:t>年期间信息交换所机制</w:t>
      </w:r>
      <w:r w:rsidRPr="00E40B4B">
        <w:rPr>
          <w:rFonts w:hint="eastAsia"/>
          <w:kern w:val="22"/>
          <w:sz w:val="24"/>
          <w:szCs w:val="24"/>
          <w:lang w:eastAsia="zh-CN"/>
        </w:rPr>
        <w:t>工作方案</w:t>
      </w:r>
      <w:r w:rsidRPr="00E40B4B">
        <w:rPr>
          <w:rStyle w:val="FootnoteReference"/>
          <w:sz w:val="24"/>
          <w:szCs w:val="24"/>
        </w:rPr>
        <w:footnoteReference w:id="1"/>
      </w:r>
      <w:r>
        <w:rPr>
          <w:rFonts w:hint="eastAsia"/>
          <w:kern w:val="22"/>
          <w:sz w:val="24"/>
          <w:szCs w:val="24"/>
          <w:lang w:eastAsia="zh-CN"/>
        </w:rPr>
        <w:t xml:space="preserve"> </w:t>
      </w:r>
      <w:r w:rsidRPr="00E40B4B">
        <w:rPr>
          <w:rFonts w:hint="eastAsia"/>
          <w:kern w:val="22"/>
          <w:sz w:val="24"/>
          <w:szCs w:val="24"/>
          <w:lang w:eastAsia="zh-CN"/>
        </w:rPr>
        <w:t>和</w:t>
      </w:r>
      <w:r w:rsidRPr="00E40B4B">
        <w:rPr>
          <w:rFonts w:hint="eastAsia"/>
          <w:sz w:val="24"/>
          <w:szCs w:val="24"/>
          <w:lang w:eastAsia="zh-CN"/>
        </w:rPr>
        <w:t>支持执行</w:t>
      </w:r>
      <w:r>
        <w:rPr>
          <w:rFonts w:hint="eastAsia"/>
          <w:sz w:val="24"/>
          <w:szCs w:val="24"/>
          <w:lang w:eastAsia="zh-CN"/>
        </w:rPr>
        <w:t>《</w:t>
      </w:r>
      <w:r w:rsidRPr="00E40B4B">
        <w:rPr>
          <w:rFonts w:hint="eastAsia"/>
          <w:sz w:val="24"/>
          <w:szCs w:val="24"/>
          <w:lang w:eastAsia="zh-CN"/>
        </w:rPr>
        <w:t>昆明</w:t>
      </w:r>
      <w:r w:rsidRPr="00E40B4B">
        <w:rPr>
          <w:rFonts w:hint="eastAsia"/>
          <w:sz w:val="24"/>
          <w:szCs w:val="24"/>
          <w:lang w:eastAsia="zh-CN"/>
        </w:rPr>
        <w:t>-</w:t>
      </w:r>
      <w:r w:rsidRPr="00E40B4B">
        <w:rPr>
          <w:rFonts w:hint="eastAsia"/>
          <w:sz w:val="24"/>
          <w:szCs w:val="24"/>
          <w:lang w:eastAsia="zh-CN"/>
        </w:rPr>
        <w:t>蒙特利尔全球生物多样性框架</w:t>
      </w:r>
      <w:r>
        <w:rPr>
          <w:rFonts w:hint="eastAsia"/>
          <w:sz w:val="24"/>
          <w:szCs w:val="24"/>
          <w:lang w:eastAsia="zh-CN"/>
        </w:rPr>
        <w:t>》</w:t>
      </w:r>
      <w:r w:rsidRPr="00E40B4B">
        <w:rPr>
          <w:sz w:val="24"/>
          <w:szCs w:val="24"/>
          <w:vertAlign w:val="superscript"/>
          <w:lang w:eastAsia="zh-CN"/>
        </w:rPr>
        <w:footnoteReference w:id="2"/>
      </w:r>
      <w:r>
        <w:rPr>
          <w:rFonts w:hint="eastAsia"/>
          <w:sz w:val="24"/>
          <w:szCs w:val="24"/>
          <w:lang w:eastAsia="zh-CN"/>
        </w:rPr>
        <w:t xml:space="preserve"> </w:t>
      </w:r>
      <w:r w:rsidRPr="00E40B4B">
        <w:rPr>
          <w:rFonts w:hint="eastAsia"/>
          <w:kern w:val="22"/>
          <w:sz w:val="24"/>
          <w:szCs w:val="24"/>
          <w:lang w:eastAsia="zh-CN"/>
        </w:rPr>
        <w:t>知识管理战略</w:t>
      </w:r>
      <w:r w:rsidRPr="00E40B4B">
        <w:rPr>
          <w:kern w:val="22"/>
          <w:sz w:val="24"/>
          <w:szCs w:val="24"/>
          <w:vertAlign w:val="superscript"/>
          <w:lang w:eastAsia="zh-CN"/>
        </w:rPr>
        <w:footnoteReference w:id="3"/>
      </w:r>
      <w:r>
        <w:rPr>
          <w:rFonts w:hint="eastAsia"/>
          <w:kern w:val="22"/>
          <w:sz w:val="24"/>
          <w:szCs w:val="24"/>
          <w:lang w:eastAsia="zh-CN"/>
        </w:rPr>
        <w:t xml:space="preserve"> </w:t>
      </w:r>
      <w:r w:rsidRPr="00E40B4B">
        <w:rPr>
          <w:rFonts w:hint="eastAsia"/>
          <w:kern w:val="22"/>
          <w:sz w:val="24"/>
          <w:szCs w:val="24"/>
          <w:lang w:eastAsia="zh-CN"/>
        </w:rPr>
        <w:t>方面</w:t>
      </w:r>
      <w:r w:rsidRPr="00E40B4B">
        <w:rPr>
          <w:rFonts w:hint="eastAsia"/>
          <w:sz w:val="24"/>
          <w:szCs w:val="24"/>
          <w:lang w:eastAsia="zh-CN"/>
        </w:rPr>
        <w:t>取得的进展；</w:t>
      </w:r>
    </w:p>
    <w:p w14:paraId="2118DBC2" w14:textId="79DF9DD7" w:rsidR="0017169D" w:rsidRPr="00E40B4B"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E40B4B">
        <w:rPr>
          <w:rFonts w:ascii="KaiTi" w:eastAsia="KaiTi" w:hAnsi="KaiTi" w:cs="Microsoft YaHei" w:hint="eastAsia"/>
          <w:sz w:val="24"/>
          <w:szCs w:val="24"/>
          <w:lang w:eastAsia="zh-CN"/>
        </w:rPr>
        <w:t>重申</w:t>
      </w:r>
      <w:r w:rsidRPr="00E40B4B">
        <w:rPr>
          <w:rFonts w:hint="eastAsia"/>
          <w:sz w:val="24"/>
          <w:szCs w:val="24"/>
          <w:lang w:eastAsia="zh-CN"/>
        </w:rPr>
        <w:t>缔约方、其他国家政府、</w:t>
      </w:r>
      <w:r w:rsidRPr="00E40B4B">
        <w:rPr>
          <w:rFonts w:hint="eastAsia"/>
          <w:sz w:val="24"/>
          <w:szCs w:val="24"/>
          <w:lang w:eastAsia="zh-CN"/>
        </w:rPr>
        <w:t>[</w:t>
      </w:r>
      <w:r w:rsidRPr="00E40B4B">
        <w:rPr>
          <w:rFonts w:hint="eastAsia"/>
          <w:sz w:val="24"/>
          <w:szCs w:val="24"/>
          <w:lang w:eastAsia="zh-CN"/>
        </w:rPr>
        <w:t>非国家政府行为体</w:t>
      </w:r>
      <w:r w:rsidRPr="00E40B4B">
        <w:rPr>
          <w:sz w:val="24"/>
          <w:szCs w:val="24"/>
          <w:vertAlign w:val="superscript"/>
          <w:lang w:eastAsia="zh-CN"/>
        </w:rPr>
        <w:footnoteReference w:id="4"/>
      </w:r>
      <w:r w:rsidR="0053763F">
        <w:rPr>
          <w:rFonts w:hint="eastAsia"/>
          <w:sz w:val="24"/>
          <w:szCs w:val="24"/>
          <w:lang w:eastAsia="zh-CN"/>
        </w:rPr>
        <w:t>、</w:t>
      </w:r>
      <w:r w:rsidRPr="00E40B4B">
        <w:rPr>
          <w:rFonts w:hint="eastAsia"/>
          <w:sz w:val="24"/>
          <w:szCs w:val="24"/>
          <w:lang w:eastAsia="zh-CN"/>
        </w:rPr>
        <w:t>]</w:t>
      </w:r>
      <w:r w:rsidRPr="00E40B4B">
        <w:rPr>
          <w:rFonts w:hint="eastAsia"/>
          <w:sz w:val="24"/>
          <w:szCs w:val="24"/>
          <w:lang w:eastAsia="zh-CN"/>
        </w:rPr>
        <w:t>区域和</w:t>
      </w:r>
      <w:r>
        <w:rPr>
          <w:rFonts w:hint="eastAsia"/>
          <w:sz w:val="24"/>
          <w:szCs w:val="24"/>
          <w:lang w:eastAsia="zh-CN"/>
        </w:rPr>
        <w:t>次区域</w:t>
      </w:r>
      <w:r w:rsidRPr="00E40B4B">
        <w:rPr>
          <w:rFonts w:hint="eastAsia"/>
          <w:sz w:val="24"/>
          <w:szCs w:val="24"/>
          <w:lang w:eastAsia="zh-CN"/>
        </w:rPr>
        <w:t>科技合作支持中心</w:t>
      </w:r>
      <w:r w:rsidR="00CA74C0">
        <w:rPr>
          <w:rFonts w:hint="eastAsia"/>
          <w:sz w:val="24"/>
          <w:szCs w:val="24"/>
          <w:lang w:eastAsia="zh-CN"/>
        </w:rPr>
        <w:t>[</w:t>
      </w:r>
      <w:r w:rsidR="00CA74C0">
        <w:rPr>
          <w:rFonts w:hint="eastAsia"/>
          <w:sz w:val="24"/>
          <w:szCs w:val="24"/>
          <w:lang w:eastAsia="zh-CN"/>
        </w:rPr>
        <w:t>、</w:t>
      </w:r>
      <w:r w:rsidR="00CA74C0">
        <w:rPr>
          <w:rFonts w:hint="eastAsia"/>
          <w:sz w:val="24"/>
          <w:szCs w:val="24"/>
          <w:lang w:eastAsia="zh-CN"/>
        </w:rPr>
        <w:t>]</w:t>
      </w:r>
      <w:r w:rsidR="0053763F">
        <w:rPr>
          <w:rFonts w:hint="eastAsia"/>
          <w:sz w:val="24"/>
          <w:szCs w:val="24"/>
          <w:lang w:eastAsia="zh-CN"/>
        </w:rPr>
        <w:t>[</w:t>
      </w:r>
      <w:r w:rsidRPr="00E40B4B">
        <w:rPr>
          <w:rFonts w:hint="eastAsia"/>
          <w:sz w:val="24"/>
          <w:szCs w:val="24"/>
          <w:lang w:eastAsia="zh-CN"/>
        </w:rPr>
        <w:t>和</w:t>
      </w:r>
      <w:r w:rsidR="0053763F">
        <w:rPr>
          <w:rFonts w:hint="eastAsia"/>
          <w:sz w:val="24"/>
          <w:szCs w:val="24"/>
          <w:lang w:eastAsia="zh-CN"/>
        </w:rPr>
        <w:t>]</w:t>
      </w:r>
      <w:r w:rsidR="00C03CFF" w:rsidRPr="00C03CFF">
        <w:rPr>
          <w:rFonts w:hint="eastAsia"/>
          <w:sz w:val="24"/>
          <w:szCs w:val="24"/>
          <w:lang w:eastAsia="zh-CN"/>
        </w:rPr>
        <w:t xml:space="preserve"> </w:t>
      </w:r>
      <w:r w:rsidR="00C03CFF">
        <w:rPr>
          <w:rFonts w:hint="eastAsia"/>
          <w:sz w:val="24"/>
          <w:szCs w:val="24"/>
          <w:lang w:eastAsia="zh-CN"/>
        </w:rPr>
        <w:t>《</w:t>
      </w:r>
      <w:r w:rsidR="00C03CFF" w:rsidRPr="00E40B4B">
        <w:rPr>
          <w:rFonts w:hint="eastAsia"/>
          <w:sz w:val="24"/>
          <w:szCs w:val="24"/>
          <w:lang w:eastAsia="zh-CN"/>
        </w:rPr>
        <w:t>生物多样性公约</w:t>
      </w:r>
      <w:r w:rsidR="00C03CFF">
        <w:rPr>
          <w:rFonts w:hint="eastAsia"/>
          <w:sz w:val="24"/>
          <w:szCs w:val="24"/>
          <w:lang w:eastAsia="zh-CN"/>
        </w:rPr>
        <w:t>》</w:t>
      </w:r>
      <w:r w:rsidR="00C03CFF" w:rsidRPr="00E40B4B">
        <w:rPr>
          <w:sz w:val="24"/>
          <w:szCs w:val="24"/>
          <w:vertAlign w:val="superscript"/>
          <w:lang w:eastAsia="zh-CN"/>
        </w:rPr>
        <w:footnoteReference w:id="5"/>
      </w:r>
      <w:r w:rsidR="00C03CFF">
        <w:rPr>
          <w:rFonts w:hint="eastAsia"/>
          <w:sz w:val="24"/>
          <w:szCs w:val="24"/>
          <w:lang w:eastAsia="zh-CN"/>
        </w:rPr>
        <w:t xml:space="preserve"> </w:t>
      </w:r>
      <w:r w:rsidR="00C03CFF" w:rsidRPr="00E40B4B">
        <w:rPr>
          <w:rFonts w:hint="eastAsia"/>
          <w:sz w:val="24"/>
          <w:szCs w:val="24"/>
          <w:lang w:eastAsia="zh-CN"/>
        </w:rPr>
        <w:t>秘书处</w:t>
      </w:r>
      <w:r w:rsidRPr="00E40B4B">
        <w:rPr>
          <w:rFonts w:hint="eastAsia"/>
          <w:sz w:val="24"/>
          <w:szCs w:val="24"/>
          <w:lang w:eastAsia="zh-CN"/>
        </w:rPr>
        <w:t>[</w:t>
      </w:r>
      <w:r w:rsidR="00F86E9E">
        <w:rPr>
          <w:rFonts w:hint="eastAsia"/>
          <w:sz w:val="24"/>
          <w:szCs w:val="24"/>
          <w:lang w:eastAsia="zh-CN"/>
        </w:rPr>
        <w:t>和</w:t>
      </w:r>
      <w:r w:rsidR="00005476">
        <w:rPr>
          <w:rFonts w:hint="eastAsia"/>
          <w:sz w:val="24"/>
          <w:szCs w:val="24"/>
          <w:lang w:eastAsia="zh-CN"/>
        </w:rPr>
        <w:t>[</w:t>
      </w:r>
      <w:r w:rsidR="00F86E9E">
        <w:rPr>
          <w:rFonts w:hint="eastAsia"/>
          <w:sz w:val="24"/>
          <w:szCs w:val="24"/>
          <w:lang w:eastAsia="zh-CN"/>
        </w:rPr>
        <w:t>酌情</w:t>
      </w:r>
      <w:r w:rsidR="00510804">
        <w:rPr>
          <w:rFonts w:hint="eastAsia"/>
          <w:sz w:val="24"/>
          <w:szCs w:val="24"/>
          <w:lang w:eastAsia="zh-CN"/>
        </w:rPr>
        <w:t>]</w:t>
      </w:r>
      <w:r w:rsidRPr="00E40B4B">
        <w:rPr>
          <w:rFonts w:hint="eastAsia"/>
          <w:sz w:val="24"/>
          <w:szCs w:val="24"/>
          <w:lang w:eastAsia="zh-CN"/>
        </w:rPr>
        <w:t>土著人民和地方社区、妇女、青年、相关倡议和组织</w:t>
      </w:r>
      <w:r w:rsidR="00E1261D">
        <w:rPr>
          <w:rFonts w:hint="eastAsia"/>
          <w:sz w:val="24"/>
          <w:szCs w:val="24"/>
          <w:lang w:eastAsia="zh-CN"/>
        </w:rPr>
        <w:t>]</w:t>
      </w:r>
      <w:r w:rsidR="00FA294F">
        <w:rPr>
          <w:rFonts w:hint="eastAsia"/>
          <w:sz w:val="24"/>
          <w:szCs w:val="24"/>
          <w:lang w:eastAsia="zh-CN"/>
        </w:rPr>
        <w:t>须</w:t>
      </w:r>
      <w:r w:rsidRPr="00E40B4B">
        <w:rPr>
          <w:rFonts w:hint="eastAsia"/>
          <w:sz w:val="24"/>
          <w:szCs w:val="24"/>
          <w:lang w:eastAsia="zh-CN"/>
        </w:rPr>
        <w:t>继续加强信息交换所机制工作方案和知识管理战略的执行，特别是通过能力建设和</w:t>
      </w:r>
      <w:r>
        <w:rPr>
          <w:rFonts w:hint="eastAsia"/>
          <w:sz w:val="24"/>
          <w:szCs w:val="24"/>
          <w:lang w:eastAsia="zh-CN"/>
        </w:rPr>
        <w:t>发展</w:t>
      </w:r>
      <w:r w:rsidRPr="00E40B4B">
        <w:rPr>
          <w:rFonts w:hint="eastAsia"/>
          <w:sz w:val="24"/>
          <w:szCs w:val="24"/>
          <w:lang w:eastAsia="zh-CN"/>
        </w:rPr>
        <w:t>；</w:t>
      </w:r>
    </w:p>
    <w:p w14:paraId="51B35DDE" w14:textId="0CBB1F3F" w:rsidR="0017169D" w:rsidRPr="00D91730"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sz w:val="24"/>
          <w:szCs w:val="24"/>
          <w:lang w:eastAsia="zh-CN"/>
        </w:rPr>
      </w:pPr>
      <w:r w:rsidRPr="00D91730">
        <w:rPr>
          <w:rFonts w:ascii="KaiTi" w:eastAsia="KaiTi" w:hAnsi="KaiTi" w:cs="Microsoft YaHei" w:hint="eastAsia"/>
          <w:sz w:val="24"/>
          <w:szCs w:val="24"/>
          <w:lang w:eastAsia="zh-CN"/>
        </w:rPr>
        <w:t>注意到</w:t>
      </w:r>
      <w:r w:rsidRPr="00D91730">
        <w:rPr>
          <w:rFonts w:hint="eastAsia"/>
          <w:sz w:val="24"/>
          <w:szCs w:val="24"/>
          <w:lang w:eastAsia="zh-CN"/>
        </w:rPr>
        <w:t>许多缔约方，</w:t>
      </w:r>
      <w:r w:rsidR="005A66D7">
        <w:rPr>
          <w:rFonts w:hint="eastAsia"/>
          <w:sz w:val="24"/>
          <w:szCs w:val="24"/>
          <w:lang w:eastAsia="zh-CN"/>
        </w:rPr>
        <w:t>特别</w:t>
      </w:r>
      <w:r w:rsidRPr="00D91730">
        <w:rPr>
          <w:rFonts w:hint="eastAsia"/>
          <w:sz w:val="24"/>
          <w:szCs w:val="24"/>
          <w:lang w:eastAsia="zh-CN"/>
        </w:rPr>
        <w:t>是发展中国家</w:t>
      </w:r>
      <w:r>
        <w:rPr>
          <w:rFonts w:hint="eastAsia"/>
          <w:sz w:val="24"/>
          <w:szCs w:val="24"/>
          <w:lang w:eastAsia="zh-CN"/>
        </w:rPr>
        <w:t>缔约方</w:t>
      </w:r>
      <w:r w:rsidRPr="00D91730">
        <w:rPr>
          <w:rFonts w:hint="eastAsia"/>
          <w:sz w:val="24"/>
          <w:szCs w:val="24"/>
          <w:lang w:eastAsia="zh-CN"/>
        </w:rPr>
        <w:t>，在执行信息交换所机制工作方案和知识管理战略时面临挑战；</w:t>
      </w:r>
    </w:p>
    <w:p w14:paraId="6924F6EC" w14:textId="4815934C" w:rsidR="0017169D" w:rsidRPr="002306D9" w:rsidRDefault="0017169D" w:rsidP="0017169D">
      <w:pPr>
        <w:pStyle w:val="CBDNormalNoNumber"/>
        <w:numPr>
          <w:ilvl w:val="0"/>
          <w:numId w:val="20"/>
        </w:numPr>
        <w:tabs>
          <w:tab w:val="clear" w:pos="567"/>
          <w:tab w:val="clear" w:pos="1134"/>
          <w:tab w:val="clear" w:pos="1701"/>
          <w:tab w:val="clear" w:pos="2268"/>
          <w:tab w:val="clear" w:pos="2835"/>
          <w:tab w:val="clear" w:pos="3402"/>
        </w:tabs>
        <w:ind w:left="979" w:firstLine="490"/>
        <w:rPr>
          <w:rFonts w:ascii="SimSun" w:hAnsi="SimSun" w:cs="Microsoft YaHei"/>
          <w:sz w:val="24"/>
          <w:szCs w:val="24"/>
          <w:lang w:eastAsia="zh-CN"/>
        </w:rPr>
      </w:pPr>
      <w:r w:rsidRPr="0017169D">
        <w:rPr>
          <w:rFonts w:ascii="SimSun" w:eastAsia="KaiTi" w:hAnsi="SimSun" w:cs="Microsoft YaHei" w:hint="eastAsia"/>
          <w:sz w:val="24"/>
          <w:szCs w:val="24"/>
          <w:lang w:eastAsia="zh-CN"/>
        </w:rPr>
        <w:t>敦促</w:t>
      </w:r>
      <w:r w:rsidRPr="002306D9">
        <w:rPr>
          <w:rFonts w:ascii="SimSun" w:hAnsi="SimSun" w:cs="Microsoft YaHei"/>
          <w:sz w:val="24"/>
          <w:szCs w:val="24"/>
          <w:lang w:eastAsia="zh-CN"/>
        </w:rPr>
        <w:t>缔约方</w:t>
      </w:r>
      <w:r w:rsidRPr="002306D9">
        <w:rPr>
          <w:rFonts w:ascii="SimSun" w:hAnsi="SimSun" w:cs="Microsoft YaHei" w:hint="eastAsia"/>
          <w:sz w:val="24"/>
          <w:szCs w:val="24"/>
          <w:lang w:eastAsia="zh-CN"/>
        </w:rPr>
        <w:t>根据《公约》第20条和第21条，并邀请其他国家政府和相关组织</w:t>
      </w:r>
      <w:r>
        <w:rPr>
          <w:rFonts w:ascii="SimSun" w:hAnsi="SimSun" w:cs="Microsoft YaHei" w:hint="eastAsia"/>
          <w:sz w:val="24"/>
          <w:szCs w:val="24"/>
          <w:lang w:eastAsia="zh-CN"/>
        </w:rPr>
        <w:t>为</w:t>
      </w:r>
      <w:r w:rsidRPr="002306D9">
        <w:rPr>
          <w:rFonts w:ascii="SimSun" w:hAnsi="SimSun" w:cs="Microsoft YaHei" w:hint="eastAsia"/>
          <w:sz w:val="24"/>
          <w:szCs w:val="24"/>
          <w:lang w:eastAsia="zh-CN"/>
        </w:rPr>
        <w:t>生物多样性能力建设和发展提供</w:t>
      </w:r>
      <w:r w:rsidR="0034588D">
        <w:rPr>
          <w:rFonts w:ascii="SimSun" w:hAnsi="SimSun" w:cs="Microsoft YaHei" w:hint="eastAsia"/>
          <w:sz w:val="24"/>
          <w:szCs w:val="24"/>
          <w:lang w:eastAsia="zh-CN"/>
        </w:rPr>
        <w:t>财务</w:t>
      </w:r>
      <w:r w:rsidRPr="002306D9">
        <w:rPr>
          <w:rFonts w:ascii="SimSun" w:hAnsi="SimSun" w:cs="Microsoft YaHei" w:hint="eastAsia"/>
          <w:sz w:val="24"/>
          <w:szCs w:val="24"/>
          <w:lang w:eastAsia="zh-CN"/>
        </w:rPr>
        <w:t>和技术支持，同时考虑到发展中国家、特别是最不发达国家和小岛屿发展中国家以及经济转型缔约方的具体情况，以执行信息交换所机制工作方案和知识管理战略；</w:t>
      </w:r>
    </w:p>
    <w:p w14:paraId="58244747" w14:textId="053DB1C2" w:rsidR="001B5143"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71330D">
        <w:rPr>
          <w:sz w:val="24"/>
          <w:szCs w:val="24"/>
          <w:lang w:eastAsia="zh-CN"/>
        </w:rPr>
        <w:lastRenderedPageBreak/>
        <w:t>[5.</w:t>
      </w:r>
      <w:r w:rsidRPr="0071330D">
        <w:rPr>
          <w:sz w:val="24"/>
          <w:szCs w:val="24"/>
          <w:lang w:eastAsia="zh-CN"/>
        </w:rPr>
        <w:tab/>
      </w:r>
      <w:r w:rsidRPr="0071330D">
        <w:rPr>
          <w:rFonts w:ascii="KaiTi" w:eastAsia="KaiTi" w:hAnsi="KaiTi" w:cs="Microsoft YaHei" w:hint="eastAsia"/>
          <w:sz w:val="24"/>
          <w:szCs w:val="24"/>
          <w:lang w:eastAsia="zh-CN"/>
        </w:rPr>
        <w:t>鼓励</w:t>
      </w:r>
      <w:r w:rsidRPr="0071330D">
        <w:rPr>
          <w:rFonts w:hint="eastAsia"/>
          <w:sz w:val="24"/>
          <w:szCs w:val="24"/>
          <w:lang w:eastAsia="zh-CN"/>
        </w:rPr>
        <w:t>缔约方</w:t>
      </w:r>
      <w:r w:rsidR="001B5143" w:rsidRPr="001B5143">
        <w:rPr>
          <w:sz w:val="24"/>
          <w:szCs w:val="24"/>
          <w:lang w:eastAsia="zh-CN"/>
        </w:rPr>
        <w:t>在第八次国家报告中，在报告</w:t>
      </w:r>
      <w:r w:rsidR="00360EA0" w:rsidRPr="0071330D">
        <w:rPr>
          <w:rFonts w:hint="eastAsia"/>
          <w:sz w:val="24"/>
          <w:szCs w:val="24"/>
          <w:lang w:eastAsia="zh-CN"/>
        </w:rPr>
        <w:t>《昆蒙框架》</w:t>
      </w:r>
      <w:r w:rsidR="00436F27">
        <w:rPr>
          <w:rFonts w:hint="eastAsia"/>
          <w:sz w:val="24"/>
          <w:szCs w:val="24"/>
          <w:lang w:eastAsia="zh-CN"/>
        </w:rPr>
        <w:t>行动</w:t>
      </w:r>
      <w:r w:rsidR="001B5143" w:rsidRPr="001B5143">
        <w:rPr>
          <w:sz w:val="24"/>
          <w:szCs w:val="24"/>
          <w:lang w:eastAsia="zh-CN"/>
        </w:rPr>
        <w:t>目标</w:t>
      </w:r>
      <w:r w:rsidR="001B5143" w:rsidRPr="001B5143">
        <w:rPr>
          <w:sz w:val="24"/>
          <w:szCs w:val="24"/>
          <w:lang w:eastAsia="zh-CN"/>
        </w:rPr>
        <w:t>20</w:t>
      </w:r>
      <w:r w:rsidR="001B5143" w:rsidRPr="001B5143">
        <w:rPr>
          <w:sz w:val="24"/>
          <w:szCs w:val="24"/>
          <w:lang w:eastAsia="zh-CN"/>
        </w:rPr>
        <w:t>和</w:t>
      </w:r>
      <w:r w:rsidR="001B5143" w:rsidRPr="001B5143">
        <w:rPr>
          <w:sz w:val="24"/>
          <w:szCs w:val="24"/>
          <w:lang w:eastAsia="zh-CN"/>
        </w:rPr>
        <w:t>21</w:t>
      </w:r>
      <w:r w:rsidR="001B5143" w:rsidRPr="001B5143">
        <w:rPr>
          <w:sz w:val="24"/>
          <w:szCs w:val="24"/>
          <w:lang w:eastAsia="zh-CN"/>
        </w:rPr>
        <w:t>时，自愿并酌情列入信息，说明在执行信息交换所机制工作方案和知识管理战略方面取得的进展、面临的挑战和具体能力需求，酌情包括土著人民和地方社区、妇女和青年的贡献；</w:t>
      </w:r>
      <w:r w:rsidR="001B5143" w:rsidRPr="001B5143">
        <w:rPr>
          <w:sz w:val="24"/>
          <w:szCs w:val="24"/>
          <w:lang w:eastAsia="zh-CN"/>
        </w:rPr>
        <w:t>]</w:t>
      </w:r>
    </w:p>
    <w:p w14:paraId="06A1CC80" w14:textId="77777777" w:rsidR="0017169D" w:rsidRPr="00D91730"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rFonts w:ascii="SimSun" w:hAnsi="SimSun" w:cs="Microsoft YaHei"/>
          <w:sz w:val="24"/>
          <w:szCs w:val="24"/>
          <w:lang w:eastAsia="zh-CN"/>
        </w:rPr>
      </w:pPr>
      <w:r w:rsidRPr="00E40B4B">
        <w:rPr>
          <w:sz w:val="24"/>
          <w:szCs w:val="24"/>
          <w:lang w:eastAsia="zh-CN"/>
        </w:rPr>
        <w:t>6.</w:t>
      </w:r>
      <w:r w:rsidRPr="00E40B4B">
        <w:rPr>
          <w:sz w:val="24"/>
          <w:szCs w:val="24"/>
          <w:lang w:eastAsia="zh-CN"/>
        </w:rPr>
        <w:tab/>
      </w:r>
      <w:r w:rsidRPr="00D91730">
        <w:rPr>
          <w:rFonts w:ascii="KaiTi" w:eastAsia="KaiTi" w:hAnsi="KaiTi" w:cs="Microsoft YaHei" w:hint="eastAsia"/>
          <w:sz w:val="24"/>
          <w:szCs w:val="24"/>
          <w:lang w:eastAsia="zh-CN"/>
        </w:rPr>
        <w:t>又鼓励</w:t>
      </w:r>
      <w:r w:rsidRPr="00D91730">
        <w:rPr>
          <w:rFonts w:ascii="SimSun" w:hAnsi="SimSun" w:cs="Microsoft YaHei" w:hint="eastAsia"/>
          <w:sz w:val="24"/>
          <w:szCs w:val="24"/>
          <w:lang w:eastAsia="zh-CN"/>
        </w:rPr>
        <w:t>缔约方</w:t>
      </w:r>
      <w:r>
        <w:rPr>
          <w:rFonts w:ascii="SimSun" w:hAnsi="SimSun" w:cs="Microsoft YaHei" w:hint="eastAsia"/>
          <w:sz w:val="24"/>
          <w:szCs w:val="24"/>
          <w:lang w:eastAsia="zh-CN"/>
        </w:rPr>
        <w:t>酌情</w:t>
      </w:r>
      <w:r w:rsidRPr="00D91730">
        <w:rPr>
          <w:rFonts w:ascii="SimSun" w:hAnsi="SimSun" w:cs="Microsoft YaHei" w:hint="eastAsia"/>
          <w:sz w:val="24"/>
          <w:szCs w:val="24"/>
          <w:lang w:eastAsia="zh-CN"/>
        </w:rPr>
        <w:t>加强</w:t>
      </w:r>
      <w:r>
        <w:rPr>
          <w:rFonts w:ascii="SimSun" w:hAnsi="SimSun" w:cs="Microsoft YaHei" w:hint="eastAsia"/>
          <w:sz w:val="24"/>
          <w:szCs w:val="24"/>
          <w:lang w:eastAsia="zh-CN"/>
        </w:rPr>
        <w:t>并维持</w:t>
      </w:r>
      <w:r w:rsidRPr="00D91730">
        <w:rPr>
          <w:rFonts w:ascii="SimSun" w:hAnsi="SimSun" w:cs="Microsoft YaHei" w:hint="eastAsia"/>
          <w:sz w:val="24"/>
          <w:szCs w:val="24"/>
          <w:lang w:eastAsia="zh-CN"/>
        </w:rPr>
        <w:t>国家信息交换所机制</w:t>
      </w:r>
      <w:r>
        <w:rPr>
          <w:rFonts w:ascii="SimSun" w:hAnsi="SimSun" w:cs="Microsoft YaHei" w:hint="eastAsia"/>
          <w:sz w:val="24"/>
          <w:szCs w:val="24"/>
          <w:lang w:eastAsia="zh-CN"/>
        </w:rPr>
        <w:t>；</w:t>
      </w:r>
    </w:p>
    <w:p w14:paraId="082EF2D1" w14:textId="66467000" w:rsidR="0017169D" w:rsidRPr="00D91730" w:rsidRDefault="0017169D" w:rsidP="0017169D">
      <w:pPr>
        <w:pStyle w:val="CBDNormalNoNumber"/>
        <w:tabs>
          <w:tab w:val="clear" w:pos="567"/>
          <w:tab w:val="clear" w:pos="1134"/>
          <w:tab w:val="clear" w:pos="1701"/>
          <w:tab w:val="clear" w:pos="2268"/>
          <w:tab w:val="clear" w:pos="2835"/>
          <w:tab w:val="clear" w:pos="3402"/>
        </w:tabs>
        <w:spacing w:before="120"/>
        <w:ind w:left="979" w:firstLine="490"/>
        <w:rPr>
          <w:sz w:val="24"/>
          <w:szCs w:val="24"/>
          <w:lang w:eastAsia="zh-CN"/>
        </w:rPr>
      </w:pPr>
      <w:r w:rsidRPr="00E40B4B">
        <w:rPr>
          <w:sz w:val="24"/>
          <w:szCs w:val="24"/>
          <w:lang w:eastAsia="zh-CN"/>
        </w:rPr>
        <w:t>7.</w:t>
      </w:r>
      <w:r w:rsidRPr="00E40B4B">
        <w:rPr>
          <w:sz w:val="24"/>
          <w:szCs w:val="24"/>
          <w:lang w:eastAsia="zh-CN"/>
        </w:rPr>
        <w:tab/>
      </w:r>
      <w:r w:rsidRPr="002306D9">
        <w:rPr>
          <w:rFonts w:ascii="KaiTi" w:eastAsia="KaiTi" w:hAnsi="KaiTi" w:cs="Microsoft YaHei" w:hint="eastAsia"/>
          <w:sz w:val="24"/>
          <w:szCs w:val="24"/>
          <w:lang w:eastAsia="zh-CN"/>
        </w:rPr>
        <w:t>回顾</w:t>
      </w:r>
      <w:r w:rsidRPr="002306D9">
        <w:rPr>
          <w:sz w:val="24"/>
          <w:szCs w:val="24"/>
          <w:lang w:eastAsia="zh-CN"/>
        </w:rPr>
        <w:t>缔约方大会第十九届会议将结合</w:t>
      </w:r>
      <w:r w:rsidRPr="00D91730">
        <w:rPr>
          <w:rFonts w:hint="eastAsia"/>
          <w:sz w:val="24"/>
          <w:szCs w:val="24"/>
          <w:lang w:eastAsia="zh-CN"/>
        </w:rPr>
        <w:t>《昆蒙框架》集体执行进度</w:t>
      </w:r>
      <w:r w:rsidR="006512A1">
        <w:rPr>
          <w:rFonts w:hint="eastAsia"/>
          <w:sz w:val="24"/>
          <w:szCs w:val="24"/>
          <w:lang w:eastAsia="zh-CN"/>
        </w:rPr>
        <w:t>第二次</w:t>
      </w:r>
      <w:r w:rsidRPr="00D91730">
        <w:rPr>
          <w:rFonts w:hint="eastAsia"/>
          <w:sz w:val="24"/>
          <w:szCs w:val="24"/>
          <w:lang w:eastAsia="zh-CN"/>
        </w:rPr>
        <w:t>全球审查</w:t>
      </w:r>
      <w:r>
        <w:rPr>
          <w:rFonts w:hint="eastAsia"/>
          <w:sz w:val="24"/>
          <w:szCs w:val="24"/>
          <w:lang w:eastAsia="zh-CN"/>
        </w:rPr>
        <w:t>，对</w:t>
      </w:r>
      <w:r w:rsidRPr="00D91730">
        <w:rPr>
          <w:rFonts w:hint="eastAsia"/>
          <w:sz w:val="24"/>
          <w:szCs w:val="24"/>
          <w:lang w:eastAsia="zh-CN"/>
        </w:rPr>
        <w:t>信息交换所机制工作方案和知识管理战略的执行</w:t>
      </w:r>
      <w:r>
        <w:rPr>
          <w:rFonts w:hint="eastAsia"/>
          <w:sz w:val="24"/>
          <w:szCs w:val="24"/>
          <w:lang w:eastAsia="zh-CN"/>
        </w:rPr>
        <w:t>进度进行审查，以避免现有审查进程的重复</w:t>
      </w:r>
      <w:r w:rsidRPr="00D91730">
        <w:rPr>
          <w:rFonts w:hint="eastAsia"/>
          <w:sz w:val="24"/>
          <w:szCs w:val="24"/>
          <w:lang w:eastAsia="zh-CN"/>
        </w:rPr>
        <w:t>；</w:t>
      </w:r>
    </w:p>
    <w:p w14:paraId="1F8D0907" w14:textId="05489A93" w:rsidR="00C15A1C" w:rsidRDefault="0017169D" w:rsidP="0017169D">
      <w:pPr>
        <w:pStyle w:val="CBDNormalNoNumber"/>
        <w:numPr>
          <w:ilvl w:val="0"/>
          <w:numId w:val="24"/>
        </w:numPr>
        <w:tabs>
          <w:tab w:val="clear" w:pos="567"/>
          <w:tab w:val="clear" w:pos="1134"/>
          <w:tab w:val="clear" w:pos="1701"/>
          <w:tab w:val="clear" w:pos="2268"/>
          <w:tab w:val="clear" w:pos="2835"/>
          <w:tab w:val="clear" w:pos="3402"/>
        </w:tabs>
        <w:spacing w:before="120"/>
        <w:ind w:left="979" w:firstLine="490"/>
        <w:rPr>
          <w:sz w:val="24"/>
          <w:szCs w:val="24"/>
          <w:lang w:eastAsia="zh-CN"/>
        </w:rPr>
      </w:pPr>
      <w:r w:rsidRPr="002306D9">
        <w:rPr>
          <w:rFonts w:ascii="KaiTi" w:eastAsia="KaiTi" w:hAnsi="KaiTi" w:cs="Microsoft YaHei" w:hint="eastAsia"/>
          <w:sz w:val="24"/>
          <w:szCs w:val="24"/>
          <w:lang w:eastAsia="zh-CN"/>
        </w:rPr>
        <w:t>邀请</w:t>
      </w:r>
      <w:r w:rsidRPr="00370C4D">
        <w:rPr>
          <w:rFonts w:hint="eastAsia"/>
          <w:sz w:val="24"/>
          <w:szCs w:val="24"/>
          <w:lang w:eastAsia="zh-CN"/>
        </w:rPr>
        <w:t>各</w:t>
      </w:r>
      <w:r w:rsidRPr="002306D9">
        <w:rPr>
          <w:rFonts w:hint="eastAsia"/>
          <w:sz w:val="24"/>
          <w:szCs w:val="24"/>
          <w:lang w:eastAsia="zh-CN"/>
        </w:rPr>
        <w:t>科技合作支持中心</w:t>
      </w:r>
      <w:r w:rsidRPr="0071330D">
        <w:rPr>
          <w:rFonts w:hint="eastAsia"/>
          <w:sz w:val="24"/>
          <w:szCs w:val="24"/>
          <w:lang w:eastAsia="zh-CN"/>
        </w:rPr>
        <w:t>，</w:t>
      </w:r>
      <w:r w:rsidRPr="0071330D">
        <w:rPr>
          <w:rFonts w:hint="eastAsia"/>
          <w:sz w:val="24"/>
          <w:szCs w:val="24"/>
          <w:lang w:eastAsia="zh-CN"/>
        </w:rPr>
        <w:t>[</w:t>
      </w:r>
      <w:r w:rsidRPr="0071330D">
        <w:rPr>
          <w:rFonts w:hint="eastAsia"/>
          <w:sz w:val="24"/>
          <w:szCs w:val="24"/>
          <w:lang w:eastAsia="zh-CN"/>
        </w:rPr>
        <w:t>并酌情邀请非国家政府行为体</w:t>
      </w:r>
      <w:r w:rsidRPr="0071330D">
        <w:rPr>
          <w:rFonts w:hint="eastAsia"/>
          <w:sz w:val="24"/>
          <w:szCs w:val="24"/>
          <w:lang w:eastAsia="zh-CN"/>
        </w:rPr>
        <w:t>]</w:t>
      </w:r>
      <w:r w:rsidRPr="0071330D">
        <w:rPr>
          <w:rFonts w:hint="eastAsia"/>
          <w:sz w:val="24"/>
          <w:szCs w:val="24"/>
          <w:lang w:eastAsia="zh-CN"/>
        </w:rPr>
        <w:t>与缔约方合作，通过信息交换所机制中央门户，酌情</w:t>
      </w:r>
      <w:r w:rsidR="00460EDE">
        <w:rPr>
          <w:rFonts w:hint="eastAsia"/>
          <w:sz w:val="24"/>
          <w:szCs w:val="24"/>
          <w:lang w:eastAsia="zh-CN"/>
        </w:rPr>
        <w:t>与其</w:t>
      </w:r>
      <w:r w:rsidRPr="0071330D">
        <w:rPr>
          <w:rFonts w:hint="eastAsia"/>
          <w:sz w:val="24"/>
          <w:szCs w:val="24"/>
          <w:lang w:eastAsia="zh-CN"/>
        </w:rPr>
        <w:t>分享</w:t>
      </w:r>
      <w:r>
        <w:rPr>
          <w:rFonts w:hint="eastAsia"/>
          <w:sz w:val="24"/>
          <w:szCs w:val="24"/>
          <w:lang w:eastAsia="zh-CN"/>
        </w:rPr>
        <w:t>关于</w:t>
      </w:r>
      <w:r w:rsidRPr="0071330D">
        <w:rPr>
          <w:rFonts w:hint="eastAsia"/>
          <w:sz w:val="24"/>
          <w:szCs w:val="24"/>
          <w:lang w:eastAsia="zh-CN"/>
        </w:rPr>
        <w:t>执行信息交换所机制工作方案和知识管理战略</w:t>
      </w:r>
      <w:r>
        <w:rPr>
          <w:rFonts w:hint="eastAsia"/>
          <w:sz w:val="24"/>
          <w:szCs w:val="24"/>
          <w:lang w:eastAsia="zh-CN"/>
        </w:rPr>
        <w:t>的</w:t>
      </w:r>
      <w:r w:rsidRPr="0071330D">
        <w:rPr>
          <w:rFonts w:hint="eastAsia"/>
          <w:sz w:val="24"/>
          <w:szCs w:val="24"/>
          <w:lang w:eastAsia="zh-CN"/>
        </w:rPr>
        <w:t>信息和</w:t>
      </w:r>
      <w:r>
        <w:rPr>
          <w:rFonts w:hint="eastAsia"/>
          <w:sz w:val="24"/>
          <w:szCs w:val="24"/>
          <w:lang w:eastAsia="zh-CN"/>
        </w:rPr>
        <w:t>经验、最佳做法、成功故事和吸取的经验教训</w:t>
      </w:r>
      <w:r w:rsidRPr="0071330D">
        <w:rPr>
          <w:rFonts w:hint="eastAsia"/>
          <w:sz w:val="24"/>
          <w:szCs w:val="24"/>
          <w:lang w:eastAsia="zh-CN"/>
        </w:rPr>
        <w:t>；</w:t>
      </w:r>
    </w:p>
    <w:p w14:paraId="640429FA" w14:textId="34D2589C" w:rsidR="0017169D" w:rsidRDefault="0017169D" w:rsidP="0017169D">
      <w:pPr>
        <w:pStyle w:val="CBDNormalNoNumber"/>
        <w:numPr>
          <w:ilvl w:val="0"/>
          <w:numId w:val="24"/>
        </w:numPr>
        <w:tabs>
          <w:tab w:val="clear" w:pos="567"/>
          <w:tab w:val="clear" w:pos="1134"/>
          <w:tab w:val="clear" w:pos="1701"/>
          <w:tab w:val="clear" w:pos="2268"/>
          <w:tab w:val="clear" w:pos="2835"/>
          <w:tab w:val="clear" w:pos="3402"/>
        </w:tabs>
        <w:spacing w:before="120"/>
        <w:ind w:left="979" w:firstLine="490"/>
        <w:rPr>
          <w:sz w:val="24"/>
          <w:szCs w:val="24"/>
          <w:lang w:eastAsia="zh-CN"/>
        </w:rPr>
      </w:pPr>
      <w:r>
        <w:rPr>
          <w:rFonts w:ascii="KaiTi" w:eastAsia="KaiTi" w:hAnsi="KaiTi" w:cs="Microsoft YaHei" w:hint="eastAsia"/>
          <w:sz w:val="24"/>
          <w:szCs w:val="24"/>
          <w:lang w:eastAsia="zh-CN"/>
        </w:rPr>
        <w:t>请</w:t>
      </w:r>
      <w:r w:rsidRPr="00392A88">
        <w:rPr>
          <w:rFonts w:ascii="KaiTi" w:hAnsi="KaiTi" w:cs="Microsoft YaHei" w:hint="eastAsia"/>
          <w:sz w:val="24"/>
          <w:szCs w:val="24"/>
          <w:lang w:eastAsia="zh-CN"/>
        </w:rPr>
        <w:t>执行秘书根据科技合作非正式咨询小组的指导，并在资金允许的情况下：</w:t>
      </w:r>
    </w:p>
    <w:p w14:paraId="0ECB42DA" w14:textId="7BCA9C87" w:rsidR="0017169D" w:rsidRDefault="0017169D"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eastAsia="zh-CN"/>
        </w:rPr>
        <w:t>加强和加快信息交换所机制工作方案和知识管理战略的执行，包括解决在集体执行进度</w:t>
      </w:r>
      <w:r w:rsidR="00D47097">
        <w:rPr>
          <w:rFonts w:hint="eastAsia"/>
          <w:sz w:val="24"/>
          <w:szCs w:val="24"/>
          <w:lang w:eastAsia="zh-CN"/>
        </w:rPr>
        <w:t>第一次</w:t>
      </w:r>
      <w:r>
        <w:rPr>
          <w:rFonts w:hint="eastAsia"/>
          <w:sz w:val="24"/>
          <w:szCs w:val="24"/>
          <w:lang w:eastAsia="zh-CN"/>
        </w:rPr>
        <w:t>全球审查中查明的需求；</w:t>
      </w:r>
    </w:p>
    <w:p w14:paraId="26D04F4F" w14:textId="559E827B" w:rsidR="0017169D" w:rsidRDefault="0017169D"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val="en-US" w:eastAsia="zh-CN"/>
        </w:rPr>
        <w:t>加强</w:t>
      </w:r>
      <w:r w:rsidR="001D0FD2">
        <w:rPr>
          <w:rFonts w:hint="eastAsia"/>
          <w:sz w:val="24"/>
          <w:szCs w:val="24"/>
          <w:lang w:val="zh-CN" w:eastAsia="zh-CN"/>
        </w:rPr>
        <w:t>执行</w:t>
      </w:r>
      <w:hyperlink r:id="rId16" w:history="1">
        <w:r>
          <w:rPr>
            <w:rStyle w:val="Hyperlink"/>
            <w:sz w:val="24"/>
            <w:szCs w:val="24"/>
            <w:lang w:eastAsia="zh-CN"/>
          </w:rPr>
          <w:t>CBD/SBI/7/INF/12</w:t>
        </w:r>
      </w:hyperlink>
      <w:r>
        <w:rPr>
          <w:rFonts w:hint="eastAsia"/>
          <w:sz w:val="24"/>
          <w:szCs w:val="24"/>
          <w:lang w:eastAsia="zh-CN"/>
        </w:rPr>
        <w:t>号文件</w:t>
      </w:r>
      <w:r w:rsidR="001D0FD2">
        <w:rPr>
          <w:rFonts w:hint="eastAsia"/>
          <w:sz w:val="24"/>
          <w:szCs w:val="24"/>
          <w:lang w:eastAsia="zh-CN"/>
        </w:rPr>
        <w:t>所载</w:t>
      </w:r>
      <w:r>
        <w:rPr>
          <w:rFonts w:hint="eastAsia"/>
          <w:sz w:val="24"/>
          <w:szCs w:val="24"/>
          <w:lang w:eastAsia="zh-CN"/>
        </w:rPr>
        <w:t>信息交换所机制</w:t>
      </w:r>
      <w:r w:rsidR="003B0D3D">
        <w:rPr>
          <w:rFonts w:hint="eastAsia"/>
          <w:sz w:val="24"/>
          <w:szCs w:val="24"/>
          <w:lang w:eastAsia="zh-CN"/>
        </w:rPr>
        <w:t>工作方案</w:t>
      </w:r>
      <w:r>
        <w:rPr>
          <w:rFonts w:hint="eastAsia"/>
          <w:sz w:val="24"/>
          <w:szCs w:val="24"/>
          <w:lang w:eastAsia="zh-CN"/>
        </w:rPr>
        <w:t>和知识管理战略</w:t>
      </w:r>
      <w:r w:rsidR="001D0FD2">
        <w:rPr>
          <w:rFonts w:hint="eastAsia"/>
          <w:sz w:val="24"/>
          <w:szCs w:val="24"/>
          <w:lang w:eastAsia="zh-CN"/>
        </w:rPr>
        <w:t>下的未来工作</w:t>
      </w:r>
      <w:r>
        <w:rPr>
          <w:rFonts w:hint="eastAsia"/>
          <w:sz w:val="24"/>
          <w:szCs w:val="24"/>
          <w:lang w:eastAsia="zh-CN"/>
        </w:rPr>
        <w:t>；</w:t>
      </w:r>
    </w:p>
    <w:p w14:paraId="531FFB5B" w14:textId="2CD53450" w:rsidR="00707404" w:rsidRPr="00707404" w:rsidRDefault="00AA60D3"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val="zh-CN" w:eastAsia="zh-CN"/>
        </w:rPr>
        <w:t>[</w:t>
      </w:r>
      <w:r w:rsidR="0017169D">
        <w:rPr>
          <w:rFonts w:hint="eastAsia"/>
          <w:sz w:val="24"/>
          <w:szCs w:val="24"/>
          <w:lang w:val="zh-CN" w:eastAsia="zh-CN"/>
        </w:rPr>
        <w:t>优先落实</w:t>
      </w:r>
      <w:r>
        <w:rPr>
          <w:rFonts w:hint="eastAsia"/>
          <w:sz w:val="24"/>
          <w:szCs w:val="24"/>
          <w:lang w:val="zh-CN" w:eastAsia="zh-CN"/>
        </w:rPr>
        <w:t>]</w:t>
      </w:r>
      <w:r w:rsidR="00002B15">
        <w:rPr>
          <w:rFonts w:hint="eastAsia"/>
          <w:sz w:val="24"/>
          <w:szCs w:val="24"/>
          <w:lang w:val="zh-CN" w:eastAsia="zh-CN"/>
        </w:rPr>
        <w:t>[</w:t>
      </w:r>
      <w:r w:rsidR="00002B15">
        <w:rPr>
          <w:rFonts w:hint="eastAsia"/>
          <w:sz w:val="24"/>
          <w:szCs w:val="24"/>
          <w:lang w:val="zh-CN" w:eastAsia="zh-CN"/>
        </w:rPr>
        <w:t>加强</w:t>
      </w:r>
      <w:r w:rsidR="00002B15">
        <w:rPr>
          <w:rFonts w:hint="eastAsia"/>
          <w:sz w:val="24"/>
          <w:szCs w:val="24"/>
          <w:lang w:val="zh-CN" w:eastAsia="zh-CN"/>
        </w:rPr>
        <w:t>]</w:t>
      </w:r>
      <w:r w:rsidR="00F53B16">
        <w:rPr>
          <w:rFonts w:hint="eastAsia"/>
          <w:sz w:val="24"/>
          <w:szCs w:val="24"/>
          <w:lang w:val="zh-CN" w:eastAsia="zh-CN"/>
        </w:rPr>
        <w:t>通过</w:t>
      </w:r>
      <w:r w:rsidR="00707404" w:rsidRPr="00707404">
        <w:rPr>
          <w:sz w:val="24"/>
          <w:szCs w:val="24"/>
          <w:lang w:val="zh-CN" w:eastAsia="zh-CN"/>
        </w:rPr>
        <w:t>使用人工智能和其他相关新技术而提高互操作性和效率的相关工作，并进一步改进在线报告工具以及《公约》网站上信息的获取、搜索和使用，</w:t>
      </w:r>
      <w:r w:rsidR="00DB27DD">
        <w:rPr>
          <w:rFonts w:hint="eastAsia"/>
          <w:sz w:val="24"/>
          <w:szCs w:val="24"/>
          <w:lang w:eastAsia="zh-CN"/>
        </w:rPr>
        <w:t>以支持《昆蒙框架》的执行、监测和报告</w:t>
      </w:r>
      <w:r w:rsidR="00707404" w:rsidRPr="00707404">
        <w:rPr>
          <w:sz w:val="24"/>
          <w:szCs w:val="24"/>
          <w:lang w:val="zh-CN" w:eastAsia="zh-CN"/>
        </w:rPr>
        <w:t>；</w:t>
      </w:r>
    </w:p>
    <w:p w14:paraId="4CD37396" w14:textId="59A748D0" w:rsidR="0017169D" w:rsidRDefault="0017169D"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val="zh-CN" w:eastAsia="zh-CN"/>
        </w:rPr>
        <w:t>支持缔约方推动执行信息交换所机制工作方案和知识管理战略</w:t>
      </w:r>
      <w:r>
        <w:rPr>
          <w:rFonts w:hint="eastAsia"/>
          <w:sz w:val="24"/>
          <w:szCs w:val="24"/>
          <w:lang w:eastAsia="zh-CN"/>
        </w:rPr>
        <w:t>；</w:t>
      </w:r>
    </w:p>
    <w:p w14:paraId="67062D9D" w14:textId="01A13E31" w:rsidR="0017169D" w:rsidRDefault="0017169D"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eastAsia="zh-CN"/>
        </w:rPr>
        <w:t>支持缔约方使用信息交换所机制的中央门户和在线报告工具；</w:t>
      </w:r>
    </w:p>
    <w:p w14:paraId="7310BDFE" w14:textId="64D21115" w:rsidR="0017169D" w:rsidRDefault="0017169D" w:rsidP="00B079B3">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eastAsia="zh-CN"/>
        </w:rPr>
        <w:t>与科技合作支持中心</w:t>
      </w:r>
      <w:r>
        <w:rPr>
          <w:sz w:val="24"/>
          <w:szCs w:val="24"/>
          <w:lang w:eastAsia="zh-CN"/>
        </w:rPr>
        <w:t>[</w:t>
      </w:r>
      <w:r w:rsidR="00974F4F">
        <w:rPr>
          <w:rFonts w:hint="eastAsia"/>
          <w:sz w:val="24"/>
          <w:szCs w:val="24"/>
          <w:lang w:eastAsia="zh-CN"/>
        </w:rPr>
        <w:t>并酌情</w:t>
      </w:r>
      <w:r>
        <w:rPr>
          <w:rFonts w:hint="eastAsia"/>
          <w:sz w:val="24"/>
          <w:szCs w:val="24"/>
          <w:lang w:eastAsia="zh-CN"/>
        </w:rPr>
        <w:t>与非国家政府行为体</w:t>
      </w:r>
      <w:r>
        <w:rPr>
          <w:sz w:val="24"/>
          <w:szCs w:val="24"/>
          <w:lang w:eastAsia="zh-CN"/>
        </w:rPr>
        <w:t>]</w:t>
      </w:r>
      <w:r>
        <w:rPr>
          <w:rFonts w:hint="eastAsia"/>
          <w:sz w:val="24"/>
          <w:szCs w:val="24"/>
          <w:lang w:eastAsia="zh-CN"/>
        </w:rPr>
        <w:t>开展合作，包括</w:t>
      </w:r>
      <w:r w:rsidR="00B65E98">
        <w:rPr>
          <w:rFonts w:hint="eastAsia"/>
          <w:sz w:val="24"/>
          <w:szCs w:val="24"/>
          <w:lang w:eastAsia="zh-CN"/>
        </w:rPr>
        <w:t>为</w:t>
      </w:r>
      <w:r>
        <w:rPr>
          <w:rFonts w:hint="eastAsia"/>
          <w:sz w:val="24"/>
          <w:szCs w:val="24"/>
          <w:lang w:eastAsia="zh-CN"/>
        </w:rPr>
        <w:t>国家信息交换所机制提供技术支持、能力建设和发展，特别是在治理、互操作性、数据管理方面，以及与区域和全球信息系统的联系及信息交换所机制中央门户和在线报告工具的使用，以期酌情推动执行信息交换所机制工作方案和知识管理战略，特别是使各中心能够提供技术援助和能力建设</w:t>
      </w:r>
      <w:r w:rsidR="00813969">
        <w:rPr>
          <w:rFonts w:hint="eastAsia"/>
          <w:sz w:val="24"/>
          <w:szCs w:val="24"/>
          <w:lang w:eastAsia="zh-CN"/>
        </w:rPr>
        <w:t>，</w:t>
      </w:r>
      <w:r>
        <w:rPr>
          <w:rFonts w:hint="eastAsia"/>
          <w:sz w:val="24"/>
          <w:szCs w:val="24"/>
          <w:lang w:eastAsia="zh-CN"/>
        </w:rPr>
        <w:t>支持国家信息交换所机制的建立、运作和加强；</w:t>
      </w:r>
    </w:p>
    <w:p w14:paraId="6455B0EF" w14:textId="127A7D31" w:rsidR="0017169D" w:rsidRDefault="0017169D" w:rsidP="00B54594">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eastAsia="zh-CN"/>
        </w:rPr>
      </w:pPr>
      <w:r>
        <w:rPr>
          <w:rFonts w:hint="eastAsia"/>
          <w:sz w:val="24"/>
          <w:szCs w:val="24"/>
          <w:lang w:eastAsia="zh-CN"/>
        </w:rPr>
        <w:t>向执行问题附属机构在缔约方大会第十八届会议之前</w:t>
      </w:r>
      <w:r w:rsidR="0047539E">
        <w:rPr>
          <w:rFonts w:hint="eastAsia"/>
          <w:sz w:val="24"/>
          <w:szCs w:val="24"/>
          <w:lang w:eastAsia="zh-CN"/>
        </w:rPr>
        <w:t>举行</w:t>
      </w:r>
      <w:r>
        <w:rPr>
          <w:rFonts w:hint="eastAsia"/>
          <w:sz w:val="24"/>
          <w:szCs w:val="24"/>
          <w:lang w:eastAsia="zh-CN"/>
        </w:rPr>
        <w:t>的一次会议提交一份信息交换所机制工作方案和知识管理战略执行进度</w:t>
      </w:r>
      <w:r w:rsidR="003205D9">
        <w:rPr>
          <w:rFonts w:hint="eastAsia"/>
          <w:sz w:val="24"/>
          <w:szCs w:val="24"/>
          <w:lang w:eastAsia="zh-CN"/>
        </w:rPr>
        <w:t>报告</w:t>
      </w:r>
      <w:r>
        <w:rPr>
          <w:rFonts w:hint="eastAsia"/>
          <w:sz w:val="24"/>
          <w:szCs w:val="24"/>
          <w:lang w:eastAsia="zh-CN"/>
        </w:rPr>
        <w:t>；</w:t>
      </w:r>
    </w:p>
    <w:p w14:paraId="46719DCF" w14:textId="783416FE" w:rsidR="0017169D" w:rsidRDefault="0017169D" w:rsidP="00B54594">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sz w:val="24"/>
          <w:szCs w:val="24"/>
          <w:lang w:val="zh-CN" w:eastAsia="zh-CN"/>
        </w:rPr>
      </w:pPr>
      <w:r>
        <w:rPr>
          <w:rFonts w:hint="eastAsia"/>
          <w:sz w:val="24"/>
          <w:szCs w:val="24"/>
          <w:lang w:eastAsia="zh-CN"/>
        </w:rPr>
        <w:t>编</w:t>
      </w:r>
      <w:r w:rsidR="005F2CEB">
        <w:rPr>
          <w:rFonts w:hint="eastAsia"/>
          <w:sz w:val="24"/>
          <w:szCs w:val="24"/>
          <w:lang w:eastAsia="zh-CN"/>
        </w:rPr>
        <w:t>写</w:t>
      </w:r>
      <w:r>
        <w:rPr>
          <w:rFonts w:hint="eastAsia"/>
          <w:sz w:val="24"/>
          <w:szCs w:val="24"/>
          <w:lang w:eastAsia="zh-CN"/>
        </w:rPr>
        <w:t>一份关于信息交换所机制工作方案和知识管理战略执行情况的分析报告，供执行问题附属机构在缔约方大会第十九届会议之前</w:t>
      </w:r>
      <w:r w:rsidR="005F2CEB">
        <w:rPr>
          <w:rFonts w:hint="eastAsia"/>
          <w:sz w:val="24"/>
          <w:szCs w:val="24"/>
          <w:lang w:eastAsia="zh-CN"/>
        </w:rPr>
        <w:t>举行</w:t>
      </w:r>
      <w:r>
        <w:rPr>
          <w:rFonts w:hint="eastAsia"/>
          <w:sz w:val="24"/>
          <w:szCs w:val="24"/>
          <w:lang w:eastAsia="zh-CN"/>
        </w:rPr>
        <w:t>的一次会议审议，以期结合缔约方大会第十九届会议</w:t>
      </w:r>
      <w:r w:rsidR="006F7576">
        <w:rPr>
          <w:rFonts w:hint="eastAsia"/>
          <w:sz w:val="24"/>
          <w:szCs w:val="24"/>
          <w:lang w:eastAsia="zh-CN"/>
        </w:rPr>
        <w:t>对</w:t>
      </w:r>
      <w:r>
        <w:rPr>
          <w:rFonts w:hint="eastAsia"/>
          <w:sz w:val="24"/>
          <w:szCs w:val="24"/>
          <w:lang w:eastAsia="zh-CN"/>
        </w:rPr>
        <w:t>集体执行进度</w:t>
      </w:r>
      <w:r w:rsidR="006F7576">
        <w:rPr>
          <w:rFonts w:hint="eastAsia"/>
          <w:sz w:val="24"/>
          <w:szCs w:val="24"/>
          <w:lang w:eastAsia="zh-CN"/>
        </w:rPr>
        <w:t>的</w:t>
      </w:r>
      <w:r w:rsidR="00D01FC8">
        <w:rPr>
          <w:rFonts w:hint="eastAsia"/>
          <w:sz w:val="24"/>
          <w:szCs w:val="24"/>
          <w:lang w:eastAsia="zh-CN"/>
        </w:rPr>
        <w:t>第二次</w:t>
      </w:r>
      <w:r w:rsidRPr="00B54594">
        <w:rPr>
          <w:rFonts w:hint="eastAsia"/>
          <w:sz w:val="24"/>
          <w:szCs w:val="24"/>
          <w:lang w:eastAsia="zh-CN"/>
        </w:rPr>
        <w:t>全球审查</w:t>
      </w:r>
      <w:r>
        <w:rPr>
          <w:sz w:val="24"/>
          <w:szCs w:val="24"/>
          <w:lang w:eastAsia="zh-CN"/>
        </w:rPr>
        <w:t>​​</w:t>
      </w:r>
      <w:r>
        <w:rPr>
          <w:rFonts w:hint="eastAsia"/>
          <w:sz w:val="24"/>
          <w:szCs w:val="24"/>
          <w:lang w:eastAsia="zh-CN"/>
        </w:rPr>
        <w:t>，</w:t>
      </w:r>
      <w:r>
        <w:rPr>
          <w:rFonts w:hint="eastAsia"/>
          <w:sz w:val="24"/>
          <w:szCs w:val="24"/>
          <w:lang w:val="zh-CN" w:eastAsia="zh-CN"/>
        </w:rPr>
        <w:t>对工作方案和战略执行情况进行审查</w:t>
      </w:r>
      <w:r>
        <w:rPr>
          <w:rFonts w:hint="eastAsia"/>
          <w:sz w:val="24"/>
          <w:szCs w:val="24"/>
          <w:lang w:val="zh-CN" w:eastAsia="zh-CN"/>
        </w:rPr>
        <w:t>[</w:t>
      </w:r>
      <w:r>
        <w:rPr>
          <w:rFonts w:hint="eastAsia"/>
          <w:sz w:val="24"/>
          <w:szCs w:val="24"/>
          <w:lang w:val="zh-CN" w:eastAsia="zh-CN"/>
        </w:rPr>
        <w:t>，</w:t>
      </w:r>
      <w:r>
        <w:rPr>
          <w:rFonts w:hint="eastAsia"/>
          <w:sz w:val="24"/>
          <w:szCs w:val="24"/>
          <w:lang w:eastAsia="zh-CN"/>
        </w:rPr>
        <w:t>确保以包容和平衡的方式</w:t>
      </w:r>
      <w:r w:rsidR="00480748">
        <w:rPr>
          <w:rFonts w:hint="eastAsia"/>
          <w:sz w:val="24"/>
          <w:szCs w:val="24"/>
          <w:lang w:eastAsia="zh-CN"/>
        </w:rPr>
        <w:t>审查</w:t>
      </w:r>
      <w:r w:rsidR="00984ADB">
        <w:rPr>
          <w:rFonts w:hint="eastAsia"/>
          <w:sz w:val="24"/>
          <w:szCs w:val="24"/>
          <w:lang w:eastAsia="zh-CN"/>
        </w:rPr>
        <w:t>执行情况</w:t>
      </w:r>
      <w:r>
        <w:rPr>
          <w:rFonts w:hint="eastAsia"/>
          <w:sz w:val="24"/>
          <w:szCs w:val="24"/>
          <w:lang w:eastAsia="zh-CN"/>
        </w:rPr>
        <w:t>，同时考虑到国家信息交换所机制的不同发展和运作水平，</w:t>
      </w:r>
      <w:r>
        <w:rPr>
          <w:sz w:val="24"/>
          <w:szCs w:val="24"/>
          <w:lang w:eastAsia="zh-CN"/>
        </w:rPr>
        <w:t>][</w:t>
      </w:r>
      <w:r>
        <w:rPr>
          <w:rFonts w:hint="eastAsia"/>
          <w:sz w:val="24"/>
          <w:szCs w:val="24"/>
          <w:lang w:eastAsia="zh-CN"/>
        </w:rPr>
        <w:t>分析应酌情包括使用自愿指标评估国家信息交换所机制在哪些方面发挥作用并有助于《昆蒙框架》的执行</w:t>
      </w:r>
      <w:r>
        <w:rPr>
          <w:sz w:val="24"/>
          <w:szCs w:val="24"/>
          <w:lang w:eastAsia="zh-CN"/>
        </w:rPr>
        <w:t>]</w:t>
      </w:r>
      <w:r>
        <w:rPr>
          <w:rFonts w:hint="eastAsia"/>
          <w:sz w:val="24"/>
          <w:szCs w:val="24"/>
          <w:lang w:val="zh-CN" w:eastAsia="zh-CN"/>
        </w:rPr>
        <w:t>;</w:t>
      </w:r>
    </w:p>
    <w:p w14:paraId="0FBFF800" w14:textId="25D73EBC" w:rsidR="0017169D" w:rsidRDefault="0017169D" w:rsidP="007904A2">
      <w:pPr>
        <w:pStyle w:val="CBDNormalNoNumber"/>
        <w:numPr>
          <w:ilvl w:val="0"/>
          <w:numId w:val="25"/>
        </w:numPr>
        <w:tabs>
          <w:tab w:val="clear" w:pos="567"/>
          <w:tab w:val="clear" w:pos="1134"/>
          <w:tab w:val="clear" w:pos="1701"/>
          <w:tab w:val="clear" w:pos="2268"/>
          <w:tab w:val="clear" w:pos="2835"/>
          <w:tab w:val="clear" w:pos="3402"/>
        </w:tabs>
        <w:spacing w:before="120"/>
        <w:ind w:left="979" w:firstLine="360"/>
        <w:rPr>
          <w:lang w:eastAsia="zh-CN"/>
        </w:rPr>
      </w:pPr>
      <w:r w:rsidRPr="007904A2">
        <w:rPr>
          <w:rFonts w:hint="eastAsia"/>
          <w:sz w:val="24"/>
          <w:szCs w:val="24"/>
          <w:lang w:eastAsia="zh-CN"/>
        </w:rPr>
        <w:lastRenderedPageBreak/>
        <w:t>与生物多样性知识管理倡议</w:t>
      </w:r>
      <w:r>
        <w:rPr>
          <w:rFonts w:hint="eastAsia"/>
          <w:sz w:val="24"/>
          <w:szCs w:val="24"/>
          <w:lang w:eastAsia="zh-CN"/>
        </w:rPr>
        <w:t>、科技合作支持中心及其他伙伴合作，在缔约方大会第十八届会议之前，在尚未举办区域知识管理讲习班的区域，推动举办此类讲习班。</w:t>
      </w:r>
    </w:p>
    <w:p w14:paraId="5299DDC2" w14:textId="77777777" w:rsidR="0017169D" w:rsidRDefault="0017169D" w:rsidP="0017169D">
      <w:pPr>
        <w:pStyle w:val="CBDNormalNoNumber"/>
        <w:tabs>
          <w:tab w:val="clear" w:pos="567"/>
        </w:tabs>
        <w:ind w:left="1134"/>
        <w:jc w:val="center"/>
      </w:pPr>
      <w:r>
        <w:t>__________</w:t>
      </w:r>
    </w:p>
    <w:p w14:paraId="73DD396F" w14:textId="77777777" w:rsidR="0017169D" w:rsidRDefault="0017169D" w:rsidP="0017169D"/>
    <w:p w14:paraId="6C06E9C4" w14:textId="77777777" w:rsidR="00205AC3" w:rsidRDefault="00205AC3" w:rsidP="00205AC3">
      <w:pPr>
        <w:pStyle w:val="CBDNormalNoNumber"/>
        <w:ind w:left="0"/>
        <w:rPr>
          <w:lang w:eastAsia="zh-CN"/>
        </w:rPr>
      </w:pPr>
    </w:p>
    <w:p w14:paraId="64A27958" w14:textId="7D3D731E" w:rsidR="00A111D1" w:rsidRPr="00D91730" w:rsidRDefault="00A111D1" w:rsidP="0017169D">
      <w:pPr>
        <w:pStyle w:val="CBDNormalNoNumber"/>
      </w:pPr>
    </w:p>
    <w:sectPr w:rsidR="00A111D1" w:rsidRPr="00D91730" w:rsidSect="004917A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BE501" w14:textId="77777777" w:rsidR="00AD4E2C" w:rsidRPr="00866063" w:rsidRDefault="00AD4E2C" w:rsidP="00CF1848">
      <w:r w:rsidRPr="00866063">
        <w:separator/>
      </w:r>
    </w:p>
  </w:endnote>
  <w:endnote w:type="continuationSeparator" w:id="0">
    <w:p w14:paraId="7AD3F02C" w14:textId="77777777" w:rsidR="00AD4E2C" w:rsidRPr="00866063" w:rsidRDefault="00AD4E2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B5CE" w14:textId="0A5B4AD5"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83C2" w14:textId="336459C1"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51A86" w14:textId="77777777" w:rsidR="00AD4E2C" w:rsidRPr="00866063" w:rsidRDefault="00AD4E2C" w:rsidP="00CF1848">
      <w:r w:rsidRPr="00866063">
        <w:separator/>
      </w:r>
    </w:p>
  </w:footnote>
  <w:footnote w:type="continuationSeparator" w:id="0">
    <w:p w14:paraId="6710768C" w14:textId="77777777" w:rsidR="00AD4E2C" w:rsidRPr="00866063" w:rsidRDefault="00AD4E2C" w:rsidP="00CF1848">
      <w:r w:rsidRPr="00866063">
        <w:continuationSeparator/>
      </w:r>
    </w:p>
  </w:footnote>
  <w:footnote w:id="1">
    <w:p w14:paraId="24C5E675" w14:textId="2EFA4D9A" w:rsidR="0017169D" w:rsidRPr="00A10F35" w:rsidRDefault="0017169D" w:rsidP="00663C15">
      <w:pPr>
        <w:pStyle w:val="FootnoteText"/>
        <w:spacing w:after="60"/>
        <w:rPr>
          <w:sz w:val="20"/>
          <w:lang w:val="en-CA" w:eastAsia="zh-CN"/>
        </w:rPr>
      </w:pPr>
      <w:r w:rsidRPr="00A10F35">
        <w:rPr>
          <w:rStyle w:val="FootnoteReference"/>
          <w:sz w:val="20"/>
        </w:rPr>
        <w:footnoteRef/>
      </w:r>
      <w:r w:rsidRPr="00A10F35">
        <w:rPr>
          <w:sz w:val="20"/>
          <w:lang w:eastAsia="zh-CN"/>
        </w:rPr>
        <w:t xml:space="preserve"> </w:t>
      </w:r>
      <w:r w:rsidR="00663C15">
        <w:rPr>
          <w:rFonts w:hint="eastAsia"/>
          <w:sz w:val="20"/>
          <w:lang w:eastAsia="zh-CN"/>
        </w:rPr>
        <w:t xml:space="preserve"> </w:t>
      </w:r>
      <w:r w:rsidRPr="00A10F35">
        <w:rPr>
          <w:rFonts w:hint="eastAsia"/>
          <w:sz w:val="20"/>
          <w:lang w:val="en-CA" w:eastAsia="zh-CN"/>
        </w:rPr>
        <w:t>第</w:t>
      </w:r>
      <w:hyperlink r:id="rId1" w:history="1">
        <w:r w:rsidRPr="00A10F35">
          <w:rPr>
            <w:rStyle w:val="Hyperlink"/>
            <w:sz w:val="20"/>
            <w:lang w:val="en-CA" w:eastAsia="zh-CN"/>
          </w:rPr>
          <w:t>16/9 A</w:t>
        </w:r>
      </w:hyperlink>
      <w:r w:rsidRPr="00A10F35">
        <w:rPr>
          <w:rFonts w:hint="eastAsia"/>
          <w:sz w:val="20"/>
          <w:lang w:val="en-CA" w:eastAsia="zh-CN"/>
        </w:rPr>
        <w:t>号决定，附件。</w:t>
      </w:r>
    </w:p>
  </w:footnote>
  <w:footnote w:id="2">
    <w:p w14:paraId="5726D345" w14:textId="537FD9D2" w:rsidR="0017169D" w:rsidRPr="00A10F35" w:rsidRDefault="0017169D" w:rsidP="00663C15">
      <w:pPr>
        <w:pStyle w:val="FootnoteText"/>
        <w:spacing w:after="60"/>
        <w:rPr>
          <w:sz w:val="20"/>
          <w:lang w:eastAsia="zh-CN"/>
        </w:rPr>
      </w:pPr>
      <w:r w:rsidRPr="00A10F35">
        <w:rPr>
          <w:rStyle w:val="FootnoteReference"/>
          <w:sz w:val="20"/>
        </w:rPr>
        <w:footnoteRef/>
      </w:r>
      <w:r w:rsidRPr="00A10F35">
        <w:rPr>
          <w:sz w:val="20"/>
          <w:lang w:eastAsia="zh-CN"/>
        </w:rPr>
        <w:t xml:space="preserve"> </w:t>
      </w:r>
      <w:r w:rsidR="00663C15">
        <w:rPr>
          <w:rFonts w:hint="eastAsia"/>
          <w:sz w:val="20"/>
          <w:lang w:eastAsia="zh-CN"/>
        </w:rPr>
        <w:t xml:space="preserve"> </w:t>
      </w:r>
      <w:r w:rsidRPr="00A10F35">
        <w:rPr>
          <w:rFonts w:hint="eastAsia"/>
          <w:sz w:val="20"/>
          <w:lang w:eastAsia="zh-CN"/>
        </w:rPr>
        <w:t>第</w:t>
      </w:r>
      <w:hyperlink r:id="rId2" w:history="1">
        <w:r w:rsidRPr="00A10F35">
          <w:rPr>
            <w:rStyle w:val="Hyperlink"/>
            <w:sz w:val="20"/>
            <w:lang w:eastAsia="zh-CN"/>
          </w:rPr>
          <w:t>15/4</w:t>
        </w:r>
      </w:hyperlink>
      <w:r w:rsidRPr="00A10F35">
        <w:rPr>
          <w:rFonts w:hint="eastAsia"/>
          <w:sz w:val="20"/>
          <w:lang w:val="en-CA" w:eastAsia="zh-CN"/>
        </w:rPr>
        <w:t>号决定，</w:t>
      </w:r>
      <w:r w:rsidRPr="00A10F35">
        <w:rPr>
          <w:sz w:val="20"/>
          <w:lang w:eastAsia="zh-CN"/>
        </w:rPr>
        <w:t xml:space="preserve"> </w:t>
      </w:r>
      <w:r w:rsidRPr="00A10F35">
        <w:rPr>
          <w:rFonts w:hint="eastAsia"/>
          <w:sz w:val="20"/>
          <w:lang w:eastAsia="zh-CN"/>
        </w:rPr>
        <w:t>附件。</w:t>
      </w:r>
    </w:p>
  </w:footnote>
  <w:footnote w:id="3">
    <w:p w14:paraId="0783E3D3" w14:textId="6AD43510" w:rsidR="0017169D" w:rsidRPr="00A10F35" w:rsidRDefault="0017169D" w:rsidP="00663C15">
      <w:pPr>
        <w:pStyle w:val="FootnoteText"/>
        <w:spacing w:after="60"/>
        <w:rPr>
          <w:sz w:val="20"/>
          <w:lang w:val="en-CA" w:eastAsia="zh-CN"/>
        </w:rPr>
      </w:pPr>
      <w:r w:rsidRPr="00A10F35">
        <w:rPr>
          <w:rStyle w:val="FootnoteReference"/>
          <w:sz w:val="20"/>
        </w:rPr>
        <w:footnoteRef/>
      </w:r>
      <w:r w:rsidRPr="00A10F35">
        <w:rPr>
          <w:sz w:val="20"/>
          <w:lang w:eastAsia="zh-CN"/>
        </w:rPr>
        <w:t xml:space="preserve"> </w:t>
      </w:r>
      <w:r w:rsidR="00663C15">
        <w:rPr>
          <w:rFonts w:hint="eastAsia"/>
          <w:sz w:val="20"/>
          <w:lang w:eastAsia="zh-CN"/>
        </w:rPr>
        <w:t xml:space="preserve"> </w:t>
      </w:r>
      <w:r w:rsidRPr="00A10F35">
        <w:rPr>
          <w:rFonts w:hint="eastAsia"/>
          <w:sz w:val="20"/>
          <w:lang w:val="en-CA" w:eastAsia="zh-CN"/>
        </w:rPr>
        <w:t>第</w:t>
      </w:r>
      <w:hyperlink r:id="rId3" w:history="1">
        <w:r w:rsidRPr="00A10F35">
          <w:rPr>
            <w:rStyle w:val="Hyperlink"/>
            <w:sz w:val="20"/>
            <w:lang w:val="en-CA" w:eastAsia="zh-CN"/>
          </w:rPr>
          <w:t>16/9 B</w:t>
        </w:r>
      </w:hyperlink>
      <w:r w:rsidRPr="00A10F35">
        <w:rPr>
          <w:rFonts w:hint="eastAsia"/>
          <w:sz w:val="20"/>
          <w:lang w:val="en-CA" w:eastAsia="zh-CN"/>
        </w:rPr>
        <w:t>号决定，附件。</w:t>
      </w:r>
    </w:p>
  </w:footnote>
  <w:footnote w:id="4">
    <w:p w14:paraId="69C7BC63" w14:textId="6A04969A" w:rsidR="0017169D" w:rsidRPr="00A10F35" w:rsidRDefault="0017169D" w:rsidP="00663C15">
      <w:pPr>
        <w:pStyle w:val="FootnoteText"/>
        <w:spacing w:after="60"/>
        <w:rPr>
          <w:sz w:val="20"/>
          <w:lang w:eastAsia="zh-CN"/>
        </w:rPr>
      </w:pPr>
      <w:r w:rsidRPr="00A10F35">
        <w:rPr>
          <w:rStyle w:val="FootnoteReference"/>
          <w:sz w:val="20"/>
        </w:rPr>
        <w:footnoteRef/>
      </w:r>
      <w:r w:rsidRPr="00A10F35">
        <w:rPr>
          <w:sz w:val="20"/>
          <w:lang w:eastAsia="zh-CN"/>
        </w:rPr>
        <w:t xml:space="preserve"> </w:t>
      </w:r>
      <w:r w:rsidR="00663C15">
        <w:rPr>
          <w:rFonts w:hint="eastAsia"/>
          <w:sz w:val="20"/>
          <w:lang w:eastAsia="zh-CN"/>
        </w:rPr>
        <w:t xml:space="preserve"> </w:t>
      </w:r>
      <w:r w:rsidRPr="00370C4D">
        <w:rPr>
          <w:rFonts w:ascii="SimSun" w:hAnsi="SimSun"/>
          <w:sz w:val="20"/>
          <w:lang w:eastAsia="zh-CN"/>
        </w:rPr>
        <w:t>所有提及“</w:t>
      </w:r>
      <w:r w:rsidRPr="00370C4D">
        <w:rPr>
          <w:rFonts w:ascii="SimSun" w:hAnsi="SimSun" w:hint="eastAsia"/>
          <w:sz w:val="20"/>
          <w:lang w:eastAsia="zh-CN"/>
        </w:rPr>
        <w:t>非</w:t>
      </w:r>
      <w:r w:rsidRPr="00370C4D">
        <w:rPr>
          <w:rFonts w:ascii="SimSun" w:hAnsi="SimSun"/>
          <w:sz w:val="20"/>
          <w:lang w:eastAsia="zh-CN"/>
        </w:rPr>
        <w:t>国家政府</w:t>
      </w:r>
      <w:r w:rsidRPr="00370C4D">
        <w:rPr>
          <w:rFonts w:ascii="SimSun" w:hAnsi="SimSun" w:hint="eastAsia"/>
          <w:sz w:val="20"/>
          <w:lang w:eastAsia="zh-CN"/>
        </w:rPr>
        <w:t>行为体</w:t>
      </w:r>
      <w:r w:rsidRPr="00370C4D">
        <w:rPr>
          <w:rFonts w:ascii="SimSun" w:hAnsi="SimSun"/>
          <w:sz w:val="20"/>
          <w:lang w:eastAsia="zh-CN"/>
        </w:rPr>
        <w:t>”的表述</w:t>
      </w:r>
      <w:r w:rsidRPr="00A10F35">
        <w:rPr>
          <w:sz w:val="20"/>
          <w:lang w:eastAsia="zh-CN"/>
        </w:rPr>
        <w:t>，均应依照第</w:t>
      </w:r>
      <w:r>
        <w:rPr>
          <w:rFonts w:hint="eastAsia"/>
          <w:sz w:val="20"/>
          <w:lang w:eastAsia="zh-CN"/>
        </w:rPr>
        <w:t>2</w:t>
      </w:r>
      <w:r w:rsidRPr="00A10F35">
        <w:rPr>
          <w:sz w:val="20"/>
          <w:lang w:eastAsia="zh-CN"/>
        </w:rPr>
        <w:t>段所述理解</w:t>
      </w:r>
      <w:r w:rsidRPr="00A10F35">
        <w:rPr>
          <w:rFonts w:hint="eastAsia"/>
          <w:sz w:val="20"/>
          <w:lang w:eastAsia="zh-CN"/>
        </w:rPr>
        <w:t>（根据第</w:t>
      </w:r>
      <w:hyperlink r:id="rId4" w:history="1">
        <w:r w:rsidRPr="00A10F35">
          <w:rPr>
            <w:rStyle w:val="Hyperlink"/>
            <w:sz w:val="20"/>
            <w:lang w:eastAsia="zh-CN"/>
          </w:rPr>
          <w:t>15/6</w:t>
        </w:r>
      </w:hyperlink>
      <w:r w:rsidRPr="00A10F35">
        <w:rPr>
          <w:rFonts w:hint="eastAsia"/>
          <w:sz w:val="20"/>
          <w:lang w:eastAsia="zh-CN"/>
        </w:rPr>
        <w:t>和第</w:t>
      </w:r>
      <w:hyperlink r:id="rId5" w:history="1">
        <w:r w:rsidRPr="00A10F35">
          <w:rPr>
            <w:rStyle w:val="Hyperlink"/>
            <w:sz w:val="20"/>
            <w:lang w:eastAsia="zh-CN"/>
          </w:rPr>
          <w:t>16/32</w:t>
        </w:r>
      </w:hyperlink>
      <w:r w:rsidRPr="00A10F35">
        <w:rPr>
          <w:rFonts w:hint="eastAsia"/>
          <w:sz w:val="20"/>
          <w:lang w:eastAsia="zh-CN"/>
        </w:rPr>
        <w:t>号决定）。</w:t>
      </w:r>
    </w:p>
  </w:footnote>
  <w:footnote w:id="5">
    <w:p w14:paraId="0DAB9B21" w14:textId="4D129272" w:rsidR="00C03CFF" w:rsidRPr="00A10F35" w:rsidRDefault="00C03CFF" w:rsidP="00663C15">
      <w:pPr>
        <w:pStyle w:val="FootnoteText"/>
        <w:spacing w:after="60"/>
        <w:rPr>
          <w:sz w:val="20"/>
          <w:lang w:val="en-US" w:eastAsia="zh-CN"/>
        </w:rPr>
      </w:pPr>
      <w:r w:rsidRPr="00A10F35">
        <w:rPr>
          <w:rStyle w:val="FootnoteReference"/>
          <w:sz w:val="20"/>
        </w:rPr>
        <w:footnoteRef/>
      </w:r>
      <w:r w:rsidRPr="00A10F35">
        <w:rPr>
          <w:sz w:val="20"/>
          <w:lang w:eastAsia="zh-CN"/>
        </w:rPr>
        <w:t xml:space="preserve"> </w:t>
      </w:r>
      <w:r w:rsidR="00663C15">
        <w:rPr>
          <w:rFonts w:hint="eastAsia"/>
          <w:sz w:val="20"/>
          <w:lang w:eastAsia="zh-CN"/>
        </w:rPr>
        <w:t xml:space="preserve"> </w:t>
      </w:r>
      <w:r>
        <w:rPr>
          <w:rFonts w:hint="eastAsia"/>
          <w:sz w:val="20"/>
          <w:lang w:eastAsia="zh-CN"/>
        </w:rPr>
        <w:t>联合国，《条约汇编》，第</w:t>
      </w:r>
      <w:r>
        <w:rPr>
          <w:rFonts w:hint="eastAsia"/>
          <w:sz w:val="20"/>
          <w:lang w:eastAsia="zh-CN"/>
        </w:rPr>
        <w:t>1760</w:t>
      </w:r>
      <w:r>
        <w:rPr>
          <w:rFonts w:hint="eastAsia"/>
          <w:sz w:val="20"/>
          <w:lang w:eastAsia="zh-CN"/>
        </w:rPr>
        <w:t>卷，第</w:t>
      </w:r>
      <w:r>
        <w:rPr>
          <w:rFonts w:hint="eastAsia"/>
          <w:sz w:val="20"/>
          <w:lang w:eastAsia="zh-CN"/>
        </w:rPr>
        <w:t>30619</w:t>
      </w:r>
      <w:r>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D1E6B" w14:textId="06E9F8F9" w:rsidR="00534681" w:rsidRPr="00866063" w:rsidRDefault="004917A1" w:rsidP="007C4951">
    <w:pPr>
      <w:pStyle w:val="Header"/>
      <w:spacing w:after="240"/>
      <w:rPr>
        <w:rFonts w:hint="eastAsia"/>
        <w:szCs w:val="20"/>
        <w:lang w:eastAsia="zh-CN"/>
      </w:rPr>
    </w:pPr>
    <w:r w:rsidRPr="004917A1">
      <w:rPr>
        <w:sz w:val="22"/>
        <w:szCs w:val="20"/>
      </w:rPr>
      <w:t>CBD/SBI/</w:t>
    </w:r>
    <w:r w:rsidR="00B87CAF">
      <w:rPr>
        <w:rFonts w:hint="eastAsia"/>
        <w:sz w:val="22"/>
        <w:szCs w:val="20"/>
        <w:lang w:eastAsia="zh-CN"/>
      </w:rPr>
      <w:t>REC/</w:t>
    </w:r>
    <w:r w:rsidRPr="004917A1">
      <w:rPr>
        <w:sz w:val="22"/>
        <w:szCs w:val="20"/>
      </w:rPr>
      <w:t>7/</w:t>
    </w:r>
    <w:r w:rsidR="00B87CAF">
      <w:rPr>
        <w:rFonts w:hint="eastAsia"/>
        <w:sz w:val="22"/>
        <w:szCs w:val="20"/>
        <w:lang w:eastAsia="zh-CN"/>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49CE" w14:textId="4B1B83ED" w:rsidR="009505C9" w:rsidRPr="00866063" w:rsidRDefault="004917A1" w:rsidP="007C4951">
    <w:pPr>
      <w:pStyle w:val="Header"/>
      <w:spacing w:after="240"/>
      <w:jc w:val="right"/>
      <w:rPr>
        <w:rFonts w:hint="eastAsia"/>
        <w:lang w:eastAsia="zh-CN"/>
      </w:rPr>
    </w:pPr>
    <w:r>
      <w:t>CBD/SBI/</w:t>
    </w:r>
    <w:r w:rsidR="006E7A3C">
      <w:rPr>
        <w:rFonts w:hint="eastAsia"/>
        <w:lang w:eastAsia="zh-CN"/>
      </w:rPr>
      <w:t>REC/</w:t>
    </w:r>
    <w:r>
      <w:t>7/</w:t>
    </w:r>
    <w:r w:rsidR="006E7A3C">
      <w:rPr>
        <w:rFonts w:hint="eastAsia"/>
        <w:lang w:eastAsia="zh-CN"/>
      </w:rP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46836006"/>
    <w:multiLevelType w:val="hybridMultilevel"/>
    <w:tmpl w:val="A2A04DE2"/>
    <w:lvl w:ilvl="0" w:tplc="FFFFFFFF">
      <w:start w:val="1"/>
      <w:numFmt w:val="decimal"/>
      <w:lvlText w:val="%1."/>
      <w:lvlJc w:val="left"/>
      <w:pPr>
        <w:ind w:left="2189" w:hanging="360"/>
      </w:pPr>
      <w:rPr>
        <w:rFonts w:ascii="Times New Roman" w:hAnsi="Times New Roman" w:cs="Times New Roman" w:hint="default"/>
        <w:i w:val="0"/>
        <w:iCs w:val="0"/>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3F6817"/>
    <w:multiLevelType w:val="hybridMultilevel"/>
    <w:tmpl w:val="6EF8BE8E"/>
    <w:lvl w:ilvl="0" w:tplc="8AECF47A">
      <w:start w:val="1"/>
      <w:numFmt w:val="decimal"/>
      <w:lvlText w:val="%1."/>
      <w:lvlJc w:val="left"/>
      <w:pPr>
        <w:ind w:left="1959" w:hanging="4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430321558">
    <w:abstractNumId w:val="7"/>
  </w:num>
  <w:num w:numId="2" w16cid:durableId="778641765">
    <w:abstractNumId w:val="4"/>
  </w:num>
  <w:num w:numId="3" w16cid:durableId="2121097385">
    <w:abstractNumId w:val="11"/>
  </w:num>
  <w:num w:numId="4" w16cid:durableId="162428751">
    <w:abstractNumId w:val="12"/>
  </w:num>
  <w:num w:numId="5" w16cid:durableId="876553519">
    <w:abstractNumId w:val="5"/>
  </w:num>
  <w:num w:numId="6" w16cid:durableId="181630498">
    <w:abstractNumId w:val="9"/>
  </w:num>
  <w:num w:numId="7" w16cid:durableId="1590308104">
    <w:abstractNumId w:val="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4780382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72894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698979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0623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946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2497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23762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858370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23646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7872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6808355">
    <w:abstractNumId w:val="8"/>
  </w:num>
  <w:num w:numId="19" w16cid:durableId="1060321743">
    <w:abstractNumId w:val="6"/>
  </w:num>
  <w:num w:numId="20" w16cid:durableId="1397432669">
    <w:abstractNumId w:val="1"/>
  </w:num>
  <w:num w:numId="21" w16cid:durableId="1208450308">
    <w:abstractNumId w:val="10"/>
  </w:num>
  <w:num w:numId="22" w16cid:durableId="11535214">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5956302">
    <w:abstractNumId w:val="3"/>
  </w:num>
  <w:num w:numId="24" w16cid:durableId="2016109686">
    <w:abstractNumId w:val="0"/>
  </w:num>
  <w:num w:numId="25" w16cid:durableId="160040810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F11"/>
    <w:rsid w:val="00000F44"/>
    <w:rsid w:val="00001B67"/>
    <w:rsid w:val="00002B15"/>
    <w:rsid w:val="0000518D"/>
    <w:rsid w:val="00005476"/>
    <w:rsid w:val="00012793"/>
    <w:rsid w:val="000148A3"/>
    <w:rsid w:val="0002593A"/>
    <w:rsid w:val="00032306"/>
    <w:rsid w:val="0003409F"/>
    <w:rsid w:val="00036893"/>
    <w:rsid w:val="00036DF3"/>
    <w:rsid w:val="00044718"/>
    <w:rsid w:val="000452D5"/>
    <w:rsid w:val="000626A1"/>
    <w:rsid w:val="00065A5D"/>
    <w:rsid w:val="0007171B"/>
    <w:rsid w:val="00082418"/>
    <w:rsid w:val="00094AD5"/>
    <w:rsid w:val="00095F92"/>
    <w:rsid w:val="0009758B"/>
    <w:rsid w:val="00097EF9"/>
    <w:rsid w:val="000A0463"/>
    <w:rsid w:val="000A21B4"/>
    <w:rsid w:val="000A7A33"/>
    <w:rsid w:val="000B211C"/>
    <w:rsid w:val="000B5431"/>
    <w:rsid w:val="000B613D"/>
    <w:rsid w:val="000B69CD"/>
    <w:rsid w:val="000B6EA8"/>
    <w:rsid w:val="000C096B"/>
    <w:rsid w:val="000C0CD6"/>
    <w:rsid w:val="000C5ED5"/>
    <w:rsid w:val="000D0F68"/>
    <w:rsid w:val="000D1302"/>
    <w:rsid w:val="000E349B"/>
    <w:rsid w:val="000E673A"/>
    <w:rsid w:val="000E7506"/>
    <w:rsid w:val="000E7F30"/>
    <w:rsid w:val="000F2AD7"/>
    <w:rsid w:val="000F310F"/>
    <w:rsid w:val="000F6945"/>
    <w:rsid w:val="000F74F5"/>
    <w:rsid w:val="000F78FC"/>
    <w:rsid w:val="0010277A"/>
    <w:rsid w:val="001029D5"/>
    <w:rsid w:val="0010328A"/>
    <w:rsid w:val="00105372"/>
    <w:rsid w:val="001054A6"/>
    <w:rsid w:val="001078A1"/>
    <w:rsid w:val="001111C4"/>
    <w:rsid w:val="00117B1C"/>
    <w:rsid w:val="001254E1"/>
    <w:rsid w:val="001301A9"/>
    <w:rsid w:val="001312AD"/>
    <w:rsid w:val="00131E7A"/>
    <w:rsid w:val="0013306D"/>
    <w:rsid w:val="00134846"/>
    <w:rsid w:val="001359AB"/>
    <w:rsid w:val="00136962"/>
    <w:rsid w:val="001417D4"/>
    <w:rsid w:val="001419D4"/>
    <w:rsid w:val="00142E48"/>
    <w:rsid w:val="00143775"/>
    <w:rsid w:val="00143E42"/>
    <w:rsid w:val="0014525D"/>
    <w:rsid w:val="00145AD1"/>
    <w:rsid w:val="00151D19"/>
    <w:rsid w:val="001633D0"/>
    <w:rsid w:val="00163EA8"/>
    <w:rsid w:val="0017169D"/>
    <w:rsid w:val="00172737"/>
    <w:rsid w:val="00172AF6"/>
    <w:rsid w:val="00176CEE"/>
    <w:rsid w:val="00177FD3"/>
    <w:rsid w:val="00181CD0"/>
    <w:rsid w:val="001838D7"/>
    <w:rsid w:val="00186B68"/>
    <w:rsid w:val="00186DD8"/>
    <w:rsid w:val="00191E57"/>
    <w:rsid w:val="0019200F"/>
    <w:rsid w:val="00192B24"/>
    <w:rsid w:val="001933CA"/>
    <w:rsid w:val="001A246E"/>
    <w:rsid w:val="001A2D69"/>
    <w:rsid w:val="001A35EC"/>
    <w:rsid w:val="001A642D"/>
    <w:rsid w:val="001B0149"/>
    <w:rsid w:val="001B13FE"/>
    <w:rsid w:val="001B5143"/>
    <w:rsid w:val="001B6989"/>
    <w:rsid w:val="001C02B3"/>
    <w:rsid w:val="001C4148"/>
    <w:rsid w:val="001C4E10"/>
    <w:rsid w:val="001C6F3E"/>
    <w:rsid w:val="001D0FD2"/>
    <w:rsid w:val="001D475D"/>
    <w:rsid w:val="001E03AE"/>
    <w:rsid w:val="001E11A2"/>
    <w:rsid w:val="001E5E49"/>
    <w:rsid w:val="00200AC5"/>
    <w:rsid w:val="002039AF"/>
    <w:rsid w:val="002051CB"/>
    <w:rsid w:val="00205AC3"/>
    <w:rsid w:val="00205C3E"/>
    <w:rsid w:val="0021197D"/>
    <w:rsid w:val="002176E4"/>
    <w:rsid w:val="00220476"/>
    <w:rsid w:val="002206AB"/>
    <w:rsid w:val="00224EFF"/>
    <w:rsid w:val="00227073"/>
    <w:rsid w:val="00231156"/>
    <w:rsid w:val="00233431"/>
    <w:rsid w:val="0024355F"/>
    <w:rsid w:val="00244AFF"/>
    <w:rsid w:val="00250442"/>
    <w:rsid w:val="00250875"/>
    <w:rsid w:val="00250DA0"/>
    <w:rsid w:val="00252CCC"/>
    <w:rsid w:val="0025339D"/>
    <w:rsid w:val="00256221"/>
    <w:rsid w:val="0025645F"/>
    <w:rsid w:val="002649BA"/>
    <w:rsid w:val="00265B25"/>
    <w:rsid w:val="00267EDC"/>
    <w:rsid w:val="0027038C"/>
    <w:rsid w:val="00274195"/>
    <w:rsid w:val="00285F00"/>
    <w:rsid w:val="00287B9F"/>
    <w:rsid w:val="0029005E"/>
    <w:rsid w:val="00291AC4"/>
    <w:rsid w:val="00295CC7"/>
    <w:rsid w:val="00296BBF"/>
    <w:rsid w:val="00296DD7"/>
    <w:rsid w:val="002A2390"/>
    <w:rsid w:val="002A25B6"/>
    <w:rsid w:val="002A5D6E"/>
    <w:rsid w:val="002A6771"/>
    <w:rsid w:val="002A6EC0"/>
    <w:rsid w:val="002B644E"/>
    <w:rsid w:val="002B7C7A"/>
    <w:rsid w:val="002C0005"/>
    <w:rsid w:val="002C3D79"/>
    <w:rsid w:val="002C45E7"/>
    <w:rsid w:val="002C48CB"/>
    <w:rsid w:val="002D1FE4"/>
    <w:rsid w:val="002E1A5F"/>
    <w:rsid w:val="002E2A53"/>
    <w:rsid w:val="002E2F8A"/>
    <w:rsid w:val="002E49F2"/>
    <w:rsid w:val="002E6F61"/>
    <w:rsid w:val="002F27B9"/>
    <w:rsid w:val="003008FE"/>
    <w:rsid w:val="0030169D"/>
    <w:rsid w:val="003060EB"/>
    <w:rsid w:val="003070EC"/>
    <w:rsid w:val="003126A2"/>
    <w:rsid w:val="003153EB"/>
    <w:rsid w:val="003205D9"/>
    <w:rsid w:val="00321985"/>
    <w:rsid w:val="00331D02"/>
    <w:rsid w:val="00333628"/>
    <w:rsid w:val="00335594"/>
    <w:rsid w:val="00344108"/>
    <w:rsid w:val="003448B0"/>
    <w:rsid w:val="0034588D"/>
    <w:rsid w:val="003465C9"/>
    <w:rsid w:val="00351205"/>
    <w:rsid w:val="00351C2A"/>
    <w:rsid w:val="003537F9"/>
    <w:rsid w:val="0035738B"/>
    <w:rsid w:val="00357A7C"/>
    <w:rsid w:val="00360EA0"/>
    <w:rsid w:val="003639E2"/>
    <w:rsid w:val="00365118"/>
    <w:rsid w:val="00371265"/>
    <w:rsid w:val="00372247"/>
    <w:rsid w:val="00372F74"/>
    <w:rsid w:val="0038775B"/>
    <w:rsid w:val="00387CD3"/>
    <w:rsid w:val="00391647"/>
    <w:rsid w:val="003919BA"/>
    <w:rsid w:val="00392A88"/>
    <w:rsid w:val="003A5C7E"/>
    <w:rsid w:val="003B0D3D"/>
    <w:rsid w:val="003B2027"/>
    <w:rsid w:val="003B35F7"/>
    <w:rsid w:val="003B3B3C"/>
    <w:rsid w:val="003C1030"/>
    <w:rsid w:val="003C3CA5"/>
    <w:rsid w:val="003C4587"/>
    <w:rsid w:val="003C599E"/>
    <w:rsid w:val="003C74D6"/>
    <w:rsid w:val="003D51F9"/>
    <w:rsid w:val="003D6789"/>
    <w:rsid w:val="003E2C40"/>
    <w:rsid w:val="003E37FA"/>
    <w:rsid w:val="003E434F"/>
    <w:rsid w:val="003F3590"/>
    <w:rsid w:val="003F6E8C"/>
    <w:rsid w:val="003F7224"/>
    <w:rsid w:val="00402C47"/>
    <w:rsid w:val="00403FB7"/>
    <w:rsid w:val="004056C4"/>
    <w:rsid w:val="00410560"/>
    <w:rsid w:val="00412837"/>
    <w:rsid w:val="0042316F"/>
    <w:rsid w:val="00424798"/>
    <w:rsid w:val="00425348"/>
    <w:rsid w:val="00427D21"/>
    <w:rsid w:val="00430E70"/>
    <w:rsid w:val="00431B9D"/>
    <w:rsid w:val="004332A3"/>
    <w:rsid w:val="00436F27"/>
    <w:rsid w:val="00447F4A"/>
    <w:rsid w:val="00451182"/>
    <w:rsid w:val="00455AF2"/>
    <w:rsid w:val="00456F67"/>
    <w:rsid w:val="004600B2"/>
    <w:rsid w:val="00460EDE"/>
    <w:rsid w:val="00461A24"/>
    <w:rsid w:val="004644C2"/>
    <w:rsid w:val="00467F9C"/>
    <w:rsid w:val="00471671"/>
    <w:rsid w:val="00472B41"/>
    <w:rsid w:val="00473B21"/>
    <w:rsid w:val="0047539E"/>
    <w:rsid w:val="00480748"/>
    <w:rsid w:val="00481F4B"/>
    <w:rsid w:val="00490C25"/>
    <w:rsid w:val="004917A1"/>
    <w:rsid w:val="00496FE1"/>
    <w:rsid w:val="00497D15"/>
    <w:rsid w:val="004A4B15"/>
    <w:rsid w:val="004A667A"/>
    <w:rsid w:val="004A7DE8"/>
    <w:rsid w:val="004B1B50"/>
    <w:rsid w:val="004B479E"/>
    <w:rsid w:val="004B560E"/>
    <w:rsid w:val="004B5803"/>
    <w:rsid w:val="004B7C1B"/>
    <w:rsid w:val="004C16DA"/>
    <w:rsid w:val="004D1C92"/>
    <w:rsid w:val="004D42D1"/>
    <w:rsid w:val="004D44C1"/>
    <w:rsid w:val="004E0BD5"/>
    <w:rsid w:val="004E78C4"/>
    <w:rsid w:val="004F38F9"/>
    <w:rsid w:val="004F3C74"/>
    <w:rsid w:val="004F7F1F"/>
    <w:rsid w:val="0050403B"/>
    <w:rsid w:val="005056C1"/>
    <w:rsid w:val="00506CB2"/>
    <w:rsid w:val="0051006C"/>
    <w:rsid w:val="00510804"/>
    <w:rsid w:val="0051157C"/>
    <w:rsid w:val="00523D0C"/>
    <w:rsid w:val="00534681"/>
    <w:rsid w:val="0053742E"/>
    <w:rsid w:val="0053763F"/>
    <w:rsid w:val="005423AB"/>
    <w:rsid w:val="005437EC"/>
    <w:rsid w:val="00543F84"/>
    <w:rsid w:val="00546BF6"/>
    <w:rsid w:val="00546E3C"/>
    <w:rsid w:val="00551F83"/>
    <w:rsid w:val="0055339B"/>
    <w:rsid w:val="0056068E"/>
    <w:rsid w:val="00563442"/>
    <w:rsid w:val="0056348E"/>
    <w:rsid w:val="00565B42"/>
    <w:rsid w:val="00571AA5"/>
    <w:rsid w:val="00577924"/>
    <w:rsid w:val="00580006"/>
    <w:rsid w:val="00586D78"/>
    <w:rsid w:val="005A4E3B"/>
    <w:rsid w:val="005A515A"/>
    <w:rsid w:val="005A5528"/>
    <w:rsid w:val="005A66D7"/>
    <w:rsid w:val="005A6EBC"/>
    <w:rsid w:val="005A7EEC"/>
    <w:rsid w:val="005B24CD"/>
    <w:rsid w:val="005B35E2"/>
    <w:rsid w:val="005C4CE6"/>
    <w:rsid w:val="005C4D62"/>
    <w:rsid w:val="005C684A"/>
    <w:rsid w:val="005C7643"/>
    <w:rsid w:val="005D1554"/>
    <w:rsid w:val="005D2A0C"/>
    <w:rsid w:val="005D67D6"/>
    <w:rsid w:val="005D75EB"/>
    <w:rsid w:val="005D7E50"/>
    <w:rsid w:val="005E2034"/>
    <w:rsid w:val="005E58B0"/>
    <w:rsid w:val="005E66AD"/>
    <w:rsid w:val="005F1432"/>
    <w:rsid w:val="005F2CEB"/>
    <w:rsid w:val="005F4989"/>
    <w:rsid w:val="00600DC0"/>
    <w:rsid w:val="0060369A"/>
    <w:rsid w:val="006045FF"/>
    <w:rsid w:val="00605A19"/>
    <w:rsid w:val="00611831"/>
    <w:rsid w:val="006122BA"/>
    <w:rsid w:val="00612487"/>
    <w:rsid w:val="006137B8"/>
    <w:rsid w:val="00614AFB"/>
    <w:rsid w:val="00616116"/>
    <w:rsid w:val="00620995"/>
    <w:rsid w:val="0062748A"/>
    <w:rsid w:val="00627C92"/>
    <w:rsid w:val="006323E9"/>
    <w:rsid w:val="0063274E"/>
    <w:rsid w:val="00632925"/>
    <w:rsid w:val="00635BF5"/>
    <w:rsid w:val="006407FA"/>
    <w:rsid w:val="006478BF"/>
    <w:rsid w:val="006512A1"/>
    <w:rsid w:val="00652224"/>
    <w:rsid w:val="006530A8"/>
    <w:rsid w:val="00655616"/>
    <w:rsid w:val="00660B19"/>
    <w:rsid w:val="006628F9"/>
    <w:rsid w:val="00663C15"/>
    <w:rsid w:val="00671DA5"/>
    <w:rsid w:val="00672C75"/>
    <w:rsid w:val="00676345"/>
    <w:rsid w:val="00690BA2"/>
    <w:rsid w:val="00696AEF"/>
    <w:rsid w:val="006A1A0D"/>
    <w:rsid w:val="006A613F"/>
    <w:rsid w:val="006A73C1"/>
    <w:rsid w:val="006B1C41"/>
    <w:rsid w:val="006B2290"/>
    <w:rsid w:val="006B40E1"/>
    <w:rsid w:val="006C07C7"/>
    <w:rsid w:val="006C0D43"/>
    <w:rsid w:val="006D3216"/>
    <w:rsid w:val="006D5B0F"/>
    <w:rsid w:val="006E0136"/>
    <w:rsid w:val="006E2C9C"/>
    <w:rsid w:val="006E4821"/>
    <w:rsid w:val="006E7A3C"/>
    <w:rsid w:val="006F7576"/>
    <w:rsid w:val="007022C3"/>
    <w:rsid w:val="00704325"/>
    <w:rsid w:val="0070512C"/>
    <w:rsid w:val="00707404"/>
    <w:rsid w:val="00707EE5"/>
    <w:rsid w:val="007109EB"/>
    <w:rsid w:val="0071239A"/>
    <w:rsid w:val="007143E9"/>
    <w:rsid w:val="00714EF2"/>
    <w:rsid w:val="007163B5"/>
    <w:rsid w:val="00717C01"/>
    <w:rsid w:val="00717D88"/>
    <w:rsid w:val="00720D96"/>
    <w:rsid w:val="0072332B"/>
    <w:rsid w:val="0072585A"/>
    <w:rsid w:val="00726A43"/>
    <w:rsid w:val="0073116C"/>
    <w:rsid w:val="007313DB"/>
    <w:rsid w:val="00732B5E"/>
    <w:rsid w:val="00733450"/>
    <w:rsid w:val="00736124"/>
    <w:rsid w:val="0073740A"/>
    <w:rsid w:val="00761107"/>
    <w:rsid w:val="00773CC9"/>
    <w:rsid w:val="0077751E"/>
    <w:rsid w:val="00781AB2"/>
    <w:rsid w:val="00786056"/>
    <w:rsid w:val="007904A2"/>
    <w:rsid w:val="007908B7"/>
    <w:rsid w:val="00790EEB"/>
    <w:rsid w:val="007914BE"/>
    <w:rsid w:val="00793058"/>
    <w:rsid w:val="00794118"/>
    <w:rsid w:val="007942D3"/>
    <w:rsid w:val="007B2099"/>
    <w:rsid w:val="007B311B"/>
    <w:rsid w:val="007B6463"/>
    <w:rsid w:val="007B6C09"/>
    <w:rsid w:val="007B7741"/>
    <w:rsid w:val="007B7967"/>
    <w:rsid w:val="007C0630"/>
    <w:rsid w:val="007C2FC7"/>
    <w:rsid w:val="007C4951"/>
    <w:rsid w:val="007C6C45"/>
    <w:rsid w:val="007C7BD3"/>
    <w:rsid w:val="007D1F93"/>
    <w:rsid w:val="007D42D3"/>
    <w:rsid w:val="007E09DA"/>
    <w:rsid w:val="007E0F8A"/>
    <w:rsid w:val="007E560F"/>
    <w:rsid w:val="007F7067"/>
    <w:rsid w:val="007F718D"/>
    <w:rsid w:val="007F7D5E"/>
    <w:rsid w:val="008009CC"/>
    <w:rsid w:val="00800C58"/>
    <w:rsid w:val="00801FAD"/>
    <w:rsid w:val="008029A1"/>
    <w:rsid w:val="00805AB9"/>
    <w:rsid w:val="00810E2B"/>
    <w:rsid w:val="00813969"/>
    <w:rsid w:val="00813FD8"/>
    <w:rsid w:val="00817001"/>
    <w:rsid w:val="008178B6"/>
    <w:rsid w:val="00817CAF"/>
    <w:rsid w:val="00823FFF"/>
    <w:rsid w:val="00830CB5"/>
    <w:rsid w:val="00832D94"/>
    <w:rsid w:val="008338EC"/>
    <w:rsid w:val="008340D3"/>
    <w:rsid w:val="008343E7"/>
    <w:rsid w:val="0083540F"/>
    <w:rsid w:val="00844BBB"/>
    <w:rsid w:val="00850669"/>
    <w:rsid w:val="008521C8"/>
    <w:rsid w:val="0085672C"/>
    <w:rsid w:val="00861DB9"/>
    <w:rsid w:val="00865B74"/>
    <w:rsid w:val="00866063"/>
    <w:rsid w:val="00870821"/>
    <w:rsid w:val="008711E0"/>
    <w:rsid w:val="0087193E"/>
    <w:rsid w:val="0087451E"/>
    <w:rsid w:val="00882925"/>
    <w:rsid w:val="008843B4"/>
    <w:rsid w:val="008845B0"/>
    <w:rsid w:val="00886A38"/>
    <w:rsid w:val="008974F0"/>
    <w:rsid w:val="00897D27"/>
    <w:rsid w:val="008A05DF"/>
    <w:rsid w:val="008A1499"/>
    <w:rsid w:val="008A2FDD"/>
    <w:rsid w:val="008A7F8E"/>
    <w:rsid w:val="008B0080"/>
    <w:rsid w:val="008B012A"/>
    <w:rsid w:val="008B5BE9"/>
    <w:rsid w:val="008C0B53"/>
    <w:rsid w:val="008C0F56"/>
    <w:rsid w:val="008C7151"/>
    <w:rsid w:val="008C7F5C"/>
    <w:rsid w:val="008D0049"/>
    <w:rsid w:val="008D23E0"/>
    <w:rsid w:val="008D7609"/>
    <w:rsid w:val="008E04B3"/>
    <w:rsid w:val="008E71F3"/>
    <w:rsid w:val="008F138E"/>
    <w:rsid w:val="0090077E"/>
    <w:rsid w:val="00900B14"/>
    <w:rsid w:val="00904F01"/>
    <w:rsid w:val="00905BB8"/>
    <w:rsid w:val="00906E17"/>
    <w:rsid w:val="0091099F"/>
    <w:rsid w:val="00916115"/>
    <w:rsid w:val="00920367"/>
    <w:rsid w:val="0092184F"/>
    <w:rsid w:val="0092661E"/>
    <w:rsid w:val="00930115"/>
    <w:rsid w:val="00930BA1"/>
    <w:rsid w:val="0093169E"/>
    <w:rsid w:val="009368E9"/>
    <w:rsid w:val="00937534"/>
    <w:rsid w:val="0093757B"/>
    <w:rsid w:val="00946FC9"/>
    <w:rsid w:val="009505C9"/>
    <w:rsid w:val="00950752"/>
    <w:rsid w:val="00950950"/>
    <w:rsid w:val="00954930"/>
    <w:rsid w:val="00954B1E"/>
    <w:rsid w:val="00954DDA"/>
    <w:rsid w:val="00957ED4"/>
    <w:rsid w:val="009636C1"/>
    <w:rsid w:val="00966424"/>
    <w:rsid w:val="00971208"/>
    <w:rsid w:val="00971B8D"/>
    <w:rsid w:val="00972D29"/>
    <w:rsid w:val="00974B9D"/>
    <w:rsid w:val="00974F4F"/>
    <w:rsid w:val="00984ADB"/>
    <w:rsid w:val="00985007"/>
    <w:rsid w:val="0099523B"/>
    <w:rsid w:val="009963E2"/>
    <w:rsid w:val="00997D59"/>
    <w:rsid w:val="009A19EC"/>
    <w:rsid w:val="009A2D15"/>
    <w:rsid w:val="009A4851"/>
    <w:rsid w:val="009B1ADF"/>
    <w:rsid w:val="009B3AD2"/>
    <w:rsid w:val="009B40FB"/>
    <w:rsid w:val="009B65C5"/>
    <w:rsid w:val="009B690D"/>
    <w:rsid w:val="009B781E"/>
    <w:rsid w:val="009B7943"/>
    <w:rsid w:val="009B7B40"/>
    <w:rsid w:val="009C2DE6"/>
    <w:rsid w:val="009D1B2C"/>
    <w:rsid w:val="009D6E9E"/>
    <w:rsid w:val="009F7EC3"/>
    <w:rsid w:val="00A02DC3"/>
    <w:rsid w:val="00A05150"/>
    <w:rsid w:val="00A10F35"/>
    <w:rsid w:val="00A111D1"/>
    <w:rsid w:val="00A21992"/>
    <w:rsid w:val="00A275DC"/>
    <w:rsid w:val="00A30E51"/>
    <w:rsid w:val="00A41100"/>
    <w:rsid w:val="00A431CB"/>
    <w:rsid w:val="00A43F44"/>
    <w:rsid w:val="00A46C10"/>
    <w:rsid w:val="00A4782D"/>
    <w:rsid w:val="00A535BA"/>
    <w:rsid w:val="00A5574E"/>
    <w:rsid w:val="00A55C8A"/>
    <w:rsid w:val="00A5792E"/>
    <w:rsid w:val="00A630C1"/>
    <w:rsid w:val="00A64CCE"/>
    <w:rsid w:val="00A67DC0"/>
    <w:rsid w:val="00A813DC"/>
    <w:rsid w:val="00A83C6B"/>
    <w:rsid w:val="00A84BB7"/>
    <w:rsid w:val="00A97FFE"/>
    <w:rsid w:val="00AA29B0"/>
    <w:rsid w:val="00AA60D3"/>
    <w:rsid w:val="00AA67D5"/>
    <w:rsid w:val="00AA6F92"/>
    <w:rsid w:val="00AB08EA"/>
    <w:rsid w:val="00AB238C"/>
    <w:rsid w:val="00AB3A83"/>
    <w:rsid w:val="00AB6934"/>
    <w:rsid w:val="00AC0CC3"/>
    <w:rsid w:val="00AC26F3"/>
    <w:rsid w:val="00AD11F8"/>
    <w:rsid w:val="00AD17EE"/>
    <w:rsid w:val="00AD4E2C"/>
    <w:rsid w:val="00AD5B5E"/>
    <w:rsid w:val="00AE237F"/>
    <w:rsid w:val="00AE3E76"/>
    <w:rsid w:val="00AF42DE"/>
    <w:rsid w:val="00AF539B"/>
    <w:rsid w:val="00AF62EC"/>
    <w:rsid w:val="00B04B63"/>
    <w:rsid w:val="00B05155"/>
    <w:rsid w:val="00B06660"/>
    <w:rsid w:val="00B078E3"/>
    <w:rsid w:val="00B079B3"/>
    <w:rsid w:val="00B12247"/>
    <w:rsid w:val="00B22DEA"/>
    <w:rsid w:val="00B316F3"/>
    <w:rsid w:val="00B31F11"/>
    <w:rsid w:val="00B3369F"/>
    <w:rsid w:val="00B351E5"/>
    <w:rsid w:val="00B355C5"/>
    <w:rsid w:val="00B36830"/>
    <w:rsid w:val="00B409F5"/>
    <w:rsid w:val="00B42BB1"/>
    <w:rsid w:val="00B45CD6"/>
    <w:rsid w:val="00B463B5"/>
    <w:rsid w:val="00B516AA"/>
    <w:rsid w:val="00B5251B"/>
    <w:rsid w:val="00B538A7"/>
    <w:rsid w:val="00B54594"/>
    <w:rsid w:val="00B57BE7"/>
    <w:rsid w:val="00B64A63"/>
    <w:rsid w:val="00B65E98"/>
    <w:rsid w:val="00B66F8D"/>
    <w:rsid w:val="00B71E3C"/>
    <w:rsid w:val="00B74041"/>
    <w:rsid w:val="00B83B94"/>
    <w:rsid w:val="00B85423"/>
    <w:rsid w:val="00B87CAF"/>
    <w:rsid w:val="00B87D5E"/>
    <w:rsid w:val="00B9141D"/>
    <w:rsid w:val="00B93C13"/>
    <w:rsid w:val="00B94E6C"/>
    <w:rsid w:val="00B95E14"/>
    <w:rsid w:val="00B96AF0"/>
    <w:rsid w:val="00BA0AF9"/>
    <w:rsid w:val="00BB193E"/>
    <w:rsid w:val="00BB4606"/>
    <w:rsid w:val="00BB46B5"/>
    <w:rsid w:val="00BB4AE1"/>
    <w:rsid w:val="00BC4FBE"/>
    <w:rsid w:val="00BD1AFF"/>
    <w:rsid w:val="00BD2B1E"/>
    <w:rsid w:val="00BD7DDC"/>
    <w:rsid w:val="00BE1403"/>
    <w:rsid w:val="00BE7332"/>
    <w:rsid w:val="00C008E3"/>
    <w:rsid w:val="00C03CFF"/>
    <w:rsid w:val="00C10D8D"/>
    <w:rsid w:val="00C115B5"/>
    <w:rsid w:val="00C12149"/>
    <w:rsid w:val="00C15A1C"/>
    <w:rsid w:val="00C16E26"/>
    <w:rsid w:val="00C23D2F"/>
    <w:rsid w:val="00C25C53"/>
    <w:rsid w:val="00C25F47"/>
    <w:rsid w:val="00C30BDF"/>
    <w:rsid w:val="00C31B94"/>
    <w:rsid w:val="00C34DCE"/>
    <w:rsid w:val="00C36A1A"/>
    <w:rsid w:val="00C40B45"/>
    <w:rsid w:val="00C4348A"/>
    <w:rsid w:val="00C44158"/>
    <w:rsid w:val="00C443BD"/>
    <w:rsid w:val="00C451C5"/>
    <w:rsid w:val="00C453DD"/>
    <w:rsid w:val="00C47870"/>
    <w:rsid w:val="00C4798A"/>
    <w:rsid w:val="00C50A99"/>
    <w:rsid w:val="00C55E0B"/>
    <w:rsid w:val="00C579A0"/>
    <w:rsid w:val="00C63766"/>
    <w:rsid w:val="00C65AAD"/>
    <w:rsid w:val="00C67C1A"/>
    <w:rsid w:val="00C70F05"/>
    <w:rsid w:val="00C760C9"/>
    <w:rsid w:val="00C844C1"/>
    <w:rsid w:val="00C8587C"/>
    <w:rsid w:val="00C9161D"/>
    <w:rsid w:val="00CA0C1D"/>
    <w:rsid w:val="00CA2FAB"/>
    <w:rsid w:val="00CA510D"/>
    <w:rsid w:val="00CA6AA7"/>
    <w:rsid w:val="00CA74C0"/>
    <w:rsid w:val="00CB02E1"/>
    <w:rsid w:val="00CB258D"/>
    <w:rsid w:val="00CB62BD"/>
    <w:rsid w:val="00CB77E9"/>
    <w:rsid w:val="00CC32F6"/>
    <w:rsid w:val="00CC3C58"/>
    <w:rsid w:val="00CD1386"/>
    <w:rsid w:val="00CD42D4"/>
    <w:rsid w:val="00CD4762"/>
    <w:rsid w:val="00CD783D"/>
    <w:rsid w:val="00CE4234"/>
    <w:rsid w:val="00CE4881"/>
    <w:rsid w:val="00CE7BDD"/>
    <w:rsid w:val="00CF1848"/>
    <w:rsid w:val="00CF4D1F"/>
    <w:rsid w:val="00CF68CD"/>
    <w:rsid w:val="00D01FC8"/>
    <w:rsid w:val="00D10DB5"/>
    <w:rsid w:val="00D115B0"/>
    <w:rsid w:val="00D12044"/>
    <w:rsid w:val="00D13049"/>
    <w:rsid w:val="00D13F11"/>
    <w:rsid w:val="00D14607"/>
    <w:rsid w:val="00D14BDD"/>
    <w:rsid w:val="00D14D0C"/>
    <w:rsid w:val="00D170D9"/>
    <w:rsid w:val="00D2645B"/>
    <w:rsid w:val="00D33C73"/>
    <w:rsid w:val="00D33EFC"/>
    <w:rsid w:val="00D347BD"/>
    <w:rsid w:val="00D34BEE"/>
    <w:rsid w:val="00D357F0"/>
    <w:rsid w:val="00D40DBC"/>
    <w:rsid w:val="00D47097"/>
    <w:rsid w:val="00D470E2"/>
    <w:rsid w:val="00D61C85"/>
    <w:rsid w:val="00D65465"/>
    <w:rsid w:val="00D65560"/>
    <w:rsid w:val="00D725D3"/>
    <w:rsid w:val="00D744A5"/>
    <w:rsid w:val="00D74FDE"/>
    <w:rsid w:val="00D75CA6"/>
    <w:rsid w:val="00D76586"/>
    <w:rsid w:val="00D76A18"/>
    <w:rsid w:val="00D76C5B"/>
    <w:rsid w:val="00D80849"/>
    <w:rsid w:val="00D80906"/>
    <w:rsid w:val="00D8263C"/>
    <w:rsid w:val="00D82DF8"/>
    <w:rsid w:val="00D82E8F"/>
    <w:rsid w:val="00D84520"/>
    <w:rsid w:val="00D870B5"/>
    <w:rsid w:val="00D9094F"/>
    <w:rsid w:val="00D91730"/>
    <w:rsid w:val="00D92AC8"/>
    <w:rsid w:val="00D9769C"/>
    <w:rsid w:val="00D97E47"/>
    <w:rsid w:val="00DA7250"/>
    <w:rsid w:val="00DA7559"/>
    <w:rsid w:val="00DA7BE9"/>
    <w:rsid w:val="00DB0121"/>
    <w:rsid w:val="00DB1B4C"/>
    <w:rsid w:val="00DB27DD"/>
    <w:rsid w:val="00DB5E0F"/>
    <w:rsid w:val="00DC04BB"/>
    <w:rsid w:val="00DC0A6D"/>
    <w:rsid w:val="00DC0C70"/>
    <w:rsid w:val="00DC1082"/>
    <w:rsid w:val="00DC2C8E"/>
    <w:rsid w:val="00DD118C"/>
    <w:rsid w:val="00DE067E"/>
    <w:rsid w:val="00DE6087"/>
    <w:rsid w:val="00DE6375"/>
    <w:rsid w:val="00DE765C"/>
    <w:rsid w:val="00DF71D2"/>
    <w:rsid w:val="00DF7AFF"/>
    <w:rsid w:val="00E017AF"/>
    <w:rsid w:val="00E10C14"/>
    <w:rsid w:val="00E11246"/>
    <w:rsid w:val="00E1261D"/>
    <w:rsid w:val="00E13FAA"/>
    <w:rsid w:val="00E20158"/>
    <w:rsid w:val="00E23131"/>
    <w:rsid w:val="00E31C09"/>
    <w:rsid w:val="00E322D8"/>
    <w:rsid w:val="00E32533"/>
    <w:rsid w:val="00E32BA8"/>
    <w:rsid w:val="00E33133"/>
    <w:rsid w:val="00E35BDF"/>
    <w:rsid w:val="00E372B3"/>
    <w:rsid w:val="00E44339"/>
    <w:rsid w:val="00E447B1"/>
    <w:rsid w:val="00E448CF"/>
    <w:rsid w:val="00E54574"/>
    <w:rsid w:val="00E5556F"/>
    <w:rsid w:val="00E576F0"/>
    <w:rsid w:val="00E65BF2"/>
    <w:rsid w:val="00E66235"/>
    <w:rsid w:val="00E73ACC"/>
    <w:rsid w:val="00E8291D"/>
    <w:rsid w:val="00E83C24"/>
    <w:rsid w:val="00E8467F"/>
    <w:rsid w:val="00E92671"/>
    <w:rsid w:val="00E9318D"/>
    <w:rsid w:val="00E93F3E"/>
    <w:rsid w:val="00EA0C98"/>
    <w:rsid w:val="00EA0CF3"/>
    <w:rsid w:val="00EA3AC8"/>
    <w:rsid w:val="00EA498A"/>
    <w:rsid w:val="00EA6657"/>
    <w:rsid w:val="00EB3B93"/>
    <w:rsid w:val="00EB6D9E"/>
    <w:rsid w:val="00EC0839"/>
    <w:rsid w:val="00EC1422"/>
    <w:rsid w:val="00EC756E"/>
    <w:rsid w:val="00ED41D1"/>
    <w:rsid w:val="00ED5133"/>
    <w:rsid w:val="00EE0E85"/>
    <w:rsid w:val="00EE2C3E"/>
    <w:rsid w:val="00EE73E3"/>
    <w:rsid w:val="00EF2F5F"/>
    <w:rsid w:val="00EF7E61"/>
    <w:rsid w:val="00F01BCF"/>
    <w:rsid w:val="00F0405D"/>
    <w:rsid w:val="00F044D4"/>
    <w:rsid w:val="00F05761"/>
    <w:rsid w:val="00F063C2"/>
    <w:rsid w:val="00F11DE4"/>
    <w:rsid w:val="00F13E40"/>
    <w:rsid w:val="00F21AB2"/>
    <w:rsid w:val="00F275A1"/>
    <w:rsid w:val="00F27BF5"/>
    <w:rsid w:val="00F37F8A"/>
    <w:rsid w:val="00F44AFC"/>
    <w:rsid w:val="00F45CCF"/>
    <w:rsid w:val="00F53193"/>
    <w:rsid w:val="00F5357E"/>
    <w:rsid w:val="00F53B16"/>
    <w:rsid w:val="00F55BCC"/>
    <w:rsid w:val="00F6586C"/>
    <w:rsid w:val="00F76A53"/>
    <w:rsid w:val="00F76F5A"/>
    <w:rsid w:val="00F8292A"/>
    <w:rsid w:val="00F83D9B"/>
    <w:rsid w:val="00F86E9E"/>
    <w:rsid w:val="00F901D9"/>
    <w:rsid w:val="00F9038B"/>
    <w:rsid w:val="00F92EF3"/>
    <w:rsid w:val="00F94774"/>
    <w:rsid w:val="00FA22C4"/>
    <w:rsid w:val="00FA294F"/>
    <w:rsid w:val="00FA663B"/>
    <w:rsid w:val="00FB6391"/>
    <w:rsid w:val="00FC53DB"/>
    <w:rsid w:val="00FD1140"/>
    <w:rsid w:val="00FD48A7"/>
    <w:rsid w:val="00FD48FA"/>
    <w:rsid w:val="00FE19C3"/>
    <w:rsid w:val="00FE25B3"/>
    <w:rsid w:val="00FE33E9"/>
    <w:rsid w:val="00FF458A"/>
    <w:rsid w:val="00FF513F"/>
    <w:rsid w:val="00FF667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AA796ED9-03A6-4DE2-BB77-1E947F743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MS Gothic"/>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MS Gothic"/>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MS Gothic"/>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10"/>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11"/>
    <w:rsid w:val="007E09DA"/>
    <w:rPr>
      <w:rFonts w:ascii="Calibri" w:eastAsia="MS Gothic" w:hAnsi="Calibri" w:cs="Times New Roman"/>
      <w:i/>
      <w:iCs/>
      <w:color w:val="4F81BD"/>
      <w:spacing w:val="15"/>
      <w:szCs w:val="22"/>
      <w:lang w:val="en-GB"/>
    </w:rPr>
  </w:style>
  <w:style w:type="character" w:customStyle="1" w:styleId="Heading1Char">
    <w:name w:val="Heading 1 Char"/>
    <w:link w:val="Heading1"/>
    <w:uiPriority w:val="9"/>
    <w:rsid w:val="00866063"/>
    <w:rPr>
      <w:rFonts w:ascii="Times New Roman" w:eastAsia="MS Gothic" w:hAnsi="Times New Roman" w:cs="Times New Roman"/>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Cambria" w:eastAsia="Cambria" w:hAnsi="Cambria" w:cs="Arial"/>
      <w:kern w:val="2"/>
    </w:rPr>
  </w:style>
  <w:style w:type="character" w:customStyle="1" w:styleId="BodyTextChar">
    <w:name w:val="Body Text Char"/>
    <w:link w:val="BodyText"/>
    <w:uiPriority w:val="99"/>
    <w:rsid w:val="00866063"/>
    <w:rPr>
      <w:rFonts w:eastAsia="Cambria"/>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link w:val="BodyTextIndent"/>
    <w:rsid w:val="007E09DA"/>
    <w:rPr>
      <w:rFonts w:ascii="Times New Roman" w:eastAsia="SimSun" w:hAnsi="Times New Roman" w:cs="Times New Roman"/>
      <w:sz w:val="22"/>
      <w:szCs w:val="22"/>
      <w:lang w:val="en-GB"/>
    </w:rPr>
  </w:style>
  <w:style w:type="character" w:styleId="CommentReference">
    <w:name w:val="annotation reference"/>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link w:val="Heading2"/>
    <w:uiPriority w:val="9"/>
    <w:rsid w:val="00866063"/>
    <w:rPr>
      <w:rFonts w:ascii="Times New Roman Bold" w:eastAsia="MS Gothic" w:hAnsi="Times New Roman Bold" w:cs="Times New Roman"/>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link w:val="Heading3"/>
    <w:uiPriority w:val="9"/>
    <w:rsid w:val="00866063"/>
    <w:rPr>
      <w:rFonts w:ascii="Times New Roman" w:eastAsia="MS Gothic"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link w:val="Heading4"/>
    <w:uiPriority w:val="9"/>
    <w:rsid w:val="00866063"/>
    <w:rPr>
      <w:rFonts w:ascii="Times New Roman" w:eastAsia="MS Gothic"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link w:val="Heading5"/>
    <w:uiPriority w:val="9"/>
    <w:rsid w:val="00866063"/>
    <w:rPr>
      <w:rFonts w:ascii="Times New Roman" w:eastAsia="MS Gothic" w:hAnsi="Times New Roman" w:cs="Times New Roman"/>
      <w:i/>
      <w:iCs/>
      <w:sz w:val="22"/>
      <w:szCs w:val="22"/>
      <w:lang w:val="en-GB"/>
    </w:rPr>
  </w:style>
  <w:style w:type="character" w:customStyle="1" w:styleId="Heading6Char">
    <w:name w:val="Heading 6 Char"/>
    <w:link w:val="Heading6"/>
    <w:rsid w:val="00866063"/>
    <w:rPr>
      <w:rFonts w:ascii="Times New Roman" w:eastAsia="SimSun" w:hAnsi="Times New Roman" w:cs="Times New Roman"/>
      <w:bCs/>
      <w:szCs w:val="22"/>
      <w:lang w:val="en-GB"/>
    </w:rPr>
  </w:style>
  <w:style w:type="character" w:customStyle="1" w:styleId="Heading7Char">
    <w:name w:val="Heading 7 Char"/>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uiPriority w:val="99"/>
    <w:unhideWhenUsed/>
    <w:rsid w:val="00866063"/>
    <w:rPr>
      <w:rFonts w:ascii="Times New Roman" w:hAnsi="Times New Roman"/>
      <w:color w:val="0000FF"/>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sz w:val="24"/>
      <w:szCs w:val="24"/>
      <w:lang w:eastAsia="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B2B2FF"/>
    </w:tcPr>
    <w:tblStylePr w:type="firstRow">
      <w:rPr>
        <w:b/>
        <w:bCs/>
      </w:rPr>
      <w:tblPr/>
      <w:tcPr>
        <w:shd w:val="clear" w:color="auto" w:fill="6666FF"/>
      </w:tcPr>
    </w:tblStylePr>
    <w:tblStylePr w:type="lastRow">
      <w:rPr>
        <w:b/>
        <w:bCs/>
        <w:color w:val="000080"/>
      </w:rPr>
      <w:tblPr/>
      <w:tcPr>
        <w:shd w:val="clear" w:color="auto" w:fill="6666FF"/>
      </w:tcPr>
    </w:tblStylePr>
    <w:tblStylePr w:type="firstCol">
      <w:rPr>
        <w:color w:val="FFFFFF"/>
      </w:rPr>
      <w:tblPr/>
      <w:tcPr>
        <w:shd w:val="clear" w:color="auto" w:fill="00005F"/>
      </w:tcPr>
    </w:tblStylePr>
    <w:tblStylePr w:type="lastCol">
      <w:rPr>
        <w:color w:val="FFFFFF"/>
      </w:rPr>
      <w:tblPr/>
      <w:tcPr>
        <w:shd w:val="clear" w:color="auto" w:fill="00005F"/>
      </w:tcPr>
    </w:tblStylePr>
    <w:tblStylePr w:type="band1Vert">
      <w:tblPr/>
      <w:tcPr>
        <w:shd w:val="clear" w:color="auto" w:fill="4040FF"/>
      </w:tcPr>
    </w:tblStylePr>
    <w:tblStylePr w:type="band1Horz">
      <w:tblPr/>
      <w:tcPr>
        <w:shd w:val="clear" w:color="auto" w:fill="4040FF"/>
      </w:tcPr>
    </w:tblStylePr>
  </w:style>
  <w:style w:type="table" w:styleId="ColorfulGrid-Accent1">
    <w:name w:val="Colorful Grid Accent 1"/>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8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8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8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8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8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semiHidden/>
    <w:unhideWhenUsed/>
    <w:rsid w:val="00A111D1"/>
    <w:rPr>
      <w:color w:val="00008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8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semiHidden/>
    <w:unhideWhenUsed/>
    <w:rsid w:val="00A111D1"/>
    <w:rPr>
      <w:color w:val="000080"/>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cPr>
    </w:tblStylePr>
    <w:tblStylePr w:type="band1Horz">
      <w:tblPr/>
      <w:tcPr>
        <w:shd w:val="clear" w:color="auto" w:fill="B2B2FF"/>
      </w:tcPr>
    </w:tblStylePr>
  </w:style>
  <w:style w:type="table" w:styleId="ColorfulList-Accent1">
    <w:name w:val="Colorful List Accent 1"/>
    <w:basedOn w:val="TableNormal"/>
    <w:uiPriority w:val="72"/>
    <w:semiHidden/>
    <w:unhideWhenUsed/>
    <w:rsid w:val="00A111D1"/>
    <w:rPr>
      <w:color w:val="00008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semiHidden/>
    <w:unhideWhenUsed/>
    <w:rsid w:val="00A111D1"/>
    <w:rPr>
      <w:color w:val="00008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semiHidden/>
    <w:unhideWhenUsed/>
    <w:rsid w:val="00A111D1"/>
    <w:rPr>
      <w:color w:val="00008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semiHidden/>
    <w:unhideWhenUsed/>
    <w:rsid w:val="00A111D1"/>
    <w:rPr>
      <w:color w:val="00008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semiHidden/>
    <w:unhideWhenUsed/>
    <w:rsid w:val="00A111D1"/>
    <w:rPr>
      <w:color w:val="00008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semiHidden/>
    <w:unhideWhenUsed/>
    <w:rsid w:val="00A111D1"/>
    <w:rPr>
      <w:color w:val="00008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8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semiHidden/>
    <w:unhideWhenUsed/>
    <w:rsid w:val="00A111D1"/>
    <w:rPr>
      <w:color w:val="000080"/>
    </w:rPr>
    <w:tblPr>
      <w:tblStyleRowBandSize w:val="1"/>
      <w:tblStyleColBandSize w:val="1"/>
      <w:tblBorders>
        <w:top w:val="single" w:sz="24" w:space="0" w:color="C0504D"/>
        <w:left w:val="single" w:sz="4" w:space="0" w:color="000080"/>
        <w:bottom w:val="single" w:sz="4" w:space="0" w:color="000080"/>
        <w:right w:val="single" w:sz="4" w:space="0" w:color="000080"/>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C"/>
      </w:tcPr>
    </w:tblStylePr>
    <w:tblStylePr w:type="firstCol">
      <w:rPr>
        <w:color w:val="FFFFFF"/>
      </w:rPr>
      <w:tblPr/>
      <w:tcPr>
        <w:tcBorders>
          <w:top w:val="nil"/>
          <w:left w:val="nil"/>
          <w:bottom w:val="nil"/>
          <w:right w:val="nil"/>
          <w:insideH w:val="single" w:sz="4" w:space="0" w:color="00004C"/>
          <w:insideV w:val="nil"/>
        </w:tcBorders>
        <w:shd w:val="clear" w:color="auto" w:fill="00004C"/>
      </w:tcPr>
    </w:tblStylePr>
    <w:tblStylePr w:type="lastCol">
      <w:rPr>
        <w:color w:val="FFFFFF"/>
      </w:rPr>
      <w:tblPr/>
      <w:tcPr>
        <w:tcBorders>
          <w:top w:val="nil"/>
          <w:left w:val="nil"/>
          <w:bottom w:val="nil"/>
          <w:right w:val="nil"/>
          <w:insideH w:val="nil"/>
          <w:insideV w:val="nil"/>
        </w:tcBorders>
        <w:shd w:val="clear" w:color="auto" w:fill="00005F"/>
      </w:tcPr>
    </w:tblStylePr>
    <w:tblStylePr w:type="band1Vert">
      <w:tblPr/>
      <w:tcPr>
        <w:shd w:val="clear" w:color="auto" w:fill="6666FF"/>
      </w:tcPr>
    </w:tblStylePr>
    <w:tblStylePr w:type="band1Horz">
      <w:tblPr/>
      <w:tcPr>
        <w:shd w:val="clear" w:color="auto" w:fill="4040FF"/>
      </w:tcPr>
    </w:tblStylePr>
    <w:tblStylePr w:type="neCell">
      <w:rPr>
        <w:color w:val="000080"/>
      </w:rPr>
    </w:tblStylePr>
    <w:tblStylePr w:type="nwCell">
      <w:rPr>
        <w:color w:val="000080"/>
      </w:rPr>
    </w:tblStylePr>
  </w:style>
  <w:style w:type="table" w:styleId="ColorfulShading-Accent1">
    <w:name w:val="Colorful Shading Accent 1"/>
    <w:basedOn w:val="TableNormal"/>
    <w:uiPriority w:val="71"/>
    <w:semiHidden/>
    <w:unhideWhenUsed/>
    <w:rsid w:val="00A111D1"/>
    <w:rPr>
      <w:color w:val="00008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80"/>
      </w:rPr>
    </w:tblStylePr>
    <w:tblStylePr w:type="nwCell">
      <w:rPr>
        <w:color w:val="000080"/>
      </w:rPr>
    </w:tblStylePr>
  </w:style>
  <w:style w:type="table" w:styleId="ColorfulShading-Accent2">
    <w:name w:val="Colorful Shading Accent 2"/>
    <w:basedOn w:val="TableNormal"/>
    <w:uiPriority w:val="71"/>
    <w:semiHidden/>
    <w:unhideWhenUsed/>
    <w:rsid w:val="00A111D1"/>
    <w:rPr>
      <w:color w:val="00008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80"/>
      </w:rPr>
    </w:tblStylePr>
    <w:tblStylePr w:type="nwCell">
      <w:rPr>
        <w:color w:val="000080"/>
      </w:rPr>
    </w:tblStylePr>
  </w:style>
  <w:style w:type="table" w:styleId="ColorfulShading-Accent3">
    <w:name w:val="Colorful Shading Accent 3"/>
    <w:basedOn w:val="TableNormal"/>
    <w:uiPriority w:val="71"/>
    <w:semiHidden/>
    <w:unhideWhenUsed/>
    <w:rsid w:val="00A111D1"/>
    <w:rPr>
      <w:color w:val="00008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semiHidden/>
    <w:unhideWhenUsed/>
    <w:rsid w:val="00A111D1"/>
    <w:rPr>
      <w:color w:val="00008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80"/>
      </w:rPr>
    </w:tblStylePr>
    <w:tblStylePr w:type="nwCell">
      <w:rPr>
        <w:color w:val="000080"/>
      </w:rPr>
    </w:tblStylePr>
  </w:style>
  <w:style w:type="table" w:styleId="ColorfulShading-Accent5">
    <w:name w:val="Colorful Shading Accent 5"/>
    <w:basedOn w:val="TableNormal"/>
    <w:uiPriority w:val="71"/>
    <w:semiHidden/>
    <w:unhideWhenUsed/>
    <w:rsid w:val="00A111D1"/>
    <w:rPr>
      <w:color w:val="00008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80"/>
      </w:rPr>
    </w:tblStylePr>
    <w:tblStylePr w:type="nwCell">
      <w:rPr>
        <w:color w:val="000080"/>
      </w:rPr>
    </w:tblStylePr>
  </w:style>
  <w:style w:type="table" w:styleId="ColorfulShading-Accent6">
    <w:name w:val="Colorful Shading Accent 6"/>
    <w:basedOn w:val="TableNormal"/>
    <w:uiPriority w:val="71"/>
    <w:semiHidden/>
    <w:unhideWhenUsed/>
    <w:rsid w:val="00A111D1"/>
    <w:rPr>
      <w:color w:val="00008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80"/>
      </w:rPr>
    </w:tblStylePr>
    <w:tblStylePr w:type="nwCell">
      <w:rPr>
        <w:color w:val="000080"/>
      </w:rPr>
    </w:tblStylePr>
  </w:style>
  <w:style w:type="table" w:styleId="DarkList">
    <w:name w:val="Dark List"/>
    <w:basedOn w:val="TableNormal"/>
    <w:uiPriority w:val="70"/>
    <w:semiHidden/>
    <w:unhideWhenUsed/>
    <w:rsid w:val="00A111D1"/>
    <w:rPr>
      <w:color w:val="FFFFFF"/>
    </w:rPr>
    <w:tblPr>
      <w:tblStyleRowBandSize w:val="1"/>
      <w:tblStyleColBandSize w:val="1"/>
    </w:tblPr>
    <w:tcPr>
      <w:shd w:val="clear" w:color="auto" w:fill="000080"/>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00003F"/>
      </w:tcPr>
    </w:tblStylePr>
    <w:tblStylePr w:type="firstCol">
      <w:tblPr/>
      <w:tcPr>
        <w:tcBorders>
          <w:top w:val="nil"/>
          <w:left w:val="nil"/>
          <w:bottom w:val="nil"/>
          <w:right w:val="single" w:sz="18" w:space="0" w:color="FFFFFF"/>
          <w:insideH w:val="nil"/>
          <w:insideV w:val="nil"/>
        </w:tcBorders>
        <w:shd w:val="clear" w:color="auto" w:fill="00005F"/>
      </w:tcPr>
    </w:tblStylePr>
    <w:tblStylePr w:type="lastCol">
      <w:tblPr/>
      <w:tcPr>
        <w:tcBorders>
          <w:top w:val="nil"/>
          <w:left w:val="single" w:sz="18" w:space="0" w:color="FFFFFF"/>
          <w:bottom w:val="nil"/>
          <w:right w:val="nil"/>
          <w:insideH w:val="nil"/>
          <w:insideV w:val="nil"/>
        </w:tcBorders>
        <w:shd w:val="clear" w:color="auto" w:fill="00005F"/>
      </w:tcPr>
    </w:tblStylePr>
    <w:tblStylePr w:type="band1Vert">
      <w:tblPr/>
      <w:tcPr>
        <w:tcBorders>
          <w:top w:val="nil"/>
          <w:left w:val="nil"/>
          <w:bottom w:val="nil"/>
          <w:right w:val="nil"/>
          <w:insideH w:val="nil"/>
          <w:insideV w:val="nil"/>
        </w:tcBorders>
        <w:shd w:val="clear" w:color="auto" w:fill="00005F"/>
      </w:tcPr>
    </w:tblStylePr>
    <w:tblStylePr w:type="band1Horz">
      <w:tblPr/>
      <w:tcPr>
        <w:tcBorders>
          <w:top w:val="nil"/>
          <w:left w:val="nil"/>
          <w:bottom w:val="nil"/>
          <w:right w:val="nil"/>
          <w:insideH w:val="nil"/>
          <w:insideV w:val="nil"/>
        </w:tcBorders>
        <w:shd w:val="clear" w:color="auto" w:fill="00005F"/>
      </w:tcPr>
    </w:tblStylePr>
  </w:style>
  <w:style w:type="table" w:styleId="DarkList-Accent1">
    <w:name w:val="Dark List Accent 1"/>
    <w:basedOn w:val="TableNormal"/>
    <w:uiPriority w:val="70"/>
    <w:semiHidden/>
    <w:unhideWhenUsed/>
    <w:rsid w:val="00A111D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semiHidden/>
    <w:unhideWhenUsed/>
    <w:rsid w:val="00A111D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semiHidden/>
    <w:unhideWhenUsed/>
    <w:rsid w:val="00A111D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semiHidden/>
    <w:unhideWhenUsed/>
    <w:rsid w:val="00A111D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semiHidden/>
    <w:unhideWhenUsed/>
    <w:rsid w:val="00A111D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semiHidden/>
    <w:unhideWhenUsed/>
    <w:rsid w:val="00A111D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8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A111D1"/>
  </w:style>
  <w:style w:type="character" w:customStyle="1" w:styleId="DateChar">
    <w:name w:val="Date Char"/>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link w:val="E-mailSignature"/>
    <w:uiPriority w:val="99"/>
    <w:semiHidden/>
    <w:rsid w:val="00A111D1"/>
    <w:rPr>
      <w:rFonts w:ascii="Times New Roman" w:eastAsia="SimSun" w:hAnsi="Times New Roman" w:cs="Times New Roman"/>
      <w:sz w:val="22"/>
      <w:szCs w:val="22"/>
      <w:lang w:val="en-GB"/>
    </w:rPr>
  </w:style>
  <w:style w:type="character" w:styleId="Emphasis">
    <w:name w:val="Emphasis"/>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unhideWhenUsed/>
    <w:rsid w:val="00A111D1"/>
    <w:rPr>
      <w:rFonts w:ascii="Calibri" w:eastAsia="MS Gothic" w:hAnsi="Calibr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left w:val="single" w:sz="4" w:space="0" w:color="6666FF"/>
        <w:bottom w:val="single" w:sz="4" w:space="0" w:color="6666FF"/>
        <w:right w:val="single" w:sz="4" w:space="0" w:color="6666FF"/>
        <w:insideH w:val="single" w:sz="4" w:space="0" w:color="6666FF"/>
        <w:insideV w:val="single" w:sz="4" w:space="0" w:color="6666FF"/>
      </w:tblBorders>
    </w:tblPr>
    <w:tblStylePr w:type="firstRow">
      <w:rPr>
        <w:b/>
        <w:bCs/>
      </w:rPr>
      <w:tblPr/>
      <w:tcPr>
        <w:tcBorders>
          <w:bottom w:val="single" w:sz="12" w:space="0" w:color="1919FF"/>
        </w:tcBorders>
      </w:tcPr>
    </w:tblStylePr>
    <w:tblStylePr w:type="lastRow">
      <w:rPr>
        <w:b/>
        <w:bCs/>
      </w:rPr>
      <w:tblPr/>
      <w:tcPr>
        <w:tcBorders>
          <w:top w:val="double" w:sz="2" w:space="0" w:color="1919FF"/>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bottom w:val="single" w:sz="2" w:space="0" w:color="1919FF"/>
        <w:insideH w:val="single" w:sz="2" w:space="0" w:color="1919FF"/>
        <w:insideV w:val="single" w:sz="2" w:space="0" w:color="1919FF"/>
      </w:tblBorders>
    </w:tblPr>
    <w:tblStylePr w:type="firstRow">
      <w:rPr>
        <w:b/>
        <w:bCs/>
      </w:rPr>
      <w:tblPr/>
      <w:tcPr>
        <w:tcBorders>
          <w:top w:val="nil"/>
          <w:bottom w:val="single" w:sz="12" w:space="0" w:color="1919FF"/>
          <w:insideH w:val="nil"/>
          <w:insideV w:val="nil"/>
        </w:tcBorders>
        <w:shd w:val="clear" w:color="auto" w:fill="FFFFFF"/>
      </w:tcPr>
    </w:tblStylePr>
    <w:tblStylePr w:type="lastRow">
      <w:rPr>
        <w:b/>
        <w:bCs/>
      </w:rPr>
      <w:tblPr/>
      <w:tcPr>
        <w:tcBorders>
          <w:top w:val="double" w:sz="2" w:space="0" w:color="1919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3">
    <w:name w:val="Grid Table 3"/>
    <w:basedOn w:val="TableNormal"/>
    <w:uiPriority w:val="48"/>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4">
    <w:name w:val="Grid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insideV w:val="nil"/>
        </w:tcBorders>
        <w:shd w:val="clear" w:color="auto" w:fill="000080"/>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5Dark">
    <w:name w:val="Grid Table 5 Dark"/>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B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0"/>
      </w:tcPr>
    </w:tblStylePr>
    <w:tblStylePr w:type="band1Vert">
      <w:tblPr/>
      <w:tcPr>
        <w:shd w:val="clear" w:color="auto" w:fill="6666FF"/>
      </w:tcPr>
    </w:tblStylePr>
    <w:tblStylePr w:type="band1Horz">
      <w:tblPr/>
      <w:tcPr>
        <w:shd w:val="clear" w:color="auto" w:fill="6666FF"/>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styleId="GridTable6Colorful">
    <w:name w:val="Grid Table 6 Colorful"/>
    <w:basedOn w:val="TableNormal"/>
    <w:uiPriority w:val="51"/>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bottom w:val="single" w:sz="12" w:space="0" w:color="1919FF"/>
        </w:tcBorders>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GridTable6Colorful-Accent1">
    <w:name w:val="Grid Table 6 Colorful Accent 1"/>
    <w:basedOn w:val="TableNormal"/>
    <w:uiPriority w:val="51"/>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GridTable6Colorful-Accent2">
    <w:name w:val="Grid Table 6 Colorful Accent 2"/>
    <w:basedOn w:val="TableNormal"/>
    <w:uiPriority w:val="51"/>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6Colorful-Accent3">
    <w:name w:val="Grid Table 6 Colorful Accent 3"/>
    <w:basedOn w:val="TableNormal"/>
    <w:uiPriority w:val="51"/>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6Colorful-Accent4">
    <w:name w:val="Grid Table 6 Colorful Accent 4"/>
    <w:basedOn w:val="TableNormal"/>
    <w:uiPriority w:val="51"/>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GridTable6Colorful-Accent5">
    <w:name w:val="Grid Table 6 Colorful Accent 5"/>
    <w:basedOn w:val="TableNormal"/>
    <w:uiPriority w:val="51"/>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6Colorful-Accent6">
    <w:name w:val="Grid Table 6 Colorful Accent 6"/>
    <w:basedOn w:val="TableNormal"/>
    <w:uiPriority w:val="51"/>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7Colorful">
    <w:name w:val="Grid Table 7 Colorful"/>
    <w:basedOn w:val="TableNormal"/>
    <w:uiPriority w:val="52"/>
    <w:rsid w:val="00A111D1"/>
    <w:rPr>
      <w:color w:val="000080"/>
    </w:rPr>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insideV w:val="single" w:sz="4" w:space="0" w:color="1919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bottom w:val="single" w:sz="4" w:space="0" w:color="1919FF"/>
        </w:tcBorders>
      </w:tcPr>
    </w:tblStylePr>
    <w:tblStylePr w:type="nwCell">
      <w:tblPr/>
      <w:tcPr>
        <w:tcBorders>
          <w:bottom w:val="single" w:sz="4" w:space="0" w:color="1919FF"/>
        </w:tcBorders>
      </w:tcPr>
    </w:tblStylePr>
    <w:tblStylePr w:type="seCell">
      <w:tblPr/>
      <w:tcPr>
        <w:tcBorders>
          <w:top w:val="single" w:sz="4" w:space="0" w:color="1919FF"/>
        </w:tcBorders>
      </w:tcPr>
    </w:tblStylePr>
    <w:tblStylePr w:type="swCell">
      <w:tblPr/>
      <w:tcPr>
        <w:tcBorders>
          <w:top w:val="single" w:sz="4" w:space="0" w:color="1919FF"/>
        </w:tcBorders>
      </w:tcPr>
    </w:tblStylePr>
  </w:style>
  <w:style w:type="table" w:styleId="GridTable7Colorful-Accent1">
    <w:name w:val="Grid Table 7 Colorful Accent 1"/>
    <w:basedOn w:val="TableNormal"/>
    <w:uiPriority w:val="52"/>
    <w:rsid w:val="00A111D1"/>
    <w:rPr>
      <w:color w:val="365F91"/>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styleId="GridTable7Colorful-Accent2">
    <w:name w:val="Grid Table 7 Colorful Accent 2"/>
    <w:basedOn w:val="TableNormal"/>
    <w:uiPriority w:val="52"/>
    <w:rsid w:val="00A111D1"/>
    <w:rPr>
      <w:color w:val="943634"/>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styleId="GridTable7Colorful-Accent3">
    <w:name w:val="Grid Table 7 Colorful Accent 3"/>
    <w:basedOn w:val="TableNormal"/>
    <w:uiPriority w:val="52"/>
    <w:rsid w:val="00A111D1"/>
    <w:rPr>
      <w:color w:val="76923C"/>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styleId="GridTable7Colorful-Accent4">
    <w:name w:val="Grid Table 7 Colorful Accent 4"/>
    <w:basedOn w:val="TableNormal"/>
    <w:uiPriority w:val="52"/>
    <w:rsid w:val="00A111D1"/>
    <w:rPr>
      <w:color w:val="5F497A"/>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styleId="GridTable7Colorful-Accent5">
    <w:name w:val="Grid Table 7 Colorful Accent 5"/>
    <w:basedOn w:val="TableNormal"/>
    <w:uiPriority w:val="52"/>
    <w:rsid w:val="00A111D1"/>
    <w:rPr>
      <w:color w:val="31849B"/>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styleId="GridTable7Colorful-Accent6">
    <w:name w:val="Grid Table 7 Colorful Accent 6"/>
    <w:basedOn w:val="TableNormal"/>
    <w:uiPriority w:val="52"/>
    <w:rsid w:val="00A111D1"/>
    <w:rPr>
      <w:color w:val="E36C0A"/>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uiPriority w:val="99"/>
    <w:semiHidden/>
    <w:unhideWhenUsed/>
    <w:rsid w:val="00A111D1"/>
    <w:rPr>
      <w:color w:val="2B579A"/>
      <w:shd w:val="clear" w:color="auto" w:fill="E1DFDD"/>
      <w:lang w:val="en-GB"/>
    </w:rPr>
  </w:style>
  <w:style w:type="character" w:styleId="HTMLAcronym">
    <w:name w:val="HTML Acronym"/>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uiPriority w:val="99"/>
    <w:semiHidden/>
    <w:unhideWhenUsed/>
    <w:rsid w:val="00A111D1"/>
    <w:rPr>
      <w:i/>
      <w:iCs/>
      <w:lang w:val="en-GB"/>
    </w:rPr>
  </w:style>
  <w:style w:type="character" w:styleId="HTMLCode">
    <w:name w:val="HTML Code"/>
    <w:uiPriority w:val="99"/>
    <w:semiHidden/>
    <w:unhideWhenUsed/>
    <w:rsid w:val="00A111D1"/>
    <w:rPr>
      <w:rFonts w:ascii="Consolas" w:hAnsi="Consolas"/>
      <w:sz w:val="20"/>
      <w:szCs w:val="20"/>
      <w:lang w:val="en-GB"/>
    </w:rPr>
  </w:style>
  <w:style w:type="character" w:styleId="HTMLDefinition">
    <w:name w:val="HTML Definition"/>
    <w:uiPriority w:val="99"/>
    <w:semiHidden/>
    <w:unhideWhenUsed/>
    <w:rsid w:val="00A111D1"/>
    <w:rPr>
      <w:i/>
      <w:iCs/>
      <w:lang w:val="en-GB"/>
    </w:rPr>
  </w:style>
  <w:style w:type="character" w:styleId="HTMLKeyboard">
    <w:name w:val="HTML Keyboard"/>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link w:val="HTMLPreformatted"/>
    <w:uiPriority w:val="99"/>
    <w:semiHidden/>
    <w:rsid w:val="00A111D1"/>
    <w:rPr>
      <w:rFonts w:ascii="Consolas" w:eastAsia="SimSun" w:hAnsi="Consolas" w:cs="Times New Roman"/>
      <w:sz w:val="20"/>
      <w:szCs w:val="20"/>
      <w:lang w:val="en-GB"/>
    </w:rPr>
  </w:style>
  <w:style w:type="character" w:styleId="HTMLSample">
    <w:name w:val="HTML Sample"/>
    <w:uiPriority w:val="99"/>
    <w:semiHidden/>
    <w:unhideWhenUsed/>
    <w:rsid w:val="00A111D1"/>
    <w:rPr>
      <w:rFonts w:ascii="Consolas" w:hAnsi="Consolas"/>
      <w:sz w:val="24"/>
      <w:szCs w:val="24"/>
      <w:lang w:val="en-GB"/>
    </w:rPr>
  </w:style>
  <w:style w:type="character" w:styleId="HTMLTypewriter">
    <w:name w:val="HTML Typewriter"/>
    <w:uiPriority w:val="99"/>
    <w:semiHidden/>
    <w:unhideWhenUsed/>
    <w:rsid w:val="00A111D1"/>
    <w:rPr>
      <w:rFonts w:ascii="Consolas" w:hAnsi="Consolas"/>
      <w:sz w:val="20"/>
      <w:szCs w:val="20"/>
      <w:lang w:val="en-GB"/>
    </w:rPr>
  </w:style>
  <w:style w:type="character" w:styleId="HTMLVariable">
    <w:name w:val="HTML Variable"/>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Calibri" w:eastAsia="MS Gothic" w:hAnsi="Calibri"/>
      <w:b/>
      <w:bCs/>
    </w:rPr>
  </w:style>
  <w:style w:type="character" w:styleId="IntenseEmphasis">
    <w:name w:val="Intense Emphasis"/>
    <w:uiPriority w:val="21"/>
    <w:qFormat/>
    <w:rsid w:val="00A111D1"/>
    <w:rPr>
      <w:i/>
      <w:iCs/>
      <w:color w:val="4F81BD"/>
      <w:lang w:val="en-GB"/>
    </w:rPr>
  </w:style>
  <w:style w:type="paragraph" w:styleId="IntenseQuote">
    <w:name w:val="Intense Quote"/>
    <w:basedOn w:val="Normal"/>
    <w:next w:val="Normal"/>
    <w:link w:val="IntenseQuoteChar"/>
    <w:uiPriority w:val="30"/>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30"/>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32"/>
    <w:qFormat/>
    <w:rsid w:val="00A111D1"/>
    <w:rPr>
      <w:b/>
      <w:bCs/>
      <w:smallCaps/>
      <w:color w:val="4F81BD"/>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blStylePr w:type="firstRow">
      <w:pPr>
        <w:spacing w:before="0" w:after="0" w:line="240" w:lineRule="auto"/>
      </w:pPr>
      <w:rPr>
        <w:rFonts w:ascii="Calibri" w:eastAsia="MS Gothic" w:hAnsi="Calibri" w:cs="Times New Roman"/>
        <w:b/>
        <w:bCs/>
      </w:rPr>
      <w:tblPr/>
      <w:tcPr>
        <w:tcBorders>
          <w:top w:val="single" w:sz="8" w:space="0" w:color="000080"/>
          <w:left w:val="single" w:sz="8" w:space="0" w:color="000080"/>
          <w:bottom w:val="single" w:sz="18" w:space="0" w:color="000080"/>
          <w:right w:val="single" w:sz="8" w:space="0" w:color="000080"/>
          <w:insideH w:val="nil"/>
          <w:insideV w:val="single" w:sz="8" w:space="0" w:color="000080"/>
        </w:tcBorders>
      </w:tcPr>
    </w:tblStylePr>
    <w:tblStylePr w:type="lastRow">
      <w:pPr>
        <w:spacing w:before="0" w:after="0" w:line="240" w:lineRule="auto"/>
      </w:pPr>
      <w:rPr>
        <w:rFonts w:ascii="Calibri" w:eastAsia="MS Gothic" w:hAnsi="Calibri" w:cs="Times New Roman"/>
        <w:b/>
        <w:bCs/>
      </w:rPr>
      <w:tblPr/>
      <w:tcPr>
        <w:tcBorders>
          <w:top w:val="double" w:sz="6" w:space="0" w:color="000080"/>
          <w:left w:val="single" w:sz="8" w:space="0" w:color="000080"/>
          <w:bottom w:val="single" w:sz="8" w:space="0" w:color="000080"/>
          <w:right w:val="single" w:sz="8" w:space="0" w:color="000080"/>
          <w:insideH w:val="nil"/>
          <w:insideV w:val="single" w:sz="8" w:space="0" w:color="00008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80"/>
          <w:left w:val="single" w:sz="8" w:space="0" w:color="000080"/>
          <w:bottom w:val="single" w:sz="8" w:space="0" w:color="000080"/>
          <w:right w:val="single" w:sz="8" w:space="0" w:color="000080"/>
        </w:tcBorders>
      </w:tcPr>
    </w:tblStylePr>
    <w:tblStylePr w:type="band1Vert">
      <w:tblPr/>
      <w:tcPr>
        <w:tcBorders>
          <w:top w:val="single" w:sz="8" w:space="0" w:color="000080"/>
          <w:left w:val="single" w:sz="8" w:space="0" w:color="000080"/>
          <w:bottom w:val="single" w:sz="8" w:space="0" w:color="000080"/>
          <w:right w:val="single" w:sz="8" w:space="0" w:color="000080"/>
        </w:tcBorders>
        <w:shd w:val="clear" w:color="auto" w:fill="A0A0FF"/>
      </w:tcPr>
    </w:tblStylePr>
    <w:tblStylePr w:type="band1Horz">
      <w:tblPr/>
      <w:tcPr>
        <w:tcBorders>
          <w:top w:val="single" w:sz="8" w:space="0" w:color="000080"/>
          <w:left w:val="single" w:sz="8" w:space="0" w:color="000080"/>
          <w:bottom w:val="single" w:sz="8" w:space="0" w:color="000080"/>
          <w:right w:val="single" w:sz="8" w:space="0" w:color="000080"/>
          <w:insideV w:val="single" w:sz="8" w:space="0" w:color="000080"/>
        </w:tcBorders>
        <w:shd w:val="clear" w:color="auto" w:fill="A0A0FF"/>
      </w:tcPr>
    </w:tblStylePr>
    <w:tblStylePr w:type="band2Horz">
      <w:tblPr/>
      <w:tcPr>
        <w:tcBorders>
          <w:top w:val="single" w:sz="8" w:space="0" w:color="000080"/>
          <w:left w:val="single" w:sz="8" w:space="0" w:color="000080"/>
          <w:bottom w:val="single" w:sz="8" w:space="0" w:color="000080"/>
          <w:right w:val="single" w:sz="8" w:space="0" w:color="000080"/>
          <w:insideV w:val="single" w:sz="8" w:space="0" w:color="000080"/>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pPr>
        <w:spacing w:before="0" w:after="0" w:line="240" w:lineRule="auto"/>
      </w:pPr>
      <w:rPr>
        <w:b/>
        <w:bCs/>
        <w:color w:val="FFFFFF"/>
      </w:rPr>
      <w:tblPr/>
      <w:tcPr>
        <w:shd w:val="clear" w:color="auto" w:fill="000080"/>
      </w:tcPr>
    </w:tblStylePr>
    <w:tblStylePr w:type="lastRow">
      <w:pPr>
        <w:spacing w:before="0" w:after="0" w:line="240" w:lineRule="auto"/>
      </w:pPr>
      <w:rPr>
        <w:b/>
        <w:bCs/>
      </w:rPr>
      <w:tblPr/>
      <w:tcPr>
        <w:tcBorders>
          <w:top w:val="double" w:sz="6" w:space="0" w:color="000080"/>
          <w:left w:val="single" w:sz="8" w:space="0" w:color="000080"/>
          <w:bottom w:val="single" w:sz="8" w:space="0" w:color="000080"/>
          <w:right w:val="single" w:sz="8" w:space="0" w:color="000080"/>
        </w:tcBorders>
      </w:tcPr>
    </w:tblStylePr>
    <w:tblStylePr w:type="firstCol">
      <w:rPr>
        <w:b/>
        <w:bCs/>
      </w:rPr>
    </w:tblStylePr>
    <w:tblStylePr w:type="lastCol">
      <w:rPr>
        <w:b/>
        <w:bCs/>
      </w:rPr>
    </w:tblStylePr>
    <w:tblStylePr w:type="band1Vert">
      <w:tblPr/>
      <w:tcPr>
        <w:tcBorders>
          <w:top w:val="single" w:sz="8" w:space="0" w:color="000080"/>
          <w:left w:val="single" w:sz="8" w:space="0" w:color="000080"/>
          <w:bottom w:val="single" w:sz="8" w:space="0" w:color="000080"/>
          <w:right w:val="single" w:sz="8" w:space="0" w:color="000080"/>
        </w:tcBorders>
      </w:tcPr>
    </w:tblStylePr>
    <w:tblStylePr w:type="band1Horz">
      <w:tblPr/>
      <w:tcPr>
        <w:tcBorders>
          <w:top w:val="single" w:sz="8" w:space="0" w:color="000080"/>
          <w:left w:val="single" w:sz="8" w:space="0" w:color="000080"/>
          <w:bottom w:val="single" w:sz="8" w:space="0" w:color="000080"/>
          <w:right w:val="single" w:sz="8" w:space="0" w:color="000080"/>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semiHidden/>
    <w:unhideWhenUsed/>
    <w:rsid w:val="00A111D1"/>
    <w:rPr>
      <w:color w:val="00005F"/>
    </w:rPr>
    <w:tblPr>
      <w:tblStyleRowBandSize w:val="1"/>
      <w:tblStyleColBandSize w:val="1"/>
      <w:tblBorders>
        <w:top w:val="single" w:sz="8" w:space="0" w:color="000080"/>
        <w:bottom w:val="single" w:sz="8" w:space="0" w:color="000080"/>
      </w:tblBorders>
    </w:tblPr>
    <w:tblStylePr w:type="fir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lastRow">
      <w:pPr>
        <w:spacing w:before="0" w:after="0" w:line="240" w:lineRule="auto"/>
      </w:pPr>
      <w:rPr>
        <w:b/>
        <w:bCs/>
      </w:rPr>
      <w:tblPr/>
      <w:tcPr>
        <w:tcBorders>
          <w:top w:val="single" w:sz="8" w:space="0" w:color="000080"/>
          <w:left w:val="nil"/>
          <w:bottom w:val="single" w:sz="8" w:space="0" w:color="00008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cPr>
    </w:tblStylePr>
    <w:tblStylePr w:type="band1Horz">
      <w:tblPr/>
      <w:tcPr>
        <w:tcBorders>
          <w:left w:val="nil"/>
          <w:right w:val="nil"/>
          <w:insideH w:val="nil"/>
          <w:insideV w:val="nil"/>
        </w:tcBorders>
        <w:shd w:val="clear" w:color="auto" w:fill="A0A0FF"/>
      </w:tcPr>
    </w:tblStylePr>
  </w:style>
  <w:style w:type="table" w:styleId="LightShading-Accent1">
    <w:name w:val="Light Shading Accent 1"/>
    <w:basedOn w:val="TableNormal"/>
    <w:uiPriority w:val="60"/>
    <w:semiHidden/>
    <w:unhideWhenUsed/>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semiHidden/>
    <w:unhideWhenUsed/>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unhideWhenUsed/>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semiHidden/>
    <w:unhideWhenUsed/>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unhideWhenUsed/>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semiHidden/>
    <w:unhideWhenUsed/>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cBorders>
      </w:tcPr>
    </w:tblStylePr>
    <w:tblStylePr w:type="lastRow">
      <w:rPr>
        <w:b/>
        <w:bCs/>
      </w:rPr>
      <w:tblPr/>
      <w:tcPr>
        <w:tcBorders>
          <w:top w:val="sing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2">
    <w:name w:val="List Table 2"/>
    <w:basedOn w:val="TableNormal"/>
    <w:uiPriority w:val="47"/>
    <w:rsid w:val="00A111D1"/>
    <w:tblPr>
      <w:tblStyleRowBandSize w:val="1"/>
      <w:tblStyleColBandSize w:val="1"/>
      <w:tblBorders>
        <w:top w:val="single" w:sz="4" w:space="0" w:color="1919FF"/>
        <w:bottom w:val="single" w:sz="4" w:space="0" w:color="1919FF"/>
        <w:insideH w:val="single" w:sz="4" w:space="0" w:color="1919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3">
    <w:name w:val="List Table 3"/>
    <w:basedOn w:val="TableNormal"/>
    <w:uiPriority w:val="48"/>
    <w:rsid w:val="00A111D1"/>
    <w:tblPr>
      <w:tblStyleRowBandSize w:val="1"/>
      <w:tblStyleColBandSize w:val="1"/>
      <w:tblBorders>
        <w:top w:val="single" w:sz="4" w:space="0" w:color="000080"/>
        <w:left w:val="single" w:sz="4" w:space="0" w:color="000080"/>
        <w:bottom w:val="single" w:sz="4" w:space="0" w:color="000080"/>
        <w:right w:val="single" w:sz="4" w:space="0" w:color="000080"/>
      </w:tblBorders>
    </w:tblPr>
    <w:tblStylePr w:type="firstRow">
      <w:rPr>
        <w:b/>
        <w:bCs/>
        <w:color w:val="FFFFFF"/>
      </w:rPr>
      <w:tblPr/>
      <w:tcPr>
        <w:shd w:val="clear" w:color="auto" w:fill="000080"/>
      </w:tcPr>
    </w:tblStylePr>
    <w:tblStylePr w:type="lastRow">
      <w:rPr>
        <w:b/>
        <w:bCs/>
      </w:rPr>
      <w:tblPr/>
      <w:tcPr>
        <w:tcBorders>
          <w:top w:val="double" w:sz="4" w:space="0" w:color="00008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0"/>
          <w:right w:val="single" w:sz="4" w:space="0" w:color="000080"/>
        </w:tcBorders>
      </w:tcPr>
    </w:tblStylePr>
    <w:tblStylePr w:type="band1Horz">
      <w:tblPr/>
      <w:tcPr>
        <w:tcBorders>
          <w:top w:val="single" w:sz="4" w:space="0" w:color="000080"/>
          <w:bottom w:val="single" w:sz="4" w:space="0" w:color="00008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left w:val="nil"/>
        </w:tcBorders>
      </w:tcPr>
    </w:tblStylePr>
    <w:tblStylePr w:type="swCell">
      <w:tblPr/>
      <w:tcPr>
        <w:tcBorders>
          <w:top w:val="double" w:sz="4" w:space="0" w:color="000080"/>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left w:val="single" w:sz="4" w:space="0" w:color="1919FF"/>
        <w:bottom w:val="single" w:sz="4" w:space="0" w:color="1919FF"/>
        <w:right w:val="single" w:sz="4" w:space="0" w:color="1919FF"/>
        <w:insideH w:val="single" w:sz="4" w:space="0" w:color="1919FF"/>
      </w:tblBorders>
    </w:tblPr>
    <w:tblStylePr w:type="firstRow">
      <w:rPr>
        <w:b/>
        <w:bCs/>
        <w:color w:val="FFFFFF"/>
      </w:rPr>
      <w:tblPr/>
      <w:tcPr>
        <w:tcBorders>
          <w:top w:val="single" w:sz="4" w:space="0" w:color="000080"/>
          <w:left w:val="single" w:sz="4" w:space="0" w:color="000080"/>
          <w:bottom w:val="single" w:sz="4" w:space="0" w:color="000080"/>
          <w:right w:val="single" w:sz="4" w:space="0" w:color="000080"/>
          <w:insideH w:val="nil"/>
        </w:tcBorders>
        <w:shd w:val="clear" w:color="auto" w:fill="000080"/>
      </w:tcPr>
    </w:tblStylePr>
    <w:tblStylePr w:type="lastRow">
      <w:rPr>
        <w:b/>
        <w:bCs/>
      </w:rPr>
      <w:tblPr/>
      <w:tcPr>
        <w:tcBorders>
          <w:top w:val="double" w:sz="4" w:space="0" w:color="1919FF"/>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5Dark">
    <w:name w:val="List Table 5 Dark"/>
    <w:basedOn w:val="TableNormal"/>
    <w:uiPriority w:val="50"/>
    <w:rsid w:val="00A111D1"/>
    <w:rPr>
      <w:color w:val="FFFFFF"/>
    </w:rPr>
    <w:tblPr>
      <w:tblStyleRowBandSize w:val="1"/>
      <w:tblStyleColBandSize w:val="1"/>
      <w:tblBorders>
        <w:top w:val="single" w:sz="24" w:space="0" w:color="000080"/>
        <w:left w:val="single" w:sz="24" w:space="0" w:color="000080"/>
        <w:bottom w:val="single" w:sz="24" w:space="0" w:color="000080"/>
        <w:right w:val="single" w:sz="24" w:space="0" w:color="000080"/>
      </w:tblBorders>
    </w:tblPr>
    <w:tcPr>
      <w:shd w:val="clear" w:color="auto" w:fill="00008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rPr>
    <w:tblPr>
      <w:tblStyleRowBandSize w:val="1"/>
      <w:tblStyleColBandSize w:val="1"/>
      <w:tblBorders>
        <w:top w:val="single" w:sz="4" w:space="0" w:color="000080"/>
        <w:bottom w:val="single" w:sz="4" w:space="0" w:color="000080"/>
      </w:tblBorders>
    </w:tblPr>
    <w:tblStylePr w:type="firstRow">
      <w:rPr>
        <w:b/>
        <w:bCs/>
      </w:rPr>
      <w:tblPr/>
      <w:tcPr>
        <w:tcBorders>
          <w:bottom w:val="single" w:sz="4" w:space="0" w:color="000080"/>
        </w:tcBorders>
      </w:tcPr>
    </w:tblStylePr>
    <w:tblStylePr w:type="lastRow">
      <w:rPr>
        <w:b/>
        <w:bCs/>
      </w:rPr>
      <w:tblPr/>
      <w:tcPr>
        <w:tcBorders>
          <w:top w:val="double" w:sz="4" w:space="0" w:color="000080"/>
        </w:tcBorders>
      </w:tcPr>
    </w:tblStylePr>
    <w:tblStylePr w:type="firstCol">
      <w:rPr>
        <w:b/>
        <w:bCs/>
      </w:rPr>
    </w:tblStylePr>
    <w:tblStylePr w:type="lastCol">
      <w:rPr>
        <w:b/>
        <w:bCs/>
      </w:rPr>
    </w:tblStylePr>
    <w:tblStylePr w:type="band1Vert">
      <w:tblPr/>
      <w:tcPr>
        <w:shd w:val="clear" w:color="auto" w:fill="B2B2FF"/>
      </w:tcPr>
    </w:tblStylePr>
    <w:tblStylePr w:type="band1Horz">
      <w:tblPr/>
      <w:tcPr>
        <w:shd w:val="clear" w:color="auto" w:fill="B2B2FF"/>
      </w:tcPr>
    </w:tblStylePr>
  </w:style>
  <w:style w:type="table" w:styleId="ListTable6Colorful-Accent1">
    <w:name w:val="List Table 6 Colorful Accent 1"/>
    <w:basedOn w:val="TableNormal"/>
    <w:uiPriority w:val="51"/>
    <w:rsid w:val="00A111D1"/>
    <w:rPr>
      <w:color w:val="365F91"/>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ListTable6Colorful-Accent2">
    <w:name w:val="List Table 6 Colorful Accent 2"/>
    <w:basedOn w:val="TableNormal"/>
    <w:uiPriority w:val="51"/>
    <w:rsid w:val="00A111D1"/>
    <w:rPr>
      <w:color w:val="943634"/>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ListTable6Colorful-Accent3">
    <w:name w:val="List Table 6 Colorful Accent 3"/>
    <w:basedOn w:val="TableNormal"/>
    <w:uiPriority w:val="51"/>
    <w:rsid w:val="00A111D1"/>
    <w:rPr>
      <w:color w:val="76923C"/>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ListTable6Colorful-Accent4">
    <w:name w:val="List Table 6 Colorful Accent 4"/>
    <w:basedOn w:val="TableNormal"/>
    <w:uiPriority w:val="51"/>
    <w:rsid w:val="00A111D1"/>
    <w:rPr>
      <w:color w:val="5F497A"/>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styleId="ListTable6Colorful-Accent5">
    <w:name w:val="List Table 6 Colorful Accent 5"/>
    <w:basedOn w:val="TableNormal"/>
    <w:uiPriority w:val="51"/>
    <w:rsid w:val="00A111D1"/>
    <w:rPr>
      <w:color w:val="31849B"/>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ListTable6Colorful-Accent6">
    <w:name w:val="List Table 6 Colorful Accent 6"/>
    <w:basedOn w:val="TableNormal"/>
    <w:uiPriority w:val="51"/>
    <w:rsid w:val="00A111D1"/>
    <w:rPr>
      <w:color w:val="E36C0A"/>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ListTable7Colorful">
    <w:name w:val="List Table 7 Colorful"/>
    <w:basedOn w:val="TableNormal"/>
    <w:uiPriority w:val="52"/>
    <w:rsid w:val="00A111D1"/>
    <w:rPr>
      <w:color w:val="000080"/>
    </w:rPr>
    <w:tblPr>
      <w:tblStyleRowBandSize w:val="1"/>
      <w:tblStyleColBandSize w:val="1"/>
    </w:tblPr>
    <w:tblStylePr w:type="firstRow">
      <w:rPr>
        <w:rFonts w:ascii="Calibri" w:eastAsia="MS Gothic" w:hAnsi="Calibri" w:cs="Times New Roman"/>
        <w:i/>
        <w:iCs/>
        <w:sz w:val="26"/>
      </w:rPr>
      <w:tblPr/>
      <w:tcPr>
        <w:tcBorders>
          <w:bottom w:val="single" w:sz="4" w:space="0" w:color="000080"/>
        </w:tcBorders>
        <w:shd w:val="clear" w:color="auto" w:fill="FFFFFF"/>
      </w:tcPr>
    </w:tblStylePr>
    <w:tblStylePr w:type="lastRow">
      <w:rPr>
        <w:rFonts w:ascii="Calibri" w:eastAsia="MS Gothic" w:hAnsi="Calibri" w:cs="Times New Roman"/>
        <w:i/>
        <w:iCs/>
        <w:sz w:val="26"/>
      </w:rPr>
      <w:tblPr/>
      <w:tcPr>
        <w:tcBorders>
          <w:top w:val="single" w:sz="4" w:space="0" w:color="00008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80"/>
        </w:tcBorders>
        <w:shd w:val="clear" w:color="auto" w:fill="FFFFFF"/>
      </w:tcPr>
    </w:tblStylePr>
    <w:tblStylePr w:type="lastCol">
      <w:rPr>
        <w:rFonts w:ascii="Calibri" w:eastAsia="MS Gothic" w:hAnsi="Calibri" w:cs="Times New Roman"/>
        <w:i/>
        <w:iCs/>
        <w:sz w:val="26"/>
      </w:rPr>
      <w:tblPr/>
      <w:tcPr>
        <w:tcBorders>
          <w:left w:val="single" w:sz="4" w:space="0" w:color="000080"/>
        </w:tcBorders>
        <w:shd w:val="clear" w:color="auto" w:fill="FFFFFF"/>
      </w:tcPr>
    </w:tblStylePr>
    <w:tblStylePr w:type="band1Vert">
      <w:tblPr/>
      <w:tcPr>
        <w:shd w:val="clear" w:color="auto" w:fill="B2B2FF"/>
      </w:tcPr>
    </w:tblStylePr>
    <w:tblStylePr w:type="band1Horz">
      <w:tblPr/>
      <w:tcPr>
        <w:shd w:val="clear" w:color="auto" w:fill="B2B2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insideV w:val="single" w:sz="8" w:space="0" w:color="0000DF"/>
      </w:tblBorders>
    </w:tblPr>
    <w:tcPr>
      <w:shd w:val="clear" w:color="auto" w:fill="A0A0FF"/>
    </w:tcPr>
    <w:tblStylePr w:type="firstRow">
      <w:rPr>
        <w:b/>
        <w:bCs/>
      </w:rPr>
    </w:tblStylePr>
    <w:tblStylePr w:type="lastRow">
      <w:rPr>
        <w:b/>
        <w:bCs/>
      </w:rPr>
      <w:tblPr/>
      <w:tcPr>
        <w:tcBorders>
          <w:top w:val="single" w:sz="18" w:space="0" w:color="0000DF"/>
        </w:tcBorders>
      </w:tcPr>
    </w:tblStylePr>
    <w:tblStylePr w:type="firstCol">
      <w:rPr>
        <w:b/>
        <w:bCs/>
      </w:rPr>
    </w:tblStylePr>
    <w:tblStylePr w:type="lastCol">
      <w:rPr>
        <w:b/>
        <w:bCs/>
      </w:rPr>
    </w:tblStylePr>
    <w:tblStylePr w:type="band1Vert">
      <w:tblPr/>
      <w:tcPr>
        <w:shd w:val="clear" w:color="auto" w:fill="4040FF"/>
      </w:tcPr>
    </w:tblStylePr>
    <w:tblStylePr w:type="band1Horz">
      <w:tblPr/>
      <w:tcPr>
        <w:shd w:val="clear" w:color="auto" w:fill="4040F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insideH w:val="single" w:sz="8" w:space="0" w:color="000080"/>
        <w:insideV w:val="single" w:sz="8" w:space="0" w:color="000080"/>
      </w:tblBorders>
    </w:tblPr>
    <w:tcPr>
      <w:shd w:val="clear" w:color="auto" w:fill="A0A0FF"/>
    </w:tcPr>
    <w:tblStylePr w:type="firstRow">
      <w:rPr>
        <w:b/>
        <w:bCs/>
        <w:color w:val="000080"/>
      </w:rPr>
      <w:tblPr/>
      <w:tcPr>
        <w:shd w:val="clear" w:color="auto" w:fill="D9D9FF"/>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B2B2FF"/>
      </w:tcPr>
    </w:tblStylePr>
    <w:tblStylePr w:type="band1Vert">
      <w:tblPr/>
      <w:tcPr>
        <w:shd w:val="clear" w:color="auto" w:fill="4040FF"/>
      </w:tcPr>
    </w:tblStylePr>
    <w:tblStylePr w:type="band1Horz">
      <w:tblPr/>
      <w:tcPr>
        <w:tcBorders>
          <w:insideH w:val="single" w:sz="6" w:space="0" w:color="000080"/>
          <w:insideV w:val="single" w:sz="6" w:space="0" w:color="000080"/>
        </w:tcBorders>
        <w:shd w:val="clear" w:color="auto" w:fill="4040FF"/>
      </w:tcPr>
    </w:tblStylePr>
    <w:tblStylePr w:type="nwCell">
      <w:tblPr/>
      <w:tcPr>
        <w:shd w:val="clear" w:color="auto" w:fill="FFFFFF"/>
      </w:tcPr>
    </w:tblStylePr>
  </w:style>
  <w:style w:type="table" w:styleId="MediumGrid2-Accent1">
    <w:name w:val="Medium Grid 2 Accent 1"/>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80"/>
      </w:rPr>
      <w:tblPr/>
      <w:tcPr>
        <w:shd w:val="clear" w:color="auto" w:fill="EDF2F8"/>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80"/>
      </w:rPr>
      <w:tblPr/>
      <w:tcPr>
        <w:shd w:val="clear" w:color="auto" w:fill="F8EDED"/>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80"/>
      </w:rPr>
      <w:tblPr/>
      <w:tcPr>
        <w:shd w:val="clear" w:color="auto" w:fill="F5F8EE"/>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80"/>
      </w:rPr>
      <w:tblPr/>
      <w:tcPr>
        <w:shd w:val="clear" w:color="auto" w:fill="F2EFF6"/>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80"/>
      </w:rPr>
      <w:tblPr/>
      <w:tcPr>
        <w:shd w:val="clear" w:color="auto" w:fill="EDF6F9"/>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80"/>
      </w:rPr>
      <w:tblPr/>
      <w:tcPr>
        <w:shd w:val="clear" w:color="auto" w:fill="FEF4EC"/>
      </w:tcPr>
    </w:tblStylePr>
    <w:tblStylePr w:type="lastRow">
      <w:rPr>
        <w:b/>
        <w:bCs/>
        <w:color w:val="000080"/>
      </w:rPr>
      <w:tblPr/>
      <w:tcPr>
        <w:tcBorders>
          <w:top w:val="single" w:sz="12" w:space="0" w:color="000080"/>
          <w:left w:val="nil"/>
          <w:bottom w:val="nil"/>
          <w:right w:val="nil"/>
          <w:insideH w:val="nil"/>
          <w:insideV w:val="nil"/>
        </w:tcBorders>
        <w:shd w:val="clear" w:color="auto" w:fill="FFFFFF"/>
      </w:tcPr>
    </w:tblStylePr>
    <w:tblStylePr w:type="firstCol">
      <w:rPr>
        <w:b/>
        <w:bCs/>
        <w:color w:val="000080"/>
      </w:rPr>
      <w:tblPr/>
      <w:tcPr>
        <w:tcBorders>
          <w:top w:val="nil"/>
          <w:left w:val="nil"/>
          <w:bottom w:val="nil"/>
          <w:right w:val="nil"/>
          <w:insideH w:val="nil"/>
          <w:insideV w:val="nil"/>
        </w:tcBorders>
        <w:shd w:val="clear" w:color="auto" w:fill="FFFFFF"/>
      </w:tcPr>
    </w:tblStylePr>
    <w:tblStylePr w:type="lastCol">
      <w:rPr>
        <w:b w:val="0"/>
        <w:bCs w:val="0"/>
        <w:color w:val="00008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0A0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040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040F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semiHidden/>
    <w:unhideWhenUsed/>
    <w:rsid w:val="00A111D1"/>
    <w:rPr>
      <w:color w:val="000080"/>
    </w:rPr>
    <w:tblPr>
      <w:tblStyleRowBandSize w:val="1"/>
      <w:tblStyleColBandSize w:val="1"/>
      <w:tblBorders>
        <w:top w:val="single" w:sz="8" w:space="0" w:color="000080"/>
        <w:bottom w:val="single" w:sz="8" w:space="0" w:color="000080"/>
      </w:tblBorders>
    </w:tblPr>
    <w:tblStylePr w:type="firstRow">
      <w:rPr>
        <w:rFonts w:ascii="Calibri" w:eastAsia="MS Gothic" w:hAnsi="Calibri" w:cs="Times New Roman"/>
      </w:rPr>
      <w:tblPr/>
      <w:tcPr>
        <w:tcBorders>
          <w:top w:val="nil"/>
          <w:bottom w:val="single" w:sz="8" w:space="0" w:color="000080"/>
        </w:tcBorders>
      </w:tcPr>
    </w:tblStylePr>
    <w:tblStylePr w:type="lastRow">
      <w:rPr>
        <w:b/>
        <w:bCs/>
        <w:color w:val="1F497D"/>
      </w:rPr>
      <w:tblPr/>
      <w:tcPr>
        <w:tcBorders>
          <w:top w:val="single" w:sz="8" w:space="0" w:color="000080"/>
          <w:bottom w:val="single" w:sz="8" w:space="0" w:color="000080"/>
        </w:tcBorders>
      </w:tcPr>
    </w:tblStylePr>
    <w:tblStylePr w:type="firstCol">
      <w:rPr>
        <w:b/>
        <w:bCs/>
      </w:rPr>
    </w:tblStylePr>
    <w:tblStylePr w:type="lastCol">
      <w:rPr>
        <w:b/>
        <w:bCs/>
      </w:rPr>
      <w:tblPr/>
      <w:tcPr>
        <w:tcBorders>
          <w:top w:val="single" w:sz="8" w:space="0" w:color="000080"/>
          <w:bottom w:val="single" w:sz="8" w:space="0" w:color="000080"/>
        </w:tcBorders>
      </w:tcPr>
    </w:tblStylePr>
    <w:tblStylePr w:type="band1Vert">
      <w:tblPr/>
      <w:tcPr>
        <w:shd w:val="clear" w:color="auto" w:fill="A0A0FF"/>
      </w:tcPr>
    </w:tblStylePr>
    <w:tblStylePr w:type="band1Horz">
      <w:tblPr/>
      <w:tcPr>
        <w:shd w:val="clear" w:color="auto" w:fill="A0A0FF"/>
      </w:tcPr>
    </w:tblStylePr>
  </w:style>
  <w:style w:type="table" w:styleId="MediumList1-Accent1">
    <w:name w:val="Medium List 1 Accent 1"/>
    <w:basedOn w:val="TableNormal"/>
    <w:uiPriority w:val="65"/>
    <w:semiHidden/>
    <w:unhideWhenUsed/>
    <w:rsid w:val="00A111D1"/>
    <w:rPr>
      <w:color w:val="00008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semiHidden/>
    <w:unhideWhenUsed/>
    <w:rsid w:val="00A111D1"/>
    <w:rPr>
      <w:color w:val="00008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semiHidden/>
    <w:unhideWhenUsed/>
    <w:rsid w:val="00A111D1"/>
    <w:rPr>
      <w:color w:val="00008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semiHidden/>
    <w:unhideWhenUsed/>
    <w:rsid w:val="00A111D1"/>
    <w:rPr>
      <w:color w:val="00008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semiHidden/>
    <w:unhideWhenUsed/>
    <w:rsid w:val="00A111D1"/>
    <w:rPr>
      <w:color w:val="00008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semiHidden/>
    <w:unhideWhenUsed/>
    <w:rsid w:val="00A111D1"/>
    <w:rPr>
      <w:color w:val="00008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000080"/>
        <w:left w:val="single" w:sz="8" w:space="0" w:color="000080"/>
        <w:bottom w:val="single" w:sz="8" w:space="0" w:color="000080"/>
        <w:right w:val="single" w:sz="8" w:space="0" w:color="000080"/>
      </w:tblBorders>
    </w:tblPr>
    <w:tblStylePr w:type="firstRow">
      <w:rPr>
        <w:sz w:val="24"/>
        <w:szCs w:val="24"/>
      </w:rPr>
      <w:tblPr/>
      <w:tcPr>
        <w:tcBorders>
          <w:top w:val="nil"/>
          <w:left w:val="nil"/>
          <w:bottom w:val="single" w:sz="24" w:space="0" w:color="000080"/>
          <w:right w:val="nil"/>
          <w:insideH w:val="nil"/>
          <w:insideV w:val="nil"/>
        </w:tcBorders>
        <w:shd w:val="clear" w:color="auto" w:fill="FFFFFF"/>
      </w:tcPr>
    </w:tblStylePr>
    <w:tblStylePr w:type="lastRow">
      <w:tblPr/>
      <w:tcPr>
        <w:tcBorders>
          <w:top w:val="single" w:sz="8" w:space="0" w:color="00008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80"/>
          <w:insideH w:val="nil"/>
          <w:insideV w:val="nil"/>
        </w:tcBorders>
        <w:shd w:val="clear" w:color="auto" w:fill="FFFFFF"/>
      </w:tcPr>
    </w:tblStylePr>
    <w:tblStylePr w:type="lastCol">
      <w:tblPr/>
      <w:tcPr>
        <w:tcBorders>
          <w:top w:val="nil"/>
          <w:left w:val="single" w:sz="8" w:space="0" w:color="00008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0A0FF"/>
      </w:tcPr>
    </w:tblStylePr>
    <w:tblStylePr w:type="band1Horz">
      <w:tblPr/>
      <w:tcPr>
        <w:tcBorders>
          <w:top w:val="nil"/>
          <w:bottom w:val="nil"/>
          <w:insideH w:val="nil"/>
          <w:insideV w:val="nil"/>
        </w:tcBorders>
        <w:shd w:val="clear" w:color="auto" w:fill="A0A0FF"/>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Calibri" w:eastAsia="MS Gothic" w:hAnsi="Calibri" w:cs="Times New Roman"/>
      <w:color w:val="00008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left w:val="single" w:sz="8" w:space="0" w:color="0000DF"/>
        <w:bottom w:val="single" w:sz="8" w:space="0" w:color="0000DF"/>
        <w:right w:val="single" w:sz="8" w:space="0" w:color="0000DF"/>
        <w:insideH w:val="single" w:sz="8" w:space="0" w:color="0000DF"/>
      </w:tblBorders>
    </w:tblPr>
    <w:tblStylePr w:type="firstRow">
      <w:pPr>
        <w:spacing w:before="0" w:after="0" w:line="240" w:lineRule="auto"/>
      </w:pPr>
      <w:rPr>
        <w:b/>
        <w:bCs/>
        <w:color w:val="FFFFFF"/>
      </w:rPr>
      <w:tblPr/>
      <w:tcPr>
        <w:tcBorders>
          <w:top w:val="single" w:sz="8" w:space="0" w:color="0000DF"/>
          <w:left w:val="single" w:sz="8" w:space="0" w:color="0000DF"/>
          <w:bottom w:val="single" w:sz="8" w:space="0" w:color="0000DF"/>
          <w:right w:val="single" w:sz="8" w:space="0" w:color="0000DF"/>
          <w:insideH w:val="nil"/>
          <w:insideV w:val="nil"/>
        </w:tcBorders>
        <w:shd w:val="clear" w:color="auto" w:fill="000080"/>
      </w:tcPr>
    </w:tblStylePr>
    <w:tblStylePr w:type="lastRow">
      <w:pPr>
        <w:spacing w:before="0" w:after="0" w:line="240" w:lineRule="auto"/>
      </w:pPr>
      <w:rPr>
        <w:b/>
        <w:bCs/>
      </w:rPr>
      <w:tblPr/>
      <w:tcPr>
        <w:tcBorders>
          <w:top w:val="double" w:sz="6" w:space="0" w:color="0000DF"/>
          <w:left w:val="single" w:sz="8" w:space="0" w:color="0000DF"/>
          <w:bottom w:val="single" w:sz="8" w:space="0" w:color="0000DF"/>
          <w:right w:val="single" w:sz="8" w:space="0" w:color="0000DF"/>
          <w:insideH w:val="nil"/>
          <w:insideV w:val="nil"/>
        </w:tcBorders>
      </w:tcPr>
    </w:tblStylePr>
    <w:tblStylePr w:type="firstCol">
      <w:rPr>
        <w:b/>
        <w:bCs/>
      </w:rPr>
    </w:tblStylePr>
    <w:tblStylePr w:type="lastCol">
      <w:rPr>
        <w:b/>
        <w:bCs/>
      </w:rPr>
    </w:tblStylePr>
    <w:tblStylePr w:type="band1Vert">
      <w:tblPr/>
      <w:tcPr>
        <w:shd w:val="clear" w:color="auto" w:fill="A0A0FF"/>
      </w:tcPr>
    </w:tblStylePr>
    <w:tblStylePr w:type="band1Horz">
      <w:tblPr/>
      <w:tcPr>
        <w:tcBorders>
          <w:insideH w:val="nil"/>
          <w:insideV w:val="nil"/>
        </w:tcBorders>
        <w:shd w:val="clear" w:color="auto" w:fill="A0A0F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0"/>
      </w:tcPr>
    </w:tblStylePr>
    <w:tblStylePr w:type="lastCol">
      <w:rPr>
        <w:b/>
        <w:bCs/>
        <w:color w:val="FFFFFF"/>
      </w:rPr>
      <w:tblPr/>
      <w:tcPr>
        <w:tcBorders>
          <w:left w:val="nil"/>
          <w:right w:val="nil"/>
          <w:insideH w:val="nil"/>
          <w:insideV w:val="nil"/>
        </w:tcBorders>
        <w:shd w:val="clear" w:color="auto" w:fill="00008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rsid w:val="00A111D1"/>
    <w:rPr>
      <w:rFonts w:ascii="Calibri" w:eastAsia="MS Gothic" w:hAnsi="Calibri" w:cs="Times New Roman"/>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A111D1"/>
    <w:tblPr>
      <w:tblStyleRowBandSize w:val="1"/>
      <w:tblStyleColBandSize w:val="1"/>
      <w:tblBorders>
        <w:top w:val="single" w:sz="4" w:space="0" w:color="3F3FFF"/>
        <w:bottom w:val="single" w:sz="4" w:space="0" w:color="3F3FFF"/>
      </w:tblBorders>
    </w:tblPr>
    <w:tblStylePr w:type="firstRow">
      <w:rPr>
        <w:b/>
        <w:bCs/>
      </w:rPr>
      <w:tblPr/>
      <w:tcPr>
        <w:tcBorders>
          <w:bottom w:val="single" w:sz="4" w:space="0" w:color="3F3FFF"/>
        </w:tcBorders>
      </w:tcPr>
    </w:tblStylePr>
    <w:tblStylePr w:type="lastRow">
      <w:rPr>
        <w:b/>
        <w:bCs/>
      </w:rPr>
      <w:tblPr/>
      <w:tcPr>
        <w:tcBorders>
          <w:top w:val="single" w:sz="4" w:space="0" w:color="3F3FFF"/>
        </w:tcBorders>
      </w:tcPr>
    </w:tblStylePr>
    <w:tblStylePr w:type="firstCol">
      <w:rPr>
        <w:b/>
        <w:bCs/>
      </w:rPr>
    </w:tblStylePr>
    <w:tblStylePr w:type="lastCol">
      <w:rPr>
        <w:b/>
        <w:bCs/>
      </w:rPr>
    </w:tblStylePr>
    <w:tblStylePr w:type="band1Vert">
      <w:tblPr/>
      <w:tcPr>
        <w:tcBorders>
          <w:left w:val="single" w:sz="4" w:space="0" w:color="3F3FFF"/>
          <w:right w:val="single" w:sz="4" w:space="0" w:color="3F3FFF"/>
        </w:tcBorders>
      </w:tcPr>
    </w:tblStylePr>
    <w:tblStylePr w:type="band2Vert">
      <w:tblPr/>
      <w:tcPr>
        <w:tcBorders>
          <w:left w:val="single" w:sz="4" w:space="0" w:color="3F3FFF"/>
          <w:right w:val="single" w:sz="4" w:space="0" w:color="3F3FFF"/>
        </w:tcBorders>
      </w:tcPr>
    </w:tblStylePr>
    <w:tblStylePr w:type="band1Horz">
      <w:tblPr/>
      <w:tcPr>
        <w:tcBorders>
          <w:top w:val="single" w:sz="4" w:space="0" w:color="3F3FFF"/>
          <w:bottom w:val="single" w:sz="4" w:space="0" w:color="3F3FFF"/>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cBorders>
      </w:tcPr>
    </w:tblStylePr>
    <w:tblStylePr w:type="lastRow">
      <w:rPr>
        <w:b/>
        <w:bCs/>
        <w:caps/>
      </w:rPr>
      <w:tblPr/>
      <w:tcPr>
        <w:tcBorders>
          <w:top w:val="nil"/>
        </w:tcBorders>
      </w:tcPr>
    </w:tblStylePr>
    <w:tblStylePr w:type="firstCol">
      <w:rPr>
        <w:b/>
        <w:bCs/>
        <w:caps/>
      </w:rPr>
      <w:tblPr/>
      <w:tcPr>
        <w:tcBorders>
          <w:right w:val="single" w:sz="4" w:space="0" w:color="3F3FF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A111D1"/>
    <w:tblPr>
      <w:tblStyleRowBandSize w:val="1"/>
      <w:tblStyleColBandSize w:val="1"/>
    </w:tblPr>
    <w:tblStylePr w:type="firstRow">
      <w:rPr>
        <w:rFonts w:ascii="Calibri" w:eastAsia="MS Gothic" w:hAnsi="Calibri" w:cs="Times New Roman"/>
        <w:i/>
        <w:iCs/>
        <w:sz w:val="26"/>
      </w:rPr>
      <w:tblPr/>
      <w:tcPr>
        <w:tcBorders>
          <w:bottom w:val="single" w:sz="4" w:space="0" w:color="3F3FFF"/>
        </w:tcBorders>
        <w:shd w:val="clear" w:color="auto" w:fill="FFFFFF"/>
      </w:tcPr>
    </w:tblStylePr>
    <w:tblStylePr w:type="lastRow">
      <w:rPr>
        <w:rFonts w:ascii="Calibri" w:eastAsia="MS Gothic" w:hAnsi="Calibri" w:cs="Times New Roman"/>
        <w:i/>
        <w:iCs/>
        <w:sz w:val="26"/>
      </w:rPr>
      <w:tblPr/>
      <w:tcPr>
        <w:tcBorders>
          <w:top w:val="single" w:sz="4" w:space="0" w:color="3F3FF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3F3FFF"/>
        </w:tcBorders>
        <w:shd w:val="clear" w:color="auto" w:fill="FFFFFF"/>
      </w:tcPr>
    </w:tblStylePr>
    <w:tblStylePr w:type="lastCol">
      <w:rPr>
        <w:rFonts w:ascii="Calibri" w:eastAsia="MS Gothic" w:hAnsi="Calibri" w:cs="Times New Roman"/>
        <w:i/>
        <w:iCs/>
        <w:sz w:val="26"/>
      </w:rPr>
      <w:tblPr/>
      <w:tcPr>
        <w:tcBorders>
          <w:left w:val="single" w:sz="4" w:space="0" w:color="3F3FF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rPr>
  </w:style>
  <w:style w:type="character" w:customStyle="1" w:styleId="QuoteChar">
    <w:name w:val="Quote Char"/>
    <w:link w:val="Quote"/>
    <w:uiPriority w:val="29"/>
    <w:rsid w:val="00A111D1"/>
    <w:rPr>
      <w:rFonts w:ascii="Times New Roman" w:eastAsia="SimSun" w:hAnsi="Times New Roman" w:cs="Times New Roman"/>
      <w:i/>
      <w:iCs/>
      <w:color w:val="0000D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uiPriority w:val="99"/>
    <w:semiHidden/>
    <w:unhideWhenUsed/>
    <w:rsid w:val="00A111D1"/>
    <w:rPr>
      <w:u w:val="dotted"/>
      <w:lang w:val="en-GB"/>
    </w:rPr>
  </w:style>
  <w:style w:type="character" w:styleId="SmartLink">
    <w:name w:val="Smart Link"/>
    <w:uiPriority w:val="99"/>
    <w:semiHidden/>
    <w:unhideWhenUsed/>
    <w:rsid w:val="00A111D1"/>
    <w:rPr>
      <w:color w:val="0000FF"/>
      <w:u w:val="single"/>
      <w:shd w:val="clear" w:color="auto" w:fill="F3F2F1"/>
      <w:lang w:val="en-GB"/>
    </w:rPr>
  </w:style>
  <w:style w:type="character" w:styleId="Strong">
    <w:name w:val="Strong"/>
    <w:uiPriority w:val="22"/>
    <w:qFormat/>
    <w:rsid w:val="00A111D1"/>
    <w:rPr>
      <w:b/>
      <w:bCs/>
      <w:lang w:val="en-GB"/>
    </w:rPr>
  </w:style>
  <w:style w:type="character" w:styleId="SubtleEmphasis">
    <w:name w:val="Subtle Emphasis"/>
    <w:uiPriority w:val="19"/>
    <w:qFormat/>
    <w:rsid w:val="00A111D1"/>
    <w:rPr>
      <w:i/>
      <w:iCs/>
      <w:color w:val="0000DF"/>
      <w:lang w:val="en-GB"/>
    </w:rPr>
  </w:style>
  <w:style w:type="character" w:styleId="SubtleReference">
    <w:name w:val="Subtle Reference"/>
    <w:uiPriority w:val="31"/>
    <w:qFormat/>
    <w:rsid w:val="00A111D1"/>
    <w:rPr>
      <w:smallCaps/>
      <w:color w:val="0707FF"/>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styleId="UnresolvedMention">
    <w:name w:val="Unresolved Mention"/>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9-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decisions/cop-16/cop-16-dec-09-zh.pdf"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9EC842-AA5A-4DF3-BE4E-7ADFE1EA4555}">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AF483096-2114-45ED-B178-080866DBDF4D}"/>
</file>

<file path=customXml/itemProps5.xml><?xml version="1.0" encoding="utf-8"?>
<ds:datastoreItem xmlns:ds="http://schemas.openxmlformats.org/officeDocument/2006/customXml" ds:itemID="{A8D0372B-F089-0F42-BC82-C51C674BD02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3</Pages>
  <Words>867</Words>
  <Characters>1103</Characters>
  <Application>Microsoft Office Word</Application>
  <DocSecurity>0</DocSecurity>
  <Lines>68</Lines>
  <Paragraphs>65</Paragraphs>
  <ScaleCrop>false</ScaleCrop>
  <HeadingPairs>
    <vt:vector size="2" baseType="variant">
      <vt:variant>
        <vt:lpstr>Title</vt:lpstr>
      </vt:variant>
      <vt:variant>
        <vt:i4>1</vt:i4>
      </vt:variant>
    </vt:vector>
  </HeadingPairs>
  <TitlesOfParts>
    <vt:vector size="1" baseType="lpstr">
      <vt:lpstr>信息交换所机制与知识管理</vt:lpstr>
    </vt:vector>
  </TitlesOfParts>
  <Company>SCBD</Company>
  <LinksUpToDate>false</LinksUpToDate>
  <CharactersWithSpaces>1905</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1769550</vt:i4>
      </vt:variant>
      <vt:variant>
        <vt:i4>6</vt:i4>
      </vt:variant>
      <vt:variant>
        <vt:i4>0</vt:i4>
      </vt:variant>
      <vt:variant>
        <vt:i4>5</vt:i4>
      </vt:variant>
      <vt:variant>
        <vt:lpwstr>https://www.cbd.int/doc/decisions/cop-16/cop-16-dec-09-zh.pdf</vt:lpwstr>
      </vt:variant>
      <vt:variant>
        <vt:lpwstr/>
      </vt:variant>
      <vt:variant>
        <vt:i4>1376333</vt:i4>
      </vt:variant>
      <vt:variant>
        <vt:i4>3</vt:i4>
      </vt:variant>
      <vt:variant>
        <vt:i4>0</vt:i4>
      </vt:variant>
      <vt:variant>
        <vt:i4>5</vt:i4>
      </vt:variant>
      <vt:variant>
        <vt:lpwstr>https://www.cbd.int/doc/decisions/cop-15/cop-15-dec-04-zh.pdf</vt:lpwstr>
      </vt:variant>
      <vt:variant>
        <vt:lpwstr/>
      </vt:variant>
      <vt:variant>
        <vt:i4>1769550</vt:i4>
      </vt:variant>
      <vt:variant>
        <vt:i4>0</vt:i4>
      </vt:variant>
      <vt:variant>
        <vt:i4>0</vt:i4>
      </vt:variant>
      <vt:variant>
        <vt:i4>5</vt:i4>
      </vt:variant>
      <vt:variant>
        <vt:lpwstr>https://www.cbd.int/doc/decisions/cop-16/cop-16-dec-09-zh.pdf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信息交换所机制与知识管理</dc:title>
  <dc:subject>CBD/SBI/7/CRP.4</dc:subject>
  <dc:creator>Djessy Monnier</dc:creator>
  <cp:keywords>Convention on Biological Diversity</cp:keywords>
  <cp:lastModifiedBy>SCBD</cp:lastModifiedBy>
  <cp:revision>58</cp:revision>
  <cp:lastPrinted>2026-06-22T21:59:00Z</cp:lastPrinted>
  <dcterms:created xsi:type="dcterms:W3CDTF">2026-09-09T17:17:00Z</dcterms:created>
  <dcterms:modified xsi:type="dcterms:W3CDTF">2026-09-09T18:38:00Z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