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tblInd w:w="-34" w:type="dxa"/>
        <w:tblBorders>
          <w:bottom w:val="single" w:sz="36" w:space="0" w:color="000000"/>
        </w:tblBorders>
        <w:tblLayout w:type="fixed"/>
        <w:tblLook w:val="0000" w:firstRow="0" w:lastRow="0" w:firstColumn="0" w:lastColumn="0" w:noHBand="0" w:noVBand="0"/>
      </w:tblPr>
      <w:tblGrid>
        <w:gridCol w:w="1213"/>
        <w:gridCol w:w="1244"/>
        <w:gridCol w:w="2610"/>
        <w:gridCol w:w="1596"/>
        <w:gridCol w:w="3544"/>
      </w:tblGrid>
      <w:tr w:rsidR="00BA3273" w:rsidRPr="00BA3273" w14:paraId="7CBCAF97" w14:textId="77777777" w:rsidTr="00B219A6">
        <w:tc>
          <w:tcPr>
            <w:tcW w:w="1213" w:type="dxa"/>
            <w:tcBorders>
              <w:top w:val="nil"/>
              <w:bottom w:val="single" w:sz="12" w:space="0" w:color="000000"/>
            </w:tcBorders>
          </w:tcPr>
          <w:p w14:paraId="4ABF6715" w14:textId="549F5DDE" w:rsidR="00BA3273" w:rsidRPr="00BA3273" w:rsidRDefault="00BA3273" w:rsidP="00BA3273">
            <w:pPr>
              <w:suppressAutoHyphens/>
              <w:spacing w:after="120" w:line="480" w:lineRule="auto"/>
              <w:rPr>
                <w:rFonts w:cs="Angsana New"/>
                <w:lang w:val="fr-FR" w:eastAsia="ar-SA"/>
              </w:rPr>
            </w:pPr>
            <w:r w:rsidRPr="00FC767B">
              <w:rPr>
                <w:rFonts w:cs="Angsana New"/>
                <w:noProof/>
                <w:lang w:eastAsia="en-GB"/>
              </w:rPr>
              <w:drawing>
                <wp:inline distT="0" distB="0" distL="0" distR="0" wp14:anchorId="150A5397" wp14:editId="20A42800">
                  <wp:extent cx="497205" cy="585470"/>
                  <wp:effectExtent l="0" t="0" r="0" b="508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205" cy="585470"/>
                          </a:xfrm>
                          <a:prstGeom prst="rect">
                            <a:avLst/>
                          </a:prstGeom>
                          <a:noFill/>
                          <a:ln>
                            <a:noFill/>
                          </a:ln>
                        </pic:spPr>
                      </pic:pic>
                    </a:graphicData>
                  </a:graphic>
                </wp:inline>
              </w:drawing>
            </w:r>
          </w:p>
        </w:tc>
        <w:tc>
          <w:tcPr>
            <w:tcW w:w="1244" w:type="dxa"/>
            <w:tcBorders>
              <w:top w:val="nil"/>
              <w:bottom w:val="single" w:sz="12" w:space="0" w:color="000000"/>
            </w:tcBorders>
          </w:tcPr>
          <w:p w14:paraId="2BE27C14" w14:textId="7B09DEBC" w:rsidR="00BA3273" w:rsidRPr="00BA3273" w:rsidRDefault="00BA3273" w:rsidP="00BA3273">
            <w:pPr>
              <w:suppressAutoHyphens/>
              <w:rPr>
                <w:rFonts w:cs="Angsana New"/>
                <w:lang w:val="fr-FR" w:eastAsia="ar-SA"/>
              </w:rPr>
            </w:pPr>
            <w:r w:rsidRPr="00FC767B">
              <w:rPr>
                <w:rFonts w:cs="Angsana New"/>
                <w:b/>
                <w:noProof/>
                <w:lang w:eastAsia="en-GB"/>
              </w:rPr>
              <w:drawing>
                <wp:inline distT="0" distB="0" distL="0" distR="0" wp14:anchorId="4835812D" wp14:editId="5A86A8E2">
                  <wp:extent cx="680085" cy="556260"/>
                  <wp:effectExtent l="0" t="0" r="5715"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preferRelativeResize="0">
                            <a:picLocks noChangeArrowheads="1"/>
                          </pic:cNvPicPr>
                        </pic:nvPicPr>
                        <pic:blipFill>
                          <a:blip r:embed="rId10">
                            <a:extLst>
                              <a:ext uri="{28A0092B-C50C-407E-A947-70E740481C1C}">
                                <a14:useLocalDpi xmlns:a14="http://schemas.microsoft.com/office/drawing/2010/main" val="0"/>
                              </a:ext>
                            </a:extLst>
                          </a:blip>
                          <a:srcRect l="4395" r="4395"/>
                          <a:stretch>
                            <a:fillRect/>
                          </a:stretch>
                        </pic:blipFill>
                        <pic:spPr bwMode="auto">
                          <a:xfrm>
                            <a:off x="0" y="0"/>
                            <a:ext cx="680085" cy="556260"/>
                          </a:xfrm>
                          <a:prstGeom prst="rect">
                            <a:avLst/>
                          </a:prstGeom>
                          <a:noFill/>
                          <a:ln>
                            <a:noFill/>
                          </a:ln>
                        </pic:spPr>
                      </pic:pic>
                    </a:graphicData>
                  </a:graphic>
                </wp:inline>
              </w:drawing>
            </w:r>
          </w:p>
        </w:tc>
        <w:tc>
          <w:tcPr>
            <w:tcW w:w="7750" w:type="dxa"/>
            <w:gridSpan w:val="3"/>
            <w:tcBorders>
              <w:top w:val="nil"/>
              <w:bottom w:val="single" w:sz="12" w:space="0" w:color="000000"/>
            </w:tcBorders>
          </w:tcPr>
          <w:p w14:paraId="2ABED0E0" w14:textId="77777777" w:rsidR="00BA3273" w:rsidRPr="00BA3273" w:rsidRDefault="00BA3273" w:rsidP="00BA3273">
            <w:pPr>
              <w:tabs>
                <w:tab w:val="left" w:pos="1125"/>
                <w:tab w:val="left" w:pos="6815"/>
                <w:tab w:val="right" w:pos="7611"/>
              </w:tabs>
              <w:suppressAutoHyphens/>
              <w:rPr>
                <w:rFonts w:ascii="Univers" w:hAnsi="Univers" w:cs="Angsana New"/>
                <w:b/>
                <w:sz w:val="32"/>
                <w:lang w:val="fr-FR" w:eastAsia="ar-SA"/>
              </w:rPr>
            </w:pPr>
            <w:r w:rsidRPr="00BA3273">
              <w:rPr>
                <w:rFonts w:ascii="Univers" w:hAnsi="Univers" w:cs="Angsana New"/>
                <w:b/>
                <w:sz w:val="32"/>
                <w:lang w:val="fr-FR" w:eastAsia="ar-SA"/>
              </w:rPr>
              <w:tab/>
            </w:r>
            <w:r w:rsidRPr="00BA3273">
              <w:rPr>
                <w:rFonts w:ascii="Univers" w:hAnsi="Univers" w:cs="Angsana New"/>
                <w:b/>
                <w:sz w:val="32"/>
                <w:lang w:val="fr-FR" w:eastAsia="ar-SA"/>
              </w:rPr>
              <w:tab/>
            </w:r>
            <w:r w:rsidRPr="00BA3273">
              <w:rPr>
                <w:rFonts w:ascii="Univers" w:hAnsi="Univers" w:cs="Angsana New"/>
                <w:b/>
                <w:sz w:val="32"/>
                <w:lang w:val="fr-FR" w:eastAsia="ar-SA"/>
              </w:rPr>
              <w:tab/>
              <w:t>CBD</w:t>
            </w:r>
          </w:p>
          <w:p w14:paraId="755FF165" w14:textId="77777777" w:rsidR="00BA3273" w:rsidRPr="00BA3273" w:rsidRDefault="00BA3273" w:rsidP="00BA3273">
            <w:pPr>
              <w:suppressAutoHyphens/>
              <w:jc w:val="right"/>
              <w:rPr>
                <w:rFonts w:cs="Angsana New"/>
                <w:b/>
                <w:sz w:val="28"/>
                <w:lang w:val="fr-FR" w:eastAsia="ar-SA"/>
              </w:rPr>
            </w:pPr>
          </w:p>
        </w:tc>
      </w:tr>
      <w:tr w:rsidR="00BA3273" w:rsidRPr="00BA3273" w14:paraId="0F0D3888" w14:textId="77777777" w:rsidTr="00B219A6">
        <w:trPr>
          <w:trHeight w:val="1693"/>
        </w:trPr>
        <w:tc>
          <w:tcPr>
            <w:tcW w:w="5067" w:type="dxa"/>
            <w:gridSpan w:val="3"/>
            <w:tcBorders>
              <w:top w:val="nil"/>
              <w:bottom w:val="single" w:sz="36" w:space="0" w:color="000000"/>
            </w:tcBorders>
          </w:tcPr>
          <w:p w14:paraId="6DA93674" w14:textId="77777777" w:rsidR="00BA3273" w:rsidRPr="00BA3273" w:rsidRDefault="00BA3273" w:rsidP="00BA3273">
            <w:pPr>
              <w:suppressAutoHyphens/>
              <w:rPr>
                <w:rFonts w:cs="Angsana New"/>
                <w:lang w:val="fr-FR" w:eastAsia="ar-SA"/>
              </w:rPr>
            </w:pPr>
          </w:p>
          <w:p w14:paraId="0F9AF110" w14:textId="77777777" w:rsidR="00BA3273" w:rsidRPr="00BA3273" w:rsidRDefault="00BA3273" w:rsidP="00BA3273">
            <w:pPr>
              <w:suppressAutoHyphens/>
              <w:rPr>
                <w:rFonts w:cs="Angsana New"/>
                <w:lang w:val="fr-FR" w:eastAsia="ar-SA"/>
              </w:rPr>
            </w:pPr>
          </w:p>
          <w:p w14:paraId="461E9C19" w14:textId="6F0ABCBC" w:rsidR="00BA3273" w:rsidRPr="00BA3273" w:rsidRDefault="00BA3273" w:rsidP="00BA3273">
            <w:pPr>
              <w:suppressAutoHyphens/>
              <w:rPr>
                <w:rFonts w:ascii="Univers" w:hAnsi="Univers" w:cs="Angsana New"/>
                <w:lang w:val="fr-FR" w:eastAsia="ar-SA"/>
              </w:rPr>
            </w:pPr>
            <w:r w:rsidRPr="00FC767B">
              <w:rPr>
                <w:rFonts w:ascii="Univers" w:hAnsi="Univers" w:cs="Angsana New"/>
                <w:noProof/>
                <w:lang w:eastAsia="en-GB"/>
              </w:rPr>
              <w:drawing>
                <wp:inline distT="0" distB="0" distL="0" distR="0" wp14:anchorId="47A97377" wp14:editId="4EFD8601">
                  <wp:extent cx="2860040" cy="1082675"/>
                  <wp:effectExtent l="0" t="0" r="0" b="3175"/>
                  <wp:docPr id="7" name="Image 7"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BD_logo_fr-CMYK-black [Conver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0040" cy="1082675"/>
                          </a:xfrm>
                          <a:prstGeom prst="rect">
                            <a:avLst/>
                          </a:prstGeom>
                          <a:noFill/>
                          <a:ln>
                            <a:noFill/>
                          </a:ln>
                        </pic:spPr>
                      </pic:pic>
                    </a:graphicData>
                  </a:graphic>
                </wp:inline>
              </w:drawing>
            </w:r>
          </w:p>
        </w:tc>
        <w:tc>
          <w:tcPr>
            <w:tcW w:w="1596" w:type="dxa"/>
            <w:tcBorders>
              <w:top w:val="nil"/>
              <w:bottom w:val="single" w:sz="36" w:space="0" w:color="000000"/>
            </w:tcBorders>
          </w:tcPr>
          <w:p w14:paraId="1F574825" w14:textId="77777777" w:rsidR="00BA3273" w:rsidRPr="00BA3273" w:rsidRDefault="00BA3273" w:rsidP="00BA3273">
            <w:pPr>
              <w:suppressAutoHyphens/>
              <w:ind w:left="1478" w:right="-2943"/>
              <w:rPr>
                <w:rFonts w:cs="Angsana New"/>
                <w:b/>
                <w:szCs w:val="22"/>
                <w:lang w:val="fr-FR" w:eastAsia="ar-SA"/>
              </w:rPr>
            </w:pPr>
          </w:p>
          <w:p w14:paraId="72777DD8" w14:textId="77777777" w:rsidR="00BA3273" w:rsidRPr="00BA3273" w:rsidRDefault="00BA3273" w:rsidP="00BA3273">
            <w:pPr>
              <w:suppressAutoHyphens/>
              <w:ind w:left="1478" w:right="-2943"/>
              <w:rPr>
                <w:rFonts w:cs="Angsana New"/>
                <w:b/>
                <w:szCs w:val="22"/>
                <w:lang w:val="fr-FR" w:eastAsia="ar-SA"/>
              </w:rPr>
            </w:pPr>
          </w:p>
          <w:p w14:paraId="6D23AF77" w14:textId="77777777" w:rsidR="00BA3273" w:rsidRPr="00BA3273" w:rsidRDefault="00BA3273" w:rsidP="00BA3273">
            <w:pPr>
              <w:suppressAutoHyphens/>
              <w:ind w:left="1478" w:right="-2943"/>
              <w:rPr>
                <w:rFonts w:cs="Angsana New"/>
                <w:b/>
                <w:szCs w:val="22"/>
                <w:lang w:val="fr-FR" w:eastAsia="ar-SA"/>
              </w:rPr>
            </w:pPr>
          </w:p>
          <w:p w14:paraId="0D0F6CEF" w14:textId="77777777" w:rsidR="00BA3273" w:rsidRPr="00BA3273" w:rsidRDefault="00BA3273" w:rsidP="00BA3273">
            <w:pPr>
              <w:suppressAutoHyphens/>
              <w:ind w:right="-2943"/>
              <w:rPr>
                <w:rFonts w:cs="Angsana New"/>
                <w:b/>
                <w:szCs w:val="22"/>
                <w:u w:val="single"/>
                <w:lang w:val="fr-FR" w:eastAsia="ar-SA"/>
              </w:rPr>
            </w:pPr>
            <w:r w:rsidRPr="00BA3273">
              <w:rPr>
                <w:rFonts w:cs="Angsana New"/>
                <w:b/>
                <w:szCs w:val="22"/>
                <w:lang w:val="fr-FR" w:eastAsia="ar-SA"/>
              </w:rPr>
              <w:t xml:space="preserve">  </w:t>
            </w:r>
          </w:p>
          <w:p w14:paraId="23D2B450" w14:textId="77777777" w:rsidR="00BA3273" w:rsidRPr="00BA3273" w:rsidRDefault="00BA3273" w:rsidP="00BA3273">
            <w:pPr>
              <w:suppressAutoHyphens/>
              <w:ind w:left="1478" w:right="-2943"/>
              <w:rPr>
                <w:rFonts w:cs="Angsana New"/>
                <w:b/>
                <w:color w:val="FF0000"/>
                <w:szCs w:val="22"/>
                <w:lang w:val="fr-FR" w:eastAsia="ar-SA"/>
              </w:rPr>
            </w:pPr>
          </w:p>
        </w:tc>
        <w:tc>
          <w:tcPr>
            <w:tcW w:w="3544" w:type="dxa"/>
            <w:tcBorders>
              <w:top w:val="nil"/>
              <w:bottom w:val="single" w:sz="36" w:space="0" w:color="000000"/>
            </w:tcBorders>
          </w:tcPr>
          <w:p w14:paraId="655C3056" w14:textId="77777777" w:rsidR="00BA3273" w:rsidRPr="00BA3273" w:rsidRDefault="00BA3273" w:rsidP="00BA3273">
            <w:pPr>
              <w:suppressAutoHyphens/>
              <w:ind w:left="34" w:right="-1100"/>
              <w:rPr>
                <w:rFonts w:cs="Angsana New"/>
                <w:noProof/>
                <w:szCs w:val="22"/>
                <w:lang w:val="fr-FR" w:eastAsia="ar-SA"/>
              </w:rPr>
            </w:pPr>
            <w:r w:rsidRPr="00BA3273">
              <w:rPr>
                <w:rFonts w:cs="Angsana New"/>
                <w:noProof/>
                <w:szCs w:val="22"/>
                <w:lang w:val="fr-FR" w:eastAsia="ar-SA"/>
              </w:rPr>
              <w:t>Distr.</w:t>
            </w:r>
          </w:p>
          <w:p w14:paraId="1CB733D4" w14:textId="27348892" w:rsidR="00BA3273" w:rsidRPr="00BA3273" w:rsidRDefault="00B33E04" w:rsidP="00BA3273">
            <w:pPr>
              <w:suppressAutoHyphens/>
              <w:ind w:left="34" w:right="-1100"/>
              <w:rPr>
                <w:rFonts w:cs="Angsana New"/>
                <w:szCs w:val="22"/>
                <w:lang w:val="fr-FR" w:eastAsia="ar-SA"/>
              </w:rPr>
            </w:pPr>
            <w:r>
              <w:rPr>
                <w:rFonts w:cs="Angsana New"/>
                <w:szCs w:val="22"/>
                <w:lang w:val="fr-FR" w:eastAsia="ar-SA"/>
              </w:rPr>
              <w:t>G</w:t>
            </w:r>
            <w:r>
              <w:rPr>
                <w:szCs w:val="22"/>
                <w:lang w:val="fr-FR" w:eastAsia="ar-SA"/>
              </w:rPr>
              <w:t>É</w:t>
            </w:r>
            <w:r>
              <w:rPr>
                <w:rFonts w:cs="Angsana New"/>
                <w:szCs w:val="22"/>
                <w:lang w:val="fr-FR" w:eastAsia="ar-SA"/>
              </w:rPr>
              <w:t>N</w:t>
            </w:r>
            <w:r>
              <w:rPr>
                <w:szCs w:val="22"/>
                <w:lang w:val="fr-FR" w:eastAsia="ar-SA"/>
              </w:rPr>
              <w:t>É</w:t>
            </w:r>
            <w:r>
              <w:rPr>
                <w:rFonts w:cs="Angsana New"/>
                <w:szCs w:val="22"/>
                <w:lang w:val="fr-FR" w:eastAsia="ar-SA"/>
              </w:rPr>
              <w:t>RALE</w:t>
            </w:r>
          </w:p>
          <w:p w14:paraId="3B4C04A9" w14:textId="77777777" w:rsidR="00BA3273" w:rsidRPr="00BA3273" w:rsidRDefault="00BA3273" w:rsidP="00BA3273">
            <w:pPr>
              <w:suppressAutoHyphens/>
              <w:ind w:left="34" w:right="-1100"/>
              <w:rPr>
                <w:rFonts w:cs="Angsana New"/>
                <w:szCs w:val="22"/>
                <w:lang w:val="fr-FR" w:eastAsia="ar-SA"/>
              </w:rPr>
            </w:pPr>
          </w:p>
          <w:p w14:paraId="6E5BAD85" w14:textId="6FD6A201" w:rsidR="00BA3273" w:rsidRPr="00BA3273" w:rsidRDefault="00BA3273" w:rsidP="00BA3273">
            <w:pPr>
              <w:suppressAutoHyphens/>
              <w:ind w:left="34" w:right="-1100"/>
              <w:rPr>
                <w:rFonts w:cs="Angsana New"/>
                <w:szCs w:val="22"/>
                <w:lang w:val="fr-FR" w:eastAsia="ar-SA"/>
              </w:rPr>
            </w:pPr>
            <w:r w:rsidRPr="00BA3273">
              <w:rPr>
                <w:rFonts w:cs="Angsana New"/>
                <w:kern w:val="20"/>
                <w:lang w:val="fr-FR" w:eastAsia="ar-SA"/>
              </w:rPr>
              <w:t>UNEP/CBD/SBSTTA/</w:t>
            </w:r>
            <w:r w:rsidR="00B33E04">
              <w:rPr>
                <w:rFonts w:cs="Angsana New"/>
                <w:kern w:val="20"/>
                <w:lang w:val="fr-FR" w:eastAsia="ar-SA"/>
              </w:rPr>
              <w:t>REC/XXI/1</w:t>
            </w:r>
          </w:p>
          <w:p w14:paraId="4E1CB742" w14:textId="584A528D" w:rsidR="00BA3273" w:rsidRPr="00BA3273" w:rsidRDefault="00F80938" w:rsidP="00BA3273">
            <w:pPr>
              <w:suppressAutoHyphens/>
              <w:ind w:left="34" w:right="-1100"/>
              <w:rPr>
                <w:rFonts w:cs="Angsana New"/>
                <w:szCs w:val="22"/>
                <w:lang w:val="fr-FR" w:eastAsia="ar-SA"/>
              </w:rPr>
            </w:pPr>
            <w:r w:rsidRPr="00FC767B">
              <w:rPr>
                <w:rFonts w:cs="Angsana New"/>
                <w:szCs w:val="22"/>
                <w:lang w:val="fr-FR" w:eastAsia="ar-SA"/>
              </w:rPr>
              <w:t>1</w:t>
            </w:r>
            <w:r w:rsidR="00BA3273" w:rsidRPr="00BA3273">
              <w:rPr>
                <w:rFonts w:cs="Angsana New"/>
                <w:szCs w:val="22"/>
                <w:lang w:val="fr-FR" w:eastAsia="ar-SA"/>
              </w:rPr>
              <w:t xml:space="preserve">4 </w:t>
            </w:r>
            <w:r w:rsidRPr="00FC767B">
              <w:rPr>
                <w:rFonts w:cs="Angsana New"/>
                <w:szCs w:val="22"/>
                <w:lang w:val="fr-FR" w:eastAsia="ar-SA"/>
              </w:rPr>
              <w:t xml:space="preserve">décembre </w:t>
            </w:r>
            <w:r w:rsidR="00BA3273" w:rsidRPr="00BA3273">
              <w:rPr>
                <w:rFonts w:cs="Angsana New"/>
                <w:szCs w:val="22"/>
                <w:lang w:val="fr-FR" w:eastAsia="ar-SA"/>
              </w:rPr>
              <w:t>201</w:t>
            </w:r>
            <w:r w:rsidRPr="00FC767B">
              <w:rPr>
                <w:rFonts w:cs="Angsana New"/>
                <w:szCs w:val="22"/>
                <w:lang w:val="fr-FR" w:eastAsia="ar-SA"/>
              </w:rPr>
              <w:t>7</w:t>
            </w:r>
          </w:p>
          <w:p w14:paraId="3EAF4734" w14:textId="77777777" w:rsidR="00BA3273" w:rsidRPr="00BA3273" w:rsidRDefault="00BA3273" w:rsidP="00BA3273">
            <w:pPr>
              <w:suppressAutoHyphens/>
              <w:ind w:left="34" w:right="-1100"/>
              <w:rPr>
                <w:rFonts w:cs="Angsana New"/>
                <w:szCs w:val="22"/>
                <w:lang w:val="fr-FR" w:eastAsia="ar-SA"/>
              </w:rPr>
            </w:pPr>
          </w:p>
          <w:p w14:paraId="654B62C4" w14:textId="77777777" w:rsidR="00BA3273" w:rsidRPr="00BA3273" w:rsidRDefault="00BA3273" w:rsidP="00BA3273">
            <w:pPr>
              <w:suppressAutoHyphens/>
              <w:ind w:left="34" w:right="-1100"/>
              <w:rPr>
                <w:rFonts w:cs="Angsana New"/>
                <w:szCs w:val="22"/>
                <w:lang w:val="fr-FR" w:eastAsia="ar-SA"/>
              </w:rPr>
            </w:pPr>
            <w:r w:rsidRPr="00BA3273">
              <w:rPr>
                <w:rFonts w:cs="Angsana New"/>
                <w:szCs w:val="22"/>
                <w:lang w:val="fr-FR" w:eastAsia="ar-SA"/>
              </w:rPr>
              <w:t>FRANÇAIS</w:t>
            </w:r>
          </w:p>
          <w:p w14:paraId="1818E0FB" w14:textId="77777777" w:rsidR="00BA3273" w:rsidRPr="00BA3273" w:rsidRDefault="00BA3273" w:rsidP="00BA3273">
            <w:pPr>
              <w:suppressAutoHyphens/>
              <w:ind w:left="34" w:right="-1100"/>
              <w:rPr>
                <w:rFonts w:cs="Angsana New"/>
                <w:szCs w:val="22"/>
                <w:lang w:val="fr-FR" w:eastAsia="ar-SA"/>
              </w:rPr>
            </w:pPr>
            <w:r w:rsidRPr="00BA3273">
              <w:rPr>
                <w:rFonts w:cs="Angsana New"/>
                <w:szCs w:val="22"/>
                <w:lang w:val="fr-FR" w:eastAsia="ar-SA"/>
              </w:rPr>
              <w:t>ORIGINAL : ANGLAIS</w:t>
            </w:r>
          </w:p>
          <w:p w14:paraId="0D7BC69E" w14:textId="77777777" w:rsidR="00BA3273" w:rsidRPr="00BA3273" w:rsidRDefault="00BA3273" w:rsidP="00BA3273">
            <w:pPr>
              <w:suppressAutoHyphens/>
              <w:ind w:left="34" w:right="-1100"/>
              <w:rPr>
                <w:rFonts w:cs="Angsana New"/>
                <w:szCs w:val="22"/>
                <w:lang w:val="fr-FR" w:eastAsia="ar-SA"/>
              </w:rPr>
            </w:pPr>
          </w:p>
          <w:p w14:paraId="607F4F2C" w14:textId="77777777" w:rsidR="00BA3273" w:rsidRPr="00BA3273" w:rsidRDefault="00BA3273" w:rsidP="00BA3273">
            <w:pPr>
              <w:suppressAutoHyphens/>
              <w:ind w:left="34" w:right="-1100"/>
              <w:rPr>
                <w:rFonts w:cs="Angsana New"/>
                <w:b/>
                <w:bCs/>
                <w:szCs w:val="22"/>
                <w:u w:val="single"/>
                <w:lang w:val="fr-FR" w:eastAsia="ar-SA"/>
              </w:rPr>
            </w:pPr>
          </w:p>
        </w:tc>
      </w:tr>
    </w:tbl>
    <w:p w14:paraId="0B8AD582" w14:textId="417A025E" w:rsidR="00D517ED" w:rsidRPr="00FC767B" w:rsidRDefault="003F0B62" w:rsidP="003F0B62">
      <w:pPr>
        <w:pStyle w:val="Cornernotation"/>
        <w:suppressLineNumbers/>
        <w:suppressAutoHyphens/>
        <w:ind w:right="4540"/>
        <w:rPr>
          <w:snapToGrid w:val="0"/>
          <w:kern w:val="22"/>
          <w:szCs w:val="22"/>
          <w:lang w:val="fr-FR"/>
        </w:rPr>
      </w:pPr>
      <w:r w:rsidRPr="00FC767B">
        <w:rPr>
          <w:caps/>
          <w:snapToGrid w:val="0"/>
          <w:kern w:val="22"/>
          <w:szCs w:val="22"/>
          <w:lang w:val="fr-FR"/>
        </w:rPr>
        <w:t>ORGANE SUBSIDIAIRE CHARGÉ DE FOURNIR DES AVIS SCIENTIFIQUES, TECHNIQUES ET TECHNOLOGIQUES</w:t>
      </w:r>
    </w:p>
    <w:p w14:paraId="682D9818" w14:textId="77777777" w:rsidR="00BB53BA" w:rsidRPr="00FC767B" w:rsidRDefault="003F0B62" w:rsidP="003F0B62">
      <w:pPr>
        <w:suppressLineNumbers/>
        <w:suppressAutoHyphens/>
        <w:rPr>
          <w:snapToGrid w:val="0"/>
          <w:kern w:val="22"/>
          <w:szCs w:val="22"/>
          <w:lang w:val="fr-FR"/>
        </w:rPr>
      </w:pPr>
      <w:r w:rsidRPr="00FC767B">
        <w:rPr>
          <w:snapToGrid w:val="0"/>
          <w:kern w:val="22"/>
          <w:szCs w:val="22"/>
          <w:lang w:val="fr-FR"/>
        </w:rPr>
        <w:t>Vingt</w:t>
      </w:r>
      <w:r w:rsidR="00E90441" w:rsidRPr="00FC767B">
        <w:rPr>
          <w:snapToGrid w:val="0"/>
          <w:kern w:val="22"/>
          <w:szCs w:val="22"/>
          <w:lang w:val="fr-FR"/>
        </w:rPr>
        <w:t xml:space="preserve"> </w:t>
      </w:r>
      <w:r w:rsidRPr="00FC767B">
        <w:rPr>
          <w:snapToGrid w:val="0"/>
          <w:kern w:val="22"/>
          <w:szCs w:val="22"/>
          <w:lang w:val="fr-FR"/>
        </w:rPr>
        <w:t>et</w:t>
      </w:r>
      <w:r w:rsidR="00E90441" w:rsidRPr="00FC767B">
        <w:rPr>
          <w:snapToGrid w:val="0"/>
          <w:kern w:val="22"/>
          <w:szCs w:val="22"/>
          <w:lang w:val="fr-FR"/>
        </w:rPr>
        <w:t xml:space="preserve"> </w:t>
      </w:r>
      <w:r w:rsidRPr="00FC767B">
        <w:rPr>
          <w:snapToGrid w:val="0"/>
          <w:kern w:val="22"/>
          <w:szCs w:val="22"/>
          <w:lang w:val="fr-FR"/>
        </w:rPr>
        <w:t>unième réunion</w:t>
      </w:r>
    </w:p>
    <w:p w14:paraId="3830AF94" w14:textId="77777777" w:rsidR="00D517ED" w:rsidRPr="00FC767B" w:rsidRDefault="003F0B62" w:rsidP="003F0B62">
      <w:pPr>
        <w:suppressLineNumbers/>
        <w:suppressAutoHyphens/>
        <w:rPr>
          <w:snapToGrid w:val="0"/>
          <w:kern w:val="22"/>
          <w:szCs w:val="22"/>
          <w:lang w:val="fr-FR"/>
        </w:rPr>
      </w:pPr>
      <w:r w:rsidRPr="00FC767B">
        <w:rPr>
          <w:snapToGrid w:val="0"/>
          <w:kern w:val="22"/>
          <w:szCs w:val="22"/>
          <w:lang w:val="fr-FR"/>
        </w:rPr>
        <w:t>Montréal, Canada, 11-14 décembre 2017</w:t>
      </w:r>
    </w:p>
    <w:p w14:paraId="3ECC98F5" w14:textId="0F5C494D" w:rsidR="00F826FE" w:rsidRDefault="003F0B62" w:rsidP="003F0B62">
      <w:pPr>
        <w:suppressLineNumbers/>
        <w:suppressAutoHyphens/>
        <w:rPr>
          <w:snapToGrid w:val="0"/>
          <w:kern w:val="22"/>
          <w:szCs w:val="22"/>
          <w:lang w:val="fr-FR"/>
        </w:rPr>
      </w:pPr>
      <w:r w:rsidRPr="00FC767B">
        <w:rPr>
          <w:snapToGrid w:val="0"/>
          <w:kern w:val="22"/>
          <w:szCs w:val="22"/>
          <w:lang w:val="fr-FR"/>
        </w:rPr>
        <w:t xml:space="preserve">Point 3 de l’ordre du jour </w:t>
      </w:r>
    </w:p>
    <w:p w14:paraId="6274C8F7" w14:textId="77777777" w:rsidR="00BE29C9" w:rsidRPr="00FC767B" w:rsidRDefault="00BE29C9" w:rsidP="003F0B62">
      <w:pPr>
        <w:suppressLineNumbers/>
        <w:suppressAutoHyphens/>
        <w:rPr>
          <w:snapToGrid w:val="0"/>
          <w:kern w:val="22"/>
          <w:szCs w:val="22"/>
          <w:lang w:val="fr-FR"/>
        </w:rPr>
      </w:pPr>
    </w:p>
    <w:p w14:paraId="4A14C0D3" w14:textId="3B836C74" w:rsidR="00967C3C" w:rsidRPr="00060C2A" w:rsidRDefault="002D6076" w:rsidP="003F0B62">
      <w:pPr>
        <w:pStyle w:val="heading2notforTOC"/>
        <w:suppressLineNumbers/>
        <w:tabs>
          <w:tab w:val="clear" w:pos="567"/>
        </w:tabs>
        <w:suppressAutoHyphens/>
        <w:rPr>
          <w:rFonts w:ascii="Times New Roman Bold" w:eastAsia="MS Mincho" w:hAnsi="Times New Roman Bold" w:cs="Times New Roman Bold"/>
          <w:b/>
          <w:bCs/>
          <w:i w:val="0"/>
          <w:caps/>
          <w:snapToGrid w:val="0"/>
          <w:kern w:val="22"/>
          <w:szCs w:val="22"/>
          <w:lang w:val="fr-FR" w:eastAsia="ja-JP"/>
        </w:rPr>
      </w:pPr>
      <w:r w:rsidRPr="00060C2A">
        <w:rPr>
          <w:rFonts w:ascii="Times New Roman Bold" w:eastAsia="MS Mincho" w:hAnsi="Times New Roman Bold" w:cs="Times New Roman Bold"/>
          <w:b/>
          <w:bCs/>
          <w:i w:val="0"/>
          <w:iCs w:val="0"/>
          <w:caps/>
          <w:snapToGrid w:val="0"/>
          <w:kern w:val="22"/>
          <w:szCs w:val="22"/>
          <w:lang w:val="fr-FR" w:eastAsia="ja-JP"/>
        </w:rPr>
        <w:t>recommandation adoptÉe</w:t>
      </w:r>
      <w:r w:rsidR="00A07E1B">
        <w:rPr>
          <w:rFonts w:ascii="Times New Roman Bold" w:eastAsia="MS Mincho" w:hAnsi="Times New Roman Bold" w:cs="Times New Roman Bold"/>
          <w:b/>
          <w:bCs/>
          <w:i w:val="0"/>
          <w:iCs w:val="0"/>
          <w:caps/>
          <w:snapToGrid w:val="0"/>
          <w:kern w:val="22"/>
          <w:szCs w:val="22"/>
          <w:lang w:val="fr-FR" w:eastAsia="ja-JP"/>
        </w:rPr>
        <w:t xml:space="preserve"> par l’organe subsidiaire chargÉ</w:t>
      </w:r>
      <w:r w:rsidRPr="00060C2A">
        <w:rPr>
          <w:rFonts w:ascii="Times New Roman Bold" w:eastAsia="MS Mincho" w:hAnsi="Times New Roman Bold" w:cs="Times New Roman Bold"/>
          <w:b/>
          <w:bCs/>
          <w:i w:val="0"/>
          <w:iCs w:val="0"/>
          <w:caps/>
          <w:snapToGrid w:val="0"/>
          <w:kern w:val="22"/>
          <w:szCs w:val="22"/>
          <w:lang w:val="fr-FR" w:eastAsia="ja-JP"/>
        </w:rPr>
        <w:t xml:space="preserve"> de fournir des avis scientifiques, techniques et technologiques</w:t>
      </w:r>
    </w:p>
    <w:p w14:paraId="193645FB" w14:textId="33EDB2F6" w:rsidR="00F826FE" w:rsidRPr="00060C2A" w:rsidRDefault="002D6076" w:rsidP="002D6076">
      <w:pPr>
        <w:pStyle w:val="recommendation"/>
        <w:jc w:val="center"/>
        <w:rPr>
          <w:b w:val="0"/>
          <w:i w:val="0"/>
          <w:kern w:val="22"/>
          <w:lang w:val="fr-FR"/>
        </w:rPr>
      </w:pPr>
      <w:r w:rsidRPr="00060C2A">
        <w:rPr>
          <w:i w:val="0"/>
          <w:lang w:val="fr-FR"/>
        </w:rPr>
        <w:t>XXI/1.</w:t>
      </w:r>
      <w:r w:rsidRPr="00060C2A">
        <w:rPr>
          <w:i w:val="0"/>
          <w:lang w:val="fr-FR"/>
        </w:rPr>
        <w:tab/>
        <w:t xml:space="preserve">Scénarios </w:t>
      </w:r>
      <w:r w:rsidR="00725EC9">
        <w:rPr>
          <w:i w:val="0"/>
          <w:lang w:val="fr-FR"/>
        </w:rPr>
        <w:t xml:space="preserve">pour la </w:t>
      </w:r>
      <w:r w:rsidR="003B1465">
        <w:rPr>
          <w:i w:val="0"/>
          <w:lang w:val="fr-FR"/>
        </w:rPr>
        <w:t>Vision 2050 pour la biodiversité</w:t>
      </w:r>
    </w:p>
    <w:p w14:paraId="5227742A" w14:textId="77777777" w:rsidR="00E90441" w:rsidRPr="00060C2A" w:rsidRDefault="00A01DA6" w:rsidP="00E90441">
      <w:pPr>
        <w:keepNext/>
        <w:suppressLineNumbers/>
        <w:suppressAutoHyphens/>
        <w:spacing w:before="120" w:after="120"/>
        <w:ind w:firstLine="720"/>
        <w:rPr>
          <w:i/>
          <w:kern w:val="22"/>
          <w:szCs w:val="22"/>
          <w:lang w:val="fr-FR"/>
        </w:rPr>
      </w:pPr>
      <w:r w:rsidRPr="00060C2A">
        <w:rPr>
          <w:i/>
          <w:iCs/>
          <w:kern w:val="22"/>
          <w:szCs w:val="22"/>
          <w:lang w:val="fr-FR"/>
        </w:rPr>
        <w:t>L’Organe subsidiaire chargé de fournir des avis scientifiques, techniques et technologiques</w:t>
      </w:r>
      <w:r w:rsidR="00E90441" w:rsidRPr="00060C2A">
        <w:rPr>
          <w:i/>
          <w:kern w:val="22"/>
          <w:szCs w:val="22"/>
          <w:lang w:val="fr-FR"/>
        </w:rPr>
        <w:t>,</w:t>
      </w:r>
    </w:p>
    <w:p w14:paraId="4EA0621F" w14:textId="46E3CAEA" w:rsidR="00E90441" w:rsidRPr="00FC767B" w:rsidRDefault="00A01DA6" w:rsidP="00C44C13">
      <w:pPr>
        <w:suppressLineNumbers/>
        <w:suppressAutoHyphens/>
        <w:spacing w:before="120" w:after="120"/>
        <w:ind w:firstLine="720"/>
        <w:rPr>
          <w:kern w:val="22"/>
          <w:szCs w:val="22"/>
          <w:lang w:val="fr-FR"/>
        </w:rPr>
      </w:pPr>
      <w:r w:rsidRPr="00FC767B">
        <w:rPr>
          <w:i/>
          <w:kern w:val="22"/>
          <w:szCs w:val="22"/>
          <w:lang w:val="fr-FR"/>
        </w:rPr>
        <w:t xml:space="preserve">Soulignant </w:t>
      </w:r>
      <w:r w:rsidRPr="00FC767B">
        <w:rPr>
          <w:kern w:val="22"/>
          <w:szCs w:val="22"/>
          <w:lang w:val="fr-FR"/>
        </w:rPr>
        <w:t xml:space="preserve">qu’il est </w:t>
      </w:r>
      <w:r w:rsidR="00C44C13" w:rsidRPr="00FC767B">
        <w:rPr>
          <w:kern w:val="22"/>
          <w:szCs w:val="22"/>
          <w:lang w:val="fr-FR"/>
        </w:rPr>
        <w:t>nécessaire</w:t>
      </w:r>
      <w:r w:rsidRPr="00FC767B">
        <w:rPr>
          <w:kern w:val="22"/>
          <w:szCs w:val="22"/>
          <w:lang w:val="fr-FR"/>
        </w:rPr>
        <w:t xml:space="preserve"> </w:t>
      </w:r>
      <w:r w:rsidR="00C44C13" w:rsidRPr="00FC767B">
        <w:rPr>
          <w:kern w:val="22"/>
          <w:szCs w:val="22"/>
          <w:lang w:val="fr-FR"/>
        </w:rPr>
        <w:t xml:space="preserve">de </w:t>
      </w:r>
      <w:r w:rsidR="008650BD" w:rsidRPr="00FC767B">
        <w:rPr>
          <w:kern w:val="22"/>
          <w:szCs w:val="22"/>
          <w:lang w:val="fr-FR"/>
        </w:rPr>
        <w:t xml:space="preserve">continuer à </w:t>
      </w:r>
      <w:r w:rsidR="00C44C13" w:rsidRPr="00FC767B">
        <w:rPr>
          <w:kern w:val="22"/>
          <w:szCs w:val="22"/>
          <w:lang w:val="fr-FR"/>
        </w:rPr>
        <w:t>concentrer</w:t>
      </w:r>
      <w:r w:rsidRPr="00FC767B">
        <w:rPr>
          <w:kern w:val="22"/>
          <w:szCs w:val="22"/>
          <w:lang w:val="fr-FR"/>
        </w:rPr>
        <w:t xml:space="preserve"> les efforts actuels sur </w:t>
      </w:r>
      <w:r w:rsidR="00C44C13" w:rsidRPr="00FC767B">
        <w:rPr>
          <w:kern w:val="22"/>
          <w:szCs w:val="22"/>
          <w:lang w:val="fr-FR"/>
        </w:rPr>
        <w:t>l’exécution du Plan stratégique pour la diversité biologique</w:t>
      </w:r>
      <w:r w:rsidR="006D7523" w:rsidRPr="00FC767B">
        <w:rPr>
          <w:kern w:val="22"/>
          <w:szCs w:val="22"/>
          <w:lang w:val="fr-FR"/>
        </w:rPr>
        <w:t xml:space="preserve"> </w:t>
      </w:r>
      <w:r w:rsidR="00E90441" w:rsidRPr="00FC767B">
        <w:rPr>
          <w:kern w:val="22"/>
          <w:szCs w:val="22"/>
          <w:lang w:val="fr-FR"/>
        </w:rPr>
        <w:t>2011-2020</w:t>
      </w:r>
      <w:r w:rsidR="00E90441" w:rsidRPr="00FC767B">
        <w:rPr>
          <w:kern w:val="22"/>
          <w:sz w:val="18"/>
          <w:szCs w:val="22"/>
          <w:vertAlign w:val="superscript"/>
          <w:lang w:val="fr-FR"/>
        </w:rPr>
        <w:footnoteReference w:id="1"/>
      </w:r>
      <w:r w:rsidR="00E90441" w:rsidRPr="00FC767B">
        <w:rPr>
          <w:kern w:val="22"/>
          <w:szCs w:val="22"/>
          <w:lang w:val="fr-FR"/>
        </w:rPr>
        <w:t xml:space="preserve"> </w:t>
      </w:r>
      <w:r w:rsidR="00C44C13" w:rsidRPr="00FC767B">
        <w:rPr>
          <w:kern w:val="22"/>
          <w:szCs w:val="22"/>
          <w:lang w:val="fr-FR"/>
        </w:rPr>
        <w:t>et la réalisation des Objectifs d’Ai</w:t>
      </w:r>
      <w:r w:rsidR="008C5EB8">
        <w:rPr>
          <w:kern w:val="22"/>
          <w:szCs w:val="22"/>
          <w:lang w:val="fr-FR"/>
        </w:rPr>
        <w:t>chi pour la biodiversité</w:t>
      </w:r>
      <w:r w:rsidR="00E90441" w:rsidRPr="00FC767B">
        <w:rPr>
          <w:kern w:val="22"/>
          <w:szCs w:val="22"/>
          <w:lang w:val="fr-FR"/>
        </w:rPr>
        <w:t>,</w:t>
      </w:r>
    </w:p>
    <w:p w14:paraId="79E12A8E" w14:textId="13B52B36" w:rsidR="00E90441" w:rsidRPr="00FC767B" w:rsidRDefault="00C44C13" w:rsidP="00A619F7">
      <w:pPr>
        <w:numPr>
          <w:ilvl w:val="0"/>
          <w:numId w:val="26"/>
        </w:numPr>
        <w:spacing w:before="120" w:after="120"/>
        <w:ind w:left="0" w:firstLine="720"/>
        <w:rPr>
          <w:kern w:val="22"/>
          <w:szCs w:val="22"/>
          <w:lang w:val="fr-FR"/>
        </w:rPr>
      </w:pPr>
      <w:r w:rsidRPr="00FC767B">
        <w:rPr>
          <w:i/>
          <w:kern w:val="22"/>
          <w:szCs w:val="22"/>
          <w:lang w:val="fr-FR"/>
        </w:rPr>
        <w:t>Note</w:t>
      </w:r>
      <w:r w:rsidRPr="00FC767B">
        <w:rPr>
          <w:kern w:val="22"/>
          <w:szCs w:val="22"/>
          <w:lang w:val="fr-FR"/>
        </w:rPr>
        <w:t xml:space="preserve"> </w:t>
      </w:r>
      <w:r w:rsidRPr="00FC767B">
        <w:rPr>
          <w:i/>
          <w:kern w:val="22"/>
          <w:szCs w:val="22"/>
          <w:lang w:val="fr-FR"/>
        </w:rPr>
        <w:t>que</w:t>
      </w:r>
      <w:r w:rsidRPr="00FC767B">
        <w:rPr>
          <w:kern w:val="22"/>
          <w:szCs w:val="22"/>
          <w:lang w:val="fr-FR"/>
        </w:rPr>
        <w:t xml:space="preserve"> la réalisation des Objectifs d’Aichi pour la diversité biologique permettrait d’améliorer le fondement du </w:t>
      </w:r>
      <w:r w:rsidR="00F32AB4">
        <w:rPr>
          <w:kern w:val="22"/>
          <w:szCs w:val="22"/>
          <w:lang w:val="fr-FR"/>
        </w:rPr>
        <w:t>Cadre mondial de la biodiversité</w:t>
      </w:r>
      <w:r w:rsidR="0023398E">
        <w:rPr>
          <w:kern w:val="22"/>
          <w:szCs w:val="22"/>
          <w:lang w:val="fr-FR"/>
        </w:rPr>
        <w:t xml:space="preserve"> pour</w:t>
      </w:r>
      <w:r w:rsidR="008C5EB8">
        <w:rPr>
          <w:kern w:val="22"/>
          <w:szCs w:val="22"/>
          <w:lang w:val="fr-FR"/>
        </w:rPr>
        <w:t xml:space="preserve"> l'après-2020</w:t>
      </w:r>
      <w:r w:rsidRPr="00FC767B">
        <w:rPr>
          <w:kern w:val="22"/>
          <w:szCs w:val="22"/>
          <w:lang w:val="fr-FR"/>
        </w:rPr>
        <w:t xml:space="preserve"> ainsi que les </w:t>
      </w:r>
      <w:r w:rsidR="005E5D74" w:rsidRPr="00FC767B">
        <w:rPr>
          <w:kern w:val="22"/>
          <w:szCs w:val="22"/>
          <w:lang w:val="fr-FR"/>
        </w:rPr>
        <w:t>possibilités</w:t>
      </w:r>
      <w:r w:rsidRPr="00FC767B">
        <w:rPr>
          <w:kern w:val="22"/>
          <w:szCs w:val="22"/>
          <w:lang w:val="fr-FR"/>
        </w:rPr>
        <w:t xml:space="preserve"> de réal</w:t>
      </w:r>
      <w:r w:rsidR="00725EC9">
        <w:rPr>
          <w:kern w:val="22"/>
          <w:szCs w:val="22"/>
          <w:lang w:val="fr-FR"/>
        </w:rPr>
        <w:t>isation de la V</w:t>
      </w:r>
      <w:r w:rsidR="00BF3FF9">
        <w:rPr>
          <w:kern w:val="22"/>
          <w:szCs w:val="22"/>
          <w:lang w:val="fr-FR"/>
        </w:rPr>
        <w:t>ision</w:t>
      </w:r>
      <w:r w:rsidRPr="00FC767B">
        <w:rPr>
          <w:kern w:val="22"/>
          <w:szCs w:val="22"/>
          <w:lang w:val="fr-FR"/>
        </w:rPr>
        <w:t xml:space="preserve"> 2050 ;</w:t>
      </w:r>
    </w:p>
    <w:p w14:paraId="4E2A8DFC" w14:textId="3B5A945A" w:rsidR="00E90441" w:rsidRPr="00FC767B" w:rsidRDefault="00C44C13" w:rsidP="00A619F7">
      <w:pPr>
        <w:numPr>
          <w:ilvl w:val="0"/>
          <w:numId w:val="26"/>
        </w:numPr>
        <w:spacing w:before="120" w:after="120"/>
        <w:ind w:left="0" w:firstLine="720"/>
        <w:rPr>
          <w:kern w:val="22"/>
          <w:szCs w:val="22"/>
          <w:lang w:val="fr-FR"/>
        </w:rPr>
      </w:pPr>
      <w:r w:rsidRPr="00FC767B">
        <w:rPr>
          <w:i/>
          <w:kern w:val="22"/>
          <w:szCs w:val="22"/>
          <w:lang w:val="fr-FR"/>
        </w:rPr>
        <w:t xml:space="preserve">Prend note avec intérêt </w:t>
      </w:r>
      <w:r w:rsidRPr="00FC767B">
        <w:rPr>
          <w:kern w:val="22"/>
          <w:szCs w:val="22"/>
          <w:lang w:val="fr-FR"/>
        </w:rPr>
        <w:t xml:space="preserve">des informations fournies dans les notes de la Secrétaire exécutive sur les scénarios pour la </w:t>
      </w:r>
      <w:r w:rsidR="003B1465">
        <w:rPr>
          <w:kern w:val="22"/>
          <w:szCs w:val="22"/>
          <w:lang w:val="fr-FR"/>
        </w:rPr>
        <w:t>Vision 2050 pour la biodiversité</w:t>
      </w:r>
      <w:r w:rsidR="007A75E5" w:rsidRPr="00FC767B">
        <w:rPr>
          <w:kern w:val="22"/>
          <w:szCs w:val="22"/>
          <w:lang w:val="fr-FR"/>
        </w:rPr>
        <w:t xml:space="preserve"> et le Programme de développement durable à l'horizon 2030</w:t>
      </w:r>
      <w:r w:rsidR="00E90441" w:rsidRPr="00FC767B">
        <w:rPr>
          <w:rFonts w:eastAsia="Malgun Gothic"/>
          <w:kern w:val="22"/>
          <w:szCs w:val="22"/>
          <w:vertAlign w:val="superscript"/>
          <w:lang w:val="fr-FR"/>
        </w:rPr>
        <w:footnoteReference w:id="2"/>
      </w:r>
      <w:r w:rsidRPr="00FC767B">
        <w:rPr>
          <w:rFonts w:eastAsia="Malgun Gothic"/>
          <w:kern w:val="22"/>
          <w:szCs w:val="22"/>
          <w:lang w:val="fr-FR"/>
        </w:rPr>
        <w:t xml:space="preserve">, </w:t>
      </w:r>
      <w:r w:rsidR="007A75E5" w:rsidRPr="00FC767B">
        <w:rPr>
          <w:rFonts w:eastAsia="Malgun Gothic"/>
          <w:kern w:val="22"/>
          <w:szCs w:val="22"/>
          <w:lang w:val="fr-FR"/>
        </w:rPr>
        <w:t>et</w:t>
      </w:r>
      <w:r w:rsidRPr="00FC767B">
        <w:rPr>
          <w:rFonts w:eastAsia="Malgun Gothic"/>
          <w:kern w:val="22"/>
          <w:szCs w:val="22"/>
          <w:lang w:val="fr-FR"/>
        </w:rPr>
        <w:t xml:space="preserve"> </w:t>
      </w:r>
      <w:r w:rsidRPr="00FC767B">
        <w:rPr>
          <w:rFonts w:eastAsia="Malgun Gothic"/>
          <w:i/>
          <w:kern w:val="22"/>
          <w:szCs w:val="22"/>
          <w:lang w:val="fr-FR"/>
        </w:rPr>
        <w:t>demande</w:t>
      </w:r>
      <w:r w:rsidR="00E90441" w:rsidRPr="00FC767B">
        <w:rPr>
          <w:rFonts w:eastAsia="Malgun Gothic"/>
          <w:kern w:val="22"/>
          <w:szCs w:val="22"/>
          <w:lang w:val="fr-FR"/>
        </w:rPr>
        <w:t xml:space="preserve"> </w:t>
      </w:r>
      <w:r w:rsidRPr="00FC767B">
        <w:rPr>
          <w:rFonts w:eastAsia="Malgun Gothic"/>
          <w:kern w:val="22"/>
          <w:szCs w:val="22"/>
          <w:lang w:val="fr-FR"/>
        </w:rPr>
        <w:t xml:space="preserve">à la Secrétaire exécutive </w:t>
      </w:r>
      <w:r w:rsidR="004B6AB5" w:rsidRPr="00FC767B">
        <w:rPr>
          <w:rFonts w:eastAsia="Malgun Gothic"/>
          <w:kern w:val="22"/>
          <w:szCs w:val="22"/>
          <w:lang w:val="fr-FR"/>
        </w:rPr>
        <w:t>d’entreprendre un examen collégial des documents d’information correspondant à ces notes</w:t>
      </w:r>
      <w:r w:rsidR="00E90441" w:rsidRPr="00FC767B">
        <w:rPr>
          <w:rFonts w:eastAsia="Malgun Gothic"/>
          <w:kern w:val="22"/>
          <w:sz w:val="18"/>
          <w:szCs w:val="22"/>
          <w:vertAlign w:val="superscript"/>
          <w:lang w:val="fr-FR"/>
        </w:rPr>
        <w:footnoteReference w:id="3"/>
      </w:r>
      <w:r w:rsidR="00F80938" w:rsidRPr="00FC767B">
        <w:rPr>
          <w:rFonts w:eastAsia="Malgun Gothic"/>
          <w:kern w:val="22"/>
          <w:szCs w:val="22"/>
          <w:lang w:val="fr-FR"/>
        </w:rPr>
        <w:t>,</w:t>
      </w:r>
      <w:r w:rsidR="00E90441" w:rsidRPr="00FC767B">
        <w:rPr>
          <w:rFonts w:eastAsia="Malgun Gothic"/>
          <w:kern w:val="22"/>
          <w:szCs w:val="22"/>
          <w:lang w:val="fr-FR"/>
        </w:rPr>
        <w:t xml:space="preserve"> </w:t>
      </w:r>
      <w:r w:rsidR="007A75E5" w:rsidRPr="00FC767B">
        <w:rPr>
          <w:rFonts w:eastAsia="Malgun Gothic"/>
          <w:kern w:val="22"/>
          <w:szCs w:val="22"/>
          <w:lang w:val="fr-FR"/>
        </w:rPr>
        <w:t>avec la participation des Parties</w:t>
      </w:r>
      <w:r w:rsidR="00F80938" w:rsidRPr="00FC767B">
        <w:rPr>
          <w:rFonts w:eastAsia="Malgun Gothic"/>
          <w:kern w:val="22"/>
          <w:szCs w:val="22"/>
          <w:lang w:val="fr-FR"/>
        </w:rPr>
        <w:t>,</w:t>
      </w:r>
      <w:r w:rsidR="007A75E5" w:rsidRPr="00FC767B">
        <w:rPr>
          <w:rFonts w:eastAsia="Malgun Gothic"/>
          <w:kern w:val="22"/>
          <w:szCs w:val="22"/>
          <w:lang w:val="fr-FR"/>
        </w:rPr>
        <w:t xml:space="preserve"> d'autres gouvernements, des peuples autochtones et des communautés locales, et des parties prenantes</w:t>
      </w:r>
      <w:r w:rsidR="00F80938" w:rsidRPr="00FC767B">
        <w:rPr>
          <w:rFonts w:eastAsia="Malgun Gothic"/>
          <w:kern w:val="22"/>
          <w:szCs w:val="22"/>
          <w:lang w:val="fr-FR"/>
        </w:rPr>
        <w:t xml:space="preserve"> pertinentes</w:t>
      </w:r>
      <w:r w:rsidR="007A75E5" w:rsidRPr="00FC767B">
        <w:rPr>
          <w:rFonts w:eastAsia="Malgun Gothic"/>
          <w:kern w:val="22"/>
          <w:szCs w:val="22"/>
          <w:lang w:val="fr-FR"/>
        </w:rPr>
        <w:t xml:space="preserve">, ainsi que </w:t>
      </w:r>
      <w:r w:rsidR="00F80938" w:rsidRPr="00FC767B">
        <w:rPr>
          <w:rFonts w:eastAsia="Malgun Gothic"/>
          <w:kern w:val="22"/>
          <w:szCs w:val="22"/>
          <w:lang w:val="fr-FR"/>
        </w:rPr>
        <w:t>d’</w:t>
      </w:r>
      <w:r w:rsidR="007A75E5" w:rsidRPr="00FC767B">
        <w:rPr>
          <w:rFonts w:eastAsia="Malgun Gothic"/>
          <w:kern w:val="22"/>
          <w:szCs w:val="22"/>
          <w:lang w:val="fr-FR"/>
        </w:rPr>
        <w:t>experts</w:t>
      </w:r>
      <w:r w:rsidR="00F80938" w:rsidRPr="00FC767B">
        <w:rPr>
          <w:rFonts w:eastAsia="Malgun Gothic"/>
          <w:kern w:val="22"/>
          <w:szCs w:val="22"/>
          <w:lang w:val="fr-FR"/>
        </w:rPr>
        <w:t xml:space="preserve"> compétents</w:t>
      </w:r>
      <w:r w:rsidR="007A75E5" w:rsidRPr="00FC767B">
        <w:rPr>
          <w:rFonts w:eastAsia="Malgun Gothic"/>
          <w:kern w:val="22"/>
          <w:szCs w:val="22"/>
          <w:lang w:val="fr-FR"/>
        </w:rPr>
        <w:t xml:space="preserve">, </w:t>
      </w:r>
      <w:r w:rsidR="004B6AB5" w:rsidRPr="00FC767B">
        <w:rPr>
          <w:rFonts w:eastAsia="Malgun Gothic"/>
          <w:kern w:val="22"/>
          <w:szCs w:val="22"/>
          <w:lang w:val="fr-FR"/>
        </w:rPr>
        <w:t>et d’en transmettre les versions révisées</w:t>
      </w:r>
      <w:r w:rsidR="008C5EB8">
        <w:rPr>
          <w:rFonts w:eastAsia="Malgun Gothic"/>
          <w:kern w:val="22"/>
          <w:szCs w:val="22"/>
          <w:lang w:val="fr-FR"/>
        </w:rPr>
        <w:t>, à titre d’</w:t>
      </w:r>
      <w:r w:rsidR="004B6AB5" w:rsidRPr="00FC767B">
        <w:rPr>
          <w:rFonts w:eastAsia="Malgun Gothic"/>
          <w:kern w:val="22"/>
          <w:szCs w:val="22"/>
          <w:lang w:val="fr-FR"/>
        </w:rPr>
        <w:t xml:space="preserve">information, à l’Organe subsidiaire </w:t>
      </w:r>
      <w:r w:rsidR="006D7523" w:rsidRPr="00FC767B">
        <w:rPr>
          <w:rFonts w:eastAsia="Malgun Gothic"/>
          <w:kern w:val="22"/>
          <w:szCs w:val="22"/>
          <w:lang w:val="fr-FR"/>
        </w:rPr>
        <w:t>chargé de l’application</w:t>
      </w:r>
      <w:r w:rsidR="004B6AB5" w:rsidRPr="00FC767B">
        <w:rPr>
          <w:rFonts w:eastAsia="Malgun Gothic"/>
          <w:kern w:val="22"/>
          <w:szCs w:val="22"/>
          <w:lang w:val="fr-FR"/>
        </w:rPr>
        <w:t xml:space="preserve"> à sa deuxième réunion et à la </w:t>
      </w:r>
      <w:r w:rsidR="004B6AB5" w:rsidRPr="00FC767B">
        <w:rPr>
          <w:rFonts w:eastAsia="Malgun Gothic"/>
          <w:kern w:val="22"/>
          <w:sz w:val="21"/>
          <w:szCs w:val="21"/>
          <w:lang w:val="fr-FR"/>
        </w:rPr>
        <w:t>Conférence des Parties</w:t>
      </w:r>
      <w:r w:rsidR="004B6AB5" w:rsidRPr="00FC767B">
        <w:rPr>
          <w:rFonts w:eastAsia="Malgun Gothic"/>
          <w:kern w:val="22"/>
          <w:szCs w:val="22"/>
          <w:lang w:val="fr-FR"/>
        </w:rPr>
        <w:t xml:space="preserve"> à sa quatorzième réunion ; </w:t>
      </w:r>
    </w:p>
    <w:p w14:paraId="5195D4E3" w14:textId="2EAEAD5E" w:rsidR="00CC28D9" w:rsidRPr="00FC767B" w:rsidRDefault="00CC28D9" w:rsidP="004D4112">
      <w:pPr>
        <w:numPr>
          <w:ilvl w:val="0"/>
          <w:numId w:val="26"/>
        </w:numPr>
        <w:spacing w:before="120" w:after="120"/>
        <w:ind w:left="0" w:firstLine="720"/>
        <w:rPr>
          <w:kern w:val="22"/>
          <w:szCs w:val="22"/>
          <w:lang w:val="fr-FR"/>
        </w:rPr>
      </w:pPr>
      <w:r w:rsidRPr="00FC767B">
        <w:rPr>
          <w:i/>
          <w:iCs/>
          <w:snapToGrid w:val="0"/>
          <w:kern w:val="22"/>
          <w:szCs w:val="22"/>
          <w:lang w:val="fr-FR"/>
        </w:rPr>
        <w:t>Accueille avec satisfaction</w:t>
      </w:r>
      <w:r w:rsidRPr="00FC767B">
        <w:rPr>
          <w:snapToGrid w:val="0"/>
          <w:kern w:val="22"/>
          <w:szCs w:val="22"/>
          <w:lang w:val="fr-FR"/>
        </w:rPr>
        <w:t xml:space="preserve"> les travaux en cours du Groupe d'experts sur les modèles et scénarios de la Plateforme intergouvernementale scientifique et politique sur la biodiversité et les services écosystémiques destinés à élaborer un nouvel ensemble de scénarios de biodiversité à échelle multiple par le biais d'un processus reposant sur les parties prenantes</w:t>
      </w:r>
      <w:r w:rsidR="001009CD" w:rsidRPr="00FC767B">
        <w:rPr>
          <w:rFonts w:eastAsia="Malgun Gothic"/>
          <w:kern w:val="22"/>
          <w:sz w:val="18"/>
          <w:szCs w:val="22"/>
          <w:vertAlign w:val="superscript"/>
          <w:lang w:val="fr-FR"/>
        </w:rPr>
        <w:footnoteReference w:id="4"/>
      </w:r>
      <w:r w:rsidRPr="00FC767B">
        <w:rPr>
          <w:snapToGrid w:val="0"/>
          <w:kern w:val="22"/>
          <w:szCs w:val="22"/>
          <w:lang w:val="fr-FR"/>
        </w:rPr>
        <w:t xml:space="preserve">, </w:t>
      </w:r>
      <w:r w:rsidR="00BA2AFA" w:rsidRPr="00FC767B">
        <w:rPr>
          <w:snapToGrid w:val="0"/>
          <w:kern w:val="22"/>
          <w:szCs w:val="22"/>
          <w:lang w:val="fr-FR"/>
        </w:rPr>
        <w:t xml:space="preserve">et notant </w:t>
      </w:r>
      <w:r w:rsidR="001009CD" w:rsidRPr="00FC767B">
        <w:rPr>
          <w:snapToGrid w:val="0"/>
          <w:kern w:val="22"/>
          <w:szCs w:val="22"/>
          <w:lang w:val="fr-FR"/>
        </w:rPr>
        <w:t xml:space="preserve">la </w:t>
      </w:r>
      <w:r w:rsidRPr="00FC767B">
        <w:rPr>
          <w:snapToGrid w:val="0"/>
          <w:kern w:val="22"/>
          <w:szCs w:val="22"/>
          <w:lang w:val="fr-FR"/>
        </w:rPr>
        <w:t xml:space="preserve">pertinence </w:t>
      </w:r>
      <w:r w:rsidR="001009CD" w:rsidRPr="00FC767B">
        <w:rPr>
          <w:snapToGrid w:val="0"/>
          <w:kern w:val="22"/>
          <w:szCs w:val="22"/>
          <w:lang w:val="fr-FR"/>
        </w:rPr>
        <w:t xml:space="preserve">de ces travaux </w:t>
      </w:r>
      <w:r w:rsidRPr="00FC767B">
        <w:rPr>
          <w:snapToGrid w:val="0"/>
          <w:kern w:val="22"/>
          <w:szCs w:val="22"/>
          <w:lang w:val="fr-FR"/>
        </w:rPr>
        <w:t xml:space="preserve">pour le </w:t>
      </w:r>
      <w:r w:rsidRPr="00FC767B">
        <w:rPr>
          <w:snapToGrid w:val="0"/>
          <w:kern w:val="22"/>
          <w:szCs w:val="22"/>
          <w:lang w:val="fr-FR"/>
        </w:rPr>
        <w:lastRenderedPageBreak/>
        <w:t xml:space="preserve">processus d'élaboration d'un </w:t>
      </w:r>
      <w:r w:rsidR="00F32AB4">
        <w:rPr>
          <w:snapToGrid w:val="0"/>
          <w:kern w:val="22"/>
          <w:szCs w:val="22"/>
          <w:lang w:val="fr-FR"/>
        </w:rPr>
        <w:t>Cadre mondial de la biodiversité</w:t>
      </w:r>
      <w:r w:rsidR="0023398E">
        <w:rPr>
          <w:snapToGrid w:val="0"/>
          <w:kern w:val="22"/>
          <w:szCs w:val="22"/>
          <w:lang w:val="fr-FR"/>
        </w:rPr>
        <w:t xml:space="preserve"> </w:t>
      </w:r>
      <w:r w:rsidR="007C6B00">
        <w:rPr>
          <w:snapToGrid w:val="0"/>
          <w:kern w:val="22"/>
          <w:szCs w:val="22"/>
          <w:lang w:val="fr-FR"/>
        </w:rPr>
        <w:t>pour</w:t>
      </w:r>
      <w:r w:rsidRPr="00FC767B">
        <w:rPr>
          <w:snapToGrid w:val="0"/>
          <w:kern w:val="22"/>
          <w:szCs w:val="22"/>
          <w:lang w:val="fr-FR"/>
        </w:rPr>
        <w:t xml:space="preserve"> l</w:t>
      </w:r>
      <w:r w:rsidR="0023398E">
        <w:rPr>
          <w:snapToGrid w:val="0"/>
          <w:kern w:val="22"/>
          <w:szCs w:val="22"/>
          <w:lang w:val="fr-FR"/>
        </w:rPr>
        <w:t>'après-2020</w:t>
      </w:r>
      <w:r w:rsidRPr="00FC767B">
        <w:rPr>
          <w:snapToGrid w:val="0"/>
          <w:kern w:val="22"/>
          <w:szCs w:val="22"/>
          <w:lang w:val="fr-FR"/>
        </w:rPr>
        <w:t xml:space="preserve">, </w:t>
      </w:r>
      <w:r w:rsidR="008475FC" w:rsidRPr="00FC767B">
        <w:rPr>
          <w:snapToGrid w:val="0"/>
          <w:kern w:val="22"/>
          <w:szCs w:val="22"/>
          <w:lang w:val="fr-FR"/>
        </w:rPr>
        <w:t>reconnaît l'importance de</w:t>
      </w:r>
      <w:r w:rsidR="008475FC" w:rsidRPr="00FC767B">
        <w:rPr>
          <w:i/>
          <w:snapToGrid w:val="0"/>
          <w:kern w:val="22"/>
          <w:szCs w:val="22"/>
          <w:lang w:val="fr-FR"/>
        </w:rPr>
        <w:t xml:space="preserve"> </w:t>
      </w:r>
      <w:r w:rsidR="001009CD" w:rsidRPr="00FC767B">
        <w:rPr>
          <w:snapToGrid w:val="0"/>
          <w:kern w:val="22"/>
          <w:szCs w:val="22"/>
          <w:lang w:val="fr-FR"/>
        </w:rPr>
        <w:t xml:space="preserve">la participation des peuples autochtones et des communautés locales à ces travaux, </w:t>
      </w:r>
      <w:r w:rsidRPr="00FC767B">
        <w:rPr>
          <w:snapToGrid w:val="0"/>
          <w:kern w:val="22"/>
          <w:szCs w:val="22"/>
          <w:lang w:val="fr-FR"/>
        </w:rPr>
        <w:t xml:space="preserve">et </w:t>
      </w:r>
      <w:r w:rsidRPr="00FC767B">
        <w:rPr>
          <w:i/>
          <w:iCs/>
          <w:snapToGrid w:val="0"/>
          <w:kern w:val="22"/>
          <w:szCs w:val="22"/>
          <w:lang w:val="fr-FR"/>
        </w:rPr>
        <w:t>encourage</w:t>
      </w:r>
      <w:r w:rsidRPr="00FC767B">
        <w:rPr>
          <w:snapToGrid w:val="0"/>
          <w:kern w:val="22"/>
          <w:szCs w:val="22"/>
          <w:lang w:val="fr-FR"/>
        </w:rPr>
        <w:t xml:space="preserve"> les Parties, les autres gouvernements, les peuples autochtones et les communautés locales, ainsi que l'ensemble des parties prenantes</w:t>
      </w:r>
      <w:r w:rsidR="001009CD" w:rsidRPr="00FC767B">
        <w:rPr>
          <w:snapToGrid w:val="0"/>
          <w:kern w:val="22"/>
          <w:szCs w:val="22"/>
          <w:lang w:val="fr-FR"/>
        </w:rPr>
        <w:t>,</w:t>
      </w:r>
      <w:r w:rsidRPr="00FC767B">
        <w:rPr>
          <w:snapToGrid w:val="0"/>
          <w:kern w:val="22"/>
          <w:szCs w:val="22"/>
          <w:lang w:val="fr-FR"/>
        </w:rPr>
        <w:t xml:space="preserve"> à </w:t>
      </w:r>
      <w:r w:rsidR="001009CD" w:rsidRPr="00FC767B">
        <w:rPr>
          <w:snapToGrid w:val="0"/>
          <w:kern w:val="22"/>
          <w:szCs w:val="22"/>
          <w:lang w:val="fr-FR"/>
        </w:rPr>
        <w:t xml:space="preserve">participer à </w:t>
      </w:r>
      <w:r w:rsidRPr="00FC767B">
        <w:rPr>
          <w:snapToGrid w:val="0"/>
          <w:kern w:val="22"/>
          <w:szCs w:val="22"/>
          <w:lang w:val="fr-FR"/>
        </w:rPr>
        <w:t>ce processus</w:t>
      </w:r>
      <w:r w:rsidR="001009CD" w:rsidRPr="00FC767B">
        <w:rPr>
          <w:snapToGrid w:val="0"/>
          <w:kern w:val="22"/>
          <w:szCs w:val="22"/>
          <w:lang w:val="fr-FR"/>
        </w:rPr>
        <w:t> ;</w:t>
      </w:r>
    </w:p>
    <w:p w14:paraId="7C14E838" w14:textId="77777777" w:rsidR="00012D8F" w:rsidRPr="00FC767B" w:rsidRDefault="00012D8F" w:rsidP="00012D8F">
      <w:pPr>
        <w:numPr>
          <w:ilvl w:val="0"/>
          <w:numId w:val="26"/>
        </w:numPr>
        <w:spacing w:before="120" w:after="120"/>
        <w:ind w:left="0" w:firstLine="720"/>
        <w:rPr>
          <w:kern w:val="22"/>
          <w:szCs w:val="22"/>
          <w:lang w:val="fr-FR"/>
        </w:rPr>
      </w:pPr>
      <w:r w:rsidRPr="00FC767B">
        <w:rPr>
          <w:rFonts w:eastAsia="Malgun Gothic"/>
          <w:i/>
          <w:kern w:val="22"/>
          <w:szCs w:val="22"/>
          <w:lang w:val="fr-FR"/>
        </w:rPr>
        <w:t>Recommande</w:t>
      </w:r>
      <w:r w:rsidRPr="00FC767B">
        <w:rPr>
          <w:rFonts w:eastAsia="Malgun Gothic"/>
          <w:kern w:val="22"/>
          <w:szCs w:val="22"/>
          <w:lang w:val="fr-FR"/>
        </w:rPr>
        <w:t xml:space="preserve"> à l’Organe subsidiaire chargé de l’application qu’il tienne compte, à sa deuxième réunion, des analyses des scénarios, notamment des informations visées aux paragraphes 2 et 3 ci-dessus, lorsqu’il examinera le point de l’ordre du jour consacré à la préparation du suivi du Plan stratégique pour la diversité biologique 2011-2020</w:t>
      </w:r>
      <w:r w:rsidRPr="00FC767B">
        <w:rPr>
          <w:rFonts w:eastAsia="Malgun Gothic"/>
          <w:kern w:val="22"/>
          <w:sz w:val="18"/>
          <w:szCs w:val="22"/>
          <w:vertAlign w:val="superscript"/>
          <w:lang w:val="fr-FR"/>
        </w:rPr>
        <w:footnoteReference w:id="5"/>
      </w:r>
      <w:r w:rsidRPr="00FC767B">
        <w:rPr>
          <w:rFonts w:eastAsia="Malgun Gothic"/>
          <w:kern w:val="22"/>
          <w:szCs w:val="22"/>
          <w:lang w:val="fr-FR"/>
        </w:rPr>
        <w:t> ;</w:t>
      </w:r>
    </w:p>
    <w:p w14:paraId="491DB1CA" w14:textId="59038AB0" w:rsidR="001D0DE8" w:rsidRPr="00FC767B" w:rsidRDefault="001D0DE8" w:rsidP="004D4112">
      <w:pPr>
        <w:numPr>
          <w:ilvl w:val="0"/>
          <w:numId w:val="26"/>
        </w:numPr>
        <w:spacing w:before="120" w:after="120"/>
        <w:ind w:left="0" w:firstLine="720"/>
        <w:rPr>
          <w:kern w:val="22"/>
          <w:szCs w:val="22"/>
          <w:lang w:val="fr-FR"/>
        </w:rPr>
      </w:pPr>
      <w:r w:rsidRPr="00FC767B">
        <w:rPr>
          <w:i/>
          <w:iCs/>
          <w:snapToGrid w:val="0"/>
          <w:kern w:val="22"/>
          <w:szCs w:val="22"/>
          <w:lang w:val="fr-FR"/>
        </w:rPr>
        <w:t xml:space="preserve">Souligne </w:t>
      </w:r>
      <w:r w:rsidRPr="00FC767B">
        <w:rPr>
          <w:iCs/>
          <w:snapToGrid w:val="0"/>
          <w:kern w:val="22"/>
          <w:szCs w:val="22"/>
          <w:lang w:val="fr-FR"/>
        </w:rPr>
        <w:t>qu’il est nécessaire de renforcer les capacités, notamment celles des pays e</w:t>
      </w:r>
      <w:r w:rsidR="005F0FA6">
        <w:rPr>
          <w:iCs/>
          <w:snapToGrid w:val="0"/>
          <w:kern w:val="22"/>
          <w:szCs w:val="22"/>
          <w:lang w:val="fr-FR"/>
        </w:rPr>
        <w:t>n développement et des pays à économie en transition</w:t>
      </w:r>
      <w:r w:rsidRPr="00FC767B">
        <w:rPr>
          <w:iCs/>
          <w:snapToGrid w:val="0"/>
          <w:kern w:val="22"/>
          <w:szCs w:val="22"/>
          <w:lang w:val="fr-FR"/>
        </w:rPr>
        <w:t>, en particulier les pays les moins avancés et les petits États insulaires en développement, afin de permettre à tous les pays de participer à l’élaboration et à la mise en pratique des scénarios ;</w:t>
      </w:r>
    </w:p>
    <w:p w14:paraId="133A7F8E" w14:textId="7B131CA2" w:rsidR="001009CD" w:rsidRPr="00FC767B" w:rsidRDefault="001009CD" w:rsidP="005E5D74">
      <w:pPr>
        <w:numPr>
          <w:ilvl w:val="0"/>
          <w:numId w:val="26"/>
        </w:numPr>
        <w:spacing w:before="120" w:after="120"/>
        <w:ind w:left="0" w:firstLine="720"/>
        <w:rPr>
          <w:rFonts w:eastAsia="Malgun Gothic"/>
          <w:kern w:val="22"/>
          <w:szCs w:val="22"/>
          <w:lang w:val="fr-FR"/>
        </w:rPr>
      </w:pPr>
      <w:r w:rsidRPr="00FC767B">
        <w:rPr>
          <w:i/>
          <w:iCs/>
          <w:snapToGrid w:val="0"/>
          <w:kern w:val="22"/>
          <w:szCs w:val="22"/>
          <w:lang w:val="fr-FR"/>
        </w:rPr>
        <w:t xml:space="preserve">Prend note avec intérêt </w:t>
      </w:r>
      <w:r w:rsidRPr="00FC767B">
        <w:rPr>
          <w:iCs/>
          <w:snapToGrid w:val="0"/>
          <w:kern w:val="22"/>
          <w:szCs w:val="22"/>
          <w:lang w:val="fr-FR"/>
        </w:rPr>
        <w:t xml:space="preserve">des travaux menés par les milieux scientifiques et d’autres communautés </w:t>
      </w:r>
      <w:r w:rsidR="002B2C1C" w:rsidRPr="00FC767B">
        <w:rPr>
          <w:iCs/>
          <w:snapToGrid w:val="0"/>
          <w:kern w:val="22"/>
          <w:szCs w:val="22"/>
          <w:lang w:val="fr-FR"/>
        </w:rPr>
        <w:t xml:space="preserve">compétentes </w:t>
      </w:r>
      <w:r w:rsidRPr="00FC767B">
        <w:rPr>
          <w:iCs/>
          <w:snapToGrid w:val="0"/>
          <w:kern w:val="22"/>
          <w:szCs w:val="22"/>
          <w:lang w:val="fr-FR"/>
        </w:rPr>
        <w:t xml:space="preserve">sur les scénarios et les évaluations connexes, notamment de la collaboration accrue entre les communautés œuvrant dans le domaine de la </w:t>
      </w:r>
      <w:r w:rsidRPr="00FC767B">
        <w:rPr>
          <w:iCs/>
          <w:snapToGrid w:val="0"/>
          <w:kern w:val="22"/>
          <w:szCs w:val="22"/>
          <w:lang w:val="fr-FR" w:bidi="fr-FR"/>
        </w:rPr>
        <w:t>diversité biologique</w:t>
      </w:r>
      <w:r w:rsidRPr="00FC767B">
        <w:rPr>
          <w:iCs/>
          <w:snapToGrid w:val="0"/>
          <w:kern w:val="22"/>
          <w:szCs w:val="22"/>
          <w:lang w:val="fr-FR"/>
        </w:rPr>
        <w:t xml:space="preserve"> et des changements climatiques, et rappelant </w:t>
      </w:r>
      <w:r w:rsidR="00B47E7D" w:rsidRPr="00FC767B">
        <w:rPr>
          <w:iCs/>
          <w:snapToGrid w:val="0"/>
          <w:kern w:val="22"/>
          <w:szCs w:val="22"/>
          <w:lang w:val="fr-FR"/>
        </w:rPr>
        <w:t xml:space="preserve">l'invitation du </w:t>
      </w:r>
      <w:r w:rsidR="00B47E7D" w:rsidRPr="00FC767B">
        <w:rPr>
          <w:lang w:val="fr-FR"/>
        </w:rPr>
        <w:t xml:space="preserve">Groupe d’experts intergouvernemental sur l’évolution du climat </w:t>
      </w:r>
      <w:r w:rsidR="00B47E7D" w:rsidRPr="00FC767B">
        <w:rPr>
          <w:iCs/>
          <w:snapToGrid w:val="0"/>
          <w:kern w:val="22"/>
          <w:szCs w:val="22"/>
          <w:lang w:val="fr-FR"/>
        </w:rPr>
        <w:t>au</w:t>
      </w:r>
      <w:r w:rsidRPr="00FC767B">
        <w:rPr>
          <w:iCs/>
          <w:snapToGrid w:val="0"/>
          <w:kern w:val="22"/>
          <w:szCs w:val="22"/>
          <w:lang w:val="fr-FR"/>
        </w:rPr>
        <w:t xml:space="preserve"> paragraphe</w:t>
      </w:r>
      <w:r w:rsidR="00B47E7D" w:rsidRPr="00FC767B">
        <w:rPr>
          <w:iCs/>
          <w:snapToGrid w:val="0"/>
          <w:kern w:val="22"/>
          <w:szCs w:val="22"/>
          <w:lang w:val="fr-FR"/>
        </w:rPr>
        <w:t> </w:t>
      </w:r>
      <w:r w:rsidRPr="00FC767B">
        <w:rPr>
          <w:iCs/>
          <w:snapToGrid w:val="0"/>
          <w:kern w:val="22"/>
          <w:szCs w:val="22"/>
          <w:lang w:val="fr-FR"/>
        </w:rPr>
        <w:t>5 de la</w:t>
      </w:r>
      <w:r w:rsidR="00AA7C4D">
        <w:rPr>
          <w:iCs/>
          <w:snapToGrid w:val="0"/>
          <w:kern w:val="22"/>
          <w:szCs w:val="22"/>
          <w:lang w:val="fr-FR"/>
        </w:rPr>
        <w:t xml:space="preserve"> </w:t>
      </w:r>
      <w:r w:rsidR="00AA7C4D" w:rsidRPr="00AA7C4D">
        <w:rPr>
          <w:snapToGrid w:val="0"/>
          <w:kern w:val="22"/>
          <w:szCs w:val="22"/>
          <w:lang w:val="fr-FR"/>
        </w:rPr>
        <w:t>recommandation XX/10 de l’Organe subsidiaire</w:t>
      </w:r>
      <w:r w:rsidR="00351A3C">
        <w:rPr>
          <w:snapToGrid w:val="0"/>
          <w:kern w:val="22"/>
          <w:szCs w:val="22"/>
          <w:lang w:val="fr-FR"/>
        </w:rPr>
        <w:t xml:space="preserve"> chargé de fournir des avis scientifiques, techniques et technologiques</w:t>
      </w:r>
      <w:r w:rsidRPr="00FC767B">
        <w:rPr>
          <w:iCs/>
          <w:snapToGrid w:val="0"/>
          <w:kern w:val="22"/>
          <w:szCs w:val="22"/>
          <w:lang w:val="fr-FR"/>
        </w:rPr>
        <w:t xml:space="preserve">, </w:t>
      </w:r>
      <w:r w:rsidRPr="00FC767B">
        <w:rPr>
          <w:i/>
          <w:iCs/>
          <w:snapToGrid w:val="0"/>
          <w:kern w:val="22"/>
          <w:szCs w:val="22"/>
          <w:lang w:val="fr-FR"/>
        </w:rPr>
        <w:t xml:space="preserve">invite </w:t>
      </w:r>
      <w:r w:rsidRPr="00FC767B">
        <w:rPr>
          <w:iCs/>
          <w:snapToGrid w:val="0"/>
          <w:kern w:val="22"/>
          <w:szCs w:val="22"/>
          <w:lang w:val="fr-FR"/>
        </w:rPr>
        <w:t>ces communautés</w:t>
      </w:r>
      <w:r w:rsidRPr="00FC767B">
        <w:rPr>
          <w:rFonts w:eastAsia="Malgun Gothic"/>
          <w:kern w:val="22"/>
          <w:szCs w:val="22"/>
          <w:lang w:val="fr-FR"/>
        </w:rPr>
        <w:t xml:space="preserve"> </w:t>
      </w:r>
      <w:r w:rsidR="00407F70" w:rsidRPr="00FC767B">
        <w:rPr>
          <w:rFonts w:eastAsia="Malgun Gothic"/>
          <w:kern w:val="22"/>
          <w:szCs w:val="22"/>
          <w:lang w:val="fr-FR"/>
        </w:rPr>
        <w:t>à poursuivre les efforts</w:t>
      </w:r>
      <w:r w:rsidRPr="00FC767B">
        <w:rPr>
          <w:rFonts w:eastAsia="Malgun Gothic"/>
          <w:kern w:val="22"/>
          <w:szCs w:val="22"/>
          <w:lang w:val="fr-FR"/>
        </w:rPr>
        <w:t xml:space="preserve"> </w:t>
      </w:r>
      <w:r w:rsidR="00407F70" w:rsidRPr="00FC767B">
        <w:rPr>
          <w:rFonts w:eastAsia="Malgun Gothic"/>
          <w:kern w:val="22"/>
          <w:szCs w:val="22"/>
          <w:lang w:val="fr-FR"/>
        </w:rPr>
        <w:t>visant à promouvoir la cohérence des scénarios et des évaluations connexes</w:t>
      </w:r>
      <w:r w:rsidR="00407F70" w:rsidRPr="00FC767B">
        <w:rPr>
          <w:rFonts w:eastAsia="Malgun Gothic"/>
          <w:snapToGrid w:val="0"/>
          <w:kern w:val="22"/>
          <w:szCs w:val="22"/>
          <w:lang w:val="fr-FR" w:bidi="fr-FR"/>
        </w:rPr>
        <w:t> </w:t>
      </w:r>
      <w:r w:rsidR="00407F70" w:rsidRPr="00FC767B">
        <w:rPr>
          <w:rFonts w:eastAsia="Malgun Gothic"/>
          <w:kern w:val="22"/>
          <w:szCs w:val="22"/>
          <w:lang w:val="fr-FR"/>
        </w:rPr>
        <w:t xml:space="preserve">; </w:t>
      </w:r>
    </w:p>
    <w:p w14:paraId="463C3703" w14:textId="68732CDA" w:rsidR="00E90441" w:rsidRPr="00FC767B" w:rsidRDefault="00E90441" w:rsidP="00A619F7">
      <w:pPr>
        <w:numPr>
          <w:ilvl w:val="0"/>
          <w:numId w:val="26"/>
        </w:numPr>
        <w:spacing w:before="120" w:after="120"/>
        <w:ind w:left="0" w:firstLine="720"/>
        <w:rPr>
          <w:rFonts w:eastAsia="Malgun Gothic"/>
          <w:i/>
          <w:kern w:val="22"/>
          <w:szCs w:val="22"/>
          <w:lang w:val="fr-FR"/>
        </w:rPr>
      </w:pPr>
      <w:r w:rsidRPr="00FC767B">
        <w:rPr>
          <w:rFonts w:eastAsia="Malgun Gothic"/>
          <w:i/>
          <w:kern w:val="22"/>
          <w:szCs w:val="22"/>
          <w:lang w:val="fr-FR"/>
        </w:rPr>
        <w:t>Invite</w:t>
      </w:r>
      <w:r w:rsidRPr="00FC767B">
        <w:rPr>
          <w:rFonts w:eastAsia="Malgun Gothic"/>
          <w:iCs/>
          <w:kern w:val="22"/>
          <w:szCs w:val="22"/>
          <w:lang w:val="fr-FR"/>
        </w:rPr>
        <w:t xml:space="preserve"> </w:t>
      </w:r>
      <w:r w:rsidR="00407F70" w:rsidRPr="00FC767B">
        <w:rPr>
          <w:rFonts w:eastAsia="Malgun Gothic"/>
          <w:iCs/>
          <w:kern w:val="22"/>
          <w:szCs w:val="22"/>
          <w:lang w:val="fr-FR"/>
        </w:rPr>
        <w:t xml:space="preserve">les milieux scientifiques et d’autres communautés </w:t>
      </w:r>
      <w:r w:rsidR="00477C90" w:rsidRPr="00FC767B">
        <w:rPr>
          <w:rFonts w:eastAsia="Malgun Gothic"/>
          <w:iCs/>
          <w:kern w:val="22"/>
          <w:szCs w:val="22"/>
          <w:lang w:val="fr-FR"/>
        </w:rPr>
        <w:t xml:space="preserve">compétentes </w:t>
      </w:r>
      <w:r w:rsidR="00407F70" w:rsidRPr="00FC767B">
        <w:rPr>
          <w:rFonts w:eastAsia="Malgun Gothic"/>
          <w:iCs/>
          <w:kern w:val="22"/>
          <w:szCs w:val="22"/>
          <w:lang w:val="fr-FR"/>
        </w:rPr>
        <w:t xml:space="preserve">travaillant sur les scénarios et les évaluations connexes à tenir compte des questions ci-après qui intéressent l’élaboration du </w:t>
      </w:r>
      <w:r w:rsidR="00F32AB4">
        <w:rPr>
          <w:rFonts w:eastAsia="Malgun Gothic"/>
          <w:iCs/>
          <w:kern w:val="22"/>
          <w:szCs w:val="22"/>
          <w:lang w:val="fr-FR"/>
        </w:rPr>
        <w:t>Cadre mondial de la biodiversité</w:t>
      </w:r>
      <w:r w:rsidR="005A103F">
        <w:rPr>
          <w:rFonts w:eastAsia="Malgun Gothic"/>
          <w:iCs/>
          <w:kern w:val="22"/>
          <w:szCs w:val="22"/>
          <w:lang w:val="fr-FR"/>
        </w:rPr>
        <w:t xml:space="preserve"> pour</w:t>
      </w:r>
      <w:r w:rsidR="009D229D">
        <w:rPr>
          <w:rFonts w:eastAsia="Malgun Gothic"/>
          <w:iCs/>
          <w:kern w:val="22"/>
          <w:szCs w:val="22"/>
          <w:lang w:val="fr-FR"/>
        </w:rPr>
        <w:t xml:space="preserve"> l’après-2020</w:t>
      </w:r>
      <w:r w:rsidR="00407F70" w:rsidRPr="00FC767B">
        <w:rPr>
          <w:rFonts w:eastAsia="Malgun Gothic"/>
          <w:iCs/>
          <w:kern w:val="22"/>
          <w:szCs w:val="22"/>
          <w:lang w:val="fr-FR"/>
        </w:rPr>
        <w:t> :</w:t>
      </w:r>
    </w:p>
    <w:p w14:paraId="0F17526C" w14:textId="77777777" w:rsidR="006E21F5" w:rsidRPr="00FC767B" w:rsidRDefault="006E21F5" w:rsidP="009C582C">
      <w:pPr>
        <w:numPr>
          <w:ilvl w:val="1"/>
          <w:numId w:val="25"/>
        </w:numPr>
        <w:spacing w:after="120"/>
        <w:ind w:left="0" w:firstLine="709"/>
        <w:rPr>
          <w:rFonts w:eastAsia="Malgun Gothic"/>
          <w:kern w:val="22"/>
          <w:szCs w:val="22"/>
          <w:lang w:val="fr-FR"/>
        </w:rPr>
      </w:pPr>
      <w:r w:rsidRPr="00FC767B">
        <w:rPr>
          <w:rFonts w:eastAsia="Malgun Gothic"/>
          <w:kern w:val="22"/>
          <w:szCs w:val="22"/>
          <w:lang w:val="fr-FR"/>
        </w:rPr>
        <w:t>L’étendue des facteurs sous-jacents et des problèmes systémiques et structurels à l’origine de la perte de bio</w:t>
      </w:r>
      <w:r w:rsidRPr="00FC767B">
        <w:rPr>
          <w:rFonts w:eastAsia="Malgun Gothic"/>
          <w:snapToGrid w:val="0"/>
          <w:kern w:val="22"/>
          <w:szCs w:val="22"/>
          <w:lang w:val="fr-FR" w:bidi="fr-FR"/>
        </w:rPr>
        <w:t xml:space="preserve">diversité </w:t>
      </w:r>
      <w:r w:rsidRPr="00FC767B">
        <w:rPr>
          <w:rFonts w:eastAsia="Malgun Gothic"/>
          <w:kern w:val="22"/>
          <w:szCs w:val="22"/>
          <w:lang w:val="fr-FR"/>
        </w:rPr>
        <w:t xml:space="preserve">; </w:t>
      </w:r>
    </w:p>
    <w:p w14:paraId="0CC1B508" w14:textId="77777777" w:rsidR="00E90441" w:rsidRPr="00FC767B" w:rsidRDefault="006E21F5" w:rsidP="009C582C">
      <w:pPr>
        <w:numPr>
          <w:ilvl w:val="1"/>
          <w:numId w:val="25"/>
        </w:numPr>
        <w:spacing w:after="120"/>
        <w:ind w:left="0" w:firstLine="709"/>
        <w:rPr>
          <w:rFonts w:eastAsia="Malgun Gothic"/>
          <w:kern w:val="22"/>
          <w:szCs w:val="22"/>
          <w:lang w:val="fr-FR"/>
        </w:rPr>
      </w:pPr>
      <w:r w:rsidRPr="00FC767B">
        <w:rPr>
          <w:rFonts w:eastAsia="Malgun Gothic"/>
          <w:kern w:val="22"/>
          <w:szCs w:val="22"/>
          <w:lang w:val="fr-FR"/>
        </w:rPr>
        <w:t xml:space="preserve">Les combinaisons </w:t>
      </w:r>
      <w:r w:rsidR="00A445FD" w:rsidRPr="00FC767B">
        <w:rPr>
          <w:rFonts w:eastAsia="Malgun Gothic"/>
          <w:kern w:val="22"/>
          <w:szCs w:val="22"/>
          <w:lang w:val="fr-FR"/>
        </w:rPr>
        <w:t xml:space="preserve">de politiques à de multiples échelles et dans le cadre de différents scénarios ; </w:t>
      </w:r>
    </w:p>
    <w:p w14:paraId="7E4AA56E" w14:textId="4AA7072F" w:rsidR="00E90441" w:rsidRPr="00FC767B" w:rsidRDefault="00A445FD" w:rsidP="009C582C">
      <w:pPr>
        <w:numPr>
          <w:ilvl w:val="1"/>
          <w:numId w:val="25"/>
        </w:numPr>
        <w:spacing w:after="120"/>
        <w:ind w:left="0" w:firstLine="709"/>
        <w:rPr>
          <w:rFonts w:eastAsia="Malgun Gothic"/>
          <w:kern w:val="22"/>
          <w:szCs w:val="22"/>
          <w:lang w:val="fr-FR"/>
        </w:rPr>
      </w:pPr>
      <w:r w:rsidRPr="00FC767B">
        <w:rPr>
          <w:rFonts w:eastAsia="Malgun Gothic"/>
          <w:kern w:val="22"/>
          <w:szCs w:val="22"/>
          <w:lang w:val="fr-FR"/>
        </w:rPr>
        <w:t xml:space="preserve">La reconnaissance des </w:t>
      </w:r>
      <w:r w:rsidR="00BA39F3" w:rsidRPr="00FC767B">
        <w:rPr>
          <w:rFonts w:eastAsia="Malgun Gothic"/>
          <w:kern w:val="22"/>
          <w:szCs w:val="22"/>
          <w:lang w:val="fr-FR"/>
        </w:rPr>
        <w:t>synergies,</w:t>
      </w:r>
      <w:r w:rsidR="00864F65">
        <w:rPr>
          <w:rFonts w:eastAsia="Malgun Gothic"/>
          <w:kern w:val="22"/>
          <w:szCs w:val="22"/>
          <w:lang w:val="fr-FR"/>
        </w:rPr>
        <w:t xml:space="preserve"> compromis</w:t>
      </w:r>
      <w:r w:rsidRPr="00FC767B">
        <w:rPr>
          <w:rFonts w:eastAsia="Malgun Gothic"/>
          <w:kern w:val="22"/>
          <w:szCs w:val="22"/>
          <w:lang w:val="fr-FR"/>
        </w:rPr>
        <w:t xml:space="preserve"> </w:t>
      </w:r>
      <w:r w:rsidR="00BA39F3" w:rsidRPr="00FC767B">
        <w:rPr>
          <w:rFonts w:eastAsia="Malgun Gothic"/>
          <w:kern w:val="22"/>
          <w:szCs w:val="22"/>
          <w:lang w:val="fr-FR"/>
        </w:rPr>
        <w:t xml:space="preserve">et restrictions </w:t>
      </w:r>
      <w:r w:rsidRPr="00FC767B">
        <w:rPr>
          <w:rFonts w:eastAsia="Malgun Gothic"/>
          <w:kern w:val="22"/>
          <w:szCs w:val="22"/>
          <w:lang w:val="fr-FR"/>
        </w:rPr>
        <w:t xml:space="preserve">possibles concernant la biodiversité dont il faudrait tenir compte </w:t>
      </w:r>
      <w:r w:rsidR="00BA39F3" w:rsidRPr="00FC767B">
        <w:rPr>
          <w:rFonts w:eastAsia="Malgun Gothic"/>
          <w:kern w:val="22"/>
          <w:szCs w:val="22"/>
          <w:lang w:val="fr-FR"/>
        </w:rPr>
        <w:t>afin de recenser les politiques et mesures efficaces qui permettraient d'</w:t>
      </w:r>
      <w:r w:rsidR="00864F65">
        <w:rPr>
          <w:rFonts w:eastAsia="Malgun Gothic"/>
          <w:kern w:val="22"/>
          <w:szCs w:val="22"/>
          <w:lang w:val="fr-FR"/>
        </w:rPr>
        <w:t>atteindre les O</w:t>
      </w:r>
      <w:r w:rsidRPr="00FC767B">
        <w:rPr>
          <w:rFonts w:eastAsia="Malgun Gothic"/>
          <w:kern w:val="22"/>
          <w:szCs w:val="22"/>
          <w:lang w:val="fr-FR"/>
        </w:rPr>
        <w:t>bjectifs de développement durable ;</w:t>
      </w:r>
    </w:p>
    <w:p w14:paraId="10B96FA4" w14:textId="77777777" w:rsidR="00A445FD" w:rsidRPr="00FC767B" w:rsidRDefault="00A445FD" w:rsidP="009C582C">
      <w:pPr>
        <w:numPr>
          <w:ilvl w:val="1"/>
          <w:numId w:val="25"/>
        </w:numPr>
        <w:spacing w:after="120"/>
        <w:ind w:left="0" w:firstLine="709"/>
        <w:rPr>
          <w:rFonts w:eastAsia="Malgun Gothic"/>
          <w:kern w:val="22"/>
          <w:szCs w:val="22"/>
          <w:lang w:val="fr-FR"/>
        </w:rPr>
      </w:pPr>
      <w:r w:rsidRPr="00FC767B">
        <w:rPr>
          <w:rFonts w:eastAsia="Malgun Gothic"/>
          <w:kern w:val="22"/>
          <w:szCs w:val="22"/>
          <w:lang w:val="fr-FR"/>
        </w:rPr>
        <w:t xml:space="preserve">Les contributions de l’action collective des peuples autochtones et des </w:t>
      </w:r>
      <w:r w:rsidR="004E43D5" w:rsidRPr="00FC767B">
        <w:rPr>
          <w:rFonts w:eastAsia="Malgun Gothic"/>
          <w:kern w:val="22"/>
          <w:szCs w:val="22"/>
          <w:lang w:val="fr-FR"/>
        </w:rPr>
        <w:t>communautés</w:t>
      </w:r>
      <w:r w:rsidRPr="00FC767B">
        <w:rPr>
          <w:rFonts w:eastAsia="Malgun Gothic"/>
          <w:kern w:val="22"/>
          <w:szCs w:val="22"/>
          <w:lang w:val="fr-FR"/>
        </w:rPr>
        <w:t xml:space="preserve"> locales à la conservation de la </w:t>
      </w:r>
      <w:r w:rsidRPr="00FC767B">
        <w:rPr>
          <w:rFonts w:eastAsia="Malgun Gothic"/>
          <w:snapToGrid w:val="0"/>
          <w:kern w:val="22"/>
          <w:szCs w:val="22"/>
          <w:lang w:val="fr-FR" w:bidi="fr-FR"/>
        </w:rPr>
        <w:t>diversité biologique</w:t>
      </w:r>
      <w:r w:rsidRPr="00FC767B">
        <w:rPr>
          <w:rFonts w:eastAsia="Malgun Gothic"/>
          <w:kern w:val="22"/>
          <w:szCs w:val="22"/>
          <w:lang w:val="fr-FR"/>
        </w:rPr>
        <w:t xml:space="preserve"> et à l’utilisation durable de ses éléments ; </w:t>
      </w:r>
    </w:p>
    <w:p w14:paraId="34FC91AA" w14:textId="2AC7B315" w:rsidR="00E90441" w:rsidRPr="00FC767B" w:rsidRDefault="00864F65" w:rsidP="009C582C">
      <w:pPr>
        <w:numPr>
          <w:ilvl w:val="1"/>
          <w:numId w:val="25"/>
        </w:numPr>
        <w:spacing w:after="120"/>
        <w:ind w:left="0" w:firstLine="709"/>
        <w:rPr>
          <w:rFonts w:eastAsia="Malgun Gothic"/>
          <w:kern w:val="22"/>
          <w:szCs w:val="22"/>
          <w:lang w:val="fr-FR"/>
        </w:rPr>
      </w:pPr>
      <w:r>
        <w:rPr>
          <w:kern w:val="22"/>
          <w:szCs w:val="22"/>
          <w:lang w:val="fr-FR"/>
        </w:rPr>
        <w:t>Les conséquences d</w:t>
      </w:r>
      <w:r w:rsidR="00A76EA3">
        <w:rPr>
          <w:kern w:val="22"/>
          <w:szCs w:val="22"/>
          <w:lang w:val="fr-FR"/>
        </w:rPr>
        <w:t xml:space="preserve">es divers </w:t>
      </w:r>
      <w:r>
        <w:rPr>
          <w:kern w:val="22"/>
          <w:szCs w:val="22"/>
          <w:lang w:val="fr-FR"/>
        </w:rPr>
        <w:t xml:space="preserve">scénarios </w:t>
      </w:r>
      <w:r w:rsidR="00A445FD" w:rsidRPr="00FC767B">
        <w:rPr>
          <w:kern w:val="22"/>
          <w:szCs w:val="22"/>
          <w:lang w:val="fr-FR"/>
        </w:rPr>
        <w:t xml:space="preserve">pour l’utilisation coutumière durable de la </w:t>
      </w:r>
      <w:r w:rsidR="00A445FD" w:rsidRPr="00FC767B">
        <w:rPr>
          <w:snapToGrid w:val="0"/>
          <w:kern w:val="22"/>
          <w:szCs w:val="22"/>
          <w:lang w:val="fr-FR" w:bidi="fr-FR"/>
        </w:rPr>
        <w:t>diversité biologique</w:t>
      </w:r>
      <w:r w:rsidR="00A445FD" w:rsidRPr="00FC767B">
        <w:rPr>
          <w:kern w:val="22"/>
          <w:szCs w:val="22"/>
          <w:lang w:val="fr-FR"/>
        </w:rPr>
        <w:t xml:space="preserve"> par les peuples autochtones et les </w:t>
      </w:r>
      <w:r w:rsidR="004E43D5" w:rsidRPr="00FC767B">
        <w:rPr>
          <w:kern w:val="22"/>
          <w:szCs w:val="22"/>
          <w:lang w:val="fr-FR"/>
        </w:rPr>
        <w:t>communautés</w:t>
      </w:r>
      <w:r w:rsidR="00A445FD" w:rsidRPr="00FC767B">
        <w:rPr>
          <w:kern w:val="22"/>
          <w:szCs w:val="22"/>
          <w:lang w:val="fr-FR"/>
        </w:rPr>
        <w:t xml:space="preserve"> locales ; </w:t>
      </w:r>
    </w:p>
    <w:p w14:paraId="586CEB3E" w14:textId="40B0B8C3" w:rsidR="00A445FD" w:rsidRPr="00FC767B" w:rsidRDefault="00A445FD" w:rsidP="009C582C">
      <w:pPr>
        <w:numPr>
          <w:ilvl w:val="1"/>
          <w:numId w:val="25"/>
        </w:numPr>
        <w:spacing w:after="120"/>
        <w:ind w:left="0" w:firstLine="709"/>
        <w:rPr>
          <w:rFonts w:eastAsia="Malgun Gothic"/>
          <w:kern w:val="22"/>
          <w:szCs w:val="22"/>
          <w:lang w:val="fr-FR"/>
        </w:rPr>
      </w:pPr>
      <w:r w:rsidRPr="00FC767B">
        <w:rPr>
          <w:kern w:val="22"/>
          <w:szCs w:val="22"/>
          <w:lang w:val="fr-FR"/>
        </w:rPr>
        <w:t xml:space="preserve">Les analyses de scénarios </w:t>
      </w:r>
      <w:r w:rsidR="004E43D5" w:rsidRPr="00FC767B">
        <w:rPr>
          <w:kern w:val="22"/>
          <w:szCs w:val="22"/>
          <w:lang w:val="fr-FR"/>
        </w:rPr>
        <w:t>concernant</w:t>
      </w:r>
      <w:r w:rsidRPr="00FC767B">
        <w:rPr>
          <w:kern w:val="22"/>
          <w:szCs w:val="22"/>
          <w:lang w:val="fr-FR"/>
        </w:rPr>
        <w:t xml:space="preserve"> le financement du </w:t>
      </w:r>
      <w:r w:rsidR="00F32AB4">
        <w:rPr>
          <w:kern w:val="22"/>
          <w:szCs w:val="22"/>
          <w:lang w:val="fr-FR"/>
        </w:rPr>
        <w:t>Cadre mondial de la biodiversité</w:t>
      </w:r>
      <w:r w:rsidR="009D229D" w:rsidRPr="00FC767B">
        <w:rPr>
          <w:kern w:val="22"/>
          <w:szCs w:val="22"/>
          <w:lang w:val="fr-FR"/>
        </w:rPr>
        <w:t xml:space="preserve"> </w:t>
      </w:r>
      <w:r w:rsidR="005A103F">
        <w:rPr>
          <w:kern w:val="22"/>
          <w:szCs w:val="22"/>
          <w:lang w:val="fr-FR"/>
        </w:rPr>
        <w:t>pour</w:t>
      </w:r>
      <w:r w:rsidRPr="00FC767B">
        <w:rPr>
          <w:kern w:val="22"/>
          <w:szCs w:val="22"/>
          <w:lang w:val="fr-FR"/>
        </w:rPr>
        <w:t xml:space="preserve"> l’après-2020 et la réali</w:t>
      </w:r>
      <w:r w:rsidR="00BF3FF9">
        <w:rPr>
          <w:kern w:val="22"/>
          <w:szCs w:val="22"/>
          <w:lang w:val="fr-FR"/>
        </w:rPr>
        <w:t>s</w:t>
      </w:r>
      <w:r w:rsidR="00725EC9">
        <w:rPr>
          <w:kern w:val="22"/>
          <w:szCs w:val="22"/>
          <w:lang w:val="fr-FR"/>
        </w:rPr>
        <w:t xml:space="preserve">ation de la </w:t>
      </w:r>
      <w:r w:rsidR="003B1465">
        <w:rPr>
          <w:kern w:val="22"/>
          <w:szCs w:val="22"/>
          <w:lang w:val="fr-FR"/>
        </w:rPr>
        <w:t>Vision 2050 pour la biodiversité</w:t>
      </w:r>
      <w:r w:rsidRPr="00FC767B">
        <w:rPr>
          <w:kern w:val="22"/>
          <w:szCs w:val="22"/>
          <w:lang w:val="fr-FR"/>
        </w:rPr>
        <w:t> ;</w:t>
      </w:r>
    </w:p>
    <w:p w14:paraId="6589841C" w14:textId="1286B453" w:rsidR="00B03906" w:rsidRPr="00FC767B" w:rsidRDefault="00B03906" w:rsidP="009C582C">
      <w:pPr>
        <w:numPr>
          <w:ilvl w:val="1"/>
          <w:numId w:val="25"/>
        </w:numPr>
        <w:spacing w:after="120"/>
        <w:ind w:left="0" w:firstLine="709"/>
        <w:rPr>
          <w:rFonts w:eastAsia="Malgun Gothic"/>
          <w:kern w:val="22"/>
          <w:szCs w:val="22"/>
          <w:lang w:val="fr-FR"/>
        </w:rPr>
      </w:pPr>
      <w:r w:rsidRPr="00FC767B">
        <w:rPr>
          <w:rFonts w:eastAsia="Malgun Gothic"/>
          <w:kern w:val="22"/>
          <w:szCs w:val="22"/>
          <w:lang w:val="fr-FR"/>
          <w14:cntxtAlts/>
        </w:rPr>
        <w:t>Les impacts positifs et négatifs potentiels des secteurs productifs, tels que, entre autres</w:t>
      </w:r>
      <w:r w:rsidR="0057261F">
        <w:rPr>
          <w:rFonts w:eastAsia="Malgun Gothic"/>
          <w:kern w:val="22"/>
          <w:szCs w:val="22"/>
          <w:lang w:val="fr-FR"/>
          <w14:cntxtAlts/>
        </w:rPr>
        <w:t>, l'agriculture, la foresterie</w:t>
      </w:r>
      <w:r w:rsidRPr="00FC767B">
        <w:rPr>
          <w:rFonts w:eastAsia="Malgun Gothic"/>
          <w:kern w:val="22"/>
          <w:szCs w:val="22"/>
          <w:lang w:val="fr-FR"/>
          <w14:cntxtAlts/>
        </w:rPr>
        <w:t xml:space="preserve"> et les pêcheries ;</w:t>
      </w:r>
    </w:p>
    <w:p w14:paraId="679E1729" w14:textId="4E89E057" w:rsidR="00B03906" w:rsidRPr="00FC767B" w:rsidRDefault="00F11368" w:rsidP="009C582C">
      <w:pPr>
        <w:numPr>
          <w:ilvl w:val="1"/>
          <w:numId w:val="25"/>
        </w:numPr>
        <w:spacing w:after="120"/>
        <w:ind w:left="0" w:firstLine="709"/>
        <w:rPr>
          <w:rFonts w:eastAsia="Malgun Gothic"/>
          <w:kern w:val="22"/>
          <w:szCs w:val="22"/>
          <w:lang w:val="fr-FR"/>
        </w:rPr>
      </w:pPr>
      <w:r w:rsidRPr="00FC767B">
        <w:rPr>
          <w:rFonts w:eastAsia="Malgun Gothic"/>
          <w:kern w:val="22"/>
          <w:szCs w:val="22"/>
          <w:lang w:val="fr-FR"/>
          <w14:cntxtAlts/>
        </w:rPr>
        <w:t xml:space="preserve">Les </w:t>
      </w:r>
      <w:r w:rsidR="008E19D3" w:rsidRPr="00FC767B">
        <w:rPr>
          <w:rFonts w:eastAsia="Malgun Gothic"/>
          <w:kern w:val="22"/>
          <w:szCs w:val="22"/>
          <w:lang w:val="fr-FR"/>
          <w14:cntxtAlts/>
        </w:rPr>
        <w:t>nouvea</w:t>
      </w:r>
      <w:r w:rsidR="00D62680" w:rsidRPr="00FC767B">
        <w:rPr>
          <w:rFonts w:eastAsia="Malgun Gothic"/>
          <w:kern w:val="22"/>
          <w:szCs w:val="22"/>
          <w:lang w:val="fr-FR"/>
          <w14:cntxtAlts/>
        </w:rPr>
        <w:t xml:space="preserve">utés </w:t>
      </w:r>
      <w:r w:rsidRPr="00FC767B">
        <w:rPr>
          <w:rFonts w:eastAsia="Malgun Gothic"/>
          <w:kern w:val="22"/>
          <w:szCs w:val="22"/>
          <w:lang w:val="fr-FR"/>
          <w14:cntxtAlts/>
        </w:rPr>
        <w:t>technologi</w:t>
      </w:r>
      <w:r w:rsidR="00D62680" w:rsidRPr="00FC767B">
        <w:rPr>
          <w:rFonts w:eastAsia="Malgun Gothic"/>
          <w:kern w:val="22"/>
          <w:szCs w:val="22"/>
          <w:lang w:val="fr-FR"/>
          <w14:cntxtAlts/>
        </w:rPr>
        <w:t>qu</w:t>
      </w:r>
      <w:r w:rsidRPr="00FC767B">
        <w:rPr>
          <w:rFonts w:eastAsia="Malgun Gothic"/>
          <w:kern w:val="22"/>
          <w:szCs w:val="22"/>
          <w:lang w:val="fr-FR"/>
          <w14:cntxtAlts/>
        </w:rPr>
        <w:t xml:space="preserve">es susceptibles </w:t>
      </w:r>
      <w:r w:rsidR="00D62680" w:rsidRPr="00FC767B">
        <w:rPr>
          <w:rFonts w:eastAsia="Malgun Gothic"/>
          <w:kern w:val="22"/>
          <w:szCs w:val="22"/>
          <w:lang w:val="fr-FR"/>
          <w14:cntxtAlts/>
        </w:rPr>
        <w:t xml:space="preserve">d’avoir une incidence positive ou négative </w:t>
      </w:r>
      <w:r w:rsidRPr="00FC767B">
        <w:rPr>
          <w:rFonts w:eastAsia="Malgun Gothic"/>
          <w:kern w:val="22"/>
          <w:szCs w:val="22"/>
          <w:lang w:val="fr-FR"/>
          <w14:cntxtAlts/>
        </w:rPr>
        <w:t>sur la</w:t>
      </w:r>
      <w:r w:rsidR="00B03906" w:rsidRPr="00FC767B">
        <w:rPr>
          <w:rFonts w:eastAsia="Malgun Gothic"/>
          <w:kern w:val="22"/>
          <w:szCs w:val="22"/>
          <w:lang w:val="fr-FR"/>
          <w14:cntxtAlts/>
        </w:rPr>
        <w:t xml:space="preserve"> </w:t>
      </w:r>
      <w:r w:rsidR="00D62680" w:rsidRPr="00FC767B">
        <w:rPr>
          <w:rFonts w:eastAsia="Malgun Gothic"/>
          <w:kern w:val="22"/>
          <w:szCs w:val="22"/>
          <w:lang w:val="fr-FR"/>
          <w14:cntxtAlts/>
        </w:rPr>
        <w:t>réa</w:t>
      </w:r>
      <w:r w:rsidR="0057261F">
        <w:rPr>
          <w:rFonts w:eastAsia="Malgun Gothic"/>
          <w:kern w:val="22"/>
          <w:szCs w:val="22"/>
          <w:lang w:val="fr-FR"/>
          <w14:cntxtAlts/>
        </w:rPr>
        <w:t>lisation des trois objectifs de la Convention</w:t>
      </w:r>
      <w:r w:rsidR="00A00D10" w:rsidRPr="00FC767B">
        <w:rPr>
          <w:rFonts w:eastAsia="Malgun Gothic"/>
          <w:kern w:val="22"/>
          <w:szCs w:val="22"/>
          <w:lang w:val="fr-FR"/>
          <w14:cntxtAlts/>
        </w:rPr>
        <w:t>,</w:t>
      </w:r>
      <w:r w:rsidR="00B03906" w:rsidRPr="00FC767B">
        <w:rPr>
          <w:rFonts w:eastAsia="Malgun Gothic"/>
          <w:kern w:val="22"/>
          <w:szCs w:val="22"/>
          <w:lang w:val="fr-FR"/>
          <w14:cntxtAlts/>
        </w:rPr>
        <w:t xml:space="preserve"> </w:t>
      </w:r>
      <w:r w:rsidRPr="00FC767B">
        <w:rPr>
          <w:rFonts w:eastAsia="Malgun Gothic"/>
          <w:kern w:val="22"/>
          <w:szCs w:val="22"/>
          <w:lang w:val="fr-FR"/>
          <w14:cntxtAlts/>
        </w:rPr>
        <w:t xml:space="preserve">ainsi que </w:t>
      </w:r>
      <w:r w:rsidR="00D62680" w:rsidRPr="00FC767B">
        <w:rPr>
          <w:rFonts w:eastAsia="Malgun Gothic"/>
          <w:kern w:val="22"/>
          <w:szCs w:val="22"/>
          <w:lang w:val="fr-FR"/>
          <w14:cntxtAlts/>
        </w:rPr>
        <w:t xml:space="preserve">sur </w:t>
      </w:r>
      <w:r w:rsidRPr="00FC767B">
        <w:rPr>
          <w:rFonts w:eastAsia="Malgun Gothic"/>
          <w:kern w:val="22"/>
          <w:szCs w:val="22"/>
          <w:lang w:val="fr-FR"/>
          <w14:cntxtAlts/>
        </w:rPr>
        <w:t xml:space="preserve">les modes de vie </w:t>
      </w:r>
      <w:r w:rsidR="00D62680" w:rsidRPr="00FC767B">
        <w:rPr>
          <w:rFonts w:eastAsia="Malgun Gothic"/>
          <w:kern w:val="22"/>
          <w:szCs w:val="22"/>
          <w:lang w:val="fr-FR"/>
          <w14:cntxtAlts/>
        </w:rPr>
        <w:t xml:space="preserve">et </w:t>
      </w:r>
      <w:r w:rsidRPr="00FC767B">
        <w:rPr>
          <w:rFonts w:eastAsia="Malgun Gothic"/>
          <w:kern w:val="22"/>
          <w:szCs w:val="22"/>
          <w:lang w:val="fr-FR"/>
          <w14:cntxtAlts/>
        </w:rPr>
        <w:t xml:space="preserve">les </w:t>
      </w:r>
      <w:r w:rsidR="00D62680" w:rsidRPr="00FC767B">
        <w:rPr>
          <w:rFonts w:eastAsia="Malgun Gothic"/>
          <w:kern w:val="22"/>
          <w:szCs w:val="22"/>
          <w:lang w:val="fr-FR"/>
          <w14:cntxtAlts/>
        </w:rPr>
        <w:t xml:space="preserve">savoirs traditionnels </w:t>
      </w:r>
      <w:r w:rsidRPr="00FC767B">
        <w:rPr>
          <w:rFonts w:eastAsia="Malgun Gothic"/>
          <w:kern w:val="22"/>
          <w:szCs w:val="22"/>
          <w:lang w:val="fr-FR"/>
          <w14:cntxtAlts/>
        </w:rPr>
        <w:t>des peuples autochtones et des communautés locales </w:t>
      </w:r>
      <w:r w:rsidR="00B03906" w:rsidRPr="00FC767B">
        <w:rPr>
          <w:rFonts w:eastAsia="Malgun Gothic"/>
          <w:kern w:val="22"/>
          <w:szCs w:val="22"/>
          <w:lang w:val="fr-FR"/>
          <w14:cntxtAlts/>
        </w:rPr>
        <w:t>;</w:t>
      </w:r>
    </w:p>
    <w:p w14:paraId="36EB7CCD" w14:textId="532B3BD6" w:rsidR="004D4112" w:rsidRPr="00FC767B" w:rsidRDefault="004D4112" w:rsidP="00D940D9">
      <w:pPr>
        <w:numPr>
          <w:ilvl w:val="0"/>
          <w:numId w:val="26"/>
        </w:numPr>
        <w:spacing w:before="120" w:after="120"/>
        <w:ind w:left="0" w:firstLine="720"/>
        <w:rPr>
          <w:rFonts w:eastAsia="Malgun Gothic"/>
          <w:kern w:val="22"/>
          <w:szCs w:val="22"/>
          <w:lang w:val="fr-FR"/>
        </w:rPr>
      </w:pPr>
      <w:r w:rsidRPr="00FC767B">
        <w:rPr>
          <w:rFonts w:eastAsia="Malgun Gothic"/>
          <w:i/>
          <w:kern w:val="22"/>
          <w:szCs w:val="22"/>
          <w:lang w:val="fr-FR"/>
        </w:rPr>
        <w:t>Prie</w:t>
      </w:r>
      <w:r w:rsidRPr="00FC767B">
        <w:rPr>
          <w:rFonts w:eastAsia="Malgun Gothic"/>
          <w:kern w:val="22"/>
          <w:szCs w:val="22"/>
          <w:lang w:val="fr-FR"/>
        </w:rPr>
        <w:t xml:space="preserve"> la Secrétaire exécutive, lors de la préparation de propositions destinées au processus d'élaboration d'un </w:t>
      </w:r>
      <w:r w:rsidR="00F32AB4">
        <w:rPr>
          <w:rFonts w:eastAsia="Malgun Gothic"/>
          <w:kern w:val="22"/>
          <w:szCs w:val="22"/>
          <w:lang w:val="fr-FR"/>
        </w:rPr>
        <w:t>Cadre mondial de la biodiversité</w:t>
      </w:r>
      <w:r w:rsidR="0057261F" w:rsidRPr="00FC767B">
        <w:rPr>
          <w:rFonts w:eastAsia="Malgun Gothic"/>
          <w:kern w:val="22"/>
          <w:szCs w:val="22"/>
          <w:lang w:val="fr-FR"/>
        </w:rPr>
        <w:t xml:space="preserve"> </w:t>
      </w:r>
      <w:r w:rsidR="00765E5E">
        <w:rPr>
          <w:rFonts w:eastAsia="Malgun Gothic"/>
          <w:kern w:val="22"/>
          <w:szCs w:val="22"/>
          <w:lang w:val="fr-FR"/>
        </w:rPr>
        <w:t>pour</w:t>
      </w:r>
      <w:r w:rsidRPr="00FC767B">
        <w:rPr>
          <w:rFonts w:eastAsia="Malgun Gothic"/>
          <w:kern w:val="22"/>
          <w:szCs w:val="22"/>
          <w:lang w:val="fr-FR"/>
        </w:rPr>
        <w:t xml:space="preserve"> l'après-2020, de prévoir des dispositions </w:t>
      </w:r>
      <w:r w:rsidR="00D940D9" w:rsidRPr="00FC767B">
        <w:rPr>
          <w:rFonts w:eastAsia="Malgun Gothic"/>
          <w:kern w:val="22"/>
          <w:szCs w:val="22"/>
          <w:lang w:val="fr-FR"/>
        </w:rPr>
        <w:t>relatives à des travaux</w:t>
      </w:r>
      <w:r w:rsidRPr="00FC767B">
        <w:rPr>
          <w:rFonts w:eastAsia="Malgun Gothic"/>
          <w:kern w:val="22"/>
          <w:szCs w:val="22"/>
          <w:lang w:val="fr-FR"/>
        </w:rPr>
        <w:t xml:space="preserve"> d'analyse</w:t>
      </w:r>
      <w:r w:rsidR="00D940D9" w:rsidRPr="00FC767B">
        <w:rPr>
          <w:rFonts w:eastAsia="Malgun Gothic"/>
          <w:kern w:val="22"/>
          <w:szCs w:val="22"/>
          <w:lang w:val="fr-FR"/>
        </w:rPr>
        <w:t xml:space="preserve"> fiables afin de fonder ce cadre sur les meilleures données disponibles, en </w:t>
      </w:r>
      <w:r w:rsidRPr="00FC767B">
        <w:rPr>
          <w:rFonts w:eastAsia="Malgun Gothic"/>
          <w:kern w:val="22"/>
          <w:szCs w:val="22"/>
          <w:lang w:val="fr-FR"/>
        </w:rPr>
        <w:t xml:space="preserve">s'appuyant sur les travaux précédents et </w:t>
      </w:r>
      <w:r w:rsidR="00110AE6" w:rsidRPr="00FC767B">
        <w:rPr>
          <w:rFonts w:eastAsia="Malgun Gothic"/>
          <w:kern w:val="22"/>
          <w:szCs w:val="22"/>
          <w:lang w:val="fr-FR"/>
        </w:rPr>
        <w:t xml:space="preserve">en </w:t>
      </w:r>
      <w:r w:rsidRPr="00FC767B">
        <w:rPr>
          <w:rFonts w:eastAsia="Malgun Gothic"/>
          <w:kern w:val="22"/>
          <w:szCs w:val="22"/>
          <w:lang w:val="fr-FR"/>
        </w:rPr>
        <w:t xml:space="preserve">prenant en </w:t>
      </w:r>
      <w:r w:rsidR="00D940D9" w:rsidRPr="00FC767B">
        <w:rPr>
          <w:rFonts w:eastAsia="Malgun Gothic"/>
          <w:kern w:val="22"/>
          <w:szCs w:val="22"/>
          <w:lang w:val="fr-FR"/>
        </w:rPr>
        <w:t>considération les conc</w:t>
      </w:r>
      <w:r w:rsidR="0057261F">
        <w:rPr>
          <w:rFonts w:eastAsia="Malgun Gothic"/>
          <w:kern w:val="22"/>
          <w:szCs w:val="22"/>
          <w:lang w:val="fr-FR"/>
        </w:rPr>
        <w:t>lusions figurant dans l’annexe de</w:t>
      </w:r>
      <w:r w:rsidR="00D940D9" w:rsidRPr="00FC767B">
        <w:rPr>
          <w:rFonts w:eastAsia="Malgun Gothic"/>
          <w:kern w:val="22"/>
          <w:szCs w:val="22"/>
          <w:lang w:val="fr-FR"/>
        </w:rPr>
        <w:t xml:space="preserve"> la présente recommandation, les travaux relatifs à la cinquième édition des </w:t>
      </w:r>
      <w:r w:rsidR="00D940D9" w:rsidRPr="00FC767B">
        <w:rPr>
          <w:rFonts w:eastAsia="Malgun Gothic"/>
          <w:i/>
          <w:kern w:val="22"/>
          <w:szCs w:val="22"/>
          <w:lang w:val="fr-FR"/>
        </w:rPr>
        <w:t xml:space="preserve">Perspectives </w:t>
      </w:r>
      <w:r w:rsidR="00D940D9" w:rsidRPr="00FC767B">
        <w:rPr>
          <w:rFonts w:eastAsia="Malgun Gothic"/>
          <w:i/>
          <w:kern w:val="22"/>
          <w:szCs w:val="22"/>
          <w:lang w:val="fr-FR"/>
        </w:rPr>
        <w:lastRenderedPageBreak/>
        <w:t xml:space="preserve">mondiales de la </w:t>
      </w:r>
      <w:r w:rsidR="00D940D9" w:rsidRPr="00FC767B">
        <w:rPr>
          <w:rFonts w:eastAsia="Malgun Gothic"/>
          <w:i/>
          <w:snapToGrid w:val="0"/>
          <w:kern w:val="22"/>
          <w:szCs w:val="22"/>
          <w:lang w:val="fr-FR" w:bidi="fr-FR"/>
        </w:rPr>
        <w:t>diversité biologique</w:t>
      </w:r>
      <w:r w:rsidR="00D940D9" w:rsidRPr="00FC767B">
        <w:rPr>
          <w:rFonts w:eastAsia="Malgun Gothic"/>
          <w:kern w:val="22"/>
          <w:szCs w:val="22"/>
          <w:lang w:val="fr-FR"/>
        </w:rPr>
        <w:t xml:space="preserve">, et </w:t>
      </w:r>
      <w:r w:rsidR="00110AE6" w:rsidRPr="00FC767B">
        <w:rPr>
          <w:rFonts w:eastAsia="Malgun Gothic"/>
          <w:kern w:val="22"/>
          <w:szCs w:val="22"/>
          <w:lang w:val="fr-FR"/>
        </w:rPr>
        <w:t>l</w:t>
      </w:r>
      <w:r w:rsidR="00D940D9" w:rsidRPr="00FC767B">
        <w:rPr>
          <w:rFonts w:eastAsia="Malgun Gothic"/>
          <w:kern w:val="22"/>
          <w:szCs w:val="22"/>
          <w:lang w:val="fr-FR"/>
        </w:rPr>
        <w:t xml:space="preserve">es travaux pertinents engagés dans le cadre d’autres </w:t>
      </w:r>
      <w:r w:rsidR="0057261F">
        <w:rPr>
          <w:rFonts w:eastAsia="Malgun Gothic"/>
          <w:kern w:val="22"/>
          <w:szCs w:val="22"/>
          <w:lang w:val="fr-FR"/>
        </w:rPr>
        <w:t>accords multilatéraux sur</w:t>
      </w:r>
      <w:r w:rsidR="00D940D9" w:rsidRPr="00FC767B">
        <w:rPr>
          <w:rFonts w:eastAsia="Malgun Gothic"/>
          <w:kern w:val="22"/>
          <w:szCs w:val="22"/>
          <w:lang w:val="fr-FR"/>
        </w:rPr>
        <w:t xml:space="preserve"> l’environnement et </w:t>
      </w:r>
      <w:r w:rsidRPr="00FC767B">
        <w:rPr>
          <w:rFonts w:eastAsia="Malgun Gothic"/>
          <w:kern w:val="22"/>
          <w:szCs w:val="22"/>
          <w:lang w:val="fr-FR"/>
        </w:rPr>
        <w:t xml:space="preserve">de la Plateforme intergouvernementale scientifique et politique sur la biodiversité et les services écosystémiques, qui </w:t>
      </w:r>
      <w:r w:rsidR="00D940D9" w:rsidRPr="00FC767B">
        <w:rPr>
          <w:rFonts w:eastAsia="Malgun Gothic"/>
          <w:kern w:val="22"/>
          <w:szCs w:val="22"/>
          <w:lang w:val="fr-FR"/>
        </w:rPr>
        <w:t xml:space="preserve">concernent notamment : </w:t>
      </w:r>
    </w:p>
    <w:p w14:paraId="031F9673" w14:textId="4CF09804" w:rsidR="00E90441" w:rsidRPr="00FC767B" w:rsidRDefault="00110AE6" w:rsidP="00351A3C">
      <w:pPr>
        <w:numPr>
          <w:ilvl w:val="1"/>
          <w:numId w:val="26"/>
        </w:numPr>
        <w:spacing w:after="120"/>
        <w:ind w:left="0" w:firstLine="709"/>
        <w:rPr>
          <w:rFonts w:eastAsia="Malgun Gothic"/>
          <w:kern w:val="22"/>
          <w:szCs w:val="22"/>
          <w:lang w:val="fr-FR"/>
        </w:rPr>
      </w:pPr>
      <w:r w:rsidRPr="00FC767B">
        <w:rPr>
          <w:rFonts w:eastAsia="Malgun Gothic"/>
          <w:kern w:val="22"/>
          <w:szCs w:val="22"/>
          <w:lang w:val="fr-FR"/>
        </w:rPr>
        <w:t>Les</w:t>
      </w:r>
      <w:r w:rsidR="00D15470" w:rsidRPr="00FC767B">
        <w:rPr>
          <w:rFonts w:eastAsia="Malgun Gothic"/>
          <w:kern w:val="22"/>
          <w:szCs w:val="22"/>
          <w:lang w:val="fr-FR"/>
        </w:rPr>
        <w:t xml:space="preserve"> liens entre la biodiversité et les </w:t>
      </w:r>
      <w:r w:rsidR="0057261F">
        <w:rPr>
          <w:rFonts w:eastAsia="Malgun Gothic"/>
          <w:kern w:val="22"/>
          <w:szCs w:val="22"/>
          <w:lang w:val="fr-FR"/>
        </w:rPr>
        <w:t>O</w:t>
      </w:r>
      <w:r w:rsidRPr="00FC767B">
        <w:rPr>
          <w:rFonts w:eastAsia="Malgun Gothic"/>
          <w:kern w:val="22"/>
          <w:szCs w:val="22"/>
          <w:lang w:val="fr-FR"/>
        </w:rPr>
        <w:t>bjectifs de développement durable et le rôle du Programme de développement durable à l'horizon 2030</w:t>
      </w:r>
      <w:r w:rsidRPr="00FC767B">
        <w:rPr>
          <w:rFonts w:eastAsia="Malgun Gothic"/>
          <w:kern w:val="22"/>
          <w:szCs w:val="22"/>
          <w:vertAlign w:val="superscript"/>
          <w:lang w:val="fr-FR"/>
        </w:rPr>
        <w:footnoteReference w:id="6"/>
      </w:r>
      <w:r w:rsidRPr="00FC767B">
        <w:rPr>
          <w:rFonts w:eastAsia="Malgun Gothic"/>
          <w:kern w:val="22"/>
          <w:szCs w:val="22"/>
          <w:lang w:val="fr-FR"/>
        </w:rPr>
        <w:t xml:space="preserve"> dans la mise en place d'un environnement favorable </w:t>
      </w:r>
      <w:r w:rsidR="00E90441" w:rsidRPr="00FC767B">
        <w:rPr>
          <w:rFonts w:eastAsia="Malgun Gothic"/>
          <w:kern w:val="22"/>
          <w:szCs w:val="22"/>
          <w:lang w:val="fr-FR"/>
        </w:rPr>
        <w:t>;</w:t>
      </w:r>
    </w:p>
    <w:p w14:paraId="6DDB6250" w14:textId="70433BF1" w:rsidR="00E90441" w:rsidRPr="00FC767B" w:rsidRDefault="00110AE6" w:rsidP="00351A3C">
      <w:pPr>
        <w:numPr>
          <w:ilvl w:val="1"/>
          <w:numId w:val="26"/>
        </w:numPr>
        <w:spacing w:after="120"/>
        <w:ind w:left="0" w:firstLine="709"/>
        <w:rPr>
          <w:rFonts w:eastAsia="Malgun Gothic"/>
          <w:kern w:val="22"/>
          <w:szCs w:val="22"/>
          <w:lang w:val="fr-FR"/>
        </w:rPr>
      </w:pPr>
      <w:r w:rsidRPr="00FC767B">
        <w:rPr>
          <w:rFonts w:eastAsia="Malgun Gothic"/>
          <w:kern w:val="22"/>
          <w:szCs w:val="22"/>
          <w:lang w:val="fr-FR"/>
        </w:rPr>
        <w:t>Les enseignements tirés de l'applicati</w:t>
      </w:r>
      <w:r w:rsidR="0057261F">
        <w:rPr>
          <w:rFonts w:eastAsia="Malgun Gothic"/>
          <w:kern w:val="22"/>
          <w:szCs w:val="22"/>
          <w:lang w:val="fr-FR"/>
        </w:rPr>
        <w:t>on de la Convention, de ses p</w:t>
      </w:r>
      <w:r w:rsidRPr="00FC767B">
        <w:rPr>
          <w:rFonts w:eastAsia="Malgun Gothic"/>
          <w:kern w:val="22"/>
          <w:szCs w:val="22"/>
          <w:lang w:val="fr-FR"/>
        </w:rPr>
        <w:t>rotocoles et du Plan stratégique pour la diversité biologique 20</w:t>
      </w:r>
      <w:r w:rsidR="0057261F">
        <w:rPr>
          <w:rFonts w:eastAsia="Malgun Gothic"/>
          <w:kern w:val="22"/>
          <w:szCs w:val="22"/>
          <w:lang w:val="fr-FR"/>
        </w:rPr>
        <w:t>11-2020, notamment les succès, les difficultés rencontrées</w:t>
      </w:r>
      <w:r w:rsidRPr="00FC767B">
        <w:rPr>
          <w:rFonts w:eastAsia="Malgun Gothic"/>
          <w:kern w:val="22"/>
          <w:szCs w:val="22"/>
          <w:lang w:val="fr-FR"/>
        </w:rPr>
        <w:t xml:space="preserve">, les perspectives et les besoins en matière de </w:t>
      </w:r>
      <w:r w:rsidRPr="00FC767B">
        <w:rPr>
          <w:rFonts w:eastAsia="Malgun Gothic"/>
          <w:snapToGrid w:val="0"/>
          <w:kern w:val="22"/>
          <w:szCs w:val="22"/>
          <w:lang w:val="fr-FR"/>
        </w:rPr>
        <w:t>renforcement des capacités</w:t>
      </w:r>
      <w:r w:rsidRPr="00FC767B">
        <w:rPr>
          <w:rFonts w:eastAsia="Malgun Gothic"/>
          <w:kern w:val="22"/>
          <w:szCs w:val="22"/>
          <w:vertAlign w:val="superscript"/>
          <w:lang w:val="fr-FR"/>
        </w:rPr>
        <w:footnoteReference w:id="7"/>
      </w:r>
      <w:r w:rsidRPr="00FC767B">
        <w:rPr>
          <w:rFonts w:eastAsia="Malgun Gothic"/>
          <w:snapToGrid w:val="0"/>
          <w:kern w:val="22"/>
          <w:szCs w:val="22"/>
          <w:lang w:val="fr-FR"/>
        </w:rPr>
        <w:t> </w:t>
      </w:r>
      <w:r w:rsidRPr="00FC767B">
        <w:rPr>
          <w:rFonts w:eastAsia="Malgun Gothic"/>
          <w:kern w:val="22"/>
          <w:szCs w:val="22"/>
          <w:lang w:val="fr-FR"/>
        </w:rPr>
        <w:t xml:space="preserve">; </w:t>
      </w:r>
    </w:p>
    <w:p w14:paraId="14577B2C" w14:textId="521831DE" w:rsidR="000521FB" w:rsidRPr="00FC767B" w:rsidRDefault="0057261F" w:rsidP="00351A3C">
      <w:pPr>
        <w:numPr>
          <w:ilvl w:val="1"/>
          <w:numId w:val="26"/>
        </w:numPr>
        <w:spacing w:after="120"/>
        <w:ind w:left="0" w:firstLine="709"/>
        <w:rPr>
          <w:rFonts w:eastAsia="Malgun Gothic"/>
          <w:kern w:val="22"/>
          <w:szCs w:val="22"/>
          <w:lang w:val="fr-FR"/>
        </w:rPr>
      </w:pPr>
      <w:r>
        <w:rPr>
          <w:rFonts w:eastAsia="Malgun Gothic"/>
          <w:kern w:val="22"/>
          <w:szCs w:val="22"/>
          <w:lang w:val="fr-FR"/>
        </w:rPr>
        <w:t>Les raisons possibles d</w:t>
      </w:r>
      <w:r w:rsidR="00E955BB" w:rsidRPr="00FC767B">
        <w:rPr>
          <w:rFonts w:eastAsia="Malgun Gothic"/>
          <w:kern w:val="22"/>
          <w:szCs w:val="22"/>
          <w:lang w:val="fr-FR"/>
        </w:rPr>
        <w:t>es différents niveaux de progrès accomplis dans la réalisation des Objectifs d’Aichi pour la biodiversité</w:t>
      </w:r>
      <w:r w:rsidR="006952F8" w:rsidRPr="00FC767B">
        <w:rPr>
          <w:rFonts w:eastAsia="Malgun Gothic"/>
          <w:kern w:val="22"/>
          <w:szCs w:val="22"/>
          <w:lang w:val="fr-FR"/>
        </w:rPr>
        <w:t> ;</w:t>
      </w:r>
    </w:p>
    <w:p w14:paraId="7B1D04F2" w14:textId="43018364" w:rsidR="00E90441" w:rsidRPr="00FC767B" w:rsidRDefault="000521FB" w:rsidP="00351A3C">
      <w:pPr>
        <w:numPr>
          <w:ilvl w:val="1"/>
          <w:numId w:val="26"/>
        </w:numPr>
        <w:spacing w:after="120"/>
        <w:ind w:left="0" w:firstLine="709"/>
        <w:rPr>
          <w:rFonts w:eastAsia="Malgun Gothic"/>
          <w:kern w:val="22"/>
          <w:szCs w:val="22"/>
          <w:lang w:val="fr-FR"/>
        </w:rPr>
      </w:pPr>
      <w:r w:rsidRPr="00FC767B">
        <w:rPr>
          <w:rFonts w:eastAsia="Malgun Gothic"/>
          <w:kern w:val="22"/>
          <w:szCs w:val="22"/>
          <w:lang w:val="fr-FR"/>
        </w:rPr>
        <w:t>Les options stratégiques et les recommandations au titre de la Convention qui pourraient induire la transformation nécessaire pour réaliser</w:t>
      </w:r>
      <w:r w:rsidR="00725EC9">
        <w:rPr>
          <w:rFonts w:eastAsia="Malgun Gothic"/>
          <w:kern w:val="22"/>
          <w:szCs w:val="22"/>
          <w:lang w:val="fr-FR"/>
        </w:rPr>
        <w:t xml:space="preserve"> la </w:t>
      </w:r>
      <w:r w:rsidR="003B1465">
        <w:rPr>
          <w:rFonts w:eastAsia="Malgun Gothic"/>
          <w:kern w:val="22"/>
          <w:szCs w:val="22"/>
          <w:lang w:val="fr-FR"/>
        </w:rPr>
        <w:t>Vision 2050 pour la biodiversité</w:t>
      </w:r>
      <w:r w:rsidRPr="00FC767B">
        <w:rPr>
          <w:rFonts w:eastAsia="Malgun Gothic"/>
          <w:kern w:val="22"/>
          <w:szCs w:val="22"/>
          <w:lang w:val="fr-FR"/>
        </w:rPr>
        <w:t xml:space="preserve"> et contribuer à la mise en œuvre du Programme de développement durable à l’horizon 2030 </w:t>
      </w:r>
      <w:r w:rsidR="00E90441" w:rsidRPr="00FC767B">
        <w:rPr>
          <w:rFonts w:eastAsia="Malgun Gothic"/>
          <w:kern w:val="22"/>
          <w:szCs w:val="22"/>
          <w:lang w:val="fr-FR"/>
        </w:rPr>
        <w:t>;</w:t>
      </w:r>
    </w:p>
    <w:p w14:paraId="2353C06F" w14:textId="0D5C367A" w:rsidR="000521FB" w:rsidRPr="00FC767B" w:rsidRDefault="000521FB" w:rsidP="00351A3C">
      <w:pPr>
        <w:numPr>
          <w:ilvl w:val="1"/>
          <w:numId w:val="26"/>
        </w:numPr>
        <w:spacing w:after="120"/>
        <w:ind w:left="0" w:firstLine="709"/>
        <w:rPr>
          <w:rFonts w:eastAsia="Malgun Gothic"/>
          <w:kern w:val="22"/>
          <w:szCs w:val="22"/>
          <w:lang w:val="fr-FR"/>
        </w:rPr>
      </w:pPr>
      <w:r w:rsidRPr="00FC767B">
        <w:rPr>
          <w:rFonts w:eastAsia="Malgun Gothic"/>
          <w:kern w:val="22"/>
          <w:szCs w:val="22"/>
          <w:lang w:val="fr-FR"/>
        </w:rPr>
        <w:t xml:space="preserve">La manière dont d’autres conventions relatives à la </w:t>
      </w:r>
      <w:r w:rsidRPr="00FC767B">
        <w:rPr>
          <w:rFonts w:eastAsia="Malgun Gothic"/>
          <w:snapToGrid w:val="0"/>
          <w:kern w:val="22"/>
          <w:szCs w:val="22"/>
          <w:lang w:val="fr-FR" w:bidi="fr-FR"/>
        </w:rPr>
        <w:t>diversité biologique</w:t>
      </w:r>
      <w:r w:rsidRPr="00FC767B">
        <w:rPr>
          <w:rFonts w:eastAsia="Malgun Gothic"/>
          <w:kern w:val="22"/>
          <w:szCs w:val="22"/>
          <w:lang w:val="fr-FR"/>
        </w:rPr>
        <w:t xml:space="preserve">, les </w:t>
      </w:r>
      <w:r w:rsidR="00E40265" w:rsidRPr="00FC767B">
        <w:rPr>
          <w:rFonts w:eastAsia="Malgun Gothic"/>
          <w:kern w:val="22"/>
          <w:szCs w:val="22"/>
          <w:lang w:val="fr-FR"/>
        </w:rPr>
        <w:t>autres C</w:t>
      </w:r>
      <w:r w:rsidRPr="00FC767B">
        <w:rPr>
          <w:rFonts w:eastAsia="Malgun Gothic"/>
          <w:kern w:val="22"/>
          <w:szCs w:val="22"/>
          <w:lang w:val="fr-FR"/>
        </w:rPr>
        <w:t xml:space="preserve">onventions de Rio et </w:t>
      </w:r>
      <w:r w:rsidR="00622168" w:rsidRPr="00FC767B">
        <w:rPr>
          <w:rFonts w:eastAsia="Malgun Gothic"/>
          <w:kern w:val="22"/>
          <w:szCs w:val="22"/>
          <w:lang w:val="fr-FR"/>
        </w:rPr>
        <w:t>d'autres</w:t>
      </w:r>
      <w:r w:rsidRPr="00FC767B">
        <w:rPr>
          <w:rFonts w:eastAsia="Malgun Gothic"/>
          <w:kern w:val="22"/>
          <w:szCs w:val="22"/>
          <w:lang w:val="fr-FR"/>
        </w:rPr>
        <w:t xml:space="preserve"> conventions ou accords internationaux </w:t>
      </w:r>
      <w:r w:rsidR="008D18FE" w:rsidRPr="00FC767B">
        <w:rPr>
          <w:rFonts w:eastAsia="Malgun Gothic"/>
          <w:kern w:val="22"/>
          <w:szCs w:val="22"/>
          <w:lang w:val="fr-FR"/>
        </w:rPr>
        <w:t>pertin</w:t>
      </w:r>
      <w:r w:rsidR="00622168" w:rsidRPr="00FC767B">
        <w:rPr>
          <w:rFonts w:eastAsia="Malgun Gothic"/>
          <w:kern w:val="22"/>
          <w:szCs w:val="22"/>
          <w:lang w:val="fr-FR"/>
        </w:rPr>
        <w:t xml:space="preserve">ents </w:t>
      </w:r>
      <w:r w:rsidRPr="00FC767B">
        <w:rPr>
          <w:rFonts w:eastAsia="Malgun Gothic"/>
          <w:kern w:val="22"/>
          <w:szCs w:val="22"/>
          <w:lang w:val="fr-FR"/>
        </w:rPr>
        <w:t xml:space="preserve">pourraient </w:t>
      </w:r>
      <w:r w:rsidR="00A96536" w:rsidRPr="00FC767B">
        <w:rPr>
          <w:rFonts w:eastAsia="Malgun Gothic"/>
          <w:kern w:val="22"/>
          <w:szCs w:val="22"/>
          <w:lang w:val="fr-FR"/>
        </w:rPr>
        <w:t xml:space="preserve">contribuer au </w:t>
      </w:r>
      <w:r w:rsidR="00F32AB4">
        <w:rPr>
          <w:lang w:val="fr-FR"/>
        </w:rPr>
        <w:t>Cadre mondial de la biodiversité</w:t>
      </w:r>
      <w:r w:rsidR="0056513E" w:rsidRPr="00FC767B">
        <w:rPr>
          <w:lang w:val="fr-FR"/>
        </w:rPr>
        <w:t xml:space="preserve"> </w:t>
      </w:r>
      <w:r w:rsidR="005A103F">
        <w:rPr>
          <w:lang w:val="fr-FR"/>
        </w:rPr>
        <w:t>pour</w:t>
      </w:r>
      <w:r w:rsidR="00A96536" w:rsidRPr="00FC767B">
        <w:rPr>
          <w:lang w:val="fr-FR"/>
        </w:rPr>
        <w:t xml:space="preserve"> l'après-2020 </w:t>
      </w:r>
      <w:r w:rsidRPr="00FC767B">
        <w:rPr>
          <w:rFonts w:eastAsia="Malgun Gothic"/>
          <w:kern w:val="22"/>
          <w:szCs w:val="22"/>
          <w:lang w:val="fr-FR"/>
        </w:rPr>
        <w:t xml:space="preserve">et </w:t>
      </w:r>
      <w:r w:rsidR="00A96536" w:rsidRPr="00FC767B">
        <w:rPr>
          <w:rFonts w:eastAsia="Malgun Gothic"/>
          <w:kern w:val="22"/>
          <w:szCs w:val="22"/>
          <w:lang w:val="fr-FR"/>
        </w:rPr>
        <w:t xml:space="preserve">à </w:t>
      </w:r>
      <w:r w:rsidR="00725EC9">
        <w:rPr>
          <w:rFonts w:eastAsia="Malgun Gothic"/>
          <w:kern w:val="22"/>
          <w:szCs w:val="22"/>
          <w:lang w:val="fr-FR"/>
        </w:rPr>
        <w:t xml:space="preserve">la </w:t>
      </w:r>
      <w:r w:rsidR="003B1465">
        <w:rPr>
          <w:rFonts w:eastAsia="Malgun Gothic"/>
          <w:kern w:val="22"/>
          <w:szCs w:val="22"/>
          <w:lang w:val="fr-FR"/>
        </w:rPr>
        <w:t>Vision 2050 pour la biodiversité</w:t>
      </w:r>
      <w:r w:rsidRPr="00FC767B">
        <w:rPr>
          <w:rFonts w:eastAsia="Malgun Gothic"/>
          <w:kern w:val="22"/>
          <w:szCs w:val="22"/>
          <w:lang w:val="fr-FR"/>
        </w:rPr>
        <w:t> ;</w:t>
      </w:r>
    </w:p>
    <w:p w14:paraId="5F0A3A5D" w14:textId="59E11536" w:rsidR="00E90441" w:rsidRPr="00FC767B" w:rsidRDefault="004F3932" w:rsidP="004F3932">
      <w:pPr>
        <w:spacing w:before="120" w:after="120"/>
        <w:ind w:left="720"/>
        <w:rPr>
          <w:kern w:val="22"/>
          <w:szCs w:val="22"/>
          <w:lang w:val="fr-FR"/>
        </w:rPr>
      </w:pPr>
      <w:r w:rsidRPr="004F3932">
        <w:rPr>
          <w:kern w:val="22"/>
          <w:szCs w:val="22"/>
          <w:lang w:val="fr-FR"/>
        </w:rPr>
        <w:t>10.</w:t>
      </w:r>
      <w:r w:rsidRPr="004F3932">
        <w:rPr>
          <w:kern w:val="22"/>
          <w:szCs w:val="22"/>
          <w:lang w:val="fr-FR"/>
        </w:rPr>
        <w:tab/>
      </w:r>
      <w:r w:rsidR="000521FB" w:rsidRPr="00FC767B">
        <w:rPr>
          <w:i/>
          <w:kern w:val="22"/>
          <w:szCs w:val="22"/>
          <w:lang w:val="fr-FR"/>
        </w:rPr>
        <w:t xml:space="preserve">Recommande </w:t>
      </w:r>
      <w:r w:rsidR="000521FB" w:rsidRPr="00FC767B">
        <w:rPr>
          <w:kern w:val="22"/>
          <w:szCs w:val="22"/>
          <w:lang w:val="fr-FR"/>
        </w:rPr>
        <w:t>à la Conférence des Parties d’adopter, à sa quatorzième réun</w:t>
      </w:r>
      <w:r w:rsidR="0056513E">
        <w:rPr>
          <w:kern w:val="22"/>
          <w:szCs w:val="22"/>
          <w:lang w:val="fr-FR"/>
        </w:rPr>
        <w:t>ion, une décision dans ce sens :</w:t>
      </w:r>
    </w:p>
    <w:p w14:paraId="266DEC09" w14:textId="77777777" w:rsidR="00E90441" w:rsidRPr="00FC767B" w:rsidRDefault="006D37EE" w:rsidP="00E90441">
      <w:pPr>
        <w:keepNext/>
        <w:spacing w:before="120" w:after="120"/>
        <w:ind w:left="720" w:firstLine="720"/>
        <w:rPr>
          <w:i/>
          <w:kern w:val="22"/>
          <w:szCs w:val="22"/>
          <w:lang w:val="fr-FR"/>
        </w:rPr>
      </w:pPr>
      <w:r w:rsidRPr="00FC767B">
        <w:rPr>
          <w:i/>
          <w:kern w:val="22"/>
          <w:szCs w:val="22"/>
          <w:lang w:val="fr-FR"/>
        </w:rPr>
        <w:t xml:space="preserve">La Conférence des </w:t>
      </w:r>
      <w:r w:rsidR="00E90441" w:rsidRPr="00FC767B">
        <w:rPr>
          <w:i/>
          <w:kern w:val="22"/>
          <w:szCs w:val="22"/>
          <w:lang w:val="fr-FR"/>
        </w:rPr>
        <w:t>Parties</w:t>
      </w:r>
    </w:p>
    <w:p w14:paraId="6204DE79" w14:textId="72325C9A" w:rsidR="00DE6F83" w:rsidRPr="00FC767B" w:rsidRDefault="00DE6F83" w:rsidP="005E5D74">
      <w:pPr>
        <w:spacing w:before="120" w:after="120"/>
        <w:ind w:left="720" w:firstLine="720"/>
        <w:rPr>
          <w:kern w:val="22"/>
          <w:szCs w:val="22"/>
          <w:lang w:val="fr-FR"/>
        </w:rPr>
      </w:pPr>
      <w:r w:rsidRPr="00FC767B">
        <w:rPr>
          <w:kern w:val="22"/>
          <w:szCs w:val="22"/>
          <w:lang w:val="fr-FR"/>
        </w:rPr>
        <w:t>1.</w:t>
      </w:r>
      <w:r w:rsidRPr="00FC767B">
        <w:rPr>
          <w:i/>
          <w:kern w:val="22"/>
          <w:szCs w:val="22"/>
          <w:lang w:val="fr-FR"/>
        </w:rPr>
        <w:tab/>
      </w:r>
      <w:r w:rsidR="00A96536" w:rsidRPr="00FC767B">
        <w:rPr>
          <w:i/>
          <w:kern w:val="22"/>
          <w:szCs w:val="22"/>
          <w:lang w:val="fr-FR"/>
        </w:rPr>
        <w:t>Accueille avec satisfaction</w:t>
      </w:r>
      <w:r w:rsidR="006D37EE" w:rsidRPr="00FC767B">
        <w:rPr>
          <w:kern w:val="22"/>
          <w:szCs w:val="22"/>
          <w:lang w:val="fr-FR"/>
        </w:rPr>
        <w:t xml:space="preserve"> </w:t>
      </w:r>
      <w:r w:rsidR="00E0707F" w:rsidRPr="00FC767B">
        <w:rPr>
          <w:kern w:val="22"/>
          <w:szCs w:val="22"/>
          <w:lang w:val="fr-FR"/>
        </w:rPr>
        <w:t>l</w:t>
      </w:r>
      <w:r w:rsidR="006D37EE" w:rsidRPr="00FC767B">
        <w:rPr>
          <w:kern w:val="22"/>
          <w:szCs w:val="22"/>
          <w:lang w:val="fr-FR"/>
        </w:rPr>
        <w:t xml:space="preserve">es </w:t>
      </w:r>
      <w:bookmarkStart w:id="0" w:name="_Hlk500857921"/>
      <w:r w:rsidR="006D37EE" w:rsidRPr="00FC767B">
        <w:rPr>
          <w:kern w:val="22"/>
          <w:szCs w:val="22"/>
          <w:lang w:val="fr-FR"/>
        </w:rPr>
        <w:t xml:space="preserve">conclusions </w:t>
      </w:r>
      <w:r w:rsidRPr="00FC767B">
        <w:rPr>
          <w:kern w:val="22"/>
          <w:szCs w:val="22"/>
          <w:lang w:val="fr-FR"/>
        </w:rPr>
        <w:t>de l’Organe subsidiaire chargé de fournir des avis scientifiques, techniques et technologiques sur</w:t>
      </w:r>
      <w:r w:rsidR="00537867" w:rsidRPr="00FC767B">
        <w:rPr>
          <w:kern w:val="22"/>
          <w:szCs w:val="22"/>
          <w:lang w:val="fr-FR"/>
        </w:rPr>
        <w:t xml:space="preserve"> les scén</w:t>
      </w:r>
      <w:r w:rsidR="00BF3FF9">
        <w:rPr>
          <w:kern w:val="22"/>
          <w:szCs w:val="22"/>
          <w:lang w:val="fr-FR"/>
        </w:rPr>
        <w:t>ari</w:t>
      </w:r>
      <w:r w:rsidR="00725EC9">
        <w:rPr>
          <w:kern w:val="22"/>
          <w:szCs w:val="22"/>
          <w:lang w:val="fr-FR"/>
        </w:rPr>
        <w:t xml:space="preserve">os pour la </w:t>
      </w:r>
      <w:r w:rsidR="003B1465">
        <w:rPr>
          <w:kern w:val="22"/>
          <w:szCs w:val="22"/>
          <w:lang w:val="fr-FR"/>
        </w:rPr>
        <w:t>Vision 2050 pour la biodiversité</w:t>
      </w:r>
      <w:r w:rsidR="00537867" w:rsidRPr="00FC767B">
        <w:rPr>
          <w:kern w:val="22"/>
          <w:szCs w:val="22"/>
          <w:lang w:val="fr-FR"/>
        </w:rPr>
        <w:t xml:space="preserve"> </w:t>
      </w:r>
      <w:bookmarkEnd w:id="0"/>
      <w:r w:rsidR="0056513E">
        <w:rPr>
          <w:kern w:val="22"/>
          <w:szCs w:val="22"/>
          <w:lang w:val="fr-FR"/>
        </w:rPr>
        <w:t>figurant dans l’annexe de</w:t>
      </w:r>
      <w:r w:rsidR="00537867" w:rsidRPr="00FC767B">
        <w:rPr>
          <w:kern w:val="22"/>
          <w:szCs w:val="22"/>
          <w:lang w:val="fr-FR"/>
        </w:rPr>
        <w:t xml:space="preserve"> l</w:t>
      </w:r>
      <w:r w:rsidR="0056513E">
        <w:rPr>
          <w:kern w:val="22"/>
          <w:szCs w:val="22"/>
          <w:lang w:val="fr-FR"/>
        </w:rPr>
        <w:t>a présente décision, ainsi que l</w:t>
      </w:r>
      <w:r w:rsidR="00537867" w:rsidRPr="00FC767B">
        <w:rPr>
          <w:kern w:val="22"/>
          <w:szCs w:val="22"/>
          <w:lang w:val="fr-FR"/>
        </w:rPr>
        <w:t>es informations contenues dans les notes</w:t>
      </w:r>
      <w:r w:rsidR="0056513E">
        <w:rPr>
          <w:kern w:val="22"/>
          <w:szCs w:val="22"/>
          <w:lang w:val="fr-FR"/>
        </w:rPr>
        <w:t xml:space="preserve"> de la Secrétaire exécutive et l</w:t>
      </w:r>
      <w:r w:rsidR="00537867" w:rsidRPr="00FC767B">
        <w:rPr>
          <w:kern w:val="22"/>
          <w:szCs w:val="22"/>
          <w:lang w:val="fr-FR"/>
        </w:rPr>
        <w:t>es documents d’information qui les complètent</w:t>
      </w:r>
      <w:r w:rsidR="00537867" w:rsidRPr="00FC767B">
        <w:rPr>
          <w:kern w:val="22"/>
          <w:sz w:val="18"/>
          <w:szCs w:val="22"/>
          <w:vertAlign w:val="superscript"/>
          <w:lang w:val="fr-FR"/>
        </w:rPr>
        <w:footnoteReference w:id="8"/>
      </w:r>
      <w:r w:rsidR="00537867" w:rsidRPr="00FC767B">
        <w:rPr>
          <w:kern w:val="22"/>
          <w:szCs w:val="22"/>
          <w:lang w:val="fr-FR"/>
        </w:rPr>
        <w:t>, et note leur pertinence pour les discussions sur les orientations stratégiques à long t</w:t>
      </w:r>
      <w:r w:rsidR="00725EC9">
        <w:rPr>
          <w:kern w:val="22"/>
          <w:szCs w:val="22"/>
          <w:lang w:val="fr-FR"/>
        </w:rPr>
        <w:t xml:space="preserve">erme concernant la </w:t>
      </w:r>
      <w:r w:rsidR="003B1465">
        <w:rPr>
          <w:kern w:val="22"/>
          <w:szCs w:val="22"/>
          <w:lang w:val="fr-FR"/>
        </w:rPr>
        <w:t>Vision 2050 pour la biodiversité</w:t>
      </w:r>
      <w:r w:rsidR="00537867" w:rsidRPr="00FC767B">
        <w:rPr>
          <w:kern w:val="22"/>
          <w:szCs w:val="22"/>
          <w:lang w:val="fr-FR"/>
        </w:rPr>
        <w:t xml:space="preserve">,  les approches consistant à vivre en harmonie avec la nature et le processus d’élaboration </w:t>
      </w:r>
      <w:r w:rsidR="00583298" w:rsidRPr="00FC767B">
        <w:rPr>
          <w:kern w:val="22"/>
          <w:szCs w:val="22"/>
          <w:lang w:val="fr-FR"/>
        </w:rPr>
        <w:t>du</w:t>
      </w:r>
      <w:r w:rsidR="00537867" w:rsidRPr="00FC767B">
        <w:rPr>
          <w:kern w:val="22"/>
          <w:szCs w:val="22"/>
          <w:lang w:val="fr-FR"/>
        </w:rPr>
        <w:t xml:space="preserve"> </w:t>
      </w:r>
      <w:r w:rsidR="00F32AB4">
        <w:rPr>
          <w:kern w:val="22"/>
          <w:szCs w:val="22"/>
          <w:lang w:val="fr-FR"/>
        </w:rPr>
        <w:t>Cadre mondial de la biodiversité</w:t>
      </w:r>
      <w:r w:rsidR="0056513E" w:rsidRPr="00FC767B">
        <w:rPr>
          <w:kern w:val="22"/>
          <w:szCs w:val="22"/>
          <w:lang w:val="fr-FR"/>
        </w:rPr>
        <w:t xml:space="preserve"> </w:t>
      </w:r>
      <w:r w:rsidR="005A103F">
        <w:rPr>
          <w:kern w:val="22"/>
          <w:szCs w:val="22"/>
          <w:lang w:val="fr-FR"/>
        </w:rPr>
        <w:t>pour</w:t>
      </w:r>
      <w:r w:rsidR="00537867" w:rsidRPr="00FC767B">
        <w:rPr>
          <w:kern w:val="22"/>
          <w:szCs w:val="22"/>
          <w:lang w:val="fr-FR"/>
        </w:rPr>
        <w:t xml:space="preserve"> l’après-2020</w:t>
      </w:r>
      <w:r w:rsidRPr="00FC767B">
        <w:rPr>
          <w:kern w:val="22"/>
          <w:szCs w:val="22"/>
          <w:lang w:val="fr-FR"/>
        </w:rPr>
        <w:t> ;</w:t>
      </w:r>
    </w:p>
    <w:p w14:paraId="6FD7B38D" w14:textId="6E2EC2C2" w:rsidR="006B1CFB" w:rsidRPr="00FC767B" w:rsidRDefault="00DE6F83" w:rsidP="006B1CFB">
      <w:pPr>
        <w:spacing w:before="120" w:after="120"/>
        <w:ind w:left="720" w:firstLine="720"/>
        <w:rPr>
          <w:rFonts w:eastAsia="Malgun Gothic"/>
          <w:iCs/>
          <w:kern w:val="22"/>
          <w:szCs w:val="22"/>
          <w:lang w:val="fr-FR"/>
        </w:rPr>
      </w:pPr>
      <w:r w:rsidRPr="00FC767B">
        <w:rPr>
          <w:kern w:val="22"/>
          <w:szCs w:val="22"/>
          <w:lang w:val="fr-FR"/>
        </w:rPr>
        <w:t xml:space="preserve">2. </w:t>
      </w:r>
      <w:r w:rsidRPr="00FC767B">
        <w:rPr>
          <w:kern w:val="22"/>
          <w:szCs w:val="22"/>
          <w:lang w:val="fr-FR"/>
        </w:rPr>
        <w:tab/>
      </w:r>
      <w:r w:rsidR="003C6D37" w:rsidRPr="00FC767B">
        <w:rPr>
          <w:rFonts w:eastAsia="Malgun Gothic"/>
          <w:i/>
          <w:kern w:val="22"/>
          <w:szCs w:val="22"/>
          <w:lang w:val="fr-FR"/>
        </w:rPr>
        <w:t>Invite</w:t>
      </w:r>
      <w:r w:rsidR="003C6D37" w:rsidRPr="00FC767B">
        <w:rPr>
          <w:rFonts w:eastAsia="Malgun Gothic"/>
          <w:iCs/>
          <w:kern w:val="22"/>
          <w:szCs w:val="22"/>
          <w:lang w:val="fr-FR"/>
        </w:rPr>
        <w:t xml:space="preserve"> les milieux scientifiques et d’autres communautés compétentes travaillant sur les scénarios et les évaluations connexes à tenir compte des questions ci-après qui intéressent l’élaboration du </w:t>
      </w:r>
      <w:r w:rsidR="00F32AB4">
        <w:rPr>
          <w:rFonts w:eastAsia="Malgun Gothic"/>
          <w:iCs/>
          <w:kern w:val="22"/>
          <w:szCs w:val="22"/>
          <w:lang w:val="fr-FR"/>
        </w:rPr>
        <w:t>Cadre mondial de la biodiversité</w:t>
      </w:r>
      <w:r w:rsidR="0056513E" w:rsidRPr="00FC767B">
        <w:rPr>
          <w:rFonts w:eastAsia="Malgun Gothic"/>
          <w:iCs/>
          <w:kern w:val="22"/>
          <w:szCs w:val="22"/>
          <w:lang w:val="fr-FR"/>
        </w:rPr>
        <w:t xml:space="preserve"> </w:t>
      </w:r>
      <w:r w:rsidR="009256E4">
        <w:rPr>
          <w:rFonts w:eastAsia="Malgun Gothic"/>
          <w:iCs/>
          <w:kern w:val="22"/>
          <w:szCs w:val="22"/>
          <w:lang w:val="fr-FR"/>
        </w:rPr>
        <w:t>pour</w:t>
      </w:r>
      <w:r w:rsidR="003C6D37" w:rsidRPr="00FC767B">
        <w:rPr>
          <w:rFonts w:eastAsia="Malgun Gothic"/>
          <w:iCs/>
          <w:kern w:val="22"/>
          <w:szCs w:val="22"/>
          <w:lang w:val="fr-FR"/>
        </w:rPr>
        <w:t xml:space="preserve"> l’après-2020 :</w:t>
      </w:r>
    </w:p>
    <w:p w14:paraId="41102222" w14:textId="77777777" w:rsidR="003C6D37" w:rsidRPr="00FC767B" w:rsidRDefault="003C6D37" w:rsidP="00351A3C">
      <w:pPr>
        <w:numPr>
          <w:ilvl w:val="0"/>
          <w:numId w:val="28"/>
        </w:numPr>
        <w:spacing w:before="120" w:after="120"/>
        <w:ind w:left="709" w:firstLine="709"/>
        <w:rPr>
          <w:rFonts w:eastAsia="Malgun Gothic"/>
          <w:kern w:val="22"/>
          <w:szCs w:val="22"/>
          <w:lang w:val="fr-FR"/>
          <w14:cntxtAlts/>
        </w:rPr>
      </w:pPr>
      <w:r w:rsidRPr="00FC767B">
        <w:rPr>
          <w:rFonts w:eastAsia="Malgun Gothic"/>
          <w:kern w:val="22"/>
          <w:szCs w:val="22"/>
          <w:lang w:val="fr-FR"/>
        </w:rPr>
        <w:t>L’étendue des facteurs sous-jacents et des problèmes systémiques et structurels à l’origine de la perte de bio</w:t>
      </w:r>
      <w:r w:rsidRPr="00FC767B">
        <w:rPr>
          <w:rFonts w:eastAsia="Malgun Gothic"/>
          <w:snapToGrid w:val="0"/>
          <w:kern w:val="22"/>
          <w:szCs w:val="22"/>
          <w:lang w:val="fr-FR" w:bidi="fr-FR"/>
        </w:rPr>
        <w:t xml:space="preserve">diversité </w:t>
      </w:r>
      <w:r w:rsidRPr="00FC767B">
        <w:rPr>
          <w:rFonts w:eastAsia="Malgun Gothic"/>
          <w:kern w:val="22"/>
          <w:szCs w:val="22"/>
          <w:lang w:val="fr-FR"/>
        </w:rPr>
        <w:t>;</w:t>
      </w:r>
    </w:p>
    <w:p w14:paraId="22FA3A36" w14:textId="77777777" w:rsidR="00DB59BA" w:rsidRPr="00FC767B" w:rsidRDefault="00FC68EC" w:rsidP="00351A3C">
      <w:pPr>
        <w:numPr>
          <w:ilvl w:val="0"/>
          <w:numId w:val="28"/>
        </w:numPr>
        <w:spacing w:after="120"/>
        <w:ind w:left="709" w:firstLine="709"/>
        <w:rPr>
          <w:rFonts w:eastAsia="Malgun Gothic"/>
          <w:kern w:val="22"/>
          <w:szCs w:val="22"/>
          <w:lang w:val="fr-FR"/>
          <w14:cntxtAlts/>
        </w:rPr>
      </w:pPr>
      <w:r w:rsidRPr="00FC767B">
        <w:rPr>
          <w:rFonts w:eastAsia="Malgun Gothic"/>
          <w:kern w:val="22"/>
          <w:szCs w:val="22"/>
          <w:lang w:val="fr-FR"/>
        </w:rPr>
        <w:t>Les combinaisons de politiques à de multiples échelles et dans le cadre de différents scénarios ;</w:t>
      </w:r>
    </w:p>
    <w:p w14:paraId="7497E482" w14:textId="1630C627" w:rsidR="00FC68EC" w:rsidRPr="00FC767B" w:rsidRDefault="00FC68EC" w:rsidP="00351A3C">
      <w:pPr>
        <w:numPr>
          <w:ilvl w:val="0"/>
          <w:numId w:val="28"/>
        </w:numPr>
        <w:spacing w:after="120"/>
        <w:ind w:left="709" w:firstLine="709"/>
        <w:rPr>
          <w:rFonts w:eastAsia="Malgun Gothic"/>
          <w:kern w:val="22"/>
          <w:szCs w:val="22"/>
          <w:lang w:val="fr-FR"/>
          <w14:cntxtAlts/>
        </w:rPr>
      </w:pPr>
      <w:r w:rsidRPr="00FC767B">
        <w:rPr>
          <w:rFonts w:eastAsia="Malgun Gothic"/>
          <w:kern w:val="22"/>
          <w:szCs w:val="22"/>
          <w:lang w:val="fr-FR"/>
        </w:rPr>
        <w:t>La reconnaissance des synergies, arbitrages et restrictions possibles concernant la biodiversité dont il faudrait tenir compte afin de recenser les politiques et mesures efficaces qui</w:t>
      </w:r>
      <w:r w:rsidR="009256E4">
        <w:rPr>
          <w:rFonts w:eastAsia="Malgun Gothic"/>
          <w:kern w:val="22"/>
          <w:szCs w:val="22"/>
          <w:lang w:val="fr-FR"/>
        </w:rPr>
        <w:t xml:space="preserve"> permettraient d'atteindre les O</w:t>
      </w:r>
      <w:r w:rsidRPr="00FC767B">
        <w:rPr>
          <w:rFonts w:eastAsia="Malgun Gothic"/>
          <w:kern w:val="22"/>
          <w:szCs w:val="22"/>
          <w:lang w:val="fr-FR"/>
        </w:rPr>
        <w:t>bjectifs de développement durable ;</w:t>
      </w:r>
    </w:p>
    <w:p w14:paraId="02264697" w14:textId="77777777" w:rsidR="0088150C" w:rsidRPr="00FC767B" w:rsidRDefault="0088150C" w:rsidP="00351A3C">
      <w:pPr>
        <w:numPr>
          <w:ilvl w:val="0"/>
          <w:numId w:val="28"/>
        </w:numPr>
        <w:spacing w:after="120"/>
        <w:ind w:left="709" w:firstLine="709"/>
        <w:rPr>
          <w:rFonts w:eastAsia="Malgun Gothic"/>
          <w:kern w:val="22"/>
          <w:szCs w:val="22"/>
          <w:lang w:val="fr-FR"/>
          <w14:cntxtAlts/>
        </w:rPr>
      </w:pPr>
      <w:r w:rsidRPr="00FC767B">
        <w:rPr>
          <w:rFonts w:eastAsia="Malgun Gothic"/>
          <w:kern w:val="22"/>
          <w:szCs w:val="22"/>
          <w:lang w:val="fr-FR"/>
        </w:rPr>
        <w:t xml:space="preserve">Les contributions de l’action collective des peuples autochtones et des communautés locales à la conservation de la </w:t>
      </w:r>
      <w:r w:rsidRPr="00FC767B">
        <w:rPr>
          <w:rFonts w:eastAsia="Malgun Gothic"/>
          <w:snapToGrid w:val="0"/>
          <w:kern w:val="22"/>
          <w:szCs w:val="22"/>
          <w:lang w:val="fr-FR" w:bidi="fr-FR"/>
        </w:rPr>
        <w:t>diversité biologique</w:t>
      </w:r>
      <w:r w:rsidRPr="00FC767B">
        <w:rPr>
          <w:rFonts w:eastAsia="Malgun Gothic"/>
          <w:kern w:val="22"/>
          <w:szCs w:val="22"/>
          <w:lang w:val="fr-FR"/>
        </w:rPr>
        <w:t xml:space="preserve"> et à l’utilisation durable de ses éléments ; </w:t>
      </w:r>
    </w:p>
    <w:p w14:paraId="116ECFF9" w14:textId="36266C10" w:rsidR="0088150C" w:rsidRPr="007D0D0B" w:rsidRDefault="009256E4" w:rsidP="007D0D0B">
      <w:pPr>
        <w:numPr>
          <w:ilvl w:val="0"/>
          <w:numId w:val="28"/>
        </w:numPr>
        <w:spacing w:after="120"/>
        <w:ind w:left="709" w:firstLine="709"/>
        <w:rPr>
          <w:rFonts w:eastAsia="Malgun Gothic"/>
          <w:kern w:val="22"/>
          <w:szCs w:val="22"/>
          <w:lang w:val="fr-FR"/>
        </w:rPr>
      </w:pPr>
      <w:r w:rsidRPr="007D0D0B">
        <w:rPr>
          <w:rFonts w:eastAsia="Malgun Gothic"/>
          <w:kern w:val="22"/>
          <w:szCs w:val="22"/>
          <w:lang w:val="fr-FR"/>
        </w:rPr>
        <w:lastRenderedPageBreak/>
        <w:t>Les conséquences d</w:t>
      </w:r>
      <w:r w:rsidR="00A76EA3">
        <w:rPr>
          <w:rFonts w:eastAsia="Malgun Gothic"/>
          <w:kern w:val="22"/>
          <w:szCs w:val="22"/>
          <w:lang w:val="fr-FR"/>
        </w:rPr>
        <w:t>es divers</w:t>
      </w:r>
      <w:r w:rsidRPr="007D0D0B">
        <w:rPr>
          <w:rFonts w:eastAsia="Malgun Gothic"/>
          <w:kern w:val="22"/>
          <w:szCs w:val="22"/>
          <w:lang w:val="fr-FR"/>
        </w:rPr>
        <w:t xml:space="preserve"> scénarios</w:t>
      </w:r>
      <w:r w:rsidR="0088150C" w:rsidRPr="007D0D0B">
        <w:rPr>
          <w:rFonts w:eastAsia="Malgun Gothic"/>
          <w:kern w:val="22"/>
          <w:szCs w:val="22"/>
          <w:lang w:val="fr-FR"/>
        </w:rPr>
        <w:t xml:space="preserve"> pour l’utilisation coutumière durable de la diversité biologique par les peuples autochtones et les communautés locales ;</w:t>
      </w:r>
    </w:p>
    <w:p w14:paraId="632D3104" w14:textId="4A0CCC79" w:rsidR="0088150C" w:rsidRPr="007D0D0B" w:rsidRDefault="007118A4" w:rsidP="007D0D0B">
      <w:pPr>
        <w:numPr>
          <w:ilvl w:val="0"/>
          <w:numId w:val="28"/>
        </w:numPr>
        <w:spacing w:after="120"/>
        <w:ind w:left="709" w:firstLine="709"/>
        <w:rPr>
          <w:rFonts w:eastAsia="Malgun Gothic"/>
          <w:kern w:val="22"/>
          <w:szCs w:val="22"/>
          <w:lang w:val="fr-FR"/>
        </w:rPr>
      </w:pPr>
      <w:r w:rsidRPr="007D0D0B">
        <w:rPr>
          <w:rFonts w:eastAsia="Malgun Gothic"/>
          <w:kern w:val="22"/>
          <w:szCs w:val="22"/>
          <w:lang w:val="fr-FR"/>
        </w:rPr>
        <w:t xml:space="preserve">Les analyses de scénarios concernant le financement du </w:t>
      </w:r>
      <w:r w:rsidR="00F32AB4">
        <w:rPr>
          <w:rFonts w:eastAsia="Malgun Gothic"/>
          <w:kern w:val="22"/>
          <w:szCs w:val="22"/>
          <w:lang w:val="fr-FR"/>
        </w:rPr>
        <w:t>Cadre mondial de la biodiversité</w:t>
      </w:r>
      <w:r w:rsidR="009256E4" w:rsidRPr="007D0D0B">
        <w:rPr>
          <w:rFonts w:eastAsia="Malgun Gothic"/>
          <w:kern w:val="22"/>
          <w:szCs w:val="22"/>
          <w:lang w:val="fr-FR"/>
        </w:rPr>
        <w:t xml:space="preserve"> pour</w:t>
      </w:r>
      <w:r w:rsidRPr="007D0D0B">
        <w:rPr>
          <w:rFonts w:eastAsia="Malgun Gothic"/>
          <w:kern w:val="22"/>
          <w:szCs w:val="22"/>
          <w:lang w:val="fr-FR"/>
        </w:rPr>
        <w:t xml:space="preserve"> l’après-2020 et la réali</w:t>
      </w:r>
      <w:r w:rsidR="00BF3FF9" w:rsidRPr="007D0D0B">
        <w:rPr>
          <w:rFonts w:eastAsia="Malgun Gothic"/>
          <w:kern w:val="22"/>
          <w:szCs w:val="22"/>
          <w:lang w:val="fr-FR"/>
        </w:rPr>
        <w:t>sation de</w:t>
      </w:r>
      <w:r w:rsidR="00725EC9">
        <w:rPr>
          <w:rFonts w:eastAsia="Malgun Gothic"/>
          <w:kern w:val="22"/>
          <w:szCs w:val="22"/>
          <w:lang w:val="fr-FR"/>
        </w:rPr>
        <w:t xml:space="preserve"> la </w:t>
      </w:r>
      <w:r w:rsidR="003B1465">
        <w:rPr>
          <w:rFonts w:eastAsia="Malgun Gothic"/>
          <w:kern w:val="22"/>
          <w:szCs w:val="22"/>
          <w:lang w:val="fr-FR"/>
        </w:rPr>
        <w:t>Vision 2050 pour la biodiversité</w:t>
      </w:r>
      <w:r w:rsidRPr="007D0D0B">
        <w:rPr>
          <w:rFonts w:eastAsia="Malgun Gothic"/>
          <w:kern w:val="22"/>
          <w:szCs w:val="22"/>
          <w:lang w:val="fr-FR"/>
        </w:rPr>
        <w:t> ;</w:t>
      </w:r>
    </w:p>
    <w:p w14:paraId="57BE41B7" w14:textId="7ED027A9" w:rsidR="00702123" w:rsidRPr="007D0D0B" w:rsidRDefault="00702123" w:rsidP="007D0D0B">
      <w:pPr>
        <w:numPr>
          <w:ilvl w:val="0"/>
          <w:numId w:val="28"/>
        </w:numPr>
        <w:spacing w:after="120"/>
        <w:ind w:left="709" w:firstLine="709"/>
        <w:rPr>
          <w:rFonts w:eastAsia="Malgun Gothic"/>
          <w:kern w:val="22"/>
          <w:szCs w:val="22"/>
          <w:lang w:val="fr-FR"/>
        </w:rPr>
      </w:pPr>
      <w:r w:rsidRPr="007D0D0B">
        <w:rPr>
          <w:rFonts w:eastAsia="Malgun Gothic"/>
          <w:kern w:val="22"/>
          <w:szCs w:val="22"/>
          <w:lang w:val="fr-FR"/>
        </w:rPr>
        <w:t>Les impacts positifs et négatifs potentiels des secteurs productifs, tels que, entre autres</w:t>
      </w:r>
      <w:r w:rsidR="009256E4" w:rsidRPr="007D0D0B">
        <w:rPr>
          <w:rFonts w:eastAsia="Malgun Gothic"/>
          <w:kern w:val="22"/>
          <w:szCs w:val="22"/>
          <w:lang w:val="fr-FR"/>
        </w:rPr>
        <w:t>, l'agriculture, la foresterie</w:t>
      </w:r>
      <w:r w:rsidRPr="007D0D0B">
        <w:rPr>
          <w:rFonts w:eastAsia="Malgun Gothic"/>
          <w:kern w:val="22"/>
          <w:szCs w:val="22"/>
          <w:lang w:val="fr-FR"/>
        </w:rPr>
        <w:t xml:space="preserve"> et les pêcheries ;</w:t>
      </w:r>
    </w:p>
    <w:p w14:paraId="61C8584D" w14:textId="476C4A2C" w:rsidR="00351A3C" w:rsidRPr="00FC767B" w:rsidRDefault="00351A3C" w:rsidP="007D0D0B">
      <w:pPr>
        <w:numPr>
          <w:ilvl w:val="0"/>
          <w:numId w:val="28"/>
        </w:numPr>
        <w:spacing w:after="120"/>
        <w:ind w:left="709" w:firstLine="709"/>
        <w:rPr>
          <w:rFonts w:eastAsia="Malgun Gothic"/>
          <w:kern w:val="22"/>
          <w:szCs w:val="22"/>
          <w:lang w:val="fr-FR"/>
          <w14:cntxtAlts/>
        </w:rPr>
      </w:pPr>
      <w:r w:rsidRPr="007D0D0B">
        <w:rPr>
          <w:rFonts w:eastAsia="Malgun Gothic"/>
          <w:kern w:val="22"/>
          <w:szCs w:val="22"/>
          <w:lang w:val="fr-FR"/>
        </w:rPr>
        <w:t>Les nouveautés technologiques susceptibles d’avoir une incidence positive ou négative sur la réa</w:t>
      </w:r>
      <w:r w:rsidR="009256E4" w:rsidRPr="007D0D0B">
        <w:rPr>
          <w:rFonts w:eastAsia="Malgun Gothic"/>
          <w:kern w:val="22"/>
          <w:szCs w:val="22"/>
          <w:lang w:val="fr-FR"/>
        </w:rPr>
        <w:t>lisation des trois objectifs de la</w:t>
      </w:r>
      <w:r w:rsidRPr="007D0D0B">
        <w:rPr>
          <w:rFonts w:eastAsia="Malgun Gothic"/>
          <w:kern w:val="22"/>
          <w:szCs w:val="22"/>
          <w:lang w:val="fr-FR"/>
        </w:rPr>
        <w:t xml:space="preserve"> Conve</w:t>
      </w:r>
      <w:r w:rsidR="009256E4" w:rsidRPr="007D0D0B">
        <w:rPr>
          <w:rFonts w:eastAsia="Malgun Gothic"/>
          <w:kern w:val="22"/>
          <w:szCs w:val="22"/>
          <w:lang w:val="fr-FR"/>
        </w:rPr>
        <w:t>ntion</w:t>
      </w:r>
      <w:r w:rsidRPr="007D0D0B">
        <w:rPr>
          <w:rFonts w:eastAsia="Malgun Gothic"/>
          <w:kern w:val="22"/>
          <w:szCs w:val="22"/>
          <w:lang w:val="fr-FR"/>
        </w:rPr>
        <w:t>, ainsi que sur les modes de vie et les savoirs traditionnels des peuples autochtones et des communautés locales ;</w:t>
      </w:r>
    </w:p>
    <w:p w14:paraId="38EBEC76" w14:textId="786AC979" w:rsidR="006B1CFB" w:rsidRPr="00FC767B" w:rsidRDefault="006B1CFB" w:rsidP="00452377">
      <w:pPr>
        <w:pStyle w:val="Para1"/>
        <w:ind w:left="720" w:firstLine="720"/>
        <w:rPr>
          <w:rFonts w:eastAsia="Malgun Gothic"/>
          <w:snapToGrid/>
          <w:kern w:val="22"/>
          <w:szCs w:val="22"/>
          <w:lang w:val="fr-FR"/>
          <w14:cntxtAlts/>
        </w:rPr>
      </w:pPr>
      <w:r w:rsidRPr="00FC767B">
        <w:rPr>
          <w:rFonts w:eastAsia="Malgun Gothic"/>
          <w:snapToGrid/>
          <w:kern w:val="22"/>
          <w:szCs w:val="22"/>
          <w:lang w:val="fr-FR"/>
          <w14:cntxtAlts/>
        </w:rPr>
        <w:t>3.</w:t>
      </w:r>
      <w:r w:rsidRPr="00FC767B">
        <w:rPr>
          <w:rFonts w:eastAsia="Malgun Gothic"/>
          <w:i/>
          <w:snapToGrid/>
          <w:kern w:val="22"/>
          <w:szCs w:val="22"/>
          <w:lang w:val="fr-FR"/>
          <w14:cntxtAlts/>
        </w:rPr>
        <w:tab/>
      </w:r>
      <w:r w:rsidR="00204D4A" w:rsidRPr="00FC767B">
        <w:rPr>
          <w:rFonts w:eastAsia="Malgun Gothic"/>
          <w:i/>
          <w:snapToGrid/>
          <w:kern w:val="22"/>
          <w:szCs w:val="22"/>
          <w:lang w:val="fr-FR"/>
          <w14:cntxtAlts/>
        </w:rPr>
        <w:t>Prie</w:t>
      </w:r>
      <w:r w:rsidRPr="00FC767B">
        <w:rPr>
          <w:rFonts w:eastAsia="Malgun Gothic"/>
          <w:i/>
          <w:snapToGrid/>
          <w:kern w:val="22"/>
          <w:szCs w:val="22"/>
          <w:lang w:val="fr-FR"/>
          <w14:cntxtAlts/>
        </w:rPr>
        <w:t xml:space="preserve"> </w:t>
      </w:r>
      <w:r w:rsidR="00204D4A" w:rsidRPr="00FC767B">
        <w:rPr>
          <w:rFonts w:eastAsia="Malgun Gothic"/>
          <w:snapToGrid/>
          <w:kern w:val="22"/>
          <w:szCs w:val="22"/>
          <w:lang w:val="fr-FR"/>
          <w14:cntxtAlts/>
        </w:rPr>
        <w:t>la</w:t>
      </w:r>
      <w:r w:rsidRPr="00FC767B">
        <w:rPr>
          <w:rFonts w:eastAsia="Malgun Gothic"/>
          <w:snapToGrid/>
          <w:kern w:val="22"/>
          <w:szCs w:val="22"/>
          <w:lang w:val="fr-FR"/>
          <w14:cntxtAlts/>
        </w:rPr>
        <w:t xml:space="preserve"> </w:t>
      </w:r>
      <w:r w:rsidR="00204D4A" w:rsidRPr="00FC767B">
        <w:rPr>
          <w:rFonts w:eastAsia="Malgun Gothic"/>
          <w:snapToGrid/>
          <w:kern w:val="22"/>
          <w:szCs w:val="22"/>
          <w:lang w:val="fr-FR"/>
          <w14:cntxtAlts/>
        </w:rPr>
        <w:t>Secrétaire exécutive, en</w:t>
      </w:r>
      <w:r w:rsidRPr="00FC767B">
        <w:rPr>
          <w:rFonts w:eastAsia="Malgun Gothic"/>
          <w:snapToGrid/>
          <w:kern w:val="22"/>
          <w:szCs w:val="22"/>
          <w:lang w:val="fr-FR"/>
          <w14:cntxtAlts/>
        </w:rPr>
        <w:t xml:space="preserve"> collaboration </w:t>
      </w:r>
      <w:r w:rsidR="00204D4A" w:rsidRPr="00FC767B">
        <w:rPr>
          <w:rFonts w:eastAsia="Malgun Gothic"/>
          <w:snapToGrid/>
          <w:kern w:val="22"/>
          <w:szCs w:val="22"/>
          <w:lang w:val="fr-FR"/>
          <w14:cntxtAlts/>
        </w:rPr>
        <w:t>avec les partenaires compétents,</w:t>
      </w:r>
      <w:r w:rsidRPr="00FC767B">
        <w:rPr>
          <w:rFonts w:eastAsia="Malgun Gothic"/>
          <w:snapToGrid/>
          <w:kern w:val="22"/>
          <w:szCs w:val="22"/>
          <w:lang w:val="fr-FR"/>
          <w14:cntxtAlts/>
        </w:rPr>
        <w:t xml:space="preserve"> </w:t>
      </w:r>
      <w:r w:rsidR="00204D4A" w:rsidRPr="00FC767B">
        <w:rPr>
          <w:rFonts w:eastAsia="Malgun Gothic"/>
          <w:snapToGrid/>
          <w:kern w:val="22"/>
          <w:szCs w:val="22"/>
          <w:lang w:val="fr-FR"/>
          <w14:cntxtAlts/>
        </w:rPr>
        <w:t xml:space="preserve">de </w:t>
      </w:r>
      <w:r w:rsidR="00F764CA" w:rsidRPr="00FC767B">
        <w:rPr>
          <w:rFonts w:eastAsia="Malgun Gothic"/>
          <w:snapToGrid/>
          <w:kern w:val="22"/>
          <w:szCs w:val="22"/>
          <w:lang w:val="fr-FR"/>
          <w14:cntxtAlts/>
        </w:rPr>
        <w:t>faciliter</w:t>
      </w:r>
      <w:r w:rsidR="00204D4A" w:rsidRPr="00FC767B">
        <w:rPr>
          <w:rFonts w:eastAsia="Malgun Gothic"/>
          <w:snapToGrid/>
          <w:kern w:val="22"/>
          <w:szCs w:val="22"/>
          <w:lang w:val="fr-FR"/>
          <w14:cntxtAlts/>
        </w:rPr>
        <w:t xml:space="preserve"> </w:t>
      </w:r>
      <w:r w:rsidR="00F764CA" w:rsidRPr="00FC767B">
        <w:rPr>
          <w:rFonts w:eastAsia="Malgun Gothic"/>
          <w:snapToGrid/>
          <w:kern w:val="22"/>
          <w:szCs w:val="22"/>
          <w:lang w:val="fr-FR"/>
          <w14:cntxtAlts/>
        </w:rPr>
        <w:t>l</w:t>
      </w:r>
      <w:r w:rsidR="00DB7018" w:rsidRPr="00FC767B">
        <w:rPr>
          <w:rFonts w:eastAsia="Malgun Gothic"/>
          <w:snapToGrid/>
          <w:kern w:val="22"/>
          <w:szCs w:val="22"/>
          <w:lang w:val="fr-FR"/>
          <w14:cntxtAlts/>
        </w:rPr>
        <w:t>es</w:t>
      </w:r>
      <w:r w:rsidR="00204D4A" w:rsidRPr="00FC767B">
        <w:rPr>
          <w:rFonts w:eastAsia="Malgun Gothic"/>
          <w:snapToGrid/>
          <w:kern w:val="22"/>
          <w:szCs w:val="22"/>
          <w:lang w:val="fr-FR"/>
          <w14:cntxtAlts/>
        </w:rPr>
        <w:t xml:space="preserve"> activités de renforcement des capacités</w:t>
      </w:r>
      <w:r w:rsidRPr="00FC767B">
        <w:rPr>
          <w:rFonts w:eastAsia="Malgun Gothic"/>
          <w:snapToGrid/>
          <w:kern w:val="22"/>
          <w:szCs w:val="22"/>
          <w:lang w:val="fr-FR"/>
          <w14:cntxtAlts/>
        </w:rPr>
        <w:t xml:space="preserve"> </w:t>
      </w:r>
      <w:r w:rsidR="00204D4A" w:rsidRPr="00FC767B">
        <w:rPr>
          <w:rFonts w:eastAsia="Malgun Gothic"/>
          <w:snapToGrid/>
          <w:kern w:val="22"/>
          <w:szCs w:val="22"/>
          <w:lang w:val="fr-FR"/>
          <w14:cntxtAlts/>
        </w:rPr>
        <w:t xml:space="preserve">conformément à la </w:t>
      </w:r>
      <w:hyperlink r:id="rId12" w:history="1">
        <w:r w:rsidR="00204D4A" w:rsidRPr="007D0D0B">
          <w:rPr>
            <w:rStyle w:val="Hyperlink"/>
            <w:rFonts w:eastAsia="Malgun Gothic"/>
            <w:snapToGrid/>
            <w:kern w:val="22"/>
            <w:szCs w:val="22"/>
            <w:lang w:val="fr-FR"/>
            <w14:cntxtAlts/>
          </w:rPr>
          <w:t>d</w:t>
        </w:r>
        <w:r w:rsidR="00DB7018" w:rsidRPr="007D0D0B">
          <w:rPr>
            <w:rStyle w:val="Hyperlink"/>
            <w:rFonts w:eastAsia="Malgun Gothic"/>
            <w:snapToGrid/>
            <w:kern w:val="22"/>
            <w:szCs w:val="22"/>
            <w:lang w:val="fr-FR"/>
            <w14:cntxtAlts/>
          </w:rPr>
          <w:t>é</w:t>
        </w:r>
        <w:r w:rsidR="00204D4A" w:rsidRPr="007D0D0B">
          <w:rPr>
            <w:rStyle w:val="Hyperlink"/>
            <w:rFonts w:eastAsia="Malgun Gothic"/>
            <w:snapToGrid/>
            <w:kern w:val="22"/>
            <w:szCs w:val="22"/>
            <w:lang w:val="fr-FR"/>
            <w14:cntxtAlts/>
          </w:rPr>
          <w:t>cision </w:t>
        </w:r>
        <w:r w:rsidRPr="007D0D0B">
          <w:rPr>
            <w:rStyle w:val="Hyperlink"/>
            <w:rFonts w:eastAsia="Malgun Gothic"/>
            <w:snapToGrid/>
            <w:kern w:val="22"/>
            <w:szCs w:val="22"/>
            <w:lang w:val="fr-FR"/>
            <w14:cntxtAlts/>
          </w:rPr>
          <w:t>XIII/23</w:t>
        </w:r>
      </w:hyperlink>
      <w:r w:rsidRPr="00FC767B">
        <w:rPr>
          <w:rFonts w:eastAsia="Malgun Gothic"/>
          <w:snapToGrid/>
          <w:kern w:val="22"/>
          <w:szCs w:val="22"/>
          <w:lang w:val="fr-FR"/>
          <w14:cntxtAlts/>
        </w:rPr>
        <w:t xml:space="preserve">, </w:t>
      </w:r>
      <w:r w:rsidR="00DB7018" w:rsidRPr="00FC767B">
        <w:rPr>
          <w:rFonts w:eastAsia="Malgun Gothic"/>
          <w:snapToGrid/>
          <w:kern w:val="22"/>
          <w:szCs w:val="22"/>
          <w:lang w:val="fr-FR"/>
          <w14:cntxtAlts/>
        </w:rPr>
        <w:t>notamment celles des pays en développement</w:t>
      </w:r>
      <w:r w:rsidRPr="00FC767B">
        <w:rPr>
          <w:rFonts w:eastAsia="Malgun Gothic"/>
          <w:snapToGrid/>
          <w:kern w:val="22"/>
          <w:szCs w:val="22"/>
          <w:lang w:val="fr-FR"/>
          <w14:cntxtAlts/>
        </w:rPr>
        <w:t xml:space="preserve"> </w:t>
      </w:r>
      <w:r w:rsidR="00DB7018" w:rsidRPr="00FC767B">
        <w:rPr>
          <w:rFonts w:eastAsia="Malgun Gothic"/>
          <w:snapToGrid/>
          <w:kern w:val="22"/>
          <w:szCs w:val="22"/>
          <w:lang w:val="fr-FR"/>
          <w14:cntxtAlts/>
        </w:rPr>
        <w:t>et</w:t>
      </w:r>
      <w:r w:rsidRPr="00FC767B">
        <w:rPr>
          <w:rFonts w:eastAsia="Malgun Gothic"/>
          <w:snapToGrid/>
          <w:kern w:val="22"/>
          <w:szCs w:val="22"/>
          <w:lang w:val="fr-FR"/>
          <w14:cntxtAlts/>
        </w:rPr>
        <w:t xml:space="preserve"> </w:t>
      </w:r>
      <w:r w:rsidR="00DB7018" w:rsidRPr="00FC767B">
        <w:rPr>
          <w:iCs/>
          <w:kern w:val="22"/>
          <w:szCs w:val="22"/>
          <w:lang w:val="fr-FR"/>
        </w:rPr>
        <w:t xml:space="preserve">des pays </w:t>
      </w:r>
      <w:r w:rsidR="007D0D0B">
        <w:rPr>
          <w:iCs/>
          <w:kern w:val="22"/>
          <w:szCs w:val="22"/>
          <w:lang w:val="fr-FR"/>
        </w:rPr>
        <w:t xml:space="preserve">à économie </w:t>
      </w:r>
      <w:r w:rsidR="00DB7018" w:rsidRPr="00FC767B">
        <w:rPr>
          <w:iCs/>
          <w:kern w:val="22"/>
          <w:szCs w:val="22"/>
          <w:lang w:val="fr-FR"/>
        </w:rPr>
        <w:t>en t</w:t>
      </w:r>
      <w:r w:rsidR="007D0D0B">
        <w:rPr>
          <w:iCs/>
          <w:kern w:val="22"/>
          <w:szCs w:val="22"/>
          <w:lang w:val="fr-FR"/>
        </w:rPr>
        <w:t>ransition</w:t>
      </w:r>
      <w:r w:rsidR="00DB7018" w:rsidRPr="00FC767B">
        <w:rPr>
          <w:iCs/>
          <w:kern w:val="22"/>
          <w:szCs w:val="22"/>
          <w:lang w:val="fr-FR"/>
        </w:rPr>
        <w:t>, en particulier les pays les moins avancés et les petits États insulaires en développement, afin de permettre à tous les pays de participer à l’élaboration et à la mise en pratique des scénarios</w:t>
      </w:r>
      <w:r w:rsidRPr="00FC767B">
        <w:rPr>
          <w:rFonts w:eastAsia="Malgun Gothic"/>
          <w:snapToGrid/>
          <w:kern w:val="22"/>
          <w:szCs w:val="22"/>
          <w:lang w:val="fr-FR"/>
          <w14:cntxtAlts/>
        </w:rPr>
        <w:t xml:space="preserve">. </w:t>
      </w:r>
    </w:p>
    <w:p w14:paraId="4DDB42AF" w14:textId="07276A29" w:rsidR="006B1CFB" w:rsidRPr="00FC767B" w:rsidRDefault="006B1CFB" w:rsidP="00452377">
      <w:pPr>
        <w:pStyle w:val="ListParagraph"/>
        <w:spacing w:before="120" w:after="120"/>
        <w:ind w:firstLine="720"/>
        <w:contextualSpacing w:val="0"/>
        <w:rPr>
          <w:rFonts w:eastAsia="Malgun Gothic"/>
          <w:kern w:val="22"/>
          <w:szCs w:val="22"/>
          <w:lang w:val="fr-FR"/>
          <w14:cntxtAlts/>
        </w:rPr>
      </w:pPr>
      <w:r w:rsidRPr="00060C2A">
        <w:rPr>
          <w:iCs/>
          <w:kern w:val="22"/>
          <w:szCs w:val="22"/>
          <w:lang w:val="fr-FR"/>
          <w14:cntxtAlts/>
        </w:rPr>
        <w:t>4.</w:t>
      </w:r>
      <w:r w:rsidRPr="00FC767B">
        <w:rPr>
          <w:i/>
          <w:iCs/>
          <w:kern w:val="22"/>
          <w:szCs w:val="22"/>
          <w:lang w:val="fr-FR"/>
          <w14:cntxtAlts/>
        </w:rPr>
        <w:t xml:space="preserve"> </w:t>
      </w:r>
      <w:r w:rsidR="00060C2A">
        <w:rPr>
          <w:iCs/>
          <w:kern w:val="22"/>
          <w:szCs w:val="22"/>
          <w:lang w:val="fr-FR"/>
          <w14:cntxtAlts/>
        </w:rPr>
        <w:tab/>
      </w:r>
      <w:r w:rsidR="00E611C6" w:rsidRPr="00FC767B">
        <w:rPr>
          <w:i/>
          <w:iCs/>
          <w:kern w:val="22"/>
          <w:szCs w:val="22"/>
          <w:lang w:val="fr-FR"/>
          <w14:cntxtAlts/>
        </w:rPr>
        <w:t>Rappelant</w:t>
      </w:r>
      <w:r w:rsidRPr="00FC767B">
        <w:rPr>
          <w:iCs/>
          <w:kern w:val="22"/>
          <w:szCs w:val="22"/>
          <w:lang w:val="fr-FR"/>
          <w14:cntxtAlts/>
        </w:rPr>
        <w:t xml:space="preserve"> </w:t>
      </w:r>
      <w:r w:rsidR="00E611C6" w:rsidRPr="00FC767B">
        <w:rPr>
          <w:iCs/>
          <w:kern w:val="22"/>
          <w:szCs w:val="22"/>
          <w:lang w:val="fr-FR"/>
          <w14:cntxtAlts/>
        </w:rPr>
        <w:t xml:space="preserve">la </w:t>
      </w:r>
      <w:hyperlink r:id="rId13" w:history="1">
        <w:r w:rsidR="00C023CC" w:rsidRPr="007D0D0B">
          <w:rPr>
            <w:rStyle w:val="Hyperlink"/>
            <w:iCs/>
            <w:kern w:val="22"/>
            <w:szCs w:val="22"/>
            <w:lang w:val="fr-FR"/>
            <w14:cntxtAlts/>
          </w:rPr>
          <w:t>d</w:t>
        </w:r>
        <w:r w:rsidR="008E4DB1" w:rsidRPr="007D0D0B">
          <w:rPr>
            <w:rStyle w:val="Hyperlink"/>
            <w:iCs/>
            <w:kern w:val="22"/>
            <w:szCs w:val="22"/>
            <w:lang w:val="fr-FR"/>
            <w14:cntxtAlts/>
          </w:rPr>
          <w:t>é</w:t>
        </w:r>
        <w:r w:rsidR="00C023CC" w:rsidRPr="007D0D0B">
          <w:rPr>
            <w:rStyle w:val="Hyperlink"/>
            <w:iCs/>
            <w:kern w:val="22"/>
            <w:szCs w:val="22"/>
            <w:lang w:val="fr-FR"/>
            <w14:cntxtAlts/>
          </w:rPr>
          <w:t>cision </w:t>
        </w:r>
        <w:r w:rsidRPr="007D0D0B">
          <w:rPr>
            <w:rStyle w:val="Hyperlink"/>
            <w:iCs/>
            <w:kern w:val="22"/>
            <w:szCs w:val="22"/>
            <w:lang w:val="fr-FR"/>
            <w14:cntxtAlts/>
          </w:rPr>
          <w:t>XIII/22</w:t>
        </w:r>
      </w:hyperlink>
      <w:r w:rsidRPr="00FC767B">
        <w:rPr>
          <w:iCs/>
          <w:kern w:val="22"/>
          <w:szCs w:val="22"/>
          <w:lang w:val="fr-FR"/>
          <w14:cntxtAlts/>
        </w:rPr>
        <w:t xml:space="preserve"> </w:t>
      </w:r>
      <w:r w:rsidR="00C023CC" w:rsidRPr="00FC767B">
        <w:rPr>
          <w:iCs/>
          <w:kern w:val="22"/>
          <w:szCs w:val="22"/>
          <w:lang w:val="fr-FR"/>
          <w14:cntxtAlts/>
        </w:rPr>
        <w:t>sur le cadre pour une stratégie de communication</w:t>
      </w:r>
      <w:r w:rsidRPr="00FC767B">
        <w:rPr>
          <w:iCs/>
          <w:kern w:val="22"/>
          <w:szCs w:val="22"/>
          <w:lang w:val="fr-FR"/>
          <w14:cntxtAlts/>
        </w:rPr>
        <w:t xml:space="preserve">, </w:t>
      </w:r>
      <w:r w:rsidR="00F764CA" w:rsidRPr="00FC767B">
        <w:rPr>
          <w:i/>
          <w:iCs/>
          <w:kern w:val="22"/>
          <w:szCs w:val="22"/>
          <w:lang w:val="fr-FR"/>
          <w14:cntxtAlts/>
        </w:rPr>
        <w:t>prie</w:t>
      </w:r>
      <w:r w:rsidRPr="00FC767B">
        <w:rPr>
          <w:iCs/>
          <w:kern w:val="22"/>
          <w:szCs w:val="22"/>
          <w:lang w:val="fr-FR"/>
          <w14:cntxtAlts/>
        </w:rPr>
        <w:t xml:space="preserve"> </w:t>
      </w:r>
      <w:r w:rsidR="00F764CA" w:rsidRPr="00FC767B">
        <w:rPr>
          <w:iCs/>
          <w:kern w:val="22"/>
          <w:szCs w:val="22"/>
          <w:lang w:val="fr-FR"/>
          <w14:cntxtAlts/>
        </w:rPr>
        <w:t xml:space="preserve">la </w:t>
      </w:r>
      <w:r w:rsidRPr="00FC767B">
        <w:rPr>
          <w:iCs/>
          <w:kern w:val="22"/>
          <w:szCs w:val="22"/>
          <w:lang w:val="fr-FR"/>
          <w14:cntxtAlts/>
        </w:rPr>
        <w:t xml:space="preserve"> </w:t>
      </w:r>
      <w:r w:rsidR="00F764CA" w:rsidRPr="00FC767B">
        <w:rPr>
          <w:iCs/>
          <w:kern w:val="22"/>
          <w:szCs w:val="22"/>
          <w:lang w:val="fr-FR"/>
          <w14:cntxtAlts/>
        </w:rPr>
        <w:t xml:space="preserve">Secrétaire </w:t>
      </w:r>
      <w:r w:rsidR="008B3098" w:rsidRPr="00FC767B">
        <w:rPr>
          <w:iCs/>
          <w:kern w:val="22"/>
          <w:szCs w:val="22"/>
          <w:lang w:val="fr-FR"/>
          <w14:cntxtAlts/>
        </w:rPr>
        <w:t xml:space="preserve">exécutive </w:t>
      </w:r>
      <w:r w:rsidR="008E4DB1" w:rsidRPr="00FC767B">
        <w:rPr>
          <w:iCs/>
          <w:kern w:val="22"/>
          <w:szCs w:val="22"/>
          <w:lang w:val="fr-FR"/>
          <w14:cntxtAlts/>
        </w:rPr>
        <w:t>d'encourager</w:t>
      </w:r>
      <w:r w:rsidRPr="00FC767B">
        <w:rPr>
          <w:iCs/>
          <w:kern w:val="22"/>
          <w:szCs w:val="22"/>
          <w:lang w:val="fr-FR"/>
          <w14:cntxtAlts/>
        </w:rPr>
        <w:t xml:space="preserve"> </w:t>
      </w:r>
      <w:r w:rsidR="008E4DB1" w:rsidRPr="00FC767B">
        <w:rPr>
          <w:iCs/>
          <w:kern w:val="22"/>
          <w:szCs w:val="22"/>
          <w:lang w:val="fr-FR"/>
          <w14:cntxtAlts/>
        </w:rPr>
        <w:t>l'utilisation de sc</w:t>
      </w:r>
      <w:r w:rsidR="008E1203" w:rsidRPr="00FC767B">
        <w:rPr>
          <w:iCs/>
          <w:kern w:val="22"/>
          <w:szCs w:val="22"/>
          <w:lang w:val="fr-FR"/>
          <w14:cntxtAlts/>
        </w:rPr>
        <w:t>é</w:t>
      </w:r>
      <w:r w:rsidR="008E4DB1" w:rsidRPr="00FC767B">
        <w:rPr>
          <w:iCs/>
          <w:kern w:val="22"/>
          <w:szCs w:val="22"/>
          <w:lang w:val="fr-FR"/>
          <w14:cntxtAlts/>
        </w:rPr>
        <w:t>narios en tant qu'outil</w:t>
      </w:r>
      <w:r w:rsidR="008E1203" w:rsidRPr="00FC767B">
        <w:rPr>
          <w:iCs/>
          <w:kern w:val="22"/>
          <w:szCs w:val="22"/>
          <w:lang w:val="fr-FR"/>
          <w14:cntxtAlts/>
        </w:rPr>
        <w:t>s</w:t>
      </w:r>
      <w:r w:rsidR="008E4DB1" w:rsidRPr="00FC767B">
        <w:rPr>
          <w:iCs/>
          <w:kern w:val="22"/>
          <w:szCs w:val="22"/>
          <w:lang w:val="fr-FR"/>
          <w14:cntxtAlts/>
        </w:rPr>
        <w:t xml:space="preserve"> de communication permettant de sensibiliser le public et de </w:t>
      </w:r>
      <w:r w:rsidR="008E4DB1" w:rsidRPr="00FC767B">
        <w:rPr>
          <w:rFonts w:eastAsia="Malgun Gothic"/>
          <w:kern w:val="22"/>
          <w:szCs w:val="22"/>
          <w:lang w:val="fr-FR"/>
          <w14:cntxtAlts/>
        </w:rPr>
        <w:t xml:space="preserve">promouvoir la </w:t>
      </w:r>
      <w:r w:rsidRPr="00FC767B">
        <w:rPr>
          <w:rFonts w:eastAsia="Malgun Gothic"/>
          <w:kern w:val="22"/>
          <w:szCs w:val="22"/>
          <w:lang w:val="fr-FR"/>
          <w14:cntxtAlts/>
        </w:rPr>
        <w:t xml:space="preserve">participation </w:t>
      </w:r>
      <w:r w:rsidR="008E4DB1" w:rsidRPr="00FC767B">
        <w:rPr>
          <w:rFonts w:eastAsia="Malgun Gothic"/>
          <w:kern w:val="22"/>
          <w:szCs w:val="22"/>
          <w:lang w:val="fr-FR"/>
          <w14:cntxtAlts/>
        </w:rPr>
        <w:t>et l'engagement de l'ensemble des parties prenantes, en particulier des milieux universitaires et scientifiques</w:t>
      </w:r>
      <w:r w:rsidR="00060C2A">
        <w:rPr>
          <w:rFonts w:eastAsia="Malgun Gothic"/>
          <w:kern w:val="22"/>
          <w:szCs w:val="22"/>
          <w:lang w:val="fr-FR"/>
          <w14:cntxtAlts/>
        </w:rPr>
        <w:t xml:space="preserve"> et</w:t>
      </w:r>
      <w:r w:rsidRPr="00FC767B">
        <w:rPr>
          <w:rFonts w:eastAsia="Malgun Gothic"/>
          <w:kern w:val="22"/>
          <w:szCs w:val="22"/>
          <w:lang w:val="fr-FR"/>
          <w14:cntxtAlts/>
        </w:rPr>
        <w:t xml:space="preserve"> </w:t>
      </w:r>
      <w:r w:rsidR="008E4DB1" w:rsidRPr="00FC767B">
        <w:rPr>
          <w:rFonts w:eastAsia="Malgun Gothic"/>
          <w:kern w:val="22"/>
          <w:szCs w:val="22"/>
          <w:lang w:val="fr-FR"/>
          <w14:cntxtAlts/>
        </w:rPr>
        <w:t>pour</w:t>
      </w:r>
      <w:r w:rsidRPr="00FC767B">
        <w:rPr>
          <w:rFonts w:eastAsia="Malgun Gothic"/>
          <w:kern w:val="22"/>
          <w:szCs w:val="22"/>
          <w:lang w:val="fr-FR"/>
          <w14:cntxtAlts/>
        </w:rPr>
        <w:t xml:space="preserve"> </w:t>
      </w:r>
      <w:r w:rsidR="008E4DB1" w:rsidRPr="00FC767B">
        <w:rPr>
          <w:rFonts w:eastAsia="Malgun Gothic"/>
          <w:kern w:val="22"/>
          <w:szCs w:val="22"/>
          <w:lang w:val="fr-FR"/>
          <w14:cntxtAlts/>
        </w:rPr>
        <w:t>amplifier le soutien à l'échelle mondial</w:t>
      </w:r>
      <w:r w:rsidR="00015ED4" w:rsidRPr="00FC767B">
        <w:rPr>
          <w:rFonts w:eastAsia="Malgun Gothic"/>
          <w:kern w:val="22"/>
          <w:szCs w:val="22"/>
          <w:lang w:val="fr-FR"/>
          <w14:cntxtAlts/>
        </w:rPr>
        <w:t>e</w:t>
      </w:r>
      <w:r w:rsidRPr="00FC767B">
        <w:rPr>
          <w:rFonts w:eastAsia="Malgun Gothic"/>
          <w:kern w:val="22"/>
          <w:szCs w:val="22"/>
          <w:lang w:val="fr-FR"/>
          <w14:cntxtAlts/>
        </w:rPr>
        <w:t xml:space="preserve"> </w:t>
      </w:r>
      <w:r w:rsidR="008E4DB1" w:rsidRPr="00FC767B">
        <w:rPr>
          <w:rFonts w:eastAsia="Malgun Gothic"/>
          <w:kern w:val="22"/>
          <w:szCs w:val="22"/>
          <w:lang w:val="fr-FR"/>
          <w14:cntxtAlts/>
        </w:rPr>
        <w:t>face aux préoccupations liées à la biodiversité</w:t>
      </w:r>
      <w:r w:rsidRPr="00FC767B">
        <w:rPr>
          <w:rFonts w:eastAsia="Malgun Gothic"/>
          <w:kern w:val="22"/>
          <w:szCs w:val="22"/>
          <w:lang w:val="fr-FR"/>
          <w14:cntxtAlts/>
        </w:rPr>
        <w:t xml:space="preserve">, </w:t>
      </w:r>
      <w:r w:rsidR="00015ED4" w:rsidRPr="00FC767B">
        <w:rPr>
          <w:rFonts w:eastAsia="Malgun Gothic"/>
          <w:kern w:val="22"/>
          <w:szCs w:val="22"/>
          <w:lang w:val="fr-FR"/>
          <w14:cntxtAlts/>
        </w:rPr>
        <w:t>y compris</w:t>
      </w:r>
      <w:r w:rsidR="008E4DB1" w:rsidRPr="00FC767B">
        <w:rPr>
          <w:rFonts w:eastAsia="Malgun Gothic"/>
          <w:kern w:val="22"/>
          <w:szCs w:val="22"/>
          <w:lang w:val="fr-FR"/>
          <w14:cntxtAlts/>
        </w:rPr>
        <w:t xml:space="preserve"> en engageant des célébrités</w:t>
      </w:r>
      <w:r w:rsidRPr="00FC767B">
        <w:rPr>
          <w:rFonts w:eastAsia="Malgun Gothic"/>
          <w:kern w:val="22"/>
          <w:szCs w:val="22"/>
          <w:lang w:val="fr-FR"/>
          <w14:cntxtAlts/>
        </w:rPr>
        <w:t xml:space="preserve"> </w:t>
      </w:r>
      <w:r w:rsidR="008E4DB1" w:rsidRPr="00FC767B">
        <w:rPr>
          <w:rFonts w:eastAsia="Malgun Gothic"/>
          <w:kern w:val="22"/>
          <w:szCs w:val="22"/>
          <w:lang w:val="fr-FR"/>
          <w14:cntxtAlts/>
        </w:rPr>
        <w:t>en tant qu'ambassadeurs de la biodiversité</w:t>
      </w:r>
      <w:r w:rsidRPr="00FC767B">
        <w:rPr>
          <w:rFonts w:eastAsia="Malgun Gothic"/>
          <w:kern w:val="22"/>
          <w:szCs w:val="22"/>
          <w:lang w:val="fr-FR"/>
          <w14:cntxtAlts/>
        </w:rPr>
        <w:t xml:space="preserve"> </w:t>
      </w:r>
      <w:r w:rsidR="008E4DB1" w:rsidRPr="00FC767B">
        <w:rPr>
          <w:rFonts w:eastAsia="Malgun Gothic"/>
          <w:kern w:val="22"/>
          <w:szCs w:val="22"/>
          <w:lang w:val="fr-FR"/>
          <w14:cntxtAlts/>
        </w:rPr>
        <w:t>de toutes les régions</w:t>
      </w:r>
      <w:r w:rsidRPr="00FC767B">
        <w:rPr>
          <w:rFonts w:eastAsia="Malgun Gothic"/>
          <w:kern w:val="22"/>
          <w:szCs w:val="22"/>
          <w:lang w:val="fr-FR"/>
          <w14:cntxtAlts/>
        </w:rPr>
        <w:t xml:space="preserve"> </w:t>
      </w:r>
      <w:r w:rsidR="008E4DB1" w:rsidRPr="00FC767B">
        <w:rPr>
          <w:rFonts w:eastAsia="Malgun Gothic"/>
          <w:kern w:val="22"/>
          <w:szCs w:val="22"/>
          <w:lang w:val="fr-FR"/>
          <w14:cntxtAlts/>
        </w:rPr>
        <w:t>qui se feraient les porte-voix de la biodiversité </w:t>
      </w:r>
      <w:r w:rsidRPr="00FC767B">
        <w:rPr>
          <w:rFonts w:eastAsia="Malgun Gothic"/>
          <w:kern w:val="22"/>
          <w:szCs w:val="22"/>
          <w:lang w:val="fr-FR"/>
          <w14:cntxtAlts/>
        </w:rPr>
        <w:t>;</w:t>
      </w:r>
    </w:p>
    <w:p w14:paraId="4E7CFAEB" w14:textId="77777777" w:rsidR="00D960EF" w:rsidRDefault="00D960EF" w:rsidP="00D960EF">
      <w:pPr>
        <w:keepNext/>
        <w:spacing w:before="120" w:after="120"/>
        <w:ind w:left="720"/>
        <w:jc w:val="center"/>
        <w:rPr>
          <w:rFonts w:eastAsia="Malgun Gothic"/>
          <w:i/>
          <w:kern w:val="22"/>
          <w:szCs w:val="22"/>
          <w14:cntxtAlts/>
        </w:rPr>
      </w:pPr>
      <w:bookmarkStart w:id="2" w:name="_Ref493864660"/>
      <w:bookmarkEnd w:id="2"/>
    </w:p>
    <w:p w14:paraId="6D4585CF" w14:textId="68A344F4" w:rsidR="00DE6F83" w:rsidRPr="00FC767B" w:rsidRDefault="00E90441" w:rsidP="00D960EF">
      <w:pPr>
        <w:keepNext/>
        <w:spacing w:before="120" w:after="120"/>
        <w:ind w:left="720"/>
        <w:jc w:val="center"/>
        <w:rPr>
          <w:i/>
          <w:iCs/>
          <w:snapToGrid w:val="0"/>
          <w:kern w:val="22"/>
          <w:szCs w:val="22"/>
          <w:lang w:val="fr-FR"/>
        </w:rPr>
      </w:pPr>
      <w:r w:rsidRPr="00D960EF">
        <w:rPr>
          <w:rFonts w:eastAsia="Malgun Gothic"/>
          <w:i/>
          <w:kern w:val="22"/>
          <w:szCs w:val="22"/>
          <w14:cntxtAlts/>
        </w:rPr>
        <w:t>Annexe</w:t>
      </w:r>
      <w:r w:rsidR="00DE6F83" w:rsidRPr="00FC767B">
        <w:rPr>
          <w:i/>
          <w:snapToGrid w:val="0"/>
          <w:kern w:val="22"/>
          <w:szCs w:val="22"/>
          <w:lang w:val="fr-FR"/>
        </w:rPr>
        <w:t xml:space="preserve"> </w:t>
      </w:r>
    </w:p>
    <w:p w14:paraId="1F2B4240" w14:textId="59931C10" w:rsidR="00DE6F83" w:rsidRPr="00FC767B" w:rsidRDefault="00B92D7B" w:rsidP="000E086B">
      <w:pPr>
        <w:pStyle w:val="BodyText"/>
        <w:suppressLineNumbers/>
        <w:suppressAutoHyphens/>
        <w:ind w:firstLine="0"/>
        <w:jc w:val="center"/>
        <w:rPr>
          <w:b/>
          <w:iCs w:val="0"/>
          <w:snapToGrid w:val="0"/>
          <w:kern w:val="22"/>
          <w:szCs w:val="22"/>
          <w:lang w:val="fr-FR"/>
        </w:rPr>
      </w:pPr>
      <w:r w:rsidRPr="00FC767B">
        <w:rPr>
          <w:b/>
          <w:iCs w:val="0"/>
          <w:snapToGrid w:val="0"/>
          <w:kern w:val="22"/>
          <w:szCs w:val="22"/>
          <w:lang w:val="fr-FR"/>
        </w:rPr>
        <w:t>CONCLUSIONS DE L’ORGANE SUBSIDIAIRE CHARGÉ DE FOURNIR DES AVIS SCIENTIFIQUES, TECHNIQUES ET TECHNOLOGIQUES SUR LES SCÉNA</w:t>
      </w:r>
      <w:r w:rsidR="006F6B94">
        <w:rPr>
          <w:b/>
          <w:iCs w:val="0"/>
          <w:snapToGrid w:val="0"/>
          <w:kern w:val="22"/>
          <w:szCs w:val="22"/>
          <w:lang w:val="fr-FR"/>
        </w:rPr>
        <w:t xml:space="preserve">RIOS POUR LA </w:t>
      </w:r>
      <w:r w:rsidR="003B1465">
        <w:rPr>
          <w:b/>
          <w:iCs w:val="0"/>
          <w:snapToGrid w:val="0"/>
          <w:kern w:val="22"/>
          <w:szCs w:val="22"/>
          <w:lang w:val="fr-FR"/>
        </w:rPr>
        <w:t>VISION 2050 POUR LA BIODIVERSITÉ</w:t>
      </w:r>
    </w:p>
    <w:p w14:paraId="6AF68252" w14:textId="7ECF0A45" w:rsidR="004B268C" w:rsidRPr="00FC767B" w:rsidRDefault="003F0B62" w:rsidP="00D960EF">
      <w:pPr>
        <w:pStyle w:val="BodyText"/>
        <w:numPr>
          <w:ilvl w:val="1"/>
          <w:numId w:val="24"/>
        </w:numPr>
        <w:suppressLineNumbers/>
        <w:tabs>
          <w:tab w:val="clear" w:pos="2160"/>
        </w:tabs>
        <w:suppressAutoHyphens/>
        <w:ind w:left="0" w:firstLine="0"/>
        <w:rPr>
          <w:snapToGrid w:val="0"/>
          <w:kern w:val="22"/>
          <w:lang w:val="fr-FR"/>
        </w:rPr>
      </w:pPr>
      <w:r w:rsidRPr="00FC767B">
        <w:rPr>
          <w:rFonts w:eastAsia="Malgun Gothic"/>
          <w:i/>
          <w:snapToGrid w:val="0"/>
          <w:kern w:val="22"/>
          <w:szCs w:val="22"/>
          <w:lang w:val="fr-FR"/>
        </w:rPr>
        <w:t xml:space="preserve">La </w:t>
      </w:r>
      <w:r w:rsidR="00725EC9">
        <w:rPr>
          <w:rFonts w:eastAsia="Malgun Gothic"/>
          <w:i/>
          <w:snapToGrid w:val="0"/>
          <w:kern w:val="22"/>
          <w:szCs w:val="22"/>
          <w:lang w:val="fr-FR"/>
        </w:rPr>
        <w:t>V</w:t>
      </w:r>
      <w:r w:rsidR="006F6B94">
        <w:rPr>
          <w:rFonts w:eastAsia="Malgun Gothic"/>
          <w:i/>
          <w:snapToGrid w:val="0"/>
          <w:kern w:val="22"/>
          <w:szCs w:val="22"/>
          <w:lang w:val="fr-FR"/>
        </w:rPr>
        <w:t>ision 2050</w:t>
      </w:r>
      <w:r w:rsidRPr="00FC767B">
        <w:rPr>
          <w:rFonts w:eastAsia="Malgun Gothic"/>
          <w:i/>
          <w:snapToGrid w:val="0"/>
          <w:kern w:val="22"/>
          <w:szCs w:val="22"/>
          <w:lang w:val="fr-FR"/>
        </w:rPr>
        <w:t xml:space="preserve"> du Plan stratégique demeure pertinente et devrait être prise en compte dans tout suivi du </w:t>
      </w:r>
      <w:r w:rsidRPr="00FC767B">
        <w:rPr>
          <w:rFonts w:eastAsia="Malgun Gothic"/>
          <w:i/>
          <w:iCs w:val="0"/>
          <w:snapToGrid w:val="0"/>
          <w:kern w:val="22"/>
          <w:szCs w:val="22"/>
          <w:lang w:val="fr-FR"/>
        </w:rPr>
        <w:t>Plan stratégique  pour la diversité biologique</w:t>
      </w:r>
      <w:r w:rsidR="005A103F">
        <w:rPr>
          <w:rFonts w:eastAsia="Malgun Gothic"/>
          <w:i/>
          <w:iCs w:val="0"/>
          <w:snapToGrid w:val="0"/>
          <w:kern w:val="22"/>
          <w:szCs w:val="22"/>
          <w:lang w:val="fr-FR"/>
        </w:rPr>
        <w:t xml:space="preserve"> </w:t>
      </w:r>
      <w:r w:rsidR="005A103F" w:rsidRPr="00FC767B">
        <w:rPr>
          <w:rFonts w:eastAsia="Malgun Gothic"/>
          <w:i/>
          <w:iCs w:val="0"/>
          <w:snapToGrid w:val="0"/>
          <w:kern w:val="22"/>
          <w:szCs w:val="22"/>
          <w:lang w:val="fr-FR"/>
        </w:rPr>
        <w:t>2011-2020</w:t>
      </w:r>
      <w:r w:rsidRPr="00FC767B">
        <w:rPr>
          <w:rFonts w:eastAsia="Malgun Gothic"/>
          <w:iCs w:val="0"/>
          <w:snapToGrid w:val="0"/>
          <w:kern w:val="22"/>
          <w:szCs w:val="22"/>
          <w:lang w:val="fr-FR"/>
        </w:rPr>
        <w:t xml:space="preserve">. La </w:t>
      </w:r>
      <w:r w:rsidR="00725EC9">
        <w:rPr>
          <w:rFonts w:eastAsia="Malgun Gothic"/>
          <w:iCs w:val="0"/>
          <w:snapToGrid w:val="0"/>
          <w:kern w:val="22"/>
          <w:szCs w:val="22"/>
          <w:lang w:val="fr-FR"/>
        </w:rPr>
        <w:t>V</w:t>
      </w:r>
      <w:r w:rsidR="006F6B94">
        <w:rPr>
          <w:rFonts w:eastAsia="Malgun Gothic"/>
          <w:iCs w:val="0"/>
          <w:snapToGrid w:val="0"/>
          <w:kern w:val="22"/>
          <w:szCs w:val="22"/>
          <w:lang w:val="fr-FR"/>
        </w:rPr>
        <w:t>ision 2050</w:t>
      </w:r>
      <w:r w:rsidR="00977084" w:rsidRPr="00FC767B">
        <w:rPr>
          <w:rFonts w:eastAsia="Malgun Gothic"/>
          <w:iCs w:val="0"/>
          <w:snapToGrid w:val="0"/>
          <w:kern w:val="22"/>
          <w:szCs w:val="22"/>
          <w:lang w:val="fr-FR"/>
        </w:rPr>
        <w:t xml:space="preserve"> (« Vivre en harmonie avec la nature », une vision selon laquelle « d’ici à 2050, la diversité biologique est valorisée, conservée, restaurée et utilisée avec sagesse, en assurant le maintien des services fournis par les écosystèmes, en maintenant la planète en bonne santé et en procurant des avantages essentiels à tous les peuples »)</w:t>
      </w:r>
      <w:r w:rsidRPr="00FC767B">
        <w:rPr>
          <w:rFonts w:eastAsia="Malgun Gothic"/>
          <w:iCs w:val="0"/>
          <w:snapToGrid w:val="0"/>
          <w:kern w:val="22"/>
          <w:szCs w:val="22"/>
          <w:lang w:val="fr-FR"/>
        </w:rPr>
        <w:t xml:space="preserve"> comporte des éléments qui pourraient se traduire en un objectif à long terme pour la biodiversité et définit le contexte en vue de discussions sur de possibles objectifs de biodiversité pour 2030 s'inscrivant dans le </w:t>
      </w:r>
      <w:r w:rsidR="00F32AB4">
        <w:rPr>
          <w:rFonts w:eastAsia="Malgun Gothic"/>
          <w:iCs w:val="0"/>
          <w:snapToGrid w:val="0"/>
          <w:kern w:val="22"/>
          <w:szCs w:val="22"/>
          <w:lang w:val="fr-FR"/>
        </w:rPr>
        <w:t>Cadre mondial de la biodiversité</w:t>
      </w:r>
      <w:r w:rsidR="00337435" w:rsidRPr="00FC767B">
        <w:rPr>
          <w:rFonts w:eastAsia="Malgun Gothic"/>
          <w:iCs w:val="0"/>
          <w:snapToGrid w:val="0"/>
          <w:kern w:val="22"/>
          <w:szCs w:val="22"/>
          <w:lang w:val="fr-FR"/>
        </w:rPr>
        <w:t xml:space="preserve"> </w:t>
      </w:r>
      <w:r w:rsidR="00337435">
        <w:rPr>
          <w:rFonts w:eastAsia="Malgun Gothic"/>
          <w:iCs w:val="0"/>
          <w:snapToGrid w:val="0"/>
          <w:kern w:val="22"/>
          <w:szCs w:val="22"/>
          <w:lang w:val="fr-FR"/>
        </w:rPr>
        <w:t>pour</w:t>
      </w:r>
      <w:r w:rsidRPr="00FC767B">
        <w:rPr>
          <w:rFonts w:eastAsia="Malgun Gothic"/>
          <w:iCs w:val="0"/>
          <w:snapToGrid w:val="0"/>
          <w:kern w:val="22"/>
          <w:szCs w:val="22"/>
          <w:lang w:val="fr-FR"/>
        </w:rPr>
        <w:t xml:space="preserve"> l'après-2020</w:t>
      </w:r>
      <w:r w:rsidR="006548D5" w:rsidRPr="00FC767B">
        <w:rPr>
          <w:rFonts w:eastAsia="Malgun Gothic"/>
          <w:iCs w:val="0"/>
          <w:snapToGrid w:val="0"/>
          <w:kern w:val="22"/>
          <w:szCs w:val="22"/>
          <w:lang w:val="fr-FR"/>
        </w:rPr>
        <w:t>.</w:t>
      </w:r>
    </w:p>
    <w:p w14:paraId="0DF28365" w14:textId="77777777" w:rsidR="004B268C" w:rsidRPr="00FC767B" w:rsidRDefault="003F0B62" w:rsidP="00D960EF">
      <w:pPr>
        <w:pStyle w:val="BodyText"/>
        <w:numPr>
          <w:ilvl w:val="1"/>
          <w:numId w:val="24"/>
        </w:numPr>
        <w:suppressLineNumbers/>
        <w:tabs>
          <w:tab w:val="clear" w:pos="2160"/>
        </w:tabs>
        <w:suppressAutoHyphens/>
        <w:ind w:left="0" w:firstLine="0"/>
        <w:rPr>
          <w:snapToGrid w:val="0"/>
          <w:kern w:val="22"/>
          <w:lang w:val="fr-FR"/>
        </w:rPr>
      </w:pPr>
      <w:r w:rsidRPr="00FC767B">
        <w:rPr>
          <w:rFonts w:eastAsia="Malgun Gothic"/>
          <w:i/>
          <w:snapToGrid w:val="0"/>
          <w:kern w:val="22"/>
          <w:szCs w:val="22"/>
          <w:lang w:val="fr-FR"/>
        </w:rPr>
        <w:t>Les tendances actuelles, ou scénarios de « statu quo », indiquent un appauvrissement continu de la biodiversité</w:t>
      </w:r>
      <w:r w:rsidRPr="00FC767B">
        <w:rPr>
          <w:rFonts w:eastAsia="Malgun Gothic"/>
          <w:iCs w:val="0"/>
          <w:snapToGrid w:val="0"/>
          <w:kern w:val="22"/>
          <w:szCs w:val="22"/>
          <w:lang w:val="fr-FR"/>
        </w:rPr>
        <w:t>, impliquant des conséquences négatives majeures pour le bien-être humain, y compris des changements qui peuvent devenir irréversibles. Par conséquent, des mesures urgentes sur la biodiversité restent un enjeu de société d'importance planétaire</w:t>
      </w:r>
      <w:r w:rsidR="006548D5" w:rsidRPr="00FC767B">
        <w:rPr>
          <w:rFonts w:eastAsia="Malgun Gothic"/>
          <w:iCs w:val="0"/>
          <w:snapToGrid w:val="0"/>
          <w:kern w:val="22"/>
          <w:szCs w:val="22"/>
          <w:lang w:val="fr-FR"/>
        </w:rPr>
        <w:t>.</w:t>
      </w:r>
    </w:p>
    <w:p w14:paraId="2BA77A0E" w14:textId="29DF305D" w:rsidR="004B268C" w:rsidRPr="00FC767B" w:rsidRDefault="003F0B62" w:rsidP="00D960EF">
      <w:pPr>
        <w:pStyle w:val="BodyText"/>
        <w:numPr>
          <w:ilvl w:val="1"/>
          <w:numId w:val="24"/>
        </w:numPr>
        <w:suppressLineNumbers/>
        <w:tabs>
          <w:tab w:val="clear" w:pos="2160"/>
        </w:tabs>
        <w:suppressAutoHyphens/>
        <w:ind w:left="0" w:firstLine="0"/>
        <w:rPr>
          <w:snapToGrid w:val="0"/>
          <w:kern w:val="22"/>
          <w:lang w:val="fr-FR"/>
        </w:rPr>
      </w:pPr>
      <w:r w:rsidRPr="00FC767B">
        <w:rPr>
          <w:rFonts w:eastAsia="Malgun Gothic"/>
          <w:i/>
          <w:snapToGrid w:val="0"/>
          <w:kern w:val="22"/>
          <w:szCs w:val="22"/>
          <w:lang w:val="fr-FR"/>
        </w:rPr>
        <w:t xml:space="preserve">Les scénarios de développement socioéconomique futur démontrent qu'il y a </w:t>
      </w:r>
      <w:r w:rsidR="006548D5" w:rsidRPr="00FC767B">
        <w:rPr>
          <w:rFonts w:eastAsia="Malgun Gothic"/>
          <w:i/>
          <w:snapToGrid w:val="0"/>
          <w:kern w:val="22"/>
          <w:szCs w:val="22"/>
          <w:lang w:val="fr-FR"/>
        </w:rPr>
        <w:t xml:space="preserve">un </w:t>
      </w:r>
      <w:r w:rsidRPr="00FC767B">
        <w:rPr>
          <w:rFonts w:eastAsia="Malgun Gothic"/>
          <w:i/>
          <w:snapToGrid w:val="0"/>
          <w:kern w:val="22"/>
          <w:szCs w:val="22"/>
          <w:lang w:val="fr-FR"/>
        </w:rPr>
        <w:t>vaste éventail d'avenirs plausibles</w:t>
      </w:r>
      <w:r w:rsidRPr="00FC767B">
        <w:rPr>
          <w:rFonts w:eastAsia="Malgun Gothic"/>
          <w:iCs w:val="0"/>
          <w:snapToGrid w:val="0"/>
          <w:kern w:val="22"/>
          <w:szCs w:val="22"/>
          <w:lang w:val="fr-FR"/>
        </w:rPr>
        <w:t xml:space="preserve"> en ce qui concerne la croissance démographique, l'éducation, l'urbanisation, la croissance économique, le développement technologique et les approches du commerce international, entre autres, entraînant différents niveaux de facteurs de changement </w:t>
      </w:r>
      <w:r w:rsidR="000901DD" w:rsidRPr="00FC767B">
        <w:rPr>
          <w:rFonts w:eastAsia="Malgun Gothic"/>
          <w:iCs w:val="0"/>
          <w:snapToGrid w:val="0"/>
          <w:kern w:val="22"/>
          <w:szCs w:val="22"/>
          <w:lang w:val="fr-FR"/>
        </w:rPr>
        <w:t xml:space="preserve">des écosystèmes </w:t>
      </w:r>
      <w:r w:rsidR="00A26EF6" w:rsidRPr="00FC767B">
        <w:rPr>
          <w:rFonts w:eastAsia="Malgun Gothic"/>
          <w:iCs w:val="0"/>
          <w:snapToGrid w:val="0"/>
          <w:kern w:val="22"/>
          <w:szCs w:val="22"/>
          <w:lang w:val="fr-FR"/>
        </w:rPr>
        <w:t xml:space="preserve">et </w:t>
      </w:r>
      <w:r w:rsidRPr="00FC767B">
        <w:rPr>
          <w:rFonts w:eastAsia="Malgun Gothic"/>
          <w:iCs w:val="0"/>
          <w:snapToGrid w:val="0"/>
          <w:kern w:val="22"/>
          <w:szCs w:val="22"/>
          <w:lang w:val="fr-FR"/>
        </w:rPr>
        <w:t>de la biodiversité</w:t>
      </w:r>
      <w:r w:rsidR="009F6BDA" w:rsidRPr="00FC767B">
        <w:rPr>
          <w:rFonts w:eastAsia="Malgun Gothic"/>
          <w:iCs w:val="0"/>
          <w:snapToGrid w:val="0"/>
          <w:kern w:val="22"/>
          <w:szCs w:val="22"/>
          <w:lang w:val="fr-FR"/>
        </w:rPr>
        <w:t>, comme les changements climatiques, la surexploitation, la pollution, les espèces exotiques envahissantes et la perte des habitats</w:t>
      </w:r>
      <w:r w:rsidR="00395F6B" w:rsidRPr="00FC767B">
        <w:rPr>
          <w:rFonts w:eastAsia="Malgun Gothic"/>
          <w:iCs w:val="0"/>
          <w:snapToGrid w:val="0"/>
          <w:kern w:val="22"/>
          <w:szCs w:val="22"/>
          <w:lang w:val="fr-FR"/>
        </w:rPr>
        <w:t>, notamment les changements d’affectation d</w:t>
      </w:r>
      <w:r w:rsidR="00060C2A">
        <w:rPr>
          <w:rFonts w:eastAsia="Malgun Gothic"/>
          <w:iCs w:val="0"/>
          <w:snapToGrid w:val="0"/>
          <w:kern w:val="22"/>
          <w:szCs w:val="22"/>
          <w:lang w:val="fr-FR"/>
        </w:rPr>
        <w:t>es sols</w:t>
      </w:r>
      <w:r w:rsidRPr="00FC767B">
        <w:rPr>
          <w:rFonts w:eastAsia="Malgun Gothic"/>
          <w:iCs w:val="0"/>
          <w:snapToGrid w:val="0"/>
          <w:kern w:val="22"/>
          <w:szCs w:val="22"/>
          <w:lang w:val="fr-FR"/>
        </w:rPr>
        <w:t xml:space="preserve">. Cet éventail d'avenirs plausibles ouvre un espace pour l'élaboration de mesures politiques permettant de réaliser la </w:t>
      </w:r>
      <w:r w:rsidR="00725EC9">
        <w:rPr>
          <w:rFonts w:eastAsia="Malgun Gothic"/>
          <w:iCs w:val="0"/>
          <w:snapToGrid w:val="0"/>
          <w:kern w:val="22"/>
          <w:szCs w:val="22"/>
          <w:lang w:val="fr-FR"/>
        </w:rPr>
        <w:t>V</w:t>
      </w:r>
      <w:r w:rsidR="006F6B94">
        <w:rPr>
          <w:rFonts w:eastAsia="Malgun Gothic"/>
          <w:iCs w:val="0"/>
          <w:snapToGrid w:val="0"/>
          <w:kern w:val="22"/>
          <w:szCs w:val="22"/>
          <w:lang w:val="fr-FR"/>
        </w:rPr>
        <w:t>ision 2050</w:t>
      </w:r>
      <w:r w:rsidRPr="00FC767B">
        <w:rPr>
          <w:rFonts w:eastAsia="Malgun Gothic"/>
          <w:iCs w:val="0"/>
          <w:snapToGrid w:val="0"/>
          <w:kern w:val="22"/>
          <w:szCs w:val="22"/>
          <w:lang w:val="fr-FR"/>
        </w:rPr>
        <w:t xml:space="preserve"> et d'autres objectifs mondiaux ;</w:t>
      </w:r>
    </w:p>
    <w:p w14:paraId="5302460C" w14:textId="5F9CD7C2" w:rsidR="004B268C" w:rsidRPr="00FC767B" w:rsidRDefault="003F0B62" w:rsidP="00D960EF">
      <w:pPr>
        <w:pStyle w:val="BodyText"/>
        <w:numPr>
          <w:ilvl w:val="1"/>
          <w:numId w:val="24"/>
        </w:numPr>
        <w:suppressLineNumbers/>
        <w:tabs>
          <w:tab w:val="clear" w:pos="2160"/>
        </w:tabs>
        <w:suppressAutoHyphens/>
        <w:ind w:left="0" w:firstLine="0"/>
        <w:rPr>
          <w:snapToGrid w:val="0"/>
          <w:kern w:val="22"/>
          <w:lang w:val="fr-FR"/>
        </w:rPr>
      </w:pPr>
      <w:r w:rsidRPr="00FC767B">
        <w:rPr>
          <w:rFonts w:eastAsia="Malgun Gothic"/>
          <w:i/>
          <w:snapToGrid w:val="0"/>
          <w:kern w:val="22"/>
          <w:szCs w:val="22"/>
          <w:lang w:val="fr-FR"/>
        </w:rPr>
        <w:lastRenderedPageBreak/>
        <w:t xml:space="preserve">Les objectifs de biodiversité reflétés dans la </w:t>
      </w:r>
      <w:r w:rsidR="00725EC9">
        <w:rPr>
          <w:rFonts w:eastAsia="Malgun Gothic"/>
          <w:i/>
          <w:snapToGrid w:val="0"/>
          <w:kern w:val="22"/>
          <w:szCs w:val="22"/>
          <w:lang w:val="fr-FR"/>
        </w:rPr>
        <w:t>V</w:t>
      </w:r>
      <w:r w:rsidR="006F6B94">
        <w:rPr>
          <w:rFonts w:eastAsia="Malgun Gothic"/>
          <w:i/>
          <w:snapToGrid w:val="0"/>
          <w:kern w:val="22"/>
          <w:szCs w:val="22"/>
          <w:lang w:val="fr-FR"/>
        </w:rPr>
        <w:t>ision 2050</w:t>
      </w:r>
      <w:r w:rsidRPr="00FC767B">
        <w:rPr>
          <w:rFonts w:eastAsia="Malgun Gothic"/>
          <w:i/>
          <w:snapToGrid w:val="0"/>
          <w:kern w:val="22"/>
          <w:szCs w:val="22"/>
          <w:lang w:val="fr-FR"/>
        </w:rPr>
        <w:t xml:space="preserve"> pourraient être réalisés tout en atteignant des objectifs socioéconomiques plus vastes, en déployant une combinaison de mesures</w:t>
      </w:r>
      <w:r w:rsidRPr="00FC767B">
        <w:rPr>
          <w:rFonts w:eastAsia="Malgun Gothic"/>
          <w:iCs w:val="0"/>
          <w:snapToGrid w:val="0"/>
          <w:kern w:val="22"/>
          <w:szCs w:val="22"/>
          <w:lang w:val="fr-FR"/>
        </w:rPr>
        <w:t>, et notamment des mesures destinées</w:t>
      </w:r>
      <w:r w:rsidR="006548D5" w:rsidRPr="00FC767B">
        <w:rPr>
          <w:rFonts w:eastAsia="Malgun Gothic"/>
          <w:iCs w:val="0"/>
          <w:snapToGrid w:val="0"/>
          <w:kern w:val="22"/>
          <w:szCs w:val="22"/>
          <w:lang w:val="fr-FR"/>
        </w:rPr>
        <w:t xml:space="preserve"> a)</w:t>
      </w:r>
      <w:r w:rsidRPr="00FC767B">
        <w:rPr>
          <w:rFonts w:eastAsia="Malgun Gothic"/>
          <w:iCs w:val="0"/>
          <w:snapToGrid w:val="0"/>
          <w:kern w:val="22"/>
          <w:szCs w:val="22"/>
          <w:lang w:val="fr-FR"/>
        </w:rPr>
        <w:t xml:space="preserve"> à augmenter </w:t>
      </w:r>
      <w:r w:rsidR="00972116" w:rsidRPr="00FC767B">
        <w:rPr>
          <w:rFonts w:eastAsia="Malgun Gothic"/>
          <w:iCs w:val="0"/>
          <w:snapToGrid w:val="0"/>
          <w:kern w:val="22"/>
          <w:szCs w:val="22"/>
          <w:lang w:val="fr-FR"/>
        </w:rPr>
        <w:t xml:space="preserve">la viabilité à long terme et la </w:t>
      </w:r>
      <w:r w:rsidRPr="00FC767B">
        <w:rPr>
          <w:rFonts w:eastAsia="Malgun Gothic"/>
          <w:iCs w:val="0"/>
          <w:snapToGrid w:val="0"/>
          <w:kern w:val="22"/>
          <w:szCs w:val="22"/>
          <w:lang w:val="fr-FR"/>
        </w:rPr>
        <w:t xml:space="preserve">productivité de l'agriculture, </w:t>
      </w:r>
      <w:r w:rsidR="00F931AA" w:rsidRPr="00FC767B">
        <w:rPr>
          <w:rFonts w:eastAsia="Malgun Gothic"/>
          <w:iCs w:val="0"/>
          <w:snapToGrid w:val="0"/>
          <w:kern w:val="22"/>
          <w:szCs w:val="22"/>
          <w:lang w:val="fr-FR"/>
        </w:rPr>
        <w:t>par l'augmentation et une meilleure utilisation de</w:t>
      </w:r>
      <w:r w:rsidRPr="00FC767B">
        <w:rPr>
          <w:rFonts w:eastAsia="Malgun Gothic"/>
          <w:iCs w:val="0"/>
          <w:snapToGrid w:val="0"/>
          <w:kern w:val="22"/>
          <w:szCs w:val="22"/>
          <w:lang w:val="fr-FR"/>
        </w:rPr>
        <w:t xml:space="preserve"> la biodiversité au sein des écosystèmes agricoles en vue de contribuer à une augmentation de la production durable ; </w:t>
      </w:r>
      <w:r w:rsidR="006548D5" w:rsidRPr="00FC767B">
        <w:rPr>
          <w:rFonts w:eastAsia="Malgun Gothic"/>
          <w:iCs w:val="0"/>
          <w:snapToGrid w:val="0"/>
          <w:kern w:val="22"/>
          <w:szCs w:val="22"/>
          <w:lang w:val="fr-FR"/>
        </w:rPr>
        <w:t xml:space="preserve">b) à </w:t>
      </w:r>
      <w:r w:rsidRPr="00FC767B">
        <w:rPr>
          <w:rFonts w:eastAsia="Malgun Gothic"/>
          <w:iCs w:val="0"/>
          <w:snapToGrid w:val="0"/>
          <w:kern w:val="22"/>
          <w:szCs w:val="22"/>
          <w:lang w:val="fr-FR"/>
        </w:rPr>
        <w:t xml:space="preserve">réduire la dégradation et la fragmentation des écosystèmes, préserver la biodiversité et assurer </w:t>
      </w:r>
      <w:r w:rsidR="0092169D" w:rsidRPr="00FC767B">
        <w:rPr>
          <w:rFonts w:eastAsia="Malgun Gothic"/>
          <w:iCs w:val="0"/>
          <w:snapToGrid w:val="0"/>
          <w:kern w:val="22"/>
          <w:szCs w:val="22"/>
          <w:lang w:val="fr-FR"/>
        </w:rPr>
        <w:t>les fonctions</w:t>
      </w:r>
      <w:r w:rsidRPr="00FC767B">
        <w:rPr>
          <w:rFonts w:eastAsia="Malgun Gothic"/>
          <w:iCs w:val="0"/>
          <w:snapToGrid w:val="0"/>
          <w:kern w:val="22"/>
          <w:szCs w:val="22"/>
          <w:lang w:val="fr-FR"/>
        </w:rPr>
        <w:t xml:space="preserve"> </w:t>
      </w:r>
      <w:r w:rsidR="00F53452" w:rsidRPr="00FC767B">
        <w:rPr>
          <w:rFonts w:eastAsia="Malgun Gothic"/>
          <w:iCs w:val="0"/>
          <w:snapToGrid w:val="0"/>
          <w:kern w:val="22"/>
          <w:szCs w:val="22"/>
          <w:lang w:val="fr-FR"/>
        </w:rPr>
        <w:t xml:space="preserve">et services </w:t>
      </w:r>
      <w:r w:rsidRPr="00FC767B">
        <w:rPr>
          <w:rFonts w:eastAsia="Malgun Gothic"/>
          <w:iCs w:val="0"/>
          <w:snapToGrid w:val="0"/>
          <w:kern w:val="22"/>
          <w:szCs w:val="22"/>
          <w:lang w:val="fr-FR"/>
        </w:rPr>
        <w:t>écosystémiques</w:t>
      </w:r>
      <w:r w:rsidR="001112F0" w:rsidRPr="00FC767B">
        <w:rPr>
          <w:rFonts w:eastAsia="Malgun Gothic"/>
          <w:iCs w:val="0"/>
          <w:snapToGrid w:val="0"/>
          <w:kern w:val="22"/>
          <w:szCs w:val="22"/>
          <w:lang w:val="fr-FR"/>
        </w:rPr>
        <w:t>, y compris</w:t>
      </w:r>
      <w:r w:rsidRPr="00FC767B">
        <w:rPr>
          <w:rFonts w:eastAsia="Malgun Gothic"/>
          <w:iCs w:val="0"/>
          <w:snapToGrid w:val="0"/>
          <w:kern w:val="22"/>
          <w:szCs w:val="22"/>
          <w:lang w:val="fr-FR"/>
        </w:rPr>
        <w:t xml:space="preserve"> par le biais d'une planification proactive de l'espace, la restauration de sols </w:t>
      </w:r>
      <w:r w:rsidR="001112F0" w:rsidRPr="00FC767B">
        <w:rPr>
          <w:rFonts w:eastAsia="Malgun Gothic"/>
          <w:iCs w:val="0"/>
          <w:snapToGrid w:val="0"/>
          <w:kern w:val="22"/>
          <w:szCs w:val="22"/>
          <w:lang w:val="fr-FR"/>
        </w:rPr>
        <w:t xml:space="preserve">et des écosystèmes </w:t>
      </w:r>
      <w:r w:rsidRPr="00FC767B">
        <w:rPr>
          <w:rFonts w:eastAsia="Malgun Gothic"/>
          <w:iCs w:val="0"/>
          <w:snapToGrid w:val="0"/>
          <w:kern w:val="22"/>
          <w:szCs w:val="22"/>
          <w:lang w:val="fr-FR"/>
        </w:rPr>
        <w:t xml:space="preserve">dégradés et l'expansion stratégique d'aires protégées ; </w:t>
      </w:r>
      <w:r w:rsidR="006548D5" w:rsidRPr="00FC767B">
        <w:rPr>
          <w:rFonts w:eastAsia="Malgun Gothic"/>
          <w:iCs w:val="0"/>
          <w:snapToGrid w:val="0"/>
          <w:kern w:val="22"/>
          <w:szCs w:val="22"/>
          <w:lang w:val="fr-FR"/>
        </w:rPr>
        <w:t xml:space="preserve">c) à </w:t>
      </w:r>
      <w:r w:rsidRPr="00FC767B">
        <w:rPr>
          <w:rFonts w:eastAsia="Malgun Gothic"/>
          <w:iCs w:val="0"/>
          <w:snapToGrid w:val="0"/>
          <w:kern w:val="22"/>
          <w:szCs w:val="22"/>
          <w:lang w:val="fr-FR"/>
        </w:rPr>
        <w:t xml:space="preserve">diminuer la surexploitation des pêcheries et autres ressources biologiques ; </w:t>
      </w:r>
      <w:r w:rsidR="006548D5" w:rsidRPr="00FC767B">
        <w:rPr>
          <w:rFonts w:eastAsia="Malgun Gothic"/>
          <w:iCs w:val="0"/>
          <w:snapToGrid w:val="0"/>
          <w:kern w:val="22"/>
          <w:szCs w:val="22"/>
          <w:lang w:val="fr-FR"/>
        </w:rPr>
        <w:t xml:space="preserve">d) à </w:t>
      </w:r>
      <w:r w:rsidRPr="00FC767B">
        <w:rPr>
          <w:rFonts w:eastAsia="Malgun Gothic"/>
          <w:iCs w:val="0"/>
          <w:snapToGrid w:val="0"/>
          <w:kern w:val="22"/>
          <w:szCs w:val="22"/>
          <w:lang w:val="fr-FR"/>
        </w:rPr>
        <w:t xml:space="preserve">contrôler les espèces exotiques envahissantes ; </w:t>
      </w:r>
      <w:r w:rsidR="006548D5" w:rsidRPr="00FC767B">
        <w:rPr>
          <w:rFonts w:eastAsia="Malgun Gothic"/>
          <w:iCs w:val="0"/>
          <w:snapToGrid w:val="0"/>
          <w:kern w:val="22"/>
          <w:szCs w:val="22"/>
          <w:lang w:val="fr-FR"/>
        </w:rPr>
        <w:t xml:space="preserve">e) à </w:t>
      </w:r>
      <w:r w:rsidR="001112F0" w:rsidRPr="00FC767B">
        <w:rPr>
          <w:rFonts w:eastAsia="Malgun Gothic"/>
          <w:iCs w:val="0"/>
          <w:snapToGrid w:val="0"/>
          <w:kern w:val="22"/>
          <w:szCs w:val="22"/>
          <w:lang w:val="fr-FR"/>
        </w:rPr>
        <w:t xml:space="preserve">adapter et à </w:t>
      </w:r>
      <w:r w:rsidRPr="00FC767B">
        <w:rPr>
          <w:rFonts w:eastAsia="Malgun Gothic"/>
          <w:iCs w:val="0"/>
          <w:snapToGrid w:val="0"/>
          <w:kern w:val="22"/>
          <w:szCs w:val="22"/>
          <w:lang w:val="fr-FR"/>
        </w:rPr>
        <w:t>atténuer les changements climatiques, et</w:t>
      </w:r>
      <w:r w:rsidR="006548D5" w:rsidRPr="00FC767B">
        <w:rPr>
          <w:rFonts w:eastAsia="Malgun Gothic"/>
          <w:iCs w:val="0"/>
          <w:snapToGrid w:val="0"/>
          <w:kern w:val="22"/>
          <w:szCs w:val="22"/>
          <w:lang w:val="fr-FR"/>
        </w:rPr>
        <w:t xml:space="preserve"> f) à</w:t>
      </w:r>
      <w:r w:rsidRPr="00FC767B">
        <w:rPr>
          <w:rFonts w:eastAsia="Malgun Gothic"/>
          <w:iCs w:val="0"/>
          <w:snapToGrid w:val="0"/>
          <w:kern w:val="22"/>
          <w:szCs w:val="22"/>
          <w:lang w:val="fr-FR"/>
        </w:rPr>
        <w:t xml:space="preserve"> réduire les déchets et la consommation excessive</w:t>
      </w:r>
      <w:r w:rsidR="006548D5" w:rsidRPr="00FC767B">
        <w:rPr>
          <w:rFonts w:eastAsia="Malgun Gothic"/>
          <w:iCs w:val="0"/>
          <w:snapToGrid w:val="0"/>
          <w:kern w:val="22"/>
          <w:szCs w:val="22"/>
          <w:lang w:val="fr-FR"/>
        </w:rPr>
        <w:t>.</w:t>
      </w:r>
    </w:p>
    <w:p w14:paraId="194627D5" w14:textId="26BF01BE" w:rsidR="004B268C" w:rsidRPr="00FC767B" w:rsidRDefault="003F0B62" w:rsidP="00D960EF">
      <w:pPr>
        <w:pStyle w:val="BodyText"/>
        <w:numPr>
          <w:ilvl w:val="1"/>
          <w:numId w:val="24"/>
        </w:numPr>
        <w:suppressLineNumbers/>
        <w:tabs>
          <w:tab w:val="clear" w:pos="2160"/>
        </w:tabs>
        <w:suppressAutoHyphens/>
        <w:ind w:left="0" w:firstLine="0"/>
        <w:rPr>
          <w:snapToGrid w:val="0"/>
          <w:kern w:val="22"/>
          <w:lang w:val="fr-FR"/>
        </w:rPr>
      </w:pPr>
      <w:r w:rsidRPr="00FC767B">
        <w:rPr>
          <w:rFonts w:eastAsia="Malgun Gothic"/>
          <w:i/>
          <w:snapToGrid w:val="0"/>
          <w:kern w:val="22"/>
          <w:szCs w:val="22"/>
          <w:lang w:val="fr-FR"/>
        </w:rPr>
        <w:t>Ces mesures pourraient être élaborées dans le cadre de diverses « combinaisons de mesur</w:t>
      </w:r>
      <w:r w:rsidR="006F29C1" w:rsidRPr="00FC767B">
        <w:rPr>
          <w:rFonts w:eastAsia="Malgun Gothic"/>
          <w:i/>
          <w:snapToGrid w:val="0"/>
          <w:kern w:val="22"/>
          <w:szCs w:val="22"/>
          <w:lang w:val="fr-FR"/>
        </w:rPr>
        <w:t>es politiques » en fonction des besoins</w:t>
      </w:r>
      <w:r w:rsidRPr="00FC767B">
        <w:rPr>
          <w:rFonts w:eastAsia="Malgun Gothic"/>
          <w:i/>
          <w:snapToGrid w:val="0"/>
          <w:kern w:val="22"/>
          <w:szCs w:val="22"/>
          <w:lang w:val="fr-FR"/>
        </w:rPr>
        <w:t xml:space="preserve"> et des </w:t>
      </w:r>
      <w:r w:rsidR="006F29C1" w:rsidRPr="00FC767B">
        <w:rPr>
          <w:rFonts w:eastAsia="Malgun Gothic"/>
          <w:i/>
          <w:snapToGrid w:val="0"/>
          <w:kern w:val="22"/>
          <w:szCs w:val="22"/>
          <w:lang w:val="fr-FR"/>
        </w:rPr>
        <w:t>priorités</w:t>
      </w:r>
      <w:r w:rsidRPr="00FC767B">
        <w:rPr>
          <w:rFonts w:eastAsia="Malgun Gothic"/>
          <w:i/>
          <w:snapToGrid w:val="0"/>
          <w:kern w:val="22"/>
          <w:szCs w:val="22"/>
          <w:lang w:val="fr-FR"/>
        </w:rPr>
        <w:t xml:space="preserve"> des pays et des parties prenantes</w:t>
      </w:r>
      <w:r w:rsidRPr="00FC767B">
        <w:rPr>
          <w:rFonts w:eastAsia="Malgun Gothic"/>
          <w:iCs w:val="0"/>
          <w:snapToGrid w:val="0"/>
          <w:kern w:val="22"/>
          <w:szCs w:val="22"/>
          <w:lang w:val="fr-FR"/>
        </w:rPr>
        <w:t xml:space="preserve">. Par exemple, </w:t>
      </w:r>
      <w:r w:rsidR="00634B22" w:rsidRPr="00FC767B">
        <w:rPr>
          <w:rFonts w:eastAsia="Malgun Gothic"/>
          <w:iCs w:val="0"/>
          <w:snapToGrid w:val="0"/>
          <w:kern w:val="22"/>
          <w:szCs w:val="22"/>
          <w:lang w:val="fr-FR"/>
        </w:rPr>
        <w:t>la combinaison de mesures politiques visée au paragraphe 4 ci-dessus</w:t>
      </w:r>
      <w:r w:rsidRPr="00FC767B">
        <w:rPr>
          <w:rFonts w:eastAsia="Malgun Gothic"/>
          <w:iCs w:val="0"/>
          <w:snapToGrid w:val="0"/>
          <w:kern w:val="22"/>
          <w:szCs w:val="22"/>
          <w:lang w:val="fr-FR"/>
        </w:rPr>
        <w:t xml:space="preserve"> pourrait varier selon l'importance accordée aux évolutions en matière de production et de consommation, le degré de confiance dans les nouvelles technologies et le commerce international, ainsi que </w:t>
      </w:r>
      <w:r w:rsidR="004250F2" w:rsidRPr="00FC767B">
        <w:rPr>
          <w:rFonts w:eastAsia="Malgun Gothic"/>
          <w:iCs w:val="0"/>
          <w:snapToGrid w:val="0"/>
          <w:kern w:val="22"/>
          <w:szCs w:val="22"/>
          <w:lang w:val="fr-FR"/>
        </w:rPr>
        <w:t>le degré de</w:t>
      </w:r>
      <w:r w:rsidRPr="00FC767B">
        <w:rPr>
          <w:rFonts w:eastAsia="Malgun Gothic"/>
          <w:iCs w:val="0"/>
          <w:snapToGrid w:val="0"/>
          <w:kern w:val="22"/>
          <w:szCs w:val="22"/>
          <w:lang w:val="fr-FR"/>
        </w:rPr>
        <w:t xml:space="preserve"> coordination mondiale </w:t>
      </w:r>
      <w:r w:rsidR="004250F2" w:rsidRPr="00FC767B">
        <w:rPr>
          <w:rFonts w:eastAsia="Malgun Gothic"/>
          <w:iCs w:val="0"/>
          <w:snapToGrid w:val="0"/>
          <w:kern w:val="22"/>
          <w:szCs w:val="22"/>
          <w:lang w:val="fr-FR"/>
        </w:rPr>
        <w:t xml:space="preserve">et </w:t>
      </w:r>
      <w:r w:rsidRPr="00FC767B">
        <w:rPr>
          <w:rFonts w:eastAsia="Malgun Gothic"/>
          <w:iCs w:val="0"/>
          <w:snapToGrid w:val="0"/>
          <w:kern w:val="22"/>
          <w:szCs w:val="22"/>
          <w:lang w:val="fr-FR"/>
        </w:rPr>
        <w:t>locale</w:t>
      </w:r>
      <w:r w:rsidR="001025EB" w:rsidRPr="00FC767B">
        <w:rPr>
          <w:rFonts w:eastAsia="Malgun Gothic"/>
          <w:iCs w:val="0"/>
          <w:snapToGrid w:val="0"/>
          <w:kern w:val="22"/>
          <w:szCs w:val="22"/>
          <w:lang w:val="fr-FR"/>
        </w:rPr>
        <w:t>, comme l'illustrent les trois voi</w:t>
      </w:r>
      <w:r w:rsidR="00060C2A">
        <w:rPr>
          <w:rFonts w:eastAsia="Malgun Gothic"/>
          <w:iCs w:val="0"/>
          <w:snapToGrid w:val="0"/>
          <w:kern w:val="22"/>
          <w:szCs w:val="22"/>
          <w:lang w:val="fr-FR"/>
        </w:rPr>
        <w:t>es possibles recensées dans la quatrième édition des Perspectives mondiales de la diversité biologique</w:t>
      </w:r>
      <w:r w:rsidR="0003254E" w:rsidRPr="0003254E">
        <w:rPr>
          <w:rStyle w:val="FootnoteReference"/>
          <w:rFonts w:eastAsia="Malgun Gothic"/>
          <w:kern w:val="22"/>
          <w:sz w:val="22"/>
          <w:szCs w:val="22"/>
          <w:u w:val="none"/>
          <w:vertAlign w:val="superscript"/>
          <w14:cntxtAlts/>
        </w:rPr>
        <w:footnoteReference w:id="9"/>
      </w:r>
      <w:r w:rsidRPr="00FC767B">
        <w:rPr>
          <w:rFonts w:eastAsia="Malgun Gothic"/>
          <w:iCs w:val="0"/>
          <w:snapToGrid w:val="0"/>
          <w:kern w:val="22"/>
          <w:szCs w:val="22"/>
          <w:lang w:val="fr-FR"/>
        </w:rPr>
        <w:t>. D'autres exercices visant à définir une vision, à de multiples échelles et impliquant un engagement fort des parties prenantes, sont nécessaires pour mieux comprendre les options et promouvoir des actions</w:t>
      </w:r>
      <w:r w:rsidR="006548D5" w:rsidRPr="00FC767B">
        <w:rPr>
          <w:rFonts w:eastAsia="Malgun Gothic"/>
          <w:iCs w:val="0"/>
          <w:snapToGrid w:val="0"/>
          <w:kern w:val="22"/>
          <w:szCs w:val="22"/>
          <w:lang w:val="fr-FR"/>
        </w:rPr>
        <w:t>.</w:t>
      </w:r>
    </w:p>
    <w:p w14:paraId="3372D851" w14:textId="471CA3E4" w:rsidR="004B268C" w:rsidRPr="00FC767B" w:rsidRDefault="003F0B62" w:rsidP="00D960EF">
      <w:pPr>
        <w:pStyle w:val="BodyText"/>
        <w:numPr>
          <w:ilvl w:val="1"/>
          <w:numId w:val="24"/>
        </w:numPr>
        <w:suppressLineNumbers/>
        <w:tabs>
          <w:tab w:val="clear" w:pos="2160"/>
        </w:tabs>
        <w:suppressAutoHyphens/>
        <w:ind w:left="0" w:firstLine="0"/>
        <w:rPr>
          <w:snapToGrid w:val="0"/>
          <w:kern w:val="22"/>
          <w:lang w:val="fr-FR"/>
        </w:rPr>
      </w:pPr>
      <w:r w:rsidRPr="00FC767B">
        <w:rPr>
          <w:rFonts w:eastAsia="Malgun Gothic"/>
          <w:i/>
          <w:snapToGrid w:val="0"/>
          <w:kern w:val="22"/>
          <w:szCs w:val="22"/>
          <w:lang w:val="fr-FR"/>
        </w:rPr>
        <w:t>Les voies possibles en vue d'un avenir durable, bien que pertinentes, nécessitent des changements transformationnels</w:t>
      </w:r>
      <w:r w:rsidRPr="00FC767B">
        <w:rPr>
          <w:rFonts w:eastAsia="Malgun Gothic"/>
          <w:iCs w:val="0"/>
          <w:snapToGrid w:val="0"/>
          <w:kern w:val="22"/>
          <w:szCs w:val="22"/>
          <w:lang w:val="fr-FR"/>
        </w:rPr>
        <w:t>, y compris des changements comportementaux aux niveaux des producteurs et des consommateurs, des gouvernements et des entreprises. Des efforts supplémentaires devront être déployés pour comprendre les motivations et faciliter les changements. Des développements sociétaux et technologiques perturbateurs peuvent entraîner des transitions qui peuvent contribuer à, ou aller à l'encontre de, la durabilité</w:t>
      </w:r>
      <w:r w:rsidR="00193963" w:rsidRPr="00FC767B">
        <w:rPr>
          <w:rFonts w:eastAsia="Malgun Gothic"/>
          <w:iCs w:val="0"/>
          <w:snapToGrid w:val="0"/>
          <w:kern w:val="22"/>
          <w:szCs w:val="22"/>
          <w:lang w:val="fr-FR"/>
        </w:rPr>
        <w:t xml:space="preserve"> et de la réalisation des trois objectifs de la Convention</w:t>
      </w:r>
      <w:r w:rsidRPr="00FC767B">
        <w:rPr>
          <w:rFonts w:eastAsia="Malgun Gothic"/>
          <w:iCs w:val="0"/>
          <w:snapToGrid w:val="0"/>
          <w:kern w:val="22"/>
          <w:szCs w:val="22"/>
          <w:lang w:val="fr-FR"/>
        </w:rPr>
        <w:t xml:space="preserve">. Les gouvernements et les institutions internationales peuvent jouer un rôle essentiel dans l'établissement d'un environnement visant à favoriser des changements positifs. D'autres travaux sont nécessaires pour identifier les méthodes et moyens possibles qui permettraient à la Convention, et au </w:t>
      </w:r>
      <w:r w:rsidR="00F32AB4">
        <w:rPr>
          <w:rFonts w:eastAsia="Malgun Gothic"/>
          <w:iCs w:val="0"/>
          <w:snapToGrid w:val="0"/>
          <w:kern w:val="22"/>
          <w:szCs w:val="22"/>
          <w:lang w:val="fr-FR"/>
        </w:rPr>
        <w:t>Cadre mondial de la biodiversité</w:t>
      </w:r>
      <w:r w:rsidR="002A0630">
        <w:rPr>
          <w:rFonts w:eastAsia="Malgun Gothic"/>
          <w:iCs w:val="0"/>
          <w:snapToGrid w:val="0"/>
          <w:kern w:val="22"/>
          <w:szCs w:val="22"/>
          <w:lang w:val="fr-FR"/>
        </w:rPr>
        <w:t xml:space="preserve"> pour </w:t>
      </w:r>
      <w:r w:rsidRPr="00FC767B">
        <w:rPr>
          <w:rFonts w:eastAsia="Malgun Gothic"/>
          <w:iCs w:val="0"/>
          <w:snapToGrid w:val="0"/>
          <w:kern w:val="22"/>
          <w:szCs w:val="22"/>
          <w:lang w:val="fr-FR"/>
        </w:rPr>
        <w:t>l'</w:t>
      </w:r>
      <w:r w:rsidR="002A0630">
        <w:rPr>
          <w:rFonts w:eastAsia="Malgun Gothic"/>
          <w:iCs w:val="0"/>
          <w:snapToGrid w:val="0"/>
          <w:kern w:val="22"/>
          <w:szCs w:val="22"/>
          <w:lang w:val="fr-FR"/>
        </w:rPr>
        <w:t xml:space="preserve">après-2020 </w:t>
      </w:r>
      <w:r w:rsidRPr="00FC767B">
        <w:rPr>
          <w:rFonts w:eastAsia="Malgun Gothic"/>
          <w:iCs w:val="0"/>
          <w:snapToGrid w:val="0"/>
          <w:kern w:val="22"/>
          <w:szCs w:val="22"/>
          <w:lang w:val="fr-FR"/>
        </w:rPr>
        <w:t>d'appuyer ces changements</w:t>
      </w:r>
      <w:r w:rsidR="006548D5" w:rsidRPr="00FC767B">
        <w:rPr>
          <w:rFonts w:eastAsia="Malgun Gothic"/>
          <w:iCs w:val="0"/>
          <w:snapToGrid w:val="0"/>
          <w:kern w:val="22"/>
          <w:szCs w:val="22"/>
          <w:lang w:val="fr-FR"/>
        </w:rPr>
        <w:t>.</w:t>
      </w:r>
    </w:p>
    <w:p w14:paraId="57E16F45" w14:textId="6D4AFAE3" w:rsidR="004B268C" w:rsidRPr="00FC767B" w:rsidRDefault="003F0B62" w:rsidP="00D960EF">
      <w:pPr>
        <w:pStyle w:val="BodyText"/>
        <w:numPr>
          <w:ilvl w:val="1"/>
          <w:numId w:val="24"/>
        </w:numPr>
        <w:suppressLineNumbers/>
        <w:tabs>
          <w:tab w:val="clear" w:pos="2160"/>
        </w:tabs>
        <w:suppressAutoHyphens/>
        <w:ind w:left="0" w:firstLine="0"/>
        <w:rPr>
          <w:rFonts w:eastAsia="Malgun Gothic"/>
          <w:snapToGrid w:val="0"/>
          <w:kern w:val="22"/>
          <w:lang w:val="fr-FR"/>
        </w:rPr>
      </w:pPr>
      <w:r w:rsidRPr="00FC767B">
        <w:rPr>
          <w:rFonts w:eastAsia="Malgun Gothic"/>
          <w:i/>
          <w:snapToGrid w:val="0"/>
          <w:kern w:val="22"/>
          <w:szCs w:val="22"/>
          <w:lang w:val="fr-FR"/>
        </w:rPr>
        <w:t xml:space="preserve">Une approche cohérente </w:t>
      </w:r>
      <w:r w:rsidR="006548D5" w:rsidRPr="00FC767B">
        <w:rPr>
          <w:rFonts w:eastAsia="Malgun Gothic"/>
          <w:i/>
          <w:snapToGrid w:val="0"/>
          <w:kern w:val="22"/>
          <w:szCs w:val="22"/>
          <w:lang w:val="fr-FR"/>
        </w:rPr>
        <w:t xml:space="preserve">de </w:t>
      </w:r>
      <w:r w:rsidRPr="00FC767B">
        <w:rPr>
          <w:rFonts w:eastAsia="Malgun Gothic"/>
          <w:i/>
          <w:snapToGrid w:val="0"/>
          <w:kern w:val="22"/>
          <w:szCs w:val="22"/>
          <w:lang w:val="fr-FR"/>
        </w:rPr>
        <w:t xml:space="preserve">la biodiversité et </w:t>
      </w:r>
      <w:r w:rsidR="006548D5" w:rsidRPr="00FC767B">
        <w:rPr>
          <w:rFonts w:eastAsia="Malgun Gothic"/>
          <w:i/>
          <w:snapToGrid w:val="0"/>
          <w:kern w:val="22"/>
          <w:szCs w:val="22"/>
          <w:lang w:val="fr-FR"/>
        </w:rPr>
        <w:t>d</w:t>
      </w:r>
      <w:r w:rsidRPr="00FC767B">
        <w:rPr>
          <w:rFonts w:eastAsia="Malgun Gothic"/>
          <w:i/>
          <w:snapToGrid w:val="0"/>
          <w:kern w:val="22"/>
          <w:szCs w:val="22"/>
          <w:lang w:val="fr-FR"/>
        </w:rPr>
        <w:t>es changements climatiques est nécessaire</w:t>
      </w:r>
      <w:r w:rsidRPr="00FC767B">
        <w:rPr>
          <w:rFonts w:eastAsia="Malgun Gothic"/>
          <w:iCs w:val="0"/>
          <w:snapToGrid w:val="0"/>
          <w:kern w:val="22"/>
          <w:szCs w:val="22"/>
          <w:lang w:val="fr-FR"/>
        </w:rPr>
        <w:t xml:space="preserve"> pour </w:t>
      </w:r>
      <w:r w:rsidR="006548D5" w:rsidRPr="00FC767B">
        <w:rPr>
          <w:rFonts w:eastAsia="Malgun Gothic"/>
          <w:iCs w:val="0"/>
          <w:snapToGrid w:val="0"/>
          <w:kern w:val="22"/>
          <w:szCs w:val="22"/>
          <w:lang w:val="fr-FR"/>
        </w:rPr>
        <w:t xml:space="preserve">faire en sorte de réduire les effets des </w:t>
      </w:r>
      <w:r w:rsidRPr="00FC767B">
        <w:rPr>
          <w:rFonts w:eastAsia="Malgun Gothic"/>
          <w:iCs w:val="0"/>
          <w:snapToGrid w:val="0"/>
          <w:kern w:val="22"/>
          <w:szCs w:val="22"/>
          <w:lang w:val="fr-FR"/>
        </w:rPr>
        <w:t>changements climatiques</w:t>
      </w:r>
      <w:r w:rsidR="006548D5" w:rsidRPr="00FC767B">
        <w:rPr>
          <w:rFonts w:eastAsia="Malgun Gothic"/>
          <w:iCs w:val="0"/>
          <w:snapToGrid w:val="0"/>
          <w:kern w:val="22"/>
          <w:szCs w:val="22"/>
          <w:lang w:val="fr-FR"/>
        </w:rPr>
        <w:t xml:space="preserve"> sur la biodiversité</w:t>
      </w:r>
      <w:r w:rsidRPr="00FC767B">
        <w:rPr>
          <w:rFonts w:eastAsia="Malgun Gothic"/>
          <w:iCs w:val="0"/>
          <w:snapToGrid w:val="0"/>
          <w:kern w:val="22"/>
          <w:szCs w:val="22"/>
          <w:lang w:val="fr-FR"/>
        </w:rPr>
        <w:t xml:space="preserve">, veiller à ce que la biodiversité et les écosystèmes puissent </w:t>
      </w:r>
      <w:r w:rsidR="0046668D" w:rsidRPr="00FC767B">
        <w:rPr>
          <w:rFonts w:eastAsia="Malgun Gothic"/>
          <w:iCs w:val="0"/>
          <w:snapToGrid w:val="0"/>
          <w:kern w:val="22"/>
          <w:szCs w:val="22"/>
          <w:lang w:val="fr-FR"/>
        </w:rPr>
        <w:t>apporter des solutions contribuant</w:t>
      </w:r>
      <w:r w:rsidRPr="00FC767B">
        <w:rPr>
          <w:rFonts w:eastAsia="Malgun Gothic"/>
          <w:iCs w:val="0"/>
          <w:snapToGrid w:val="0"/>
          <w:kern w:val="22"/>
          <w:szCs w:val="22"/>
          <w:lang w:val="fr-FR"/>
        </w:rPr>
        <w:t xml:space="preserve"> à l'adaptation aux changements climatiques</w:t>
      </w:r>
      <w:r w:rsidR="002A0630">
        <w:rPr>
          <w:rFonts w:eastAsia="Malgun Gothic"/>
          <w:iCs w:val="0"/>
          <w:snapToGrid w:val="0"/>
          <w:kern w:val="22"/>
          <w:szCs w:val="22"/>
          <w:lang w:val="fr-FR"/>
        </w:rPr>
        <w:t xml:space="preserve"> et à l'atténuation de leurs effets</w:t>
      </w:r>
      <w:r w:rsidRPr="00FC767B">
        <w:rPr>
          <w:rFonts w:eastAsia="Malgun Gothic"/>
          <w:iCs w:val="0"/>
          <w:snapToGrid w:val="0"/>
          <w:kern w:val="22"/>
          <w:szCs w:val="22"/>
          <w:lang w:val="fr-FR"/>
        </w:rPr>
        <w:t>, et veiller à ce que les mesures</w:t>
      </w:r>
      <w:r w:rsidR="003B26C3" w:rsidRPr="00FC767B">
        <w:rPr>
          <w:rFonts w:eastAsia="Malgun Gothic"/>
          <w:iCs w:val="0"/>
          <w:snapToGrid w:val="0"/>
          <w:kern w:val="22"/>
          <w:szCs w:val="22"/>
          <w:lang w:val="fr-FR"/>
        </w:rPr>
        <w:t xml:space="preserve"> d'adaptation et </w:t>
      </w:r>
      <w:r w:rsidRPr="00FC767B">
        <w:rPr>
          <w:rFonts w:eastAsia="Malgun Gothic"/>
          <w:iCs w:val="0"/>
          <w:snapToGrid w:val="0"/>
          <w:kern w:val="22"/>
          <w:szCs w:val="22"/>
          <w:lang w:val="fr-FR"/>
        </w:rPr>
        <w:t xml:space="preserve"> d'atténuation des changements climatiques n'aient pas de répercussions négative</w:t>
      </w:r>
      <w:r w:rsidR="002A0630">
        <w:rPr>
          <w:rFonts w:eastAsia="Malgun Gothic"/>
          <w:iCs w:val="0"/>
          <w:snapToGrid w:val="0"/>
          <w:kern w:val="22"/>
          <w:szCs w:val="22"/>
          <w:lang w:val="fr-FR"/>
        </w:rPr>
        <w:t>s sur la biodiversité du fait de</w:t>
      </w:r>
      <w:r w:rsidRPr="00FC767B">
        <w:rPr>
          <w:rFonts w:eastAsia="Malgun Gothic"/>
          <w:iCs w:val="0"/>
          <w:snapToGrid w:val="0"/>
          <w:kern w:val="22"/>
          <w:szCs w:val="22"/>
          <w:lang w:val="fr-FR"/>
        </w:rPr>
        <w:t xml:space="preserve"> cha</w:t>
      </w:r>
      <w:r w:rsidR="002A0630">
        <w:rPr>
          <w:rFonts w:eastAsia="Malgun Gothic"/>
          <w:iCs w:val="0"/>
          <w:snapToGrid w:val="0"/>
          <w:kern w:val="22"/>
          <w:szCs w:val="22"/>
          <w:lang w:val="fr-FR"/>
        </w:rPr>
        <w:t>ngements dans la gestion des terres</w:t>
      </w:r>
      <w:r w:rsidR="00060C2A">
        <w:rPr>
          <w:rFonts w:eastAsia="Malgun Gothic"/>
          <w:iCs w:val="0"/>
          <w:snapToGrid w:val="0"/>
          <w:kern w:val="22"/>
          <w:szCs w:val="22"/>
          <w:lang w:val="fr-FR"/>
        </w:rPr>
        <w:t>.</w:t>
      </w:r>
    </w:p>
    <w:p w14:paraId="7E768DB8" w14:textId="7BF0156B" w:rsidR="004B268C" w:rsidRPr="00FC767B" w:rsidRDefault="003F0B62" w:rsidP="00D960EF">
      <w:pPr>
        <w:pStyle w:val="BodyText"/>
        <w:numPr>
          <w:ilvl w:val="1"/>
          <w:numId w:val="24"/>
        </w:numPr>
        <w:suppressLineNumbers/>
        <w:tabs>
          <w:tab w:val="clear" w:pos="2160"/>
        </w:tabs>
        <w:suppressAutoHyphens/>
        <w:ind w:left="0" w:firstLine="0"/>
        <w:rPr>
          <w:snapToGrid w:val="0"/>
          <w:kern w:val="22"/>
          <w:lang w:val="fr-FR"/>
        </w:rPr>
      </w:pPr>
      <w:r w:rsidRPr="00FC767B">
        <w:rPr>
          <w:rFonts w:eastAsia="Malgun Gothic"/>
          <w:i/>
          <w:snapToGrid w:val="0"/>
          <w:kern w:val="22"/>
          <w:szCs w:val="22"/>
          <w:lang w:val="fr-FR"/>
        </w:rPr>
        <w:t xml:space="preserve">La </w:t>
      </w:r>
      <w:r w:rsidR="00725EC9">
        <w:rPr>
          <w:rFonts w:eastAsia="Malgun Gothic"/>
          <w:i/>
          <w:snapToGrid w:val="0"/>
          <w:kern w:val="22"/>
          <w:szCs w:val="22"/>
          <w:lang w:val="fr-FR"/>
        </w:rPr>
        <w:t>V</w:t>
      </w:r>
      <w:r w:rsidR="006F6B94">
        <w:rPr>
          <w:rFonts w:eastAsia="Malgun Gothic"/>
          <w:i/>
          <w:snapToGrid w:val="0"/>
          <w:kern w:val="22"/>
          <w:szCs w:val="22"/>
          <w:lang w:val="fr-FR"/>
        </w:rPr>
        <w:t>ision 2050</w:t>
      </w:r>
      <w:r w:rsidRPr="00FC767B">
        <w:rPr>
          <w:rFonts w:eastAsia="Malgun Gothic"/>
          <w:i/>
          <w:snapToGrid w:val="0"/>
          <w:kern w:val="22"/>
          <w:szCs w:val="22"/>
          <w:lang w:val="fr-FR"/>
        </w:rPr>
        <w:t xml:space="preserve"> est conforme au Programme de développement durable à l'horizon 2030 et aux autres objectifs internationaux.</w:t>
      </w:r>
      <w:r w:rsidRPr="00FC767B">
        <w:rPr>
          <w:rFonts w:eastAsia="Malgun Gothic"/>
          <w:iCs w:val="0"/>
          <w:snapToGrid w:val="0"/>
          <w:kern w:val="22"/>
          <w:szCs w:val="22"/>
          <w:lang w:val="fr-FR"/>
        </w:rPr>
        <w:t xml:space="preserve"> Les progrès accomplis dans la réalisation du Programme de développement durable à l'horizon 2030 permettraient de traiter de nombreux facteurs d'appauvrissement de la biodiversité et de soutenir les objectifs en matière de biodiversité par la création d'un environnement favorable. La nature </w:t>
      </w:r>
      <w:r w:rsidR="00757C4D" w:rsidRPr="00FC767B">
        <w:rPr>
          <w:rFonts w:eastAsia="Malgun Gothic"/>
          <w:iCs w:val="0"/>
          <w:snapToGrid w:val="0"/>
          <w:kern w:val="22"/>
          <w:szCs w:val="22"/>
          <w:lang w:val="fr-FR"/>
        </w:rPr>
        <w:t xml:space="preserve">intégrée et </w:t>
      </w:r>
      <w:r w:rsidRPr="00FC767B">
        <w:rPr>
          <w:rFonts w:eastAsia="Malgun Gothic"/>
          <w:iCs w:val="0"/>
          <w:snapToGrid w:val="0"/>
          <w:kern w:val="22"/>
          <w:szCs w:val="22"/>
          <w:lang w:val="fr-FR"/>
        </w:rPr>
        <w:t>indivisible du programme sous-entend que la réalisation de l'ensemble des objectifs est nécessaire et qu</w:t>
      </w:r>
      <w:r w:rsidR="00193963" w:rsidRPr="00FC767B">
        <w:rPr>
          <w:rFonts w:eastAsia="Malgun Gothic"/>
          <w:iCs w:val="0"/>
          <w:snapToGrid w:val="0"/>
          <w:kern w:val="22"/>
          <w:szCs w:val="22"/>
          <w:lang w:val="fr-FR"/>
        </w:rPr>
        <w:t xml:space="preserve">e des scénarios et modèles peuvent éclairer </w:t>
      </w:r>
      <w:r w:rsidRPr="00FC767B">
        <w:rPr>
          <w:rFonts w:eastAsia="Malgun Gothic"/>
          <w:iCs w:val="0"/>
          <w:snapToGrid w:val="0"/>
          <w:kern w:val="22"/>
          <w:szCs w:val="22"/>
          <w:lang w:val="fr-FR"/>
        </w:rPr>
        <w:t xml:space="preserve">le choix des </w:t>
      </w:r>
      <w:r w:rsidR="00757C4D" w:rsidRPr="00FC767B">
        <w:rPr>
          <w:rFonts w:eastAsia="Malgun Gothic"/>
          <w:iCs w:val="0"/>
          <w:snapToGrid w:val="0"/>
          <w:kern w:val="22"/>
          <w:szCs w:val="22"/>
          <w:lang w:val="fr-FR"/>
        </w:rPr>
        <w:t xml:space="preserve">politiques et </w:t>
      </w:r>
      <w:r w:rsidR="00193963" w:rsidRPr="00FC767B">
        <w:rPr>
          <w:rFonts w:eastAsia="Malgun Gothic"/>
          <w:iCs w:val="0"/>
          <w:snapToGrid w:val="0"/>
          <w:kern w:val="22"/>
          <w:szCs w:val="22"/>
          <w:lang w:val="fr-FR"/>
        </w:rPr>
        <w:t xml:space="preserve">des </w:t>
      </w:r>
      <w:r w:rsidR="00757C4D" w:rsidRPr="00FC767B">
        <w:rPr>
          <w:rFonts w:eastAsia="Malgun Gothic"/>
          <w:iCs w:val="0"/>
          <w:snapToGrid w:val="0"/>
          <w:kern w:val="22"/>
          <w:szCs w:val="22"/>
          <w:lang w:val="fr-FR"/>
        </w:rPr>
        <w:t>mesures</w:t>
      </w:r>
      <w:r w:rsidR="00193963" w:rsidRPr="00FC767B">
        <w:rPr>
          <w:rFonts w:eastAsia="Malgun Gothic"/>
          <w:iCs w:val="0"/>
          <w:snapToGrid w:val="0"/>
          <w:kern w:val="22"/>
          <w:szCs w:val="22"/>
          <w:lang w:val="fr-FR"/>
        </w:rPr>
        <w:t>, ainsi que leurs limites,</w:t>
      </w:r>
      <w:r w:rsidRPr="00FC767B">
        <w:rPr>
          <w:rFonts w:eastAsia="Malgun Gothic"/>
          <w:iCs w:val="0"/>
          <w:snapToGrid w:val="0"/>
          <w:kern w:val="22"/>
          <w:szCs w:val="22"/>
          <w:lang w:val="fr-FR"/>
        </w:rPr>
        <w:t xml:space="preserve"> soulignant la nécessité de disposer de politiques cohérentes</w:t>
      </w:r>
      <w:r w:rsidR="006548D5" w:rsidRPr="00FC767B">
        <w:rPr>
          <w:rFonts w:eastAsia="Malgun Gothic"/>
          <w:iCs w:val="0"/>
          <w:snapToGrid w:val="0"/>
          <w:kern w:val="22"/>
          <w:szCs w:val="22"/>
          <w:lang w:val="fr-FR"/>
        </w:rPr>
        <w:t>.</w:t>
      </w:r>
      <w:r w:rsidRPr="00FC767B">
        <w:rPr>
          <w:rFonts w:eastAsia="Malgun Gothic"/>
          <w:iCs w:val="0"/>
          <w:snapToGrid w:val="0"/>
          <w:kern w:val="22"/>
          <w:szCs w:val="22"/>
          <w:lang w:val="fr-FR"/>
        </w:rPr>
        <w:t> </w:t>
      </w:r>
    </w:p>
    <w:p w14:paraId="2527BC03" w14:textId="0ACB9623" w:rsidR="00DB2327" w:rsidRPr="00FC767B" w:rsidRDefault="003F0B62" w:rsidP="00D960EF">
      <w:pPr>
        <w:pStyle w:val="BodyText"/>
        <w:numPr>
          <w:ilvl w:val="1"/>
          <w:numId w:val="24"/>
        </w:numPr>
        <w:suppressLineNumbers/>
        <w:tabs>
          <w:tab w:val="clear" w:pos="2160"/>
        </w:tabs>
        <w:suppressAutoHyphens/>
        <w:ind w:left="0" w:firstLine="0"/>
        <w:rPr>
          <w:snapToGrid w:val="0"/>
          <w:kern w:val="22"/>
          <w:szCs w:val="22"/>
          <w:lang w:val="fr-FR"/>
        </w:rPr>
      </w:pPr>
      <w:r w:rsidRPr="00FC767B">
        <w:rPr>
          <w:rFonts w:eastAsia="Malgun Gothic"/>
          <w:i/>
          <w:snapToGrid w:val="0"/>
          <w:kern w:val="22"/>
          <w:szCs w:val="22"/>
          <w:lang w:val="fr-FR"/>
        </w:rPr>
        <w:t xml:space="preserve">Des scénarios et modèles peuvent faciliter l'élaboration et la mise en œuvre du </w:t>
      </w:r>
      <w:r w:rsidR="00F32AB4">
        <w:rPr>
          <w:rFonts w:eastAsia="Malgun Gothic"/>
          <w:i/>
          <w:snapToGrid w:val="0"/>
          <w:kern w:val="22"/>
          <w:szCs w:val="22"/>
          <w:lang w:val="fr-FR"/>
        </w:rPr>
        <w:t>Cadre mondial de la biodiversité</w:t>
      </w:r>
      <w:r w:rsidR="002A0630" w:rsidRPr="00FC767B">
        <w:rPr>
          <w:rFonts w:eastAsia="Malgun Gothic"/>
          <w:i/>
          <w:snapToGrid w:val="0"/>
          <w:kern w:val="22"/>
          <w:szCs w:val="22"/>
          <w:lang w:val="fr-FR"/>
        </w:rPr>
        <w:t xml:space="preserve"> </w:t>
      </w:r>
      <w:r w:rsidR="002A0630">
        <w:rPr>
          <w:rFonts w:eastAsia="Malgun Gothic"/>
          <w:i/>
          <w:snapToGrid w:val="0"/>
          <w:kern w:val="22"/>
          <w:szCs w:val="22"/>
          <w:lang w:val="fr-FR"/>
        </w:rPr>
        <w:t xml:space="preserve">pour </w:t>
      </w:r>
      <w:r w:rsidRPr="00FC767B">
        <w:rPr>
          <w:rFonts w:eastAsia="Malgun Gothic"/>
          <w:i/>
          <w:snapToGrid w:val="0"/>
          <w:kern w:val="22"/>
          <w:szCs w:val="22"/>
          <w:lang w:val="fr-FR"/>
        </w:rPr>
        <w:t xml:space="preserve">l'après-2020. </w:t>
      </w:r>
      <w:r w:rsidRPr="00FC767B">
        <w:rPr>
          <w:rFonts w:eastAsia="Malgun Gothic"/>
          <w:iCs w:val="0"/>
          <w:snapToGrid w:val="0"/>
          <w:kern w:val="22"/>
          <w:szCs w:val="22"/>
          <w:lang w:val="fr-FR"/>
        </w:rPr>
        <w:t xml:space="preserve">L'élaboration de l'actuel Plan stratégique pour la diversité biologique </w:t>
      </w:r>
      <w:r w:rsidR="005A103F" w:rsidRPr="00FC767B">
        <w:rPr>
          <w:rFonts w:eastAsia="Malgun Gothic"/>
          <w:iCs w:val="0"/>
          <w:snapToGrid w:val="0"/>
          <w:kern w:val="22"/>
          <w:szCs w:val="22"/>
          <w:lang w:val="fr-FR"/>
        </w:rPr>
        <w:lastRenderedPageBreak/>
        <w:t>2011-2020</w:t>
      </w:r>
      <w:r w:rsidR="005A103F">
        <w:rPr>
          <w:rFonts w:eastAsia="Malgun Gothic"/>
          <w:iCs w:val="0"/>
          <w:snapToGrid w:val="0"/>
          <w:kern w:val="22"/>
          <w:szCs w:val="22"/>
          <w:lang w:val="fr-FR"/>
        </w:rPr>
        <w:t xml:space="preserve"> </w:t>
      </w:r>
      <w:r w:rsidRPr="00FC767B">
        <w:rPr>
          <w:rFonts w:eastAsia="Malgun Gothic"/>
          <w:iCs w:val="0"/>
          <w:snapToGrid w:val="0"/>
          <w:kern w:val="22"/>
          <w:szCs w:val="22"/>
          <w:lang w:val="fr-FR"/>
        </w:rPr>
        <w:t xml:space="preserve">reposait sur des scénarios de biodiversité, dont ceux élaborés pour la troisième édition des </w:t>
      </w:r>
      <w:r w:rsidRPr="00FC767B">
        <w:rPr>
          <w:rFonts w:eastAsia="Malgun Gothic"/>
          <w:i/>
          <w:snapToGrid w:val="0"/>
          <w:kern w:val="22"/>
          <w:szCs w:val="22"/>
          <w:lang w:val="fr-FR"/>
        </w:rPr>
        <w:t>Perspectives mondiales de la diversité biologique</w:t>
      </w:r>
      <w:r w:rsidRPr="00FC767B">
        <w:rPr>
          <w:rFonts w:eastAsia="Malgun Gothic"/>
          <w:iCs w:val="0"/>
          <w:snapToGrid w:val="0"/>
          <w:kern w:val="22"/>
          <w:szCs w:val="22"/>
          <w:lang w:val="fr-FR"/>
        </w:rPr>
        <w:t xml:space="preserve">. Des scénarios développés aux échelles appropriées peuvent </w:t>
      </w:r>
      <w:r w:rsidR="00DB2327" w:rsidRPr="00FC767B">
        <w:rPr>
          <w:rFonts w:eastAsia="Malgun Gothic"/>
          <w:iCs w:val="0"/>
          <w:snapToGrid w:val="0"/>
          <w:kern w:val="22"/>
          <w:szCs w:val="22"/>
          <w:lang w:val="fr-FR"/>
        </w:rPr>
        <w:t xml:space="preserve">aussi </w:t>
      </w:r>
      <w:r w:rsidRPr="00FC767B">
        <w:rPr>
          <w:rFonts w:eastAsia="Malgun Gothic"/>
          <w:iCs w:val="0"/>
          <w:snapToGrid w:val="0"/>
          <w:kern w:val="22"/>
          <w:szCs w:val="22"/>
          <w:lang w:val="fr-FR"/>
        </w:rPr>
        <w:t>éclairer l'élaboration de politiques et la mise en œuvre au niveau national.</w:t>
      </w:r>
      <w:r w:rsidR="00AF0026" w:rsidRPr="00FC767B" w:rsidDel="00AF0026">
        <w:rPr>
          <w:snapToGrid w:val="0"/>
          <w:kern w:val="22"/>
          <w:szCs w:val="22"/>
          <w:lang w:val="fr-FR"/>
        </w:rPr>
        <w:t xml:space="preserve"> </w:t>
      </w:r>
    </w:p>
    <w:p w14:paraId="006495C9" w14:textId="040D6410" w:rsidR="00DB2327" w:rsidRPr="00FC767B" w:rsidRDefault="00DB2327" w:rsidP="00D960EF">
      <w:pPr>
        <w:pStyle w:val="BodyText"/>
        <w:numPr>
          <w:ilvl w:val="1"/>
          <w:numId w:val="24"/>
        </w:numPr>
        <w:suppressLineNumbers/>
        <w:tabs>
          <w:tab w:val="clear" w:pos="2160"/>
        </w:tabs>
        <w:suppressAutoHyphens/>
        <w:ind w:left="0" w:firstLine="0"/>
        <w:rPr>
          <w:snapToGrid w:val="0"/>
          <w:kern w:val="22"/>
          <w:szCs w:val="22"/>
          <w:lang w:val="fr-FR"/>
        </w:rPr>
      </w:pPr>
      <w:r w:rsidRPr="00FC767B">
        <w:rPr>
          <w:i/>
          <w:snapToGrid w:val="0"/>
          <w:kern w:val="22"/>
          <w:szCs w:val="22"/>
          <w:lang w:val="fr-FR"/>
        </w:rPr>
        <w:t>Des analyses de scénarios adaptées aux contextes régiona</w:t>
      </w:r>
      <w:r w:rsidR="00DE6F83" w:rsidRPr="00FC767B">
        <w:rPr>
          <w:i/>
          <w:snapToGrid w:val="0"/>
          <w:kern w:val="22"/>
          <w:szCs w:val="22"/>
          <w:lang w:val="fr-FR"/>
        </w:rPr>
        <w:t>l</w:t>
      </w:r>
      <w:r w:rsidRPr="00FC767B">
        <w:rPr>
          <w:i/>
          <w:snapToGrid w:val="0"/>
          <w:kern w:val="22"/>
          <w:szCs w:val="22"/>
          <w:lang w:val="fr-FR"/>
        </w:rPr>
        <w:t>, nationa</w:t>
      </w:r>
      <w:r w:rsidR="00DE6F83" w:rsidRPr="00FC767B">
        <w:rPr>
          <w:i/>
          <w:snapToGrid w:val="0"/>
          <w:kern w:val="22"/>
          <w:szCs w:val="22"/>
          <w:lang w:val="fr-FR"/>
        </w:rPr>
        <w:t>l</w:t>
      </w:r>
      <w:r w:rsidRPr="00FC767B">
        <w:rPr>
          <w:i/>
          <w:snapToGrid w:val="0"/>
          <w:kern w:val="22"/>
          <w:szCs w:val="22"/>
          <w:lang w:val="fr-FR"/>
        </w:rPr>
        <w:t xml:space="preserve"> </w:t>
      </w:r>
      <w:r w:rsidR="00DE6F83" w:rsidRPr="00FC767B">
        <w:rPr>
          <w:i/>
          <w:snapToGrid w:val="0"/>
          <w:kern w:val="22"/>
          <w:szCs w:val="22"/>
          <w:lang w:val="fr-FR"/>
        </w:rPr>
        <w:t>ou</w:t>
      </w:r>
      <w:r w:rsidRPr="00FC767B">
        <w:rPr>
          <w:i/>
          <w:snapToGrid w:val="0"/>
          <w:kern w:val="22"/>
          <w:szCs w:val="22"/>
          <w:lang w:val="fr-FR"/>
        </w:rPr>
        <w:t xml:space="preserve"> loca</w:t>
      </w:r>
      <w:r w:rsidR="00DE6F83" w:rsidRPr="00FC767B">
        <w:rPr>
          <w:i/>
          <w:snapToGrid w:val="0"/>
          <w:kern w:val="22"/>
          <w:szCs w:val="22"/>
          <w:lang w:val="fr-FR"/>
        </w:rPr>
        <w:t>l</w:t>
      </w:r>
      <w:r w:rsidRPr="00FC767B">
        <w:rPr>
          <w:i/>
          <w:snapToGrid w:val="0"/>
          <w:kern w:val="22"/>
          <w:szCs w:val="22"/>
          <w:lang w:val="fr-FR"/>
        </w:rPr>
        <w:t xml:space="preserve"> fournissent des informations permettant d’éclairer la planification stratégique en matière de conservation et d’utilisation durable de la </w:t>
      </w:r>
      <w:r w:rsidRPr="00FC767B">
        <w:rPr>
          <w:i/>
          <w:snapToGrid w:val="0"/>
          <w:kern w:val="22"/>
          <w:szCs w:val="22"/>
          <w:lang w:val="fr-FR" w:bidi="fr-FR"/>
        </w:rPr>
        <w:t>diversité biologique</w:t>
      </w:r>
      <w:r w:rsidRPr="00FC767B">
        <w:rPr>
          <w:snapToGrid w:val="0"/>
          <w:kern w:val="22"/>
          <w:szCs w:val="22"/>
          <w:lang w:val="fr-FR"/>
        </w:rPr>
        <w:t xml:space="preserve">.  Elles peuvent ainsi appuyer </w:t>
      </w:r>
      <w:r w:rsidRPr="00FC767B">
        <w:rPr>
          <w:rFonts w:eastAsia="Malgun Gothic"/>
          <w:snapToGrid w:val="0"/>
          <w:kern w:val="22"/>
          <w:szCs w:val="22"/>
          <w:lang w:val="fr-FR"/>
        </w:rPr>
        <w:t>directement</w:t>
      </w:r>
      <w:r w:rsidRPr="00FC767B">
        <w:rPr>
          <w:snapToGrid w:val="0"/>
          <w:kern w:val="22"/>
          <w:szCs w:val="22"/>
          <w:lang w:val="fr-FR"/>
        </w:rPr>
        <w:t xml:space="preserve"> l’élaboration des stratégies et plans d'action nationaux pour la diversité biologique. En outre, il est utile de prévoir des approches participatives </w:t>
      </w:r>
      <w:r w:rsidR="006C211D" w:rsidRPr="00FC767B">
        <w:rPr>
          <w:snapToGrid w:val="0"/>
          <w:kern w:val="22"/>
          <w:szCs w:val="22"/>
          <w:lang w:val="fr-FR"/>
        </w:rPr>
        <w:t>dans</w:t>
      </w:r>
      <w:r w:rsidRPr="00FC767B">
        <w:rPr>
          <w:snapToGrid w:val="0"/>
          <w:kern w:val="22"/>
          <w:szCs w:val="22"/>
          <w:lang w:val="fr-FR"/>
        </w:rPr>
        <w:t xml:space="preserve"> l’analyse des scénarios afin de renforcer les capacités </w:t>
      </w:r>
      <w:r w:rsidR="006C211D" w:rsidRPr="00FC767B">
        <w:rPr>
          <w:snapToGrid w:val="0"/>
          <w:kern w:val="22"/>
          <w:szCs w:val="22"/>
          <w:lang w:val="fr-FR"/>
        </w:rPr>
        <w:t xml:space="preserve">nécessaires à la </w:t>
      </w:r>
      <w:r w:rsidRPr="00FC767B">
        <w:rPr>
          <w:snapToGrid w:val="0"/>
          <w:kern w:val="22"/>
          <w:szCs w:val="22"/>
          <w:lang w:val="fr-FR"/>
        </w:rPr>
        <w:t xml:space="preserve">prise de décisions axées sur la </w:t>
      </w:r>
      <w:r w:rsidR="00C6618F" w:rsidRPr="00FC767B">
        <w:rPr>
          <w:snapToGrid w:val="0"/>
          <w:kern w:val="22"/>
          <w:szCs w:val="22"/>
          <w:lang w:val="fr-FR"/>
        </w:rPr>
        <w:t>conservation et l'utilisation durable</w:t>
      </w:r>
      <w:r w:rsidRPr="00FC767B">
        <w:rPr>
          <w:snapToGrid w:val="0"/>
          <w:kern w:val="22"/>
          <w:szCs w:val="22"/>
          <w:lang w:val="fr-FR"/>
        </w:rPr>
        <w:t xml:space="preserve"> de la </w:t>
      </w:r>
      <w:r w:rsidRPr="00FC767B">
        <w:rPr>
          <w:snapToGrid w:val="0"/>
          <w:kern w:val="22"/>
          <w:szCs w:val="22"/>
          <w:lang w:val="fr-FR" w:bidi="fr-FR"/>
        </w:rPr>
        <w:t>diversité biologique</w:t>
      </w:r>
      <w:r w:rsidRPr="00FC767B">
        <w:rPr>
          <w:snapToGrid w:val="0"/>
          <w:kern w:val="22"/>
          <w:szCs w:val="22"/>
          <w:lang w:val="fr-FR"/>
        </w:rPr>
        <w:t xml:space="preserve">. </w:t>
      </w:r>
      <w:r w:rsidR="00DE6F83" w:rsidRPr="00FC767B">
        <w:rPr>
          <w:snapToGrid w:val="0"/>
          <w:kern w:val="22"/>
          <w:szCs w:val="22"/>
          <w:lang w:val="fr-FR"/>
        </w:rPr>
        <w:t xml:space="preserve">Cela </w:t>
      </w:r>
      <w:r w:rsidR="006C211D" w:rsidRPr="00FC767B">
        <w:rPr>
          <w:snapToGrid w:val="0"/>
          <w:kern w:val="22"/>
          <w:szCs w:val="22"/>
          <w:lang w:val="fr-FR"/>
        </w:rPr>
        <w:t xml:space="preserve">permet </w:t>
      </w:r>
      <w:r w:rsidRPr="00FC767B">
        <w:rPr>
          <w:snapToGrid w:val="0"/>
          <w:kern w:val="22"/>
          <w:szCs w:val="22"/>
          <w:lang w:val="fr-FR"/>
        </w:rPr>
        <w:t xml:space="preserve">aux parties prenantes de reconnaître les liens entre la </w:t>
      </w:r>
      <w:r w:rsidRPr="00FC767B">
        <w:rPr>
          <w:snapToGrid w:val="0"/>
          <w:kern w:val="22"/>
          <w:szCs w:val="22"/>
          <w:lang w:val="fr-FR" w:bidi="fr-FR"/>
        </w:rPr>
        <w:t>diversité biologique</w:t>
      </w:r>
      <w:r w:rsidRPr="00FC767B">
        <w:rPr>
          <w:snapToGrid w:val="0"/>
          <w:kern w:val="22"/>
          <w:szCs w:val="22"/>
          <w:lang w:val="fr-FR"/>
        </w:rPr>
        <w:t xml:space="preserve"> et d’autres secteurs</w:t>
      </w:r>
      <w:r w:rsidR="006C211D" w:rsidRPr="00FC767B">
        <w:rPr>
          <w:snapToGrid w:val="0"/>
          <w:kern w:val="22"/>
          <w:szCs w:val="22"/>
          <w:lang w:val="fr-FR"/>
        </w:rPr>
        <w:t xml:space="preserve"> et montre </w:t>
      </w:r>
      <w:r w:rsidR="0063100E" w:rsidRPr="00FC767B">
        <w:rPr>
          <w:snapToGrid w:val="0"/>
          <w:kern w:val="22"/>
          <w:szCs w:val="22"/>
          <w:lang w:val="fr-FR"/>
        </w:rPr>
        <w:t>en quoi</w:t>
      </w:r>
      <w:r w:rsidRPr="00FC767B">
        <w:rPr>
          <w:snapToGrid w:val="0"/>
          <w:kern w:val="22"/>
          <w:szCs w:val="22"/>
          <w:lang w:val="fr-FR"/>
        </w:rPr>
        <w:t xml:space="preserve"> </w:t>
      </w:r>
      <w:r w:rsidR="006C211D" w:rsidRPr="00FC767B">
        <w:rPr>
          <w:snapToGrid w:val="0"/>
          <w:kern w:val="22"/>
          <w:szCs w:val="22"/>
          <w:lang w:val="fr-FR"/>
        </w:rPr>
        <w:t>le renforcement des</w:t>
      </w:r>
      <w:r w:rsidRPr="00FC767B">
        <w:rPr>
          <w:snapToGrid w:val="0"/>
          <w:kern w:val="22"/>
          <w:szCs w:val="22"/>
          <w:lang w:val="fr-FR"/>
        </w:rPr>
        <w:t xml:space="preserve"> avantages </w:t>
      </w:r>
      <w:r w:rsidR="006C211D" w:rsidRPr="00FC767B">
        <w:rPr>
          <w:snapToGrid w:val="0"/>
          <w:kern w:val="22"/>
          <w:szCs w:val="22"/>
          <w:lang w:val="fr-FR"/>
        </w:rPr>
        <w:t xml:space="preserve">contribue au </w:t>
      </w:r>
      <w:r w:rsidRPr="00FC767B">
        <w:rPr>
          <w:snapToGrid w:val="0"/>
          <w:kern w:val="22"/>
          <w:szCs w:val="22"/>
          <w:lang w:val="fr-FR"/>
        </w:rPr>
        <w:t xml:space="preserve">bien-être humain. </w:t>
      </w:r>
    </w:p>
    <w:p w14:paraId="2DD2F991" w14:textId="77777777" w:rsidR="00470422" w:rsidRPr="00FC767B" w:rsidRDefault="003F0B62" w:rsidP="00A619F7">
      <w:pPr>
        <w:pStyle w:val="BodyText"/>
        <w:suppressLineNumbers/>
        <w:suppressAutoHyphens/>
        <w:ind w:firstLine="0"/>
        <w:jc w:val="center"/>
        <w:rPr>
          <w:snapToGrid w:val="0"/>
          <w:kern w:val="22"/>
          <w:szCs w:val="22"/>
          <w:lang w:val="fr-FR"/>
        </w:rPr>
      </w:pPr>
      <w:r w:rsidRPr="00FC767B">
        <w:rPr>
          <w:snapToGrid w:val="0"/>
          <w:kern w:val="22"/>
          <w:szCs w:val="22"/>
          <w:lang w:val="fr-FR"/>
        </w:rPr>
        <w:t>__________</w:t>
      </w:r>
    </w:p>
    <w:sectPr w:rsidR="00470422" w:rsidRPr="00FC767B" w:rsidSect="00C83F51">
      <w:headerReference w:type="even" r:id="rId14"/>
      <w:headerReference w:type="default" r:id="rId15"/>
      <w:footerReference w:type="even" r:id="rId16"/>
      <w:footerReference w:type="default" r:id="rId17"/>
      <w:footnotePr>
        <w:numRestart w:val="eachSect"/>
      </w:footnotePr>
      <w:type w:val="continuous"/>
      <w:pgSz w:w="12240" w:h="15840" w:code="1"/>
      <w:pgMar w:top="1021" w:right="1440" w:bottom="1134" w:left="1440" w:header="461"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FEA501" w14:textId="77777777" w:rsidR="00D84813" w:rsidRDefault="00D84813">
      <w:r>
        <w:separator/>
      </w:r>
    </w:p>
  </w:endnote>
  <w:endnote w:type="continuationSeparator" w:id="0">
    <w:p w14:paraId="23E0AC44" w14:textId="77777777" w:rsidR="00D84813" w:rsidRDefault="00D84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Univers">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imes New Roman Bold">
    <w:panose1 w:val="020208030705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A912C" w14:textId="77777777" w:rsidR="005E5D74" w:rsidRDefault="005E5D74" w:rsidP="00C83F51">
    <w:pPr>
      <w:pStyle w:val="Footer"/>
      <w:tabs>
        <w:tab w:val="clear" w:pos="4320"/>
        <w:tab w:val="clear" w:pos="8640"/>
      </w:tabs>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90457" w14:textId="77777777" w:rsidR="005E5D74" w:rsidRDefault="005E5D74" w:rsidP="00C83F51">
    <w:pPr>
      <w:pStyle w:val="Footer"/>
      <w:tabs>
        <w:tab w:val="clear" w:pos="4320"/>
        <w:tab w:val="clear" w:pos="8640"/>
      </w:tabs>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207646" w14:textId="77777777" w:rsidR="00D84813" w:rsidRDefault="00D84813">
      <w:r>
        <w:separator/>
      </w:r>
    </w:p>
  </w:footnote>
  <w:footnote w:type="continuationSeparator" w:id="0">
    <w:p w14:paraId="52B4D9A5" w14:textId="77777777" w:rsidR="00D84813" w:rsidRDefault="00D84813">
      <w:r>
        <w:continuationSeparator/>
      </w:r>
    </w:p>
  </w:footnote>
  <w:footnote w:id="1">
    <w:p w14:paraId="51E0F890" w14:textId="15FF19F7" w:rsidR="005E5D74" w:rsidRPr="00A619F7" w:rsidRDefault="005E5D74" w:rsidP="00E90441">
      <w:pPr>
        <w:pStyle w:val="FootnoteText"/>
        <w:keepLines w:val="0"/>
        <w:ind w:firstLine="0"/>
        <w:jc w:val="left"/>
        <w:rPr>
          <w:lang w:val="fr-FR"/>
        </w:rPr>
      </w:pPr>
      <w:r w:rsidRPr="00A619F7">
        <w:rPr>
          <w:rStyle w:val="FootnoteReference"/>
          <w:u w:val="none"/>
          <w:vertAlign w:val="superscript"/>
          <w:lang w:val="fr-FR"/>
        </w:rPr>
        <w:footnoteRef/>
      </w:r>
      <w:r w:rsidRPr="00A619F7">
        <w:rPr>
          <w:lang w:val="fr-FR"/>
        </w:rPr>
        <w:t xml:space="preserve"> </w:t>
      </w:r>
      <w:hyperlink r:id="rId1" w:history="1">
        <w:r w:rsidRPr="00A619F7">
          <w:rPr>
            <w:rStyle w:val="Hyperlink"/>
            <w:u w:val="none"/>
            <w:lang w:val="fr-FR"/>
          </w:rPr>
          <w:t>D</w:t>
        </w:r>
        <w:r w:rsidR="00DE6F83" w:rsidRPr="00A619F7">
          <w:rPr>
            <w:rStyle w:val="Hyperlink"/>
            <w:u w:val="none"/>
            <w:lang w:val="fr-FR"/>
          </w:rPr>
          <w:t>é</w:t>
        </w:r>
        <w:r w:rsidRPr="00A619F7">
          <w:rPr>
            <w:rStyle w:val="Hyperlink"/>
            <w:u w:val="none"/>
            <w:lang w:val="fr-FR"/>
          </w:rPr>
          <w:t>cision X/2</w:t>
        </w:r>
      </w:hyperlink>
      <w:r w:rsidRPr="00A619F7">
        <w:rPr>
          <w:lang w:val="fr-FR"/>
        </w:rPr>
        <w:t>, annex</w:t>
      </w:r>
      <w:r w:rsidR="00DE6F83" w:rsidRPr="00A619F7">
        <w:rPr>
          <w:lang w:val="fr-FR"/>
        </w:rPr>
        <w:t>e</w:t>
      </w:r>
      <w:r w:rsidRPr="00A619F7">
        <w:rPr>
          <w:lang w:val="fr-FR"/>
        </w:rPr>
        <w:t>.</w:t>
      </w:r>
    </w:p>
  </w:footnote>
  <w:footnote w:id="2">
    <w:p w14:paraId="3EAC90A4" w14:textId="6F3D92B1" w:rsidR="005E5D74" w:rsidRPr="00A619F7" w:rsidRDefault="005E5D74" w:rsidP="00E90441">
      <w:pPr>
        <w:pStyle w:val="FootnoteText"/>
        <w:keepLines w:val="0"/>
        <w:ind w:firstLine="0"/>
        <w:jc w:val="left"/>
        <w:rPr>
          <w:kern w:val="18"/>
          <w:szCs w:val="18"/>
          <w:lang w:val="fr-FR"/>
        </w:rPr>
      </w:pPr>
      <w:r w:rsidRPr="00A619F7">
        <w:rPr>
          <w:rStyle w:val="FootnoteReference"/>
          <w:kern w:val="18"/>
          <w:szCs w:val="18"/>
          <w:u w:val="none"/>
          <w:vertAlign w:val="superscript"/>
          <w:lang w:val="fr-FR"/>
        </w:rPr>
        <w:footnoteRef/>
      </w:r>
      <w:r w:rsidRPr="00A619F7">
        <w:rPr>
          <w:kern w:val="18"/>
          <w:szCs w:val="18"/>
          <w:lang w:val="fr-FR"/>
        </w:rPr>
        <w:t xml:space="preserve"> </w:t>
      </w:r>
      <w:hyperlink r:id="rId2" w:history="1">
        <w:r w:rsidRPr="008C5EB8">
          <w:rPr>
            <w:rStyle w:val="Hyperlink"/>
            <w:iCs/>
            <w:kern w:val="18"/>
            <w:szCs w:val="18"/>
            <w:lang w:val="fr-FR"/>
          </w:rPr>
          <w:t>CBD/SBSTTA/21/2</w:t>
        </w:r>
      </w:hyperlink>
      <w:r w:rsidRPr="00A619F7">
        <w:rPr>
          <w:iCs/>
          <w:kern w:val="18"/>
          <w:szCs w:val="18"/>
          <w:lang w:val="fr-FR"/>
        </w:rPr>
        <w:t xml:space="preserve"> </w:t>
      </w:r>
      <w:r w:rsidR="00DE6F83" w:rsidRPr="00A619F7">
        <w:rPr>
          <w:iCs/>
          <w:kern w:val="18"/>
          <w:szCs w:val="18"/>
          <w:lang w:val="fr-FR"/>
        </w:rPr>
        <w:t>et</w:t>
      </w:r>
      <w:r w:rsidRPr="00A619F7">
        <w:rPr>
          <w:iCs/>
          <w:kern w:val="18"/>
          <w:szCs w:val="18"/>
          <w:lang w:val="fr-FR"/>
        </w:rPr>
        <w:t xml:space="preserve"> </w:t>
      </w:r>
      <w:hyperlink r:id="rId3" w:history="1">
        <w:r w:rsidRPr="008C5EB8">
          <w:rPr>
            <w:rStyle w:val="Hyperlink"/>
            <w:iCs/>
            <w:kern w:val="18"/>
            <w:szCs w:val="18"/>
            <w:lang w:val="fr-FR"/>
          </w:rPr>
          <w:t>Add.1</w:t>
        </w:r>
      </w:hyperlink>
      <w:r w:rsidRPr="00A619F7">
        <w:rPr>
          <w:iCs/>
          <w:kern w:val="18"/>
          <w:szCs w:val="18"/>
          <w:lang w:val="fr-FR"/>
        </w:rPr>
        <w:t>.</w:t>
      </w:r>
    </w:p>
  </w:footnote>
  <w:footnote w:id="3">
    <w:p w14:paraId="7D35C5BB" w14:textId="70F7C0F3" w:rsidR="005E5D74" w:rsidRPr="00A619F7" w:rsidRDefault="005E5D74" w:rsidP="00E90441">
      <w:pPr>
        <w:pStyle w:val="FootnoteText"/>
        <w:keepLines w:val="0"/>
        <w:ind w:firstLine="0"/>
        <w:jc w:val="left"/>
        <w:rPr>
          <w:kern w:val="18"/>
          <w:lang w:val="fr-FR"/>
        </w:rPr>
      </w:pPr>
      <w:r w:rsidRPr="00A619F7">
        <w:rPr>
          <w:rStyle w:val="FootnoteReference"/>
          <w:kern w:val="18"/>
          <w:u w:val="none"/>
          <w:vertAlign w:val="superscript"/>
          <w:lang w:val="fr-FR"/>
        </w:rPr>
        <w:footnoteRef/>
      </w:r>
      <w:r w:rsidRPr="00A619F7">
        <w:rPr>
          <w:kern w:val="18"/>
          <w:lang w:val="fr-FR"/>
        </w:rPr>
        <w:t xml:space="preserve"> </w:t>
      </w:r>
      <w:hyperlink r:id="rId4" w:history="1">
        <w:r w:rsidRPr="008E3261">
          <w:rPr>
            <w:rStyle w:val="Hyperlink"/>
            <w:kern w:val="18"/>
            <w:lang w:val="fr-FR"/>
          </w:rPr>
          <w:t>CBD/SBSTTA/</w:t>
        </w:r>
        <w:r w:rsidR="008E3261" w:rsidRPr="008E3261">
          <w:rPr>
            <w:rStyle w:val="Hyperlink"/>
            <w:kern w:val="18"/>
            <w:lang w:val="fr-FR"/>
          </w:rPr>
          <w:t>21/</w:t>
        </w:r>
        <w:r w:rsidRPr="008E3261">
          <w:rPr>
            <w:rStyle w:val="Hyperlink"/>
            <w:kern w:val="18"/>
            <w:lang w:val="fr-FR"/>
          </w:rPr>
          <w:t>INF/2</w:t>
        </w:r>
      </w:hyperlink>
      <w:r w:rsidRPr="00A619F7">
        <w:rPr>
          <w:kern w:val="18"/>
          <w:lang w:val="fr-FR"/>
        </w:rPr>
        <w:t xml:space="preserve">, </w:t>
      </w:r>
      <w:hyperlink r:id="rId5" w:history="1">
        <w:r w:rsidRPr="008E3261">
          <w:rPr>
            <w:rStyle w:val="Hyperlink"/>
            <w:kern w:val="18"/>
            <w:lang w:val="fr-FR"/>
          </w:rPr>
          <w:t>CBD/SBSTTA/</w:t>
        </w:r>
        <w:r w:rsidR="008E3261" w:rsidRPr="008E3261">
          <w:rPr>
            <w:rStyle w:val="Hyperlink"/>
            <w:kern w:val="18"/>
            <w:lang w:val="fr-FR"/>
          </w:rPr>
          <w:t>21/</w:t>
        </w:r>
        <w:r w:rsidRPr="008E3261">
          <w:rPr>
            <w:rStyle w:val="Hyperlink"/>
            <w:kern w:val="18"/>
            <w:lang w:val="fr-FR"/>
          </w:rPr>
          <w:t>INF/3</w:t>
        </w:r>
      </w:hyperlink>
      <w:r w:rsidRPr="00A619F7">
        <w:rPr>
          <w:kern w:val="18"/>
          <w:lang w:val="fr-FR"/>
        </w:rPr>
        <w:t xml:space="preserve">, </w:t>
      </w:r>
      <w:hyperlink r:id="rId6" w:history="1">
        <w:r w:rsidRPr="008E3261">
          <w:rPr>
            <w:rStyle w:val="Hyperlink"/>
            <w:kern w:val="18"/>
            <w:lang w:val="fr-FR"/>
          </w:rPr>
          <w:t>CBD/SBSTTA/</w:t>
        </w:r>
        <w:r w:rsidR="008E3261" w:rsidRPr="008E3261">
          <w:rPr>
            <w:rStyle w:val="Hyperlink"/>
            <w:kern w:val="18"/>
            <w:lang w:val="fr-FR"/>
          </w:rPr>
          <w:t>21/</w:t>
        </w:r>
        <w:r w:rsidRPr="008E3261">
          <w:rPr>
            <w:rStyle w:val="Hyperlink"/>
            <w:kern w:val="18"/>
            <w:lang w:val="fr-FR"/>
          </w:rPr>
          <w:t>INF/4</w:t>
        </w:r>
      </w:hyperlink>
      <w:r w:rsidRPr="00A619F7">
        <w:rPr>
          <w:kern w:val="18"/>
          <w:lang w:val="fr-FR"/>
        </w:rPr>
        <w:t xml:space="preserve">, </w:t>
      </w:r>
      <w:hyperlink r:id="rId7" w:history="1">
        <w:r w:rsidRPr="008E3261">
          <w:rPr>
            <w:rStyle w:val="Hyperlink"/>
            <w:kern w:val="18"/>
            <w:lang w:val="fr-FR"/>
          </w:rPr>
          <w:t>CBD/SBSTTA/</w:t>
        </w:r>
        <w:r w:rsidR="008E3261" w:rsidRPr="008E3261">
          <w:rPr>
            <w:rStyle w:val="Hyperlink"/>
            <w:kern w:val="18"/>
            <w:lang w:val="fr-FR"/>
          </w:rPr>
          <w:t>21/</w:t>
        </w:r>
        <w:r w:rsidRPr="008E3261">
          <w:rPr>
            <w:rStyle w:val="Hyperlink"/>
            <w:kern w:val="18"/>
            <w:lang w:val="fr-FR"/>
          </w:rPr>
          <w:t>INF/18</w:t>
        </w:r>
      </w:hyperlink>
      <w:r w:rsidRPr="00A619F7">
        <w:rPr>
          <w:kern w:val="18"/>
          <w:lang w:val="fr-FR"/>
        </w:rPr>
        <w:t>.</w:t>
      </w:r>
    </w:p>
  </w:footnote>
  <w:footnote w:id="4">
    <w:p w14:paraId="12EF9531" w14:textId="62AD2AF8" w:rsidR="005E5D74" w:rsidRPr="00A619F7" w:rsidRDefault="005E5D74" w:rsidP="001009CD">
      <w:pPr>
        <w:pStyle w:val="FootnoteText"/>
        <w:keepLines w:val="0"/>
        <w:ind w:firstLine="0"/>
        <w:jc w:val="left"/>
        <w:rPr>
          <w:lang w:val="fr-FR"/>
        </w:rPr>
      </w:pPr>
      <w:r w:rsidRPr="00A619F7">
        <w:rPr>
          <w:rStyle w:val="FootnoteReference"/>
          <w:u w:val="none"/>
          <w:vertAlign w:val="superscript"/>
          <w:lang w:val="fr-FR"/>
        </w:rPr>
        <w:footnoteRef/>
      </w:r>
      <w:r w:rsidRPr="00A619F7">
        <w:rPr>
          <w:lang w:val="fr-FR"/>
        </w:rPr>
        <w:t xml:space="preserve"> </w:t>
      </w:r>
      <w:r w:rsidR="00DE6F83" w:rsidRPr="00A619F7">
        <w:rPr>
          <w:lang w:val="fr-FR"/>
        </w:rPr>
        <w:t>Voir</w:t>
      </w:r>
      <w:r w:rsidRPr="00A619F7">
        <w:rPr>
          <w:lang w:val="fr-FR"/>
        </w:rPr>
        <w:t xml:space="preserve"> </w:t>
      </w:r>
      <w:r w:rsidR="00AA7C4D" w:rsidRPr="00AA7C4D">
        <w:rPr>
          <w:kern w:val="18"/>
          <w:lang w:val="en-US"/>
        </w:rPr>
        <w:t xml:space="preserve"> </w:t>
      </w:r>
      <w:hyperlink r:id="rId8" w:history="1">
        <w:r w:rsidR="00AA7C4D" w:rsidRPr="00AA7C4D">
          <w:rPr>
            <w:rStyle w:val="Hyperlink"/>
            <w:kern w:val="18"/>
            <w:lang w:val="en-US"/>
          </w:rPr>
          <w:t>https://www.ipbes.net/deliverables/3c-scenarios-and-modelling</w:t>
        </w:r>
      </w:hyperlink>
      <w:r w:rsidR="00AA7C4D">
        <w:rPr>
          <w:kern w:val="18"/>
          <w:lang w:val="en-US"/>
        </w:rPr>
        <w:t xml:space="preserve"> et</w:t>
      </w:r>
      <w:r w:rsidR="00AA7C4D" w:rsidRPr="00AA7C4D">
        <w:rPr>
          <w:kern w:val="18"/>
          <w:lang w:val="en-US"/>
        </w:rPr>
        <w:t xml:space="preserve"> </w:t>
      </w:r>
      <w:hyperlink r:id="rId9" w:history="1">
        <w:r w:rsidR="00AA7C4D" w:rsidRPr="008E3261">
          <w:rPr>
            <w:rStyle w:val="Hyperlink"/>
            <w:kern w:val="18"/>
            <w:lang w:val="fr-FR"/>
          </w:rPr>
          <w:t>CBD/SBSTTA/</w:t>
        </w:r>
        <w:r w:rsidR="008E3261" w:rsidRPr="008E3261">
          <w:rPr>
            <w:rStyle w:val="Hyperlink"/>
            <w:kern w:val="18"/>
            <w:lang w:val="fr-FR"/>
          </w:rPr>
          <w:t>21/</w:t>
        </w:r>
        <w:r w:rsidR="00AA7C4D" w:rsidRPr="008E3261">
          <w:rPr>
            <w:rStyle w:val="Hyperlink"/>
            <w:kern w:val="18"/>
            <w:lang w:val="fr-FR"/>
          </w:rPr>
          <w:t>INF/18</w:t>
        </w:r>
      </w:hyperlink>
      <w:r w:rsidR="00AA7C4D">
        <w:rPr>
          <w:kern w:val="18"/>
          <w:lang w:val="fr-FR"/>
        </w:rPr>
        <w:t>.</w:t>
      </w:r>
    </w:p>
  </w:footnote>
  <w:footnote w:id="5">
    <w:p w14:paraId="0C3B2ED4" w14:textId="74A56DB7" w:rsidR="00012D8F" w:rsidRPr="00A619F7" w:rsidRDefault="00012D8F" w:rsidP="00012D8F">
      <w:pPr>
        <w:pStyle w:val="FootnoteText"/>
        <w:keepLines w:val="0"/>
        <w:ind w:firstLine="0"/>
        <w:jc w:val="left"/>
        <w:rPr>
          <w:kern w:val="18"/>
          <w:lang w:val="fr-FR"/>
        </w:rPr>
      </w:pPr>
      <w:r w:rsidRPr="00A619F7">
        <w:rPr>
          <w:rStyle w:val="FootnoteReference"/>
          <w:kern w:val="18"/>
          <w:u w:val="none"/>
          <w:vertAlign w:val="superscript"/>
          <w:lang w:val="fr-FR"/>
        </w:rPr>
        <w:footnoteRef/>
      </w:r>
      <w:r w:rsidRPr="00A619F7">
        <w:rPr>
          <w:kern w:val="18"/>
          <w:lang w:val="fr-FR"/>
        </w:rPr>
        <w:t xml:space="preserve"> Point 16 de </w:t>
      </w:r>
      <w:hyperlink r:id="rId10" w:history="1">
        <w:r w:rsidRPr="008C5EB8">
          <w:rPr>
            <w:rStyle w:val="Hyperlink"/>
            <w:kern w:val="18"/>
            <w:lang w:val="fr-FR"/>
          </w:rPr>
          <w:t>l’ordre du jour provisoire de la deuxième réunion de l’Organe subsidiaire chargé de l’application</w:t>
        </w:r>
      </w:hyperlink>
      <w:r w:rsidRPr="00A619F7">
        <w:rPr>
          <w:kern w:val="18"/>
          <w:lang w:val="fr-FR"/>
        </w:rPr>
        <w:t>.</w:t>
      </w:r>
    </w:p>
  </w:footnote>
  <w:footnote w:id="6">
    <w:p w14:paraId="55802D11" w14:textId="4EE793A3" w:rsidR="005E5D74" w:rsidRPr="00A619F7" w:rsidRDefault="005E5D74" w:rsidP="00110AE6">
      <w:pPr>
        <w:pStyle w:val="FootnoteText"/>
        <w:keepLines w:val="0"/>
        <w:ind w:firstLine="0"/>
        <w:jc w:val="left"/>
        <w:rPr>
          <w:kern w:val="18"/>
          <w:szCs w:val="18"/>
          <w:lang w:val="fr-FR"/>
        </w:rPr>
      </w:pPr>
      <w:r w:rsidRPr="00A619F7">
        <w:rPr>
          <w:rStyle w:val="FootnoteReference"/>
          <w:kern w:val="18"/>
          <w:szCs w:val="18"/>
          <w:u w:val="none"/>
          <w:vertAlign w:val="superscript"/>
          <w:lang w:val="fr-FR"/>
        </w:rPr>
        <w:footnoteRef/>
      </w:r>
      <w:r w:rsidRPr="00A619F7">
        <w:rPr>
          <w:kern w:val="18"/>
          <w:szCs w:val="18"/>
          <w:lang w:val="fr-FR"/>
        </w:rPr>
        <w:t xml:space="preserve"> </w:t>
      </w:r>
      <w:hyperlink r:id="rId11" w:history="1">
        <w:r w:rsidR="00DE6F83" w:rsidRPr="00DA4399">
          <w:rPr>
            <w:rStyle w:val="Hyperlink"/>
            <w:kern w:val="18"/>
            <w:szCs w:val="18"/>
            <w:lang w:val="fr-FR"/>
          </w:rPr>
          <w:t xml:space="preserve">Résolution </w:t>
        </w:r>
        <w:r w:rsidRPr="00DA4399">
          <w:rPr>
            <w:rStyle w:val="Hyperlink"/>
            <w:kern w:val="18"/>
            <w:szCs w:val="18"/>
            <w:lang w:val="fr-FR"/>
          </w:rPr>
          <w:t>70/1</w:t>
        </w:r>
        <w:r w:rsidR="00DE6F83" w:rsidRPr="00DA4399">
          <w:rPr>
            <w:rStyle w:val="Hyperlink"/>
            <w:kern w:val="18"/>
            <w:szCs w:val="18"/>
            <w:lang w:val="fr-FR"/>
          </w:rPr>
          <w:t xml:space="preserve"> de l’Assemblée générale</w:t>
        </w:r>
      </w:hyperlink>
      <w:r w:rsidRPr="00A619F7">
        <w:rPr>
          <w:kern w:val="18"/>
          <w:szCs w:val="18"/>
          <w:lang w:val="fr-FR"/>
        </w:rPr>
        <w:t>, annex</w:t>
      </w:r>
      <w:r w:rsidR="00DE6F83" w:rsidRPr="00A619F7">
        <w:rPr>
          <w:kern w:val="18"/>
          <w:szCs w:val="18"/>
          <w:lang w:val="fr-FR"/>
        </w:rPr>
        <w:t>e</w:t>
      </w:r>
      <w:r w:rsidRPr="00A619F7">
        <w:rPr>
          <w:kern w:val="18"/>
          <w:szCs w:val="18"/>
          <w:lang w:val="fr-FR"/>
        </w:rPr>
        <w:t>.</w:t>
      </w:r>
    </w:p>
  </w:footnote>
  <w:footnote w:id="7">
    <w:p w14:paraId="314DCBE7" w14:textId="6515CBD3" w:rsidR="005E5D74" w:rsidRPr="00A619F7" w:rsidRDefault="005E5D74" w:rsidP="00110AE6">
      <w:pPr>
        <w:pStyle w:val="FootnoteText"/>
        <w:keepLines w:val="0"/>
        <w:ind w:firstLine="0"/>
        <w:jc w:val="left"/>
        <w:rPr>
          <w:kern w:val="18"/>
          <w:szCs w:val="18"/>
          <w:lang w:val="fr-FR"/>
        </w:rPr>
      </w:pPr>
      <w:r w:rsidRPr="00A619F7">
        <w:rPr>
          <w:rStyle w:val="FootnoteReference"/>
          <w:kern w:val="18"/>
          <w:szCs w:val="18"/>
          <w:u w:val="none"/>
          <w:vertAlign w:val="superscript"/>
          <w:lang w:val="fr-FR"/>
        </w:rPr>
        <w:footnoteRef/>
      </w:r>
      <w:r w:rsidRPr="00A619F7">
        <w:rPr>
          <w:kern w:val="18"/>
          <w:szCs w:val="18"/>
          <w:lang w:val="fr-FR"/>
        </w:rPr>
        <w:t xml:space="preserve"> </w:t>
      </w:r>
      <w:hyperlink r:id="rId12" w:history="1">
        <w:r w:rsidRPr="00DA4399">
          <w:rPr>
            <w:rStyle w:val="Hyperlink"/>
            <w:kern w:val="18"/>
            <w:szCs w:val="18"/>
            <w:lang w:val="fr-FR"/>
          </w:rPr>
          <w:t>D</w:t>
        </w:r>
        <w:r w:rsidR="00DE6F83" w:rsidRPr="00DA4399">
          <w:rPr>
            <w:rStyle w:val="Hyperlink"/>
            <w:kern w:val="18"/>
            <w:szCs w:val="18"/>
            <w:lang w:val="fr-FR"/>
          </w:rPr>
          <w:t>é</w:t>
        </w:r>
        <w:r w:rsidRPr="00DA4399">
          <w:rPr>
            <w:rStyle w:val="Hyperlink"/>
            <w:kern w:val="18"/>
            <w:szCs w:val="18"/>
            <w:lang w:val="fr-FR"/>
          </w:rPr>
          <w:t>cision X/2</w:t>
        </w:r>
      </w:hyperlink>
      <w:r w:rsidRPr="00A619F7">
        <w:rPr>
          <w:kern w:val="18"/>
          <w:szCs w:val="18"/>
          <w:lang w:val="fr-FR"/>
        </w:rPr>
        <w:t>, annex</w:t>
      </w:r>
      <w:r w:rsidR="00DE6F83" w:rsidRPr="00A619F7">
        <w:rPr>
          <w:kern w:val="18"/>
          <w:szCs w:val="18"/>
          <w:lang w:val="fr-FR"/>
        </w:rPr>
        <w:t>e</w:t>
      </w:r>
      <w:r w:rsidRPr="00A619F7">
        <w:rPr>
          <w:kern w:val="18"/>
          <w:szCs w:val="18"/>
          <w:lang w:val="fr-FR"/>
        </w:rPr>
        <w:t>.</w:t>
      </w:r>
    </w:p>
  </w:footnote>
  <w:footnote w:id="8">
    <w:p w14:paraId="109437E2" w14:textId="108F56C8" w:rsidR="005E5D74" w:rsidRPr="00A619F7" w:rsidRDefault="005E5D74" w:rsidP="00A619F7">
      <w:pPr>
        <w:pStyle w:val="FootnoteText"/>
        <w:keepLines w:val="0"/>
        <w:ind w:firstLine="0"/>
        <w:jc w:val="left"/>
        <w:rPr>
          <w:kern w:val="18"/>
          <w:lang w:val="fr-FR"/>
        </w:rPr>
      </w:pPr>
      <w:r w:rsidRPr="00A619F7">
        <w:rPr>
          <w:rStyle w:val="FootnoteReference"/>
          <w:kern w:val="18"/>
          <w:u w:val="none"/>
          <w:vertAlign w:val="superscript"/>
          <w:lang w:val="fr-FR"/>
        </w:rPr>
        <w:footnoteRef/>
      </w:r>
      <w:r w:rsidRPr="00A619F7">
        <w:rPr>
          <w:kern w:val="18"/>
          <w:lang w:val="fr-FR"/>
        </w:rPr>
        <w:t xml:space="preserve"> </w:t>
      </w:r>
      <w:hyperlink r:id="rId13" w:history="1">
        <w:r w:rsidRPr="00337435">
          <w:rPr>
            <w:rStyle w:val="Hyperlink"/>
            <w:kern w:val="18"/>
            <w:szCs w:val="18"/>
            <w:lang w:val="fr-FR"/>
          </w:rPr>
          <w:t>CBD/SBSTTA/21/2</w:t>
        </w:r>
      </w:hyperlink>
      <w:r w:rsidRPr="00A619F7">
        <w:rPr>
          <w:kern w:val="18"/>
          <w:szCs w:val="18"/>
          <w:lang w:val="fr-FR"/>
        </w:rPr>
        <w:t xml:space="preserve"> </w:t>
      </w:r>
      <w:r w:rsidR="0063100E" w:rsidRPr="00A619F7">
        <w:rPr>
          <w:kern w:val="18"/>
          <w:szCs w:val="18"/>
          <w:lang w:val="fr-FR"/>
        </w:rPr>
        <w:t>et</w:t>
      </w:r>
      <w:r w:rsidRPr="00A619F7">
        <w:rPr>
          <w:kern w:val="18"/>
          <w:szCs w:val="18"/>
          <w:lang w:val="fr-FR"/>
        </w:rPr>
        <w:t xml:space="preserve"> </w:t>
      </w:r>
      <w:hyperlink r:id="rId14" w:history="1">
        <w:r w:rsidRPr="00337435">
          <w:rPr>
            <w:rStyle w:val="Hyperlink"/>
            <w:kern w:val="18"/>
            <w:szCs w:val="18"/>
            <w:lang w:val="fr-FR"/>
          </w:rPr>
          <w:t>Add.1</w:t>
        </w:r>
      </w:hyperlink>
      <w:r w:rsidRPr="00A619F7">
        <w:rPr>
          <w:kern w:val="18"/>
          <w:szCs w:val="18"/>
          <w:lang w:val="fr-FR"/>
        </w:rPr>
        <w:t xml:space="preserve">, </w:t>
      </w:r>
      <w:hyperlink r:id="rId15" w:history="1">
        <w:r w:rsidRPr="008E3261">
          <w:rPr>
            <w:rStyle w:val="Hyperlink"/>
            <w:kern w:val="18"/>
            <w:szCs w:val="18"/>
            <w:lang w:val="fr-FR"/>
          </w:rPr>
          <w:t>CBD/SBSTTA/INF/2</w:t>
        </w:r>
      </w:hyperlink>
      <w:r w:rsidRPr="00A619F7">
        <w:rPr>
          <w:kern w:val="18"/>
          <w:szCs w:val="18"/>
          <w:lang w:val="fr-FR"/>
        </w:rPr>
        <w:t xml:space="preserve">, </w:t>
      </w:r>
      <w:hyperlink r:id="rId16" w:history="1">
        <w:r w:rsidRPr="008E3261">
          <w:rPr>
            <w:rStyle w:val="Hyperlink"/>
            <w:kern w:val="18"/>
            <w:szCs w:val="18"/>
            <w:lang w:val="fr-FR"/>
          </w:rPr>
          <w:t>INF/3</w:t>
        </w:r>
      </w:hyperlink>
      <w:r w:rsidRPr="00A619F7">
        <w:rPr>
          <w:kern w:val="18"/>
          <w:szCs w:val="18"/>
          <w:lang w:val="fr-FR"/>
        </w:rPr>
        <w:t xml:space="preserve">, </w:t>
      </w:r>
      <w:hyperlink r:id="rId17" w:history="1">
        <w:r w:rsidRPr="008E3261">
          <w:rPr>
            <w:rStyle w:val="Hyperlink"/>
            <w:kern w:val="18"/>
            <w:szCs w:val="18"/>
            <w:lang w:val="fr-FR"/>
          </w:rPr>
          <w:t>INF/4</w:t>
        </w:r>
      </w:hyperlink>
      <w:r w:rsidRPr="00A619F7">
        <w:rPr>
          <w:kern w:val="18"/>
          <w:szCs w:val="18"/>
          <w:lang w:val="fr-FR"/>
        </w:rPr>
        <w:t xml:space="preserve">, </w:t>
      </w:r>
      <w:hyperlink r:id="rId18" w:history="1">
        <w:r w:rsidRPr="008E3261">
          <w:rPr>
            <w:rStyle w:val="Hyperlink"/>
            <w:kern w:val="18"/>
            <w:szCs w:val="18"/>
            <w:lang w:val="fr-FR"/>
          </w:rPr>
          <w:t>INF/18</w:t>
        </w:r>
      </w:hyperlink>
      <w:bookmarkStart w:id="1" w:name="_GoBack"/>
      <w:bookmarkEnd w:id="1"/>
      <w:r w:rsidRPr="00A619F7">
        <w:rPr>
          <w:kern w:val="18"/>
          <w:szCs w:val="18"/>
          <w:lang w:val="fr-FR"/>
        </w:rPr>
        <w:t xml:space="preserve">. </w:t>
      </w:r>
      <w:r w:rsidR="0063100E" w:rsidRPr="00A619F7">
        <w:rPr>
          <w:kern w:val="18"/>
          <w:szCs w:val="18"/>
          <w:lang w:val="fr-FR"/>
        </w:rPr>
        <w:t xml:space="preserve">Ces documents d’information seront actualisés à la lumière de l’examen collégial demandé dans </w:t>
      </w:r>
      <w:r w:rsidR="0063100E">
        <w:rPr>
          <w:kern w:val="18"/>
          <w:szCs w:val="18"/>
          <w:lang w:val="fr-FR"/>
        </w:rPr>
        <w:t xml:space="preserve">la </w:t>
      </w:r>
      <w:r w:rsidR="00351A3C">
        <w:rPr>
          <w:kern w:val="18"/>
          <w:szCs w:val="18"/>
          <w:lang w:val="fr-FR"/>
        </w:rPr>
        <w:t>recommandation XXI/1</w:t>
      </w:r>
      <w:r w:rsidR="0063100E">
        <w:rPr>
          <w:kern w:val="18"/>
          <w:szCs w:val="18"/>
          <w:lang w:val="fr-FR"/>
        </w:rPr>
        <w:t xml:space="preserve"> de </w:t>
      </w:r>
      <w:r w:rsidR="0063100E" w:rsidRPr="009448B0">
        <w:rPr>
          <w:kern w:val="18"/>
          <w:szCs w:val="18"/>
          <w:lang w:val="fr-FR"/>
        </w:rPr>
        <w:t>l’Organe subsidiaire</w:t>
      </w:r>
      <w:r w:rsidR="0063100E" w:rsidRPr="00A619F7">
        <w:rPr>
          <w:kern w:val="18"/>
          <w:szCs w:val="18"/>
          <w:lang w:val="fr-FR"/>
        </w:rPr>
        <w:t>.</w:t>
      </w:r>
    </w:p>
  </w:footnote>
  <w:footnote w:id="9">
    <w:p w14:paraId="5FCAD8B1" w14:textId="2F022B8A" w:rsidR="0003254E" w:rsidRPr="001F2542" w:rsidRDefault="0003254E" w:rsidP="0003254E">
      <w:pPr>
        <w:pStyle w:val="FootnoteText"/>
        <w:keepLines w:val="0"/>
        <w:ind w:firstLine="0"/>
        <w:jc w:val="left"/>
        <w:rPr>
          <w:kern w:val="18"/>
          <w:lang w:val="en-US"/>
        </w:rPr>
      </w:pPr>
      <w:r w:rsidRPr="0003254E">
        <w:rPr>
          <w:rStyle w:val="FootnoteReference"/>
          <w:rFonts w:eastAsiaTheme="majorEastAsia"/>
          <w:kern w:val="18"/>
          <w:u w:val="none"/>
          <w:vertAlign w:val="superscript"/>
        </w:rPr>
        <w:footnoteRef/>
      </w:r>
      <w:r w:rsidRPr="001F2542">
        <w:rPr>
          <w:kern w:val="18"/>
        </w:rPr>
        <w:t xml:space="preserve"> </w:t>
      </w:r>
      <w:r w:rsidRPr="0003254E">
        <w:rPr>
          <w:noProof/>
          <w:kern w:val="18"/>
          <w:lang w:val="fr-FR"/>
        </w:rPr>
        <w:t>Voir aussi Leadley et al (2014), Progress towards the Aichi Biodiversity Targets: An Assessment of Biodiversity Trends, Policy Scenarios and Key Actions. Secretariat of the Convention on Biological Diversity, Technical Series 78 (</w:t>
      </w:r>
      <w:hyperlink r:id="rId19" w:history="1">
        <w:r w:rsidRPr="0003254E">
          <w:rPr>
            <w:rStyle w:val="Hyperlink"/>
            <w:noProof/>
            <w:kern w:val="18"/>
            <w:lang w:val="fr-FR"/>
          </w:rPr>
          <w:t>https://www.cbd.int/doc/publications/cbd-ts-78-en.pdf</w:t>
        </w:r>
      </w:hyperlink>
      <w:r w:rsidRPr="0003254E">
        <w:rPr>
          <w:noProof/>
          <w:kern w:val="18"/>
          <w:lang w:val="fr-FR"/>
        </w:rPr>
        <w:t>), et</w:t>
      </w:r>
      <w:r w:rsidRPr="0003254E">
        <w:rPr>
          <w:noProof/>
          <w:kern w:val="18"/>
          <w:sz w:val="22"/>
          <w:lang w:val="fr-FR"/>
        </w:rPr>
        <w:t xml:space="preserve"> </w:t>
      </w:r>
      <w:r w:rsidRPr="0003254E">
        <w:rPr>
          <w:noProof/>
          <w:kern w:val="18"/>
          <w:lang w:val="fr-FR"/>
        </w:rPr>
        <w:t>Kok, &amp; Alkemade (eds) (2014), How sectors can contribute to sustainable use and conservation of biodiversity, Secretariat of the Convention on Biological Diversity, and  PBL Netherlands Environmental Assessment Agency, Technical Series 79  (https://www.cbd.int/doc/publications/cbd-ts-79-en.pdf)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3EA1E9" w14:textId="60A4C794" w:rsidR="005E5D74" w:rsidRPr="00C83F51" w:rsidRDefault="005E5D74" w:rsidP="003F0B62">
    <w:pPr>
      <w:pStyle w:val="Header"/>
      <w:tabs>
        <w:tab w:val="clear" w:pos="4320"/>
        <w:tab w:val="clear" w:pos="8640"/>
      </w:tabs>
      <w:spacing w:line="240" w:lineRule="auto"/>
      <w:rPr>
        <w:noProof/>
        <w:kern w:val="22"/>
      </w:rPr>
    </w:pPr>
    <w:r w:rsidRPr="003F0B62">
      <w:rPr>
        <w:noProof/>
        <w:kern w:val="22"/>
        <w:szCs w:val="22"/>
        <w:lang w:val="fr-FR"/>
      </w:rPr>
      <w:t>C</w:t>
    </w:r>
    <w:r w:rsidR="00AA7C4D">
      <w:rPr>
        <w:noProof/>
        <w:kern w:val="22"/>
        <w:szCs w:val="22"/>
        <w:lang w:val="fr-FR"/>
      </w:rPr>
      <w:t>BD/SBSTTA/REC/XX1/1</w:t>
    </w:r>
  </w:p>
  <w:p w14:paraId="44D6503F" w14:textId="4B3B056D" w:rsidR="005E5D74" w:rsidRPr="00C83F51" w:rsidRDefault="005E5D74" w:rsidP="003F0B62">
    <w:pPr>
      <w:pStyle w:val="Header"/>
      <w:tabs>
        <w:tab w:val="clear" w:pos="4320"/>
        <w:tab w:val="clear" w:pos="8640"/>
      </w:tabs>
      <w:spacing w:line="240" w:lineRule="auto"/>
      <w:rPr>
        <w:noProof/>
        <w:kern w:val="22"/>
      </w:rPr>
    </w:pPr>
    <w:r w:rsidRPr="003F0B62">
      <w:rPr>
        <w:noProof/>
        <w:kern w:val="22"/>
        <w:szCs w:val="22"/>
        <w:lang w:val="fr-FR"/>
      </w:rPr>
      <w:t xml:space="preserve">Page </w:t>
    </w:r>
    <w:r w:rsidRPr="003F0B62">
      <w:rPr>
        <w:noProof/>
        <w:kern w:val="22"/>
        <w:lang w:val="fr-FR"/>
      </w:rPr>
      <w:fldChar w:fldCharType="begin"/>
    </w:r>
    <w:r w:rsidRPr="003F0B62">
      <w:rPr>
        <w:noProof/>
        <w:kern w:val="22"/>
        <w:lang w:val="fr-FR"/>
      </w:rPr>
      <w:instrText xml:space="preserve"> PAGE   \* MERGEFORMAT </w:instrText>
    </w:r>
    <w:r w:rsidRPr="003F0B62">
      <w:rPr>
        <w:noProof/>
        <w:kern w:val="22"/>
        <w:lang w:val="fr-FR"/>
      </w:rPr>
      <w:fldChar w:fldCharType="separate"/>
    </w:r>
    <w:r w:rsidR="008E3261">
      <w:rPr>
        <w:noProof/>
        <w:kern w:val="22"/>
        <w:lang w:val="fr-FR"/>
      </w:rPr>
      <w:t>2</w:t>
    </w:r>
    <w:r w:rsidRPr="003F0B62">
      <w:rPr>
        <w:noProof/>
        <w:kern w:val="22"/>
        <w:lang w:val="fr-FR"/>
      </w:rPr>
      <w:fldChar w:fldCharType="end"/>
    </w:r>
  </w:p>
  <w:p w14:paraId="6CD14A3D" w14:textId="77777777" w:rsidR="005E5D74" w:rsidRPr="00C83F51" w:rsidRDefault="005E5D74" w:rsidP="00C83F51">
    <w:pPr>
      <w:pStyle w:val="Header"/>
      <w:tabs>
        <w:tab w:val="clear" w:pos="4320"/>
        <w:tab w:val="clear" w:pos="8640"/>
      </w:tabs>
      <w:spacing w:line="240" w:lineRule="auto"/>
      <w:rPr>
        <w:noProof/>
        <w:kern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31B1D" w14:textId="0651CB09" w:rsidR="005E5D74" w:rsidRPr="00C83F51" w:rsidRDefault="005E5D74" w:rsidP="003F0B62">
    <w:pPr>
      <w:pStyle w:val="Header"/>
      <w:tabs>
        <w:tab w:val="clear" w:pos="4320"/>
        <w:tab w:val="clear" w:pos="8640"/>
      </w:tabs>
      <w:spacing w:line="240" w:lineRule="auto"/>
      <w:jc w:val="right"/>
      <w:rPr>
        <w:noProof/>
      </w:rPr>
    </w:pPr>
    <w:r>
      <w:rPr>
        <w:noProof/>
        <w:szCs w:val="22"/>
        <w:lang w:val="fr-FR"/>
      </w:rPr>
      <w:t>C</w:t>
    </w:r>
    <w:r w:rsidR="00AA7C4D">
      <w:rPr>
        <w:noProof/>
        <w:szCs w:val="22"/>
        <w:lang w:val="fr-FR"/>
      </w:rPr>
      <w:t>BD/SBSTTA/REC/XX1/1</w:t>
    </w:r>
  </w:p>
  <w:p w14:paraId="2EE4245E" w14:textId="450DA0FA" w:rsidR="005E5D74" w:rsidRDefault="005E5D74" w:rsidP="003F0B62">
    <w:pPr>
      <w:pStyle w:val="Header"/>
      <w:tabs>
        <w:tab w:val="clear" w:pos="4320"/>
        <w:tab w:val="clear" w:pos="8640"/>
      </w:tabs>
      <w:spacing w:line="240" w:lineRule="auto"/>
      <w:jc w:val="right"/>
      <w:rPr>
        <w:noProof/>
      </w:rPr>
    </w:pPr>
    <w:r>
      <w:rPr>
        <w:noProof/>
        <w:szCs w:val="22"/>
        <w:lang w:val="fr-FR"/>
      </w:rPr>
      <w:t xml:space="preserve">Page </w:t>
    </w:r>
    <w:r w:rsidRPr="003F0B62">
      <w:rPr>
        <w:noProof/>
        <w:lang w:val="fr-FR"/>
      </w:rPr>
      <w:fldChar w:fldCharType="begin"/>
    </w:r>
    <w:r w:rsidRPr="003F0B62">
      <w:rPr>
        <w:noProof/>
        <w:lang w:val="fr-FR"/>
      </w:rPr>
      <w:instrText xml:space="preserve"> PAGE   \* MERGEFORMAT </w:instrText>
    </w:r>
    <w:r w:rsidRPr="003F0B62">
      <w:rPr>
        <w:noProof/>
        <w:lang w:val="fr-FR"/>
      </w:rPr>
      <w:fldChar w:fldCharType="separate"/>
    </w:r>
    <w:r w:rsidR="008E3261">
      <w:rPr>
        <w:noProof/>
        <w:lang w:val="fr-FR"/>
      </w:rPr>
      <w:t>5</w:t>
    </w:r>
    <w:r w:rsidRPr="003F0B62">
      <w:rPr>
        <w:noProof/>
        <w:lang w:val="fr-FR"/>
      </w:rPr>
      <w:fldChar w:fldCharType="end"/>
    </w:r>
  </w:p>
  <w:p w14:paraId="0153F528" w14:textId="77777777" w:rsidR="005E5D74" w:rsidRPr="00C83F51" w:rsidRDefault="005E5D74" w:rsidP="00C83F51">
    <w:pPr>
      <w:pStyle w:val="Header"/>
      <w:tabs>
        <w:tab w:val="clear" w:pos="4320"/>
        <w:tab w:val="clear" w:pos="8640"/>
      </w:tabs>
      <w:spacing w:line="240" w:lineRule="auto"/>
      <w:jc w:val="right"/>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3C59"/>
    <w:multiLevelType w:val="multilevel"/>
    <w:tmpl w:val="A98E446C"/>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660"/>
        </w:tabs>
        <w:ind w:left="660" w:hanging="36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280"/>
        </w:tabs>
        <w:ind w:left="2280" w:hanging="1080"/>
      </w:pPr>
      <w:rPr>
        <w:rFonts w:hint="default"/>
      </w:rPr>
    </w:lvl>
    <w:lvl w:ilvl="5">
      <w:start w:val="1"/>
      <w:numFmt w:val="decimal"/>
      <w:isLgl/>
      <w:lvlText w:val="%1.%2.%3.%4.%5.%6"/>
      <w:lvlJc w:val="left"/>
      <w:pPr>
        <w:tabs>
          <w:tab w:val="num" w:pos="2580"/>
        </w:tabs>
        <w:ind w:left="258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pStyle w:val="Para4"/>
      <w:isLgl/>
      <w:lvlText w:val="%1.%2.%3.%4.%5.%6.%7.%8"/>
      <w:lvlJc w:val="left"/>
      <w:pPr>
        <w:tabs>
          <w:tab w:val="num" w:pos="3540"/>
        </w:tabs>
        <w:ind w:left="3540" w:hanging="1440"/>
      </w:pPr>
      <w:rPr>
        <w:rFonts w:hint="default"/>
      </w:rPr>
    </w:lvl>
    <w:lvl w:ilvl="8">
      <w:start w:val="1"/>
      <w:numFmt w:val="decimal"/>
      <w:isLgl/>
      <w:lvlText w:val="%1.%2.%3.%4.%5.%6.%7.%8.%9"/>
      <w:lvlJc w:val="left"/>
      <w:pPr>
        <w:tabs>
          <w:tab w:val="num" w:pos="4200"/>
        </w:tabs>
        <w:ind w:left="4200" w:hanging="1800"/>
      </w:pPr>
      <w:rPr>
        <w:rFonts w:hint="default"/>
      </w:rPr>
    </w:lvl>
  </w:abstractNum>
  <w:abstractNum w:abstractNumId="1">
    <w:nsid w:val="055B1AE3"/>
    <w:multiLevelType w:val="hybridMultilevel"/>
    <w:tmpl w:val="798EDEBE"/>
    <w:lvl w:ilvl="0" w:tplc="CFB62B08">
      <w:start w:val="1"/>
      <w:numFmt w:val="decimal"/>
      <w:lvlText w:val="%1."/>
      <w:lvlJc w:val="left"/>
      <w:pPr>
        <w:tabs>
          <w:tab w:val="num" w:pos="1080"/>
        </w:tabs>
        <w:ind w:left="1080" w:hanging="360"/>
      </w:pPr>
      <w:rPr>
        <w:rFonts w:hint="default"/>
        <w:i w:val="0"/>
        <w:iCs/>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0A6873C5"/>
    <w:multiLevelType w:val="hybridMultilevel"/>
    <w:tmpl w:val="0E261A5A"/>
    <w:lvl w:ilvl="0" w:tplc="CFB62B08">
      <w:start w:val="1"/>
      <w:numFmt w:val="decimal"/>
      <w:lvlText w:val="%1."/>
      <w:lvlJc w:val="left"/>
      <w:pPr>
        <w:tabs>
          <w:tab w:val="num" w:pos="1080"/>
        </w:tabs>
        <w:ind w:left="1080" w:hanging="360"/>
      </w:pPr>
      <w:rPr>
        <w:rFonts w:hint="default"/>
        <w:i w:val="0"/>
        <w:iCs/>
      </w:rPr>
    </w:lvl>
    <w:lvl w:ilvl="1" w:tplc="040C0017">
      <w:start w:val="1"/>
      <w:numFmt w:val="lowerLetter"/>
      <w:lvlText w:val="%2)"/>
      <w:lvlJc w:val="left"/>
      <w:pPr>
        <w:tabs>
          <w:tab w:val="num" w:pos="2160"/>
        </w:tabs>
        <w:ind w:left="2160" w:hanging="360"/>
      </w:pPr>
      <w:rPr>
        <w:rFonts w:hint="default"/>
        <w:b w:val="0"/>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25C77BB4"/>
    <w:multiLevelType w:val="hybridMultilevel"/>
    <w:tmpl w:val="DFF69604"/>
    <w:lvl w:ilvl="0" w:tplc="3A6CBDCC">
      <w:start w:val="1"/>
      <w:numFmt w:val="decimal"/>
      <w:lvlText w:val="%1."/>
      <w:lvlJc w:val="left"/>
      <w:pPr>
        <w:ind w:left="2520" w:hanging="360"/>
      </w:pPr>
      <w:rPr>
        <w:i w:val="0"/>
      </w:rPr>
    </w:lvl>
    <w:lvl w:ilvl="1" w:tplc="040C0017">
      <w:start w:val="1"/>
      <w:numFmt w:val="lowerLetter"/>
      <w:lvlText w:val="%2)"/>
      <w:lvlJc w:val="left"/>
      <w:pPr>
        <w:ind w:left="3240" w:hanging="360"/>
      </w:pPr>
      <w:rPr>
        <w:rFonts w:hint="default"/>
        <w:b w:val="0"/>
      </w:r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4">
    <w:nsid w:val="2A5701BA"/>
    <w:multiLevelType w:val="hybridMultilevel"/>
    <w:tmpl w:val="D1C074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92250A"/>
    <w:multiLevelType w:val="hybridMultilevel"/>
    <w:tmpl w:val="FCECA4E6"/>
    <w:lvl w:ilvl="0" w:tplc="B136D1EE">
      <w:start w:val="1"/>
      <w:numFmt w:val="decimal"/>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E7504DC"/>
    <w:multiLevelType w:val="hybridMultilevel"/>
    <w:tmpl w:val="DED298B2"/>
    <w:lvl w:ilvl="0" w:tplc="C98CAE8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2F0336B8"/>
    <w:multiLevelType w:val="multilevel"/>
    <w:tmpl w:val="A644F2E6"/>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nsid w:val="2F3C588F"/>
    <w:multiLevelType w:val="hybridMultilevel"/>
    <w:tmpl w:val="3B34C99E"/>
    <w:lvl w:ilvl="0" w:tplc="C7E8AD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EB0B1E"/>
    <w:multiLevelType w:val="multilevel"/>
    <w:tmpl w:val="E07EC098"/>
    <w:lvl w:ilvl="0">
      <w:start w:val="1"/>
      <w:numFmt w:val="decimal"/>
      <w:pStyle w:val="para2"/>
      <w:lvlText w:val="%1."/>
      <w:lvlJc w:val="left"/>
      <w:pPr>
        <w:tabs>
          <w:tab w:val="num" w:pos="360"/>
        </w:tabs>
        <w:ind w:left="0" w:firstLine="0"/>
      </w:pPr>
      <w:rPr>
        <w:rFonts w:hint="default"/>
      </w:rPr>
    </w:lvl>
    <w:lvl w:ilvl="1">
      <w:start w:val="1"/>
      <w:numFmt w:val="lowerLetter"/>
      <w:lvlText w:val="(%2)"/>
      <w:lvlJc w:val="left"/>
      <w:pPr>
        <w:tabs>
          <w:tab w:val="num" w:pos="1080"/>
        </w:tabs>
        <w:ind w:left="0" w:firstLine="720"/>
      </w:pPr>
      <w:rPr>
        <w:rFonts w:hint="default"/>
      </w:rPr>
    </w:lvl>
    <w:lvl w:ilvl="2">
      <w:start w:val="1"/>
      <w:numFmt w:val="lowerRoman"/>
      <w:lvlText w:val="(%3)"/>
      <w:lvlJc w:val="right"/>
      <w:pPr>
        <w:tabs>
          <w:tab w:val="num" w:pos="2736"/>
        </w:tabs>
        <w:ind w:left="2736" w:hanging="432"/>
      </w:pPr>
      <w:rPr>
        <w:rFonts w:hint="default"/>
      </w:rPr>
    </w:lvl>
    <w:lvl w:ilvl="3">
      <w:start w:val="1"/>
      <w:numFmt w:val="decimal"/>
      <w:lvlText w:val="a."/>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0">
    <w:nsid w:val="3CE43C91"/>
    <w:multiLevelType w:val="singleLevel"/>
    <w:tmpl w:val="B36A8C58"/>
    <w:lvl w:ilvl="0">
      <w:start w:val="1"/>
      <w:numFmt w:val="decimal"/>
      <w:pStyle w:val="Paranum"/>
      <w:lvlText w:val="%1."/>
      <w:lvlJc w:val="left"/>
      <w:pPr>
        <w:tabs>
          <w:tab w:val="num" w:pos="360"/>
        </w:tabs>
        <w:ind w:left="0" w:firstLine="0"/>
      </w:pPr>
    </w:lvl>
  </w:abstractNum>
  <w:abstractNum w:abstractNumId="11">
    <w:nsid w:val="3E5E54B8"/>
    <w:multiLevelType w:val="hybridMultilevel"/>
    <w:tmpl w:val="145EE05E"/>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44CC7FBB"/>
    <w:multiLevelType w:val="hybridMultilevel"/>
    <w:tmpl w:val="8A94B994"/>
    <w:lvl w:ilvl="0" w:tplc="EB3CD996">
      <w:start w:val="1"/>
      <w:numFmt w:val="lowerLetter"/>
      <w:pStyle w:val="Para2rev"/>
      <w:lvlText w:val="(%1)"/>
      <w:lvlJc w:val="left"/>
      <w:pPr>
        <w:tabs>
          <w:tab w:val="num" w:pos="720"/>
        </w:tabs>
        <w:ind w:left="0" w:firstLine="720"/>
      </w:pPr>
      <w:rPr>
        <w:rFonts w:hint="default"/>
        <w:b w:val="0"/>
        <w:i w:val="0"/>
      </w:rPr>
    </w:lvl>
    <w:lvl w:ilvl="1" w:tplc="7C8CABE2">
      <w:start w:val="1"/>
      <w:numFmt w:val="lowerRoman"/>
      <w:lvlText w:val="(%2)"/>
      <w:lvlJc w:val="left"/>
      <w:pPr>
        <w:tabs>
          <w:tab w:val="num" w:pos="2160"/>
        </w:tabs>
        <w:ind w:left="2160" w:hanging="360"/>
      </w:pPr>
      <w:rPr>
        <w:rFonts w:hint="default"/>
        <w:b w:val="0"/>
        <w:i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474724E0"/>
    <w:multiLevelType w:val="hybridMultilevel"/>
    <w:tmpl w:val="DB2CA574"/>
    <w:lvl w:ilvl="0" w:tplc="040C0017">
      <w:start w:val="1"/>
      <w:numFmt w:val="lowerLetter"/>
      <w:lvlText w:val="%1)"/>
      <w:lvlJc w:val="left"/>
      <w:pPr>
        <w:ind w:left="3240" w:hanging="360"/>
      </w:pPr>
    </w:lvl>
    <w:lvl w:ilvl="1" w:tplc="040C0019" w:tentative="1">
      <w:start w:val="1"/>
      <w:numFmt w:val="lowerLetter"/>
      <w:lvlText w:val="%2."/>
      <w:lvlJc w:val="left"/>
      <w:pPr>
        <w:ind w:left="3960" w:hanging="360"/>
      </w:pPr>
    </w:lvl>
    <w:lvl w:ilvl="2" w:tplc="040C001B" w:tentative="1">
      <w:start w:val="1"/>
      <w:numFmt w:val="lowerRoman"/>
      <w:lvlText w:val="%3."/>
      <w:lvlJc w:val="right"/>
      <w:pPr>
        <w:ind w:left="4680" w:hanging="180"/>
      </w:pPr>
    </w:lvl>
    <w:lvl w:ilvl="3" w:tplc="040C000F" w:tentative="1">
      <w:start w:val="1"/>
      <w:numFmt w:val="decimal"/>
      <w:lvlText w:val="%4."/>
      <w:lvlJc w:val="left"/>
      <w:pPr>
        <w:ind w:left="5400" w:hanging="360"/>
      </w:pPr>
    </w:lvl>
    <w:lvl w:ilvl="4" w:tplc="040C0019" w:tentative="1">
      <w:start w:val="1"/>
      <w:numFmt w:val="lowerLetter"/>
      <w:lvlText w:val="%5."/>
      <w:lvlJc w:val="left"/>
      <w:pPr>
        <w:ind w:left="6120" w:hanging="360"/>
      </w:pPr>
    </w:lvl>
    <w:lvl w:ilvl="5" w:tplc="040C001B" w:tentative="1">
      <w:start w:val="1"/>
      <w:numFmt w:val="lowerRoman"/>
      <w:lvlText w:val="%6."/>
      <w:lvlJc w:val="right"/>
      <w:pPr>
        <w:ind w:left="6840" w:hanging="180"/>
      </w:pPr>
    </w:lvl>
    <w:lvl w:ilvl="6" w:tplc="040C000F" w:tentative="1">
      <w:start w:val="1"/>
      <w:numFmt w:val="decimal"/>
      <w:lvlText w:val="%7."/>
      <w:lvlJc w:val="left"/>
      <w:pPr>
        <w:ind w:left="7560" w:hanging="360"/>
      </w:pPr>
    </w:lvl>
    <w:lvl w:ilvl="7" w:tplc="040C0019" w:tentative="1">
      <w:start w:val="1"/>
      <w:numFmt w:val="lowerLetter"/>
      <w:lvlText w:val="%8."/>
      <w:lvlJc w:val="left"/>
      <w:pPr>
        <w:ind w:left="8280" w:hanging="360"/>
      </w:pPr>
    </w:lvl>
    <w:lvl w:ilvl="8" w:tplc="040C001B" w:tentative="1">
      <w:start w:val="1"/>
      <w:numFmt w:val="lowerRoman"/>
      <w:lvlText w:val="%9."/>
      <w:lvlJc w:val="right"/>
      <w:pPr>
        <w:ind w:left="9000" w:hanging="180"/>
      </w:pPr>
    </w:lvl>
  </w:abstractNum>
  <w:abstractNum w:abstractNumId="14">
    <w:nsid w:val="48E4287B"/>
    <w:multiLevelType w:val="multilevel"/>
    <w:tmpl w:val="DA489A90"/>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800"/>
        </w:tabs>
        <w:ind w:left="1800" w:hanging="720"/>
      </w:pPr>
    </w:lvl>
    <w:lvl w:ilvl="3">
      <w:start w:val="1"/>
      <w:numFmt w:val="decimal"/>
      <w:pStyle w:val="para40"/>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501D37DF"/>
    <w:multiLevelType w:val="hybridMultilevel"/>
    <w:tmpl w:val="145EE05E"/>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5A652967"/>
    <w:multiLevelType w:val="hybridMultilevel"/>
    <w:tmpl w:val="39EA261A"/>
    <w:lvl w:ilvl="0" w:tplc="32B4B376">
      <w:start w:val="3"/>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BA7B29"/>
    <w:multiLevelType w:val="hybridMultilevel"/>
    <w:tmpl w:val="3C4695A4"/>
    <w:lvl w:ilvl="0" w:tplc="251E613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666C0088"/>
    <w:multiLevelType w:val="hybridMultilevel"/>
    <w:tmpl w:val="79F64E6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736186"/>
    <w:multiLevelType w:val="hybridMultilevel"/>
    <w:tmpl w:val="145EE05E"/>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6A0E6677"/>
    <w:multiLevelType w:val="hybridMultilevel"/>
    <w:tmpl w:val="62B054BE"/>
    <w:lvl w:ilvl="0" w:tplc="CFB62B08">
      <w:start w:val="1"/>
      <w:numFmt w:val="decimal"/>
      <w:lvlText w:val="%1."/>
      <w:lvlJc w:val="left"/>
      <w:pPr>
        <w:tabs>
          <w:tab w:val="num" w:pos="1080"/>
        </w:tabs>
        <w:ind w:left="1080" w:hanging="360"/>
      </w:pPr>
      <w:rPr>
        <w:rFonts w:hint="default"/>
        <w:i w:val="0"/>
        <w:iCs/>
      </w:rPr>
    </w:lvl>
    <w:lvl w:ilvl="1" w:tplc="0409000F">
      <w:start w:val="1"/>
      <w:numFmt w:val="decimal"/>
      <w:lvlText w:val="%2."/>
      <w:lvlJc w:val="left"/>
      <w:pPr>
        <w:tabs>
          <w:tab w:val="num" w:pos="2160"/>
        </w:tabs>
        <w:ind w:left="2160" w:hanging="360"/>
      </w:pPr>
      <w:rPr>
        <w:rFonts w:hint="default"/>
        <w:b w:val="0"/>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6A354F3F"/>
    <w:multiLevelType w:val="hybridMultilevel"/>
    <w:tmpl w:val="18E8C9E4"/>
    <w:lvl w:ilvl="0" w:tplc="B8CCF4EE">
      <w:start w:val="1"/>
      <w:numFmt w:val="decimal"/>
      <w:lvlText w:val="(%1)"/>
      <w:lvlJc w:val="left"/>
      <w:pPr>
        <w:ind w:left="720" w:hanging="360"/>
      </w:pPr>
      <w:rPr>
        <w:rFonts w:hint="default"/>
        <w:i/>
      </w:rPr>
    </w:lvl>
    <w:lvl w:ilvl="1" w:tplc="040C0017">
      <w:start w:val="1"/>
      <w:numFmt w:val="lowerLetter"/>
      <w:lvlText w:val="%2)"/>
      <w:lvlJc w:val="left"/>
      <w:pPr>
        <w:ind w:left="1440" w:hanging="360"/>
      </w:pPr>
      <w:rPr>
        <w:rFonts w:hint="default"/>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6A3B1A90"/>
    <w:multiLevelType w:val="multilevel"/>
    <w:tmpl w:val="CA6285A6"/>
    <w:lvl w:ilvl="0">
      <w:start w:val="1"/>
      <w:numFmt w:val="decimal"/>
      <w:pStyle w:val="1Para"/>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72B85378"/>
    <w:multiLevelType w:val="hybridMultilevel"/>
    <w:tmpl w:val="ECEE2016"/>
    <w:lvl w:ilvl="0" w:tplc="B8CCF4EE">
      <w:start w:val="1"/>
      <w:numFmt w:val="decimal"/>
      <w:lvlText w:val="(%1)"/>
      <w:lvlJc w:val="left"/>
      <w:pPr>
        <w:ind w:left="720" w:hanging="360"/>
      </w:pPr>
      <w:rPr>
        <w:rFonts w:hint="default"/>
        <w:i/>
      </w:rPr>
    </w:lvl>
    <w:lvl w:ilvl="1" w:tplc="33DE54C4">
      <w:start w:val="1"/>
      <w:numFmt w:val="lowerLetter"/>
      <w:lvlText w:val="%2."/>
      <w:lvlJc w:val="left"/>
      <w:pPr>
        <w:ind w:left="1440" w:hanging="360"/>
      </w:pPr>
      <w:rPr>
        <w:rFonts w:ascii="Times New Roman" w:eastAsia="Malgun Gothic" w:hAnsi="Times New Roman" w:cs="Times New Roman"/>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741B7670"/>
    <w:multiLevelType w:val="hybridMultilevel"/>
    <w:tmpl w:val="DB32C95E"/>
    <w:lvl w:ilvl="0" w:tplc="CFB62B08">
      <w:start w:val="1"/>
      <w:numFmt w:val="decimal"/>
      <w:lvlText w:val="%1."/>
      <w:lvlJc w:val="left"/>
      <w:pPr>
        <w:tabs>
          <w:tab w:val="num" w:pos="1080"/>
        </w:tabs>
        <w:ind w:left="1080" w:hanging="360"/>
      </w:pPr>
      <w:rPr>
        <w:rFonts w:hint="default"/>
        <w:i w:val="0"/>
        <w:iCs/>
      </w:rPr>
    </w:lvl>
    <w:lvl w:ilvl="1" w:tplc="CAB40D4C">
      <w:start w:val="1"/>
      <w:numFmt w:val="lowerLetter"/>
      <w:lvlText w:val="(%2)"/>
      <w:lvlJc w:val="left"/>
      <w:pPr>
        <w:tabs>
          <w:tab w:val="num" w:pos="2160"/>
        </w:tabs>
        <w:ind w:left="2160" w:hanging="360"/>
      </w:pPr>
      <w:rPr>
        <w:rFonts w:hint="default"/>
        <w:b w:val="0"/>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78A512F6"/>
    <w:multiLevelType w:val="hybridMultilevel"/>
    <w:tmpl w:val="C3DAF8EA"/>
    <w:lvl w:ilvl="0" w:tplc="CFB62B08">
      <w:start w:val="1"/>
      <w:numFmt w:val="decimal"/>
      <w:lvlText w:val="%1."/>
      <w:lvlJc w:val="left"/>
      <w:pPr>
        <w:tabs>
          <w:tab w:val="num" w:pos="1080"/>
        </w:tabs>
        <w:ind w:left="1080" w:hanging="360"/>
      </w:pPr>
      <w:rPr>
        <w:rFonts w:hint="default"/>
        <w:i w:val="0"/>
        <w:iCs/>
      </w:rPr>
    </w:lvl>
    <w:lvl w:ilvl="1" w:tplc="040C0017">
      <w:start w:val="1"/>
      <w:numFmt w:val="lowerLetter"/>
      <w:lvlText w:val="%2)"/>
      <w:lvlJc w:val="left"/>
      <w:pPr>
        <w:tabs>
          <w:tab w:val="num" w:pos="2160"/>
        </w:tabs>
        <w:ind w:left="2160" w:hanging="360"/>
      </w:pPr>
      <w:rPr>
        <w:rFonts w:hint="default"/>
        <w:b w:val="0"/>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nsid w:val="7FDC6F27"/>
    <w:multiLevelType w:val="hybridMultilevel"/>
    <w:tmpl w:val="DED298B2"/>
    <w:lvl w:ilvl="0" w:tplc="C98CAE8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23"/>
  </w:num>
  <w:num w:numId="2">
    <w:abstractNumId w:val="0"/>
  </w:num>
  <w:num w:numId="3">
    <w:abstractNumId w:val="10"/>
  </w:num>
  <w:num w:numId="4">
    <w:abstractNumId w:val="9"/>
  </w:num>
  <w:num w:numId="5">
    <w:abstractNumId w:val="7"/>
  </w:num>
  <w:num w:numId="6">
    <w:abstractNumId w:val="12"/>
  </w:num>
  <w:num w:numId="7">
    <w:abstractNumId w:val="14"/>
  </w:num>
  <w:num w:numId="8">
    <w:abstractNumId w:val="22"/>
  </w:num>
  <w:num w:numId="9">
    <w:abstractNumId w:val="1"/>
  </w:num>
  <w:num w:numId="10">
    <w:abstractNumId w:val="11"/>
  </w:num>
  <w:num w:numId="11">
    <w:abstractNumId w:val="27"/>
  </w:num>
  <w:num w:numId="12">
    <w:abstractNumId w:val="6"/>
  </w:num>
  <w:num w:numId="13">
    <w:abstractNumId w:val="17"/>
  </w:num>
  <w:num w:numId="14">
    <w:abstractNumId w:val="25"/>
  </w:num>
  <w:num w:numId="15">
    <w:abstractNumId w:val="4"/>
  </w:num>
  <w:num w:numId="16">
    <w:abstractNumId w:val="18"/>
  </w:num>
  <w:num w:numId="17">
    <w:abstractNumId w:val="8"/>
  </w:num>
  <w:num w:numId="18">
    <w:abstractNumId w:val="15"/>
  </w:num>
  <w:num w:numId="19">
    <w:abstractNumId w:val="19"/>
  </w:num>
  <w:num w:numId="20">
    <w:abstractNumId w:val="24"/>
  </w:num>
  <w:num w:numId="21">
    <w:abstractNumId w:val="16"/>
  </w:num>
  <w:num w:numId="22">
    <w:abstractNumId w:val="2"/>
  </w:num>
  <w:num w:numId="23">
    <w:abstractNumId w:val="26"/>
  </w:num>
  <w:num w:numId="24">
    <w:abstractNumId w:val="20"/>
  </w:num>
  <w:num w:numId="25">
    <w:abstractNumId w:val="21"/>
  </w:num>
  <w:num w:numId="26">
    <w:abstractNumId w:val="3"/>
  </w:num>
  <w:num w:numId="27">
    <w:abstractNumId w:val="5"/>
  </w:num>
  <w:num w:numId="28">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AD2"/>
    <w:rsid w:val="00001A89"/>
    <w:rsid w:val="00002806"/>
    <w:rsid w:val="00007ED9"/>
    <w:rsid w:val="000108AF"/>
    <w:rsid w:val="00011CD4"/>
    <w:rsid w:val="00012D8F"/>
    <w:rsid w:val="00015ED4"/>
    <w:rsid w:val="000172CD"/>
    <w:rsid w:val="00017702"/>
    <w:rsid w:val="00017BA7"/>
    <w:rsid w:val="00020588"/>
    <w:rsid w:val="00023F06"/>
    <w:rsid w:val="00025F48"/>
    <w:rsid w:val="0002673D"/>
    <w:rsid w:val="00027A92"/>
    <w:rsid w:val="00030CA9"/>
    <w:rsid w:val="0003254E"/>
    <w:rsid w:val="00034AE4"/>
    <w:rsid w:val="00034B15"/>
    <w:rsid w:val="00035453"/>
    <w:rsid w:val="00036963"/>
    <w:rsid w:val="00036C24"/>
    <w:rsid w:val="00041F78"/>
    <w:rsid w:val="00042E4C"/>
    <w:rsid w:val="0004684C"/>
    <w:rsid w:val="00051B51"/>
    <w:rsid w:val="000521FB"/>
    <w:rsid w:val="00052804"/>
    <w:rsid w:val="00055CB0"/>
    <w:rsid w:val="0005720C"/>
    <w:rsid w:val="00060C2A"/>
    <w:rsid w:val="00060ED0"/>
    <w:rsid w:val="000649C2"/>
    <w:rsid w:val="00067576"/>
    <w:rsid w:val="00076F86"/>
    <w:rsid w:val="00077B4E"/>
    <w:rsid w:val="0008015B"/>
    <w:rsid w:val="0008030C"/>
    <w:rsid w:val="00082926"/>
    <w:rsid w:val="00083C03"/>
    <w:rsid w:val="000845F4"/>
    <w:rsid w:val="000848E9"/>
    <w:rsid w:val="00085D30"/>
    <w:rsid w:val="00087FAC"/>
    <w:rsid w:val="000901DD"/>
    <w:rsid w:val="000910F7"/>
    <w:rsid w:val="00091A66"/>
    <w:rsid w:val="000962FB"/>
    <w:rsid w:val="00097AB7"/>
    <w:rsid w:val="000A188A"/>
    <w:rsid w:val="000A2B3E"/>
    <w:rsid w:val="000A2E4B"/>
    <w:rsid w:val="000A38E5"/>
    <w:rsid w:val="000A413F"/>
    <w:rsid w:val="000A4171"/>
    <w:rsid w:val="000B5634"/>
    <w:rsid w:val="000C06BB"/>
    <w:rsid w:val="000C091B"/>
    <w:rsid w:val="000C0D38"/>
    <w:rsid w:val="000C1356"/>
    <w:rsid w:val="000C198C"/>
    <w:rsid w:val="000C34C3"/>
    <w:rsid w:val="000C7F58"/>
    <w:rsid w:val="000D26BE"/>
    <w:rsid w:val="000D2BE8"/>
    <w:rsid w:val="000D55DD"/>
    <w:rsid w:val="000D7D1C"/>
    <w:rsid w:val="000E086B"/>
    <w:rsid w:val="000E28F7"/>
    <w:rsid w:val="000E5584"/>
    <w:rsid w:val="000F23D0"/>
    <w:rsid w:val="000F2BC9"/>
    <w:rsid w:val="000F2FE9"/>
    <w:rsid w:val="000F31D0"/>
    <w:rsid w:val="000F3F64"/>
    <w:rsid w:val="000F5D5E"/>
    <w:rsid w:val="00100228"/>
    <w:rsid w:val="001009CD"/>
    <w:rsid w:val="001016FB"/>
    <w:rsid w:val="00102019"/>
    <w:rsid w:val="001025EB"/>
    <w:rsid w:val="0010263C"/>
    <w:rsid w:val="001055A7"/>
    <w:rsid w:val="0010579C"/>
    <w:rsid w:val="001069B7"/>
    <w:rsid w:val="00110718"/>
    <w:rsid w:val="00110AE6"/>
    <w:rsid w:val="001112F0"/>
    <w:rsid w:val="00113E3D"/>
    <w:rsid w:val="001144F2"/>
    <w:rsid w:val="00114AC9"/>
    <w:rsid w:val="0011585C"/>
    <w:rsid w:val="00115D59"/>
    <w:rsid w:val="001172C0"/>
    <w:rsid w:val="001202F3"/>
    <w:rsid w:val="00120962"/>
    <w:rsid w:val="00120B82"/>
    <w:rsid w:val="00120CDD"/>
    <w:rsid w:val="00121F0F"/>
    <w:rsid w:val="00124640"/>
    <w:rsid w:val="00130282"/>
    <w:rsid w:val="00131374"/>
    <w:rsid w:val="00131FCC"/>
    <w:rsid w:val="0013233D"/>
    <w:rsid w:val="0013664D"/>
    <w:rsid w:val="001372C2"/>
    <w:rsid w:val="00137AB5"/>
    <w:rsid w:val="001406EB"/>
    <w:rsid w:val="001438A0"/>
    <w:rsid w:val="0014482F"/>
    <w:rsid w:val="00146717"/>
    <w:rsid w:val="0014686D"/>
    <w:rsid w:val="00152C56"/>
    <w:rsid w:val="001539D4"/>
    <w:rsid w:val="00154616"/>
    <w:rsid w:val="00155382"/>
    <w:rsid w:val="001569C0"/>
    <w:rsid w:val="00156A84"/>
    <w:rsid w:val="00157035"/>
    <w:rsid w:val="001579FE"/>
    <w:rsid w:val="00161741"/>
    <w:rsid w:val="00161E14"/>
    <w:rsid w:val="0016492C"/>
    <w:rsid w:val="001712F8"/>
    <w:rsid w:val="00174868"/>
    <w:rsid w:val="001748EE"/>
    <w:rsid w:val="00175FDF"/>
    <w:rsid w:val="00177375"/>
    <w:rsid w:val="001814D6"/>
    <w:rsid w:val="00181CA1"/>
    <w:rsid w:val="00182715"/>
    <w:rsid w:val="00183F3F"/>
    <w:rsid w:val="00184AD7"/>
    <w:rsid w:val="00185104"/>
    <w:rsid w:val="001903CF"/>
    <w:rsid w:val="001922EE"/>
    <w:rsid w:val="0019278B"/>
    <w:rsid w:val="00193963"/>
    <w:rsid w:val="00194CA8"/>
    <w:rsid w:val="001A279C"/>
    <w:rsid w:val="001A49E1"/>
    <w:rsid w:val="001A5C39"/>
    <w:rsid w:val="001A6137"/>
    <w:rsid w:val="001A6CEC"/>
    <w:rsid w:val="001B4BAB"/>
    <w:rsid w:val="001B4D6B"/>
    <w:rsid w:val="001B5153"/>
    <w:rsid w:val="001B6176"/>
    <w:rsid w:val="001B71FB"/>
    <w:rsid w:val="001C2116"/>
    <w:rsid w:val="001D060D"/>
    <w:rsid w:val="001D0DE8"/>
    <w:rsid w:val="001D31CA"/>
    <w:rsid w:val="001D35E9"/>
    <w:rsid w:val="001D589E"/>
    <w:rsid w:val="001D7DFF"/>
    <w:rsid w:val="001E4736"/>
    <w:rsid w:val="001E63B0"/>
    <w:rsid w:val="001F034F"/>
    <w:rsid w:val="001F09AB"/>
    <w:rsid w:val="001F1D23"/>
    <w:rsid w:val="001F1F8E"/>
    <w:rsid w:val="001F2911"/>
    <w:rsid w:val="001F7E74"/>
    <w:rsid w:val="0020430B"/>
    <w:rsid w:val="0020486B"/>
    <w:rsid w:val="00204D4A"/>
    <w:rsid w:val="002063BD"/>
    <w:rsid w:val="002106DE"/>
    <w:rsid w:val="00211567"/>
    <w:rsid w:val="00214FDD"/>
    <w:rsid w:val="00224F27"/>
    <w:rsid w:val="002267EA"/>
    <w:rsid w:val="0023398E"/>
    <w:rsid w:val="00234D12"/>
    <w:rsid w:val="0023514C"/>
    <w:rsid w:val="0024025A"/>
    <w:rsid w:val="0025080C"/>
    <w:rsid w:val="00251E6F"/>
    <w:rsid w:val="0025346E"/>
    <w:rsid w:val="00254F2F"/>
    <w:rsid w:val="002633AE"/>
    <w:rsid w:val="00266E50"/>
    <w:rsid w:val="00267A70"/>
    <w:rsid w:val="00270B84"/>
    <w:rsid w:val="00271187"/>
    <w:rsid w:val="00273C04"/>
    <w:rsid w:val="0027529A"/>
    <w:rsid w:val="00275E56"/>
    <w:rsid w:val="00276FB0"/>
    <w:rsid w:val="0028028F"/>
    <w:rsid w:val="002814F7"/>
    <w:rsid w:val="002819BE"/>
    <w:rsid w:val="00283D70"/>
    <w:rsid w:val="00287947"/>
    <w:rsid w:val="00287EDE"/>
    <w:rsid w:val="002916FC"/>
    <w:rsid w:val="002933AE"/>
    <w:rsid w:val="00294803"/>
    <w:rsid w:val="0029490A"/>
    <w:rsid w:val="00295CEF"/>
    <w:rsid w:val="00295F38"/>
    <w:rsid w:val="00296D98"/>
    <w:rsid w:val="002A0630"/>
    <w:rsid w:val="002A0FFC"/>
    <w:rsid w:val="002A1ADE"/>
    <w:rsid w:val="002A36DD"/>
    <w:rsid w:val="002A3D69"/>
    <w:rsid w:val="002A3DDA"/>
    <w:rsid w:val="002A6B58"/>
    <w:rsid w:val="002B0B36"/>
    <w:rsid w:val="002B2C1C"/>
    <w:rsid w:val="002B4963"/>
    <w:rsid w:val="002B5156"/>
    <w:rsid w:val="002C3E36"/>
    <w:rsid w:val="002C6551"/>
    <w:rsid w:val="002C6BCB"/>
    <w:rsid w:val="002D2C7E"/>
    <w:rsid w:val="002D5914"/>
    <w:rsid w:val="002D6076"/>
    <w:rsid w:val="002D7B63"/>
    <w:rsid w:val="002E0127"/>
    <w:rsid w:val="002E0276"/>
    <w:rsid w:val="002E0D2D"/>
    <w:rsid w:val="002E0E38"/>
    <w:rsid w:val="002E0F85"/>
    <w:rsid w:val="002E248F"/>
    <w:rsid w:val="002E6966"/>
    <w:rsid w:val="002E69E8"/>
    <w:rsid w:val="002E6CCF"/>
    <w:rsid w:val="002E7BD7"/>
    <w:rsid w:val="002F1468"/>
    <w:rsid w:val="002F2B95"/>
    <w:rsid w:val="002F47CD"/>
    <w:rsid w:val="002F646C"/>
    <w:rsid w:val="002F750B"/>
    <w:rsid w:val="002F7A6D"/>
    <w:rsid w:val="002F7D82"/>
    <w:rsid w:val="003017F8"/>
    <w:rsid w:val="00304DAE"/>
    <w:rsid w:val="00305005"/>
    <w:rsid w:val="00307687"/>
    <w:rsid w:val="0031216F"/>
    <w:rsid w:val="00314302"/>
    <w:rsid w:val="0031431F"/>
    <w:rsid w:val="003150C8"/>
    <w:rsid w:val="003168AC"/>
    <w:rsid w:val="003228D2"/>
    <w:rsid w:val="00323C76"/>
    <w:rsid w:val="00326A2C"/>
    <w:rsid w:val="00327C1B"/>
    <w:rsid w:val="00331A84"/>
    <w:rsid w:val="003322FB"/>
    <w:rsid w:val="00334378"/>
    <w:rsid w:val="00334C12"/>
    <w:rsid w:val="00337435"/>
    <w:rsid w:val="003415E6"/>
    <w:rsid w:val="00342571"/>
    <w:rsid w:val="00343D66"/>
    <w:rsid w:val="00350055"/>
    <w:rsid w:val="003508A2"/>
    <w:rsid w:val="00350CEB"/>
    <w:rsid w:val="00351A3C"/>
    <w:rsid w:val="00351C19"/>
    <w:rsid w:val="003607A6"/>
    <w:rsid w:val="003710B1"/>
    <w:rsid w:val="00371969"/>
    <w:rsid w:val="00377012"/>
    <w:rsid w:val="0038138A"/>
    <w:rsid w:val="00381AFD"/>
    <w:rsid w:val="00382761"/>
    <w:rsid w:val="003855CB"/>
    <w:rsid w:val="00387239"/>
    <w:rsid w:val="0039111B"/>
    <w:rsid w:val="00392292"/>
    <w:rsid w:val="00392857"/>
    <w:rsid w:val="00392DFF"/>
    <w:rsid w:val="003932D7"/>
    <w:rsid w:val="00395F6B"/>
    <w:rsid w:val="003A1BD9"/>
    <w:rsid w:val="003A5E5C"/>
    <w:rsid w:val="003A6FD8"/>
    <w:rsid w:val="003B0657"/>
    <w:rsid w:val="003B1124"/>
    <w:rsid w:val="003B1465"/>
    <w:rsid w:val="003B156D"/>
    <w:rsid w:val="003B26C3"/>
    <w:rsid w:val="003B452A"/>
    <w:rsid w:val="003B45AF"/>
    <w:rsid w:val="003B63AA"/>
    <w:rsid w:val="003B6C1B"/>
    <w:rsid w:val="003C0175"/>
    <w:rsid w:val="003C273E"/>
    <w:rsid w:val="003C333B"/>
    <w:rsid w:val="003C6D37"/>
    <w:rsid w:val="003D3333"/>
    <w:rsid w:val="003D6363"/>
    <w:rsid w:val="003E1482"/>
    <w:rsid w:val="003E519F"/>
    <w:rsid w:val="003E739A"/>
    <w:rsid w:val="003F03CA"/>
    <w:rsid w:val="003F077C"/>
    <w:rsid w:val="003F0B62"/>
    <w:rsid w:val="003F2FDE"/>
    <w:rsid w:val="003F3251"/>
    <w:rsid w:val="003F3495"/>
    <w:rsid w:val="003F4485"/>
    <w:rsid w:val="003F79EF"/>
    <w:rsid w:val="00400762"/>
    <w:rsid w:val="0040095C"/>
    <w:rsid w:val="00407AB7"/>
    <w:rsid w:val="00407F70"/>
    <w:rsid w:val="00410513"/>
    <w:rsid w:val="00412F21"/>
    <w:rsid w:val="00412FED"/>
    <w:rsid w:val="0041426C"/>
    <w:rsid w:val="00414BD0"/>
    <w:rsid w:val="00417810"/>
    <w:rsid w:val="0042082F"/>
    <w:rsid w:val="00420D87"/>
    <w:rsid w:val="004235DC"/>
    <w:rsid w:val="0042467A"/>
    <w:rsid w:val="004250F2"/>
    <w:rsid w:val="004253CE"/>
    <w:rsid w:val="00434044"/>
    <w:rsid w:val="004340BC"/>
    <w:rsid w:val="004340D0"/>
    <w:rsid w:val="00434F5A"/>
    <w:rsid w:val="0043511A"/>
    <w:rsid w:val="0043577B"/>
    <w:rsid w:val="00436235"/>
    <w:rsid w:val="0043692A"/>
    <w:rsid w:val="00441E5B"/>
    <w:rsid w:val="00444939"/>
    <w:rsid w:val="00447A36"/>
    <w:rsid w:val="00452377"/>
    <w:rsid w:val="00455771"/>
    <w:rsid w:val="00455F14"/>
    <w:rsid w:val="00456596"/>
    <w:rsid w:val="0046115B"/>
    <w:rsid w:val="004627B2"/>
    <w:rsid w:val="0046496D"/>
    <w:rsid w:val="00466426"/>
    <w:rsid w:val="0046668D"/>
    <w:rsid w:val="0047029F"/>
    <w:rsid w:val="00470422"/>
    <w:rsid w:val="004704F6"/>
    <w:rsid w:val="004726D1"/>
    <w:rsid w:val="00477C90"/>
    <w:rsid w:val="00477DE3"/>
    <w:rsid w:val="0048006E"/>
    <w:rsid w:val="00483CB0"/>
    <w:rsid w:val="00484FBE"/>
    <w:rsid w:val="00485E7F"/>
    <w:rsid w:val="00486CA9"/>
    <w:rsid w:val="00486E75"/>
    <w:rsid w:val="00487CDF"/>
    <w:rsid w:val="00495C53"/>
    <w:rsid w:val="00497005"/>
    <w:rsid w:val="004A5952"/>
    <w:rsid w:val="004B268C"/>
    <w:rsid w:val="004B27E3"/>
    <w:rsid w:val="004B3131"/>
    <w:rsid w:val="004B3C0A"/>
    <w:rsid w:val="004B44EB"/>
    <w:rsid w:val="004B4C1F"/>
    <w:rsid w:val="004B5874"/>
    <w:rsid w:val="004B5F99"/>
    <w:rsid w:val="004B6AB5"/>
    <w:rsid w:val="004B70F6"/>
    <w:rsid w:val="004B73C1"/>
    <w:rsid w:val="004C15A9"/>
    <w:rsid w:val="004C25E9"/>
    <w:rsid w:val="004C3FF2"/>
    <w:rsid w:val="004C50B8"/>
    <w:rsid w:val="004D1079"/>
    <w:rsid w:val="004D4112"/>
    <w:rsid w:val="004D5915"/>
    <w:rsid w:val="004D6361"/>
    <w:rsid w:val="004D670F"/>
    <w:rsid w:val="004D7752"/>
    <w:rsid w:val="004E0456"/>
    <w:rsid w:val="004E0681"/>
    <w:rsid w:val="004E098F"/>
    <w:rsid w:val="004E0C19"/>
    <w:rsid w:val="004E43D5"/>
    <w:rsid w:val="004E5DB0"/>
    <w:rsid w:val="004E625F"/>
    <w:rsid w:val="004F0AA8"/>
    <w:rsid w:val="004F2146"/>
    <w:rsid w:val="004F289C"/>
    <w:rsid w:val="004F2DD7"/>
    <w:rsid w:val="004F38A4"/>
    <w:rsid w:val="004F3932"/>
    <w:rsid w:val="004F3E56"/>
    <w:rsid w:val="004F408D"/>
    <w:rsid w:val="004F4199"/>
    <w:rsid w:val="005029D1"/>
    <w:rsid w:val="0050377C"/>
    <w:rsid w:val="00510275"/>
    <w:rsid w:val="00515339"/>
    <w:rsid w:val="005159F6"/>
    <w:rsid w:val="0051690F"/>
    <w:rsid w:val="00520897"/>
    <w:rsid w:val="00523109"/>
    <w:rsid w:val="0052428C"/>
    <w:rsid w:val="0052538F"/>
    <w:rsid w:val="00527C2B"/>
    <w:rsid w:val="00536118"/>
    <w:rsid w:val="00537867"/>
    <w:rsid w:val="00544B80"/>
    <w:rsid w:val="00550138"/>
    <w:rsid w:val="005519F4"/>
    <w:rsid w:val="00555229"/>
    <w:rsid w:val="00561654"/>
    <w:rsid w:val="00561E74"/>
    <w:rsid w:val="005636EA"/>
    <w:rsid w:val="00563ED8"/>
    <w:rsid w:val="00564FDB"/>
    <w:rsid w:val="0056513E"/>
    <w:rsid w:val="00566A6A"/>
    <w:rsid w:val="005672AD"/>
    <w:rsid w:val="00567318"/>
    <w:rsid w:val="00570D58"/>
    <w:rsid w:val="0057261F"/>
    <w:rsid w:val="00574382"/>
    <w:rsid w:val="00576A53"/>
    <w:rsid w:val="00577129"/>
    <w:rsid w:val="00577B67"/>
    <w:rsid w:val="00581095"/>
    <w:rsid w:val="00583027"/>
    <w:rsid w:val="00583298"/>
    <w:rsid w:val="00587568"/>
    <w:rsid w:val="005A103F"/>
    <w:rsid w:val="005A47CA"/>
    <w:rsid w:val="005A7FE5"/>
    <w:rsid w:val="005B31F8"/>
    <w:rsid w:val="005B3761"/>
    <w:rsid w:val="005B637E"/>
    <w:rsid w:val="005B6B5E"/>
    <w:rsid w:val="005C1ECA"/>
    <w:rsid w:val="005C78D8"/>
    <w:rsid w:val="005D0FBE"/>
    <w:rsid w:val="005D26B9"/>
    <w:rsid w:val="005D3243"/>
    <w:rsid w:val="005D5958"/>
    <w:rsid w:val="005D6575"/>
    <w:rsid w:val="005E19B3"/>
    <w:rsid w:val="005E26E3"/>
    <w:rsid w:val="005E29E3"/>
    <w:rsid w:val="005E2C2E"/>
    <w:rsid w:val="005E5D74"/>
    <w:rsid w:val="005E5EEB"/>
    <w:rsid w:val="005E6498"/>
    <w:rsid w:val="005E782C"/>
    <w:rsid w:val="005F0FA6"/>
    <w:rsid w:val="005F244E"/>
    <w:rsid w:val="005F3626"/>
    <w:rsid w:val="005F40A5"/>
    <w:rsid w:val="005F4384"/>
    <w:rsid w:val="005F70F3"/>
    <w:rsid w:val="00600209"/>
    <w:rsid w:val="00600CE6"/>
    <w:rsid w:val="006032D6"/>
    <w:rsid w:val="00604ADD"/>
    <w:rsid w:val="00604D44"/>
    <w:rsid w:val="00610C00"/>
    <w:rsid w:val="0061119C"/>
    <w:rsid w:val="00611559"/>
    <w:rsid w:val="00611829"/>
    <w:rsid w:val="00612349"/>
    <w:rsid w:val="006126DE"/>
    <w:rsid w:val="00612A9C"/>
    <w:rsid w:val="00614644"/>
    <w:rsid w:val="006155EC"/>
    <w:rsid w:val="00621EE6"/>
    <w:rsid w:val="00622168"/>
    <w:rsid w:val="00623107"/>
    <w:rsid w:val="00625CCB"/>
    <w:rsid w:val="006273D0"/>
    <w:rsid w:val="00630B00"/>
    <w:rsid w:val="0063100E"/>
    <w:rsid w:val="00633BF3"/>
    <w:rsid w:val="00634B22"/>
    <w:rsid w:val="006352F8"/>
    <w:rsid w:val="006401AE"/>
    <w:rsid w:val="006419FC"/>
    <w:rsid w:val="00641C8D"/>
    <w:rsid w:val="00642019"/>
    <w:rsid w:val="00643487"/>
    <w:rsid w:val="006457F3"/>
    <w:rsid w:val="006460FF"/>
    <w:rsid w:val="00646610"/>
    <w:rsid w:val="00646A9F"/>
    <w:rsid w:val="006476BC"/>
    <w:rsid w:val="00652AF0"/>
    <w:rsid w:val="00653651"/>
    <w:rsid w:val="006548D5"/>
    <w:rsid w:val="0065737F"/>
    <w:rsid w:val="00660D56"/>
    <w:rsid w:val="0066192C"/>
    <w:rsid w:val="006625E4"/>
    <w:rsid w:val="006631E2"/>
    <w:rsid w:val="00663559"/>
    <w:rsid w:val="006643FA"/>
    <w:rsid w:val="0066533A"/>
    <w:rsid w:val="00666606"/>
    <w:rsid w:val="0066726E"/>
    <w:rsid w:val="00672427"/>
    <w:rsid w:val="006725CA"/>
    <w:rsid w:val="00672B47"/>
    <w:rsid w:val="00682268"/>
    <w:rsid w:val="0068466A"/>
    <w:rsid w:val="00687578"/>
    <w:rsid w:val="006906DA"/>
    <w:rsid w:val="00690C6D"/>
    <w:rsid w:val="006912DB"/>
    <w:rsid w:val="00692961"/>
    <w:rsid w:val="00692BC8"/>
    <w:rsid w:val="006952F8"/>
    <w:rsid w:val="006B0A85"/>
    <w:rsid w:val="006B1CFB"/>
    <w:rsid w:val="006B2DCE"/>
    <w:rsid w:val="006B366B"/>
    <w:rsid w:val="006B36DD"/>
    <w:rsid w:val="006C1A35"/>
    <w:rsid w:val="006C2004"/>
    <w:rsid w:val="006C211D"/>
    <w:rsid w:val="006C243B"/>
    <w:rsid w:val="006C270A"/>
    <w:rsid w:val="006C47DE"/>
    <w:rsid w:val="006C4E98"/>
    <w:rsid w:val="006C6266"/>
    <w:rsid w:val="006C6B12"/>
    <w:rsid w:val="006C7559"/>
    <w:rsid w:val="006C788F"/>
    <w:rsid w:val="006D37EE"/>
    <w:rsid w:val="006D6E3D"/>
    <w:rsid w:val="006D7523"/>
    <w:rsid w:val="006D7EAF"/>
    <w:rsid w:val="006E21F5"/>
    <w:rsid w:val="006E27EE"/>
    <w:rsid w:val="006E425D"/>
    <w:rsid w:val="006E48B8"/>
    <w:rsid w:val="006F29C1"/>
    <w:rsid w:val="006F3006"/>
    <w:rsid w:val="006F32CB"/>
    <w:rsid w:val="006F6B94"/>
    <w:rsid w:val="006F6E2C"/>
    <w:rsid w:val="006F7888"/>
    <w:rsid w:val="00702123"/>
    <w:rsid w:val="00702246"/>
    <w:rsid w:val="00704581"/>
    <w:rsid w:val="00706461"/>
    <w:rsid w:val="007118A4"/>
    <w:rsid w:val="00715A1C"/>
    <w:rsid w:val="00717428"/>
    <w:rsid w:val="00722071"/>
    <w:rsid w:val="00725EC9"/>
    <w:rsid w:val="00730FEF"/>
    <w:rsid w:val="00734C1B"/>
    <w:rsid w:val="00734DBE"/>
    <w:rsid w:val="0073695D"/>
    <w:rsid w:val="00736F98"/>
    <w:rsid w:val="00742FFB"/>
    <w:rsid w:val="00744D8A"/>
    <w:rsid w:val="00752D32"/>
    <w:rsid w:val="00754365"/>
    <w:rsid w:val="00755EC4"/>
    <w:rsid w:val="0075601D"/>
    <w:rsid w:val="00756B46"/>
    <w:rsid w:val="0075736E"/>
    <w:rsid w:val="00757C4D"/>
    <w:rsid w:val="007602C1"/>
    <w:rsid w:val="0076319F"/>
    <w:rsid w:val="00763C7A"/>
    <w:rsid w:val="00765E5E"/>
    <w:rsid w:val="00766B31"/>
    <w:rsid w:val="00766E68"/>
    <w:rsid w:val="00780AFD"/>
    <w:rsid w:val="00784717"/>
    <w:rsid w:val="0078648B"/>
    <w:rsid w:val="00786885"/>
    <w:rsid w:val="007879EA"/>
    <w:rsid w:val="0079061D"/>
    <w:rsid w:val="00790F0D"/>
    <w:rsid w:val="0079761B"/>
    <w:rsid w:val="007A3692"/>
    <w:rsid w:val="007A4B70"/>
    <w:rsid w:val="007A68D6"/>
    <w:rsid w:val="007A75E5"/>
    <w:rsid w:val="007B386A"/>
    <w:rsid w:val="007B6A54"/>
    <w:rsid w:val="007B7DE9"/>
    <w:rsid w:val="007C05E6"/>
    <w:rsid w:val="007C6B00"/>
    <w:rsid w:val="007C6D92"/>
    <w:rsid w:val="007D0D0B"/>
    <w:rsid w:val="007D0E25"/>
    <w:rsid w:val="007D6ADB"/>
    <w:rsid w:val="007E1A57"/>
    <w:rsid w:val="007E4D78"/>
    <w:rsid w:val="007E5C05"/>
    <w:rsid w:val="007E7C5B"/>
    <w:rsid w:val="007E7D64"/>
    <w:rsid w:val="007E7F9A"/>
    <w:rsid w:val="007F0038"/>
    <w:rsid w:val="007F22C6"/>
    <w:rsid w:val="007F3A65"/>
    <w:rsid w:val="007F48C5"/>
    <w:rsid w:val="007F4BD8"/>
    <w:rsid w:val="007F6999"/>
    <w:rsid w:val="00800453"/>
    <w:rsid w:val="00803914"/>
    <w:rsid w:val="00804776"/>
    <w:rsid w:val="00804D10"/>
    <w:rsid w:val="0080647E"/>
    <w:rsid w:val="0081401E"/>
    <w:rsid w:val="00814AD2"/>
    <w:rsid w:val="00823BCB"/>
    <w:rsid w:val="008268DD"/>
    <w:rsid w:val="008310BE"/>
    <w:rsid w:val="0083597A"/>
    <w:rsid w:val="00836F4C"/>
    <w:rsid w:val="008404F1"/>
    <w:rsid w:val="008407E1"/>
    <w:rsid w:val="008430B1"/>
    <w:rsid w:val="0084393F"/>
    <w:rsid w:val="00844EDC"/>
    <w:rsid w:val="00845849"/>
    <w:rsid w:val="008465A0"/>
    <w:rsid w:val="008475FC"/>
    <w:rsid w:val="00850575"/>
    <w:rsid w:val="0085093F"/>
    <w:rsid w:val="00851892"/>
    <w:rsid w:val="00852264"/>
    <w:rsid w:val="00855299"/>
    <w:rsid w:val="0085550E"/>
    <w:rsid w:val="00857D2D"/>
    <w:rsid w:val="00857F19"/>
    <w:rsid w:val="008606C6"/>
    <w:rsid w:val="00860A34"/>
    <w:rsid w:val="00864F65"/>
    <w:rsid w:val="008650BD"/>
    <w:rsid w:val="00866EAC"/>
    <w:rsid w:val="00867638"/>
    <w:rsid w:val="00870ABC"/>
    <w:rsid w:val="00871107"/>
    <w:rsid w:val="008711BF"/>
    <w:rsid w:val="008730B6"/>
    <w:rsid w:val="00874201"/>
    <w:rsid w:val="00877526"/>
    <w:rsid w:val="008802CE"/>
    <w:rsid w:val="00880489"/>
    <w:rsid w:val="008808AC"/>
    <w:rsid w:val="0088150C"/>
    <w:rsid w:val="008835BB"/>
    <w:rsid w:val="00883C05"/>
    <w:rsid w:val="00886FF9"/>
    <w:rsid w:val="00890ED7"/>
    <w:rsid w:val="00891887"/>
    <w:rsid w:val="008925C8"/>
    <w:rsid w:val="0089384C"/>
    <w:rsid w:val="008947CF"/>
    <w:rsid w:val="00894D29"/>
    <w:rsid w:val="008965A0"/>
    <w:rsid w:val="008A0ED7"/>
    <w:rsid w:val="008A3225"/>
    <w:rsid w:val="008A4960"/>
    <w:rsid w:val="008A5DEB"/>
    <w:rsid w:val="008A7949"/>
    <w:rsid w:val="008B1B54"/>
    <w:rsid w:val="008B3098"/>
    <w:rsid w:val="008B63F7"/>
    <w:rsid w:val="008B7737"/>
    <w:rsid w:val="008B793E"/>
    <w:rsid w:val="008B7E0C"/>
    <w:rsid w:val="008C3020"/>
    <w:rsid w:val="008C4239"/>
    <w:rsid w:val="008C5EB8"/>
    <w:rsid w:val="008C72D2"/>
    <w:rsid w:val="008D18FE"/>
    <w:rsid w:val="008D2EFE"/>
    <w:rsid w:val="008D710E"/>
    <w:rsid w:val="008E010A"/>
    <w:rsid w:val="008E04E6"/>
    <w:rsid w:val="008E1203"/>
    <w:rsid w:val="008E19D3"/>
    <w:rsid w:val="008E3261"/>
    <w:rsid w:val="008E379C"/>
    <w:rsid w:val="008E3D03"/>
    <w:rsid w:val="008E4DB1"/>
    <w:rsid w:val="008E5E36"/>
    <w:rsid w:val="008F0534"/>
    <w:rsid w:val="008F1F62"/>
    <w:rsid w:val="008F2D5C"/>
    <w:rsid w:val="008F560A"/>
    <w:rsid w:val="00902700"/>
    <w:rsid w:val="00903ACD"/>
    <w:rsid w:val="009041BC"/>
    <w:rsid w:val="00904DE1"/>
    <w:rsid w:val="009120C3"/>
    <w:rsid w:val="009135B2"/>
    <w:rsid w:val="00913D80"/>
    <w:rsid w:val="00914360"/>
    <w:rsid w:val="00917CA5"/>
    <w:rsid w:val="00920218"/>
    <w:rsid w:val="0092049B"/>
    <w:rsid w:val="0092169D"/>
    <w:rsid w:val="00921F19"/>
    <w:rsid w:val="00923590"/>
    <w:rsid w:val="00923683"/>
    <w:rsid w:val="00924675"/>
    <w:rsid w:val="00924A65"/>
    <w:rsid w:val="009256E4"/>
    <w:rsid w:val="009266BA"/>
    <w:rsid w:val="009301C4"/>
    <w:rsid w:val="00930AEC"/>
    <w:rsid w:val="00931FBE"/>
    <w:rsid w:val="009324CA"/>
    <w:rsid w:val="00932560"/>
    <w:rsid w:val="00936D65"/>
    <w:rsid w:val="00937488"/>
    <w:rsid w:val="00940595"/>
    <w:rsid w:val="00941EF9"/>
    <w:rsid w:val="009424F7"/>
    <w:rsid w:val="00943126"/>
    <w:rsid w:val="00943726"/>
    <w:rsid w:val="00944ABA"/>
    <w:rsid w:val="009501B2"/>
    <w:rsid w:val="0095101E"/>
    <w:rsid w:val="00953843"/>
    <w:rsid w:val="00954557"/>
    <w:rsid w:val="00954B03"/>
    <w:rsid w:val="00954FF0"/>
    <w:rsid w:val="009561C3"/>
    <w:rsid w:val="00957416"/>
    <w:rsid w:val="00963555"/>
    <w:rsid w:val="00963618"/>
    <w:rsid w:val="00963DFF"/>
    <w:rsid w:val="009655C3"/>
    <w:rsid w:val="009672A6"/>
    <w:rsid w:val="00967AFE"/>
    <w:rsid w:val="00967C3C"/>
    <w:rsid w:val="00970839"/>
    <w:rsid w:val="00972116"/>
    <w:rsid w:val="00977084"/>
    <w:rsid w:val="0098259C"/>
    <w:rsid w:val="009838C4"/>
    <w:rsid w:val="00985627"/>
    <w:rsid w:val="00985703"/>
    <w:rsid w:val="0098621B"/>
    <w:rsid w:val="00997B65"/>
    <w:rsid w:val="009A0010"/>
    <w:rsid w:val="009A008E"/>
    <w:rsid w:val="009A16A8"/>
    <w:rsid w:val="009A17DF"/>
    <w:rsid w:val="009A66FD"/>
    <w:rsid w:val="009A6A28"/>
    <w:rsid w:val="009B1F3A"/>
    <w:rsid w:val="009B4B3E"/>
    <w:rsid w:val="009B5CE4"/>
    <w:rsid w:val="009B6F9D"/>
    <w:rsid w:val="009C00A8"/>
    <w:rsid w:val="009C01EF"/>
    <w:rsid w:val="009C04B8"/>
    <w:rsid w:val="009C1A30"/>
    <w:rsid w:val="009C3CB9"/>
    <w:rsid w:val="009C582C"/>
    <w:rsid w:val="009D0B63"/>
    <w:rsid w:val="009D229D"/>
    <w:rsid w:val="009D3E8E"/>
    <w:rsid w:val="009D508F"/>
    <w:rsid w:val="009D5B43"/>
    <w:rsid w:val="009E0C44"/>
    <w:rsid w:val="009E2D92"/>
    <w:rsid w:val="009E40E0"/>
    <w:rsid w:val="009E5586"/>
    <w:rsid w:val="009E55B3"/>
    <w:rsid w:val="009F10C5"/>
    <w:rsid w:val="009F16D2"/>
    <w:rsid w:val="009F2C3E"/>
    <w:rsid w:val="009F2CFA"/>
    <w:rsid w:val="009F5196"/>
    <w:rsid w:val="009F5605"/>
    <w:rsid w:val="009F5EC2"/>
    <w:rsid w:val="009F6BDA"/>
    <w:rsid w:val="009F78BA"/>
    <w:rsid w:val="00A00D10"/>
    <w:rsid w:val="00A01DA6"/>
    <w:rsid w:val="00A03A07"/>
    <w:rsid w:val="00A04ADE"/>
    <w:rsid w:val="00A06497"/>
    <w:rsid w:val="00A07E1B"/>
    <w:rsid w:val="00A130A7"/>
    <w:rsid w:val="00A13C2D"/>
    <w:rsid w:val="00A13D5F"/>
    <w:rsid w:val="00A15683"/>
    <w:rsid w:val="00A17BD2"/>
    <w:rsid w:val="00A17BD8"/>
    <w:rsid w:val="00A206FF"/>
    <w:rsid w:val="00A22721"/>
    <w:rsid w:val="00A2623F"/>
    <w:rsid w:val="00A26EF6"/>
    <w:rsid w:val="00A27A13"/>
    <w:rsid w:val="00A27E28"/>
    <w:rsid w:val="00A3070B"/>
    <w:rsid w:val="00A3147B"/>
    <w:rsid w:val="00A316C4"/>
    <w:rsid w:val="00A35D3A"/>
    <w:rsid w:val="00A35D5F"/>
    <w:rsid w:val="00A37231"/>
    <w:rsid w:val="00A406D1"/>
    <w:rsid w:val="00A42BFC"/>
    <w:rsid w:val="00A445FD"/>
    <w:rsid w:val="00A44875"/>
    <w:rsid w:val="00A46976"/>
    <w:rsid w:val="00A52DAD"/>
    <w:rsid w:val="00A53770"/>
    <w:rsid w:val="00A558FB"/>
    <w:rsid w:val="00A57218"/>
    <w:rsid w:val="00A60509"/>
    <w:rsid w:val="00A619F7"/>
    <w:rsid w:val="00A61CF6"/>
    <w:rsid w:val="00A623A9"/>
    <w:rsid w:val="00A63175"/>
    <w:rsid w:val="00A65851"/>
    <w:rsid w:val="00A65EDE"/>
    <w:rsid w:val="00A67FC9"/>
    <w:rsid w:val="00A701AA"/>
    <w:rsid w:val="00A7048F"/>
    <w:rsid w:val="00A7207C"/>
    <w:rsid w:val="00A733C3"/>
    <w:rsid w:val="00A751B9"/>
    <w:rsid w:val="00A76C4D"/>
    <w:rsid w:val="00A76EA3"/>
    <w:rsid w:val="00A8232D"/>
    <w:rsid w:val="00A83284"/>
    <w:rsid w:val="00A84E66"/>
    <w:rsid w:val="00A90854"/>
    <w:rsid w:val="00A9103B"/>
    <w:rsid w:val="00A91100"/>
    <w:rsid w:val="00A913BB"/>
    <w:rsid w:val="00A94BF5"/>
    <w:rsid w:val="00A9623F"/>
    <w:rsid w:val="00A96536"/>
    <w:rsid w:val="00A969D5"/>
    <w:rsid w:val="00AA2E8F"/>
    <w:rsid w:val="00AA3924"/>
    <w:rsid w:val="00AA420D"/>
    <w:rsid w:val="00AA5FAD"/>
    <w:rsid w:val="00AA780F"/>
    <w:rsid w:val="00AA7C4D"/>
    <w:rsid w:val="00AB034C"/>
    <w:rsid w:val="00AB11C4"/>
    <w:rsid w:val="00AC296D"/>
    <w:rsid w:val="00AC4117"/>
    <w:rsid w:val="00AC55EA"/>
    <w:rsid w:val="00AC5688"/>
    <w:rsid w:val="00AC7155"/>
    <w:rsid w:val="00AD09BF"/>
    <w:rsid w:val="00AD4019"/>
    <w:rsid w:val="00AD4127"/>
    <w:rsid w:val="00AD5957"/>
    <w:rsid w:val="00AE058C"/>
    <w:rsid w:val="00AE2FDD"/>
    <w:rsid w:val="00AE3712"/>
    <w:rsid w:val="00AE455B"/>
    <w:rsid w:val="00AE464B"/>
    <w:rsid w:val="00AE7849"/>
    <w:rsid w:val="00AE7E8A"/>
    <w:rsid w:val="00AF0026"/>
    <w:rsid w:val="00AF07BE"/>
    <w:rsid w:val="00AF2CBD"/>
    <w:rsid w:val="00AF6F89"/>
    <w:rsid w:val="00B03906"/>
    <w:rsid w:val="00B0429A"/>
    <w:rsid w:val="00B05364"/>
    <w:rsid w:val="00B11042"/>
    <w:rsid w:val="00B1314E"/>
    <w:rsid w:val="00B13C1D"/>
    <w:rsid w:val="00B14096"/>
    <w:rsid w:val="00B148DD"/>
    <w:rsid w:val="00B14FED"/>
    <w:rsid w:val="00B20257"/>
    <w:rsid w:val="00B20F09"/>
    <w:rsid w:val="00B22E5F"/>
    <w:rsid w:val="00B23CB2"/>
    <w:rsid w:val="00B23CE9"/>
    <w:rsid w:val="00B24D1C"/>
    <w:rsid w:val="00B2589D"/>
    <w:rsid w:val="00B332BA"/>
    <w:rsid w:val="00B33E04"/>
    <w:rsid w:val="00B415CC"/>
    <w:rsid w:val="00B42354"/>
    <w:rsid w:val="00B4246B"/>
    <w:rsid w:val="00B4265E"/>
    <w:rsid w:val="00B42AA4"/>
    <w:rsid w:val="00B43A02"/>
    <w:rsid w:val="00B4435F"/>
    <w:rsid w:val="00B47E7D"/>
    <w:rsid w:val="00B52505"/>
    <w:rsid w:val="00B557A7"/>
    <w:rsid w:val="00B557F5"/>
    <w:rsid w:val="00B55A16"/>
    <w:rsid w:val="00B57535"/>
    <w:rsid w:val="00B57689"/>
    <w:rsid w:val="00B60B6A"/>
    <w:rsid w:val="00B64F65"/>
    <w:rsid w:val="00B677D7"/>
    <w:rsid w:val="00B71CCC"/>
    <w:rsid w:val="00B72C36"/>
    <w:rsid w:val="00B74187"/>
    <w:rsid w:val="00B74387"/>
    <w:rsid w:val="00B74F8B"/>
    <w:rsid w:val="00B812A5"/>
    <w:rsid w:val="00B81864"/>
    <w:rsid w:val="00B81E5E"/>
    <w:rsid w:val="00B83613"/>
    <w:rsid w:val="00B85EF2"/>
    <w:rsid w:val="00B86962"/>
    <w:rsid w:val="00B87A04"/>
    <w:rsid w:val="00B92D7B"/>
    <w:rsid w:val="00B94425"/>
    <w:rsid w:val="00B95247"/>
    <w:rsid w:val="00B9602D"/>
    <w:rsid w:val="00B971D2"/>
    <w:rsid w:val="00B97BA3"/>
    <w:rsid w:val="00BA01A1"/>
    <w:rsid w:val="00BA059A"/>
    <w:rsid w:val="00BA2AFA"/>
    <w:rsid w:val="00BA3273"/>
    <w:rsid w:val="00BA3652"/>
    <w:rsid w:val="00BA39F3"/>
    <w:rsid w:val="00BA3BC2"/>
    <w:rsid w:val="00BA7834"/>
    <w:rsid w:val="00BB0EAA"/>
    <w:rsid w:val="00BB1200"/>
    <w:rsid w:val="00BB14F5"/>
    <w:rsid w:val="00BB2BAD"/>
    <w:rsid w:val="00BB322E"/>
    <w:rsid w:val="00BB4B6D"/>
    <w:rsid w:val="00BB4C7B"/>
    <w:rsid w:val="00BB53BA"/>
    <w:rsid w:val="00BC0B72"/>
    <w:rsid w:val="00BC0D23"/>
    <w:rsid w:val="00BC43CB"/>
    <w:rsid w:val="00BC4EDB"/>
    <w:rsid w:val="00BC5C5A"/>
    <w:rsid w:val="00BC7935"/>
    <w:rsid w:val="00BD0583"/>
    <w:rsid w:val="00BD2DF5"/>
    <w:rsid w:val="00BD3787"/>
    <w:rsid w:val="00BD3B5F"/>
    <w:rsid w:val="00BD3B88"/>
    <w:rsid w:val="00BD4775"/>
    <w:rsid w:val="00BD6195"/>
    <w:rsid w:val="00BD6E40"/>
    <w:rsid w:val="00BE249D"/>
    <w:rsid w:val="00BE29C9"/>
    <w:rsid w:val="00BE2D3F"/>
    <w:rsid w:val="00BE5870"/>
    <w:rsid w:val="00BE63FB"/>
    <w:rsid w:val="00BE699D"/>
    <w:rsid w:val="00BF1BE8"/>
    <w:rsid w:val="00BF3FF9"/>
    <w:rsid w:val="00BF4CBF"/>
    <w:rsid w:val="00BF5988"/>
    <w:rsid w:val="00BF6A3E"/>
    <w:rsid w:val="00BF6C59"/>
    <w:rsid w:val="00C00A1F"/>
    <w:rsid w:val="00C01CF1"/>
    <w:rsid w:val="00C023CC"/>
    <w:rsid w:val="00C033FA"/>
    <w:rsid w:val="00C03695"/>
    <w:rsid w:val="00C04923"/>
    <w:rsid w:val="00C059F8"/>
    <w:rsid w:val="00C06B14"/>
    <w:rsid w:val="00C1218F"/>
    <w:rsid w:val="00C12FA5"/>
    <w:rsid w:val="00C130EB"/>
    <w:rsid w:val="00C14DCD"/>
    <w:rsid w:val="00C14DE1"/>
    <w:rsid w:val="00C1512D"/>
    <w:rsid w:val="00C15C4B"/>
    <w:rsid w:val="00C16DEC"/>
    <w:rsid w:val="00C17551"/>
    <w:rsid w:val="00C17602"/>
    <w:rsid w:val="00C224A8"/>
    <w:rsid w:val="00C23A18"/>
    <w:rsid w:val="00C26520"/>
    <w:rsid w:val="00C278E3"/>
    <w:rsid w:val="00C30308"/>
    <w:rsid w:val="00C338A7"/>
    <w:rsid w:val="00C34ED4"/>
    <w:rsid w:val="00C37E4D"/>
    <w:rsid w:val="00C44C13"/>
    <w:rsid w:val="00C50E4C"/>
    <w:rsid w:val="00C510E0"/>
    <w:rsid w:val="00C5210A"/>
    <w:rsid w:val="00C56317"/>
    <w:rsid w:val="00C567A2"/>
    <w:rsid w:val="00C574FE"/>
    <w:rsid w:val="00C57BE4"/>
    <w:rsid w:val="00C645D5"/>
    <w:rsid w:val="00C64D5B"/>
    <w:rsid w:val="00C6618F"/>
    <w:rsid w:val="00C702EE"/>
    <w:rsid w:val="00C71476"/>
    <w:rsid w:val="00C75CB2"/>
    <w:rsid w:val="00C80233"/>
    <w:rsid w:val="00C82942"/>
    <w:rsid w:val="00C838BB"/>
    <w:rsid w:val="00C83F51"/>
    <w:rsid w:val="00C857F2"/>
    <w:rsid w:val="00C862E6"/>
    <w:rsid w:val="00C9078F"/>
    <w:rsid w:val="00C923F4"/>
    <w:rsid w:val="00C92CB2"/>
    <w:rsid w:val="00C97440"/>
    <w:rsid w:val="00CA3EBA"/>
    <w:rsid w:val="00CB2B3B"/>
    <w:rsid w:val="00CB2F10"/>
    <w:rsid w:val="00CB41BE"/>
    <w:rsid w:val="00CB56D4"/>
    <w:rsid w:val="00CC0B55"/>
    <w:rsid w:val="00CC28D9"/>
    <w:rsid w:val="00CC4FD9"/>
    <w:rsid w:val="00CD70BE"/>
    <w:rsid w:val="00CD7485"/>
    <w:rsid w:val="00CE0B7A"/>
    <w:rsid w:val="00CE0D7E"/>
    <w:rsid w:val="00CE14C5"/>
    <w:rsid w:val="00CE2661"/>
    <w:rsid w:val="00CE5262"/>
    <w:rsid w:val="00CE6269"/>
    <w:rsid w:val="00CE78EE"/>
    <w:rsid w:val="00CF30C1"/>
    <w:rsid w:val="00CF7BA9"/>
    <w:rsid w:val="00D01055"/>
    <w:rsid w:val="00D02A58"/>
    <w:rsid w:val="00D04508"/>
    <w:rsid w:val="00D05135"/>
    <w:rsid w:val="00D05CBC"/>
    <w:rsid w:val="00D061A0"/>
    <w:rsid w:val="00D06BC4"/>
    <w:rsid w:val="00D073F3"/>
    <w:rsid w:val="00D101CB"/>
    <w:rsid w:val="00D1025F"/>
    <w:rsid w:val="00D10971"/>
    <w:rsid w:val="00D11C5F"/>
    <w:rsid w:val="00D129D9"/>
    <w:rsid w:val="00D14384"/>
    <w:rsid w:val="00D15470"/>
    <w:rsid w:val="00D21716"/>
    <w:rsid w:val="00D27735"/>
    <w:rsid w:val="00D30D11"/>
    <w:rsid w:val="00D32B09"/>
    <w:rsid w:val="00D332AF"/>
    <w:rsid w:val="00D33B36"/>
    <w:rsid w:val="00D35718"/>
    <w:rsid w:val="00D35FC4"/>
    <w:rsid w:val="00D41A96"/>
    <w:rsid w:val="00D41E00"/>
    <w:rsid w:val="00D4368F"/>
    <w:rsid w:val="00D448F6"/>
    <w:rsid w:val="00D44BF8"/>
    <w:rsid w:val="00D50CC4"/>
    <w:rsid w:val="00D5126C"/>
    <w:rsid w:val="00D51701"/>
    <w:rsid w:val="00D517ED"/>
    <w:rsid w:val="00D5271A"/>
    <w:rsid w:val="00D53E8A"/>
    <w:rsid w:val="00D557CA"/>
    <w:rsid w:val="00D5765F"/>
    <w:rsid w:val="00D6240F"/>
    <w:rsid w:val="00D62680"/>
    <w:rsid w:val="00D635B2"/>
    <w:rsid w:val="00D64D2A"/>
    <w:rsid w:val="00D67F5B"/>
    <w:rsid w:val="00D70CF0"/>
    <w:rsid w:val="00D7162C"/>
    <w:rsid w:val="00D72148"/>
    <w:rsid w:val="00D73278"/>
    <w:rsid w:val="00D73B3B"/>
    <w:rsid w:val="00D74593"/>
    <w:rsid w:val="00D74ACA"/>
    <w:rsid w:val="00D76C3D"/>
    <w:rsid w:val="00D76EBD"/>
    <w:rsid w:val="00D82355"/>
    <w:rsid w:val="00D83AB9"/>
    <w:rsid w:val="00D84813"/>
    <w:rsid w:val="00D93569"/>
    <w:rsid w:val="00D940D9"/>
    <w:rsid w:val="00D948C4"/>
    <w:rsid w:val="00D960EF"/>
    <w:rsid w:val="00D9624D"/>
    <w:rsid w:val="00D967B4"/>
    <w:rsid w:val="00D974C2"/>
    <w:rsid w:val="00D974C3"/>
    <w:rsid w:val="00DA2F8D"/>
    <w:rsid w:val="00DA3799"/>
    <w:rsid w:val="00DA4399"/>
    <w:rsid w:val="00DA595E"/>
    <w:rsid w:val="00DA7DFE"/>
    <w:rsid w:val="00DB2327"/>
    <w:rsid w:val="00DB23E9"/>
    <w:rsid w:val="00DB27A2"/>
    <w:rsid w:val="00DB296D"/>
    <w:rsid w:val="00DB546F"/>
    <w:rsid w:val="00DB59BA"/>
    <w:rsid w:val="00DB6CF7"/>
    <w:rsid w:val="00DB7018"/>
    <w:rsid w:val="00DC200F"/>
    <w:rsid w:val="00DC222A"/>
    <w:rsid w:val="00DC4D17"/>
    <w:rsid w:val="00DC6FAB"/>
    <w:rsid w:val="00DC7C6F"/>
    <w:rsid w:val="00DD0B58"/>
    <w:rsid w:val="00DD1764"/>
    <w:rsid w:val="00DD1DF3"/>
    <w:rsid w:val="00DD3CFD"/>
    <w:rsid w:val="00DD3FFA"/>
    <w:rsid w:val="00DD52E2"/>
    <w:rsid w:val="00DD550E"/>
    <w:rsid w:val="00DE511D"/>
    <w:rsid w:val="00DE6F83"/>
    <w:rsid w:val="00DE730D"/>
    <w:rsid w:val="00DE7A4F"/>
    <w:rsid w:val="00E00F80"/>
    <w:rsid w:val="00E03755"/>
    <w:rsid w:val="00E039B7"/>
    <w:rsid w:val="00E056FC"/>
    <w:rsid w:val="00E0694E"/>
    <w:rsid w:val="00E0707F"/>
    <w:rsid w:val="00E07DB7"/>
    <w:rsid w:val="00E11117"/>
    <w:rsid w:val="00E13D1F"/>
    <w:rsid w:val="00E141E8"/>
    <w:rsid w:val="00E1450B"/>
    <w:rsid w:val="00E17B2C"/>
    <w:rsid w:val="00E21467"/>
    <w:rsid w:val="00E23CEA"/>
    <w:rsid w:val="00E23E4D"/>
    <w:rsid w:val="00E24900"/>
    <w:rsid w:val="00E25614"/>
    <w:rsid w:val="00E26506"/>
    <w:rsid w:val="00E30176"/>
    <w:rsid w:val="00E317E6"/>
    <w:rsid w:val="00E31C4B"/>
    <w:rsid w:val="00E35BC2"/>
    <w:rsid w:val="00E40265"/>
    <w:rsid w:val="00E41A95"/>
    <w:rsid w:val="00E422BB"/>
    <w:rsid w:val="00E46A49"/>
    <w:rsid w:val="00E4767A"/>
    <w:rsid w:val="00E5508C"/>
    <w:rsid w:val="00E601F0"/>
    <w:rsid w:val="00E611C6"/>
    <w:rsid w:val="00E621ED"/>
    <w:rsid w:val="00E66F62"/>
    <w:rsid w:val="00E6761C"/>
    <w:rsid w:val="00E67807"/>
    <w:rsid w:val="00E70108"/>
    <w:rsid w:val="00E704E2"/>
    <w:rsid w:val="00E709A1"/>
    <w:rsid w:val="00E73D25"/>
    <w:rsid w:val="00E74A8A"/>
    <w:rsid w:val="00E74AC1"/>
    <w:rsid w:val="00E76EDA"/>
    <w:rsid w:val="00E82926"/>
    <w:rsid w:val="00E853F9"/>
    <w:rsid w:val="00E86D3B"/>
    <w:rsid w:val="00E87786"/>
    <w:rsid w:val="00E9004E"/>
    <w:rsid w:val="00E90441"/>
    <w:rsid w:val="00E9192C"/>
    <w:rsid w:val="00E91EE4"/>
    <w:rsid w:val="00E92B2B"/>
    <w:rsid w:val="00E93A9D"/>
    <w:rsid w:val="00E94200"/>
    <w:rsid w:val="00E955BB"/>
    <w:rsid w:val="00E96EF1"/>
    <w:rsid w:val="00E974E9"/>
    <w:rsid w:val="00EA2587"/>
    <w:rsid w:val="00EA2814"/>
    <w:rsid w:val="00EA37F6"/>
    <w:rsid w:val="00EA58D0"/>
    <w:rsid w:val="00EA5C07"/>
    <w:rsid w:val="00EA5DEF"/>
    <w:rsid w:val="00EA65E1"/>
    <w:rsid w:val="00EA6740"/>
    <w:rsid w:val="00EA7434"/>
    <w:rsid w:val="00EA7DA0"/>
    <w:rsid w:val="00EB0B5C"/>
    <w:rsid w:val="00EB2EA7"/>
    <w:rsid w:val="00EB36BB"/>
    <w:rsid w:val="00EB5798"/>
    <w:rsid w:val="00EB712F"/>
    <w:rsid w:val="00EB7CE2"/>
    <w:rsid w:val="00EC0012"/>
    <w:rsid w:val="00EC1151"/>
    <w:rsid w:val="00EC3DA4"/>
    <w:rsid w:val="00EC6C75"/>
    <w:rsid w:val="00EC70CE"/>
    <w:rsid w:val="00EC7976"/>
    <w:rsid w:val="00ED08CB"/>
    <w:rsid w:val="00ED436E"/>
    <w:rsid w:val="00ED5FCF"/>
    <w:rsid w:val="00EE35F4"/>
    <w:rsid w:val="00EE3A39"/>
    <w:rsid w:val="00EE3E0F"/>
    <w:rsid w:val="00EE4986"/>
    <w:rsid w:val="00EE5E1B"/>
    <w:rsid w:val="00EE6A49"/>
    <w:rsid w:val="00EE715D"/>
    <w:rsid w:val="00EE7D4E"/>
    <w:rsid w:val="00EF1172"/>
    <w:rsid w:val="00EF1758"/>
    <w:rsid w:val="00EF2CBB"/>
    <w:rsid w:val="00EF2EAF"/>
    <w:rsid w:val="00EF496B"/>
    <w:rsid w:val="00EF7889"/>
    <w:rsid w:val="00F0077B"/>
    <w:rsid w:val="00F0145E"/>
    <w:rsid w:val="00F02763"/>
    <w:rsid w:val="00F03C15"/>
    <w:rsid w:val="00F050B9"/>
    <w:rsid w:val="00F066AA"/>
    <w:rsid w:val="00F06D6A"/>
    <w:rsid w:val="00F07A56"/>
    <w:rsid w:val="00F07DA4"/>
    <w:rsid w:val="00F10F11"/>
    <w:rsid w:val="00F11368"/>
    <w:rsid w:val="00F120D6"/>
    <w:rsid w:val="00F17D7A"/>
    <w:rsid w:val="00F23811"/>
    <w:rsid w:val="00F2441C"/>
    <w:rsid w:val="00F32AB4"/>
    <w:rsid w:val="00F356C8"/>
    <w:rsid w:val="00F35921"/>
    <w:rsid w:val="00F45131"/>
    <w:rsid w:val="00F5043C"/>
    <w:rsid w:val="00F50D34"/>
    <w:rsid w:val="00F53452"/>
    <w:rsid w:val="00F55F1A"/>
    <w:rsid w:val="00F62DE2"/>
    <w:rsid w:val="00F6358B"/>
    <w:rsid w:val="00F64BF1"/>
    <w:rsid w:val="00F70CEE"/>
    <w:rsid w:val="00F70E87"/>
    <w:rsid w:val="00F71D3D"/>
    <w:rsid w:val="00F72868"/>
    <w:rsid w:val="00F732D4"/>
    <w:rsid w:val="00F7601F"/>
    <w:rsid w:val="00F764CA"/>
    <w:rsid w:val="00F77CB7"/>
    <w:rsid w:val="00F80938"/>
    <w:rsid w:val="00F8115E"/>
    <w:rsid w:val="00F81B61"/>
    <w:rsid w:val="00F826FE"/>
    <w:rsid w:val="00F82F1D"/>
    <w:rsid w:val="00F84C8D"/>
    <w:rsid w:val="00F85427"/>
    <w:rsid w:val="00F90432"/>
    <w:rsid w:val="00F931AA"/>
    <w:rsid w:val="00F95447"/>
    <w:rsid w:val="00F979B0"/>
    <w:rsid w:val="00FA1017"/>
    <w:rsid w:val="00FA2155"/>
    <w:rsid w:val="00FA2708"/>
    <w:rsid w:val="00FA368B"/>
    <w:rsid w:val="00FB13E2"/>
    <w:rsid w:val="00FB2C5B"/>
    <w:rsid w:val="00FB3A74"/>
    <w:rsid w:val="00FB5B3B"/>
    <w:rsid w:val="00FB6863"/>
    <w:rsid w:val="00FB6C06"/>
    <w:rsid w:val="00FC1D63"/>
    <w:rsid w:val="00FC3D20"/>
    <w:rsid w:val="00FC5258"/>
    <w:rsid w:val="00FC68EC"/>
    <w:rsid w:val="00FC767B"/>
    <w:rsid w:val="00FD5E99"/>
    <w:rsid w:val="00FD6D67"/>
    <w:rsid w:val="00FD6E97"/>
    <w:rsid w:val="00FD79E3"/>
    <w:rsid w:val="00FD7F18"/>
    <w:rsid w:val="00FE2A70"/>
    <w:rsid w:val="00FE5BD0"/>
    <w:rsid w:val="00FE795C"/>
    <w:rsid w:val="00FF2C4F"/>
    <w:rsid w:val="00FF5384"/>
    <w:rsid w:val="00FF741A"/>
    <w:rsid w:val="00FF757B"/>
    <w:rsid w:val="00FF7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169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uiPriority="0"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2"/>
      <w:szCs w:val="24"/>
      <w:lang w:val="en-GB"/>
    </w:rPr>
  </w:style>
  <w:style w:type="paragraph" w:styleId="Heading1">
    <w:name w:val="heading 1"/>
    <w:basedOn w:val="Normal"/>
    <w:next w:val="Heading2"/>
    <w:qFormat/>
    <w:pPr>
      <w:keepNext/>
      <w:tabs>
        <w:tab w:val="left" w:pos="720"/>
      </w:tabs>
      <w:spacing w:before="240" w:after="120"/>
      <w:jc w:val="center"/>
      <w:outlineLvl w:val="0"/>
    </w:pPr>
    <w:rPr>
      <w:b/>
      <w:caps/>
    </w:rPr>
  </w:style>
  <w:style w:type="paragraph" w:styleId="Heading2">
    <w:name w:val="heading 2"/>
    <w:basedOn w:val="Normal"/>
    <w:next w:val="Normal"/>
    <w:link w:val="Heading2Char"/>
    <w:qFormat/>
    <w:pPr>
      <w:keepNext/>
      <w:tabs>
        <w:tab w:val="left" w:pos="720"/>
      </w:tabs>
      <w:spacing w:before="120" w:after="120"/>
      <w:jc w:val="center"/>
      <w:outlineLvl w:val="1"/>
    </w:pPr>
    <w:rPr>
      <w:b/>
      <w:bCs/>
      <w:i/>
      <w:iCs/>
    </w:rPr>
  </w:style>
  <w:style w:type="paragraph" w:styleId="Heading3">
    <w:name w:val="heading 3"/>
    <w:basedOn w:val="Normal"/>
    <w:next w:val="Normal"/>
    <w:qFormat/>
    <w:pPr>
      <w:keepNext/>
      <w:tabs>
        <w:tab w:val="left" w:pos="567"/>
      </w:tabs>
      <w:spacing w:before="120" w:after="120"/>
      <w:jc w:val="center"/>
      <w:outlineLvl w:val="2"/>
    </w:pPr>
    <w:rPr>
      <w:i/>
      <w:iCs/>
    </w:rPr>
  </w:style>
  <w:style w:type="paragraph" w:styleId="Heading4">
    <w:name w:val="heading 4"/>
    <w:basedOn w:val="Normal"/>
    <w:qFormat/>
    <w:pPr>
      <w:keepNext/>
      <w:outlineLvl w:val="3"/>
    </w:pPr>
    <w:rPr>
      <w:b/>
      <w:i/>
    </w:rPr>
  </w:style>
  <w:style w:type="paragraph" w:styleId="Heading5">
    <w:name w:val="heading 5"/>
    <w:basedOn w:val="Normal"/>
    <w:next w:val="Normal"/>
    <w:qFormat/>
    <w:pPr>
      <w:keepNext/>
      <w:numPr>
        <w:ilvl w:val="4"/>
        <w:numId w:val="5"/>
      </w:numPr>
      <w:spacing w:before="120" w:after="120"/>
      <w:jc w:val="left"/>
      <w:outlineLvl w:val="4"/>
    </w:pPr>
    <w:rPr>
      <w:bCs/>
      <w:i/>
      <w:szCs w:val="26"/>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qFormat/>
    <w:pPr>
      <w:keepNext/>
      <w:jc w:val="right"/>
      <w:outlineLvl w:val="6"/>
    </w:pPr>
    <w:rPr>
      <w:rFonts w:ascii="Univers" w:hAnsi="Univers"/>
      <w:b/>
      <w:sz w:val="28"/>
    </w:rPr>
  </w:style>
  <w:style w:type="paragraph" w:styleId="Heading8">
    <w:name w:val="heading 8"/>
    <w:basedOn w:val="Normal"/>
    <w:next w:val="Normal"/>
    <w:qFormat/>
    <w:pPr>
      <w:keepNext/>
      <w:jc w:val="right"/>
      <w:outlineLvl w:val="7"/>
    </w:pPr>
    <w:rPr>
      <w:rFonts w:ascii="Univers" w:hAnsi="Univers"/>
      <w:b/>
      <w:sz w:val="32"/>
    </w:rPr>
  </w:style>
  <w:style w:type="paragraph" w:styleId="Heading9">
    <w:name w:val="heading 9"/>
    <w:basedOn w:val="Normal"/>
    <w:next w:val="Normal"/>
    <w:qFormat/>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ar,Car"/>
    <w:basedOn w:val="Normal"/>
    <w:link w:val="BodyTextChar"/>
    <w:pPr>
      <w:spacing w:before="120" w:after="120"/>
      <w:ind w:firstLine="720"/>
    </w:pPr>
    <w:rPr>
      <w:iCs/>
    </w:rPr>
  </w:style>
  <w:style w:type="paragraph" w:styleId="Footer">
    <w:name w:val="footer"/>
    <w:basedOn w:val="Normal"/>
    <w:pPr>
      <w:tabs>
        <w:tab w:val="center" w:pos="4320"/>
        <w:tab w:val="right" w:pos="8640"/>
      </w:tabs>
      <w:ind w:firstLine="720"/>
      <w:jc w:val="right"/>
    </w:pPr>
  </w:style>
  <w:style w:type="paragraph" w:customStyle="1" w:styleId="Para1">
    <w:name w:val="Para1"/>
    <w:basedOn w:val="Normal"/>
    <w:rsid w:val="003855CB"/>
    <w:pPr>
      <w:spacing w:before="120" w:after="120"/>
    </w:pPr>
    <w:rPr>
      <w:snapToGrid w:val="0"/>
      <w:szCs w:val="18"/>
    </w:rPr>
  </w:style>
  <w:style w:type="paragraph" w:customStyle="1" w:styleId="Para20">
    <w:name w:val="Para2"/>
    <w:basedOn w:val="Para1"/>
    <w:pPr>
      <w:tabs>
        <w:tab w:val="num" w:pos="720"/>
      </w:tabs>
      <w:autoSpaceDE w:val="0"/>
      <w:autoSpaceDN w:val="0"/>
      <w:ind w:firstLine="720"/>
    </w:pPr>
  </w:style>
  <w:style w:type="paragraph" w:customStyle="1" w:styleId="Para3">
    <w:name w:val="Para3"/>
    <w:basedOn w:val="Normal"/>
    <w:pPr>
      <w:tabs>
        <w:tab w:val="left" w:pos="1980"/>
      </w:tabs>
      <w:spacing w:before="80" w:after="80"/>
    </w:pPr>
    <w:rPr>
      <w:szCs w:val="20"/>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1"/>
    <w:uiPriority w:val="99"/>
    <w:qFormat/>
    <w:pPr>
      <w:keepLines/>
      <w:spacing w:after="60"/>
      <w:ind w:firstLine="720"/>
    </w:pPr>
    <w:rPr>
      <w:sz w:val="18"/>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qFormat/>
    <w:rPr>
      <w:sz w:val="18"/>
      <w:u w:val="single"/>
      <w:vertAlign w:val="baseline"/>
    </w:rPr>
  </w:style>
  <w:style w:type="paragraph" w:customStyle="1" w:styleId="Cornernotation">
    <w:name w:val="Corner notation"/>
    <w:basedOn w:val="Normal"/>
    <w:pPr>
      <w:ind w:left="284" w:right="4398" w:hanging="284"/>
      <w:jc w:val="left"/>
    </w:pPr>
  </w:style>
  <w:style w:type="paragraph" w:customStyle="1" w:styleId="para2">
    <w:name w:val="para2"/>
    <w:basedOn w:val="Normal"/>
    <w:pPr>
      <w:numPr>
        <w:numId w:val="4"/>
      </w:numPr>
      <w:tabs>
        <w:tab w:val="clear" w:pos="360"/>
      </w:tabs>
      <w:spacing w:before="120" w:after="120"/>
    </w:pPr>
    <w:rPr>
      <w:szCs w:val="20"/>
    </w:rPr>
  </w:style>
  <w:style w:type="paragraph" w:customStyle="1" w:styleId="Paranum">
    <w:name w:val="Paranum"/>
    <w:basedOn w:val="Para1"/>
    <w:pPr>
      <w:numPr>
        <w:numId w:val="3"/>
      </w:numPr>
      <w:spacing w:line="240" w:lineRule="exact"/>
    </w:pPr>
    <w:rPr>
      <w:snapToGrid/>
      <w:szCs w:val="20"/>
      <w:lang w:val="en-US"/>
    </w:rPr>
  </w:style>
  <w:style w:type="paragraph" w:styleId="EndnoteText">
    <w:name w:val="endnote text"/>
    <w:basedOn w:val="Normal"/>
    <w:semiHidden/>
    <w:pPr>
      <w:widowControl w:val="0"/>
      <w:tabs>
        <w:tab w:val="left" w:pos="-720"/>
      </w:tabs>
      <w:suppressAutoHyphens/>
    </w:pPr>
    <w:rPr>
      <w:rFonts w:ascii="Courier New" w:hAnsi="Courier New"/>
    </w:rPr>
  </w:style>
  <w:style w:type="character" w:styleId="EndnoteReference">
    <w:name w:val="endnote reference"/>
    <w:semiHidden/>
    <w:rPr>
      <w:vertAlign w:val="superscript"/>
    </w:rPr>
  </w:style>
  <w:style w:type="character" w:styleId="PageNumber">
    <w:name w:val="page number"/>
    <w:rPr>
      <w:rFonts w:ascii="Times New Roman" w:hAnsi="Times New Roman"/>
      <w:sz w:val="22"/>
    </w:rPr>
  </w:style>
  <w:style w:type="paragraph" w:customStyle="1" w:styleId="para40">
    <w:name w:val="para4"/>
    <w:basedOn w:val="Normal"/>
    <w:pPr>
      <w:numPr>
        <w:ilvl w:val="3"/>
        <w:numId w:val="7"/>
      </w:numPr>
      <w:tabs>
        <w:tab w:val="clear" w:pos="1440"/>
        <w:tab w:val="num" w:pos="2160"/>
      </w:tabs>
      <w:overflowPunct w:val="0"/>
      <w:autoSpaceDE w:val="0"/>
      <w:autoSpaceDN w:val="0"/>
      <w:adjustRightInd w:val="0"/>
      <w:spacing w:after="120" w:line="240" w:lineRule="atLeast"/>
      <w:ind w:left="2160" w:hanging="720"/>
      <w:textAlignment w:val="baseline"/>
    </w:pPr>
    <w:rPr>
      <w:rFonts w:ascii="Courier" w:hAnsi="Courier"/>
      <w:color w:val="000000"/>
      <w:sz w:val="20"/>
      <w:szCs w:val="20"/>
    </w:r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Para1"/>
    <w:pPr>
      <w:spacing w:before="120"/>
      <w:ind w:left="1843" w:right="998" w:hanging="567"/>
      <w:jc w:val="left"/>
    </w:pPr>
    <w:rPr>
      <w:i/>
      <w:iCs/>
      <w:caps w:val="0"/>
    </w:rPr>
  </w:style>
  <w:style w:type="paragraph" w:customStyle="1" w:styleId="Heading3multiline">
    <w:name w:val="Heading 3 (multiline)"/>
    <w:basedOn w:val="Heading3"/>
    <w:next w:val="Para1"/>
    <w:pPr>
      <w:tabs>
        <w:tab w:val="clear" w:pos="567"/>
        <w:tab w:val="left" w:pos="426"/>
      </w:tabs>
      <w:ind w:left="1418" w:right="855" w:hanging="709"/>
      <w:jc w:val="left"/>
    </w:pPr>
  </w:style>
  <w:style w:type="paragraph" w:customStyle="1" w:styleId="Heading2longmultiline">
    <w:name w:val="Heading 2 (long multiline)"/>
    <w:basedOn w:val="Heading2multiline"/>
    <w:pPr>
      <w:keepLines/>
      <w:ind w:left="2127" w:right="1281" w:hanging="1276"/>
    </w:pPr>
  </w:style>
  <w:style w:type="paragraph" w:customStyle="1" w:styleId="Heading1longmultiline">
    <w:name w:val="Heading 1 (long multiline)"/>
    <w:basedOn w:val="Heading1"/>
    <w:pPr>
      <w:ind w:left="1843" w:hanging="1134"/>
      <w:jc w:val="left"/>
    </w:pPr>
  </w:style>
  <w:style w:type="paragraph" w:styleId="BodyTextIndent">
    <w:name w:val="Body Text Indent"/>
    <w:basedOn w:val="Normal"/>
    <w:pPr>
      <w:spacing w:before="120" w:after="120"/>
      <w:ind w:left="1440" w:hanging="720"/>
      <w:jc w:val="left"/>
    </w:pPr>
  </w:style>
  <w:style w:type="paragraph" w:customStyle="1" w:styleId="Heading-plainbold">
    <w:name w:val="Heading-plain bold"/>
    <w:basedOn w:val="BodyText"/>
    <w:pPr>
      <w:ind w:firstLine="0"/>
      <w:jc w:val="center"/>
    </w:pPr>
    <w:rPr>
      <w:b/>
      <w:bCs/>
      <w:i/>
      <w:iCs w:val="0"/>
    </w:rPr>
  </w:style>
  <w:style w:type="paragraph" w:customStyle="1" w:styleId="Heading-plainitalic">
    <w:name w:val="Heading-plain italic"/>
    <w:basedOn w:val="Heading-plainbold"/>
    <w:rPr>
      <w:b w:val="0"/>
      <w:bCs w:val="0"/>
    </w:rPr>
  </w:style>
  <w:style w:type="paragraph" w:styleId="TOC1">
    <w:name w:val="toc 1"/>
    <w:basedOn w:val="Normal"/>
    <w:next w:val="Normal"/>
    <w:autoRedefine/>
    <w:semiHidden/>
    <w:pPr>
      <w:ind w:left="720" w:hanging="720"/>
    </w:pPr>
    <w:rPr>
      <w:caps/>
    </w:rPr>
  </w:style>
  <w:style w:type="paragraph" w:styleId="TOC2">
    <w:name w:val="toc 2"/>
    <w:basedOn w:val="Normal"/>
    <w:next w:val="Normal"/>
    <w:autoRedefine/>
    <w:semiHidden/>
    <w:pPr>
      <w:tabs>
        <w:tab w:val="right" w:leader="dot" w:pos="9356"/>
      </w:tabs>
      <w:ind w:left="1440" w:hanging="720"/>
    </w:pPr>
    <w:rPr>
      <w:noProof/>
      <w:szCs w:val="22"/>
    </w:rPr>
  </w:style>
  <w:style w:type="paragraph" w:styleId="TOC3">
    <w:name w:val="toc 3"/>
    <w:basedOn w:val="Normal"/>
    <w:next w:val="Normal"/>
    <w:autoRedefine/>
    <w:semiHidden/>
    <w:pPr>
      <w:ind w:left="2160" w:hanging="720"/>
    </w:pPr>
  </w:style>
  <w:style w:type="paragraph" w:styleId="Header">
    <w:name w:val="header"/>
    <w:basedOn w:val="Normal"/>
    <w:pPr>
      <w:widowControl w:val="0"/>
      <w:tabs>
        <w:tab w:val="center" w:pos="4320"/>
        <w:tab w:val="right" w:pos="8640"/>
      </w:tabs>
      <w:overflowPunct w:val="0"/>
      <w:autoSpaceDE w:val="0"/>
      <w:autoSpaceDN w:val="0"/>
      <w:adjustRightInd w:val="0"/>
      <w:spacing w:line="240" w:lineRule="atLeast"/>
      <w:jc w:val="left"/>
      <w:textAlignment w:val="baseline"/>
    </w:pPr>
    <w:rPr>
      <w:szCs w:val="20"/>
    </w:rPr>
  </w:style>
  <w:style w:type="paragraph" w:customStyle="1" w:styleId="HEADINGNOTFORTOC">
    <w:name w:val="HEADING (NOT FOR TOC)"/>
    <w:basedOn w:val="Heading1"/>
    <w:next w:val="Heading2"/>
  </w:style>
  <w:style w:type="paragraph" w:customStyle="1" w:styleId="Heading-replies">
    <w:name w:val="Heading -replies"/>
    <w:basedOn w:val="Heading1"/>
    <w:pPr>
      <w:spacing w:before="0" w:after="0"/>
      <w:jc w:val="right"/>
    </w:pPr>
    <w:rPr>
      <w:b w:val="0"/>
      <w:bCs/>
    </w:rPr>
  </w:style>
  <w:style w:type="paragraph" w:customStyle="1" w:styleId="Paragraph">
    <w:name w:val="Paragraph"/>
    <w:basedOn w:val="Normal"/>
    <w:pPr>
      <w:spacing w:before="120" w:after="120"/>
    </w:pPr>
  </w:style>
  <w:style w:type="paragraph" w:styleId="CommentText">
    <w:name w:val="annotation text"/>
    <w:basedOn w:val="Normal"/>
    <w:link w:val="CommentTextChar"/>
    <w:uiPriority w:val="99"/>
    <w:semiHidden/>
    <w:pPr>
      <w:spacing w:after="120" w:line="240" w:lineRule="exact"/>
      <w:jc w:val="left"/>
    </w:pPr>
    <w:rPr>
      <w:rFonts w:ascii="Courier" w:hAnsi="Courier"/>
      <w:sz w:val="20"/>
      <w:szCs w:val="20"/>
    </w:rPr>
  </w:style>
  <w:style w:type="paragraph" w:customStyle="1" w:styleId="Heading1centred">
    <w:name w:val="Heading 1 (centred)"/>
    <w:basedOn w:val="Normal"/>
    <w:next w:val="Para1"/>
    <w:pPr>
      <w:keepNext/>
      <w:tabs>
        <w:tab w:val="left" w:pos="709"/>
      </w:tabs>
      <w:overflowPunct w:val="0"/>
      <w:autoSpaceDE w:val="0"/>
      <w:autoSpaceDN w:val="0"/>
      <w:adjustRightInd w:val="0"/>
      <w:spacing w:before="240" w:after="120"/>
      <w:jc w:val="center"/>
      <w:textAlignment w:val="baseline"/>
    </w:pPr>
    <w:rPr>
      <w:b/>
      <w:caps/>
      <w:szCs w:val="20"/>
    </w:rPr>
  </w:style>
  <w:style w:type="paragraph" w:styleId="NormalWeb">
    <w:name w:val="Normal (Web)"/>
    <w:basedOn w:val="Normal"/>
    <w:uiPriority w:val="99"/>
    <w:pPr>
      <w:spacing w:before="100" w:after="100"/>
      <w:jc w:val="left"/>
    </w:pPr>
    <w:rPr>
      <w:rFonts w:ascii="Verdana" w:eastAsia="Arial Unicode MS" w:hAnsi="Verdana"/>
      <w:color w:val="000000"/>
      <w:sz w:val="18"/>
      <w:lang w:val="en-US"/>
    </w:rPr>
  </w:style>
  <w:style w:type="paragraph" w:styleId="BodyTextIndent2">
    <w:name w:val="Body Text Indent 2"/>
    <w:basedOn w:val="Normal"/>
    <w:pPr>
      <w:ind w:left="709" w:hanging="709"/>
      <w:jc w:val="left"/>
    </w:pPr>
    <w:rPr>
      <w:szCs w:val="20"/>
      <w:lang w:val="en-US"/>
    </w:rPr>
  </w:style>
  <w:style w:type="paragraph" w:styleId="BodyTextIndent3">
    <w:name w:val="Body Text Indent 3"/>
    <w:basedOn w:val="Normal"/>
    <w:pPr>
      <w:tabs>
        <w:tab w:val="left" w:pos="1276"/>
      </w:tabs>
      <w:ind w:left="1276" w:hanging="567"/>
      <w:jc w:val="left"/>
    </w:pPr>
    <w:rPr>
      <w:szCs w:val="20"/>
      <w:lang w:val="en-US"/>
    </w:rPr>
  </w:style>
  <w:style w:type="paragraph" w:styleId="BodyText2">
    <w:name w:val="Body Text 2"/>
    <w:basedOn w:val="Normal"/>
    <w:rPr>
      <w:color w:val="000000"/>
      <w:sz w:val="24"/>
      <w:szCs w:val="20"/>
    </w:rPr>
  </w:style>
  <w:style w:type="paragraph" w:styleId="BodyText3">
    <w:name w:val="Body Text 3"/>
    <w:basedOn w:val="Normal"/>
    <w:pPr>
      <w:jc w:val="left"/>
    </w:pPr>
  </w:style>
  <w:style w:type="paragraph" w:customStyle="1" w:styleId="Activity">
    <w:name w:val="Activity"/>
    <w:basedOn w:val="Para1"/>
    <w:pPr>
      <w:keepNext/>
      <w:numPr>
        <w:ilvl w:val="1"/>
        <w:numId w:val="1"/>
      </w:numPr>
      <w:tabs>
        <w:tab w:val="clear" w:pos="1440"/>
        <w:tab w:val="left" w:pos="720"/>
      </w:tabs>
      <w:autoSpaceDE w:val="0"/>
      <w:autoSpaceDN w:val="0"/>
    </w:pPr>
    <w:rPr>
      <w:b/>
      <w:bCs/>
      <w:snapToGrid/>
    </w:rPr>
  </w:style>
  <w:style w:type="paragraph" w:styleId="DocumentMap">
    <w:name w:val="Document Map"/>
    <w:basedOn w:val="Normal"/>
    <w:semiHidden/>
    <w:pPr>
      <w:shd w:val="clear" w:color="auto" w:fill="000080"/>
    </w:pPr>
    <w:rPr>
      <w:rFonts w:ascii="Tahoma" w:hAnsi="Tahoma" w:cs="Tahoma"/>
    </w:rPr>
  </w:style>
  <w:style w:type="character" w:styleId="Strong">
    <w:name w:val="Strong"/>
    <w:uiPriority w:val="22"/>
    <w:qFormat/>
    <w:rPr>
      <w:b/>
      <w:bCs/>
    </w:rPr>
  </w:style>
  <w:style w:type="paragraph" w:customStyle="1" w:styleId="bodytextnoindent">
    <w:name w:val="body text (no indent)"/>
    <w:basedOn w:val="Normal"/>
    <w:pPr>
      <w:widowControl w:val="0"/>
      <w:overflowPunct w:val="0"/>
      <w:autoSpaceDE w:val="0"/>
      <w:autoSpaceDN w:val="0"/>
      <w:adjustRightInd w:val="0"/>
      <w:spacing w:before="120" w:after="120"/>
      <w:textAlignment w:val="baseline"/>
    </w:pPr>
    <w:rPr>
      <w:szCs w:val="20"/>
      <w:lang w:eastAsia="de-DE"/>
    </w:rPr>
  </w:style>
  <w:style w:type="paragraph" w:customStyle="1" w:styleId="Para4">
    <w:name w:val="Para4"/>
    <w:basedOn w:val="Para3"/>
    <w:pPr>
      <w:numPr>
        <w:ilvl w:val="7"/>
        <w:numId w:val="2"/>
      </w:numPr>
      <w:tabs>
        <w:tab w:val="clear" w:pos="1980"/>
        <w:tab w:val="left" w:pos="2552"/>
      </w:tabs>
      <w:ind w:left="2552" w:hanging="567"/>
    </w:pPr>
    <w:rPr>
      <w:lang w:val="en-US"/>
    </w:rPr>
  </w:style>
  <w:style w:type="paragraph" w:customStyle="1" w:styleId="FBD-goal">
    <w:name w:val="FBD-goal"/>
    <w:basedOn w:val="Normal"/>
    <w:pPr>
      <w:keepNext/>
      <w:spacing w:before="120" w:after="120"/>
    </w:pPr>
    <w:rPr>
      <w:b/>
      <w:i/>
      <w:szCs w:val="20"/>
    </w:rPr>
  </w:style>
  <w:style w:type="character" w:styleId="Hyperlink">
    <w:name w:val="Hyperlink"/>
    <w:uiPriority w:val="99"/>
    <w:rPr>
      <w:color w:val="0000FF"/>
      <w:u w:val="single"/>
    </w:rPr>
  </w:style>
  <w:style w:type="paragraph" w:customStyle="1" w:styleId="Para2rev">
    <w:name w:val="Para 2 (rev)"/>
    <w:basedOn w:val="Normal"/>
    <w:pPr>
      <w:numPr>
        <w:numId w:val="6"/>
      </w:numPr>
      <w:spacing w:after="120"/>
    </w:pPr>
  </w:style>
  <w:style w:type="character" w:styleId="CommentReference">
    <w:name w:val="annotation reference"/>
    <w:semiHidden/>
    <w:rPr>
      <w:sz w:val="16"/>
      <w:szCs w:val="16"/>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pPr>
      <w:spacing w:after="0" w:line="240" w:lineRule="auto"/>
      <w:jc w:val="both"/>
    </w:pPr>
    <w:rPr>
      <w:rFonts w:ascii="Times New Roman" w:hAnsi="Times New Roman"/>
      <w:b/>
      <w:bCs/>
    </w:rPr>
  </w:style>
  <w:style w:type="paragraph" w:customStyle="1" w:styleId="1Para">
    <w:name w:val="1.Para"/>
    <w:basedOn w:val="Normal"/>
    <w:pPr>
      <w:numPr>
        <w:numId w:val="8"/>
      </w:numPr>
      <w:tabs>
        <w:tab w:val="left" w:pos="567"/>
      </w:tabs>
      <w:spacing w:before="120" w:after="120"/>
    </w:pPr>
    <w:rPr>
      <w:rFonts w:cs="Angsana New"/>
      <w:szCs w:val="22"/>
    </w:rPr>
  </w:style>
  <w:style w:type="paragraph" w:customStyle="1" w:styleId="para10">
    <w:name w:val="para 1"/>
    <w:basedOn w:val="Para1"/>
    <w:qFormat/>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uiPriority w:val="99"/>
    <w:rPr>
      <w:sz w:val="18"/>
      <w:szCs w:val="24"/>
      <w:lang w:val="en-GB" w:eastAsia="en-US"/>
    </w:rPr>
  </w:style>
  <w:style w:type="character" w:customStyle="1" w:styleId="Para1Char">
    <w:name w:val="Para1 Char"/>
    <w:uiPriority w:val="99"/>
    <w:rPr>
      <w:snapToGrid w:val="0"/>
      <w:sz w:val="22"/>
      <w:szCs w:val="18"/>
      <w:lang w:val="en-GB" w:eastAsia="en-US"/>
    </w:rPr>
  </w:style>
  <w:style w:type="character" w:customStyle="1" w:styleId="para1Char0">
    <w:name w:val="para 1 Char"/>
    <w:rPr>
      <w:snapToGrid w:val="0"/>
      <w:sz w:val="22"/>
      <w:szCs w:val="18"/>
      <w:lang w:val="en-GB" w:eastAsia="en-US"/>
    </w:rPr>
  </w:style>
  <w:style w:type="character" w:customStyle="1" w:styleId="HeaderChar">
    <w:name w:val="Header Char"/>
    <w:rPr>
      <w:sz w:val="22"/>
      <w:lang w:val="en-GB" w:eastAsia="en-US"/>
    </w:rPr>
  </w:style>
  <w:style w:type="character" w:customStyle="1" w:styleId="BodyTextChar">
    <w:name w:val="Body Text Char"/>
    <w:aliases w:val=" Car Char,Car Char"/>
    <w:link w:val="BodyText"/>
    <w:rsid w:val="00DD3CFD"/>
    <w:rPr>
      <w:iCs/>
      <w:sz w:val="22"/>
      <w:szCs w:val="24"/>
      <w:lang w:val="en-GB" w:eastAsia="en-US" w:bidi="ar-SA"/>
    </w:rPr>
  </w:style>
  <w:style w:type="paragraph" w:customStyle="1" w:styleId="Default">
    <w:name w:val="Default"/>
    <w:rsid w:val="007E7D64"/>
    <w:pPr>
      <w:autoSpaceDE w:val="0"/>
      <w:autoSpaceDN w:val="0"/>
      <w:adjustRightInd w:val="0"/>
    </w:pPr>
    <w:rPr>
      <w:rFonts w:ascii="Calibri" w:eastAsia="MS Mincho" w:hAnsi="Calibri" w:cs="Calibri"/>
      <w:color w:val="000000"/>
      <w:sz w:val="24"/>
      <w:szCs w:val="24"/>
      <w:lang w:eastAsia="ja-JP"/>
    </w:rPr>
  </w:style>
  <w:style w:type="character" w:customStyle="1" w:styleId="recordhilite">
    <w:name w:val="recordhilite"/>
    <w:basedOn w:val="DefaultParagraphFont"/>
    <w:rsid w:val="00954557"/>
  </w:style>
  <w:style w:type="character" w:customStyle="1" w:styleId="st">
    <w:name w:val="st"/>
    <w:basedOn w:val="DefaultParagraphFont"/>
    <w:rsid w:val="00334378"/>
  </w:style>
  <w:style w:type="character" w:styleId="Emphasis">
    <w:name w:val="Emphasis"/>
    <w:uiPriority w:val="20"/>
    <w:qFormat/>
    <w:rsid w:val="00304DAE"/>
    <w:rPr>
      <w:i/>
      <w:iCs/>
    </w:rPr>
  </w:style>
  <w:style w:type="paragraph" w:styleId="Title">
    <w:name w:val="Title"/>
    <w:basedOn w:val="Normal"/>
    <w:next w:val="Normal"/>
    <w:link w:val="TitleChar"/>
    <w:qFormat/>
    <w:rsid w:val="00011CD4"/>
    <w:pPr>
      <w:spacing w:before="240" w:after="60"/>
      <w:jc w:val="center"/>
      <w:outlineLvl w:val="0"/>
    </w:pPr>
    <w:rPr>
      <w:rFonts w:ascii="Cambria" w:hAnsi="Cambria"/>
      <w:b/>
      <w:bCs/>
      <w:kern w:val="28"/>
      <w:sz w:val="32"/>
      <w:szCs w:val="32"/>
    </w:rPr>
  </w:style>
  <w:style w:type="character" w:customStyle="1" w:styleId="TitleChar">
    <w:name w:val="Title Char"/>
    <w:link w:val="Title"/>
    <w:rsid w:val="00011CD4"/>
    <w:rPr>
      <w:rFonts w:ascii="Cambria" w:eastAsia="Times New Roman" w:hAnsi="Cambria" w:cs="Times New Roman"/>
      <w:b/>
      <w:bCs/>
      <w:kern w:val="28"/>
      <w:sz w:val="32"/>
      <w:szCs w:val="32"/>
      <w:lang w:val="en-GB"/>
    </w:rPr>
  </w:style>
  <w:style w:type="character" w:customStyle="1" w:styleId="CommentTextChar">
    <w:name w:val="Comment Text Char"/>
    <w:link w:val="CommentText"/>
    <w:uiPriority w:val="99"/>
    <w:semiHidden/>
    <w:rsid w:val="00254F2F"/>
    <w:rPr>
      <w:rFonts w:ascii="Courier" w:hAnsi="Courier"/>
      <w:lang w:val="en-GB"/>
    </w:rPr>
  </w:style>
  <w:style w:type="character" w:customStyle="1" w:styleId="apple-converted-space">
    <w:name w:val="apple-converted-space"/>
    <w:basedOn w:val="DefaultParagraphFont"/>
    <w:rsid w:val="00E317E6"/>
  </w:style>
  <w:style w:type="character" w:styleId="LineNumber">
    <w:name w:val="line number"/>
    <w:basedOn w:val="DefaultParagraphFont"/>
    <w:uiPriority w:val="99"/>
    <w:semiHidden/>
    <w:unhideWhenUsed/>
    <w:rsid w:val="00576A53"/>
  </w:style>
  <w:style w:type="paragraph" w:customStyle="1" w:styleId="heading2notforTOC">
    <w:name w:val="heading 2 not for TOC"/>
    <w:basedOn w:val="Heading3"/>
    <w:rsid w:val="00BB53BA"/>
    <w:rPr>
      <w:rFonts w:eastAsia="Malgun Gothic"/>
    </w:rPr>
  </w:style>
  <w:style w:type="paragraph" w:styleId="Revision">
    <w:name w:val="Revision"/>
    <w:hidden/>
    <w:uiPriority w:val="71"/>
    <w:rsid w:val="00921F19"/>
    <w:rPr>
      <w:sz w:val="22"/>
      <w:szCs w:val="24"/>
      <w:lang w:val="en-GB"/>
    </w:rPr>
  </w:style>
  <w:style w:type="character" w:customStyle="1" w:styleId="Heading2Char">
    <w:name w:val="Heading 2 Char"/>
    <w:link w:val="Heading2"/>
    <w:rsid w:val="00F826FE"/>
    <w:rPr>
      <w:b/>
      <w:bCs/>
      <w:i/>
      <w:iCs/>
      <w:sz w:val="22"/>
      <w:szCs w:val="24"/>
      <w:lang w:val="en-GB"/>
    </w:rPr>
  </w:style>
  <w:style w:type="paragraph" w:styleId="ListParagraph">
    <w:name w:val="List Paragraph"/>
    <w:basedOn w:val="Normal"/>
    <w:uiPriority w:val="34"/>
    <w:qFormat/>
    <w:rsid w:val="00B23CB2"/>
    <w:pPr>
      <w:ind w:left="720"/>
      <w:contextualSpacing/>
    </w:pPr>
  </w:style>
  <w:style w:type="paragraph" w:customStyle="1" w:styleId="recommendation">
    <w:name w:val="recommendation"/>
    <w:basedOn w:val="Heading2"/>
    <w:qFormat/>
    <w:rsid w:val="004B268C"/>
    <w:pPr>
      <w:tabs>
        <w:tab w:val="clear" w:pos="720"/>
      </w:tabs>
      <w:spacing w:before="240" w:after="60" w:line="276" w:lineRule="auto"/>
      <w:jc w:val="left"/>
    </w:pPr>
    <w:rPr>
      <w:snapToGrid w:val="0"/>
      <w:kern w:val="2"/>
      <w:szCs w:val="22"/>
      <w:lang w:val="en-US"/>
    </w:rPr>
  </w:style>
  <w:style w:type="character" w:styleId="FollowedHyperlink">
    <w:name w:val="FollowedHyperlink"/>
    <w:uiPriority w:val="99"/>
    <w:semiHidden/>
    <w:unhideWhenUsed/>
    <w:rsid w:val="003B0657"/>
    <w:rPr>
      <w:color w:val="800080"/>
      <w:u w:val="single"/>
    </w:rPr>
  </w:style>
  <w:style w:type="character" w:customStyle="1" w:styleId="FootnoteTextChar1">
    <w:name w:val="Footnote Text Char1"/>
    <w:aliases w:val="fn Char1,Geneva 9 Char1,Font: Geneva 9 Char1,Boston 10 Char1,f Char1,ft Char2,Fotnotstext Char Char1,ft Char Char1,single space Char1,footnote text Char1,FOOTNOTES Char1,ADB Char1,single space1 Char1,footnote text1 Char1,fn1 Char1"/>
    <w:link w:val="FootnoteText"/>
    <w:uiPriority w:val="99"/>
    <w:rsid w:val="00E90441"/>
    <w:rPr>
      <w:sz w:val="18"/>
      <w:szCs w:val="24"/>
      <w:lang w:val="en-GB" w:eastAsia="en-US"/>
    </w:rPr>
  </w:style>
  <w:style w:type="character" w:customStyle="1" w:styleId="Mentionnonrsolue1">
    <w:name w:val="Mention non résolue1"/>
    <w:uiPriority w:val="99"/>
    <w:semiHidden/>
    <w:unhideWhenUsed/>
    <w:rsid w:val="00407F70"/>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uiPriority="0"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2"/>
      <w:szCs w:val="24"/>
      <w:lang w:val="en-GB"/>
    </w:rPr>
  </w:style>
  <w:style w:type="paragraph" w:styleId="Heading1">
    <w:name w:val="heading 1"/>
    <w:basedOn w:val="Normal"/>
    <w:next w:val="Heading2"/>
    <w:qFormat/>
    <w:pPr>
      <w:keepNext/>
      <w:tabs>
        <w:tab w:val="left" w:pos="720"/>
      </w:tabs>
      <w:spacing w:before="240" w:after="120"/>
      <w:jc w:val="center"/>
      <w:outlineLvl w:val="0"/>
    </w:pPr>
    <w:rPr>
      <w:b/>
      <w:caps/>
    </w:rPr>
  </w:style>
  <w:style w:type="paragraph" w:styleId="Heading2">
    <w:name w:val="heading 2"/>
    <w:basedOn w:val="Normal"/>
    <w:next w:val="Normal"/>
    <w:link w:val="Heading2Char"/>
    <w:qFormat/>
    <w:pPr>
      <w:keepNext/>
      <w:tabs>
        <w:tab w:val="left" w:pos="720"/>
      </w:tabs>
      <w:spacing w:before="120" w:after="120"/>
      <w:jc w:val="center"/>
      <w:outlineLvl w:val="1"/>
    </w:pPr>
    <w:rPr>
      <w:b/>
      <w:bCs/>
      <w:i/>
      <w:iCs/>
    </w:rPr>
  </w:style>
  <w:style w:type="paragraph" w:styleId="Heading3">
    <w:name w:val="heading 3"/>
    <w:basedOn w:val="Normal"/>
    <w:next w:val="Normal"/>
    <w:qFormat/>
    <w:pPr>
      <w:keepNext/>
      <w:tabs>
        <w:tab w:val="left" w:pos="567"/>
      </w:tabs>
      <w:spacing w:before="120" w:after="120"/>
      <w:jc w:val="center"/>
      <w:outlineLvl w:val="2"/>
    </w:pPr>
    <w:rPr>
      <w:i/>
      <w:iCs/>
    </w:rPr>
  </w:style>
  <w:style w:type="paragraph" w:styleId="Heading4">
    <w:name w:val="heading 4"/>
    <w:basedOn w:val="Normal"/>
    <w:qFormat/>
    <w:pPr>
      <w:keepNext/>
      <w:outlineLvl w:val="3"/>
    </w:pPr>
    <w:rPr>
      <w:b/>
      <w:i/>
    </w:rPr>
  </w:style>
  <w:style w:type="paragraph" w:styleId="Heading5">
    <w:name w:val="heading 5"/>
    <w:basedOn w:val="Normal"/>
    <w:next w:val="Normal"/>
    <w:qFormat/>
    <w:pPr>
      <w:keepNext/>
      <w:numPr>
        <w:ilvl w:val="4"/>
        <w:numId w:val="5"/>
      </w:numPr>
      <w:spacing w:before="120" w:after="120"/>
      <w:jc w:val="left"/>
      <w:outlineLvl w:val="4"/>
    </w:pPr>
    <w:rPr>
      <w:bCs/>
      <w:i/>
      <w:szCs w:val="26"/>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qFormat/>
    <w:pPr>
      <w:keepNext/>
      <w:jc w:val="right"/>
      <w:outlineLvl w:val="6"/>
    </w:pPr>
    <w:rPr>
      <w:rFonts w:ascii="Univers" w:hAnsi="Univers"/>
      <w:b/>
      <w:sz w:val="28"/>
    </w:rPr>
  </w:style>
  <w:style w:type="paragraph" w:styleId="Heading8">
    <w:name w:val="heading 8"/>
    <w:basedOn w:val="Normal"/>
    <w:next w:val="Normal"/>
    <w:qFormat/>
    <w:pPr>
      <w:keepNext/>
      <w:jc w:val="right"/>
      <w:outlineLvl w:val="7"/>
    </w:pPr>
    <w:rPr>
      <w:rFonts w:ascii="Univers" w:hAnsi="Univers"/>
      <w:b/>
      <w:sz w:val="32"/>
    </w:rPr>
  </w:style>
  <w:style w:type="paragraph" w:styleId="Heading9">
    <w:name w:val="heading 9"/>
    <w:basedOn w:val="Normal"/>
    <w:next w:val="Normal"/>
    <w:qFormat/>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ar,Car"/>
    <w:basedOn w:val="Normal"/>
    <w:link w:val="BodyTextChar"/>
    <w:pPr>
      <w:spacing w:before="120" w:after="120"/>
      <w:ind w:firstLine="720"/>
    </w:pPr>
    <w:rPr>
      <w:iCs/>
    </w:rPr>
  </w:style>
  <w:style w:type="paragraph" w:styleId="Footer">
    <w:name w:val="footer"/>
    <w:basedOn w:val="Normal"/>
    <w:pPr>
      <w:tabs>
        <w:tab w:val="center" w:pos="4320"/>
        <w:tab w:val="right" w:pos="8640"/>
      </w:tabs>
      <w:ind w:firstLine="720"/>
      <w:jc w:val="right"/>
    </w:pPr>
  </w:style>
  <w:style w:type="paragraph" w:customStyle="1" w:styleId="Para1">
    <w:name w:val="Para1"/>
    <w:basedOn w:val="Normal"/>
    <w:rsid w:val="003855CB"/>
    <w:pPr>
      <w:spacing w:before="120" w:after="120"/>
    </w:pPr>
    <w:rPr>
      <w:snapToGrid w:val="0"/>
      <w:szCs w:val="18"/>
    </w:rPr>
  </w:style>
  <w:style w:type="paragraph" w:customStyle="1" w:styleId="Para20">
    <w:name w:val="Para2"/>
    <w:basedOn w:val="Para1"/>
    <w:pPr>
      <w:tabs>
        <w:tab w:val="num" w:pos="720"/>
      </w:tabs>
      <w:autoSpaceDE w:val="0"/>
      <w:autoSpaceDN w:val="0"/>
      <w:ind w:firstLine="720"/>
    </w:pPr>
  </w:style>
  <w:style w:type="paragraph" w:customStyle="1" w:styleId="Para3">
    <w:name w:val="Para3"/>
    <w:basedOn w:val="Normal"/>
    <w:pPr>
      <w:tabs>
        <w:tab w:val="left" w:pos="1980"/>
      </w:tabs>
      <w:spacing w:before="80" w:after="80"/>
    </w:pPr>
    <w:rPr>
      <w:szCs w:val="20"/>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1"/>
    <w:uiPriority w:val="99"/>
    <w:qFormat/>
    <w:pPr>
      <w:keepLines/>
      <w:spacing w:after="60"/>
      <w:ind w:firstLine="720"/>
    </w:pPr>
    <w:rPr>
      <w:sz w:val="18"/>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qFormat/>
    <w:rPr>
      <w:sz w:val="18"/>
      <w:u w:val="single"/>
      <w:vertAlign w:val="baseline"/>
    </w:rPr>
  </w:style>
  <w:style w:type="paragraph" w:customStyle="1" w:styleId="Cornernotation">
    <w:name w:val="Corner notation"/>
    <w:basedOn w:val="Normal"/>
    <w:pPr>
      <w:ind w:left="284" w:right="4398" w:hanging="284"/>
      <w:jc w:val="left"/>
    </w:pPr>
  </w:style>
  <w:style w:type="paragraph" w:customStyle="1" w:styleId="para2">
    <w:name w:val="para2"/>
    <w:basedOn w:val="Normal"/>
    <w:pPr>
      <w:numPr>
        <w:numId w:val="4"/>
      </w:numPr>
      <w:tabs>
        <w:tab w:val="clear" w:pos="360"/>
      </w:tabs>
      <w:spacing w:before="120" w:after="120"/>
    </w:pPr>
    <w:rPr>
      <w:szCs w:val="20"/>
    </w:rPr>
  </w:style>
  <w:style w:type="paragraph" w:customStyle="1" w:styleId="Paranum">
    <w:name w:val="Paranum"/>
    <w:basedOn w:val="Para1"/>
    <w:pPr>
      <w:numPr>
        <w:numId w:val="3"/>
      </w:numPr>
      <w:spacing w:line="240" w:lineRule="exact"/>
    </w:pPr>
    <w:rPr>
      <w:snapToGrid/>
      <w:szCs w:val="20"/>
      <w:lang w:val="en-US"/>
    </w:rPr>
  </w:style>
  <w:style w:type="paragraph" w:styleId="EndnoteText">
    <w:name w:val="endnote text"/>
    <w:basedOn w:val="Normal"/>
    <w:semiHidden/>
    <w:pPr>
      <w:widowControl w:val="0"/>
      <w:tabs>
        <w:tab w:val="left" w:pos="-720"/>
      </w:tabs>
      <w:suppressAutoHyphens/>
    </w:pPr>
    <w:rPr>
      <w:rFonts w:ascii="Courier New" w:hAnsi="Courier New"/>
    </w:rPr>
  </w:style>
  <w:style w:type="character" w:styleId="EndnoteReference">
    <w:name w:val="endnote reference"/>
    <w:semiHidden/>
    <w:rPr>
      <w:vertAlign w:val="superscript"/>
    </w:rPr>
  </w:style>
  <w:style w:type="character" w:styleId="PageNumber">
    <w:name w:val="page number"/>
    <w:rPr>
      <w:rFonts w:ascii="Times New Roman" w:hAnsi="Times New Roman"/>
      <w:sz w:val="22"/>
    </w:rPr>
  </w:style>
  <w:style w:type="paragraph" w:customStyle="1" w:styleId="para40">
    <w:name w:val="para4"/>
    <w:basedOn w:val="Normal"/>
    <w:pPr>
      <w:numPr>
        <w:ilvl w:val="3"/>
        <w:numId w:val="7"/>
      </w:numPr>
      <w:tabs>
        <w:tab w:val="clear" w:pos="1440"/>
        <w:tab w:val="num" w:pos="2160"/>
      </w:tabs>
      <w:overflowPunct w:val="0"/>
      <w:autoSpaceDE w:val="0"/>
      <w:autoSpaceDN w:val="0"/>
      <w:adjustRightInd w:val="0"/>
      <w:spacing w:after="120" w:line="240" w:lineRule="atLeast"/>
      <w:ind w:left="2160" w:hanging="720"/>
      <w:textAlignment w:val="baseline"/>
    </w:pPr>
    <w:rPr>
      <w:rFonts w:ascii="Courier" w:hAnsi="Courier"/>
      <w:color w:val="000000"/>
      <w:sz w:val="20"/>
      <w:szCs w:val="20"/>
    </w:r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Para1"/>
    <w:pPr>
      <w:spacing w:before="120"/>
      <w:ind w:left="1843" w:right="998" w:hanging="567"/>
      <w:jc w:val="left"/>
    </w:pPr>
    <w:rPr>
      <w:i/>
      <w:iCs/>
      <w:caps w:val="0"/>
    </w:rPr>
  </w:style>
  <w:style w:type="paragraph" w:customStyle="1" w:styleId="Heading3multiline">
    <w:name w:val="Heading 3 (multiline)"/>
    <w:basedOn w:val="Heading3"/>
    <w:next w:val="Para1"/>
    <w:pPr>
      <w:tabs>
        <w:tab w:val="clear" w:pos="567"/>
        <w:tab w:val="left" w:pos="426"/>
      </w:tabs>
      <w:ind w:left="1418" w:right="855" w:hanging="709"/>
      <w:jc w:val="left"/>
    </w:pPr>
  </w:style>
  <w:style w:type="paragraph" w:customStyle="1" w:styleId="Heading2longmultiline">
    <w:name w:val="Heading 2 (long multiline)"/>
    <w:basedOn w:val="Heading2multiline"/>
    <w:pPr>
      <w:keepLines/>
      <w:ind w:left="2127" w:right="1281" w:hanging="1276"/>
    </w:pPr>
  </w:style>
  <w:style w:type="paragraph" w:customStyle="1" w:styleId="Heading1longmultiline">
    <w:name w:val="Heading 1 (long multiline)"/>
    <w:basedOn w:val="Heading1"/>
    <w:pPr>
      <w:ind w:left="1843" w:hanging="1134"/>
      <w:jc w:val="left"/>
    </w:pPr>
  </w:style>
  <w:style w:type="paragraph" w:styleId="BodyTextIndent">
    <w:name w:val="Body Text Indent"/>
    <w:basedOn w:val="Normal"/>
    <w:pPr>
      <w:spacing w:before="120" w:after="120"/>
      <w:ind w:left="1440" w:hanging="720"/>
      <w:jc w:val="left"/>
    </w:pPr>
  </w:style>
  <w:style w:type="paragraph" w:customStyle="1" w:styleId="Heading-plainbold">
    <w:name w:val="Heading-plain bold"/>
    <w:basedOn w:val="BodyText"/>
    <w:pPr>
      <w:ind w:firstLine="0"/>
      <w:jc w:val="center"/>
    </w:pPr>
    <w:rPr>
      <w:b/>
      <w:bCs/>
      <w:i/>
      <w:iCs w:val="0"/>
    </w:rPr>
  </w:style>
  <w:style w:type="paragraph" w:customStyle="1" w:styleId="Heading-plainitalic">
    <w:name w:val="Heading-plain italic"/>
    <w:basedOn w:val="Heading-plainbold"/>
    <w:rPr>
      <w:b w:val="0"/>
      <w:bCs w:val="0"/>
    </w:rPr>
  </w:style>
  <w:style w:type="paragraph" w:styleId="TOC1">
    <w:name w:val="toc 1"/>
    <w:basedOn w:val="Normal"/>
    <w:next w:val="Normal"/>
    <w:autoRedefine/>
    <w:semiHidden/>
    <w:pPr>
      <w:ind w:left="720" w:hanging="720"/>
    </w:pPr>
    <w:rPr>
      <w:caps/>
    </w:rPr>
  </w:style>
  <w:style w:type="paragraph" w:styleId="TOC2">
    <w:name w:val="toc 2"/>
    <w:basedOn w:val="Normal"/>
    <w:next w:val="Normal"/>
    <w:autoRedefine/>
    <w:semiHidden/>
    <w:pPr>
      <w:tabs>
        <w:tab w:val="right" w:leader="dot" w:pos="9356"/>
      </w:tabs>
      <w:ind w:left="1440" w:hanging="720"/>
    </w:pPr>
    <w:rPr>
      <w:noProof/>
      <w:szCs w:val="22"/>
    </w:rPr>
  </w:style>
  <w:style w:type="paragraph" w:styleId="TOC3">
    <w:name w:val="toc 3"/>
    <w:basedOn w:val="Normal"/>
    <w:next w:val="Normal"/>
    <w:autoRedefine/>
    <w:semiHidden/>
    <w:pPr>
      <w:ind w:left="2160" w:hanging="720"/>
    </w:pPr>
  </w:style>
  <w:style w:type="paragraph" w:styleId="Header">
    <w:name w:val="header"/>
    <w:basedOn w:val="Normal"/>
    <w:pPr>
      <w:widowControl w:val="0"/>
      <w:tabs>
        <w:tab w:val="center" w:pos="4320"/>
        <w:tab w:val="right" w:pos="8640"/>
      </w:tabs>
      <w:overflowPunct w:val="0"/>
      <w:autoSpaceDE w:val="0"/>
      <w:autoSpaceDN w:val="0"/>
      <w:adjustRightInd w:val="0"/>
      <w:spacing w:line="240" w:lineRule="atLeast"/>
      <w:jc w:val="left"/>
      <w:textAlignment w:val="baseline"/>
    </w:pPr>
    <w:rPr>
      <w:szCs w:val="20"/>
    </w:rPr>
  </w:style>
  <w:style w:type="paragraph" w:customStyle="1" w:styleId="HEADINGNOTFORTOC">
    <w:name w:val="HEADING (NOT FOR TOC)"/>
    <w:basedOn w:val="Heading1"/>
    <w:next w:val="Heading2"/>
  </w:style>
  <w:style w:type="paragraph" w:customStyle="1" w:styleId="Heading-replies">
    <w:name w:val="Heading -replies"/>
    <w:basedOn w:val="Heading1"/>
    <w:pPr>
      <w:spacing w:before="0" w:after="0"/>
      <w:jc w:val="right"/>
    </w:pPr>
    <w:rPr>
      <w:b w:val="0"/>
      <w:bCs/>
    </w:rPr>
  </w:style>
  <w:style w:type="paragraph" w:customStyle="1" w:styleId="Paragraph">
    <w:name w:val="Paragraph"/>
    <w:basedOn w:val="Normal"/>
    <w:pPr>
      <w:spacing w:before="120" w:after="120"/>
    </w:pPr>
  </w:style>
  <w:style w:type="paragraph" w:styleId="CommentText">
    <w:name w:val="annotation text"/>
    <w:basedOn w:val="Normal"/>
    <w:link w:val="CommentTextChar"/>
    <w:uiPriority w:val="99"/>
    <w:semiHidden/>
    <w:pPr>
      <w:spacing w:after="120" w:line="240" w:lineRule="exact"/>
      <w:jc w:val="left"/>
    </w:pPr>
    <w:rPr>
      <w:rFonts w:ascii="Courier" w:hAnsi="Courier"/>
      <w:sz w:val="20"/>
      <w:szCs w:val="20"/>
    </w:rPr>
  </w:style>
  <w:style w:type="paragraph" w:customStyle="1" w:styleId="Heading1centred">
    <w:name w:val="Heading 1 (centred)"/>
    <w:basedOn w:val="Normal"/>
    <w:next w:val="Para1"/>
    <w:pPr>
      <w:keepNext/>
      <w:tabs>
        <w:tab w:val="left" w:pos="709"/>
      </w:tabs>
      <w:overflowPunct w:val="0"/>
      <w:autoSpaceDE w:val="0"/>
      <w:autoSpaceDN w:val="0"/>
      <w:adjustRightInd w:val="0"/>
      <w:spacing w:before="240" w:after="120"/>
      <w:jc w:val="center"/>
      <w:textAlignment w:val="baseline"/>
    </w:pPr>
    <w:rPr>
      <w:b/>
      <w:caps/>
      <w:szCs w:val="20"/>
    </w:rPr>
  </w:style>
  <w:style w:type="paragraph" w:styleId="NormalWeb">
    <w:name w:val="Normal (Web)"/>
    <w:basedOn w:val="Normal"/>
    <w:uiPriority w:val="99"/>
    <w:pPr>
      <w:spacing w:before="100" w:after="100"/>
      <w:jc w:val="left"/>
    </w:pPr>
    <w:rPr>
      <w:rFonts w:ascii="Verdana" w:eastAsia="Arial Unicode MS" w:hAnsi="Verdana"/>
      <w:color w:val="000000"/>
      <w:sz w:val="18"/>
      <w:lang w:val="en-US"/>
    </w:rPr>
  </w:style>
  <w:style w:type="paragraph" w:styleId="BodyTextIndent2">
    <w:name w:val="Body Text Indent 2"/>
    <w:basedOn w:val="Normal"/>
    <w:pPr>
      <w:ind w:left="709" w:hanging="709"/>
      <w:jc w:val="left"/>
    </w:pPr>
    <w:rPr>
      <w:szCs w:val="20"/>
      <w:lang w:val="en-US"/>
    </w:rPr>
  </w:style>
  <w:style w:type="paragraph" w:styleId="BodyTextIndent3">
    <w:name w:val="Body Text Indent 3"/>
    <w:basedOn w:val="Normal"/>
    <w:pPr>
      <w:tabs>
        <w:tab w:val="left" w:pos="1276"/>
      </w:tabs>
      <w:ind w:left="1276" w:hanging="567"/>
      <w:jc w:val="left"/>
    </w:pPr>
    <w:rPr>
      <w:szCs w:val="20"/>
      <w:lang w:val="en-US"/>
    </w:rPr>
  </w:style>
  <w:style w:type="paragraph" w:styleId="BodyText2">
    <w:name w:val="Body Text 2"/>
    <w:basedOn w:val="Normal"/>
    <w:rPr>
      <w:color w:val="000000"/>
      <w:sz w:val="24"/>
      <w:szCs w:val="20"/>
    </w:rPr>
  </w:style>
  <w:style w:type="paragraph" w:styleId="BodyText3">
    <w:name w:val="Body Text 3"/>
    <w:basedOn w:val="Normal"/>
    <w:pPr>
      <w:jc w:val="left"/>
    </w:pPr>
  </w:style>
  <w:style w:type="paragraph" w:customStyle="1" w:styleId="Activity">
    <w:name w:val="Activity"/>
    <w:basedOn w:val="Para1"/>
    <w:pPr>
      <w:keepNext/>
      <w:numPr>
        <w:ilvl w:val="1"/>
        <w:numId w:val="1"/>
      </w:numPr>
      <w:tabs>
        <w:tab w:val="clear" w:pos="1440"/>
        <w:tab w:val="left" w:pos="720"/>
      </w:tabs>
      <w:autoSpaceDE w:val="0"/>
      <w:autoSpaceDN w:val="0"/>
    </w:pPr>
    <w:rPr>
      <w:b/>
      <w:bCs/>
      <w:snapToGrid/>
    </w:rPr>
  </w:style>
  <w:style w:type="paragraph" w:styleId="DocumentMap">
    <w:name w:val="Document Map"/>
    <w:basedOn w:val="Normal"/>
    <w:semiHidden/>
    <w:pPr>
      <w:shd w:val="clear" w:color="auto" w:fill="000080"/>
    </w:pPr>
    <w:rPr>
      <w:rFonts w:ascii="Tahoma" w:hAnsi="Tahoma" w:cs="Tahoma"/>
    </w:rPr>
  </w:style>
  <w:style w:type="character" w:styleId="Strong">
    <w:name w:val="Strong"/>
    <w:uiPriority w:val="22"/>
    <w:qFormat/>
    <w:rPr>
      <w:b/>
      <w:bCs/>
    </w:rPr>
  </w:style>
  <w:style w:type="paragraph" w:customStyle="1" w:styleId="bodytextnoindent">
    <w:name w:val="body text (no indent)"/>
    <w:basedOn w:val="Normal"/>
    <w:pPr>
      <w:widowControl w:val="0"/>
      <w:overflowPunct w:val="0"/>
      <w:autoSpaceDE w:val="0"/>
      <w:autoSpaceDN w:val="0"/>
      <w:adjustRightInd w:val="0"/>
      <w:spacing w:before="120" w:after="120"/>
      <w:textAlignment w:val="baseline"/>
    </w:pPr>
    <w:rPr>
      <w:szCs w:val="20"/>
      <w:lang w:eastAsia="de-DE"/>
    </w:rPr>
  </w:style>
  <w:style w:type="paragraph" w:customStyle="1" w:styleId="Para4">
    <w:name w:val="Para4"/>
    <w:basedOn w:val="Para3"/>
    <w:pPr>
      <w:numPr>
        <w:ilvl w:val="7"/>
        <w:numId w:val="2"/>
      </w:numPr>
      <w:tabs>
        <w:tab w:val="clear" w:pos="1980"/>
        <w:tab w:val="left" w:pos="2552"/>
      </w:tabs>
      <w:ind w:left="2552" w:hanging="567"/>
    </w:pPr>
    <w:rPr>
      <w:lang w:val="en-US"/>
    </w:rPr>
  </w:style>
  <w:style w:type="paragraph" w:customStyle="1" w:styleId="FBD-goal">
    <w:name w:val="FBD-goal"/>
    <w:basedOn w:val="Normal"/>
    <w:pPr>
      <w:keepNext/>
      <w:spacing w:before="120" w:after="120"/>
    </w:pPr>
    <w:rPr>
      <w:b/>
      <w:i/>
      <w:szCs w:val="20"/>
    </w:rPr>
  </w:style>
  <w:style w:type="character" w:styleId="Hyperlink">
    <w:name w:val="Hyperlink"/>
    <w:uiPriority w:val="99"/>
    <w:rPr>
      <w:color w:val="0000FF"/>
      <w:u w:val="single"/>
    </w:rPr>
  </w:style>
  <w:style w:type="paragraph" w:customStyle="1" w:styleId="Para2rev">
    <w:name w:val="Para 2 (rev)"/>
    <w:basedOn w:val="Normal"/>
    <w:pPr>
      <w:numPr>
        <w:numId w:val="6"/>
      </w:numPr>
      <w:spacing w:after="120"/>
    </w:pPr>
  </w:style>
  <w:style w:type="character" w:styleId="CommentReference">
    <w:name w:val="annotation reference"/>
    <w:semiHidden/>
    <w:rPr>
      <w:sz w:val="16"/>
      <w:szCs w:val="16"/>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pPr>
      <w:spacing w:after="0" w:line="240" w:lineRule="auto"/>
      <w:jc w:val="both"/>
    </w:pPr>
    <w:rPr>
      <w:rFonts w:ascii="Times New Roman" w:hAnsi="Times New Roman"/>
      <w:b/>
      <w:bCs/>
    </w:rPr>
  </w:style>
  <w:style w:type="paragraph" w:customStyle="1" w:styleId="1Para">
    <w:name w:val="1.Para"/>
    <w:basedOn w:val="Normal"/>
    <w:pPr>
      <w:numPr>
        <w:numId w:val="8"/>
      </w:numPr>
      <w:tabs>
        <w:tab w:val="left" w:pos="567"/>
      </w:tabs>
      <w:spacing w:before="120" w:after="120"/>
    </w:pPr>
    <w:rPr>
      <w:rFonts w:cs="Angsana New"/>
      <w:szCs w:val="22"/>
    </w:rPr>
  </w:style>
  <w:style w:type="paragraph" w:customStyle="1" w:styleId="para10">
    <w:name w:val="para 1"/>
    <w:basedOn w:val="Para1"/>
    <w:qFormat/>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uiPriority w:val="99"/>
    <w:rPr>
      <w:sz w:val="18"/>
      <w:szCs w:val="24"/>
      <w:lang w:val="en-GB" w:eastAsia="en-US"/>
    </w:rPr>
  </w:style>
  <w:style w:type="character" w:customStyle="1" w:styleId="Para1Char">
    <w:name w:val="Para1 Char"/>
    <w:uiPriority w:val="99"/>
    <w:rPr>
      <w:snapToGrid w:val="0"/>
      <w:sz w:val="22"/>
      <w:szCs w:val="18"/>
      <w:lang w:val="en-GB" w:eastAsia="en-US"/>
    </w:rPr>
  </w:style>
  <w:style w:type="character" w:customStyle="1" w:styleId="para1Char0">
    <w:name w:val="para 1 Char"/>
    <w:rPr>
      <w:snapToGrid w:val="0"/>
      <w:sz w:val="22"/>
      <w:szCs w:val="18"/>
      <w:lang w:val="en-GB" w:eastAsia="en-US"/>
    </w:rPr>
  </w:style>
  <w:style w:type="character" w:customStyle="1" w:styleId="HeaderChar">
    <w:name w:val="Header Char"/>
    <w:rPr>
      <w:sz w:val="22"/>
      <w:lang w:val="en-GB" w:eastAsia="en-US"/>
    </w:rPr>
  </w:style>
  <w:style w:type="character" w:customStyle="1" w:styleId="BodyTextChar">
    <w:name w:val="Body Text Char"/>
    <w:aliases w:val=" Car Char,Car Char"/>
    <w:link w:val="BodyText"/>
    <w:rsid w:val="00DD3CFD"/>
    <w:rPr>
      <w:iCs/>
      <w:sz w:val="22"/>
      <w:szCs w:val="24"/>
      <w:lang w:val="en-GB" w:eastAsia="en-US" w:bidi="ar-SA"/>
    </w:rPr>
  </w:style>
  <w:style w:type="paragraph" w:customStyle="1" w:styleId="Default">
    <w:name w:val="Default"/>
    <w:rsid w:val="007E7D64"/>
    <w:pPr>
      <w:autoSpaceDE w:val="0"/>
      <w:autoSpaceDN w:val="0"/>
      <w:adjustRightInd w:val="0"/>
    </w:pPr>
    <w:rPr>
      <w:rFonts w:ascii="Calibri" w:eastAsia="MS Mincho" w:hAnsi="Calibri" w:cs="Calibri"/>
      <w:color w:val="000000"/>
      <w:sz w:val="24"/>
      <w:szCs w:val="24"/>
      <w:lang w:eastAsia="ja-JP"/>
    </w:rPr>
  </w:style>
  <w:style w:type="character" w:customStyle="1" w:styleId="recordhilite">
    <w:name w:val="recordhilite"/>
    <w:basedOn w:val="DefaultParagraphFont"/>
    <w:rsid w:val="00954557"/>
  </w:style>
  <w:style w:type="character" w:customStyle="1" w:styleId="st">
    <w:name w:val="st"/>
    <w:basedOn w:val="DefaultParagraphFont"/>
    <w:rsid w:val="00334378"/>
  </w:style>
  <w:style w:type="character" w:styleId="Emphasis">
    <w:name w:val="Emphasis"/>
    <w:uiPriority w:val="20"/>
    <w:qFormat/>
    <w:rsid w:val="00304DAE"/>
    <w:rPr>
      <w:i/>
      <w:iCs/>
    </w:rPr>
  </w:style>
  <w:style w:type="paragraph" w:styleId="Title">
    <w:name w:val="Title"/>
    <w:basedOn w:val="Normal"/>
    <w:next w:val="Normal"/>
    <w:link w:val="TitleChar"/>
    <w:qFormat/>
    <w:rsid w:val="00011CD4"/>
    <w:pPr>
      <w:spacing w:before="240" w:after="60"/>
      <w:jc w:val="center"/>
      <w:outlineLvl w:val="0"/>
    </w:pPr>
    <w:rPr>
      <w:rFonts w:ascii="Cambria" w:hAnsi="Cambria"/>
      <w:b/>
      <w:bCs/>
      <w:kern w:val="28"/>
      <w:sz w:val="32"/>
      <w:szCs w:val="32"/>
    </w:rPr>
  </w:style>
  <w:style w:type="character" w:customStyle="1" w:styleId="TitleChar">
    <w:name w:val="Title Char"/>
    <w:link w:val="Title"/>
    <w:rsid w:val="00011CD4"/>
    <w:rPr>
      <w:rFonts w:ascii="Cambria" w:eastAsia="Times New Roman" w:hAnsi="Cambria" w:cs="Times New Roman"/>
      <w:b/>
      <w:bCs/>
      <w:kern w:val="28"/>
      <w:sz w:val="32"/>
      <w:szCs w:val="32"/>
      <w:lang w:val="en-GB"/>
    </w:rPr>
  </w:style>
  <w:style w:type="character" w:customStyle="1" w:styleId="CommentTextChar">
    <w:name w:val="Comment Text Char"/>
    <w:link w:val="CommentText"/>
    <w:uiPriority w:val="99"/>
    <w:semiHidden/>
    <w:rsid w:val="00254F2F"/>
    <w:rPr>
      <w:rFonts w:ascii="Courier" w:hAnsi="Courier"/>
      <w:lang w:val="en-GB"/>
    </w:rPr>
  </w:style>
  <w:style w:type="character" w:customStyle="1" w:styleId="apple-converted-space">
    <w:name w:val="apple-converted-space"/>
    <w:basedOn w:val="DefaultParagraphFont"/>
    <w:rsid w:val="00E317E6"/>
  </w:style>
  <w:style w:type="character" w:styleId="LineNumber">
    <w:name w:val="line number"/>
    <w:basedOn w:val="DefaultParagraphFont"/>
    <w:uiPriority w:val="99"/>
    <w:semiHidden/>
    <w:unhideWhenUsed/>
    <w:rsid w:val="00576A53"/>
  </w:style>
  <w:style w:type="paragraph" w:customStyle="1" w:styleId="heading2notforTOC">
    <w:name w:val="heading 2 not for TOC"/>
    <w:basedOn w:val="Heading3"/>
    <w:rsid w:val="00BB53BA"/>
    <w:rPr>
      <w:rFonts w:eastAsia="Malgun Gothic"/>
    </w:rPr>
  </w:style>
  <w:style w:type="paragraph" w:styleId="Revision">
    <w:name w:val="Revision"/>
    <w:hidden/>
    <w:uiPriority w:val="71"/>
    <w:rsid w:val="00921F19"/>
    <w:rPr>
      <w:sz w:val="22"/>
      <w:szCs w:val="24"/>
      <w:lang w:val="en-GB"/>
    </w:rPr>
  </w:style>
  <w:style w:type="character" w:customStyle="1" w:styleId="Heading2Char">
    <w:name w:val="Heading 2 Char"/>
    <w:link w:val="Heading2"/>
    <w:rsid w:val="00F826FE"/>
    <w:rPr>
      <w:b/>
      <w:bCs/>
      <w:i/>
      <w:iCs/>
      <w:sz w:val="22"/>
      <w:szCs w:val="24"/>
      <w:lang w:val="en-GB"/>
    </w:rPr>
  </w:style>
  <w:style w:type="paragraph" w:styleId="ListParagraph">
    <w:name w:val="List Paragraph"/>
    <w:basedOn w:val="Normal"/>
    <w:uiPriority w:val="34"/>
    <w:qFormat/>
    <w:rsid w:val="00B23CB2"/>
    <w:pPr>
      <w:ind w:left="720"/>
      <w:contextualSpacing/>
    </w:pPr>
  </w:style>
  <w:style w:type="paragraph" w:customStyle="1" w:styleId="recommendation">
    <w:name w:val="recommendation"/>
    <w:basedOn w:val="Heading2"/>
    <w:qFormat/>
    <w:rsid w:val="004B268C"/>
    <w:pPr>
      <w:tabs>
        <w:tab w:val="clear" w:pos="720"/>
      </w:tabs>
      <w:spacing w:before="240" w:after="60" w:line="276" w:lineRule="auto"/>
      <w:jc w:val="left"/>
    </w:pPr>
    <w:rPr>
      <w:snapToGrid w:val="0"/>
      <w:kern w:val="2"/>
      <w:szCs w:val="22"/>
      <w:lang w:val="en-US"/>
    </w:rPr>
  </w:style>
  <w:style w:type="character" w:styleId="FollowedHyperlink">
    <w:name w:val="FollowedHyperlink"/>
    <w:uiPriority w:val="99"/>
    <w:semiHidden/>
    <w:unhideWhenUsed/>
    <w:rsid w:val="003B0657"/>
    <w:rPr>
      <w:color w:val="800080"/>
      <w:u w:val="single"/>
    </w:rPr>
  </w:style>
  <w:style w:type="character" w:customStyle="1" w:styleId="FootnoteTextChar1">
    <w:name w:val="Footnote Text Char1"/>
    <w:aliases w:val="fn Char1,Geneva 9 Char1,Font: Geneva 9 Char1,Boston 10 Char1,f Char1,ft Char2,Fotnotstext Char Char1,ft Char Char1,single space Char1,footnote text Char1,FOOTNOTES Char1,ADB Char1,single space1 Char1,footnote text1 Char1,fn1 Char1"/>
    <w:link w:val="FootnoteText"/>
    <w:uiPriority w:val="99"/>
    <w:rsid w:val="00E90441"/>
    <w:rPr>
      <w:sz w:val="18"/>
      <w:szCs w:val="24"/>
      <w:lang w:val="en-GB" w:eastAsia="en-US"/>
    </w:rPr>
  </w:style>
  <w:style w:type="character" w:customStyle="1" w:styleId="Mentionnonrsolue1">
    <w:name w:val="Mention non résolue1"/>
    <w:uiPriority w:val="99"/>
    <w:semiHidden/>
    <w:unhideWhenUsed/>
    <w:rsid w:val="00407F7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88156">
      <w:bodyDiv w:val="1"/>
      <w:marLeft w:val="0"/>
      <w:marRight w:val="0"/>
      <w:marTop w:val="0"/>
      <w:marBottom w:val="0"/>
      <w:divBdr>
        <w:top w:val="none" w:sz="0" w:space="0" w:color="auto"/>
        <w:left w:val="none" w:sz="0" w:space="0" w:color="auto"/>
        <w:bottom w:val="none" w:sz="0" w:space="0" w:color="auto"/>
        <w:right w:val="none" w:sz="0" w:space="0" w:color="auto"/>
      </w:divBdr>
    </w:div>
    <w:div w:id="83304079">
      <w:bodyDiv w:val="1"/>
      <w:marLeft w:val="0"/>
      <w:marRight w:val="0"/>
      <w:marTop w:val="0"/>
      <w:marBottom w:val="0"/>
      <w:divBdr>
        <w:top w:val="none" w:sz="0" w:space="0" w:color="auto"/>
        <w:left w:val="none" w:sz="0" w:space="0" w:color="auto"/>
        <w:bottom w:val="none" w:sz="0" w:space="0" w:color="auto"/>
        <w:right w:val="none" w:sz="0" w:space="0" w:color="auto"/>
      </w:divBdr>
    </w:div>
    <w:div w:id="85539921">
      <w:bodyDiv w:val="1"/>
      <w:marLeft w:val="0"/>
      <w:marRight w:val="0"/>
      <w:marTop w:val="0"/>
      <w:marBottom w:val="0"/>
      <w:divBdr>
        <w:top w:val="none" w:sz="0" w:space="0" w:color="auto"/>
        <w:left w:val="none" w:sz="0" w:space="0" w:color="auto"/>
        <w:bottom w:val="none" w:sz="0" w:space="0" w:color="auto"/>
        <w:right w:val="none" w:sz="0" w:space="0" w:color="auto"/>
      </w:divBdr>
    </w:div>
    <w:div w:id="114758575">
      <w:bodyDiv w:val="1"/>
      <w:marLeft w:val="0"/>
      <w:marRight w:val="0"/>
      <w:marTop w:val="0"/>
      <w:marBottom w:val="0"/>
      <w:divBdr>
        <w:top w:val="none" w:sz="0" w:space="0" w:color="auto"/>
        <w:left w:val="none" w:sz="0" w:space="0" w:color="auto"/>
        <w:bottom w:val="none" w:sz="0" w:space="0" w:color="auto"/>
        <w:right w:val="none" w:sz="0" w:space="0" w:color="auto"/>
      </w:divBdr>
      <w:divsChild>
        <w:div w:id="1270888665">
          <w:marLeft w:val="0"/>
          <w:marRight w:val="0"/>
          <w:marTop w:val="0"/>
          <w:marBottom w:val="0"/>
          <w:divBdr>
            <w:top w:val="none" w:sz="0" w:space="0" w:color="auto"/>
            <w:left w:val="none" w:sz="0" w:space="0" w:color="auto"/>
            <w:bottom w:val="none" w:sz="0" w:space="0" w:color="auto"/>
            <w:right w:val="none" w:sz="0" w:space="0" w:color="auto"/>
          </w:divBdr>
        </w:div>
      </w:divsChild>
    </w:div>
    <w:div w:id="129371015">
      <w:bodyDiv w:val="1"/>
      <w:marLeft w:val="0"/>
      <w:marRight w:val="0"/>
      <w:marTop w:val="0"/>
      <w:marBottom w:val="0"/>
      <w:divBdr>
        <w:top w:val="none" w:sz="0" w:space="0" w:color="auto"/>
        <w:left w:val="none" w:sz="0" w:space="0" w:color="auto"/>
        <w:bottom w:val="none" w:sz="0" w:space="0" w:color="auto"/>
        <w:right w:val="none" w:sz="0" w:space="0" w:color="auto"/>
      </w:divBdr>
      <w:divsChild>
        <w:div w:id="973217162">
          <w:marLeft w:val="0"/>
          <w:marRight w:val="0"/>
          <w:marTop w:val="0"/>
          <w:marBottom w:val="0"/>
          <w:divBdr>
            <w:top w:val="none" w:sz="0" w:space="0" w:color="auto"/>
            <w:left w:val="none" w:sz="0" w:space="0" w:color="auto"/>
            <w:bottom w:val="none" w:sz="0" w:space="0" w:color="auto"/>
            <w:right w:val="none" w:sz="0" w:space="0" w:color="auto"/>
          </w:divBdr>
        </w:div>
        <w:div w:id="991526754">
          <w:marLeft w:val="0"/>
          <w:marRight w:val="0"/>
          <w:marTop w:val="0"/>
          <w:marBottom w:val="0"/>
          <w:divBdr>
            <w:top w:val="none" w:sz="0" w:space="0" w:color="auto"/>
            <w:left w:val="none" w:sz="0" w:space="0" w:color="auto"/>
            <w:bottom w:val="none" w:sz="0" w:space="0" w:color="auto"/>
            <w:right w:val="none" w:sz="0" w:space="0" w:color="auto"/>
          </w:divBdr>
        </w:div>
      </w:divsChild>
    </w:div>
    <w:div w:id="175071931">
      <w:bodyDiv w:val="1"/>
      <w:marLeft w:val="0"/>
      <w:marRight w:val="0"/>
      <w:marTop w:val="0"/>
      <w:marBottom w:val="0"/>
      <w:divBdr>
        <w:top w:val="none" w:sz="0" w:space="0" w:color="auto"/>
        <w:left w:val="none" w:sz="0" w:space="0" w:color="auto"/>
        <w:bottom w:val="none" w:sz="0" w:space="0" w:color="auto"/>
        <w:right w:val="none" w:sz="0" w:space="0" w:color="auto"/>
      </w:divBdr>
      <w:divsChild>
        <w:div w:id="69499783">
          <w:marLeft w:val="0"/>
          <w:marRight w:val="0"/>
          <w:marTop w:val="0"/>
          <w:marBottom w:val="0"/>
          <w:divBdr>
            <w:top w:val="none" w:sz="0" w:space="0" w:color="auto"/>
            <w:left w:val="none" w:sz="0" w:space="0" w:color="auto"/>
            <w:bottom w:val="none" w:sz="0" w:space="0" w:color="auto"/>
            <w:right w:val="none" w:sz="0" w:space="0" w:color="auto"/>
          </w:divBdr>
        </w:div>
        <w:div w:id="575820477">
          <w:marLeft w:val="0"/>
          <w:marRight w:val="0"/>
          <w:marTop w:val="0"/>
          <w:marBottom w:val="0"/>
          <w:divBdr>
            <w:top w:val="none" w:sz="0" w:space="0" w:color="auto"/>
            <w:left w:val="none" w:sz="0" w:space="0" w:color="auto"/>
            <w:bottom w:val="none" w:sz="0" w:space="0" w:color="auto"/>
            <w:right w:val="none" w:sz="0" w:space="0" w:color="auto"/>
          </w:divBdr>
        </w:div>
        <w:div w:id="749960643">
          <w:marLeft w:val="0"/>
          <w:marRight w:val="0"/>
          <w:marTop w:val="0"/>
          <w:marBottom w:val="0"/>
          <w:divBdr>
            <w:top w:val="none" w:sz="0" w:space="0" w:color="auto"/>
            <w:left w:val="none" w:sz="0" w:space="0" w:color="auto"/>
            <w:bottom w:val="none" w:sz="0" w:space="0" w:color="auto"/>
            <w:right w:val="none" w:sz="0" w:space="0" w:color="auto"/>
          </w:divBdr>
        </w:div>
        <w:div w:id="1058935773">
          <w:marLeft w:val="0"/>
          <w:marRight w:val="0"/>
          <w:marTop w:val="0"/>
          <w:marBottom w:val="0"/>
          <w:divBdr>
            <w:top w:val="none" w:sz="0" w:space="0" w:color="auto"/>
            <w:left w:val="none" w:sz="0" w:space="0" w:color="auto"/>
            <w:bottom w:val="none" w:sz="0" w:space="0" w:color="auto"/>
            <w:right w:val="none" w:sz="0" w:space="0" w:color="auto"/>
          </w:divBdr>
        </w:div>
      </w:divsChild>
    </w:div>
    <w:div w:id="416365803">
      <w:bodyDiv w:val="1"/>
      <w:marLeft w:val="0"/>
      <w:marRight w:val="0"/>
      <w:marTop w:val="0"/>
      <w:marBottom w:val="0"/>
      <w:divBdr>
        <w:top w:val="none" w:sz="0" w:space="0" w:color="auto"/>
        <w:left w:val="none" w:sz="0" w:space="0" w:color="auto"/>
        <w:bottom w:val="none" w:sz="0" w:space="0" w:color="auto"/>
        <w:right w:val="none" w:sz="0" w:space="0" w:color="auto"/>
      </w:divBdr>
    </w:div>
    <w:div w:id="471945391">
      <w:bodyDiv w:val="1"/>
      <w:marLeft w:val="0"/>
      <w:marRight w:val="0"/>
      <w:marTop w:val="0"/>
      <w:marBottom w:val="0"/>
      <w:divBdr>
        <w:top w:val="none" w:sz="0" w:space="0" w:color="auto"/>
        <w:left w:val="none" w:sz="0" w:space="0" w:color="auto"/>
        <w:bottom w:val="none" w:sz="0" w:space="0" w:color="auto"/>
        <w:right w:val="none" w:sz="0" w:space="0" w:color="auto"/>
      </w:divBdr>
      <w:divsChild>
        <w:div w:id="434983647">
          <w:marLeft w:val="0"/>
          <w:marRight w:val="0"/>
          <w:marTop w:val="0"/>
          <w:marBottom w:val="0"/>
          <w:divBdr>
            <w:top w:val="none" w:sz="0" w:space="0" w:color="auto"/>
            <w:left w:val="none" w:sz="0" w:space="0" w:color="auto"/>
            <w:bottom w:val="none" w:sz="0" w:space="0" w:color="auto"/>
            <w:right w:val="none" w:sz="0" w:space="0" w:color="auto"/>
          </w:divBdr>
        </w:div>
        <w:div w:id="1248929557">
          <w:marLeft w:val="0"/>
          <w:marRight w:val="0"/>
          <w:marTop w:val="0"/>
          <w:marBottom w:val="0"/>
          <w:divBdr>
            <w:top w:val="none" w:sz="0" w:space="0" w:color="auto"/>
            <w:left w:val="none" w:sz="0" w:space="0" w:color="auto"/>
            <w:bottom w:val="none" w:sz="0" w:space="0" w:color="auto"/>
            <w:right w:val="none" w:sz="0" w:space="0" w:color="auto"/>
          </w:divBdr>
        </w:div>
        <w:div w:id="1431047518">
          <w:marLeft w:val="0"/>
          <w:marRight w:val="0"/>
          <w:marTop w:val="0"/>
          <w:marBottom w:val="0"/>
          <w:divBdr>
            <w:top w:val="none" w:sz="0" w:space="0" w:color="auto"/>
            <w:left w:val="none" w:sz="0" w:space="0" w:color="auto"/>
            <w:bottom w:val="none" w:sz="0" w:space="0" w:color="auto"/>
            <w:right w:val="none" w:sz="0" w:space="0" w:color="auto"/>
          </w:divBdr>
        </w:div>
        <w:div w:id="1787918422">
          <w:marLeft w:val="0"/>
          <w:marRight w:val="0"/>
          <w:marTop w:val="0"/>
          <w:marBottom w:val="0"/>
          <w:divBdr>
            <w:top w:val="none" w:sz="0" w:space="0" w:color="auto"/>
            <w:left w:val="none" w:sz="0" w:space="0" w:color="auto"/>
            <w:bottom w:val="none" w:sz="0" w:space="0" w:color="auto"/>
            <w:right w:val="none" w:sz="0" w:space="0" w:color="auto"/>
          </w:divBdr>
        </w:div>
      </w:divsChild>
    </w:div>
    <w:div w:id="504977621">
      <w:bodyDiv w:val="1"/>
      <w:marLeft w:val="0"/>
      <w:marRight w:val="0"/>
      <w:marTop w:val="0"/>
      <w:marBottom w:val="0"/>
      <w:divBdr>
        <w:top w:val="none" w:sz="0" w:space="0" w:color="auto"/>
        <w:left w:val="none" w:sz="0" w:space="0" w:color="auto"/>
        <w:bottom w:val="none" w:sz="0" w:space="0" w:color="auto"/>
        <w:right w:val="none" w:sz="0" w:space="0" w:color="auto"/>
      </w:divBdr>
      <w:divsChild>
        <w:div w:id="1330249742">
          <w:marLeft w:val="0"/>
          <w:marRight w:val="0"/>
          <w:marTop w:val="0"/>
          <w:marBottom w:val="0"/>
          <w:divBdr>
            <w:top w:val="none" w:sz="0" w:space="0" w:color="auto"/>
            <w:left w:val="none" w:sz="0" w:space="0" w:color="auto"/>
            <w:bottom w:val="none" w:sz="0" w:space="0" w:color="auto"/>
            <w:right w:val="none" w:sz="0" w:space="0" w:color="auto"/>
          </w:divBdr>
        </w:div>
        <w:div w:id="1883135285">
          <w:marLeft w:val="0"/>
          <w:marRight w:val="0"/>
          <w:marTop w:val="0"/>
          <w:marBottom w:val="0"/>
          <w:divBdr>
            <w:top w:val="none" w:sz="0" w:space="0" w:color="auto"/>
            <w:left w:val="none" w:sz="0" w:space="0" w:color="auto"/>
            <w:bottom w:val="none" w:sz="0" w:space="0" w:color="auto"/>
            <w:right w:val="none" w:sz="0" w:space="0" w:color="auto"/>
          </w:divBdr>
        </w:div>
        <w:div w:id="2007131600">
          <w:marLeft w:val="0"/>
          <w:marRight w:val="0"/>
          <w:marTop w:val="0"/>
          <w:marBottom w:val="0"/>
          <w:divBdr>
            <w:top w:val="none" w:sz="0" w:space="0" w:color="auto"/>
            <w:left w:val="none" w:sz="0" w:space="0" w:color="auto"/>
            <w:bottom w:val="none" w:sz="0" w:space="0" w:color="auto"/>
            <w:right w:val="none" w:sz="0" w:space="0" w:color="auto"/>
          </w:divBdr>
        </w:div>
        <w:div w:id="2010403642">
          <w:marLeft w:val="0"/>
          <w:marRight w:val="0"/>
          <w:marTop w:val="0"/>
          <w:marBottom w:val="0"/>
          <w:divBdr>
            <w:top w:val="none" w:sz="0" w:space="0" w:color="auto"/>
            <w:left w:val="none" w:sz="0" w:space="0" w:color="auto"/>
            <w:bottom w:val="none" w:sz="0" w:space="0" w:color="auto"/>
            <w:right w:val="none" w:sz="0" w:space="0" w:color="auto"/>
          </w:divBdr>
        </w:div>
      </w:divsChild>
    </w:div>
    <w:div w:id="587350041">
      <w:bodyDiv w:val="1"/>
      <w:marLeft w:val="0"/>
      <w:marRight w:val="0"/>
      <w:marTop w:val="0"/>
      <w:marBottom w:val="0"/>
      <w:divBdr>
        <w:top w:val="none" w:sz="0" w:space="0" w:color="auto"/>
        <w:left w:val="none" w:sz="0" w:space="0" w:color="auto"/>
        <w:bottom w:val="none" w:sz="0" w:space="0" w:color="auto"/>
        <w:right w:val="none" w:sz="0" w:space="0" w:color="auto"/>
      </w:divBdr>
      <w:divsChild>
        <w:div w:id="798449934">
          <w:marLeft w:val="0"/>
          <w:marRight w:val="0"/>
          <w:marTop w:val="0"/>
          <w:marBottom w:val="0"/>
          <w:divBdr>
            <w:top w:val="none" w:sz="0" w:space="0" w:color="auto"/>
            <w:left w:val="none" w:sz="0" w:space="0" w:color="auto"/>
            <w:bottom w:val="none" w:sz="0" w:space="0" w:color="auto"/>
            <w:right w:val="none" w:sz="0" w:space="0" w:color="auto"/>
          </w:divBdr>
          <w:divsChild>
            <w:div w:id="39613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759780">
      <w:bodyDiv w:val="1"/>
      <w:marLeft w:val="0"/>
      <w:marRight w:val="0"/>
      <w:marTop w:val="0"/>
      <w:marBottom w:val="0"/>
      <w:divBdr>
        <w:top w:val="none" w:sz="0" w:space="0" w:color="auto"/>
        <w:left w:val="none" w:sz="0" w:space="0" w:color="auto"/>
        <w:bottom w:val="none" w:sz="0" w:space="0" w:color="auto"/>
        <w:right w:val="none" w:sz="0" w:space="0" w:color="auto"/>
      </w:divBdr>
    </w:div>
    <w:div w:id="643318590">
      <w:bodyDiv w:val="1"/>
      <w:marLeft w:val="0"/>
      <w:marRight w:val="0"/>
      <w:marTop w:val="0"/>
      <w:marBottom w:val="0"/>
      <w:divBdr>
        <w:top w:val="none" w:sz="0" w:space="0" w:color="auto"/>
        <w:left w:val="none" w:sz="0" w:space="0" w:color="auto"/>
        <w:bottom w:val="none" w:sz="0" w:space="0" w:color="auto"/>
        <w:right w:val="none" w:sz="0" w:space="0" w:color="auto"/>
      </w:divBdr>
    </w:div>
    <w:div w:id="659581152">
      <w:bodyDiv w:val="1"/>
      <w:marLeft w:val="0"/>
      <w:marRight w:val="0"/>
      <w:marTop w:val="0"/>
      <w:marBottom w:val="0"/>
      <w:divBdr>
        <w:top w:val="none" w:sz="0" w:space="0" w:color="auto"/>
        <w:left w:val="none" w:sz="0" w:space="0" w:color="auto"/>
        <w:bottom w:val="none" w:sz="0" w:space="0" w:color="auto"/>
        <w:right w:val="none" w:sz="0" w:space="0" w:color="auto"/>
      </w:divBdr>
    </w:div>
    <w:div w:id="695814223">
      <w:bodyDiv w:val="1"/>
      <w:marLeft w:val="0"/>
      <w:marRight w:val="0"/>
      <w:marTop w:val="0"/>
      <w:marBottom w:val="0"/>
      <w:divBdr>
        <w:top w:val="none" w:sz="0" w:space="0" w:color="auto"/>
        <w:left w:val="none" w:sz="0" w:space="0" w:color="auto"/>
        <w:bottom w:val="none" w:sz="0" w:space="0" w:color="auto"/>
        <w:right w:val="none" w:sz="0" w:space="0" w:color="auto"/>
      </w:divBdr>
    </w:div>
    <w:div w:id="722293479">
      <w:bodyDiv w:val="1"/>
      <w:marLeft w:val="0"/>
      <w:marRight w:val="0"/>
      <w:marTop w:val="0"/>
      <w:marBottom w:val="0"/>
      <w:divBdr>
        <w:top w:val="none" w:sz="0" w:space="0" w:color="auto"/>
        <w:left w:val="none" w:sz="0" w:space="0" w:color="auto"/>
        <w:bottom w:val="none" w:sz="0" w:space="0" w:color="auto"/>
        <w:right w:val="none" w:sz="0" w:space="0" w:color="auto"/>
      </w:divBdr>
    </w:div>
    <w:div w:id="816265008">
      <w:bodyDiv w:val="1"/>
      <w:marLeft w:val="0"/>
      <w:marRight w:val="0"/>
      <w:marTop w:val="0"/>
      <w:marBottom w:val="0"/>
      <w:divBdr>
        <w:top w:val="none" w:sz="0" w:space="0" w:color="auto"/>
        <w:left w:val="none" w:sz="0" w:space="0" w:color="auto"/>
        <w:bottom w:val="none" w:sz="0" w:space="0" w:color="auto"/>
        <w:right w:val="none" w:sz="0" w:space="0" w:color="auto"/>
      </w:divBdr>
    </w:div>
    <w:div w:id="821430740">
      <w:bodyDiv w:val="1"/>
      <w:marLeft w:val="0"/>
      <w:marRight w:val="0"/>
      <w:marTop w:val="0"/>
      <w:marBottom w:val="0"/>
      <w:divBdr>
        <w:top w:val="none" w:sz="0" w:space="0" w:color="auto"/>
        <w:left w:val="none" w:sz="0" w:space="0" w:color="auto"/>
        <w:bottom w:val="none" w:sz="0" w:space="0" w:color="auto"/>
        <w:right w:val="none" w:sz="0" w:space="0" w:color="auto"/>
      </w:divBdr>
      <w:divsChild>
        <w:div w:id="503975218">
          <w:marLeft w:val="0"/>
          <w:marRight w:val="0"/>
          <w:marTop w:val="0"/>
          <w:marBottom w:val="0"/>
          <w:divBdr>
            <w:top w:val="none" w:sz="0" w:space="0" w:color="auto"/>
            <w:left w:val="none" w:sz="0" w:space="0" w:color="auto"/>
            <w:bottom w:val="none" w:sz="0" w:space="0" w:color="auto"/>
            <w:right w:val="none" w:sz="0" w:space="0" w:color="auto"/>
          </w:divBdr>
        </w:div>
        <w:div w:id="936400986">
          <w:marLeft w:val="0"/>
          <w:marRight w:val="0"/>
          <w:marTop w:val="0"/>
          <w:marBottom w:val="0"/>
          <w:divBdr>
            <w:top w:val="none" w:sz="0" w:space="0" w:color="auto"/>
            <w:left w:val="none" w:sz="0" w:space="0" w:color="auto"/>
            <w:bottom w:val="none" w:sz="0" w:space="0" w:color="auto"/>
            <w:right w:val="none" w:sz="0" w:space="0" w:color="auto"/>
          </w:divBdr>
        </w:div>
      </w:divsChild>
    </w:div>
    <w:div w:id="1163198691">
      <w:bodyDiv w:val="1"/>
      <w:marLeft w:val="0"/>
      <w:marRight w:val="0"/>
      <w:marTop w:val="0"/>
      <w:marBottom w:val="0"/>
      <w:divBdr>
        <w:top w:val="none" w:sz="0" w:space="0" w:color="auto"/>
        <w:left w:val="none" w:sz="0" w:space="0" w:color="auto"/>
        <w:bottom w:val="none" w:sz="0" w:space="0" w:color="auto"/>
        <w:right w:val="none" w:sz="0" w:space="0" w:color="auto"/>
      </w:divBdr>
      <w:divsChild>
        <w:div w:id="1399592163">
          <w:marLeft w:val="0"/>
          <w:marRight w:val="0"/>
          <w:marTop w:val="0"/>
          <w:marBottom w:val="0"/>
          <w:divBdr>
            <w:top w:val="none" w:sz="0" w:space="0" w:color="auto"/>
            <w:left w:val="none" w:sz="0" w:space="0" w:color="auto"/>
            <w:bottom w:val="none" w:sz="0" w:space="0" w:color="auto"/>
            <w:right w:val="none" w:sz="0" w:space="0" w:color="auto"/>
          </w:divBdr>
        </w:div>
      </w:divsChild>
    </w:div>
    <w:div w:id="1193109721">
      <w:bodyDiv w:val="1"/>
      <w:marLeft w:val="0"/>
      <w:marRight w:val="0"/>
      <w:marTop w:val="0"/>
      <w:marBottom w:val="0"/>
      <w:divBdr>
        <w:top w:val="none" w:sz="0" w:space="0" w:color="auto"/>
        <w:left w:val="none" w:sz="0" w:space="0" w:color="auto"/>
        <w:bottom w:val="none" w:sz="0" w:space="0" w:color="auto"/>
        <w:right w:val="none" w:sz="0" w:space="0" w:color="auto"/>
      </w:divBdr>
      <w:divsChild>
        <w:div w:id="1629168768">
          <w:marLeft w:val="0"/>
          <w:marRight w:val="0"/>
          <w:marTop w:val="0"/>
          <w:marBottom w:val="0"/>
          <w:divBdr>
            <w:top w:val="none" w:sz="0" w:space="0" w:color="auto"/>
            <w:left w:val="none" w:sz="0" w:space="0" w:color="auto"/>
            <w:bottom w:val="none" w:sz="0" w:space="0" w:color="auto"/>
            <w:right w:val="none" w:sz="0" w:space="0" w:color="auto"/>
          </w:divBdr>
        </w:div>
      </w:divsChild>
    </w:div>
    <w:div w:id="1214461208">
      <w:bodyDiv w:val="1"/>
      <w:marLeft w:val="0"/>
      <w:marRight w:val="0"/>
      <w:marTop w:val="0"/>
      <w:marBottom w:val="0"/>
      <w:divBdr>
        <w:top w:val="none" w:sz="0" w:space="0" w:color="auto"/>
        <w:left w:val="none" w:sz="0" w:space="0" w:color="auto"/>
        <w:bottom w:val="none" w:sz="0" w:space="0" w:color="auto"/>
        <w:right w:val="none" w:sz="0" w:space="0" w:color="auto"/>
      </w:divBdr>
      <w:divsChild>
        <w:div w:id="287588173">
          <w:marLeft w:val="0"/>
          <w:marRight w:val="0"/>
          <w:marTop w:val="0"/>
          <w:marBottom w:val="0"/>
          <w:divBdr>
            <w:top w:val="none" w:sz="0" w:space="0" w:color="auto"/>
            <w:left w:val="none" w:sz="0" w:space="0" w:color="auto"/>
            <w:bottom w:val="none" w:sz="0" w:space="0" w:color="auto"/>
            <w:right w:val="none" w:sz="0" w:space="0" w:color="auto"/>
          </w:divBdr>
        </w:div>
        <w:div w:id="356851799">
          <w:marLeft w:val="0"/>
          <w:marRight w:val="0"/>
          <w:marTop w:val="0"/>
          <w:marBottom w:val="0"/>
          <w:divBdr>
            <w:top w:val="none" w:sz="0" w:space="0" w:color="auto"/>
            <w:left w:val="none" w:sz="0" w:space="0" w:color="auto"/>
            <w:bottom w:val="none" w:sz="0" w:space="0" w:color="auto"/>
            <w:right w:val="none" w:sz="0" w:space="0" w:color="auto"/>
          </w:divBdr>
        </w:div>
        <w:div w:id="500703536">
          <w:marLeft w:val="0"/>
          <w:marRight w:val="0"/>
          <w:marTop w:val="0"/>
          <w:marBottom w:val="0"/>
          <w:divBdr>
            <w:top w:val="none" w:sz="0" w:space="0" w:color="auto"/>
            <w:left w:val="none" w:sz="0" w:space="0" w:color="auto"/>
            <w:bottom w:val="none" w:sz="0" w:space="0" w:color="auto"/>
            <w:right w:val="none" w:sz="0" w:space="0" w:color="auto"/>
          </w:divBdr>
        </w:div>
        <w:div w:id="557014364">
          <w:marLeft w:val="0"/>
          <w:marRight w:val="0"/>
          <w:marTop w:val="0"/>
          <w:marBottom w:val="0"/>
          <w:divBdr>
            <w:top w:val="none" w:sz="0" w:space="0" w:color="auto"/>
            <w:left w:val="none" w:sz="0" w:space="0" w:color="auto"/>
            <w:bottom w:val="none" w:sz="0" w:space="0" w:color="auto"/>
            <w:right w:val="none" w:sz="0" w:space="0" w:color="auto"/>
          </w:divBdr>
        </w:div>
        <w:div w:id="676155637">
          <w:marLeft w:val="0"/>
          <w:marRight w:val="0"/>
          <w:marTop w:val="0"/>
          <w:marBottom w:val="0"/>
          <w:divBdr>
            <w:top w:val="none" w:sz="0" w:space="0" w:color="auto"/>
            <w:left w:val="none" w:sz="0" w:space="0" w:color="auto"/>
            <w:bottom w:val="none" w:sz="0" w:space="0" w:color="auto"/>
            <w:right w:val="none" w:sz="0" w:space="0" w:color="auto"/>
          </w:divBdr>
        </w:div>
        <w:div w:id="689333326">
          <w:marLeft w:val="0"/>
          <w:marRight w:val="0"/>
          <w:marTop w:val="0"/>
          <w:marBottom w:val="0"/>
          <w:divBdr>
            <w:top w:val="none" w:sz="0" w:space="0" w:color="auto"/>
            <w:left w:val="none" w:sz="0" w:space="0" w:color="auto"/>
            <w:bottom w:val="none" w:sz="0" w:space="0" w:color="auto"/>
            <w:right w:val="none" w:sz="0" w:space="0" w:color="auto"/>
          </w:divBdr>
        </w:div>
        <w:div w:id="728653279">
          <w:marLeft w:val="0"/>
          <w:marRight w:val="0"/>
          <w:marTop w:val="0"/>
          <w:marBottom w:val="0"/>
          <w:divBdr>
            <w:top w:val="none" w:sz="0" w:space="0" w:color="auto"/>
            <w:left w:val="none" w:sz="0" w:space="0" w:color="auto"/>
            <w:bottom w:val="none" w:sz="0" w:space="0" w:color="auto"/>
            <w:right w:val="none" w:sz="0" w:space="0" w:color="auto"/>
          </w:divBdr>
        </w:div>
        <w:div w:id="847256131">
          <w:marLeft w:val="0"/>
          <w:marRight w:val="0"/>
          <w:marTop w:val="0"/>
          <w:marBottom w:val="0"/>
          <w:divBdr>
            <w:top w:val="none" w:sz="0" w:space="0" w:color="auto"/>
            <w:left w:val="none" w:sz="0" w:space="0" w:color="auto"/>
            <w:bottom w:val="none" w:sz="0" w:space="0" w:color="auto"/>
            <w:right w:val="none" w:sz="0" w:space="0" w:color="auto"/>
          </w:divBdr>
        </w:div>
        <w:div w:id="1163815143">
          <w:marLeft w:val="0"/>
          <w:marRight w:val="0"/>
          <w:marTop w:val="0"/>
          <w:marBottom w:val="0"/>
          <w:divBdr>
            <w:top w:val="none" w:sz="0" w:space="0" w:color="auto"/>
            <w:left w:val="none" w:sz="0" w:space="0" w:color="auto"/>
            <w:bottom w:val="none" w:sz="0" w:space="0" w:color="auto"/>
            <w:right w:val="none" w:sz="0" w:space="0" w:color="auto"/>
          </w:divBdr>
        </w:div>
        <w:div w:id="1221595739">
          <w:marLeft w:val="0"/>
          <w:marRight w:val="0"/>
          <w:marTop w:val="0"/>
          <w:marBottom w:val="0"/>
          <w:divBdr>
            <w:top w:val="none" w:sz="0" w:space="0" w:color="auto"/>
            <w:left w:val="none" w:sz="0" w:space="0" w:color="auto"/>
            <w:bottom w:val="none" w:sz="0" w:space="0" w:color="auto"/>
            <w:right w:val="none" w:sz="0" w:space="0" w:color="auto"/>
          </w:divBdr>
        </w:div>
        <w:div w:id="1742215948">
          <w:marLeft w:val="0"/>
          <w:marRight w:val="0"/>
          <w:marTop w:val="0"/>
          <w:marBottom w:val="0"/>
          <w:divBdr>
            <w:top w:val="none" w:sz="0" w:space="0" w:color="auto"/>
            <w:left w:val="none" w:sz="0" w:space="0" w:color="auto"/>
            <w:bottom w:val="none" w:sz="0" w:space="0" w:color="auto"/>
            <w:right w:val="none" w:sz="0" w:space="0" w:color="auto"/>
          </w:divBdr>
        </w:div>
        <w:div w:id="1992250438">
          <w:marLeft w:val="0"/>
          <w:marRight w:val="0"/>
          <w:marTop w:val="0"/>
          <w:marBottom w:val="0"/>
          <w:divBdr>
            <w:top w:val="none" w:sz="0" w:space="0" w:color="auto"/>
            <w:left w:val="none" w:sz="0" w:space="0" w:color="auto"/>
            <w:bottom w:val="none" w:sz="0" w:space="0" w:color="auto"/>
            <w:right w:val="none" w:sz="0" w:space="0" w:color="auto"/>
          </w:divBdr>
        </w:div>
      </w:divsChild>
    </w:div>
    <w:div w:id="1217013516">
      <w:bodyDiv w:val="1"/>
      <w:marLeft w:val="0"/>
      <w:marRight w:val="0"/>
      <w:marTop w:val="0"/>
      <w:marBottom w:val="0"/>
      <w:divBdr>
        <w:top w:val="none" w:sz="0" w:space="0" w:color="auto"/>
        <w:left w:val="none" w:sz="0" w:space="0" w:color="auto"/>
        <w:bottom w:val="none" w:sz="0" w:space="0" w:color="auto"/>
        <w:right w:val="none" w:sz="0" w:space="0" w:color="auto"/>
      </w:divBdr>
      <w:divsChild>
        <w:div w:id="990910045">
          <w:marLeft w:val="0"/>
          <w:marRight w:val="0"/>
          <w:marTop w:val="0"/>
          <w:marBottom w:val="0"/>
          <w:divBdr>
            <w:top w:val="none" w:sz="0" w:space="0" w:color="auto"/>
            <w:left w:val="none" w:sz="0" w:space="0" w:color="auto"/>
            <w:bottom w:val="none" w:sz="0" w:space="0" w:color="auto"/>
            <w:right w:val="none" w:sz="0" w:space="0" w:color="auto"/>
          </w:divBdr>
        </w:div>
        <w:div w:id="2091542721">
          <w:marLeft w:val="0"/>
          <w:marRight w:val="0"/>
          <w:marTop w:val="0"/>
          <w:marBottom w:val="0"/>
          <w:divBdr>
            <w:top w:val="none" w:sz="0" w:space="0" w:color="auto"/>
            <w:left w:val="none" w:sz="0" w:space="0" w:color="auto"/>
            <w:bottom w:val="none" w:sz="0" w:space="0" w:color="auto"/>
            <w:right w:val="none" w:sz="0" w:space="0" w:color="auto"/>
          </w:divBdr>
        </w:div>
      </w:divsChild>
    </w:div>
    <w:div w:id="1272250571">
      <w:bodyDiv w:val="1"/>
      <w:marLeft w:val="0"/>
      <w:marRight w:val="0"/>
      <w:marTop w:val="0"/>
      <w:marBottom w:val="0"/>
      <w:divBdr>
        <w:top w:val="none" w:sz="0" w:space="0" w:color="auto"/>
        <w:left w:val="none" w:sz="0" w:space="0" w:color="auto"/>
        <w:bottom w:val="none" w:sz="0" w:space="0" w:color="auto"/>
        <w:right w:val="none" w:sz="0" w:space="0" w:color="auto"/>
      </w:divBdr>
    </w:div>
    <w:div w:id="1344818404">
      <w:bodyDiv w:val="1"/>
      <w:marLeft w:val="0"/>
      <w:marRight w:val="0"/>
      <w:marTop w:val="0"/>
      <w:marBottom w:val="0"/>
      <w:divBdr>
        <w:top w:val="none" w:sz="0" w:space="0" w:color="auto"/>
        <w:left w:val="none" w:sz="0" w:space="0" w:color="auto"/>
        <w:bottom w:val="none" w:sz="0" w:space="0" w:color="auto"/>
        <w:right w:val="none" w:sz="0" w:space="0" w:color="auto"/>
      </w:divBdr>
      <w:divsChild>
        <w:div w:id="1501240471">
          <w:marLeft w:val="0"/>
          <w:marRight w:val="0"/>
          <w:marTop w:val="0"/>
          <w:marBottom w:val="0"/>
          <w:divBdr>
            <w:top w:val="none" w:sz="0" w:space="0" w:color="auto"/>
            <w:left w:val="none" w:sz="0" w:space="0" w:color="auto"/>
            <w:bottom w:val="none" w:sz="0" w:space="0" w:color="auto"/>
            <w:right w:val="none" w:sz="0" w:space="0" w:color="auto"/>
          </w:divBdr>
        </w:div>
      </w:divsChild>
    </w:div>
    <w:div w:id="1446576594">
      <w:bodyDiv w:val="1"/>
      <w:marLeft w:val="0"/>
      <w:marRight w:val="0"/>
      <w:marTop w:val="0"/>
      <w:marBottom w:val="0"/>
      <w:divBdr>
        <w:top w:val="none" w:sz="0" w:space="0" w:color="auto"/>
        <w:left w:val="none" w:sz="0" w:space="0" w:color="auto"/>
        <w:bottom w:val="none" w:sz="0" w:space="0" w:color="auto"/>
        <w:right w:val="none" w:sz="0" w:space="0" w:color="auto"/>
      </w:divBdr>
    </w:div>
    <w:div w:id="1507553042">
      <w:bodyDiv w:val="1"/>
      <w:marLeft w:val="0"/>
      <w:marRight w:val="0"/>
      <w:marTop w:val="0"/>
      <w:marBottom w:val="0"/>
      <w:divBdr>
        <w:top w:val="none" w:sz="0" w:space="0" w:color="auto"/>
        <w:left w:val="none" w:sz="0" w:space="0" w:color="auto"/>
        <w:bottom w:val="none" w:sz="0" w:space="0" w:color="auto"/>
        <w:right w:val="none" w:sz="0" w:space="0" w:color="auto"/>
      </w:divBdr>
      <w:divsChild>
        <w:div w:id="458301036">
          <w:marLeft w:val="0"/>
          <w:marRight w:val="0"/>
          <w:marTop w:val="0"/>
          <w:marBottom w:val="0"/>
          <w:divBdr>
            <w:top w:val="none" w:sz="0" w:space="0" w:color="auto"/>
            <w:left w:val="none" w:sz="0" w:space="0" w:color="auto"/>
            <w:bottom w:val="none" w:sz="0" w:space="0" w:color="auto"/>
            <w:right w:val="none" w:sz="0" w:space="0" w:color="auto"/>
          </w:divBdr>
        </w:div>
        <w:div w:id="539636738">
          <w:marLeft w:val="0"/>
          <w:marRight w:val="0"/>
          <w:marTop w:val="0"/>
          <w:marBottom w:val="0"/>
          <w:divBdr>
            <w:top w:val="none" w:sz="0" w:space="0" w:color="auto"/>
            <w:left w:val="none" w:sz="0" w:space="0" w:color="auto"/>
            <w:bottom w:val="none" w:sz="0" w:space="0" w:color="auto"/>
            <w:right w:val="none" w:sz="0" w:space="0" w:color="auto"/>
          </w:divBdr>
        </w:div>
        <w:div w:id="788469789">
          <w:marLeft w:val="0"/>
          <w:marRight w:val="0"/>
          <w:marTop w:val="0"/>
          <w:marBottom w:val="0"/>
          <w:divBdr>
            <w:top w:val="none" w:sz="0" w:space="0" w:color="auto"/>
            <w:left w:val="none" w:sz="0" w:space="0" w:color="auto"/>
            <w:bottom w:val="none" w:sz="0" w:space="0" w:color="auto"/>
            <w:right w:val="none" w:sz="0" w:space="0" w:color="auto"/>
          </w:divBdr>
        </w:div>
      </w:divsChild>
    </w:div>
    <w:div w:id="1537310665">
      <w:bodyDiv w:val="1"/>
      <w:marLeft w:val="0"/>
      <w:marRight w:val="0"/>
      <w:marTop w:val="0"/>
      <w:marBottom w:val="0"/>
      <w:divBdr>
        <w:top w:val="none" w:sz="0" w:space="0" w:color="auto"/>
        <w:left w:val="none" w:sz="0" w:space="0" w:color="auto"/>
        <w:bottom w:val="none" w:sz="0" w:space="0" w:color="auto"/>
        <w:right w:val="none" w:sz="0" w:space="0" w:color="auto"/>
      </w:divBdr>
    </w:div>
    <w:div w:id="1599943140">
      <w:bodyDiv w:val="1"/>
      <w:marLeft w:val="0"/>
      <w:marRight w:val="0"/>
      <w:marTop w:val="0"/>
      <w:marBottom w:val="0"/>
      <w:divBdr>
        <w:top w:val="none" w:sz="0" w:space="0" w:color="auto"/>
        <w:left w:val="none" w:sz="0" w:space="0" w:color="auto"/>
        <w:bottom w:val="none" w:sz="0" w:space="0" w:color="auto"/>
        <w:right w:val="none" w:sz="0" w:space="0" w:color="auto"/>
      </w:divBdr>
    </w:div>
    <w:div w:id="1689256235">
      <w:bodyDiv w:val="1"/>
      <w:marLeft w:val="0"/>
      <w:marRight w:val="0"/>
      <w:marTop w:val="0"/>
      <w:marBottom w:val="0"/>
      <w:divBdr>
        <w:top w:val="none" w:sz="0" w:space="0" w:color="auto"/>
        <w:left w:val="none" w:sz="0" w:space="0" w:color="auto"/>
        <w:bottom w:val="none" w:sz="0" w:space="0" w:color="auto"/>
        <w:right w:val="none" w:sz="0" w:space="0" w:color="auto"/>
      </w:divBdr>
      <w:divsChild>
        <w:div w:id="1300378683">
          <w:marLeft w:val="0"/>
          <w:marRight w:val="0"/>
          <w:marTop w:val="0"/>
          <w:marBottom w:val="0"/>
          <w:divBdr>
            <w:top w:val="none" w:sz="0" w:space="0" w:color="auto"/>
            <w:left w:val="none" w:sz="0" w:space="0" w:color="auto"/>
            <w:bottom w:val="none" w:sz="0" w:space="0" w:color="auto"/>
            <w:right w:val="none" w:sz="0" w:space="0" w:color="auto"/>
          </w:divBdr>
        </w:div>
      </w:divsChild>
    </w:div>
    <w:div w:id="1716848729">
      <w:bodyDiv w:val="1"/>
      <w:marLeft w:val="0"/>
      <w:marRight w:val="0"/>
      <w:marTop w:val="0"/>
      <w:marBottom w:val="0"/>
      <w:divBdr>
        <w:top w:val="none" w:sz="0" w:space="0" w:color="auto"/>
        <w:left w:val="none" w:sz="0" w:space="0" w:color="auto"/>
        <w:bottom w:val="none" w:sz="0" w:space="0" w:color="auto"/>
        <w:right w:val="none" w:sz="0" w:space="0" w:color="auto"/>
      </w:divBdr>
    </w:div>
    <w:div w:id="1732532468">
      <w:bodyDiv w:val="1"/>
      <w:marLeft w:val="0"/>
      <w:marRight w:val="0"/>
      <w:marTop w:val="0"/>
      <w:marBottom w:val="0"/>
      <w:divBdr>
        <w:top w:val="none" w:sz="0" w:space="0" w:color="auto"/>
        <w:left w:val="none" w:sz="0" w:space="0" w:color="auto"/>
        <w:bottom w:val="none" w:sz="0" w:space="0" w:color="auto"/>
        <w:right w:val="none" w:sz="0" w:space="0" w:color="auto"/>
      </w:divBdr>
    </w:div>
    <w:div w:id="1783380207">
      <w:bodyDiv w:val="1"/>
      <w:marLeft w:val="0"/>
      <w:marRight w:val="0"/>
      <w:marTop w:val="0"/>
      <w:marBottom w:val="0"/>
      <w:divBdr>
        <w:top w:val="none" w:sz="0" w:space="0" w:color="auto"/>
        <w:left w:val="none" w:sz="0" w:space="0" w:color="auto"/>
        <w:bottom w:val="none" w:sz="0" w:space="0" w:color="auto"/>
        <w:right w:val="none" w:sz="0" w:space="0" w:color="auto"/>
      </w:divBdr>
      <w:divsChild>
        <w:div w:id="602884010">
          <w:marLeft w:val="0"/>
          <w:marRight w:val="0"/>
          <w:marTop w:val="0"/>
          <w:marBottom w:val="0"/>
          <w:divBdr>
            <w:top w:val="none" w:sz="0" w:space="0" w:color="auto"/>
            <w:left w:val="none" w:sz="0" w:space="0" w:color="auto"/>
            <w:bottom w:val="none" w:sz="0" w:space="0" w:color="auto"/>
            <w:right w:val="none" w:sz="0" w:space="0" w:color="auto"/>
          </w:divBdr>
        </w:div>
      </w:divsChild>
    </w:div>
    <w:div w:id="1897818234">
      <w:bodyDiv w:val="1"/>
      <w:marLeft w:val="0"/>
      <w:marRight w:val="0"/>
      <w:marTop w:val="0"/>
      <w:marBottom w:val="0"/>
      <w:divBdr>
        <w:top w:val="none" w:sz="0" w:space="0" w:color="auto"/>
        <w:left w:val="none" w:sz="0" w:space="0" w:color="auto"/>
        <w:bottom w:val="none" w:sz="0" w:space="0" w:color="auto"/>
        <w:right w:val="none" w:sz="0" w:space="0" w:color="auto"/>
      </w:divBdr>
    </w:div>
    <w:div w:id="1927959237">
      <w:bodyDiv w:val="1"/>
      <w:marLeft w:val="0"/>
      <w:marRight w:val="0"/>
      <w:marTop w:val="0"/>
      <w:marBottom w:val="0"/>
      <w:divBdr>
        <w:top w:val="none" w:sz="0" w:space="0" w:color="auto"/>
        <w:left w:val="none" w:sz="0" w:space="0" w:color="auto"/>
        <w:bottom w:val="none" w:sz="0" w:space="0" w:color="auto"/>
        <w:right w:val="none" w:sz="0" w:space="0" w:color="auto"/>
      </w:divBdr>
    </w:div>
    <w:div w:id="1946422344">
      <w:bodyDiv w:val="1"/>
      <w:marLeft w:val="0"/>
      <w:marRight w:val="0"/>
      <w:marTop w:val="0"/>
      <w:marBottom w:val="0"/>
      <w:divBdr>
        <w:top w:val="none" w:sz="0" w:space="0" w:color="auto"/>
        <w:left w:val="none" w:sz="0" w:space="0" w:color="auto"/>
        <w:bottom w:val="none" w:sz="0" w:space="0" w:color="auto"/>
        <w:right w:val="none" w:sz="0" w:space="0" w:color="auto"/>
      </w:divBdr>
      <w:divsChild>
        <w:div w:id="333460669">
          <w:marLeft w:val="0"/>
          <w:marRight w:val="0"/>
          <w:marTop w:val="0"/>
          <w:marBottom w:val="0"/>
          <w:divBdr>
            <w:top w:val="none" w:sz="0" w:space="0" w:color="auto"/>
            <w:left w:val="none" w:sz="0" w:space="0" w:color="auto"/>
            <w:bottom w:val="none" w:sz="0" w:space="0" w:color="auto"/>
            <w:right w:val="none" w:sz="0" w:space="0" w:color="auto"/>
          </w:divBdr>
        </w:div>
        <w:div w:id="1040128743">
          <w:marLeft w:val="0"/>
          <w:marRight w:val="0"/>
          <w:marTop w:val="0"/>
          <w:marBottom w:val="0"/>
          <w:divBdr>
            <w:top w:val="none" w:sz="0" w:space="0" w:color="auto"/>
            <w:left w:val="none" w:sz="0" w:space="0" w:color="auto"/>
            <w:bottom w:val="none" w:sz="0" w:space="0" w:color="auto"/>
            <w:right w:val="none" w:sz="0" w:space="0" w:color="auto"/>
          </w:divBdr>
        </w:div>
        <w:div w:id="1578975383">
          <w:marLeft w:val="0"/>
          <w:marRight w:val="0"/>
          <w:marTop w:val="0"/>
          <w:marBottom w:val="0"/>
          <w:divBdr>
            <w:top w:val="none" w:sz="0" w:space="0" w:color="auto"/>
            <w:left w:val="none" w:sz="0" w:space="0" w:color="auto"/>
            <w:bottom w:val="none" w:sz="0" w:space="0" w:color="auto"/>
            <w:right w:val="none" w:sz="0" w:space="0" w:color="auto"/>
          </w:divBdr>
        </w:div>
        <w:div w:id="1884362640">
          <w:marLeft w:val="0"/>
          <w:marRight w:val="0"/>
          <w:marTop w:val="0"/>
          <w:marBottom w:val="0"/>
          <w:divBdr>
            <w:top w:val="none" w:sz="0" w:space="0" w:color="auto"/>
            <w:left w:val="none" w:sz="0" w:space="0" w:color="auto"/>
            <w:bottom w:val="none" w:sz="0" w:space="0" w:color="auto"/>
            <w:right w:val="none" w:sz="0" w:space="0" w:color="auto"/>
          </w:divBdr>
        </w:div>
      </w:divsChild>
    </w:div>
    <w:div w:id="1994023358">
      <w:bodyDiv w:val="1"/>
      <w:marLeft w:val="0"/>
      <w:marRight w:val="0"/>
      <w:marTop w:val="0"/>
      <w:marBottom w:val="0"/>
      <w:divBdr>
        <w:top w:val="none" w:sz="0" w:space="0" w:color="auto"/>
        <w:left w:val="none" w:sz="0" w:space="0" w:color="auto"/>
        <w:bottom w:val="none" w:sz="0" w:space="0" w:color="auto"/>
        <w:right w:val="none" w:sz="0" w:space="0" w:color="auto"/>
      </w:divBdr>
    </w:div>
    <w:div w:id="1994066387">
      <w:bodyDiv w:val="1"/>
      <w:marLeft w:val="0"/>
      <w:marRight w:val="0"/>
      <w:marTop w:val="0"/>
      <w:marBottom w:val="0"/>
      <w:divBdr>
        <w:top w:val="none" w:sz="0" w:space="0" w:color="auto"/>
        <w:left w:val="none" w:sz="0" w:space="0" w:color="auto"/>
        <w:bottom w:val="none" w:sz="0" w:space="0" w:color="auto"/>
        <w:right w:val="none" w:sz="0" w:space="0" w:color="auto"/>
      </w:divBdr>
    </w:div>
    <w:div w:id="1998069081">
      <w:bodyDiv w:val="1"/>
      <w:marLeft w:val="0"/>
      <w:marRight w:val="0"/>
      <w:marTop w:val="0"/>
      <w:marBottom w:val="0"/>
      <w:divBdr>
        <w:top w:val="none" w:sz="0" w:space="0" w:color="auto"/>
        <w:left w:val="none" w:sz="0" w:space="0" w:color="auto"/>
        <w:bottom w:val="none" w:sz="0" w:space="0" w:color="auto"/>
        <w:right w:val="none" w:sz="0" w:space="0" w:color="auto"/>
      </w:divBdr>
      <w:divsChild>
        <w:div w:id="426737149">
          <w:marLeft w:val="0"/>
          <w:marRight w:val="0"/>
          <w:marTop w:val="0"/>
          <w:marBottom w:val="0"/>
          <w:divBdr>
            <w:top w:val="none" w:sz="0" w:space="0" w:color="auto"/>
            <w:left w:val="none" w:sz="0" w:space="0" w:color="auto"/>
            <w:bottom w:val="none" w:sz="0" w:space="0" w:color="auto"/>
            <w:right w:val="none" w:sz="0" w:space="0" w:color="auto"/>
          </w:divBdr>
        </w:div>
      </w:divsChild>
    </w:div>
    <w:div w:id="2018539144">
      <w:bodyDiv w:val="1"/>
      <w:marLeft w:val="0"/>
      <w:marRight w:val="0"/>
      <w:marTop w:val="0"/>
      <w:marBottom w:val="0"/>
      <w:divBdr>
        <w:top w:val="none" w:sz="0" w:space="0" w:color="auto"/>
        <w:left w:val="none" w:sz="0" w:space="0" w:color="auto"/>
        <w:bottom w:val="none" w:sz="0" w:space="0" w:color="auto"/>
        <w:right w:val="none" w:sz="0" w:space="0" w:color="auto"/>
      </w:divBdr>
    </w:div>
    <w:div w:id="2057850235">
      <w:bodyDiv w:val="1"/>
      <w:marLeft w:val="0"/>
      <w:marRight w:val="0"/>
      <w:marTop w:val="0"/>
      <w:marBottom w:val="0"/>
      <w:divBdr>
        <w:top w:val="none" w:sz="0" w:space="0" w:color="auto"/>
        <w:left w:val="none" w:sz="0" w:space="0" w:color="auto"/>
        <w:bottom w:val="none" w:sz="0" w:space="0" w:color="auto"/>
        <w:right w:val="none" w:sz="0" w:space="0" w:color="auto"/>
      </w:divBdr>
    </w:div>
    <w:div w:id="2062360217">
      <w:bodyDiv w:val="1"/>
      <w:marLeft w:val="0"/>
      <w:marRight w:val="0"/>
      <w:marTop w:val="0"/>
      <w:marBottom w:val="0"/>
      <w:divBdr>
        <w:top w:val="none" w:sz="0" w:space="0" w:color="auto"/>
        <w:left w:val="none" w:sz="0" w:space="0" w:color="auto"/>
        <w:bottom w:val="none" w:sz="0" w:space="0" w:color="auto"/>
        <w:right w:val="none" w:sz="0" w:space="0" w:color="auto"/>
      </w:divBdr>
    </w:div>
    <w:div w:id="20796667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oc/decisions/cop-13/cop-13-dec-22-fr.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bd.int/doc/decisions/cop-13/cop-13-dec-23-fr.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ipbes.net/deliverables/3c-scenarios-and-modelling" TargetMode="External"/><Relationship Id="rId13" Type="http://schemas.openxmlformats.org/officeDocument/2006/relationships/hyperlink" Target="https://www.cbd.int/doc/c/d13b/13fd/50574e2e6f1253ea3632def9/sbstta-21-02-fr.pdf" TargetMode="External"/><Relationship Id="rId18" Type="http://schemas.openxmlformats.org/officeDocument/2006/relationships/hyperlink" Target="https://www.cbd.int/doc/c/e36c/2553/863a73bd3015677df8f30506/sbstta-21-inf-18-en.pdf" TargetMode="External"/><Relationship Id="rId3" Type="http://schemas.openxmlformats.org/officeDocument/2006/relationships/hyperlink" Target="https://www.cbd.int/doc/meetings/sbstta/sbstta-21/official/sbstta-21-02-add1-fr.pdf" TargetMode="External"/><Relationship Id="rId7" Type="http://schemas.openxmlformats.org/officeDocument/2006/relationships/hyperlink" Target="https://www.cbd.int/doc/c/e36c/2553/863a73bd3015677df8f30506/sbstta-21-inf-18-en.pdf" TargetMode="External"/><Relationship Id="rId12" Type="http://schemas.openxmlformats.org/officeDocument/2006/relationships/hyperlink" Target="https://www.cbd.int/doc/decisions/cop-10/cop-10-dec-02-fr.pdf" TargetMode="External"/><Relationship Id="rId17" Type="http://schemas.openxmlformats.org/officeDocument/2006/relationships/hyperlink" Target="https://www.cbd.int/doc/c/75db/a1d2/64d21404dca630a93407078b/sbstta-21-inf-04-en.pdf" TargetMode="External"/><Relationship Id="rId2" Type="http://schemas.openxmlformats.org/officeDocument/2006/relationships/hyperlink" Target="https://www.cbd.int/doc/c/d13b/13fd/50574e2e6f1253ea3632def9/sbstta-21-02-fr.pdf" TargetMode="External"/><Relationship Id="rId16" Type="http://schemas.openxmlformats.org/officeDocument/2006/relationships/hyperlink" Target="https://www.cbd.int/doc/c/d623/0105/bc697cf1556d8892498c3866/sbstta-21-inf-03-en.pdf" TargetMode="External"/><Relationship Id="rId1" Type="http://schemas.openxmlformats.org/officeDocument/2006/relationships/hyperlink" Target="https://www.cbd.int/doc/decisions/cop-10/cop-10-dec-02-fr.pdf" TargetMode="External"/><Relationship Id="rId6" Type="http://schemas.openxmlformats.org/officeDocument/2006/relationships/hyperlink" Target="https://www.cbd.int/doc/c/75db/a1d2/64d21404dca630a93407078b/sbstta-21-inf-04-en.pdf" TargetMode="External"/><Relationship Id="rId11" Type="http://schemas.openxmlformats.org/officeDocument/2006/relationships/hyperlink" Target="http://www.un.org/en/ga/search/view_doc.asp?symbol=A/RES/70/1&amp;referer=http://www.un.org/en/ga/70/resolutions.shtml&amp;Lang=F" TargetMode="External"/><Relationship Id="rId5" Type="http://schemas.openxmlformats.org/officeDocument/2006/relationships/hyperlink" Target="https://www.cbd.int/doc/c/d623/0105/bc697cf1556d8892498c3866/sbstta-21-inf-03-en.pdf" TargetMode="External"/><Relationship Id="rId15" Type="http://schemas.openxmlformats.org/officeDocument/2006/relationships/hyperlink" Target="https://www.cbd.int/doc/c/e14b/0ad0/52a612635e7d6b8bac0b6b38/sbstta-21-inf-02-en.pdf" TargetMode="External"/><Relationship Id="rId10" Type="http://schemas.openxmlformats.org/officeDocument/2006/relationships/hyperlink" Target="https://www.cbd.int/doc/c/c418/4b06/65b26745a1c1a1793cc5ea40/sbi-02-01-fr.pdf" TargetMode="External"/><Relationship Id="rId19" Type="http://schemas.openxmlformats.org/officeDocument/2006/relationships/hyperlink" Target="https://www.cbd.int/doc/publications/cbd-ts-78-en.pdf" TargetMode="External"/><Relationship Id="rId4" Type="http://schemas.openxmlformats.org/officeDocument/2006/relationships/hyperlink" Target="https://www.cbd.int/doc/c/e14b/0ad0/52a612635e7d6b8bac0b6b38/sbstta-21-inf-02-en.pdf" TargetMode="External"/><Relationship Id="rId9" Type="http://schemas.openxmlformats.org/officeDocument/2006/relationships/hyperlink" Target="https://www.cbd.int/doc/c/e36c/2553/863a73bd3015677df8f30506/sbstta-21-inf-18-en.pdf" TargetMode="External"/><Relationship Id="rId14" Type="http://schemas.openxmlformats.org/officeDocument/2006/relationships/hyperlink" Target="https://www.cbd.int/doc/meetings/sbstta/sbstta-21/official/sbstta-21-02-add1-fr.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ry\Application%20Data\Microsoft\Templates\Blank%20with%20mast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120C1-C189-4F71-9629-9E560687A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with masthead</Template>
  <TotalTime>475</TotalTime>
  <Pages>6</Pages>
  <Words>2762</Words>
  <Characters>15746</Characters>
  <Application>Microsoft Office Word</Application>
  <DocSecurity>0</DocSecurity>
  <Lines>131</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Scenarios for the 2050 Vision for biodiversity</vt:lpstr>
      <vt:lpstr>Scenarios for the 2050 Vision for biodiversity</vt:lpstr>
    </vt:vector>
  </TitlesOfParts>
  <Company>Biodiversity</Company>
  <LinksUpToDate>false</LinksUpToDate>
  <CharactersWithSpaces>18472</CharactersWithSpaces>
  <SharedDoc>false</SharedDoc>
  <HLinks>
    <vt:vector size="12" baseType="variant">
      <vt:variant>
        <vt:i4>1245255</vt:i4>
      </vt:variant>
      <vt:variant>
        <vt:i4>0</vt:i4>
      </vt:variant>
      <vt:variant>
        <vt:i4>0</vt:i4>
      </vt:variant>
      <vt:variant>
        <vt:i4>5</vt:i4>
      </vt:variant>
      <vt:variant>
        <vt:lpwstr>https://www.cbd.int/doc/recommendations/sbstta-20/sbstta-20-rec-10-fr.pdf</vt:lpwstr>
      </vt:variant>
      <vt:variant>
        <vt:lpwstr/>
      </vt:variant>
      <vt:variant>
        <vt:i4>589902</vt:i4>
      </vt:variant>
      <vt:variant>
        <vt:i4>0</vt:i4>
      </vt:variant>
      <vt:variant>
        <vt:i4>0</vt:i4>
      </vt:variant>
      <vt:variant>
        <vt:i4>5</vt:i4>
      </vt:variant>
      <vt:variant>
        <vt:lpwstr>https://www.cbd.int/doc/decisions/cop-10/cop-10-dec-02-en.pdf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Scenarios for the 2050 Vision for biodiversity</dc:title>
  <dc:creator>SCBD</dc:creator>
  <cp:lastModifiedBy>--</cp:lastModifiedBy>
  <cp:revision>21</cp:revision>
  <cp:lastPrinted>2017-12-12T20:41:00Z</cp:lastPrinted>
  <dcterms:created xsi:type="dcterms:W3CDTF">2018-01-02T11:05:00Z</dcterms:created>
  <dcterms:modified xsi:type="dcterms:W3CDTF">2018-01-16T11:32:00Z</dcterms:modified>
</cp:coreProperties>
</file>