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07" w:type="pct"/>
        <w:jc w:val="center"/>
        <w:tblInd w:w="-1133" w:type="dxa"/>
        <w:tblBorders>
          <w:bottom w:val="single" w:sz="3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1099"/>
        <w:gridCol w:w="4464"/>
        <w:gridCol w:w="531"/>
        <w:gridCol w:w="2385"/>
        <w:gridCol w:w="1158"/>
      </w:tblGrid>
      <w:tr w:rsidR="00862D66" w:rsidRPr="004E140A" w:rsidTr="00397E40">
        <w:trPr>
          <w:gridAfter w:val="1"/>
          <w:wAfter w:w="1158" w:type="dxa"/>
          <w:jc w:val="center"/>
        </w:trPr>
        <w:tc>
          <w:tcPr>
            <w:tcW w:w="1102" w:type="dxa"/>
            <w:tcBorders>
              <w:top w:val="nil"/>
              <w:bottom w:val="single" w:sz="12" w:space="0" w:color="000000"/>
            </w:tcBorders>
          </w:tcPr>
          <w:p w:rsidR="00862D66" w:rsidRPr="004E140A" w:rsidRDefault="005B2FE2" w:rsidP="00B70BCF">
            <w:pPr>
              <w:pStyle w:val="BodyText2"/>
              <w:rPr>
                <w:lang w:val="ru-RU"/>
              </w:rPr>
            </w:pPr>
            <w:bookmarkStart w:id="0" w:name="_GoBack"/>
            <w:bookmarkEnd w:id="0"/>
            <w:r>
              <w:rPr>
                <w:b/>
                <w:noProof/>
                <w:lang w:val="en-US" w:eastAsia="zh-CN"/>
              </w:rPr>
              <w:drawing>
                <wp:inline distT="0" distB="0" distL="0" distR="0">
                  <wp:extent cx="476250" cy="400050"/>
                  <wp:effectExtent l="0" t="0" r="0" b="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" w:type="dxa"/>
            <w:tcBorders>
              <w:top w:val="nil"/>
              <w:bottom w:val="single" w:sz="12" w:space="0" w:color="000000"/>
            </w:tcBorders>
          </w:tcPr>
          <w:p w:rsidR="00862D66" w:rsidRPr="004E140A" w:rsidRDefault="005B2FE2" w:rsidP="00E67B5D">
            <w:pPr>
              <w:rPr>
                <w:lang w:val="ru-RU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495300" cy="5429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gridSpan w:val="3"/>
            <w:tcBorders>
              <w:top w:val="nil"/>
              <w:bottom w:val="single" w:sz="12" w:space="0" w:color="000000"/>
            </w:tcBorders>
          </w:tcPr>
          <w:p w:rsidR="00862D66" w:rsidRPr="004E140A" w:rsidRDefault="00862D66" w:rsidP="00C8695C">
            <w:pPr>
              <w:jc w:val="right"/>
              <w:rPr>
                <w:rFonts w:ascii="Univers" w:hAnsi="Univers" w:cs="Angsana New"/>
                <w:b/>
                <w:sz w:val="32"/>
                <w:lang w:val="ru-RU"/>
              </w:rPr>
            </w:pPr>
            <w:r w:rsidRPr="004E140A">
              <w:rPr>
                <w:rFonts w:ascii="Univers" w:hAnsi="Univers" w:cs="Angsana New"/>
                <w:b/>
                <w:sz w:val="32"/>
                <w:lang w:val="ru-RU"/>
              </w:rPr>
              <w:t>CBD</w:t>
            </w:r>
          </w:p>
          <w:p w:rsidR="00862D66" w:rsidRPr="004E140A" w:rsidRDefault="00862D66" w:rsidP="00E67B5D">
            <w:pPr>
              <w:jc w:val="right"/>
              <w:rPr>
                <w:b/>
                <w:lang w:val="ru-RU"/>
              </w:rPr>
            </w:pPr>
          </w:p>
        </w:tc>
      </w:tr>
      <w:tr w:rsidR="00736BC2" w:rsidRPr="004E140A" w:rsidTr="00397E40">
        <w:tblPrEx>
          <w:jc w:val="left"/>
        </w:tblPrEx>
        <w:trPr>
          <w:gridBefore w:val="1"/>
          <w:wBefore w:w="1102" w:type="dxa"/>
          <w:trHeight w:val="1693"/>
        </w:trPr>
        <w:tc>
          <w:tcPr>
            <w:tcW w:w="5563" w:type="dxa"/>
            <w:gridSpan w:val="2"/>
            <w:tcBorders>
              <w:top w:val="nil"/>
              <w:bottom w:val="single" w:sz="36" w:space="0" w:color="000000"/>
            </w:tcBorders>
          </w:tcPr>
          <w:p w:rsidR="00736BC2" w:rsidRPr="004E140A" w:rsidRDefault="00736BC2">
            <w:pPr>
              <w:rPr>
                <w:lang w:val="ru-RU"/>
              </w:rPr>
            </w:pPr>
          </w:p>
          <w:p w:rsidR="00736BC2" w:rsidRPr="004E140A" w:rsidRDefault="005B2FE2" w:rsidP="00736BC2">
            <w:pPr>
              <w:rPr>
                <w:lang w:val="ru-RU"/>
              </w:rPr>
            </w:pPr>
            <w:r>
              <w:rPr>
                <w:noProof/>
                <w:sz w:val="32"/>
                <w:lang w:val="en-US" w:eastAsia="zh-CN"/>
              </w:rPr>
              <w:drawing>
                <wp:inline distT="0" distB="0" distL="0" distR="0">
                  <wp:extent cx="2619375" cy="11334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BC2" w:rsidRPr="004E140A" w:rsidRDefault="00736BC2">
            <w:pPr>
              <w:rPr>
                <w:rFonts w:ascii="Univers" w:hAnsi="Univers"/>
                <w:sz w:val="32"/>
                <w:lang w:val="ru-RU"/>
              </w:rPr>
            </w:pPr>
          </w:p>
        </w:tc>
        <w:tc>
          <w:tcPr>
            <w:tcW w:w="531" w:type="dxa"/>
            <w:tcBorders>
              <w:top w:val="nil"/>
              <w:bottom w:val="single" w:sz="36" w:space="0" w:color="000000"/>
            </w:tcBorders>
          </w:tcPr>
          <w:p w:rsidR="00736BC2" w:rsidRPr="004E140A" w:rsidRDefault="00736BC2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3543" w:type="dxa"/>
            <w:gridSpan w:val="2"/>
            <w:tcBorders>
              <w:top w:val="nil"/>
              <w:bottom w:val="single" w:sz="36" w:space="0" w:color="000000"/>
            </w:tcBorders>
          </w:tcPr>
          <w:p w:rsidR="00736BC2" w:rsidRPr="004E140A" w:rsidRDefault="00736BC2">
            <w:pPr>
              <w:rPr>
                <w:lang w:val="ru-RU"/>
              </w:rPr>
            </w:pPr>
            <w:r w:rsidRPr="004E140A">
              <w:rPr>
                <w:lang w:val="ru-RU"/>
              </w:rPr>
              <w:t>Distr.</w:t>
            </w:r>
          </w:p>
          <w:p w:rsidR="00380470" w:rsidRPr="004E140A" w:rsidRDefault="00380470" w:rsidP="00380470">
            <w:pPr>
              <w:rPr>
                <w:szCs w:val="22"/>
                <w:lang w:val="ru-RU"/>
              </w:rPr>
            </w:pPr>
            <w:r w:rsidRPr="004E140A">
              <w:rPr>
                <w:szCs w:val="22"/>
                <w:lang w:val="ru-RU"/>
              </w:rPr>
              <w:t>GENERAL</w:t>
            </w:r>
          </w:p>
          <w:p w:rsidR="00380470" w:rsidRPr="004E140A" w:rsidRDefault="00380470" w:rsidP="00380470">
            <w:pPr>
              <w:rPr>
                <w:szCs w:val="22"/>
                <w:lang w:val="ru-RU"/>
              </w:rPr>
            </w:pPr>
          </w:p>
          <w:p w:rsidR="00B70BCF" w:rsidRPr="004E140A" w:rsidRDefault="00B70BCF" w:rsidP="00380470">
            <w:pPr>
              <w:rPr>
                <w:kern w:val="22"/>
                <w:szCs w:val="22"/>
                <w:lang w:val="ru-RU"/>
              </w:rPr>
            </w:pPr>
            <w:r w:rsidRPr="004E140A">
              <w:rPr>
                <w:kern w:val="22"/>
                <w:szCs w:val="22"/>
                <w:lang w:val="ru-RU"/>
              </w:rPr>
              <w:t>CBD/SBSTTA/REC/XXI/</w:t>
            </w:r>
            <w:r w:rsidR="0063735B">
              <w:rPr>
                <w:kern w:val="22"/>
                <w:szCs w:val="22"/>
                <w:lang w:val="ru-RU"/>
              </w:rPr>
              <w:t>1</w:t>
            </w:r>
          </w:p>
          <w:p w:rsidR="00736BC2" w:rsidRPr="004E140A" w:rsidRDefault="00B70BCF">
            <w:pPr>
              <w:rPr>
                <w:kern w:val="22"/>
                <w:szCs w:val="22"/>
                <w:lang w:val="ru-RU"/>
              </w:rPr>
            </w:pPr>
            <w:r w:rsidRPr="004E140A">
              <w:rPr>
                <w:kern w:val="22"/>
                <w:szCs w:val="22"/>
                <w:lang w:val="ru-RU"/>
              </w:rPr>
              <w:t>14 December 2017</w:t>
            </w:r>
          </w:p>
          <w:p w:rsidR="00B70BCF" w:rsidRPr="004E140A" w:rsidRDefault="00B70BCF">
            <w:pPr>
              <w:rPr>
                <w:lang w:val="ru-RU"/>
              </w:rPr>
            </w:pPr>
          </w:p>
          <w:p w:rsidR="0020629D" w:rsidRPr="004E140A" w:rsidRDefault="0020629D">
            <w:pPr>
              <w:rPr>
                <w:lang w:val="ru-RU"/>
              </w:rPr>
            </w:pPr>
            <w:r w:rsidRPr="004E140A">
              <w:rPr>
                <w:lang w:val="ru-RU"/>
              </w:rPr>
              <w:t>RUSSIAN</w:t>
            </w:r>
          </w:p>
          <w:p w:rsidR="00736BC2" w:rsidRPr="004E140A" w:rsidRDefault="00736BC2">
            <w:pPr>
              <w:rPr>
                <w:b/>
                <w:bCs/>
                <w:color w:val="FF0000"/>
                <w:sz w:val="40"/>
                <w:u w:val="single"/>
                <w:lang w:val="ru-RU"/>
              </w:rPr>
            </w:pPr>
            <w:r w:rsidRPr="004E140A">
              <w:rPr>
                <w:lang w:val="ru-RU"/>
              </w:rPr>
              <w:t>ORIGINAL:  ENGLISH</w:t>
            </w:r>
          </w:p>
        </w:tc>
      </w:tr>
    </w:tbl>
    <w:p w:rsidR="00397E40" w:rsidRPr="004E140A" w:rsidRDefault="00397E40" w:rsidP="00397E40">
      <w:pPr>
        <w:pStyle w:val="Cornernotation"/>
        <w:rPr>
          <w:lang w:val="ru-RU"/>
        </w:rPr>
      </w:pPr>
      <w:r w:rsidRPr="004E140A">
        <w:rPr>
          <w:szCs w:val="22"/>
          <w:lang w:val="ru-RU"/>
        </w:rPr>
        <w:t>ВСПОМОГАТЕЛЬНЫЙ ОРГАН ПО НАУЧНЫМ, ТЕХНИЧЕСКИМ И ТЕХНОЛОГИЧЕСКИМ КОНСУЛЬТАЦИЯМ</w:t>
      </w:r>
    </w:p>
    <w:p w:rsidR="004E140A" w:rsidRPr="004E140A" w:rsidRDefault="004E140A" w:rsidP="004E140A">
      <w:pPr>
        <w:pStyle w:val="Cornernotation"/>
        <w:ind w:right="4740"/>
        <w:rPr>
          <w:szCs w:val="22"/>
          <w:lang w:val="ru-RU"/>
        </w:rPr>
      </w:pPr>
      <w:r w:rsidRPr="004E140A">
        <w:rPr>
          <w:szCs w:val="22"/>
          <w:lang w:val="ru-RU"/>
        </w:rPr>
        <w:t>Двадцатое первое совещание</w:t>
      </w:r>
    </w:p>
    <w:p w:rsidR="004E140A" w:rsidRPr="004E140A" w:rsidRDefault="004E140A" w:rsidP="004E140A">
      <w:pPr>
        <w:pStyle w:val="Cornernotation"/>
        <w:ind w:right="4740"/>
        <w:rPr>
          <w:szCs w:val="22"/>
          <w:lang w:val="ru-RU"/>
        </w:rPr>
      </w:pPr>
      <w:r w:rsidRPr="004E140A">
        <w:rPr>
          <w:szCs w:val="22"/>
          <w:lang w:val="ru-RU"/>
        </w:rPr>
        <w:t>Монреаль, Канада, 11-14 декабря 2017 года</w:t>
      </w:r>
    </w:p>
    <w:p w:rsidR="004E140A" w:rsidRPr="004E140A" w:rsidRDefault="004E140A" w:rsidP="004E140A">
      <w:pPr>
        <w:pStyle w:val="Cornernotation"/>
        <w:ind w:right="4740"/>
        <w:rPr>
          <w:szCs w:val="22"/>
          <w:lang w:val="ru-RU"/>
        </w:rPr>
      </w:pPr>
      <w:r w:rsidRPr="004E140A">
        <w:rPr>
          <w:szCs w:val="22"/>
          <w:lang w:val="ru-RU"/>
        </w:rPr>
        <w:t xml:space="preserve">Пункт </w:t>
      </w:r>
      <w:r w:rsidR="0063735B">
        <w:rPr>
          <w:szCs w:val="22"/>
          <w:lang w:val="ru-RU"/>
        </w:rPr>
        <w:t>3</w:t>
      </w:r>
      <w:r w:rsidRPr="004E140A">
        <w:rPr>
          <w:szCs w:val="22"/>
          <w:lang w:val="ru-RU"/>
        </w:rPr>
        <w:t xml:space="preserve"> повестки дня</w:t>
      </w:r>
    </w:p>
    <w:p w:rsidR="004E140A" w:rsidRPr="004E140A" w:rsidRDefault="004E140A" w:rsidP="00397E40">
      <w:pPr>
        <w:pStyle w:val="Cornernotation"/>
        <w:ind w:right="4740"/>
        <w:rPr>
          <w:szCs w:val="22"/>
          <w:lang w:val="ru-RU"/>
        </w:rPr>
      </w:pPr>
    </w:p>
    <w:p w:rsidR="008F429B" w:rsidRPr="004E140A" w:rsidRDefault="008F429B" w:rsidP="008F429B">
      <w:pPr>
        <w:pStyle w:val="Heading1"/>
        <w:rPr>
          <w:b w:val="0"/>
          <w:szCs w:val="22"/>
          <w:lang w:val="ru-RU"/>
        </w:rPr>
      </w:pPr>
      <w:r w:rsidRPr="004E140A">
        <w:rPr>
          <w:lang w:val="ru-RU"/>
        </w:rPr>
        <w:t xml:space="preserve">рекомендация, принятая Вспомогательным органом по научным, техническим и технологическим консультациям  </w:t>
      </w:r>
    </w:p>
    <w:p w:rsidR="000C10E1" w:rsidRPr="000C10E1" w:rsidRDefault="008F429B" w:rsidP="00F76188">
      <w:pPr>
        <w:pStyle w:val="recommendation"/>
        <w:spacing w:line="240" w:lineRule="auto"/>
        <w:ind w:left="2126" w:hanging="992"/>
        <w:rPr>
          <w:rFonts w:ascii="Times New Roman Bold Cyr" w:hAnsi="Times New Roman Bold Cyr" w:cs="Times New Roman Bold Cyr"/>
          <w:i w:val="0"/>
          <w:lang w:val="ru-RU"/>
        </w:rPr>
      </w:pPr>
      <w:r w:rsidRPr="000C10E1">
        <w:rPr>
          <w:i w:val="0"/>
          <w:iCs w:val="0"/>
          <w:kern w:val="22"/>
          <w:lang w:val="ru-RU"/>
        </w:rPr>
        <w:t>XX</w:t>
      </w:r>
      <w:r w:rsidR="004E140A" w:rsidRPr="000C10E1">
        <w:rPr>
          <w:i w:val="0"/>
          <w:iCs w:val="0"/>
          <w:kern w:val="22"/>
          <w:lang w:val="ru-RU"/>
        </w:rPr>
        <w:t>I</w:t>
      </w:r>
      <w:r w:rsidRPr="000C10E1">
        <w:rPr>
          <w:i w:val="0"/>
          <w:iCs w:val="0"/>
          <w:kern w:val="22"/>
          <w:lang w:val="ru-RU"/>
        </w:rPr>
        <w:t>/</w:t>
      </w:r>
      <w:r w:rsidR="0063735B">
        <w:rPr>
          <w:i w:val="0"/>
          <w:iCs w:val="0"/>
          <w:kern w:val="22"/>
          <w:lang w:val="ru-RU"/>
        </w:rPr>
        <w:t>1</w:t>
      </w:r>
      <w:r w:rsidRPr="000C10E1">
        <w:rPr>
          <w:i w:val="0"/>
          <w:iCs w:val="0"/>
          <w:kern w:val="22"/>
          <w:lang w:val="ru-RU"/>
        </w:rPr>
        <w:t>.</w:t>
      </w:r>
      <w:r w:rsidR="004E140A" w:rsidRPr="000C10E1">
        <w:rPr>
          <w:i w:val="0"/>
          <w:iCs w:val="0"/>
          <w:kern w:val="22"/>
          <w:lang w:val="ru-RU"/>
        </w:rPr>
        <w:tab/>
      </w:r>
      <w:r w:rsidR="0063735B" w:rsidRPr="00320C49">
        <w:rPr>
          <w:i w:val="0"/>
          <w:kern w:val="22"/>
          <w:lang w:val="ru-RU"/>
        </w:rPr>
        <w:t xml:space="preserve">Сценарии </w:t>
      </w:r>
      <w:r w:rsidR="0063735B">
        <w:rPr>
          <w:i w:val="0"/>
          <w:kern w:val="22"/>
          <w:lang w:val="ru-RU"/>
        </w:rPr>
        <w:t>К</w:t>
      </w:r>
      <w:r w:rsidR="0063735B" w:rsidRPr="00320C49">
        <w:rPr>
          <w:i w:val="0"/>
          <w:kern w:val="22"/>
          <w:lang w:val="ru-RU"/>
        </w:rPr>
        <w:t xml:space="preserve">онцепции </w:t>
      </w:r>
      <w:r w:rsidR="0063735B">
        <w:rPr>
          <w:i w:val="0"/>
          <w:kern w:val="22"/>
          <w:lang w:val="ru-RU"/>
        </w:rPr>
        <w:t>в области б</w:t>
      </w:r>
      <w:r w:rsidR="0063735B" w:rsidRPr="00320C49">
        <w:rPr>
          <w:i w:val="0"/>
          <w:kern w:val="22"/>
          <w:lang w:val="ru-RU"/>
        </w:rPr>
        <w:t xml:space="preserve">иоразнообразия на </w:t>
      </w:r>
      <w:r w:rsidR="0063735B">
        <w:rPr>
          <w:i w:val="0"/>
          <w:kern w:val="22"/>
          <w:lang w:val="ru-RU"/>
        </w:rPr>
        <w:t xml:space="preserve">период до </w:t>
      </w:r>
      <w:r w:rsidR="0063735B" w:rsidRPr="00320C49">
        <w:rPr>
          <w:i w:val="0"/>
          <w:kern w:val="22"/>
          <w:lang w:val="ru-RU"/>
        </w:rPr>
        <w:t>2050 год</w:t>
      </w:r>
      <w:r w:rsidR="0063735B">
        <w:rPr>
          <w:i w:val="0"/>
          <w:kern w:val="22"/>
          <w:lang w:val="ru-RU"/>
        </w:rPr>
        <w:t>а</w:t>
      </w:r>
    </w:p>
    <w:p w:rsidR="0063735B" w:rsidRPr="00320C49" w:rsidRDefault="0063735B" w:rsidP="0063735B">
      <w:pPr>
        <w:pStyle w:val="Para10"/>
        <w:keepNext/>
        <w:suppressLineNumbers/>
        <w:suppressAutoHyphens/>
        <w:ind w:left="720"/>
        <w:rPr>
          <w:i/>
          <w:kern w:val="22"/>
          <w:szCs w:val="22"/>
          <w:lang w:val="ru-RU"/>
        </w:rPr>
      </w:pPr>
      <w:r>
        <w:rPr>
          <w:i/>
          <w:iCs/>
          <w:lang w:val="ru-RU"/>
        </w:rPr>
        <w:t>Вспомогательный орган по научным, техническим и технологическим консультациям,</w:t>
      </w:r>
    </w:p>
    <w:p w:rsidR="0063735B" w:rsidRPr="00251547" w:rsidRDefault="0063735B" w:rsidP="0063735B">
      <w:pPr>
        <w:pStyle w:val="Para10"/>
        <w:suppressLineNumbers/>
        <w:suppressAutoHyphens/>
        <w:ind w:firstLine="720"/>
        <w:rPr>
          <w:kern w:val="22"/>
          <w:szCs w:val="22"/>
          <w:lang w:val="ru-RU"/>
        </w:rPr>
      </w:pPr>
      <w:r>
        <w:rPr>
          <w:i/>
          <w:iCs/>
          <w:lang w:val="ru-RU"/>
        </w:rPr>
        <w:t>подчеркивая</w:t>
      </w:r>
      <w:r>
        <w:rPr>
          <w:lang w:val="ru-RU"/>
        </w:rPr>
        <w:t xml:space="preserve"> необходимость продолжать </w:t>
      </w:r>
      <w:r w:rsidRPr="004419F0">
        <w:rPr>
          <w:lang w:val="ru-RU"/>
        </w:rPr>
        <w:t>целев</w:t>
      </w:r>
      <w:r>
        <w:rPr>
          <w:lang w:val="ru-RU"/>
        </w:rPr>
        <w:t>ую</w:t>
      </w:r>
      <w:r w:rsidRPr="004419F0">
        <w:rPr>
          <w:lang w:val="ru-RU"/>
        </w:rPr>
        <w:t xml:space="preserve"> ориентаци</w:t>
      </w:r>
      <w:r>
        <w:rPr>
          <w:lang w:val="ru-RU"/>
        </w:rPr>
        <w:t>ю текущих усилий на осуществление Стратегического плана в области сохранения и устойчивого использования биоразнообразия на 2011-2020</w:t>
      </w:r>
      <w:r>
        <w:rPr>
          <w:lang w:val="en-US"/>
        </w:rPr>
        <w:t> </w:t>
      </w:r>
      <w:r>
        <w:rPr>
          <w:lang w:val="ru-RU"/>
        </w:rPr>
        <w:t>годы</w:t>
      </w:r>
      <w:r w:rsidRPr="00251547">
        <w:rPr>
          <w:rStyle w:val="FootnoteReference"/>
          <w:kern w:val="22"/>
          <w:vertAlign w:val="superscript"/>
          <w:lang w:val="ru-RU"/>
        </w:rPr>
        <w:footnoteReference w:id="1"/>
      </w:r>
      <w:r>
        <w:rPr>
          <w:lang w:val="ru-RU"/>
        </w:rPr>
        <w:t xml:space="preserve"> и </w:t>
      </w:r>
      <w:r w:rsidR="00F836AB">
        <w:rPr>
          <w:lang w:val="ru-RU"/>
        </w:rPr>
        <w:t>выполнение</w:t>
      </w:r>
      <w:r>
        <w:rPr>
          <w:lang w:val="ru-RU"/>
        </w:rPr>
        <w:t xml:space="preserve"> целевых задач по сохранению и устойчивому использованию биоразнообразия, принятых в Айти, </w:t>
      </w:r>
    </w:p>
    <w:p w:rsidR="0063735B" w:rsidRPr="00320C49" w:rsidRDefault="0063735B" w:rsidP="0063735B">
      <w:pPr>
        <w:pStyle w:val="Para10"/>
        <w:numPr>
          <w:ilvl w:val="0"/>
          <w:numId w:val="15"/>
        </w:numPr>
        <w:ind w:left="0" w:firstLine="720"/>
        <w:rPr>
          <w:kern w:val="22"/>
          <w:szCs w:val="22"/>
          <w:lang w:val="ru-RU"/>
        </w:rPr>
      </w:pPr>
      <w:r>
        <w:rPr>
          <w:i/>
          <w:iCs/>
          <w:lang w:val="ru-RU"/>
        </w:rPr>
        <w:t>отмечает</w:t>
      </w:r>
      <w:r>
        <w:rPr>
          <w:lang w:val="ru-RU"/>
        </w:rPr>
        <w:t xml:space="preserve">, что </w:t>
      </w:r>
      <w:r w:rsidR="00F836AB" w:rsidRPr="00F836AB">
        <w:rPr>
          <w:lang w:val="ru-RU"/>
        </w:rPr>
        <w:t xml:space="preserve">выполнение </w:t>
      </w:r>
      <w:r>
        <w:rPr>
          <w:lang w:val="ru-RU"/>
        </w:rPr>
        <w:t>целевых задач по сохранению и устойчивому использованию биоразнообразия, принятых в Айти, позволит улучшить исходное положение в отношении глобальной рамочной программы в области биоразнообразия на период после 2020</w:t>
      </w:r>
      <w:r>
        <w:rPr>
          <w:lang w:val="en-US"/>
        </w:rPr>
        <w:t> </w:t>
      </w:r>
      <w:r>
        <w:rPr>
          <w:lang w:val="ru-RU"/>
        </w:rPr>
        <w:t xml:space="preserve">года и перспектив реализации Концепции на </w:t>
      </w:r>
      <w:r w:rsidR="002446D7">
        <w:rPr>
          <w:lang w:val="ru-RU"/>
        </w:rPr>
        <w:t xml:space="preserve">период до </w:t>
      </w:r>
      <w:r>
        <w:rPr>
          <w:lang w:val="ru-RU"/>
        </w:rPr>
        <w:t>2050</w:t>
      </w:r>
      <w:r>
        <w:rPr>
          <w:lang w:val="en-US"/>
        </w:rPr>
        <w:t> </w:t>
      </w:r>
      <w:r>
        <w:rPr>
          <w:lang w:val="ru-RU"/>
        </w:rPr>
        <w:t>год</w:t>
      </w:r>
      <w:r w:rsidR="002446D7">
        <w:rPr>
          <w:lang w:val="ru-RU"/>
        </w:rPr>
        <w:t>а</w:t>
      </w:r>
      <w:r>
        <w:rPr>
          <w:lang w:val="ru-RU"/>
        </w:rPr>
        <w:t>;</w:t>
      </w:r>
    </w:p>
    <w:p w:rsidR="0063735B" w:rsidRPr="0039567F" w:rsidRDefault="0063735B" w:rsidP="0063735B">
      <w:pPr>
        <w:pStyle w:val="Para10"/>
        <w:numPr>
          <w:ilvl w:val="0"/>
          <w:numId w:val="15"/>
        </w:numPr>
        <w:ind w:left="0" w:firstLine="720"/>
        <w:rPr>
          <w:kern w:val="22"/>
          <w:szCs w:val="22"/>
          <w:lang w:val="ru-RU"/>
        </w:rPr>
      </w:pPr>
      <w:r>
        <w:rPr>
          <w:i/>
          <w:iCs/>
          <w:lang w:val="ru-RU"/>
        </w:rPr>
        <w:t>приветствует</w:t>
      </w:r>
      <w:r w:rsidRPr="0039567F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39567F">
        <w:rPr>
          <w:lang w:val="ru-RU"/>
        </w:rPr>
        <w:t xml:space="preserve">, </w:t>
      </w:r>
      <w:r>
        <w:rPr>
          <w:lang w:val="ru-RU"/>
        </w:rPr>
        <w:t>приведенную</w:t>
      </w:r>
      <w:r w:rsidRPr="0039567F">
        <w:rPr>
          <w:lang w:val="ru-RU"/>
        </w:rPr>
        <w:t xml:space="preserve"> </w:t>
      </w:r>
      <w:r>
        <w:rPr>
          <w:lang w:val="ru-RU"/>
        </w:rPr>
        <w:t>в</w:t>
      </w:r>
      <w:r w:rsidRPr="0039567F">
        <w:rPr>
          <w:lang w:val="ru-RU"/>
        </w:rPr>
        <w:t xml:space="preserve"> </w:t>
      </w:r>
      <w:r>
        <w:rPr>
          <w:lang w:val="ru-RU"/>
        </w:rPr>
        <w:t>записках</w:t>
      </w:r>
      <w:r w:rsidRPr="0039567F">
        <w:rPr>
          <w:lang w:val="ru-RU"/>
        </w:rPr>
        <w:t xml:space="preserve"> </w:t>
      </w:r>
      <w:r>
        <w:rPr>
          <w:lang w:val="ru-RU"/>
        </w:rPr>
        <w:t>Исполнительного</w:t>
      </w:r>
      <w:r w:rsidRPr="0039567F">
        <w:rPr>
          <w:lang w:val="ru-RU"/>
        </w:rPr>
        <w:t xml:space="preserve"> </w:t>
      </w:r>
      <w:r>
        <w:rPr>
          <w:lang w:val="ru-RU"/>
        </w:rPr>
        <w:t>секретаря</w:t>
      </w:r>
      <w:r w:rsidRPr="0039567F">
        <w:rPr>
          <w:lang w:val="ru-RU"/>
        </w:rPr>
        <w:t xml:space="preserve"> </w:t>
      </w:r>
      <w:r>
        <w:rPr>
          <w:lang w:val="ru-RU"/>
        </w:rPr>
        <w:t>о</w:t>
      </w:r>
      <w:r w:rsidRPr="0039567F">
        <w:rPr>
          <w:lang w:val="ru-RU"/>
        </w:rPr>
        <w:t xml:space="preserve"> </w:t>
      </w:r>
      <w:r>
        <w:rPr>
          <w:lang w:val="ru-RU"/>
        </w:rPr>
        <w:t>сценариях</w:t>
      </w:r>
      <w:r w:rsidRPr="0039567F">
        <w:rPr>
          <w:lang w:val="ru-RU"/>
        </w:rPr>
        <w:t xml:space="preserve"> Концепци</w:t>
      </w:r>
      <w:r>
        <w:rPr>
          <w:lang w:val="ru-RU"/>
        </w:rPr>
        <w:t>и</w:t>
      </w:r>
      <w:r w:rsidRPr="0039567F">
        <w:rPr>
          <w:lang w:val="ru-RU"/>
        </w:rPr>
        <w:t xml:space="preserve"> в области биоразнообразия на период до 2050 года </w:t>
      </w:r>
      <w:r>
        <w:rPr>
          <w:lang w:val="ru-RU"/>
        </w:rPr>
        <w:t>и</w:t>
      </w:r>
      <w:r w:rsidRPr="0039567F">
        <w:rPr>
          <w:lang w:val="ru-RU"/>
        </w:rPr>
        <w:t xml:space="preserve"> Повестк</w:t>
      </w:r>
      <w:r>
        <w:rPr>
          <w:lang w:val="ru-RU"/>
        </w:rPr>
        <w:t>и</w:t>
      </w:r>
      <w:r w:rsidRPr="0039567F">
        <w:rPr>
          <w:lang w:val="ru-RU"/>
        </w:rPr>
        <w:t xml:space="preserve"> дня в области устойчивого развития на период до 2030 года</w:t>
      </w:r>
      <w:r w:rsidRPr="0063735B">
        <w:rPr>
          <w:vertAlign w:val="superscript"/>
        </w:rPr>
        <w:footnoteReference w:id="2"/>
      </w:r>
      <w:r w:rsidRPr="0063735B">
        <w:t xml:space="preserve"> </w:t>
      </w:r>
      <w:r>
        <w:rPr>
          <w:lang w:val="ru-RU"/>
        </w:rPr>
        <w:t>и</w:t>
      </w:r>
      <w:r w:rsidRPr="0039567F">
        <w:rPr>
          <w:lang w:val="ru-RU"/>
        </w:rPr>
        <w:t xml:space="preserve"> </w:t>
      </w:r>
      <w:r w:rsidRPr="0039567F">
        <w:rPr>
          <w:i/>
          <w:lang w:val="ru-RU"/>
        </w:rPr>
        <w:t>поручает</w:t>
      </w:r>
      <w:r w:rsidRPr="0039567F">
        <w:rPr>
          <w:lang w:val="ru-RU"/>
        </w:rPr>
        <w:t xml:space="preserve"> </w:t>
      </w:r>
      <w:r>
        <w:rPr>
          <w:lang w:val="ru-RU"/>
        </w:rPr>
        <w:t>Исполнительному</w:t>
      </w:r>
      <w:r w:rsidRPr="0039567F">
        <w:rPr>
          <w:lang w:val="ru-RU"/>
        </w:rPr>
        <w:t xml:space="preserve"> </w:t>
      </w:r>
      <w:r>
        <w:rPr>
          <w:lang w:val="ru-RU"/>
        </w:rPr>
        <w:t>секретарю</w:t>
      </w:r>
      <w:r w:rsidRPr="0039567F">
        <w:rPr>
          <w:lang w:val="ru-RU"/>
        </w:rPr>
        <w:t xml:space="preserve"> </w:t>
      </w:r>
      <w:r>
        <w:rPr>
          <w:lang w:val="ru-RU"/>
        </w:rPr>
        <w:t>провести</w:t>
      </w:r>
      <w:r w:rsidRPr="0039567F">
        <w:rPr>
          <w:lang w:val="ru-RU"/>
        </w:rPr>
        <w:t xml:space="preserve"> </w:t>
      </w:r>
      <w:r>
        <w:rPr>
          <w:lang w:val="ru-RU"/>
        </w:rPr>
        <w:t>коллегиальный</w:t>
      </w:r>
      <w:r w:rsidRPr="0039567F">
        <w:rPr>
          <w:lang w:val="ru-RU"/>
        </w:rPr>
        <w:t xml:space="preserve"> </w:t>
      </w:r>
      <w:r>
        <w:rPr>
          <w:lang w:val="ru-RU"/>
        </w:rPr>
        <w:t>обзор</w:t>
      </w:r>
      <w:r w:rsidRPr="0039567F">
        <w:rPr>
          <w:lang w:val="ru-RU"/>
        </w:rPr>
        <w:t xml:space="preserve"> </w:t>
      </w:r>
      <w:r>
        <w:rPr>
          <w:lang w:val="ru-RU"/>
        </w:rPr>
        <w:t>информационных</w:t>
      </w:r>
      <w:r w:rsidRPr="0039567F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39567F">
        <w:rPr>
          <w:lang w:val="ru-RU"/>
        </w:rPr>
        <w:t xml:space="preserve">, </w:t>
      </w:r>
      <w:r>
        <w:rPr>
          <w:lang w:val="ru-RU"/>
        </w:rPr>
        <w:t>связанных</w:t>
      </w:r>
      <w:r w:rsidRPr="0039567F">
        <w:rPr>
          <w:lang w:val="ru-RU"/>
        </w:rPr>
        <w:t xml:space="preserve"> </w:t>
      </w:r>
      <w:r>
        <w:rPr>
          <w:lang w:val="ru-RU"/>
        </w:rPr>
        <w:t>с</w:t>
      </w:r>
      <w:r w:rsidRPr="0039567F">
        <w:rPr>
          <w:lang w:val="ru-RU"/>
        </w:rPr>
        <w:t xml:space="preserve"> </w:t>
      </w:r>
      <w:r>
        <w:rPr>
          <w:lang w:val="ru-RU"/>
        </w:rPr>
        <w:t>этими</w:t>
      </w:r>
      <w:r w:rsidRPr="0039567F">
        <w:rPr>
          <w:lang w:val="ru-RU"/>
        </w:rPr>
        <w:t xml:space="preserve"> </w:t>
      </w:r>
      <w:r>
        <w:rPr>
          <w:lang w:val="ru-RU"/>
        </w:rPr>
        <w:t>записками</w:t>
      </w:r>
      <w:r w:rsidRPr="0063735B">
        <w:rPr>
          <w:rFonts w:eastAsia="Malgun Gothic"/>
          <w:kern w:val="22"/>
          <w:szCs w:val="22"/>
          <w:vertAlign w:val="superscript"/>
        </w:rPr>
        <w:footnoteReference w:id="3"/>
      </w:r>
      <w:r w:rsidRPr="0039567F">
        <w:rPr>
          <w:lang w:val="ru-RU"/>
        </w:rPr>
        <w:t xml:space="preserve">, </w:t>
      </w:r>
      <w:r>
        <w:rPr>
          <w:lang w:val="ru-RU"/>
        </w:rPr>
        <w:t>при участии Сторон, других правительств, коренных народов и местных общин и соответствующих субъектов деятельности, а также экспертов и</w:t>
      </w:r>
      <w:r w:rsidRPr="0039567F">
        <w:rPr>
          <w:lang w:val="ru-RU"/>
        </w:rPr>
        <w:t xml:space="preserve"> </w:t>
      </w:r>
      <w:r>
        <w:rPr>
          <w:lang w:val="ru-RU"/>
        </w:rPr>
        <w:t>довести</w:t>
      </w:r>
      <w:r w:rsidRPr="0039567F">
        <w:rPr>
          <w:lang w:val="ru-RU"/>
        </w:rPr>
        <w:t xml:space="preserve"> </w:t>
      </w:r>
      <w:r>
        <w:rPr>
          <w:lang w:val="ru-RU"/>
        </w:rPr>
        <w:t>пересмотренные</w:t>
      </w:r>
      <w:r w:rsidRPr="0039567F">
        <w:rPr>
          <w:lang w:val="ru-RU"/>
        </w:rPr>
        <w:t xml:space="preserve"> </w:t>
      </w:r>
      <w:r>
        <w:rPr>
          <w:lang w:val="ru-RU"/>
        </w:rPr>
        <w:t>варианты</w:t>
      </w:r>
      <w:r w:rsidRPr="0039567F">
        <w:rPr>
          <w:lang w:val="ru-RU"/>
        </w:rPr>
        <w:t xml:space="preserve"> </w:t>
      </w:r>
      <w:r>
        <w:rPr>
          <w:lang w:val="ru-RU"/>
        </w:rPr>
        <w:t>до</w:t>
      </w:r>
      <w:r w:rsidRPr="0039567F">
        <w:rPr>
          <w:lang w:val="ru-RU"/>
        </w:rPr>
        <w:t xml:space="preserve"> </w:t>
      </w:r>
      <w:r>
        <w:rPr>
          <w:lang w:val="ru-RU"/>
        </w:rPr>
        <w:t>сведения</w:t>
      </w:r>
      <w:r w:rsidRPr="0039567F">
        <w:rPr>
          <w:lang w:val="ru-RU"/>
        </w:rPr>
        <w:t xml:space="preserve"> </w:t>
      </w:r>
      <w:r>
        <w:rPr>
          <w:lang w:val="ru-RU"/>
        </w:rPr>
        <w:t>Вспомогательного</w:t>
      </w:r>
      <w:r w:rsidRPr="0039567F">
        <w:rPr>
          <w:lang w:val="ru-RU"/>
        </w:rPr>
        <w:t xml:space="preserve"> </w:t>
      </w:r>
      <w:r>
        <w:rPr>
          <w:lang w:val="ru-RU"/>
        </w:rPr>
        <w:t>органа</w:t>
      </w:r>
      <w:r w:rsidRPr="0039567F">
        <w:rPr>
          <w:lang w:val="ru-RU"/>
        </w:rPr>
        <w:t xml:space="preserve"> </w:t>
      </w:r>
      <w:r>
        <w:rPr>
          <w:lang w:val="ru-RU"/>
        </w:rPr>
        <w:t>по</w:t>
      </w:r>
      <w:r w:rsidRPr="0039567F">
        <w:rPr>
          <w:lang w:val="ru-RU"/>
        </w:rPr>
        <w:t xml:space="preserve"> </w:t>
      </w:r>
      <w:r>
        <w:rPr>
          <w:lang w:val="ru-RU"/>
        </w:rPr>
        <w:t>осуществлению</w:t>
      </w:r>
      <w:r w:rsidRPr="0039567F">
        <w:rPr>
          <w:lang w:val="ru-RU"/>
        </w:rPr>
        <w:t xml:space="preserve"> </w:t>
      </w:r>
      <w:r>
        <w:rPr>
          <w:lang w:val="ru-RU"/>
        </w:rPr>
        <w:t>на</w:t>
      </w:r>
      <w:r w:rsidRPr="0039567F">
        <w:rPr>
          <w:lang w:val="ru-RU"/>
        </w:rPr>
        <w:t xml:space="preserve"> </w:t>
      </w:r>
      <w:r>
        <w:rPr>
          <w:lang w:val="ru-RU"/>
        </w:rPr>
        <w:t>его</w:t>
      </w:r>
      <w:r w:rsidRPr="0039567F">
        <w:rPr>
          <w:lang w:val="ru-RU"/>
        </w:rPr>
        <w:t xml:space="preserve"> </w:t>
      </w:r>
      <w:r>
        <w:rPr>
          <w:lang w:val="ru-RU"/>
        </w:rPr>
        <w:t>втором</w:t>
      </w:r>
      <w:r w:rsidRPr="0039567F">
        <w:rPr>
          <w:lang w:val="ru-RU"/>
        </w:rPr>
        <w:t xml:space="preserve"> </w:t>
      </w:r>
      <w:r>
        <w:rPr>
          <w:lang w:val="ru-RU"/>
        </w:rPr>
        <w:t>совещании</w:t>
      </w:r>
      <w:r w:rsidRPr="0039567F">
        <w:rPr>
          <w:lang w:val="ru-RU"/>
        </w:rPr>
        <w:t xml:space="preserve"> </w:t>
      </w:r>
      <w:r>
        <w:rPr>
          <w:lang w:val="ru-RU"/>
        </w:rPr>
        <w:t>и</w:t>
      </w:r>
      <w:r w:rsidRPr="0039567F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39567F">
        <w:rPr>
          <w:lang w:val="ru-RU"/>
        </w:rPr>
        <w:t xml:space="preserve"> </w:t>
      </w:r>
      <w:r>
        <w:rPr>
          <w:lang w:val="ru-RU"/>
        </w:rPr>
        <w:t>Сторон</w:t>
      </w:r>
      <w:r w:rsidRPr="0039567F">
        <w:rPr>
          <w:lang w:val="ru-RU"/>
        </w:rPr>
        <w:t xml:space="preserve"> </w:t>
      </w:r>
      <w:r>
        <w:rPr>
          <w:lang w:val="ru-RU"/>
        </w:rPr>
        <w:t>на</w:t>
      </w:r>
      <w:r w:rsidRPr="0039567F">
        <w:rPr>
          <w:lang w:val="ru-RU"/>
        </w:rPr>
        <w:t xml:space="preserve"> </w:t>
      </w:r>
      <w:r>
        <w:rPr>
          <w:lang w:val="ru-RU"/>
        </w:rPr>
        <w:t>ее</w:t>
      </w:r>
      <w:r w:rsidRPr="0039567F">
        <w:rPr>
          <w:lang w:val="ru-RU"/>
        </w:rPr>
        <w:t xml:space="preserve"> </w:t>
      </w:r>
      <w:r>
        <w:rPr>
          <w:lang w:val="ru-RU"/>
        </w:rPr>
        <w:t>14-м</w:t>
      </w:r>
      <w:r w:rsidRPr="0039567F">
        <w:rPr>
          <w:lang w:val="ru-RU"/>
        </w:rPr>
        <w:t xml:space="preserve"> </w:t>
      </w:r>
      <w:r>
        <w:rPr>
          <w:lang w:val="ru-RU"/>
        </w:rPr>
        <w:t>совещании</w:t>
      </w:r>
      <w:r w:rsidRPr="0039567F">
        <w:rPr>
          <w:lang w:val="ru-RU"/>
        </w:rPr>
        <w:t>;</w:t>
      </w:r>
      <w:r>
        <w:rPr>
          <w:lang w:val="ru-RU"/>
        </w:rPr>
        <w:t xml:space="preserve"> </w:t>
      </w:r>
    </w:p>
    <w:p w:rsidR="0063735B" w:rsidRPr="001573C4" w:rsidRDefault="0063735B" w:rsidP="0063735B">
      <w:pPr>
        <w:pStyle w:val="Para10"/>
        <w:numPr>
          <w:ilvl w:val="0"/>
          <w:numId w:val="15"/>
        </w:numPr>
        <w:ind w:left="0" w:firstLine="720"/>
        <w:rPr>
          <w:kern w:val="22"/>
          <w:szCs w:val="22"/>
          <w:lang w:val="ru-RU"/>
        </w:rPr>
      </w:pPr>
      <w:r>
        <w:rPr>
          <w:i/>
          <w:iCs/>
          <w:lang w:val="ru-RU"/>
        </w:rPr>
        <w:t>приветствует</w:t>
      </w:r>
      <w:r>
        <w:rPr>
          <w:lang w:val="ru-RU"/>
        </w:rPr>
        <w:t xml:space="preserve"> текущую работу Группы экспертов по сценариям и моделям Межправительственной научно-политической платформы по биоразнообразию и экосистемным </w:t>
      </w:r>
      <w:r>
        <w:rPr>
          <w:lang w:val="ru-RU"/>
        </w:rPr>
        <w:lastRenderedPageBreak/>
        <w:t xml:space="preserve">услугам, посвященную разработке нового набора многоуровневых сценариев изменения биоразнообразия в рамках процесса с участием </w:t>
      </w:r>
      <w:r w:rsidR="00F836AB">
        <w:rPr>
          <w:lang w:val="ru-RU"/>
        </w:rPr>
        <w:t>субъектов деятельности</w:t>
      </w:r>
      <w:r w:rsidRPr="0013274A">
        <w:rPr>
          <w:rStyle w:val="FootnoteReference"/>
          <w:rFonts w:eastAsia="Malgun Gothic"/>
          <w:kern w:val="22"/>
          <w:szCs w:val="22"/>
          <w:vertAlign w:val="superscript"/>
          <w:lang w:val="ru-RU"/>
        </w:rPr>
        <w:footnoteReference w:id="4"/>
      </w:r>
      <w:r>
        <w:rPr>
          <w:lang w:val="ru-RU"/>
        </w:rPr>
        <w:t xml:space="preserve">, и, </w:t>
      </w:r>
      <w:r w:rsidRPr="001573C4">
        <w:rPr>
          <w:iCs/>
          <w:lang w:val="ru-RU"/>
        </w:rPr>
        <w:t>отмечая</w:t>
      </w:r>
      <w:r>
        <w:rPr>
          <w:lang w:val="ru-RU"/>
        </w:rPr>
        <w:t xml:space="preserve"> актуальность этой работы для разработки глобальной рамочной программы в области биоразнообразия на период после 2020</w:t>
      </w:r>
      <w:r>
        <w:rPr>
          <w:lang w:val="en-US"/>
        </w:rPr>
        <w:t> </w:t>
      </w:r>
      <w:r>
        <w:rPr>
          <w:lang w:val="ru-RU"/>
        </w:rPr>
        <w:t xml:space="preserve">года, </w:t>
      </w:r>
      <w:r w:rsidRPr="00F836AB">
        <w:rPr>
          <w:i/>
          <w:lang w:val="ru-RU"/>
        </w:rPr>
        <w:t>признает</w:t>
      </w:r>
      <w:r>
        <w:rPr>
          <w:lang w:val="ru-RU"/>
        </w:rPr>
        <w:t xml:space="preserve"> важность участия коренных народов и местных </w:t>
      </w:r>
      <w:r w:rsidR="00F836AB">
        <w:rPr>
          <w:lang w:val="ru-RU"/>
        </w:rPr>
        <w:t>общин</w:t>
      </w:r>
      <w:r>
        <w:rPr>
          <w:lang w:val="ru-RU"/>
        </w:rPr>
        <w:t xml:space="preserve"> в этой деятельности и </w:t>
      </w:r>
      <w:r>
        <w:rPr>
          <w:i/>
          <w:iCs/>
          <w:lang w:val="ru-RU"/>
        </w:rPr>
        <w:t>призывает</w:t>
      </w:r>
      <w:r>
        <w:rPr>
          <w:lang w:val="ru-RU"/>
        </w:rPr>
        <w:t xml:space="preserve"> Стороны, другие правительства, коренные народы</w:t>
      </w:r>
      <w:r w:rsidR="00F836AB">
        <w:rPr>
          <w:lang w:val="ru-RU"/>
        </w:rPr>
        <w:t>,</w:t>
      </w:r>
      <w:r>
        <w:rPr>
          <w:lang w:val="ru-RU"/>
        </w:rPr>
        <w:t xml:space="preserve"> местные </w:t>
      </w:r>
      <w:r w:rsidR="00F836AB" w:rsidRPr="00F836AB">
        <w:rPr>
          <w:lang w:val="ru-RU"/>
        </w:rPr>
        <w:t>общин</w:t>
      </w:r>
      <w:r w:rsidR="00F836AB">
        <w:rPr>
          <w:lang w:val="ru-RU"/>
        </w:rPr>
        <w:t>ы</w:t>
      </w:r>
      <w:r w:rsidR="00F836AB" w:rsidRPr="00F836AB">
        <w:rPr>
          <w:lang w:val="ru-RU"/>
        </w:rPr>
        <w:t xml:space="preserve"> </w:t>
      </w:r>
      <w:r>
        <w:rPr>
          <w:lang w:val="ru-RU"/>
        </w:rPr>
        <w:t>и все субъект</w:t>
      </w:r>
      <w:r w:rsidR="00F836AB">
        <w:rPr>
          <w:lang w:val="ru-RU"/>
        </w:rPr>
        <w:t>ы</w:t>
      </w:r>
      <w:r>
        <w:rPr>
          <w:lang w:val="ru-RU"/>
        </w:rPr>
        <w:t xml:space="preserve"> деятельности к участию в этом процессе; </w:t>
      </w:r>
    </w:p>
    <w:p w:rsidR="0063735B" w:rsidRPr="00CA7C92" w:rsidRDefault="0063735B" w:rsidP="0063735B">
      <w:pPr>
        <w:pStyle w:val="Para10"/>
        <w:numPr>
          <w:ilvl w:val="0"/>
          <w:numId w:val="15"/>
        </w:numPr>
        <w:ind w:left="0" w:firstLine="720"/>
        <w:rPr>
          <w:kern w:val="22"/>
          <w:szCs w:val="22"/>
          <w:lang w:val="ru-RU"/>
        </w:rPr>
      </w:pPr>
      <w:r>
        <w:rPr>
          <w:i/>
          <w:iCs/>
          <w:lang w:val="ru-RU"/>
        </w:rPr>
        <w:t>рекомендует</w:t>
      </w:r>
      <w:r>
        <w:rPr>
          <w:lang w:val="ru-RU"/>
        </w:rPr>
        <w:t xml:space="preserve"> Вспомогательному органу по осуществлению на его втором совещании учесть анализ сценариев, в том числе информацию, упомянутую выше, в пунктах</w:t>
      </w:r>
      <w:r>
        <w:rPr>
          <w:lang w:val="en-US"/>
        </w:rPr>
        <w:t> </w:t>
      </w:r>
      <w:r>
        <w:rPr>
          <w:lang w:val="ru-RU"/>
        </w:rPr>
        <w:t>2 и 3, при рассмотрении пункта повестки дня, посвященного подготовке к последующей деятельности по выполнению Стратегического плана в области сохранения и устойчивого использования биоразнообразия на 2011-2020</w:t>
      </w:r>
      <w:r>
        <w:rPr>
          <w:lang w:val="en-US"/>
        </w:rPr>
        <w:t> </w:t>
      </w:r>
      <w:r>
        <w:rPr>
          <w:lang w:val="ru-RU"/>
        </w:rPr>
        <w:t>годы</w:t>
      </w:r>
      <w:r w:rsidRPr="0013274A">
        <w:rPr>
          <w:rStyle w:val="FootnoteReference"/>
          <w:rFonts w:eastAsia="Malgun Gothic"/>
          <w:kern w:val="22"/>
          <w:szCs w:val="22"/>
          <w:vertAlign w:val="superscript"/>
          <w:lang w:val="ru-RU"/>
        </w:rPr>
        <w:footnoteReference w:id="5"/>
      </w:r>
      <w:r>
        <w:rPr>
          <w:lang w:val="ru-RU"/>
        </w:rPr>
        <w:t>,</w:t>
      </w:r>
    </w:p>
    <w:p w:rsidR="0063735B" w:rsidRPr="00CA7C92" w:rsidRDefault="0063735B" w:rsidP="0063735B">
      <w:pPr>
        <w:pStyle w:val="Para10"/>
        <w:numPr>
          <w:ilvl w:val="0"/>
          <w:numId w:val="15"/>
        </w:numPr>
        <w:ind w:left="0" w:firstLine="720"/>
        <w:rPr>
          <w:kern w:val="22"/>
          <w:szCs w:val="22"/>
          <w:lang w:val="ru-RU"/>
        </w:rPr>
      </w:pPr>
      <w:r>
        <w:rPr>
          <w:rFonts w:eastAsia="Malgun Gothic"/>
          <w:i/>
          <w:kern w:val="22"/>
          <w:szCs w:val="22"/>
          <w:lang w:val="ru-RU"/>
        </w:rPr>
        <w:t>подчеркивает</w:t>
      </w:r>
      <w:r w:rsidRPr="00CA7C92">
        <w:rPr>
          <w:rFonts w:eastAsia="Malgun Gothic"/>
          <w:i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необходимость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создания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потенциала</w:t>
      </w:r>
      <w:r w:rsidRPr="00CA7C92">
        <w:rPr>
          <w:rFonts w:eastAsia="Malgun Gothic"/>
          <w:kern w:val="22"/>
          <w:szCs w:val="22"/>
          <w:lang w:val="ru-RU"/>
        </w:rPr>
        <w:t xml:space="preserve">, </w:t>
      </w:r>
      <w:r>
        <w:rPr>
          <w:rFonts w:eastAsia="Malgun Gothic"/>
          <w:kern w:val="22"/>
          <w:szCs w:val="22"/>
          <w:lang w:val="ru-RU"/>
        </w:rPr>
        <w:t>в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особенности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для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развивающихся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стран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и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стран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с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переходной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экономикой</w:t>
      </w:r>
      <w:r w:rsidRPr="00CA7C92">
        <w:rPr>
          <w:rFonts w:eastAsia="Malgun Gothic"/>
          <w:kern w:val="22"/>
          <w:szCs w:val="22"/>
          <w:lang w:val="ru-RU"/>
        </w:rPr>
        <w:t xml:space="preserve">, </w:t>
      </w:r>
      <w:r>
        <w:rPr>
          <w:rFonts w:eastAsia="Malgun Gothic"/>
          <w:kern w:val="22"/>
          <w:szCs w:val="22"/>
          <w:lang w:val="ru-RU"/>
        </w:rPr>
        <w:t>и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в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частности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для наименее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развитых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стран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и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малых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островных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развивающихся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государств</w:t>
      </w:r>
      <w:r w:rsidRPr="00CA7C92">
        <w:rPr>
          <w:rFonts w:eastAsia="Malgun Gothic"/>
          <w:kern w:val="22"/>
          <w:szCs w:val="22"/>
          <w:lang w:val="ru-RU"/>
        </w:rPr>
        <w:t xml:space="preserve">, </w:t>
      </w:r>
      <w:r>
        <w:rPr>
          <w:rFonts w:eastAsia="Malgun Gothic"/>
          <w:kern w:val="22"/>
          <w:szCs w:val="22"/>
          <w:lang w:val="ru-RU"/>
        </w:rPr>
        <w:t>чтобы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позволить всем странам прин</w:t>
      </w:r>
      <w:r w:rsidR="00F836AB">
        <w:rPr>
          <w:rFonts w:eastAsia="Malgun Gothic"/>
          <w:kern w:val="22"/>
          <w:szCs w:val="22"/>
          <w:lang w:val="ru-RU"/>
        </w:rPr>
        <w:t>я</w:t>
      </w:r>
      <w:r>
        <w:rPr>
          <w:rFonts w:eastAsia="Malgun Gothic"/>
          <w:kern w:val="22"/>
          <w:szCs w:val="22"/>
          <w:lang w:val="ru-RU"/>
        </w:rPr>
        <w:t xml:space="preserve">ть участие в разработке и применении сценариев; </w:t>
      </w:r>
    </w:p>
    <w:p w:rsidR="0063735B" w:rsidRPr="00343FFB" w:rsidRDefault="0063735B" w:rsidP="0063735B">
      <w:pPr>
        <w:pStyle w:val="Para10"/>
        <w:numPr>
          <w:ilvl w:val="0"/>
          <w:numId w:val="15"/>
        </w:numPr>
        <w:ind w:left="0" w:firstLine="720"/>
        <w:rPr>
          <w:rFonts w:eastAsia="Malgun Gothic"/>
          <w:i/>
          <w:kern w:val="22"/>
          <w:szCs w:val="22"/>
          <w:lang w:val="ru-RU"/>
        </w:rPr>
      </w:pPr>
      <w:r>
        <w:rPr>
          <w:i/>
          <w:iCs/>
          <w:lang w:val="ru-RU"/>
        </w:rPr>
        <w:t>приветствует</w:t>
      </w:r>
      <w:r w:rsidRPr="00343FFB">
        <w:rPr>
          <w:lang w:val="ru-RU"/>
        </w:rPr>
        <w:t xml:space="preserve"> </w:t>
      </w:r>
      <w:r>
        <w:rPr>
          <w:lang w:val="ru-RU"/>
        </w:rPr>
        <w:t xml:space="preserve">текущую </w:t>
      </w:r>
      <w:r w:rsidR="00E43595">
        <w:rPr>
          <w:lang w:val="ru-RU"/>
        </w:rPr>
        <w:t>деятельность</w:t>
      </w:r>
      <w:r>
        <w:rPr>
          <w:lang w:val="ru-RU"/>
        </w:rPr>
        <w:t xml:space="preserve"> научных</w:t>
      </w:r>
      <w:r w:rsidRPr="00343FFB">
        <w:rPr>
          <w:lang w:val="ru-RU"/>
        </w:rPr>
        <w:t xml:space="preserve"> </w:t>
      </w:r>
      <w:r>
        <w:rPr>
          <w:lang w:val="ru-RU"/>
        </w:rPr>
        <w:t>и</w:t>
      </w:r>
      <w:r w:rsidRPr="00343FFB">
        <w:rPr>
          <w:lang w:val="ru-RU"/>
        </w:rPr>
        <w:t xml:space="preserve"> </w:t>
      </w:r>
      <w:r>
        <w:rPr>
          <w:lang w:val="ru-RU"/>
        </w:rPr>
        <w:t>других</w:t>
      </w:r>
      <w:r w:rsidRPr="00343FFB">
        <w:rPr>
          <w:lang w:val="ru-RU"/>
        </w:rPr>
        <w:t xml:space="preserve"> </w:t>
      </w:r>
      <w:r>
        <w:rPr>
          <w:lang w:val="ru-RU"/>
        </w:rPr>
        <w:t>соответствующих сообществ</w:t>
      </w:r>
      <w:r w:rsidRPr="00343FFB">
        <w:rPr>
          <w:lang w:val="ru-RU"/>
        </w:rPr>
        <w:t xml:space="preserve">, </w:t>
      </w:r>
      <w:r>
        <w:rPr>
          <w:lang w:val="ru-RU"/>
        </w:rPr>
        <w:t>работающих</w:t>
      </w:r>
      <w:r w:rsidRPr="00343FFB">
        <w:rPr>
          <w:lang w:val="ru-RU"/>
        </w:rPr>
        <w:t xml:space="preserve"> </w:t>
      </w:r>
      <w:r>
        <w:rPr>
          <w:lang w:val="ru-RU"/>
        </w:rPr>
        <w:t>над</w:t>
      </w:r>
      <w:r w:rsidRPr="00343FFB">
        <w:rPr>
          <w:lang w:val="ru-RU"/>
        </w:rPr>
        <w:t xml:space="preserve"> </w:t>
      </w:r>
      <w:r>
        <w:rPr>
          <w:lang w:val="ru-RU"/>
        </w:rPr>
        <w:t>сценариями</w:t>
      </w:r>
      <w:r w:rsidRPr="00343FFB">
        <w:rPr>
          <w:lang w:val="ru-RU"/>
        </w:rPr>
        <w:t xml:space="preserve"> </w:t>
      </w:r>
      <w:r>
        <w:rPr>
          <w:lang w:val="ru-RU"/>
        </w:rPr>
        <w:t>и</w:t>
      </w:r>
      <w:r w:rsidRPr="00343FFB">
        <w:rPr>
          <w:lang w:val="ru-RU"/>
        </w:rPr>
        <w:t xml:space="preserve"> </w:t>
      </w:r>
      <w:r>
        <w:rPr>
          <w:lang w:val="ru-RU"/>
        </w:rPr>
        <w:t>соответствующими</w:t>
      </w:r>
      <w:r w:rsidRPr="00343FFB">
        <w:rPr>
          <w:lang w:val="ru-RU"/>
        </w:rPr>
        <w:t xml:space="preserve"> </w:t>
      </w:r>
      <w:r>
        <w:rPr>
          <w:lang w:val="ru-RU"/>
        </w:rPr>
        <w:t>оценками</w:t>
      </w:r>
      <w:r w:rsidRPr="00343FFB">
        <w:rPr>
          <w:lang w:val="ru-RU"/>
        </w:rPr>
        <w:t xml:space="preserve">, </w:t>
      </w:r>
      <w:r>
        <w:rPr>
          <w:lang w:val="ru-RU"/>
        </w:rPr>
        <w:t>в</w:t>
      </w:r>
      <w:r w:rsidRPr="00343FFB">
        <w:rPr>
          <w:lang w:val="ru-RU"/>
        </w:rPr>
        <w:t xml:space="preserve"> </w:t>
      </w:r>
      <w:r>
        <w:rPr>
          <w:lang w:val="ru-RU"/>
        </w:rPr>
        <w:t>том</w:t>
      </w:r>
      <w:r w:rsidRPr="00343FFB">
        <w:rPr>
          <w:lang w:val="ru-RU"/>
        </w:rPr>
        <w:t xml:space="preserve"> </w:t>
      </w:r>
      <w:r>
        <w:rPr>
          <w:lang w:val="ru-RU"/>
        </w:rPr>
        <w:t>числе</w:t>
      </w:r>
      <w:r w:rsidRPr="00343FFB">
        <w:rPr>
          <w:lang w:val="ru-RU"/>
        </w:rPr>
        <w:t xml:space="preserve"> </w:t>
      </w:r>
      <w:r>
        <w:rPr>
          <w:lang w:val="ru-RU"/>
        </w:rPr>
        <w:t>активизацию</w:t>
      </w:r>
      <w:r w:rsidRPr="00343FFB">
        <w:rPr>
          <w:lang w:val="ru-RU"/>
        </w:rPr>
        <w:t xml:space="preserve"> </w:t>
      </w:r>
      <w:r>
        <w:rPr>
          <w:lang w:val="ru-RU"/>
        </w:rPr>
        <w:t>сотрудничества</w:t>
      </w:r>
      <w:r w:rsidRPr="00343FFB">
        <w:rPr>
          <w:lang w:val="ru-RU"/>
        </w:rPr>
        <w:t xml:space="preserve"> </w:t>
      </w:r>
      <w:r>
        <w:rPr>
          <w:lang w:val="ru-RU"/>
        </w:rPr>
        <w:t>между</w:t>
      </w:r>
      <w:r w:rsidRPr="00343FFB">
        <w:rPr>
          <w:lang w:val="ru-RU"/>
        </w:rPr>
        <w:t xml:space="preserve"> </w:t>
      </w:r>
      <w:r>
        <w:rPr>
          <w:lang w:val="ru-RU"/>
        </w:rPr>
        <w:t>сообществами</w:t>
      </w:r>
      <w:r w:rsidRPr="00343FFB">
        <w:rPr>
          <w:lang w:val="ru-RU"/>
        </w:rPr>
        <w:t xml:space="preserve">, </w:t>
      </w:r>
      <w:r>
        <w:rPr>
          <w:lang w:val="ru-RU"/>
        </w:rPr>
        <w:t>занимающимися</w:t>
      </w:r>
      <w:r w:rsidRPr="00343FFB">
        <w:rPr>
          <w:lang w:val="ru-RU"/>
        </w:rPr>
        <w:t xml:space="preserve"> </w:t>
      </w:r>
      <w:r>
        <w:rPr>
          <w:lang w:val="ru-RU"/>
        </w:rPr>
        <w:t>сохранением</w:t>
      </w:r>
      <w:r w:rsidRPr="00343FFB">
        <w:rPr>
          <w:lang w:val="ru-RU"/>
        </w:rPr>
        <w:t xml:space="preserve"> </w:t>
      </w:r>
      <w:r>
        <w:rPr>
          <w:lang w:val="ru-RU"/>
        </w:rPr>
        <w:t>биоразнообразия</w:t>
      </w:r>
      <w:r w:rsidRPr="00343FFB">
        <w:rPr>
          <w:lang w:val="ru-RU"/>
        </w:rPr>
        <w:t xml:space="preserve"> </w:t>
      </w:r>
      <w:r>
        <w:rPr>
          <w:lang w:val="ru-RU"/>
        </w:rPr>
        <w:t>и</w:t>
      </w:r>
      <w:r w:rsidRPr="00343FFB">
        <w:rPr>
          <w:lang w:val="ru-RU"/>
        </w:rPr>
        <w:t xml:space="preserve"> </w:t>
      </w:r>
      <w:r>
        <w:rPr>
          <w:lang w:val="ru-RU"/>
        </w:rPr>
        <w:t>проблемами</w:t>
      </w:r>
      <w:r w:rsidRPr="00343FFB">
        <w:rPr>
          <w:lang w:val="ru-RU"/>
        </w:rPr>
        <w:t xml:space="preserve"> </w:t>
      </w:r>
      <w:r>
        <w:rPr>
          <w:lang w:val="ru-RU"/>
        </w:rPr>
        <w:t>изменения</w:t>
      </w:r>
      <w:r w:rsidRPr="00343FFB">
        <w:rPr>
          <w:lang w:val="ru-RU"/>
        </w:rPr>
        <w:t xml:space="preserve"> </w:t>
      </w:r>
      <w:r>
        <w:rPr>
          <w:lang w:val="ru-RU"/>
        </w:rPr>
        <w:t>климата</w:t>
      </w:r>
      <w:r w:rsidRPr="00343FFB">
        <w:rPr>
          <w:lang w:val="ru-RU"/>
        </w:rPr>
        <w:t xml:space="preserve">, </w:t>
      </w:r>
      <w:r>
        <w:rPr>
          <w:lang w:val="ru-RU"/>
        </w:rPr>
        <w:t>и</w:t>
      </w:r>
      <w:r w:rsidRPr="00343FFB">
        <w:rPr>
          <w:lang w:val="ru-RU"/>
        </w:rPr>
        <w:t xml:space="preserve">, </w:t>
      </w:r>
      <w:r>
        <w:rPr>
          <w:lang w:val="ru-RU"/>
        </w:rPr>
        <w:t>ссылаясь</w:t>
      </w:r>
      <w:r w:rsidRPr="00343FFB">
        <w:rPr>
          <w:lang w:val="ru-RU"/>
        </w:rPr>
        <w:t xml:space="preserve"> </w:t>
      </w:r>
      <w:r>
        <w:rPr>
          <w:lang w:val="ru-RU"/>
        </w:rPr>
        <w:t>на</w:t>
      </w:r>
      <w:r w:rsidRPr="00343FFB">
        <w:rPr>
          <w:lang w:val="ru-RU"/>
        </w:rPr>
        <w:t xml:space="preserve"> </w:t>
      </w:r>
      <w:r>
        <w:rPr>
          <w:lang w:val="ru-RU"/>
        </w:rPr>
        <w:t xml:space="preserve">предложение, адресованное </w:t>
      </w:r>
      <w:r w:rsidRPr="00343FFB">
        <w:rPr>
          <w:lang w:val="ru-RU"/>
        </w:rPr>
        <w:t>Межправительственн</w:t>
      </w:r>
      <w:r>
        <w:rPr>
          <w:lang w:val="ru-RU"/>
        </w:rPr>
        <w:t>ой</w:t>
      </w:r>
      <w:r w:rsidRPr="00343FFB">
        <w:rPr>
          <w:lang w:val="ru-RU"/>
        </w:rPr>
        <w:t xml:space="preserve"> групп</w:t>
      </w:r>
      <w:r>
        <w:rPr>
          <w:lang w:val="ru-RU"/>
        </w:rPr>
        <w:t>е</w:t>
      </w:r>
      <w:r w:rsidRPr="00343FFB">
        <w:rPr>
          <w:lang w:val="ru-RU"/>
        </w:rPr>
        <w:t xml:space="preserve"> по изменению климата </w:t>
      </w:r>
      <w:r>
        <w:rPr>
          <w:lang w:val="ru-RU"/>
        </w:rPr>
        <w:t xml:space="preserve">в пункте </w:t>
      </w:r>
      <w:r w:rsidRPr="00343FFB">
        <w:rPr>
          <w:lang w:val="ru-RU"/>
        </w:rPr>
        <w:t xml:space="preserve">5 </w:t>
      </w:r>
      <w:hyperlink r:id="rId12" w:history="1">
        <w:r w:rsidRPr="0060677B">
          <w:rPr>
            <w:rStyle w:val="Hyperlink"/>
            <w:kern w:val="22"/>
            <w:szCs w:val="22"/>
            <w:lang w:val="ru-RU"/>
          </w:rPr>
          <w:t>рекомендации</w:t>
        </w:r>
        <w:r w:rsidRPr="00343FFB">
          <w:rPr>
            <w:rStyle w:val="Hyperlink"/>
            <w:kern w:val="22"/>
            <w:szCs w:val="22"/>
            <w:lang w:val="ru-RU"/>
          </w:rPr>
          <w:t xml:space="preserve"> </w:t>
        </w:r>
        <w:r w:rsidRPr="0060677B">
          <w:rPr>
            <w:rStyle w:val="Hyperlink"/>
            <w:kern w:val="22"/>
            <w:szCs w:val="22"/>
            <w:lang w:val="ru-RU"/>
          </w:rPr>
          <w:t>ХХ</w:t>
        </w:r>
        <w:r w:rsidRPr="00343FFB">
          <w:rPr>
            <w:rStyle w:val="Hyperlink"/>
            <w:kern w:val="22"/>
            <w:szCs w:val="22"/>
            <w:lang w:val="ru-RU"/>
          </w:rPr>
          <w:t xml:space="preserve">/10 </w:t>
        </w:r>
        <w:r>
          <w:rPr>
            <w:rStyle w:val="Hyperlink"/>
            <w:kern w:val="22"/>
            <w:szCs w:val="22"/>
            <w:lang w:val="ru-RU"/>
          </w:rPr>
          <w:t>Вспомогательного органа по научным, техническим и технологическим консультациям</w:t>
        </w:r>
      </w:hyperlink>
      <w:r w:rsidRPr="00343FFB">
        <w:rPr>
          <w:lang w:val="ru-RU"/>
        </w:rPr>
        <w:t xml:space="preserve">, </w:t>
      </w:r>
      <w:r>
        <w:rPr>
          <w:i/>
          <w:iCs/>
          <w:lang w:val="ru-RU"/>
        </w:rPr>
        <w:t>предлагает</w:t>
      </w:r>
      <w:r w:rsidRPr="00343FFB">
        <w:rPr>
          <w:lang w:val="ru-RU"/>
        </w:rPr>
        <w:t xml:space="preserve"> </w:t>
      </w:r>
      <w:r>
        <w:rPr>
          <w:lang w:val="ru-RU"/>
        </w:rPr>
        <w:t>этим</w:t>
      </w:r>
      <w:r w:rsidRPr="00343FFB">
        <w:rPr>
          <w:lang w:val="ru-RU"/>
        </w:rPr>
        <w:t xml:space="preserve"> </w:t>
      </w:r>
      <w:r>
        <w:rPr>
          <w:lang w:val="ru-RU"/>
        </w:rPr>
        <w:t>сообществам</w:t>
      </w:r>
      <w:r w:rsidRPr="00343FFB">
        <w:rPr>
          <w:lang w:val="ru-RU"/>
        </w:rPr>
        <w:t xml:space="preserve"> </w:t>
      </w:r>
      <w:r>
        <w:rPr>
          <w:lang w:val="ru-RU"/>
        </w:rPr>
        <w:t>продолжать</w:t>
      </w:r>
      <w:r w:rsidRPr="00343FFB">
        <w:rPr>
          <w:lang w:val="ru-RU"/>
        </w:rPr>
        <w:t xml:space="preserve"> </w:t>
      </w:r>
      <w:r>
        <w:rPr>
          <w:lang w:val="ru-RU"/>
        </w:rPr>
        <w:t>такие</w:t>
      </w:r>
      <w:r w:rsidRPr="00343FFB">
        <w:rPr>
          <w:lang w:val="ru-RU"/>
        </w:rPr>
        <w:t xml:space="preserve"> </w:t>
      </w:r>
      <w:r>
        <w:rPr>
          <w:lang w:val="ru-RU"/>
        </w:rPr>
        <w:t>усилия</w:t>
      </w:r>
      <w:r w:rsidRPr="00343FFB">
        <w:rPr>
          <w:lang w:val="ru-RU"/>
        </w:rPr>
        <w:t xml:space="preserve"> </w:t>
      </w:r>
      <w:r>
        <w:rPr>
          <w:lang w:val="ru-RU"/>
        </w:rPr>
        <w:t>в</w:t>
      </w:r>
      <w:r w:rsidRPr="00343FFB">
        <w:rPr>
          <w:lang w:val="ru-RU"/>
        </w:rPr>
        <w:t xml:space="preserve"> </w:t>
      </w:r>
      <w:r>
        <w:rPr>
          <w:lang w:val="ru-RU"/>
        </w:rPr>
        <w:t>целях</w:t>
      </w:r>
      <w:r w:rsidRPr="00343FFB">
        <w:rPr>
          <w:lang w:val="ru-RU"/>
        </w:rPr>
        <w:t xml:space="preserve"> </w:t>
      </w:r>
      <w:r>
        <w:rPr>
          <w:lang w:val="ru-RU"/>
        </w:rPr>
        <w:t>поощрения</w:t>
      </w:r>
      <w:r w:rsidRPr="00343FFB">
        <w:rPr>
          <w:lang w:val="ru-RU"/>
        </w:rPr>
        <w:t xml:space="preserve"> </w:t>
      </w:r>
      <w:r>
        <w:rPr>
          <w:lang w:val="ru-RU"/>
        </w:rPr>
        <w:t>согласованности</w:t>
      </w:r>
      <w:r w:rsidRPr="00343FFB">
        <w:rPr>
          <w:lang w:val="ru-RU"/>
        </w:rPr>
        <w:t xml:space="preserve"> </w:t>
      </w:r>
      <w:r>
        <w:rPr>
          <w:lang w:val="ru-RU"/>
        </w:rPr>
        <w:t>в</w:t>
      </w:r>
      <w:r w:rsidRPr="00343FFB">
        <w:rPr>
          <w:lang w:val="ru-RU"/>
        </w:rPr>
        <w:t xml:space="preserve"> </w:t>
      </w:r>
      <w:r>
        <w:rPr>
          <w:lang w:val="ru-RU"/>
        </w:rPr>
        <w:t>сценариях</w:t>
      </w:r>
      <w:r w:rsidRPr="00343FFB">
        <w:rPr>
          <w:lang w:val="ru-RU"/>
        </w:rPr>
        <w:t xml:space="preserve"> </w:t>
      </w:r>
      <w:r>
        <w:rPr>
          <w:lang w:val="ru-RU"/>
        </w:rPr>
        <w:t>и</w:t>
      </w:r>
      <w:r w:rsidRPr="00343FFB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343FFB">
        <w:rPr>
          <w:lang w:val="ru-RU"/>
        </w:rPr>
        <w:t xml:space="preserve"> </w:t>
      </w:r>
      <w:r>
        <w:rPr>
          <w:lang w:val="ru-RU"/>
        </w:rPr>
        <w:t>оценках</w:t>
      </w:r>
      <w:r w:rsidRPr="00343FFB">
        <w:rPr>
          <w:lang w:val="ru-RU"/>
        </w:rPr>
        <w:t>;</w:t>
      </w:r>
      <w:r>
        <w:rPr>
          <w:lang w:val="ru-RU"/>
        </w:rPr>
        <w:t xml:space="preserve"> </w:t>
      </w:r>
    </w:p>
    <w:p w:rsidR="0063735B" w:rsidRPr="00320C49" w:rsidRDefault="0063735B" w:rsidP="0063735B">
      <w:pPr>
        <w:pStyle w:val="Para10"/>
        <w:numPr>
          <w:ilvl w:val="0"/>
          <w:numId w:val="15"/>
        </w:numPr>
        <w:ind w:left="0" w:firstLine="720"/>
        <w:rPr>
          <w:rFonts w:eastAsia="Malgun Gothic"/>
          <w:i/>
          <w:kern w:val="22"/>
          <w:szCs w:val="22"/>
          <w:lang w:val="ru-RU"/>
        </w:rPr>
      </w:pPr>
      <w:r>
        <w:rPr>
          <w:i/>
          <w:iCs/>
          <w:lang w:val="ru-RU"/>
        </w:rPr>
        <w:t>предлагает</w:t>
      </w:r>
      <w:r>
        <w:rPr>
          <w:lang w:val="ru-RU"/>
        </w:rPr>
        <w:t xml:space="preserve"> научным и другим соответствующим сообществам, работающим над сценариями и соответствующими оценками, учитывать следующие вопросы, имеющие отношение к разработке </w:t>
      </w:r>
      <w:r w:rsidRPr="00E06294">
        <w:rPr>
          <w:lang w:val="ru-RU"/>
        </w:rPr>
        <w:t>глобальной структуры действий по сохранению биоразнообразия на период после 2020 года</w:t>
      </w:r>
      <w:r>
        <w:rPr>
          <w:lang w:val="ru-RU"/>
        </w:rPr>
        <w:t>:</w:t>
      </w:r>
    </w:p>
    <w:p w:rsidR="0063735B" w:rsidRPr="00320C49" w:rsidRDefault="0063735B" w:rsidP="0063735B">
      <w:pPr>
        <w:numPr>
          <w:ilvl w:val="1"/>
          <w:numId w:val="14"/>
        </w:numPr>
        <w:spacing w:after="120"/>
        <w:ind w:left="0" w:firstLine="720"/>
        <w:rPr>
          <w:rFonts w:eastAsia="Malgun Gothic"/>
          <w:kern w:val="22"/>
          <w:szCs w:val="22"/>
          <w:lang w:val="ru-RU"/>
        </w:rPr>
      </w:pPr>
      <w:r>
        <w:rPr>
          <w:lang w:val="ru-RU"/>
        </w:rPr>
        <w:t>широкий спектр основных движущих факторов и системных и структурных проблем, связанных с утратой биоразнообразия;</w:t>
      </w:r>
    </w:p>
    <w:p w:rsidR="0063735B" w:rsidRPr="00320C49" w:rsidRDefault="0063735B" w:rsidP="0063735B">
      <w:pPr>
        <w:numPr>
          <w:ilvl w:val="1"/>
          <w:numId w:val="14"/>
        </w:numPr>
        <w:spacing w:after="120"/>
        <w:ind w:left="0" w:firstLine="720"/>
        <w:rPr>
          <w:rFonts w:eastAsia="Malgun Gothic"/>
          <w:kern w:val="22"/>
          <w:szCs w:val="22"/>
          <w:lang w:val="ru-RU"/>
        </w:rPr>
      </w:pPr>
      <w:r>
        <w:rPr>
          <w:lang w:val="ru-RU"/>
        </w:rPr>
        <w:t>сочетание стратегических подходов на различных уровнях и в рамках различных сценариев;</w:t>
      </w:r>
    </w:p>
    <w:p w:rsidR="0063735B" w:rsidRPr="00FD0E14" w:rsidRDefault="0063735B" w:rsidP="0063735B">
      <w:pPr>
        <w:numPr>
          <w:ilvl w:val="1"/>
          <w:numId w:val="14"/>
        </w:numPr>
        <w:spacing w:after="120"/>
        <w:ind w:left="0" w:firstLine="720"/>
        <w:rPr>
          <w:rFonts w:eastAsia="Malgun Gothic"/>
          <w:kern w:val="22"/>
          <w:szCs w:val="22"/>
          <w:lang w:val="ru-RU"/>
        </w:rPr>
      </w:pPr>
      <w:r>
        <w:rPr>
          <w:lang w:val="ru-RU"/>
        </w:rPr>
        <w:t>выявление</w:t>
      </w:r>
      <w:r w:rsidRPr="00FD0E14">
        <w:rPr>
          <w:lang w:val="ru-RU"/>
        </w:rPr>
        <w:t xml:space="preserve"> </w:t>
      </w:r>
      <w:r>
        <w:rPr>
          <w:lang w:val="ru-RU"/>
        </w:rPr>
        <w:t>потенциального взаимодействия, компромиссов</w:t>
      </w:r>
      <w:r w:rsidRPr="00FD0E14">
        <w:rPr>
          <w:lang w:val="ru-RU"/>
        </w:rPr>
        <w:t xml:space="preserve"> </w:t>
      </w:r>
      <w:r>
        <w:rPr>
          <w:lang w:val="ru-RU"/>
        </w:rPr>
        <w:t>и</w:t>
      </w:r>
      <w:r w:rsidRPr="00FD0E14">
        <w:rPr>
          <w:lang w:val="ru-RU"/>
        </w:rPr>
        <w:t xml:space="preserve"> </w:t>
      </w:r>
      <w:r>
        <w:rPr>
          <w:lang w:val="ru-RU"/>
        </w:rPr>
        <w:t>ограничений</w:t>
      </w:r>
      <w:r w:rsidRPr="00FD0E14">
        <w:rPr>
          <w:lang w:val="ru-RU"/>
        </w:rPr>
        <w:t xml:space="preserve">, </w:t>
      </w:r>
      <w:r>
        <w:rPr>
          <w:lang w:val="ru-RU"/>
        </w:rPr>
        <w:t>связанных</w:t>
      </w:r>
      <w:r w:rsidRPr="00FD0E14">
        <w:rPr>
          <w:lang w:val="ru-RU"/>
        </w:rPr>
        <w:t xml:space="preserve"> </w:t>
      </w:r>
      <w:r>
        <w:rPr>
          <w:lang w:val="ru-RU"/>
        </w:rPr>
        <w:t>с</w:t>
      </w:r>
      <w:r w:rsidRPr="00FD0E14">
        <w:rPr>
          <w:lang w:val="ru-RU"/>
        </w:rPr>
        <w:t xml:space="preserve"> </w:t>
      </w:r>
      <w:r>
        <w:rPr>
          <w:lang w:val="ru-RU"/>
        </w:rPr>
        <w:t>биоразнообразием</w:t>
      </w:r>
      <w:r w:rsidRPr="00FD0E14">
        <w:rPr>
          <w:lang w:val="ru-RU"/>
        </w:rPr>
        <w:t xml:space="preserve">, </w:t>
      </w:r>
      <w:r>
        <w:rPr>
          <w:lang w:val="ru-RU"/>
        </w:rPr>
        <w:t>которые</w:t>
      </w:r>
      <w:r w:rsidRPr="00FD0E14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FD0E14">
        <w:rPr>
          <w:lang w:val="ru-RU"/>
        </w:rPr>
        <w:t xml:space="preserve"> </w:t>
      </w:r>
      <w:r>
        <w:rPr>
          <w:lang w:val="ru-RU"/>
        </w:rPr>
        <w:t>учитывать</w:t>
      </w:r>
      <w:r w:rsidRPr="00FD0E14">
        <w:rPr>
          <w:lang w:val="ru-RU"/>
        </w:rPr>
        <w:t xml:space="preserve"> </w:t>
      </w:r>
      <w:r>
        <w:rPr>
          <w:lang w:val="ru-RU"/>
        </w:rPr>
        <w:t>в целях выявления эффективных мер</w:t>
      </w:r>
      <w:r w:rsidR="00F836AB">
        <w:rPr>
          <w:lang w:val="ru-RU"/>
        </w:rPr>
        <w:t xml:space="preserve"> и политики</w:t>
      </w:r>
      <w:r>
        <w:rPr>
          <w:lang w:val="ru-RU"/>
        </w:rPr>
        <w:t xml:space="preserve"> для создания условий, обеспечивающих достижение</w:t>
      </w:r>
      <w:r w:rsidRPr="00FD0E14">
        <w:rPr>
          <w:lang w:val="ru-RU"/>
        </w:rPr>
        <w:t xml:space="preserve"> </w:t>
      </w:r>
      <w:r w:rsidR="00F836AB">
        <w:rPr>
          <w:lang w:val="ru-RU"/>
        </w:rPr>
        <w:t>ц</w:t>
      </w:r>
      <w:r>
        <w:rPr>
          <w:lang w:val="ru-RU"/>
        </w:rPr>
        <w:t>елей</w:t>
      </w:r>
      <w:r w:rsidRPr="00FD0E14">
        <w:rPr>
          <w:lang w:val="ru-RU"/>
        </w:rPr>
        <w:t xml:space="preserve"> </w:t>
      </w:r>
      <w:r w:rsidR="00F836AB">
        <w:rPr>
          <w:lang w:val="ru-RU"/>
        </w:rPr>
        <w:t xml:space="preserve">в области </w:t>
      </w:r>
      <w:r>
        <w:rPr>
          <w:lang w:val="ru-RU"/>
        </w:rPr>
        <w:t>устойчивого</w:t>
      </w:r>
      <w:r w:rsidRPr="00FD0E14">
        <w:rPr>
          <w:lang w:val="ru-RU"/>
        </w:rPr>
        <w:t xml:space="preserve"> </w:t>
      </w:r>
      <w:r>
        <w:rPr>
          <w:lang w:val="ru-RU"/>
        </w:rPr>
        <w:t>развития</w:t>
      </w:r>
      <w:r w:rsidRPr="00FD0E14">
        <w:rPr>
          <w:lang w:val="ru-RU"/>
        </w:rPr>
        <w:t xml:space="preserve">; </w:t>
      </w:r>
    </w:p>
    <w:p w:rsidR="0063735B" w:rsidRPr="00320C49" w:rsidRDefault="0063735B" w:rsidP="0063735B">
      <w:pPr>
        <w:numPr>
          <w:ilvl w:val="1"/>
          <w:numId w:val="14"/>
        </w:numPr>
        <w:spacing w:after="120"/>
        <w:ind w:left="0" w:firstLine="720"/>
        <w:rPr>
          <w:rFonts w:eastAsia="Malgun Gothic"/>
          <w:kern w:val="22"/>
          <w:szCs w:val="22"/>
          <w:lang w:val="ru-RU"/>
        </w:rPr>
      </w:pPr>
      <w:r>
        <w:rPr>
          <w:lang w:val="ru-RU"/>
        </w:rPr>
        <w:t xml:space="preserve">вклад коллективных действий коренных народов и местных </w:t>
      </w:r>
      <w:r w:rsidR="00F836AB">
        <w:rPr>
          <w:lang w:val="ru-RU"/>
        </w:rPr>
        <w:t>общин</w:t>
      </w:r>
      <w:r>
        <w:rPr>
          <w:lang w:val="ru-RU"/>
        </w:rPr>
        <w:t xml:space="preserve"> в дело сохранения биологического разнообразия и устойчивого использования его компонентов;</w:t>
      </w:r>
    </w:p>
    <w:p w:rsidR="0063735B" w:rsidRPr="00320C49" w:rsidRDefault="0063735B" w:rsidP="0063735B">
      <w:pPr>
        <w:numPr>
          <w:ilvl w:val="1"/>
          <w:numId w:val="14"/>
        </w:numPr>
        <w:spacing w:after="120"/>
        <w:ind w:left="0" w:firstLine="720"/>
        <w:rPr>
          <w:rFonts w:eastAsia="Malgun Gothic"/>
          <w:kern w:val="22"/>
          <w:szCs w:val="22"/>
          <w:lang w:val="ru-RU"/>
        </w:rPr>
      </w:pPr>
      <w:r w:rsidRPr="00E43595">
        <w:rPr>
          <w:lang w:val="ru-RU"/>
        </w:rPr>
        <w:t xml:space="preserve">последствия альтернативных сценариев для устойчивого использования биоразнообразия </w:t>
      </w:r>
      <w:r w:rsidR="001D7F4F" w:rsidRPr="00E43595">
        <w:rPr>
          <w:lang w:val="ru-RU"/>
        </w:rPr>
        <w:t xml:space="preserve">на основе обычая </w:t>
      </w:r>
      <w:r w:rsidRPr="00E43595">
        <w:rPr>
          <w:lang w:val="ru-RU"/>
        </w:rPr>
        <w:t>коренными н</w:t>
      </w:r>
      <w:r>
        <w:rPr>
          <w:lang w:val="ru-RU"/>
        </w:rPr>
        <w:t xml:space="preserve">ародами и местными </w:t>
      </w:r>
      <w:r w:rsidR="001D7F4F">
        <w:rPr>
          <w:lang w:val="ru-RU"/>
        </w:rPr>
        <w:t>общинами</w:t>
      </w:r>
      <w:r>
        <w:rPr>
          <w:lang w:val="ru-RU"/>
        </w:rPr>
        <w:t>;</w:t>
      </w:r>
    </w:p>
    <w:p w:rsidR="0063735B" w:rsidRPr="002446D7" w:rsidRDefault="0063735B" w:rsidP="0063735B">
      <w:pPr>
        <w:numPr>
          <w:ilvl w:val="1"/>
          <w:numId w:val="14"/>
        </w:numPr>
        <w:spacing w:after="120"/>
        <w:ind w:left="0" w:firstLine="720"/>
        <w:rPr>
          <w:rFonts w:eastAsia="Malgun Gothic"/>
          <w:kern w:val="22"/>
          <w:szCs w:val="22"/>
          <w:lang w:val="ru-RU"/>
        </w:rPr>
      </w:pPr>
      <w:r>
        <w:rPr>
          <w:lang w:val="ru-RU"/>
        </w:rPr>
        <w:t xml:space="preserve">анализы сценариев в области финансирования глобальной рамочной программы в области биоразнообразия на период после 2020 года и </w:t>
      </w:r>
      <w:r w:rsidRPr="002446D7">
        <w:rPr>
          <w:lang w:val="ru-RU"/>
        </w:rPr>
        <w:t xml:space="preserve">Концепции </w:t>
      </w:r>
      <w:r w:rsidR="002446D7" w:rsidRPr="002446D7">
        <w:rPr>
          <w:lang w:val="ru-RU"/>
        </w:rPr>
        <w:t>в области биоразнообразия на период до 2050 года</w:t>
      </w:r>
      <w:r w:rsidRPr="002446D7">
        <w:rPr>
          <w:lang w:val="ru-RU"/>
        </w:rPr>
        <w:t>;</w:t>
      </w:r>
    </w:p>
    <w:p w:rsidR="0063735B" w:rsidRPr="00CC6181" w:rsidRDefault="0063735B" w:rsidP="0063735B">
      <w:pPr>
        <w:numPr>
          <w:ilvl w:val="1"/>
          <w:numId w:val="17"/>
        </w:numPr>
        <w:spacing w:after="120"/>
        <w:ind w:left="0" w:firstLine="720"/>
        <w:rPr>
          <w:rFonts w:eastAsia="Malgun Gothic"/>
          <w:kern w:val="22"/>
          <w:szCs w:val="22"/>
          <w:lang w:val="ru-RU"/>
        </w:rPr>
      </w:pPr>
      <w:r>
        <w:rPr>
          <w:rFonts w:eastAsia="Malgun Gothic"/>
          <w:kern w:val="22"/>
          <w:szCs w:val="22"/>
          <w:lang w:val="ru-RU"/>
        </w:rPr>
        <w:lastRenderedPageBreak/>
        <w:t xml:space="preserve">потенциальное положительное и отрицательное воздействие </w:t>
      </w:r>
      <w:r w:rsidR="001D7F4F">
        <w:rPr>
          <w:rFonts w:eastAsia="Malgun Gothic"/>
          <w:kern w:val="22"/>
          <w:szCs w:val="22"/>
          <w:lang w:val="ru-RU"/>
        </w:rPr>
        <w:t xml:space="preserve">таких </w:t>
      </w:r>
      <w:r>
        <w:rPr>
          <w:rFonts w:eastAsia="Malgun Gothic"/>
          <w:kern w:val="22"/>
          <w:szCs w:val="22"/>
          <w:lang w:val="ru-RU"/>
        </w:rPr>
        <w:t xml:space="preserve">производственных секторов, как сельское, лесное и рыбное хозяйства; </w:t>
      </w:r>
    </w:p>
    <w:p w:rsidR="0063735B" w:rsidRPr="00277353" w:rsidRDefault="0063735B" w:rsidP="0063735B">
      <w:pPr>
        <w:numPr>
          <w:ilvl w:val="1"/>
          <w:numId w:val="14"/>
        </w:numPr>
        <w:spacing w:after="120"/>
        <w:ind w:left="0" w:firstLine="720"/>
        <w:rPr>
          <w:rFonts w:eastAsia="Malgun Gothic"/>
          <w:kern w:val="22"/>
          <w:szCs w:val="22"/>
          <w:lang w:val="ru-RU"/>
        </w:rPr>
      </w:pPr>
      <w:r w:rsidRPr="008234E8">
        <w:rPr>
          <w:rFonts w:eastAsia="Malgun Gothic"/>
          <w:kern w:val="22"/>
          <w:szCs w:val="22"/>
          <w:lang w:val="ru-RU"/>
        </w:rPr>
        <w:t xml:space="preserve">технологические разработки, которые могут оказывать положительное или отрицательное воздействие на </w:t>
      </w:r>
      <w:r w:rsidR="001D7F4F">
        <w:rPr>
          <w:rFonts w:eastAsia="Malgun Gothic"/>
          <w:kern w:val="22"/>
          <w:szCs w:val="22"/>
          <w:lang w:val="ru-RU"/>
        </w:rPr>
        <w:t>выполнение</w:t>
      </w:r>
      <w:r w:rsidRPr="008234E8">
        <w:rPr>
          <w:rFonts w:eastAsia="Malgun Gothic"/>
          <w:kern w:val="22"/>
          <w:szCs w:val="22"/>
          <w:lang w:val="ru-RU"/>
        </w:rPr>
        <w:t xml:space="preserve"> трех целей Конвенции, а также на образ жизни и традиционные знания коренных народов и местных общин</w:t>
      </w:r>
      <w:r w:rsidRPr="00277353">
        <w:rPr>
          <w:rFonts w:eastAsia="Malgun Gothic"/>
          <w:kern w:val="22"/>
          <w:szCs w:val="22"/>
          <w:lang w:val="ru-RU"/>
        </w:rPr>
        <w:t>;</w:t>
      </w:r>
      <w:r>
        <w:rPr>
          <w:rFonts w:eastAsia="Malgun Gothic"/>
          <w:kern w:val="22"/>
          <w:szCs w:val="22"/>
          <w:lang w:val="ru-RU"/>
        </w:rPr>
        <w:t xml:space="preserve"> </w:t>
      </w:r>
    </w:p>
    <w:p w:rsidR="0063735B" w:rsidRPr="00320C49" w:rsidRDefault="0063735B" w:rsidP="0063735B">
      <w:pPr>
        <w:pStyle w:val="Para10"/>
        <w:numPr>
          <w:ilvl w:val="0"/>
          <w:numId w:val="15"/>
        </w:numPr>
        <w:ind w:left="0" w:firstLine="720"/>
        <w:rPr>
          <w:rFonts w:eastAsia="Malgun Gothic"/>
          <w:kern w:val="22"/>
          <w:szCs w:val="22"/>
          <w:lang w:val="ru-RU"/>
        </w:rPr>
      </w:pPr>
      <w:r>
        <w:rPr>
          <w:i/>
          <w:iCs/>
          <w:lang w:val="ru-RU"/>
        </w:rPr>
        <w:t>поручает</w:t>
      </w:r>
      <w:r>
        <w:rPr>
          <w:lang w:val="ru-RU"/>
        </w:rPr>
        <w:t xml:space="preserve"> Исполнительному секретарю при подготовке предложений для процесса разработки глобальной рамочной программы в области биоразнообразия на период после 2020 года обеспечить проведение аналитической работы для того, чтобы эта программа опиралась на наиболее достоверные фактические данные, основывалась на предшествующей работе с учетом выводов, содержащихся в приложении к настоящей рекомендации, работы по подготовке пятого издания </w:t>
      </w:r>
      <w:r>
        <w:rPr>
          <w:i/>
          <w:iCs/>
          <w:lang w:val="ru-RU"/>
        </w:rPr>
        <w:t>Глобальной перспективы в области биоразнообразия</w:t>
      </w:r>
      <w:r>
        <w:rPr>
          <w:lang w:val="ru-RU"/>
        </w:rPr>
        <w:t xml:space="preserve"> и соответствующей </w:t>
      </w:r>
      <w:r w:rsidR="001D7F4F">
        <w:rPr>
          <w:lang w:val="ru-RU"/>
        </w:rPr>
        <w:t>деятельности</w:t>
      </w:r>
      <w:r>
        <w:rPr>
          <w:lang w:val="ru-RU"/>
        </w:rPr>
        <w:t xml:space="preserve"> в рамках других многосторонних природоохранных соглашений</w:t>
      </w:r>
      <w:r w:rsidR="00E43595">
        <w:rPr>
          <w:lang w:val="ru-RU"/>
        </w:rPr>
        <w:t>, а также на уровне</w:t>
      </w:r>
      <w:r>
        <w:rPr>
          <w:lang w:val="ru-RU"/>
        </w:rPr>
        <w:t xml:space="preserve"> Межправительственной научно-политической платформы по биоразнообразию и экосистемным услугам, </w:t>
      </w:r>
      <w:r w:rsidR="001D7F4F">
        <w:rPr>
          <w:lang w:val="ru-RU"/>
        </w:rPr>
        <w:t>учитывая</w:t>
      </w:r>
      <w:r>
        <w:rPr>
          <w:lang w:val="ru-RU"/>
        </w:rPr>
        <w:t>:</w:t>
      </w:r>
    </w:p>
    <w:p w:rsidR="0063735B" w:rsidRPr="00320C49" w:rsidRDefault="0063735B" w:rsidP="0063735B">
      <w:pPr>
        <w:numPr>
          <w:ilvl w:val="1"/>
          <w:numId w:val="15"/>
        </w:numPr>
        <w:spacing w:before="120" w:after="120"/>
        <w:ind w:left="0" w:firstLine="720"/>
        <w:rPr>
          <w:rFonts w:eastAsia="Malgun Gothic"/>
          <w:kern w:val="22"/>
          <w:szCs w:val="22"/>
          <w:lang w:val="ru-RU"/>
        </w:rPr>
      </w:pPr>
      <w:r>
        <w:rPr>
          <w:lang w:val="ru-RU"/>
        </w:rPr>
        <w:t>взаимосвяз</w:t>
      </w:r>
      <w:r w:rsidR="001D7F4F">
        <w:rPr>
          <w:lang w:val="ru-RU"/>
        </w:rPr>
        <w:t>и</w:t>
      </w:r>
      <w:r>
        <w:rPr>
          <w:lang w:val="ru-RU"/>
        </w:rPr>
        <w:t xml:space="preserve"> между биоразнообразием и </w:t>
      </w:r>
      <w:r w:rsidR="001D7F4F">
        <w:rPr>
          <w:lang w:val="ru-RU"/>
        </w:rPr>
        <w:t>ц</w:t>
      </w:r>
      <w:r>
        <w:rPr>
          <w:lang w:val="ru-RU"/>
        </w:rPr>
        <w:t xml:space="preserve">елями </w:t>
      </w:r>
      <w:r w:rsidR="001D7F4F">
        <w:rPr>
          <w:lang w:val="ru-RU"/>
        </w:rPr>
        <w:t xml:space="preserve">в области </w:t>
      </w:r>
      <w:r>
        <w:rPr>
          <w:lang w:val="ru-RU"/>
        </w:rPr>
        <w:t>устойчивого развития и роль Повестки дня в области устойчивого развития на период до 2030 года</w:t>
      </w:r>
      <w:r w:rsidRPr="0013274A">
        <w:rPr>
          <w:rFonts w:eastAsia="Malgun Gothic"/>
          <w:kern w:val="22"/>
          <w:szCs w:val="22"/>
          <w:vertAlign w:val="superscript"/>
          <w:lang w:val="ru-RU"/>
        </w:rPr>
        <w:footnoteReference w:id="6"/>
      </w:r>
      <w:r>
        <w:rPr>
          <w:lang w:val="ru-RU"/>
        </w:rPr>
        <w:t xml:space="preserve"> в обеспечении благоприятных условий;</w:t>
      </w:r>
    </w:p>
    <w:p w:rsidR="0063735B" w:rsidRPr="00320C49" w:rsidRDefault="0063735B" w:rsidP="0063735B">
      <w:pPr>
        <w:numPr>
          <w:ilvl w:val="1"/>
          <w:numId w:val="15"/>
        </w:numPr>
        <w:spacing w:before="120" w:after="120"/>
        <w:ind w:left="0" w:firstLine="720"/>
        <w:rPr>
          <w:rFonts w:eastAsia="Malgun Gothic"/>
          <w:kern w:val="22"/>
          <w:szCs w:val="22"/>
          <w:lang w:val="ru-RU"/>
        </w:rPr>
      </w:pPr>
      <w:r>
        <w:rPr>
          <w:lang w:val="ru-RU"/>
        </w:rPr>
        <w:t>опыт, полученн</w:t>
      </w:r>
      <w:r w:rsidR="001D7F4F">
        <w:rPr>
          <w:lang w:val="ru-RU"/>
        </w:rPr>
        <w:t>ый</w:t>
      </w:r>
      <w:r>
        <w:rPr>
          <w:lang w:val="ru-RU"/>
        </w:rPr>
        <w:t xml:space="preserve"> в результате выполнения Конвенции, протоколов к ней и Стратегического плана в области сохранения и устойчивого использования биоразнообразия на 2011-2020 годы</w:t>
      </w:r>
      <w:r w:rsidRPr="0013274A">
        <w:rPr>
          <w:rFonts w:eastAsia="Malgun Gothic"/>
          <w:kern w:val="22"/>
          <w:szCs w:val="22"/>
          <w:vertAlign w:val="superscript"/>
          <w:lang w:val="ru-RU"/>
        </w:rPr>
        <w:footnoteReference w:id="7"/>
      </w:r>
      <w:r w:rsidR="00A77F7E">
        <w:rPr>
          <w:lang w:val="ru-RU"/>
        </w:rPr>
        <w:t xml:space="preserve">, </w:t>
      </w:r>
      <w:r w:rsidR="00A77F7E" w:rsidRPr="00A77F7E">
        <w:rPr>
          <w:lang w:val="ru-RU"/>
        </w:rPr>
        <w:t>включая достижения, трудности, возможности и потребности в укреплении потенциала</w:t>
      </w:r>
      <w:r>
        <w:rPr>
          <w:lang w:val="ru-RU"/>
        </w:rPr>
        <w:t>;</w:t>
      </w:r>
    </w:p>
    <w:p w:rsidR="0063735B" w:rsidRPr="00320C49" w:rsidRDefault="0063735B" w:rsidP="0063735B">
      <w:pPr>
        <w:numPr>
          <w:ilvl w:val="1"/>
          <w:numId w:val="15"/>
        </w:numPr>
        <w:spacing w:before="120" w:after="120"/>
        <w:ind w:left="0" w:firstLine="720"/>
        <w:rPr>
          <w:rFonts w:eastAsia="Malgun Gothic"/>
          <w:kern w:val="22"/>
          <w:szCs w:val="22"/>
          <w:lang w:val="ru-RU"/>
        </w:rPr>
      </w:pPr>
      <w:r>
        <w:rPr>
          <w:lang w:val="ru-RU"/>
        </w:rPr>
        <w:t>возможны</w:t>
      </w:r>
      <w:r w:rsidR="00F378C9">
        <w:rPr>
          <w:lang w:val="ru-RU"/>
        </w:rPr>
        <w:t>е</w:t>
      </w:r>
      <w:r>
        <w:rPr>
          <w:lang w:val="ru-RU"/>
        </w:rPr>
        <w:t xml:space="preserve"> причин</w:t>
      </w:r>
      <w:r w:rsidR="00F378C9">
        <w:rPr>
          <w:lang w:val="ru-RU"/>
        </w:rPr>
        <w:t>ы</w:t>
      </w:r>
      <w:r>
        <w:rPr>
          <w:lang w:val="ru-RU"/>
        </w:rPr>
        <w:t xml:space="preserve"> различия уровней прогресса в выполнении целевых задач по сохранению и устойчивому использованию биоразнообразия, принятых в Айти;</w:t>
      </w:r>
    </w:p>
    <w:p w:rsidR="0063735B" w:rsidRPr="00320C49" w:rsidRDefault="0063735B" w:rsidP="0063735B">
      <w:pPr>
        <w:numPr>
          <w:ilvl w:val="1"/>
          <w:numId w:val="15"/>
        </w:numPr>
        <w:spacing w:before="120" w:after="120"/>
        <w:ind w:left="0" w:firstLine="720"/>
        <w:rPr>
          <w:rFonts w:eastAsia="Malgun Gothic"/>
          <w:kern w:val="22"/>
          <w:szCs w:val="22"/>
          <w:lang w:val="ru-RU"/>
        </w:rPr>
      </w:pPr>
      <w:r>
        <w:rPr>
          <w:lang w:val="ru-RU"/>
        </w:rPr>
        <w:t>возможны</w:t>
      </w:r>
      <w:r w:rsidR="00F378C9">
        <w:rPr>
          <w:lang w:val="ru-RU"/>
        </w:rPr>
        <w:t>е</w:t>
      </w:r>
      <w:r>
        <w:rPr>
          <w:lang w:val="ru-RU"/>
        </w:rPr>
        <w:t xml:space="preserve"> пут</w:t>
      </w:r>
      <w:r w:rsidR="00F378C9">
        <w:rPr>
          <w:lang w:val="ru-RU"/>
        </w:rPr>
        <w:t>и</w:t>
      </w:r>
      <w:r>
        <w:rPr>
          <w:lang w:val="ru-RU"/>
        </w:rPr>
        <w:t xml:space="preserve">, посредством которых деятельность в рамках Конвенции может обеспечить преобразования, требуемые для осуществления Концепции </w:t>
      </w:r>
      <w:r w:rsidR="002446D7" w:rsidRPr="002446D7">
        <w:rPr>
          <w:lang w:val="ru-RU"/>
        </w:rPr>
        <w:t>в области биоразнообразия на период до 2050 года</w:t>
      </w:r>
      <w:r>
        <w:rPr>
          <w:lang w:val="ru-RU"/>
        </w:rPr>
        <w:t>, и содействовать таким образом выполнению Повестки дня в области устойчивого развития на период до 2030 года;</w:t>
      </w:r>
    </w:p>
    <w:p w:rsidR="0063735B" w:rsidRPr="00320C49" w:rsidRDefault="0063735B" w:rsidP="0063735B">
      <w:pPr>
        <w:numPr>
          <w:ilvl w:val="1"/>
          <w:numId w:val="15"/>
        </w:numPr>
        <w:spacing w:before="120" w:after="120"/>
        <w:ind w:left="0" w:firstLine="720"/>
        <w:rPr>
          <w:rFonts w:eastAsia="Malgun Gothic"/>
          <w:kern w:val="22"/>
          <w:szCs w:val="22"/>
          <w:lang w:val="ru-RU"/>
        </w:rPr>
      </w:pPr>
      <w:r>
        <w:rPr>
          <w:lang w:val="ru-RU"/>
        </w:rPr>
        <w:t>способ</w:t>
      </w:r>
      <w:r w:rsidR="00F378C9">
        <w:rPr>
          <w:lang w:val="ru-RU"/>
        </w:rPr>
        <w:t>ы</w:t>
      </w:r>
      <w:r>
        <w:rPr>
          <w:lang w:val="ru-RU"/>
        </w:rPr>
        <w:t xml:space="preserve">, посредством которых другие конвенции, связанные с биоразнообразием, другие Рио-де-Жанейрские конвенции и другие соответствующие международные конвенции и соглашения могут вносить вклады в </w:t>
      </w:r>
      <w:r w:rsidRPr="002641AD">
        <w:rPr>
          <w:lang w:val="ru-RU"/>
        </w:rPr>
        <w:t>глобальн</w:t>
      </w:r>
      <w:r>
        <w:rPr>
          <w:lang w:val="ru-RU"/>
        </w:rPr>
        <w:t>ую</w:t>
      </w:r>
      <w:r w:rsidRPr="002641AD">
        <w:rPr>
          <w:lang w:val="ru-RU"/>
        </w:rPr>
        <w:t xml:space="preserve"> структур</w:t>
      </w:r>
      <w:r>
        <w:rPr>
          <w:lang w:val="ru-RU"/>
        </w:rPr>
        <w:t>у</w:t>
      </w:r>
      <w:r w:rsidRPr="002641AD">
        <w:rPr>
          <w:lang w:val="ru-RU"/>
        </w:rPr>
        <w:t xml:space="preserve"> действий по сохранению биоразнообразия на период после 2020 года</w:t>
      </w:r>
      <w:r>
        <w:rPr>
          <w:lang w:val="ru-RU"/>
        </w:rPr>
        <w:t xml:space="preserve"> и в</w:t>
      </w:r>
      <w:r w:rsidRPr="002641AD">
        <w:rPr>
          <w:lang w:val="ru-RU"/>
        </w:rPr>
        <w:t xml:space="preserve"> Концепци</w:t>
      </w:r>
      <w:r>
        <w:rPr>
          <w:lang w:val="ru-RU"/>
        </w:rPr>
        <w:t>ю</w:t>
      </w:r>
      <w:r w:rsidRPr="002641AD">
        <w:rPr>
          <w:lang w:val="ru-RU"/>
        </w:rPr>
        <w:t xml:space="preserve"> в области биоразнообразия на период до 2050 года</w:t>
      </w:r>
      <w:r>
        <w:rPr>
          <w:lang w:val="ru-RU"/>
        </w:rPr>
        <w:t xml:space="preserve">; </w:t>
      </w:r>
    </w:p>
    <w:p w:rsidR="0063735B" w:rsidRPr="00320C49" w:rsidRDefault="0063735B" w:rsidP="0063735B">
      <w:pPr>
        <w:pStyle w:val="Para10"/>
        <w:rPr>
          <w:kern w:val="22"/>
          <w:szCs w:val="22"/>
          <w:lang w:val="ru-RU"/>
        </w:rPr>
      </w:pPr>
      <w:r>
        <w:rPr>
          <w:iCs/>
          <w:lang w:val="ru-RU"/>
        </w:rPr>
        <w:tab/>
      </w:r>
      <w:r w:rsidRPr="008234E8">
        <w:rPr>
          <w:iCs/>
          <w:lang w:val="ru-RU"/>
        </w:rPr>
        <w:t>10.</w:t>
      </w:r>
      <w:r>
        <w:rPr>
          <w:i/>
          <w:iCs/>
          <w:lang w:val="ru-RU"/>
        </w:rPr>
        <w:tab/>
        <w:t xml:space="preserve">рекомендует, </w:t>
      </w:r>
      <w:r w:rsidRPr="003C2DD5">
        <w:rPr>
          <w:iCs/>
          <w:lang w:val="ru-RU"/>
        </w:rPr>
        <w:t>чтобы</w:t>
      </w:r>
      <w:r w:rsidRPr="003C2DD5">
        <w:rPr>
          <w:lang w:val="ru-RU"/>
        </w:rPr>
        <w:t xml:space="preserve"> </w:t>
      </w:r>
      <w:r w:rsidRPr="003C2DD5">
        <w:rPr>
          <w:iCs/>
          <w:lang w:val="ru-RU"/>
        </w:rPr>
        <w:t>Конференция</w:t>
      </w:r>
      <w:r w:rsidRPr="003C2DD5">
        <w:rPr>
          <w:lang w:val="ru-RU"/>
        </w:rPr>
        <w:t xml:space="preserve"> </w:t>
      </w:r>
      <w:r>
        <w:rPr>
          <w:lang w:val="ru-RU"/>
        </w:rPr>
        <w:t>Сторон на своем 14-м совещании приняла решение в соответствии с приводимым ниже текстом:</w:t>
      </w:r>
    </w:p>
    <w:p w:rsidR="0063735B" w:rsidRPr="00320C49" w:rsidRDefault="0063735B" w:rsidP="0063735B">
      <w:pPr>
        <w:keepNext/>
        <w:spacing w:before="120" w:after="120"/>
        <w:ind w:left="720" w:firstLine="720"/>
        <w:rPr>
          <w:i/>
          <w:kern w:val="22"/>
          <w:szCs w:val="22"/>
          <w:lang w:val="ru-RU"/>
        </w:rPr>
      </w:pPr>
      <w:r>
        <w:rPr>
          <w:i/>
          <w:iCs/>
          <w:lang w:val="ru-RU"/>
        </w:rPr>
        <w:t>Конференция Сторон</w:t>
      </w:r>
    </w:p>
    <w:p w:rsidR="0063735B" w:rsidRDefault="0063735B" w:rsidP="00A77F7E">
      <w:pPr>
        <w:pStyle w:val="Para10"/>
        <w:ind w:left="720" w:firstLine="720"/>
        <w:rPr>
          <w:lang w:val="ru-RU"/>
        </w:rPr>
      </w:pPr>
      <w:r w:rsidRPr="00045D67">
        <w:rPr>
          <w:kern w:val="22"/>
          <w:szCs w:val="22"/>
          <w:lang w:val="ru-RU"/>
        </w:rPr>
        <w:t>1.</w:t>
      </w:r>
      <w:r w:rsidRPr="00045D67">
        <w:rPr>
          <w:kern w:val="22"/>
          <w:szCs w:val="22"/>
          <w:lang w:val="ru-RU"/>
        </w:rPr>
        <w:tab/>
      </w:r>
      <w:r>
        <w:rPr>
          <w:i/>
          <w:iCs/>
          <w:lang w:val="ru-RU"/>
        </w:rPr>
        <w:t>приветствует</w:t>
      </w:r>
      <w:r w:rsidRPr="00045D67">
        <w:rPr>
          <w:lang w:val="ru-RU"/>
        </w:rPr>
        <w:t xml:space="preserve"> </w:t>
      </w:r>
      <w:r>
        <w:rPr>
          <w:lang w:val="ru-RU"/>
        </w:rPr>
        <w:t>выводы</w:t>
      </w:r>
      <w:r w:rsidRPr="00045D67">
        <w:rPr>
          <w:lang w:val="ru-RU"/>
        </w:rPr>
        <w:t xml:space="preserve"> </w:t>
      </w:r>
      <w:r>
        <w:rPr>
          <w:lang w:val="ru-RU"/>
        </w:rPr>
        <w:t>Вспомогательного</w:t>
      </w:r>
      <w:r w:rsidRPr="00045D67">
        <w:rPr>
          <w:lang w:val="ru-RU"/>
        </w:rPr>
        <w:t xml:space="preserve"> </w:t>
      </w:r>
      <w:r>
        <w:rPr>
          <w:lang w:val="ru-RU"/>
        </w:rPr>
        <w:t>органа</w:t>
      </w:r>
      <w:r w:rsidRPr="00045D67">
        <w:rPr>
          <w:lang w:val="ru-RU"/>
        </w:rPr>
        <w:t xml:space="preserve"> </w:t>
      </w:r>
      <w:r>
        <w:rPr>
          <w:lang w:val="ru-RU"/>
        </w:rPr>
        <w:t>по</w:t>
      </w:r>
      <w:r w:rsidRPr="00045D67">
        <w:rPr>
          <w:lang w:val="ru-RU"/>
        </w:rPr>
        <w:t xml:space="preserve"> </w:t>
      </w:r>
      <w:r>
        <w:rPr>
          <w:lang w:val="ru-RU"/>
        </w:rPr>
        <w:t>научным</w:t>
      </w:r>
      <w:r w:rsidRPr="00045D67">
        <w:rPr>
          <w:lang w:val="ru-RU"/>
        </w:rPr>
        <w:t xml:space="preserve">, </w:t>
      </w:r>
      <w:r>
        <w:rPr>
          <w:lang w:val="ru-RU"/>
        </w:rPr>
        <w:t>техническим</w:t>
      </w:r>
      <w:r w:rsidRPr="00045D67">
        <w:rPr>
          <w:lang w:val="ru-RU"/>
        </w:rPr>
        <w:t xml:space="preserve"> </w:t>
      </w:r>
      <w:r>
        <w:rPr>
          <w:lang w:val="ru-RU"/>
        </w:rPr>
        <w:t>и</w:t>
      </w:r>
      <w:r w:rsidRPr="00045D67">
        <w:rPr>
          <w:lang w:val="ru-RU"/>
        </w:rPr>
        <w:t xml:space="preserve"> </w:t>
      </w:r>
      <w:r>
        <w:rPr>
          <w:lang w:val="ru-RU"/>
        </w:rPr>
        <w:t>технологическим</w:t>
      </w:r>
      <w:r w:rsidRPr="00045D67">
        <w:rPr>
          <w:lang w:val="ru-RU"/>
        </w:rPr>
        <w:t xml:space="preserve"> </w:t>
      </w:r>
      <w:r>
        <w:rPr>
          <w:lang w:val="ru-RU"/>
        </w:rPr>
        <w:t>консультациям</w:t>
      </w:r>
      <w:r w:rsidRPr="00045D67">
        <w:rPr>
          <w:lang w:val="ru-RU"/>
        </w:rPr>
        <w:t xml:space="preserve">, </w:t>
      </w:r>
      <w:r>
        <w:rPr>
          <w:lang w:val="ru-RU"/>
        </w:rPr>
        <w:t>касающиеся</w:t>
      </w:r>
      <w:r w:rsidRPr="00045D67">
        <w:rPr>
          <w:lang w:val="ru-RU"/>
        </w:rPr>
        <w:t xml:space="preserve"> </w:t>
      </w:r>
      <w:r>
        <w:rPr>
          <w:lang w:val="ru-RU"/>
        </w:rPr>
        <w:t>сценариев</w:t>
      </w:r>
      <w:r w:rsidRPr="00045D67">
        <w:rPr>
          <w:lang w:val="ru-RU"/>
        </w:rPr>
        <w:t xml:space="preserve"> </w:t>
      </w:r>
      <w:r>
        <w:rPr>
          <w:lang w:val="ru-RU"/>
        </w:rPr>
        <w:t>Концепции</w:t>
      </w:r>
      <w:r w:rsidRPr="00045D67">
        <w:rPr>
          <w:lang w:val="ru-RU"/>
        </w:rPr>
        <w:t xml:space="preserve"> </w:t>
      </w:r>
      <w:r w:rsidR="002446D7" w:rsidRPr="002446D7">
        <w:rPr>
          <w:lang w:val="ru-RU"/>
        </w:rPr>
        <w:t>в области биоразнообразия на период до 2050 года</w:t>
      </w:r>
      <w:r w:rsidRPr="00045D67">
        <w:rPr>
          <w:lang w:val="ru-RU"/>
        </w:rPr>
        <w:t xml:space="preserve">, </w:t>
      </w:r>
      <w:r>
        <w:rPr>
          <w:lang w:val="ru-RU"/>
        </w:rPr>
        <w:t>содержащиеся</w:t>
      </w:r>
      <w:r w:rsidRPr="00045D67">
        <w:rPr>
          <w:lang w:val="ru-RU"/>
        </w:rPr>
        <w:t xml:space="preserve"> </w:t>
      </w:r>
      <w:r>
        <w:rPr>
          <w:lang w:val="ru-RU"/>
        </w:rPr>
        <w:t>в</w:t>
      </w:r>
      <w:r w:rsidRPr="00045D67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045D67">
        <w:rPr>
          <w:lang w:val="ru-RU"/>
        </w:rPr>
        <w:t xml:space="preserve"> </w:t>
      </w:r>
      <w:r>
        <w:rPr>
          <w:lang w:val="ru-RU"/>
        </w:rPr>
        <w:t>к</w:t>
      </w:r>
      <w:r w:rsidRPr="00045D67">
        <w:rPr>
          <w:lang w:val="ru-RU"/>
        </w:rPr>
        <w:t xml:space="preserve"> </w:t>
      </w:r>
      <w:r>
        <w:rPr>
          <w:lang w:val="ru-RU"/>
        </w:rPr>
        <w:t>настоящему</w:t>
      </w:r>
      <w:r w:rsidRPr="00045D67">
        <w:rPr>
          <w:lang w:val="ru-RU"/>
        </w:rPr>
        <w:t xml:space="preserve"> </w:t>
      </w:r>
      <w:r>
        <w:rPr>
          <w:lang w:val="ru-RU"/>
        </w:rPr>
        <w:t>решению</w:t>
      </w:r>
      <w:r w:rsidRPr="00045D67">
        <w:rPr>
          <w:lang w:val="ru-RU"/>
        </w:rPr>
        <w:t xml:space="preserve">, </w:t>
      </w:r>
      <w:r>
        <w:rPr>
          <w:lang w:val="ru-RU"/>
        </w:rPr>
        <w:t>а</w:t>
      </w:r>
      <w:r w:rsidRPr="00045D67">
        <w:rPr>
          <w:lang w:val="ru-RU"/>
        </w:rPr>
        <w:t xml:space="preserve"> </w:t>
      </w:r>
      <w:r>
        <w:rPr>
          <w:lang w:val="ru-RU"/>
        </w:rPr>
        <w:t>также</w:t>
      </w:r>
      <w:r w:rsidRPr="00045D67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045D67">
        <w:rPr>
          <w:lang w:val="ru-RU"/>
        </w:rPr>
        <w:t xml:space="preserve">, </w:t>
      </w:r>
      <w:r>
        <w:rPr>
          <w:lang w:val="ru-RU"/>
        </w:rPr>
        <w:t>содержащуюся</w:t>
      </w:r>
      <w:r w:rsidRPr="00045D67">
        <w:rPr>
          <w:lang w:val="ru-RU"/>
        </w:rPr>
        <w:t xml:space="preserve"> </w:t>
      </w:r>
      <w:r>
        <w:rPr>
          <w:lang w:val="ru-RU"/>
        </w:rPr>
        <w:t>в</w:t>
      </w:r>
      <w:r w:rsidRPr="00045D67">
        <w:rPr>
          <w:lang w:val="ru-RU"/>
        </w:rPr>
        <w:t xml:space="preserve"> </w:t>
      </w:r>
      <w:r>
        <w:rPr>
          <w:lang w:val="ru-RU"/>
        </w:rPr>
        <w:t>записках</w:t>
      </w:r>
      <w:r w:rsidRPr="00045D67">
        <w:rPr>
          <w:lang w:val="ru-RU"/>
        </w:rPr>
        <w:t xml:space="preserve"> </w:t>
      </w:r>
      <w:r>
        <w:rPr>
          <w:lang w:val="ru-RU"/>
        </w:rPr>
        <w:t>Исполнительного</w:t>
      </w:r>
      <w:r w:rsidRPr="00045D67">
        <w:rPr>
          <w:lang w:val="ru-RU"/>
        </w:rPr>
        <w:t xml:space="preserve"> </w:t>
      </w:r>
      <w:r>
        <w:rPr>
          <w:lang w:val="ru-RU"/>
        </w:rPr>
        <w:t>секретаря</w:t>
      </w:r>
      <w:r w:rsidRPr="00045D67">
        <w:rPr>
          <w:lang w:val="ru-RU"/>
        </w:rPr>
        <w:t xml:space="preserve"> </w:t>
      </w:r>
      <w:r>
        <w:rPr>
          <w:lang w:val="ru-RU"/>
        </w:rPr>
        <w:t>и</w:t>
      </w:r>
      <w:r w:rsidRPr="00045D67">
        <w:rPr>
          <w:lang w:val="ru-RU"/>
        </w:rPr>
        <w:t xml:space="preserve"> </w:t>
      </w:r>
      <w:r>
        <w:rPr>
          <w:lang w:val="ru-RU"/>
        </w:rPr>
        <w:t>вспомогательных</w:t>
      </w:r>
      <w:r w:rsidRPr="00045D67">
        <w:rPr>
          <w:lang w:val="ru-RU"/>
        </w:rPr>
        <w:t xml:space="preserve"> </w:t>
      </w:r>
      <w:r>
        <w:rPr>
          <w:lang w:val="ru-RU"/>
        </w:rPr>
        <w:t>информационных</w:t>
      </w:r>
      <w:r w:rsidRPr="00045D67">
        <w:rPr>
          <w:lang w:val="ru-RU"/>
        </w:rPr>
        <w:t xml:space="preserve"> </w:t>
      </w:r>
      <w:r>
        <w:rPr>
          <w:lang w:val="ru-RU"/>
        </w:rPr>
        <w:t>документах</w:t>
      </w:r>
      <w:r w:rsidRPr="00045D67">
        <w:rPr>
          <w:lang w:val="ru-RU"/>
        </w:rPr>
        <w:t xml:space="preserve">, </w:t>
      </w:r>
      <w:r>
        <w:rPr>
          <w:lang w:val="ru-RU"/>
        </w:rPr>
        <w:t>отмечая</w:t>
      </w:r>
      <w:r w:rsidRPr="00045D67">
        <w:rPr>
          <w:lang w:val="ru-RU"/>
        </w:rPr>
        <w:t xml:space="preserve"> </w:t>
      </w:r>
      <w:r>
        <w:rPr>
          <w:lang w:val="ru-RU"/>
        </w:rPr>
        <w:t>их</w:t>
      </w:r>
      <w:r w:rsidRPr="00045D67">
        <w:rPr>
          <w:lang w:val="ru-RU"/>
        </w:rPr>
        <w:t xml:space="preserve"> </w:t>
      </w:r>
      <w:r>
        <w:rPr>
          <w:lang w:val="ru-RU"/>
        </w:rPr>
        <w:t>значимость</w:t>
      </w:r>
      <w:r w:rsidRPr="00045D67">
        <w:rPr>
          <w:lang w:val="ru-RU"/>
        </w:rPr>
        <w:t xml:space="preserve"> </w:t>
      </w:r>
      <w:r>
        <w:rPr>
          <w:lang w:val="ru-RU"/>
        </w:rPr>
        <w:t>для</w:t>
      </w:r>
      <w:r w:rsidRPr="00045D67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045D67">
        <w:rPr>
          <w:lang w:val="ru-RU"/>
        </w:rPr>
        <w:t xml:space="preserve"> </w:t>
      </w:r>
      <w:r>
        <w:rPr>
          <w:lang w:val="ru-RU"/>
        </w:rPr>
        <w:lastRenderedPageBreak/>
        <w:t>вопросов</w:t>
      </w:r>
      <w:r w:rsidRPr="00045D67">
        <w:rPr>
          <w:lang w:val="ru-RU"/>
        </w:rPr>
        <w:t xml:space="preserve"> </w:t>
      </w:r>
      <w:r>
        <w:rPr>
          <w:lang w:val="ru-RU"/>
        </w:rPr>
        <w:t>о</w:t>
      </w:r>
      <w:r w:rsidRPr="00045D67">
        <w:rPr>
          <w:lang w:val="ru-RU"/>
        </w:rPr>
        <w:t xml:space="preserve"> </w:t>
      </w:r>
      <w:r>
        <w:rPr>
          <w:lang w:val="ru-RU"/>
        </w:rPr>
        <w:t>долгосрочных</w:t>
      </w:r>
      <w:r w:rsidRPr="00045D67">
        <w:rPr>
          <w:lang w:val="ru-RU"/>
        </w:rPr>
        <w:t xml:space="preserve"> </w:t>
      </w:r>
      <w:r>
        <w:rPr>
          <w:lang w:val="ru-RU"/>
        </w:rPr>
        <w:t>стратегических</w:t>
      </w:r>
      <w:r w:rsidRPr="00045D67">
        <w:rPr>
          <w:lang w:val="ru-RU"/>
        </w:rPr>
        <w:t xml:space="preserve"> </w:t>
      </w:r>
      <w:r>
        <w:rPr>
          <w:lang w:val="ru-RU"/>
        </w:rPr>
        <w:t>направлениях</w:t>
      </w:r>
      <w:r w:rsidRPr="00045D67">
        <w:rPr>
          <w:lang w:val="ru-RU"/>
        </w:rPr>
        <w:t xml:space="preserve"> </w:t>
      </w:r>
      <w:r>
        <w:rPr>
          <w:lang w:val="ru-RU"/>
        </w:rPr>
        <w:t>работы</w:t>
      </w:r>
      <w:r w:rsidRPr="00045D67">
        <w:rPr>
          <w:lang w:val="ru-RU"/>
        </w:rPr>
        <w:t xml:space="preserve"> </w:t>
      </w:r>
      <w:r>
        <w:rPr>
          <w:lang w:val="ru-RU"/>
        </w:rPr>
        <w:t>по</w:t>
      </w:r>
      <w:r w:rsidRPr="00045D67">
        <w:rPr>
          <w:lang w:val="ru-RU"/>
        </w:rPr>
        <w:t xml:space="preserve"> </w:t>
      </w:r>
      <w:r>
        <w:rPr>
          <w:lang w:val="ru-RU"/>
        </w:rPr>
        <w:t>осуществлению</w:t>
      </w:r>
      <w:r w:rsidRPr="00045D67">
        <w:rPr>
          <w:lang w:val="ru-RU"/>
        </w:rPr>
        <w:t xml:space="preserve"> </w:t>
      </w:r>
      <w:r>
        <w:rPr>
          <w:lang w:val="ru-RU"/>
        </w:rPr>
        <w:t xml:space="preserve">Концепции </w:t>
      </w:r>
      <w:r w:rsidR="002446D7" w:rsidRPr="002446D7">
        <w:rPr>
          <w:lang w:val="ru-RU"/>
        </w:rPr>
        <w:t>в области биоразнообразия на период до 2050 года</w:t>
      </w:r>
      <w:r>
        <w:rPr>
          <w:lang w:val="ru-RU"/>
        </w:rPr>
        <w:t>, подходах к жизни в гармонии с природой и процессе разработки глобальной рамочной программы в области биоразнообразия на период после 2020 года</w:t>
      </w:r>
      <w:r w:rsidRPr="0013274A">
        <w:rPr>
          <w:rStyle w:val="FootnoteReference"/>
          <w:kern w:val="22"/>
          <w:szCs w:val="22"/>
          <w:vertAlign w:val="superscript"/>
          <w:lang w:val="ru-RU"/>
        </w:rPr>
        <w:footnoteReference w:id="8"/>
      </w:r>
      <w:r>
        <w:rPr>
          <w:lang w:val="ru-RU"/>
        </w:rPr>
        <w:t>;</w:t>
      </w:r>
    </w:p>
    <w:p w:rsidR="0063735B" w:rsidRPr="00E06294" w:rsidRDefault="0063735B" w:rsidP="00A77F7E">
      <w:pPr>
        <w:pStyle w:val="Para10"/>
        <w:ind w:left="720" w:firstLine="720"/>
        <w:rPr>
          <w:rFonts w:eastAsia="Malgun Gothic"/>
          <w:i/>
          <w:kern w:val="22"/>
          <w:szCs w:val="22"/>
          <w:lang w:val="ru-RU"/>
        </w:rPr>
      </w:pPr>
      <w:r w:rsidRPr="00E06294">
        <w:rPr>
          <w:lang w:val="ru-RU"/>
        </w:rPr>
        <w:t>2.</w:t>
      </w:r>
      <w:r w:rsidRPr="00E06294">
        <w:rPr>
          <w:lang w:val="ru-RU"/>
        </w:rPr>
        <w:tab/>
      </w:r>
      <w:r>
        <w:rPr>
          <w:i/>
          <w:iCs/>
          <w:lang w:val="ru-RU"/>
        </w:rPr>
        <w:t>предлагает</w:t>
      </w:r>
      <w:r>
        <w:rPr>
          <w:lang w:val="ru-RU"/>
        </w:rPr>
        <w:t xml:space="preserve"> научным и другим соответствующим сообществам, работающим над сценариями и соответствующими оценками, учитывать следующие вопросы, имеющие отношение к разработке </w:t>
      </w:r>
      <w:r w:rsidRPr="00E06294">
        <w:rPr>
          <w:lang w:val="ru-RU"/>
        </w:rPr>
        <w:t>глобальной структуры действий по сохранению биоразнообразия на период после 2020 года</w:t>
      </w:r>
      <w:r w:rsidRPr="00E06294">
        <w:rPr>
          <w:rFonts w:eastAsia="Malgun Gothic"/>
          <w:kern w:val="22"/>
          <w:szCs w:val="22"/>
          <w:lang w:val="ru-RU"/>
        </w:rPr>
        <w:t>:</w:t>
      </w:r>
    </w:p>
    <w:p w:rsidR="00F378C9" w:rsidRPr="00F378C9" w:rsidRDefault="00F378C9" w:rsidP="00F378C9">
      <w:pPr>
        <w:numPr>
          <w:ilvl w:val="0"/>
          <w:numId w:val="18"/>
        </w:numPr>
        <w:tabs>
          <w:tab w:val="left" w:pos="2200"/>
        </w:tabs>
        <w:spacing w:after="120"/>
        <w:ind w:left="770" w:firstLine="660"/>
        <w:rPr>
          <w:lang w:val="ru-RU"/>
        </w:rPr>
      </w:pPr>
      <w:r w:rsidRPr="00F378C9">
        <w:rPr>
          <w:lang w:val="ru-RU"/>
        </w:rPr>
        <w:t>широкий спектр основных движущих факторов и системных и структурных проблем, связанных с утратой биоразнообразия;</w:t>
      </w:r>
    </w:p>
    <w:p w:rsidR="00F378C9" w:rsidRPr="00F378C9" w:rsidRDefault="00F378C9" w:rsidP="00F378C9">
      <w:pPr>
        <w:numPr>
          <w:ilvl w:val="0"/>
          <w:numId w:val="18"/>
        </w:numPr>
        <w:tabs>
          <w:tab w:val="left" w:pos="2200"/>
        </w:tabs>
        <w:spacing w:after="120"/>
        <w:ind w:left="770" w:firstLine="660"/>
        <w:rPr>
          <w:lang w:val="ru-RU"/>
        </w:rPr>
      </w:pPr>
      <w:r w:rsidRPr="00F378C9">
        <w:rPr>
          <w:lang w:val="ru-RU"/>
        </w:rPr>
        <w:t>сочетание стратегических подходов на различных уровнях и в рамках различных сценариев;</w:t>
      </w:r>
    </w:p>
    <w:p w:rsidR="00F378C9" w:rsidRPr="00F378C9" w:rsidRDefault="00F378C9" w:rsidP="00F378C9">
      <w:pPr>
        <w:numPr>
          <w:ilvl w:val="0"/>
          <w:numId w:val="18"/>
        </w:numPr>
        <w:tabs>
          <w:tab w:val="left" w:pos="2200"/>
        </w:tabs>
        <w:spacing w:after="120"/>
        <w:ind w:left="770" w:firstLine="660"/>
        <w:rPr>
          <w:lang w:val="ru-RU"/>
        </w:rPr>
      </w:pPr>
      <w:r w:rsidRPr="00F378C9">
        <w:rPr>
          <w:lang w:val="ru-RU"/>
        </w:rPr>
        <w:t xml:space="preserve">выявление потенциального взаимодействия, компромиссов и ограничений, связанных с биоразнообразием, которые необходимо учитывать в целях выявления эффективных мер и политики для создания условий, обеспечивающих достижение целей в области устойчивого развития; </w:t>
      </w:r>
    </w:p>
    <w:p w:rsidR="00F378C9" w:rsidRPr="00F378C9" w:rsidRDefault="00F378C9" w:rsidP="00F378C9">
      <w:pPr>
        <w:numPr>
          <w:ilvl w:val="0"/>
          <w:numId w:val="18"/>
        </w:numPr>
        <w:tabs>
          <w:tab w:val="left" w:pos="2200"/>
        </w:tabs>
        <w:spacing w:after="120"/>
        <w:ind w:left="770" w:firstLine="660"/>
        <w:rPr>
          <w:lang w:val="ru-RU"/>
        </w:rPr>
      </w:pPr>
      <w:r w:rsidRPr="00F378C9">
        <w:rPr>
          <w:lang w:val="ru-RU"/>
        </w:rPr>
        <w:t>вклад коллективных действий коренных народов и местных общин в дело сохранения биологического разнообразия и устойчивого использования его компонентов;</w:t>
      </w:r>
    </w:p>
    <w:p w:rsidR="00F378C9" w:rsidRPr="00F378C9" w:rsidRDefault="00F378C9" w:rsidP="00F378C9">
      <w:pPr>
        <w:numPr>
          <w:ilvl w:val="0"/>
          <w:numId w:val="18"/>
        </w:numPr>
        <w:tabs>
          <w:tab w:val="left" w:pos="2200"/>
        </w:tabs>
        <w:spacing w:after="120"/>
        <w:ind w:left="770" w:firstLine="660"/>
        <w:rPr>
          <w:lang w:val="ru-RU"/>
        </w:rPr>
      </w:pPr>
      <w:r w:rsidRPr="00F378C9">
        <w:rPr>
          <w:lang w:val="ru-RU"/>
        </w:rPr>
        <w:t xml:space="preserve">последствия альтернативных сценариев для устойчивого использования биоразнообразия </w:t>
      </w:r>
      <w:r w:rsidRPr="00F378C9">
        <w:t>на основе обычая</w:t>
      </w:r>
      <w:r w:rsidRPr="00F378C9">
        <w:rPr>
          <w:lang w:val="ru-RU"/>
        </w:rPr>
        <w:t xml:space="preserve"> коренными народами и местными общинами;</w:t>
      </w:r>
    </w:p>
    <w:p w:rsidR="00F378C9" w:rsidRPr="00F378C9" w:rsidRDefault="00F378C9" w:rsidP="00F378C9">
      <w:pPr>
        <w:numPr>
          <w:ilvl w:val="0"/>
          <w:numId w:val="18"/>
        </w:numPr>
        <w:tabs>
          <w:tab w:val="left" w:pos="2200"/>
        </w:tabs>
        <w:spacing w:after="120"/>
        <w:ind w:left="770" w:firstLine="660"/>
        <w:rPr>
          <w:lang w:val="ru-RU"/>
        </w:rPr>
      </w:pPr>
      <w:r w:rsidRPr="00F378C9">
        <w:rPr>
          <w:lang w:val="ru-RU"/>
        </w:rPr>
        <w:t>анализы сценариев финансирования глобальной рамочной программы в области биоразнообразия на период после 2020 года и Концепции в области биоразнообразия на период до 2050 года;</w:t>
      </w:r>
    </w:p>
    <w:p w:rsidR="00F378C9" w:rsidRPr="00F378C9" w:rsidRDefault="00F378C9" w:rsidP="00F378C9">
      <w:pPr>
        <w:numPr>
          <w:ilvl w:val="0"/>
          <w:numId w:val="18"/>
        </w:numPr>
        <w:tabs>
          <w:tab w:val="left" w:pos="2200"/>
        </w:tabs>
        <w:spacing w:after="120"/>
        <w:ind w:left="770" w:firstLine="660"/>
        <w:rPr>
          <w:lang w:val="ru-RU"/>
        </w:rPr>
      </w:pPr>
      <w:r w:rsidRPr="00F378C9">
        <w:rPr>
          <w:lang w:val="ru-RU"/>
        </w:rPr>
        <w:t xml:space="preserve">потенциальное положительное и отрицательное воздействие таких производственных секторов, как сельское, лесное и рыбное хозяйства; </w:t>
      </w:r>
    </w:p>
    <w:p w:rsidR="00A77F7E" w:rsidRPr="002C214E" w:rsidRDefault="00F378C9" w:rsidP="00F378C9">
      <w:pPr>
        <w:numPr>
          <w:ilvl w:val="0"/>
          <w:numId w:val="18"/>
        </w:numPr>
        <w:tabs>
          <w:tab w:val="left" w:pos="2200"/>
        </w:tabs>
        <w:spacing w:after="120"/>
        <w:ind w:left="770" w:firstLine="660"/>
        <w:rPr>
          <w:lang w:val="ru-RU"/>
        </w:rPr>
      </w:pPr>
      <w:r w:rsidRPr="00F378C9">
        <w:rPr>
          <w:lang w:val="ru-RU"/>
        </w:rPr>
        <w:t>технологические разработки, которые могут оказывать положительное или отрицательное воздействие на выполнение трех целей Конвенции, а также на образ жизни и традиционные знания коренных народов и местных общин</w:t>
      </w:r>
      <w:r w:rsidR="00A77F7E" w:rsidRPr="00A77F7E">
        <w:rPr>
          <w:lang w:val="ru-RU"/>
        </w:rPr>
        <w:t>;</w:t>
      </w:r>
    </w:p>
    <w:p w:rsidR="0063735B" w:rsidRDefault="0063735B" w:rsidP="0063735B">
      <w:pPr>
        <w:pStyle w:val="Para10"/>
        <w:ind w:left="720" w:firstLine="720"/>
        <w:rPr>
          <w:rFonts w:eastAsia="Malgun Gothic"/>
          <w:kern w:val="22"/>
          <w:szCs w:val="22"/>
          <w:lang w:val="ru-RU"/>
        </w:rPr>
      </w:pPr>
      <w:r>
        <w:rPr>
          <w:rFonts w:eastAsia="Malgun Gothic"/>
          <w:kern w:val="22"/>
          <w:szCs w:val="22"/>
          <w:lang w:val="ru-RU"/>
        </w:rPr>
        <w:t>3</w:t>
      </w:r>
      <w:r w:rsidRPr="00045D67">
        <w:rPr>
          <w:rFonts w:eastAsia="Malgun Gothic"/>
          <w:kern w:val="22"/>
          <w:szCs w:val="22"/>
          <w:lang w:val="ru-RU"/>
        </w:rPr>
        <w:t>.</w:t>
      </w:r>
      <w:r w:rsidRPr="00045D67">
        <w:rPr>
          <w:rFonts w:eastAsia="Malgun Gothic"/>
          <w:i/>
          <w:kern w:val="22"/>
          <w:szCs w:val="22"/>
          <w:lang w:val="ru-RU"/>
        </w:rPr>
        <w:tab/>
      </w:r>
      <w:r>
        <w:rPr>
          <w:rFonts w:eastAsia="Malgun Gothic"/>
          <w:i/>
          <w:kern w:val="22"/>
          <w:szCs w:val="22"/>
          <w:lang w:val="ru-RU"/>
        </w:rPr>
        <w:t xml:space="preserve">поручает </w:t>
      </w:r>
      <w:r w:rsidRPr="0028185A">
        <w:rPr>
          <w:rFonts w:eastAsia="Malgun Gothic"/>
          <w:kern w:val="22"/>
          <w:szCs w:val="22"/>
          <w:lang w:val="ru-RU"/>
        </w:rPr>
        <w:t>Исполнительному секретарю</w:t>
      </w:r>
      <w:r>
        <w:rPr>
          <w:rFonts w:eastAsia="Malgun Gothic"/>
          <w:kern w:val="22"/>
          <w:szCs w:val="22"/>
          <w:lang w:val="ru-RU"/>
        </w:rPr>
        <w:t xml:space="preserve"> в сотрудничестве с соответствующими партнерами оказывать содействие реализации мероприятий по созданию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 xml:space="preserve">потенциала в соответствии с </w:t>
      </w:r>
      <w:hyperlink r:id="rId13" w:history="1">
        <w:r w:rsidRPr="00A203AA">
          <w:rPr>
            <w:rStyle w:val="Hyperlink"/>
            <w:rFonts w:eastAsia="Malgun Gothic"/>
            <w:kern w:val="22"/>
            <w:szCs w:val="22"/>
            <w:lang w:val="ru-RU"/>
          </w:rPr>
          <w:t xml:space="preserve">решением </w:t>
        </w:r>
        <w:r w:rsidRPr="00A203AA">
          <w:rPr>
            <w:rStyle w:val="Hyperlink"/>
            <w:rFonts w:eastAsia="Malgun Gothic"/>
            <w:kern w:val="22"/>
            <w:szCs w:val="22"/>
          </w:rPr>
          <w:t>XIII</w:t>
        </w:r>
        <w:r w:rsidRPr="00A203AA">
          <w:rPr>
            <w:rStyle w:val="Hyperlink"/>
            <w:rFonts w:eastAsia="Malgun Gothic"/>
            <w:kern w:val="22"/>
            <w:szCs w:val="22"/>
            <w:lang w:val="ru-RU"/>
          </w:rPr>
          <w:t>/23</w:t>
        </w:r>
      </w:hyperlink>
      <w:r w:rsidRPr="00CA7C92">
        <w:rPr>
          <w:rFonts w:eastAsia="Malgun Gothic"/>
          <w:kern w:val="22"/>
          <w:szCs w:val="22"/>
          <w:lang w:val="ru-RU"/>
        </w:rPr>
        <w:t xml:space="preserve">, </w:t>
      </w:r>
      <w:r>
        <w:rPr>
          <w:rFonts w:eastAsia="Malgun Gothic"/>
          <w:kern w:val="22"/>
          <w:szCs w:val="22"/>
          <w:lang w:val="ru-RU"/>
        </w:rPr>
        <w:t>в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особенности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для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развивающихся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стран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и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стран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с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переходной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экономикой</w:t>
      </w:r>
      <w:r w:rsidRPr="00CA7C92">
        <w:rPr>
          <w:rFonts w:eastAsia="Malgun Gothic"/>
          <w:kern w:val="22"/>
          <w:szCs w:val="22"/>
          <w:lang w:val="ru-RU"/>
        </w:rPr>
        <w:t xml:space="preserve">, </w:t>
      </w:r>
      <w:r>
        <w:rPr>
          <w:rFonts w:eastAsia="Malgun Gothic"/>
          <w:kern w:val="22"/>
          <w:szCs w:val="22"/>
          <w:lang w:val="ru-RU"/>
        </w:rPr>
        <w:t>и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в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частности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для наименее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развитых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стран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и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малых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островных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развивающихся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государств</w:t>
      </w:r>
      <w:r w:rsidRPr="00CA7C92">
        <w:rPr>
          <w:rFonts w:eastAsia="Malgun Gothic"/>
          <w:kern w:val="22"/>
          <w:szCs w:val="22"/>
          <w:lang w:val="ru-RU"/>
        </w:rPr>
        <w:t xml:space="preserve">, </w:t>
      </w:r>
      <w:r>
        <w:rPr>
          <w:rFonts w:eastAsia="Malgun Gothic"/>
          <w:kern w:val="22"/>
          <w:szCs w:val="22"/>
          <w:lang w:val="ru-RU"/>
        </w:rPr>
        <w:t>чтобы</w:t>
      </w:r>
      <w:r w:rsidRPr="00CA7C92">
        <w:rPr>
          <w:rFonts w:eastAsia="Malgun Gothic"/>
          <w:kern w:val="22"/>
          <w:szCs w:val="22"/>
          <w:lang w:val="ru-RU"/>
        </w:rPr>
        <w:t xml:space="preserve"> </w:t>
      </w:r>
      <w:r>
        <w:rPr>
          <w:rFonts w:eastAsia="Malgun Gothic"/>
          <w:kern w:val="22"/>
          <w:szCs w:val="22"/>
          <w:lang w:val="ru-RU"/>
        </w:rPr>
        <w:t>позволить всем странам принимать участие в разработке и применении сценариев;</w:t>
      </w:r>
    </w:p>
    <w:p w:rsidR="0063735B" w:rsidRPr="0006268F" w:rsidRDefault="0063735B" w:rsidP="0063735B">
      <w:pPr>
        <w:pStyle w:val="Para10"/>
        <w:ind w:left="720" w:firstLine="720"/>
        <w:rPr>
          <w:kern w:val="22"/>
          <w:szCs w:val="22"/>
          <w:lang w:val="ru-RU"/>
        </w:rPr>
      </w:pPr>
      <w:r w:rsidRPr="0006268F">
        <w:rPr>
          <w:rFonts w:eastAsia="Malgun Gothic"/>
          <w:kern w:val="22"/>
          <w:szCs w:val="22"/>
          <w:lang w:val="ru-RU"/>
        </w:rPr>
        <w:t>4.</w:t>
      </w:r>
      <w:r w:rsidRPr="0006268F">
        <w:rPr>
          <w:rFonts w:eastAsia="Malgun Gothic"/>
          <w:i/>
          <w:kern w:val="22"/>
          <w:szCs w:val="22"/>
          <w:lang w:val="ru-RU"/>
        </w:rPr>
        <w:tab/>
      </w:r>
      <w:r>
        <w:rPr>
          <w:i/>
          <w:iCs/>
          <w:lang w:val="ru-RU"/>
        </w:rPr>
        <w:t>ссылаясь</w:t>
      </w:r>
      <w:r w:rsidRPr="0006268F">
        <w:rPr>
          <w:i/>
          <w:iCs/>
          <w:lang w:val="ru-RU"/>
        </w:rPr>
        <w:t xml:space="preserve"> </w:t>
      </w:r>
      <w:r>
        <w:rPr>
          <w:lang w:val="ru-RU"/>
        </w:rPr>
        <w:t>на</w:t>
      </w:r>
      <w:r w:rsidRPr="0006268F">
        <w:rPr>
          <w:lang w:val="ru-RU"/>
        </w:rPr>
        <w:t xml:space="preserve"> </w:t>
      </w:r>
      <w:hyperlink r:id="rId14" w:history="1">
        <w:r w:rsidRPr="00A203AA">
          <w:rPr>
            <w:rStyle w:val="Hyperlink"/>
            <w:lang w:val="ru-RU"/>
          </w:rPr>
          <w:t>решение</w:t>
        </w:r>
        <w:r w:rsidRPr="00A203AA">
          <w:rPr>
            <w:rStyle w:val="Hyperlink"/>
            <w:lang w:val="en-CA"/>
          </w:rPr>
          <w:t> XIII</w:t>
        </w:r>
        <w:r w:rsidRPr="00A203AA">
          <w:rPr>
            <w:rStyle w:val="Hyperlink"/>
            <w:lang w:val="ru-RU"/>
          </w:rPr>
          <w:t>/22</w:t>
        </w:r>
      </w:hyperlink>
      <w:r w:rsidRPr="0006268F">
        <w:rPr>
          <w:lang w:val="ru-RU"/>
        </w:rPr>
        <w:t xml:space="preserve"> </w:t>
      </w:r>
      <w:r>
        <w:rPr>
          <w:lang w:val="ru-RU"/>
        </w:rPr>
        <w:t>о</w:t>
      </w:r>
      <w:r w:rsidRPr="0006268F">
        <w:rPr>
          <w:lang w:val="ru-RU"/>
        </w:rPr>
        <w:t xml:space="preserve"> </w:t>
      </w:r>
      <w:r>
        <w:rPr>
          <w:lang w:val="ru-RU"/>
        </w:rPr>
        <w:t>структуре</w:t>
      </w:r>
      <w:r w:rsidRPr="0006268F">
        <w:rPr>
          <w:lang w:val="ru-RU"/>
        </w:rPr>
        <w:t xml:space="preserve"> </w:t>
      </w:r>
      <w:r>
        <w:rPr>
          <w:lang w:val="ru-RU"/>
        </w:rPr>
        <w:t>для</w:t>
      </w:r>
      <w:r w:rsidRPr="0006268F">
        <w:rPr>
          <w:lang w:val="ru-RU"/>
        </w:rPr>
        <w:t xml:space="preserve"> </w:t>
      </w:r>
      <w:r>
        <w:rPr>
          <w:lang w:val="ru-RU"/>
        </w:rPr>
        <w:t>коммуникационной</w:t>
      </w:r>
      <w:r w:rsidRPr="0006268F">
        <w:rPr>
          <w:lang w:val="ru-RU"/>
        </w:rPr>
        <w:t xml:space="preserve"> </w:t>
      </w:r>
      <w:r>
        <w:rPr>
          <w:lang w:val="ru-RU"/>
        </w:rPr>
        <w:t>стратегии</w:t>
      </w:r>
      <w:r w:rsidRPr="0006268F">
        <w:rPr>
          <w:lang w:val="ru-RU"/>
        </w:rPr>
        <w:t xml:space="preserve">, </w:t>
      </w:r>
      <w:r w:rsidRPr="001B4585">
        <w:rPr>
          <w:i/>
          <w:lang w:val="ru-RU"/>
        </w:rPr>
        <w:t>поручает</w:t>
      </w:r>
      <w:r w:rsidRPr="0006268F">
        <w:rPr>
          <w:lang w:val="ru-RU"/>
        </w:rPr>
        <w:t xml:space="preserve"> </w:t>
      </w:r>
      <w:r>
        <w:rPr>
          <w:lang w:val="ru-RU"/>
        </w:rPr>
        <w:t>Исполнительному</w:t>
      </w:r>
      <w:r w:rsidRPr="0006268F">
        <w:rPr>
          <w:lang w:val="ru-RU"/>
        </w:rPr>
        <w:t xml:space="preserve"> </w:t>
      </w:r>
      <w:r>
        <w:rPr>
          <w:lang w:val="ru-RU"/>
        </w:rPr>
        <w:t>секретарю</w:t>
      </w:r>
      <w:r w:rsidRPr="0006268F">
        <w:rPr>
          <w:lang w:val="ru-RU"/>
        </w:rPr>
        <w:t xml:space="preserve"> </w:t>
      </w:r>
      <w:r>
        <w:rPr>
          <w:lang w:val="ru-RU"/>
        </w:rPr>
        <w:t>стимулировать</w:t>
      </w:r>
      <w:r w:rsidRPr="0006268F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06268F">
        <w:rPr>
          <w:lang w:val="ru-RU"/>
        </w:rPr>
        <w:t xml:space="preserve"> </w:t>
      </w:r>
      <w:r>
        <w:rPr>
          <w:lang w:val="ru-RU"/>
        </w:rPr>
        <w:t>сценариев</w:t>
      </w:r>
      <w:r w:rsidRPr="0006268F">
        <w:rPr>
          <w:lang w:val="ru-RU"/>
        </w:rPr>
        <w:t xml:space="preserve"> </w:t>
      </w:r>
      <w:r>
        <w:rPr>
          <w:lang w:val="ru-RU"/>
        </w:rPr>
        <w:t>в</w:t>
      </w:r>
      <w:r w:rsidRPr="0006268F">
        <w:rPr>
          <w:lang w:val="ru-RU"/>
        </w:rPr>
        <w:t xml:space="preserve"> </w:t>
      </w:r>
      <w:r>
        <w:rPr>
          <w:lang w:val="ru-RU"/>
        </w:rPr>
        <w:t>качестве</w:t>
      </w:r>
      <w:r w:rsidRPr="0006268F">
        <w:rPr>
          <w:lang w:val="ru-RU"/>
        </w:rPr>
        <w:t xml:space="preserve"> </w:t>
      </w:r>
      <w:r>
        <w:rPr>
          <w:lang w:val="ru-RU"/>
        </w:rPr>
        <w:t>коммуникационного</w:t>
      </w:r>
      <w:r w:rsidRPr="0006268F">
        <w:rPr>
          <w:lang w:val="ru-RU"/>
        </w:rPr>
        <w:t xml:space="preserve"> </w:t>
      </w:r>
      <w:r>
        <w:rPr>
          <w:lang w:val="ru-RU"/>
        </w:rPr>
        <w:t>инструмента</w:t>
      </w:r>
      <w:r w:rsidR="00A203AA">
        <w:rPr>
          <w:lang w:val="ru-RU"/>
        </w:rPr>
        <w:t xml:space="preserve"> для </w:t>
      </w:r>
      <w:r>
        <w:rPr>
          <w:lang w:val="ru-RU"/>
        </w:rPr>
        <w:t>повышения</w:t>
      </w:r>
      <w:r w:rsidRPr="0006268F">
        <w:rPr>
          <w:lang w:val="ru-RU"/>
        </w:rPr>
        <w:t xml:space="preserve"> </w:t>
      </w:r>
      <w:r>
        <w:rPr>
          <w:lang w:val="ru-RU"/>
        </w:rPr>
        <w:t>осведомленности</w:t>
      </w:r>
      <w:r w:rsidRPr="0006268F">
        <w:rPr>
          <w:lang w:val="ru-RU"/>
        </w:rPr>
        <w:t xml:space="preserve"> </w:t>
      </w:r>
      <w:r>
        <w:rPr>
          <w:lang w:val="ru-RU"/>
        </w:rPr>
        <w:t>общественности</w:t>
      </w:r>
      <w:r w:rsidRPr="0006268F">
        <w:rPr>
          <w:lang w:val="ru-RU"/>
        </w:rPr>
        <w:t xml:space="preserve"> </w:t>
      </w:r>
      <w:r>
        <w:rPr>
          <w:lang w:val="ru-RU"/>
        </w:rPr>
        <w:t>и</w:t>
      </w:r>
      <w:r w:rsidRPr="0006268F">
        <w:rPr>
          <w:lang w:val="ru-RU"/>
        </w:rPr>
        <w:t xml:space="preserve"> </w:t>
      </w:r>
      <w:r>
        <w:rPr>
          <w:lang w:val="ru-RU"/>
        </w:rPr>
        <w:t>расширения</w:t>
      </w:r>
      <w:r w:rsidRPr="0006268F">
        <w:rPr>
          <w:lang w:val="ru-RU"/>
        </w:rPr>
        <w:t xml:space="preserve"> </w:t>
      </w:r>
      <w:r>
        <w:rPr>
          <w:lang w:val="ru-RU"/>
        </w:rPr>
        <w:t>участия</w:t>
      </w:r>
      <w:r w:rsidRPr="0006268F">
        <w:rPr>
          <w:lang w:val="ru-RU"/>
        </w:rPr>
        <w:t xml:space="preserve"> </w:t>
      </w:r>
      <w:r>
        <w:rPr>
          <w:lang w:val="ru-RU"/>
        </w:rPr>
        <w:t>и</w:t>
      </w:r>
      <w:r w:rsidRPr="0006268F">
        <w:rPr>
          <w:lang w:val="ru-RU"/>
        </w:rPr>
        <w:t xml:space="preserve"> </w:t>
      </w:r>
      <w:r>
        <w:rPr>
          <w:lang w:val="ru-RU"/>
        </w:rPr>
        <w:t>привлечения</w:t>
      </w:r>
      <w:r w:rsidRPr="0006268F">
        <w:rPr>
          <w:lang w:val="ru-RU"/>
        </w:rPr>
        <w:t xml:space="preserve"> </w:t>
      </w:r>
      <w:r>
        <w:rPr>
          <w:lang w:val="ru-RU"/>
        </w:rPr>
        <w:t>всех</w:t>
      </w:r>
      <w:r w:rsidRPr="0006268F">
        <w:rPr>
          <w:lang w:val="ru-RU"/>
        </w:rPr>
        <w:t xml:space="preserve"> </w:t>
      </w:r>
      <w:r>
        <w:rPr>
          <w:lang w:val="ru-RU"/>
        </w:rPr>
        <w:t>субъектов</w:t>
      </w:r>
      <w:r w:rsidRPr="0006268F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06268F">
        <w:rPr>
          <w:lang w:val="ru-RU"/>
        </w:rPr>
        <w:t xml:space="preserve">, </w:t>
      </w:r>
      <w:r>
        <w:rPr>
          <w:lang w:val="ru-RU"/>
        </w:rPr>
        <w:t>и</w:t>
      </w:r>
      <w:r w:rsidRPr="0006268F">
        <w:rPr>
          <w:lang w:val="ru-RU"/>
        </w:rPr>
        <w:t xml:space="preserve"> </w:t>
      </w:r>
      <w:r>
        <w:rPr>
          <w:lang w:val="ru-RU"/>
        </w:rPr>
        <w:t>в</w:t>
      </w:r>
      <w:r w:rsidRPr="0006268F">
        <w:rPr>
          <w:lang w:val="ru-RU"/>
        </w:rPr>
        <w:t xml:space="preserve"> </w:t>
      </w:r>
      <w:r>
        <w:rPr>
          <w:lang w:val="ru-RU"/>
        </w:rPr>
        <w:t>частности</w:t>
      </w:r>
      <w:r w:rsidRPr="0006268F">
        <w:rPr>
          <w:lang w:val="ru-RU"/>
        </w:rPr>
        <w:t xml:space="preserve"> </w:t>
      </w:r>
      <w:r w:rsidRPr="00DA0A3E">
        <w:rPr>
          <w:lang w:val="ru-RU"/>
        </w:rPr>
        <w:t>академических</w:t>
      </w:r>
      <w:r w:rsidRPr="0006268F">
        <w:rPr>
          <w:lang w:val="ru-RU"/>
        </w:rPr>
        <w:t xml:space="preserve"> </w:t>
      </w:r>
      <w:r w:rsidRPr="00DA0A3E">
        <w:rPr>
          <w:lang w:val="ru-RU"/>
        </w:rPr>
        <w:t>и</w:t>
      </w:r>
      <w:r w:rsidRPr="0006268F">
        <w:rPr>
          <w:lang w:val="ru-RU"/>
        </w:rPr>
        <w:t xml:space="preserve"> </w:t>
      </w:r>
      <w:r w:rsidRPr="00DA0A3E">
        <w:rPr>
          <w:lang w:val="ru-RU"/>
        </w:rPr>
        <w:t>научных</w:t>
      </w:r>
      <w:r w:rsidRPr="0006268F">
        <w:rPr>
          <w:lang w:val="ru-RU"/>
        </w:rPr>
        <w:t xml:space="preserve"> </w:t>
      </w:r>
      <w:r w:rsidRPr="00DA0A3E">
        <w:rPr>
          <w:lang w:val="ru-RU"/>
        </w:rPr>
        <w:t>кругов</w:t>
      </w:r>
      <w:r w:rsidRPr="0006268F">
        <w:rPr>
          <w:lang w:val="ru-RU"/>
        </w:rPr>
        <w:t xml:space="preserve">, </w:t>
      </w:r>
      <w:r>
        <w:rPr>
          <w:lang w:val="ru-RU"/>
        </w:rPr>
        <w:t>в</w:t>
      </w:r>
      <w:r w:rsidRPr="0006268F">
        <w:rPr>
          <w:lang w:val="ru-RU"/>
        </w:rPr>
        <w:t xml:space="preserve"> </w:t>
      </w:r>
      <w:r>
        <w:rPr>
          <w:lang w:val="ru-RU"/>
        </w:rPr>
        <w:t>целях</w:t>
      </w:r>
      <w:r w:rsidRPr="0006268F">
        <w:rPr>
          <w:lang w:val="ru-RU"/>
        </w:rPr>
        <w:t xml:space="preserve"> </w:t>
      </w:r>
      <w:r>
        <w:rPr>
          <w:lang w:val="ru-RU"/>
        </w:rPr>
        <w:t>масштабирования</w:t>
      </w:r>
      <w:r w:rsidRPr="0006268F">
        <w:rPr>
          <w:lang w:val="ru-RU"/>
        </w:rPr>
        <w:t xml:space="preserve"> </w:t>
      </w:r>
      <w:r>
        <w:rPr>
          <w:lang w:val="ru-RU"/>
        </w:rPr>
        <w:t>поддержки</w:t>
      </w:r>
      <w:r w:rsidRPr="0006268F">
        <w:rPr>
          <w:lang w:val="ru-RU"/>
        </w:rPr>
        <w:t xml:space="preserve"> </w:t>
      </w:r>
      <w:r>
        <w:rPr>
          <w:lang w:val="ru-RU"/>
        </w:rPr>
        <w:t xml:space="preserve">интересов </w:t>
      </w:r>
      <w:r w:rsidRPr="0006268F">
        <w:rPr>
          <w:lang w:val="ru-RU"/>
        </w:rPr>
        <w:t>сохранения и устойчивого использования биоразнообразия</w:t>
      </w:r>
      <w:r>
        <w:rPr>
          <w:lang w:val="ru-RU"/>
        </w:rPr>
        <w:t>, в том числе посредством привлечения знаменитостей в качестве посланников</w:t>
      </w:r>
      <w:r w:rsidRPr="002E17CC">
        <w:rPr>
          <w:lang w:val="ru-RU"/>
        </w:rPr>
        <w:t xml:space="preserve"> </w:t>
      </w:r>
      <w:r>
        <w:rPr>
          <w:lang w:val="ru-RU"/>
        </w:rPr>
        <w:t xml:space="preserve">по вопросам защиты биоразнообразия из всех регионов, которые будут выполнять функции рупора защиты биоразнообразия. </w:t>
      </w:r>
    </w:p>
    <w:p w:rsidR="0063735B" w:rsidRPr="00DB3D43" w:rsidRDefault="0063735B" w:rsidP="0063735B">
      <w:pPr>
        <w:keepNext/>
        <w:spacing w:before="120" w:after="120"/>
        <w:jc w:val="center"/>
        <w:rPr>
          <w:lang w:val="ru-RU"/>
        </w:rPr>
      </w:pPr>
      <w:r w:rsidRPr="002D5E3C">
        <w:rPr>
          <w:i/>
          <w:lang w:val="ru-RU"/>
        </w:rPr>
        <w:lastRenderedPageBreak/>
        <w:t>Приложени</w:t>
      </w:r>
      <w:r>
        <w:rPr>
          <w:lang w:val="ru-RU"/>
        </w:rPr>
        <w:t>е</w:t>
      </w:r>
    </w:p>
    <w:p w:rsidR="0063735B" w:rsidRPr="00DB3D43" w:rsidRDefault="00A90C88" w:rsidP="0063735B">
      <w:pPr>
        <w:keepNext/>
        <w:spacing w:before="120" w:after="120"/>
        <w:ind w:left="720"/>
        <w:jc w:val="center"/>
        <w:rPr>
          <w:b/>
          <w:kern w:val="22"/>
          <w:szCs w:val="22"/>
          <w:lang w:val="ru-RU"/>
        </w:rPr>
      </w:pPr>
      <w:r w:rsidRPr="00DB3D43">
        <w:rPr>
          <w:b/>
          <w:kern w:val="22"/>
          <w:szCs w:val="22"/>
          <w:lang w:val="ru-RU"/>
        </w:rPr>
        <w:t>ВЫВОДЫ ВСПОМОГАТЕЛЬНОГО ОРГАНА ПО НАУЧНЫМ, ТЕХНИЧЕСКИМ И ТЕХНОЛОГИЧЕСКИМ КОНСУЛЬТАЦИЯМ КАСАТЕЛЬНО СЦЕНАРИЕВ КОНЦЕПЦИИ</w:t>
      </w:r>
      <w:r w:rsidRPr="002446D7">
        <w:rPr>
          <w:b/>
          <w:kern w:val="22"/>
          <w:szCs w:val="22"/>
          <w:lang w:val="ru-RU"/>
        </w:rPr>
        <w:t xml:space="preserve"> В ОБЛАСТИ БИОРАЗНООБРАЗИЯ НА ПЕРИОД ДО 2050 ГОДА</w:t>
      </w:r>
    </w:p>
    <w:p w:rsidR="0063735B" w:rsidRPr="00320C49" w:rsidRDefault="0063735B" w:rsidP="0063735B">
      <w:pPr>
        <w:pStyle w:val="BodyText"/>
        <w:numPr>
          <w:ilvl w:val="0"/>
          <w:numId w:val="16"/>
        </w:numPr>
        <w:suppressLineNumbers/>
        <w:tabs>
          <w:tab w:val="clear" w:pos="3240"/>
        </w:tabs>
        <w:suppressAutoHyphens/>
        <w:ind w:left="720" w:firstLine="0"/>
        <w:rPr>
          <w:kern w:val="22"/>
          <w:szCs w:val="22"/>
          <w:lang w:val="ru-RU"/>
        </w:rPr>
      </w:pPr>
      <w:r>
        <w:rPr>
          <w:i/>
          <w:lang w:val="ru-RU"/>
        </w:rPr>
        <w:t xml:space="preserve">Концепция Стратегического плана на </w:t>
      </w:r>
      <w:r w:rsidR="002446D7">
        <w:rPr>
          <w:i/>
          <w:lang w:val="ru-RU"/>
        </w:rPr>
        <w:t xml:space="preserve">период до </w:t>
      </w:r>
      <w:r>
        <w:rPr>
          <w:i/>
          <w:lang w:val="ru-RU"/>
        </w:rPr>
        <w:t>2050 год</w:t>
      </w:r>
      <w:r w:rsidR="002446D7">
        <w:rPr>
          <w:i/>
          <w:lang w:val="ru-RU"/>
        </w:rPr>
        <w:t>а</w:t>
      </w:r>
      <w:r>
        <w:rPr>
          <w:i/>
          <w:lang w:val="ru-RU"/>
        </w:rPr>
        <w:t xml:space="preserve"> остается актуальной и должна приниматься во внимание в любых последующих мероприятиях по итогам Стратегического плана в области сохранения и устойчивого использования биоразнообразия на 2011-2020 годы.</w:t>
      </w:r>
      <w:r>
        <w:rPr>
          <w:lang w:val="ru-RU"/>
        </w:rPr>
        <w:t xml:space="preserve"> Концепция на </w:t>
      </w:r>
      <w:r w:rsidR="002446D7">
        <w:rPr>
          <w:lang w:val="ru-RU"/>
        </w:rPr>
        <w:t xml:space="preserve">период до </w:t>
      </w:r>
      <w:r>
        <w:rPr>
          <w:lang w:val="ru-RU"/>
        </w:rPr>
        <w:t>2050 год</w:t>
      </w:r>
      <w:r w:rsidR="002446D7">
        <w:rPr>
          <w:lang w:val="ru-RU"/>
        </w:rPr>
        <w:t>а</w:t>
      </w:r>
      <w:r>
        <w:rPr>
          <w:lang w:val="ru-RU"/>
        </w:rPr>
        <w:t xml:space="preserve"> ("Жизнь в гармонии с природой", согласно которой "к 2050 году биоразнообразие ценится по достоинству, сохраняется, восстанавливается и разумно используется, поддерживая экосистемные услуги и здоровое состояние планеты и принося выгоды, необходимые для всех людей") содержит элементы, которые могут быть преобразованы в долгосрочную цель в области биоразнообразия и обеспечить контекст для обсуждения возможных связанных с биоразнообразием задач на период до 2030 года в рамках глобальной рамочной программы в области биоразнообразия на период после 2020 года.</w:t>
      </w:r>
    </w:p>
    <w:p w:rsidR="0063735B" w:rsidRPr="00320C49" w:rsidRDefault="0063735B" w:rsidP="0063735B">
      <w:pPr>
        <w:pStyle w:val="BodyText"/>
        <w:numPr>
          <w:ilvl w:val="0"/>
          <w:numId w:val="16"/>
        </w:numPr>
        <w:suppressLineNumbers/>
        <w:tabs>
          <w:tab w:val="clear" w:pos="3240"/>
        </w:tabs>
        <w:suppressAutoHyphens/>
        <w:ind w:left="720" w:firstLine="0"/>
        <w:rPr>
          <w:kern w:val="22"/>
          <w:szCs w:val="22"/>
          <w:lang w:val="ru-RU"/>
        </w:rPr>
      </w:pPr>
      <w:r>
        <w:rPr>
          <w:i/>
          <w:lang w:val="ru-RU"/>
        </w:rPr>
        <w:t>Существующие тенденции, или инерционные сценарии, показывают продолжающуюся утрату биоразнообразия</w:t>
      </w:r>
      <w:r>
        <w:rPr>
          <w:lang w:val="ru-RU"/>
        </w:rPr>
        <w:t xml:space="preserve"> с серьезными негативными последствиями для благосостояния людей, включая изменения, которые могут оказаться необратимыми. Поэтому безотлагательные меры в области биоразнообразия являются насущной социальной необходимостью в глобальном масштабе.</w:t>
      </w:r>
    </w:p>
    <w:p w:rsidR="0063735B" w:rsidRPr="00DB3D43" w:rsidRDefault="0063735B" w:rsidP="0063735B">
      <w:pPr>
        <w:pStyle w:val="BodyText"/>
        <w:numPr>
          <w:ilvl w:val="0"/>
          <w:numId w:val="16"/>
        </w:numPr>
        <w:suppressLineNumbers/>
        <w:tabs>
          <w:tab w:val="clear" w:pos="3240"/>
        </w:tabs>
        <w:suppressAutoHyphens/>
        <w:ind w:left="720" w:firstLine="0"/>
        <w:rPr>
          <w:kern w:val="22"/>
          <w:szCs w:val="22"/>
          <w:lang w:val="ru-RU"/>
        </w:rPr>
      </w:pPr>
      <w:r>
        <w:rPr>
          <w:i/>
          <w:lang w:val="ru-RU"/>
        </w:rPr>
        <w:t xml:space="preserve">Сценарии социально-экономического развития в будущем демонстрируют наличие широкого диапазона возможных вариантов будущего, </w:t>
      </w:r>
      <w:r>
        <w:rPr>
          <w:lang w:val="ru-RU"/>
        </w:rPr>
        <w:t xml:space="preserve">в частности, в отношении роста численности населения, образования, урбанизации, экономического роста, технического прогресса и подходов к международной торговле, которые ведут к различным уровням факторов изменения экосистем и биоразнообразия, таких как </w:t>
      </w:r>
      <w:r w:rsidRPr="00FF5BF0">
        <w:rPr>
          <w:lang w:val="ru-RU"/>
        </w:rPr>
        <w:t>изменение климата, переэксплуатация ресурсов, загрязнение окружающей среды, инвазивные чужеродные виды и утрата мест обитания, включая изменение характера</w:t>
      </w:r>
      <w:r>
        <w:rPr>
          <w:lang w:val="ru-RU"/>
        </w:rPr>
        <w:t xml:space="preserve"> землепользования</w:t>
      </w:r>
      <w:r w:rsidRPr="00FF5BF0">
        <w:rPr>
          <w:lang w:val="ru-RU"/>
        </w:rPr>
        <w:t>.</w:t>
      </w:r>
      <w:r>
        <w:rPr>
          <w:lang w:val="ru-RU"/>
        </w:rPr>
        <w:t xml:space="preserve"> Этот диапазон возможных вариантов будущего обеспечивает пространство для маневра с целью разработки политических мер для осуществления Концепции на </w:t>
      </w:r>
      <w:r w:rsidR="002446D7">
        <w:rPr>
          <w:lang w:val="ru-RU"/>
        </w:rPr>
        <w:t xml:space="preserve">период до </w:t>
      </w:r>
      <w:r>
        <w:rPr>
          <w:lang w:val="ru-RU"/>
        </w:rPr>
        <w:t>2050 год</w:t>
      </w:r>
      <w:r w:rsidR="002446D7">
        <w:rPr>
          <w:lang w:val="ru-RU"/>
        </w:rPr>
        <w:t>а</w:t>
      </w:r>
      <w:r>
        <w:rPr>
          <w:lang w:val="ru-RU"/>
        </w:rPr>
        <w:t xml:space="preserve"> и других глобальных целей. </w:t>
      </w:r>
    </w:p>
    <w:p w:rsidR="0063735B" w:rsidRPr="00A7548D" w:rsidRDefault="0063735B" w:rsidP="0063735B">
      <w:pPr>
        <w:pStyle w:val="BodyText"/>
        <w:numPr>
          <w:ilvl w:val="0"/>
          <w:numId w:val="16"/>
        </w:numPr>
        <w:suppressLineNumbers/>
        <w:tabs>
          <w:tab w:val="clear" w:pos="3240"/>
        </w:tabs>
        <w:suppressAutoHyphens/>
        <w:ind w:left="720" w:firstLine="0"/>
        <w:rPr>
          <w:kern w:val="22"/>
          <w:szCs w:val="22"/>
          <w:lang w:val="ru-RU"/>
        </w:rPr>
      </w:pPr>
      <w:r>
        <w:rPr>
          <w:i/>
          <w:lang w:val="ru-RU"/>
        </w:rPr>
        <w:t xml:space="preserve">Цели в области биоразнообразия, отраженные в Концепции на </w:t>
      </w:r>
      <w:r w:rsidR="002446D7">
        <w:rPr>
          <w:i/>
          <w:lang w:val="ru-RU"/>
        </w:rPr>
        <w:t xml:space="preserve">период до </w:t>
      </w:r>
      <w:r>
        <w:rPr>
          <w:i/>
          <w:lang w:val="ru-RU"/>
        </w:rPr>
        <w:t>2050 год</w:t>
      </w:r>
      <w:r w:rsidR="002446D7">
        <w:rPr>
          <w:i/>
          <w:lang w:val="ru-RU"/>
        </w:rPr>
        <w:t>а</w:t>
      </w:r>
      <w:r>
        <w:rPr>
          <w:i/>
          <w:lang w:val="ru-RU"/>
        </w:rPr>
        <w:t>, могут быть достигнуты наряду с решением более широких социально-экономических задач путем реализации комбинации мер</w:t>
      </w:r>
      <w:r>
        <w:rPr>
          <w:lang w:val="ru-RU"/>
        </w:rPr>
        <w:t xml:space="preserve">, включая меры, направленные на: a) повышение устойчивости и производительности сельского хозяйства, расширяя и улучшая использование биоразнообразия внутри сельскохозяйственных экосистем для содействия устойчивому повышению объемов производства; b) сокращение масштабов деградации и фрагментации экосистем и сохранение биоразнообразия и предоставления основных экосистемных функций и услуг, в том числе за счет пространственного планирования, восстановления деградированных земель и экосистем и стратегического расширения охраняемых районов; c) сокращение чрезмерной эксплуатации рыбных и других биологических ресурсов; d) контроль распространения инвазивных чужеродных видов; e) </w:t>
      </w:r>
      <w:r w:rsidRPr="00A7548D">
        <w:rPr>
          <w:lang w:val="ru-RU"/>
        </w:rPr>
        <w:t>адаптаци</w:t>
      </w:r>
      <w:r w:rsidR="00E43595">
        <w:rPr>
          <w:lang w:val="ru-RU"/>
        </w:rPr>
        <w:t>ю</w:t>
      </w:r>
      <w:r w:rsidRPr="00A7548D">
        <w:rPr>
          <w:lang w:val="ru-RU"/>
        </w:rPr>
        <w:t xml:space="preserve"> к изменению климата и смягчени</w:t>
      </w:r>
      <w:r>
        <w:rPr>
          <w:lang w:val="ru-RU"/>
        </w:rPr>
        <w:t>е</w:t>
      </w:r>
      <w:r w:rsidRPr="00A7548D">
        <w:rPr>
          <w:lang w:val="ru-RU"/>
        </w:rPr>
        <w:t xml:space="preserve"> его последствий</w:t>
      </w:r>
      <w:r>
        <w:rPr>
          <w:lang w:val="ru-RU"/>
        </w:rPr>
        <w:t>; и f) сокращение отходов и чрезмерного потребления.</w:t>
      </w:r>
    </w:p>
    <w:p w:rsidR="0063735B" w:rsidRPr="00DB3D43" w:rsidRDefault="0063735B" w:rsidP="0063735B">
      <w:pPr>
        <w:pStyle w:val="BodyText"/>
        <w:numPr>
          <w:ilvl w:val="0"/>
          <w:numId w:val="16"/>
        </w:numPr>
        <w:suppressLineNumbers/>
        <w:tabs>
          <w:tab w:val="clear" w:pos="3240"/>
        </w:tabs>
        <w:suppressAutoHyphens/>
        <w:ind w:left="720" w:firstLine="0"/>
        <w:rPr>
          <w:kern w:val="22"/>
          <w:szCs w:val="22"/>
          <w:lang w:val="ru-RU"/>
        </w:rPr>
      </w:pPr>
      <w:r>
        <w:rPr>
          <w:i/>
          <w:lang w:val="ru-RU"/>
        </w:rPr>
        <w:t>Эти меры могут сочетаться в различных комбинациях в зависимости от нужд и приоритетов стран и заинтересованных сторон.</w:t>
      </w:r>
      <w:r>
        <w:rPr>
          <w:lang w:val="ru-RU"/>
        </w:rPr>
        <w:t xml:space="preserve"> К примеру, комбинация политических мер, о которых говорится выше в пункте 4, может различаться в отношении акцента на </w:t>
      </w:r>
      <w:r>
        <w:rPr>
          <w:lang w:val="ru-RU"/>
        </w:rPr>
        <w:lastRenderedPageBreak/>
        <w:t xml:space="preserve">изменениях в производстве и потреблении, степени зависимости от новых технологий и международной торговли и степени глобальной и местной координации, как наглядно показывает пример трех путей, намеченных в четвертом издании </w:t>
      </w:r>
      <w:r w:rsidRPr="00F40C71">
        <w:rPr>
          <w:i/>
          <w:lang w:val="ru-RU"/>
        </w:rPr>
        <w:t>Глобальной перспективы в области биоразнообразия</w:t>
      </w:r>
      <w:r w:rsidR="00A203AA" w:rsidRPr="00A203AA">
        <w:rPr>
          <w:rFonts w:eastAsia="Malgun Gothic"/>
          <w:kern w:val="22"/>
          <w:sz w:val="18"/>
          <w:szCs w:val="22"/>
          <w:u w:val="single"/>
          <w:vertAlign w:val="superscript"/>
        </w:rPr>
        <w:footnoteReference w:id="9"/>
      </w:r>
      <w:r>
        <w:rPr>
          <w:lang w:val="ru-RU"/>
        </w:rPr>
        <w:t>. Необходимо проведение концептуальных мероприятий на различных уровнях и при активном вовлечении заинтересованных сторон в целях разъяснения вариантов и пропаганды действий.</w:t>
      </w:r>
    </w:p>
    <w:p w:rsidR="0063735B" w:rsidRPr="00320C49" w:rsidRDefault="0063735B" w:rsidP="0063735B">
      <w:pPr>
        <w:pStyle w:val="BodyText"/>
        <w:numPr>
          <w:ilvl w:val="0"/>
          <w:numId w:val="16"/>
        </w:numPr>
        <w:suppressLineNumbers/>
        <w:tabs>
          <w:tab w:val="clear" w:pos="3240"/>
        </w:tabs>
        <w:suppressAutoHyphens/>
        <w:ind w:left="720" w:firstLine="0"/>
        <w:rPr>
          <w:kern w:val="22"/>
          <w:szCs w:val="22"/>
          <w:lang w:val="ru-RU"/>
        </w:rPr>
      </w:pPr>
      <w:r>
        <w:rPr>
          <w:i/>
          <w:lang w:val="ru-RU"/>
        </w:rPr>
        <w:t>Пути в направлении устойчивого будущего возможны, но требуют преобразований</w:t>
      </w:r>
      <w:r>
        <w:rPr>
          <w:lang w:val="ru-RU"/>
        </w:rPr>
        <w:t xml:space="preserve">, включая изменения поведения производителей и потребителей, правительств и хозяйствующих субъектов. Потребуются дальнейшие усилия для понимания обоснований и содействия изменениям. Революционные социальные преобразования или технические достижения могут привести к изменениям, способным содействовать или противодействовать устойчивости и </w:t>
      </w:r>
      <w:r w:rsidR="00F55560">
        <w:rPr>
          <w:lang w:val="ru-RU"/>
        </w:rPr>
        <w:t>выполнению</w:t>
      </w:r>
      <w:r>
        <w:rPr>
          <w:lang w:val="ru-RU"/>
        </w:rPr>
        <w:t xml:space="preserve"> трех целей Конвенции. Правительства и международные организации могут сыграть решающую роль в создании благоприятных условий для положительных изменений. Необходима дальнейшая работа по определению способов и средств, при помощи которых Конвенция и глобальная рамочная программа в области биоразнообразия на период после 2020 года смогут реализовать такие изменения.</w:t>
      </w:r>
    </w:p>
    <w:p w:rsidR="0063735B" w:rsidRPr="00F40C71" w:rsidRDefault="0063735B" w:rsidP="0063735B">
      <w:pPr>
        <w:pStyle w:val="BodyText"/>
        <w:numPr>
          <w:ilvl w:val="0"/>
          <w:numId w:val="16"/>
        </w:numPr>
        <w:suppressLineNumbers/>
        <w:tabs>
          <w:tab w:val="clear" w:pos="3240"/>
        </w:tabs>
        <w:suppressAutoHyphens/>
        <w:ind w:left="720" w:firstLine="0"/>
        <w:rPr>
          <w:rFonts w:eastAsia="Malgun Gothic"/>
          <w:kern w:val="22"/>
          <w:szCs w:val="22"/>
          <w:lang w:val="ru-RU"/>
        </w:rPr>
      </w:pPr>
      <w:r>
        <w:rPr>
          <w:i/>
          <w:lang w:val="ru-RU"/>
        </w:rPr>
        <w:t>Необходим последовательный подход к проблемам биоразнообразия и изменения климата</w:t>
      </w:r>
      <w:r>
        <w:rPr>
          <w:lang w:val="ru-RU"/>
        </w:rPr>
        <w:t xml:space="preserve"> с целью смягчения последствий изменения климата для биоразнообразия, обеспечения вклада биоразнообразия и экосистем в решения по адаптации к изменениям климата и смягчению их последствий </w:t>
      </w:r>
      <w:r w:rsidRPr="00BE6EA1">
        <w:rPr>
          <w:lang w:val="ru-RU"/>
        </w:rPr>
        <w:t xml:space="preserve">и исключения негативного влияния мер по смягчению последствий изменения климата и адаптации к ним на биоразнообразие за счет изменения </w:t>
      </w:r>
      <w:r>
        <w:rPr>
          <w:lang w:val="ru-RU"/>
        </w:rPr>
        <w:t xml:space="preserve">характера </w:t>
      </w:r>
      <w:r w:rsidRPr="00BE6EA1">
        <w:rPr>
          <w:lang w:val="ru-RU"/>
        </w:rPr>
        <w:t>землепользования</w:t>
      </w:r>
      <w:r>
        <w:rPr>
          <w:lang w:val="ru-RU"/>
        </w:rPr>
        <w:t>.</w:t>
      </w:r>
      <w:r>
        <w:rPr>
          <w:rFonts w:eastAsia="Malgun Gothic"/>
          <w:kern w:val="22"/>
          <w:szCs w:val="22"/>
          <w:lang w:val="ru-RU"/>
        </w:rPr>
        <w:t xml:space="preserve"> </w:t>
      </w:r>
    </w:p>
    <w:p w:rsidR="0063735B" w:rsidRPr="00DB3D43" w:rsidRDefault="0063735B" w:rsidP="0063735B">
      <w:pPr>
        <w:pStyle w:val="BodyText"/>
        <w:numPr>
          <w:ilvl w:val="0"/>
          <w:numId w:val="16"/>
        </w:numPr>
        <w:suppressLineNumbers/>
        <w:tabs>
          <w:tab w:val="clear" w:pos="3240"/>
        </w:tabs>
        <w:suppressAutoHyphens/>
        <w:ind w:left="720" w:firstLine="0"/>
        <w:rPr>
          <w:kern w:val="22"/>
          <w:szCs w:val="22"/>
          <w:lang w:val="ru-RU"/>
        </w:rPr>
      </w:pPr>
      <w:r>
        <w:rPr>
          <w:i/>
          <w:lang w:val="ru-RU"/>
        </w:rPr>
        <w:t>Концепция на</w:t>
      </w:r>
      <w:r w:rsidR="002446D7">
        <w:rPr>
          <w:i/>
          <w:lang w:val="ru-RU"/>
        </w:rPr>
        <w:t xml:space="preserve"> период до</w:t>
      </w:r>
      <w:r>
        <w:rPr>
          <w:i/>
          <w:lang w:val="ru-RU"/>
        </w:rPr>
        <w:t xml:space="preserve"> 2050 год</w:t>
      </w:r>
      <w:r w:rsidR="002446D7">
        <w:rPr>
          <w:i/>
          <w:lang w:val="ru-RU"/>
        </w:rPr>
        <w:t>а</w:t>
      </w:r>
      <w:r>
        <w:rPr>
          <w:i/>
          <w:lang w:val="ru-RU"/>
        </w:rPr>
        <w:t xml:space="preserve"> согласуется с Повесткой дня в области устойчивого развития на период до 2030 года и другими международными целями.</w:t>
      </w:r>
      <w:r>
        <w:rPr>
          <w:lang w:val="ru-RU"/>
        </w:rPr>
        <w:t xml:space="preserve"> Прогресс в ходе осуществления Повестки дня в области устойчивого развития на период до 2030 года позволит устранить многие факторы утраты биоразнообразия, а также поддержит цели в области биоразнообразия за счет создания благоприятных условий для их достижения. Комплексный и неразложимый характер Повестки означает необходимость достижения всех целей, и сценарии и модели могут ориентировать выбор политик</w:t>
      </w:r>
      <w:r w:rsidRPr="00BE6EA1">
        <w:rPr>
          <w:lang w:val="ru-RU"/>
        </w:rPr>
        <w:t xml:space="preserve"> и мер</w:t>
      </w:r>
      <w:r>
        <w:rPr>
          <w:lang w:val="ru-RU"/>
        </w:rPr>
        <w:t xml:space="preserve"> и выявлять их ограничения, подчеркивая необходимость согласования политики. </w:t>
      </w:r>
    </w:p>
    <w:p w:rsidR="0063735B" w:rsidRPr="00320C49" w:rsidRDefault="0063735B" w:rsidP="0063735B">
      <w:pPr>
        <w:pStyle w:val="BodyText"/>
        <w:numPr>
          <w:ilvl w:val="0"/>
          <w:numId w:val="16"/>
        </w:numPr>
        <w:suppressLineNumbers/>
        <w:tabs>
          <w:tab w:val="clear" w:pos="3240"/>
        </w:tabs>
        <w:suppressAutoHyphens/>
        <w:ind w:left="720" w:firstLine="0"/>
        <w:rPr>
          <w:kern w:val="22"/>
          <w:szCs w:val="22"/>
          <w:lang w:val="ru-RU"/>
        </w:rPr>
      </w:pPr>
      <w:r>
        <w:rPr>
          <w:i/>
          <w:lang w:val="ru-RU"/>
        </w:rPr>
        <w:t>Сценарии и модели могут быть полезны для обоснования и реализации глобальной рамочной программы в области биоразнообразия на период после 2020 года.</w:t>
      </w:r>
      <w:r>
        <w:rPr>
          <w:lang w:val="ru-RU"/>
        </w:rPr>
        <w:t xml:space="preserve"> Разработка текущего Стратегического плана в области сохранения и устойчивого использования биоразнообразия на 2011-2020 годы основывалась на сценариях изменения биоразнообразия, в том числе тех, которые были подготовлены для третьего издания </w:t>
      </w:r>
      <w:r>
        <w:rPr>
          <w:i/>
          <w:lang w:val="ru-RU"/>
        </w:rPr>
        <w:t>Глобальной перспективы в области биоразнообразия</w:t>
      </w:r>
      <w:r>
        <w:rPr>
          <w:lang w:val="ru-RU"/>
        </w:rPr>
        <w:t>. Сценарии, разработанные на соответствующих уровнях, также могут использоваться для обоснования выработки политических мер и их реализации на национальных уровнях.</w:t>
      </w:r>
    </w:p>
    <w:p w:rsidR="000A7220" w:rsidRPr="004E140A" w:rsidRDefault="0063735B" w:rsidP="002446D7">
      <w:pPr>
        <w:pStyle w:val="BodyText"/>
        <w:numPr>
          <w:ilvl w:val="0"/>
          <w:numId w:val="16"/>
        </w:numPr>
        <w:suppressLineNumbers/>
        <w:tabs>
          <w:tab w:val="clear" w:pos="3240"/>
        </w:tabs>
        <w:suppressAutoHyphens/>
        <w:ind w:left="720" w:firstLine="0"/>
        <w:rPr>
          <w:szCs w:val="22"/>
          <w:lang w:val="ru-RU"/>
        </w:rPr>
      </w:pPr>
      <w:r>
        <w:rPr>
          <w:i/>
          <w:lang w:val="ru-RU"/>
        </w:rPr>
        <w:t xml:space="preserve">Анализы сценариев, в которых учитываются региональные, национальные или местные обстоятельства, содержат информацию для использования при стратегическом планировании в целях сохранения и устойчивого использования </w:t>
      </w:r>
      <w:r>
        <w:rPr>
          <w:i/>
          <w:lang w:val="ru-RU"/>
        </w:rPr>
        <w:lastRenderedPageBreak/>
        <w:t>биоразнообразия.</w:t>
      </w:r>
      <w:r>
        <w:rPr>
          <w:lang w:val="ru-RU"/>
        </w:rPr>
        <w:t xml:space="preserve"> Поэтому они могут быть непосредственно использованы при разработке национальных стратегий и планов действий в области биоразнообразия. Кроме того, включение в анализ сценариев подходов, предполагающих широкое участие заинтересованных сторон, является ценным инструментом для укрепления потенциала по принятию решений, ориентированных на сохранение и устойчивое использование биоразнообразия. Это позволяет заинтересованным сторонам узнавать о взаимосвязях между биоразнообразием и другими секторами, а также о том, как дополнительные преимущества могут повысить благосостояние людей</w:t>
      </w:r>
    </w:p>
    <w:p w:rsidR="000A7220" w:rsidRPr="004E140A" w:rsidRDefault="000A7220" w:rsidP="00B15FF0">
      <w:pPr>
        <w:spacing w:before="100" w:beforeAutospacing="1" w:after="100" w:afterAutospacing="1"/>
        <w:jc w:val="center"/>
        <w:rPr>
          <w:kern w:val="22"/>
          <w:lang w:val="ru-RU"/>
        </w:rPr>
      </w:pPr>
      <w:r w:rsidRPr="004E140A">
        <w:rPr>
          <w:lang w:val="ru-RU"/>
        </w:rPr>
        <w:t>__________</w:t>
      </w:r>
    </w:p>
    <w:p w:rsidR="00736BC2" w:rsidRPr="004E140A" w:rsidRDefault="00736BC2" w:rsidP="00B15FF0">
      <w:pPr>
        <w:spacing w:before="100" w:beforeAutospacing="1" w:after="100" w:afterAutospacing="1"/>
        <w:rPr>
          <w:lang w:val="ru-RU"/>
        </w:rPr>
      </w:pPr>
    </w:p>
    <w:sectPr w:rsidR="00736BC2" w:rsidRPr="004E140A" w:rsidSect="00726F90">
      <w:headerReference w:type="even" r:id="rId15"/>
      <w:headerReference w:type="default" r:id="rId16"/>
      <w:headerReference w:type="first" r:id="rId17"/>
      <w:footerReference w:type="first" r:id="rId18"/>
      <w:type w:val="continuous"/>
      <w:pgSz w:w="12240" w:h="15840" w:code="1"/>
      <w:pgMar w:top="1021" w:right="1440" w:bottom="1134" w:left="1440" w:header="45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4C3" w:rsidRDefault="008724C3">
      <w:r>
        <w:separator/>
      </w:r>
    </w:p>
  </w:endnote>
  <w:endnote w:type="continuationSeparator" w:id="0">
    <w:p w:rsidR="008724C3" w:rsidRDefault="0087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 Bold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AA" w:rsidRDefault="00E602AA" w:rsidP="008361CA">
    <w:pPr>
      <w:pStyle w:val="Footer"/>
      <w:tabs>
        <w:tab w:val="clear" w:pos="4320"/>
        <w:tab w:val="clear" w:pos="8640"/>
      </w:tabs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4C3" w:rsidRDefault="008724C3">
      <w:r>
        <w:separator/>
      </w:r>
    </w:p>
  </w:footnote>
  <w:footnote w:type="continuationSeparator" w:id="0">
    <w:p w:rsidR="008724C3" w:rsidRDefault="008724C3">
      <w:r>
        <w:continuationSeparator/>
      </w:r>
    </w:p>
  </w:footnote>
  <w:footnote w:id="1">
    <w:p w:rsidR="0063735B" w:rsidRPr="00E43595" w:rsidRDefault="0063735B" w:rsidP="0063735B">
      <w:pPr>
        <w:pStyle w:val="FootnoteText"/>
        <w:keepLines w:val="0"/>
        <w:spacing w:after="0"/>
        <w:ind w:firstLine="0"/>
        <w:rPr>
          <w:sz w:val="16"/>
          <w:szCs w:val="16"/>
        </w:rPr>
      </w:pPr>
      <w:r w:rsidRPr="00467159">
        <w:rPr>
          <w:rStyle w:val="FootnoteReference"/>
          <w:sz w:val="16"/>
          <w:szCs w:val="16"/>
          <w:vertAlign w:val="superscript"/>
          <w:lang w:val="ru-RU"/>
        </w:rPr>
        <w:footnoteRef/>
      </w:r>
      <w:r w:rsidRPr="00467159">
        <w:rPr>
          <w:sz w:val="16"/>
          <w:szCs w:val="16"/>
          <w:lang w:val="ru-RU"/>
        </w:rPr>
        <w:t xml:space="preserve"> </w:t>
      </w:r>
      <w:r w:rsidRPr="00E43595">
        <w:rPr>
          <w:sz w:val="16"/>
          <w:szCs w:val="16"/>
          <w:lang w:val="ru-RU"/>
        </w:rPr>
        <w:t xml:space="preserve">Приложение к </w:t>
      </w:r>
      <w:hyperlink r:id="rId1" w:history="1">
        <w:r w:rsidRPr="00E43595">
          <w:rPr>
            <w:rStyle w:val="Hyperlink"/>
            <w:sz w:val="16"/>
            <w:szCs w:val="16"/>
            <w:lang w:val="ru-RU"/>
          </w:rPr>
          <w:t>реше</w:t>
        </w:r>
        <w:r w:rsidRPr="00E43595">
          <w:rPr>
            <w:rStyle w:val="Hyperlink"/>
            <w:sz w:val="16"/>
            <w:szCs w:val="16"/>
            <w:lang w:val="ru-RU"/>
          </w:rPr>
          <w:t>н</w:t>
        </w:r>
        <w:r w:rsidRPr="00E43595">
          <w:rPr>
            <w:rStyle w:val="Hyperlink"/>
            <w:sz w:val="16"/>
            <w:szCs w:val="16"/>
            <w:lang w:val="ru-RU"/>
          </w:rPr>
          <w:t>ию X/2</w:t>
        </w:r>
      </w:hyperlink>
      <w:r w:rsidRPr="00E43595">
        <w:rPr>
          <w:sz w:val="16"/>
          <w:szCs w:val="16"/>
          <w:lang w:val="ru-RU"/>
        </w:rPr>
        <w:t>.</w:t>
      </w:r>
    </w:p>
  </w:footnote>
  <w:footnote w:id="2">
    <w:p w:rsidR="0063735B" w:rsidRPr="00E43595" w:rsidRDefault="0063735B" w:rsidP="0063735B">
      <w:pPr>
        <w:pStyle w:val="FootnoteText"/>
        <w:keepLines w:val="0"/>
        <w:ind w:firstLine="0"/>
        <w:jc w:val="left"/>
        <w:rPr>
          <w:kern w:val="18"/>
          <w:sz w:val="16"/>
          <w:szCs w:val="16"/>
        </w:rPr>
      </w:pPr>
      <w:r w:rsidRPr="00E43595">
        <w:rPr>
          <w:rStyle w:val="FootnoteReference"/>
          <w:kern w:val="18"/>
          <w:sz w:val="16"/>
          <w:szCs w:val="16"/>
          <w:vertAlign w:val="superscript"/>
        </w:rPr>
        <w:footnoteRef/>
      </w:r>
      <w:r w:rsidRPr="00E43595">
        <w:rPr>
          <w:kern w:val="18"/>
          <w:sz w:val="16"/>
          <w:szCs w:val="16"/>
        </w:rPr>
        <w:t xml:space="preserve"> </w:t>
      </w:r>
      <w:hyperlink r:id="rId2" w:history="1">
        <w:r w:rsidRPr="00E43595">
          <w:rPr>
            <w:rStyle w:val="Hyperlink"/>
            <w:iCs/>
            <w:kern w:val="18"/>
            <w:sz w:val="16"/>
            <w:szCs w:val="16"/>
          </w:rPr>
          <w:t>CBD/S</w:t>
        </w:r>
        <w:r w:rsidRPr="00E43595">
          <w:rPr>
            <w:rStyle w:val="Hyperlink"/>
            <w:iCs/>
            <w:kern w:val="18"/>
            <w:sz w:val="16"/>
            <w:szCs w:val="16"/>
          </w:rPr>
          <w:t>B</w:t>
        </w:r>
        <w:r w:rsidRPr="00E43595">
          <w:rPr>
            <w:rStyle w:val="Hyperlink"/>
            <w:iCs/>
            <w:kern w:val="18"/>
            <w:sz w:val="16"/>
            <w:szCs w:val="16"/>
          </w:rPr>
          <w:t>ST</w:t>
        </w:r>
        <w:r w:rsidRPr="00E43595">
          <w:rPr>
            <w:rStyle w:val="Hyperlink"/>
            <w:iCs/>
            <w:kern w:val="18"/>
            <w:sz w:val="16"/>
            <w:szCs w:val="16"/>
          </w:rPr>
          <w:t>T</w:t>
        </w:r>
        <w:r w:rsidRPr="00E43595">
          <w:rPr>
            <w:rStyle w:val="Hyperlink"/>
            <w:iCs/>
            <w:kern w:val="18"/>
            <w:sz w:val="16"/>
            <w:szCs w:val="16"/>
          </w:rPr>
          <w:t>A/21/2</w:t>
        </w:r>
      </w:hyperlink>
      <w:r w:rsidRPr="00E43595">
        <w:rPr>
          <w:iCs/>
          <w:kern w:val="18"/>
          <w:sz w:val="16"/>
          <w:szCs w:val="16"/>
        </w:rPr>
        <w:t xml:space="preserve"> </w:t>
      </w:r>
      <w:r w:rsidRPr="00E43595">
        <w:rPr>
          <w:iCs/>
          <w:kern w:val="18"/>
          <w:sz w:val="16"/>
          <w:szCs w:val="16"/>
          <w:lang w:val="ru-RU"/>
        </w:rPr>
        <w:t>и</w:t>
      </w:r>
      <w:r w:rsidRPr="00E43595">
        <w:rPr>
          <w:iCs/>
          <w:kern w:val="18"/>
          <w:sz w:val="16"/>
          <w:szCs w:val="16"/>
        </w:rPr>
        <w:t xml:space="preserve"> </w:t>
      </w:r>
      <w:hyperlink r:id="rId3" w:history="1">
        <w:r w:rsidRPr="00E43595">
          <w:rPr>
            <w:rStyle w:val="Hyperlink"/>
            <w:iCs/>
            <w:kern w:val="18"/>
            <w:sz w:val="16"/>
            <w:szCs w:val="16"/>
          </w:rPr>
          <w:t>Add.1</w:t>
        </w:r>
      </w:hyperlink>
      <w:r w:rsidRPr="00E43595">
        <w:rPr>
          <w:iCs/>
          <w:kern w:val="18"/>
          <w:sz w:val="16"/>
          <w:szCs w:val="16"/>
        </w:rPr>
        <w:t>.</w:t>
      </w:r>
    </w:p>
  </w:footnote>
  <w:footnote w:id="3">
    <w:p w:rsidR="0063735B" w:rsidRPr="00DD1D50" w:rsidRDefault="0063735B" w:rsidP="0063735B">
      <w:pPr>
        <w:pStyle w:val="FootnoteText"/>
        <w:keepLines w:val="0"/>
        <w:ind w:firstLine="0"/>
        <w:jc w:val="left"/>
        <w:rPr>
          <w:kern w:val="18"/>
        </w:rPr>
      </w:pPr>
      <w:r w:rsidRPr="00E43595">
        <w:rPr>
          <w:rStyle w:val="FootnoteReference"/>
          <w:kern w:val="18"/>
          <w:sz w:val="16"/>
          <w:szCs w:val="16"/>
          <w:vertAlign w:val="superscript"/>
        </w:rPr>
        <w:footnoteRef/>
      </w:r>
      <w:r w:rsidRPr="00E43595">
        <w:rPr>
          <w:kern w:val="18"/>
          <w:sz w:val="16"/>
          <w:szCs w:val="16"/>
        </w:rPr>
        <w:t xml:space="preserve"> </w:t>
      </w:r>
      <w:hyperlink r:id="rId4" w:history="1">
        <w:r w:rsidRPr="00E43595">
          <w:rPr>
            <w:rStyle w:val="Hyperlink"/>
            <w:kern w:val="18"/>
            <w:sz w:val="16"/>
            <w:szCs w:val="16"/>
          </w:rPr>
          <w:t>CBD/SBSTTA/21/INF/2</w:t>
        </w:r>
      </w:hyperlink>
      <w:r w:rsidRPr="00E43595">
        <w:rPr>
          <w:kern w:val="18"/>
          <w:sz w:val="16"/>
          <w:szCs w:val="16"/>
        </w:rPr>
        <w:t xml:space="preserve">, </w:t>
      </w:r>
      <w:hyperlink r:id="rId5" w:history="1">
        <w:r w:rsidRPr="00E43595">
          <w:rPr>
            <w:rStyle w:val="Hyperlink"/>
            <w:kern w:val="18"/>
            <w:sz w:val="16"/>
            <w:szCs w:val="16"/>
          </w:rPr>
          <w:t>CBD/SBSTTA/21/INF/3</w:t>
        </w:r>
      </w:hyperlink>
      <w:r w:rsidRPr="00E43595">
        <w:rPr>
          <w:kern w:val="18"/>
          <w:sz w:val="16"/>
          <w:szCs w:val="16"/>
        </w:rPr>
        <w:t xml:space="preserve">, </w:t>
      </w:r>
      <w:hyperlink r:id="rId6" w:history="1">
        <w:r w:rsidRPr="00E43595">
          <w:rPr>
            <w:rStyle w:val="Hyperlink"/>
            <w:kern w:val="18"/>
            <w:sz w:val="16"/>
            <w:szCs w:val="16"/>
          </w:rPr>
          <w:t>CBD/SBSTTA/21/INF/4</w:t>
        </w:r>
      </w:hyperlink>
      <w:r w:rsidRPr="00E43595">
        <w:rPr>
          <w:kern w:val="18"/>
          <w:sz w:val="16"/>
          <w:szCs w:val="16"/>
        </w:rPr>
        <w:t xml:space="preserve"> </w:t>
      </w:r>
      <w:r w:rsidRPr="00E43595">
        <w:rPr>
          <w:kern w:val="18"/>
          <w:sz w:val="16"/>
          <w:szCs w:val="16"/>
          <w:lang w:val="ru-RU"/>
        </w:rPr>
        <w:t>и</w:t>
      </w:r>
      <w:r w:rsidRPr="00E43595">
        <w:rPr>
          <w:kern w:val="18"/>
          <w:sz w:val="16"/>
          <w:szCs w:val="16"/>
        </w:rPr>
        <w:t xml:space="preserve"> </w:t>
      </w:r>
      <w:hyperlink r:id="rId7" w:history="1">
        <w:r w:rsidRPr="00E43595">
          <w:rPr>
            <w:rStyle w:val="Hyperlink"/>
            <w:kern w:val="18"/>
            <w:sz w:val="16"/>
            <w:szCs w:val="16"/>
          </w:rPr>
          <w:t>CBD/SBSTTA/21/INF/18</w:t>
        </w:r>
      </w:hyperlink>
      <w:r w:rsidRPr="00E43595">
        <w:rPr>
          <w:kern w:val="18"/>
          <w:sz w:val="16"/>
          <w:szCs w:val="16"/>
        </w:rPr>
        <w:t>.</w:t>
      </w:r>
    </w:p>
  </w:footnote>
  <w:footnote w:id="4">
    <w:p w:rsidR="0063735B" w:rsidRPr="00773B67" w:rsidRDefault="0063735B" w:rsidP="0063735B">
      <w:pPr>
        <w:pStyle w:val="FootnoteText"/>
        <w:keepLines w:val="0"/>
        <w:spacing w:after="0"/>
        <w:ind w:firstLine="0"/>
        <w:rPr>
          <w:lang w:val="ru-RU"/>
        </w:rPr>
      </w:pPr>
      <w:r w:rsidRPr="00467159">
        <w:rPr>
          <w:rStyle w:val="FootnoteReference"/>
          <w:sz w:val="16"/>
          <w:szCs w:val="16"/>
          <w:vertAlign w:val="superscript"/>
          <w:lang w:val="ru-RU"/>
        </w:rPr>
        <w:footnoteRef/>
      </w:r>
      <w:r w:rsidRPr="00DB3D43">
        <w:rPr>
          <w:sz w:val="16"/>
          <w:szCs w:val="16"/>
        </w:rPr>
        <w:t xml:space="preserve"> </w:t>
      </w:r>
      <w:r w:rsidRPr="00467159">
        <w:rPr>
          <w:sz w:val="16"/>
          <w:szCs w:val="16"/>
          <w:lang w:val="ru-RU"/>
        </w:rPr>
        <w:t>См</w:t>
      </w:r>
      <w:r w:rsidRPr="00DB3D43">
        <w:rPr>
          <w:sz w:val="16"/>
          <w:szCs w:val="16"/>
        </w:rPr>
        <w:t xml:space="preserve">. </w:t>
      </w:r>
      <w:hyperlink r:id="rId8" w:history="1">
        <w:r w:rsidR="00773B67" w:rsidRPr="00773B67">
          <w:rPr>
            <w:rStyle w:val="Hyperlink"/>
            <w:sz w:val="16"/>
            <w:szCs w:val="16"/>
            <w:lang w:val="en-US"/>
          </w:rPr>
          <w:t>https://www.ipbes.net/deliverables/3c-scenarios-and-modelling</w:t>
        </w:r>
      </w:hyperlink>
      <w:r w:rsidR="00773B67">
        <w:rPr>
          <w:sz w:val="16"/>
          <w:szCs w:val="16"/>
          <w:lang w:val="ru-RU"/>
        </w:rPr>
        <w:t xml:space="preserve"> и </w:t>
      </w:r>
      <w:hyperlink r:id="rId9" w:history="1">
        <w:r w:rsidR="00773B67" w:rsidRPr="00773B67">
          <w:rPr>
            <w:rStyle w:val="Hyperlink"/>
            <w:sz w:val="16"/>
            <w:szCs w:val="16"/>
          </w:rPr>
          <w:t>CBD/SBSTTA/21/INF/18</w:t>
        </w:r>
      </w:hyperlink>
      <w:r w:rsidR="00773B67">
        <w:rPr>
          <w:sz w:val="16"/>
          <w:szCs w:val="16"/>
          <w:lang w:val="ru-RU"/>
        </w:rPr>
        <w:t>.</w:t>
      </w:r>
    </w:p>
  </w:footnote>
  <w:footnote w:id="5">
    <w:p w:rsidR="0063735B" w:rsidRPr="00DB3D43" w:rsidRDefault="0063735B" w:rsidP="0063735B">
      <w:pPr>
        <w:pStyle w:val="FootnoteText"/>
        <w:keepLines w:val="0"/>
        <w:spacing w:after="0"/>
        <w:ind w:firstLine="0"/>
        <w:rPr>
          <w:lang w:val="ru-RU"/>
        </w:rPr>
      </w:pPr>
      <w:r w:rsidRPr="00467159">
        <w:rPr>
          <w:rStyle w:val="FootnoteReference"/>
          <w:kern w:val="18"/>
          <w:sz w:val="16"/>
          <w:szCs w:val="16"/>
          <w:vertAlign w:val="superscript"/>
          <w:lang w:val="ru-RU"/>
        </w:rPr>
        <w:footnoteRef/>
      </w:r>
      <w:r w:rsidRPr="00467159">
        <w:rPr>
          <w:sz w:val="16"/>
          <w:szCs w:val="16"/>
          <w:lang w:val="ru-RU"/>
        </w:rPr>
        <w:t xml:space="preserve"> Пункт 16 </w:t>
      </w:r>
      <w:hyperlink r:id="rId10" w:history="1">
        <w:r w:rsidRPr="00773B67">
          <w:rPr>
            <w:rStyle w:val="Hyperlink"/>
            <w:sz w:val="16"/>
            <w:szCs w:val="16"/>
            <w:lang w:val="ru-RU"/>
          </w:rPr>
          <w:t>предварительной повестки дня второго совещания Вспомогательного органа по осуществлению</w:t>
        </w:r>
      </w:hyperlink>
      <w:r w:rsidRPr="00467159">
        <w:rPr>
          <w:sz w:val="16"/>
          <w:szCs w:val="16"/>
          <w:lang w:val="ru-RU"/>
        </w:rPr>
        <w:t>.</w:t>
      </w:r>
    </w:p>
  </w:footnote>
  <w:footnote w:id="6">
    <w:p w:rsidR="0063735B" w:rsidRPr="00DB3D43" w:rsidRDefault="0063735B" w:rsidP="0063735B">
      <w:pPr>
        <w:pStyle w:val="FootnoteText"/>
        <w:keepLines w:val="0"/>
        <w:spacing w:after="0"/>
        <w:ind w:firstLine="0"/>
        <w:rPr>
          <w:lang w:val="ru-RU"/>
        </w:rPr>
      </w:pPr>
      <w:r w:rsidRPr="00467159">
        <w:rPr>
          <w:rStyle w:val="FootnoteReference"/>
          <w:kern w:val="18"/>
          <w:sz w:val="16"/>
          <w:szCs w:val="16"/>
          <w:vertAlign w:val="superscript"/>
          <w:lang w:val="ru-RU"/>
        </w:rPr>
        <w:footnoteRef/>
      </w:r>
      <w:r w:rsidRPr="00467159">
        <w:rPr>
          <w:sz w:val="16"/>
          <w:szCs w:val="16"/>
          <w:lang w:val="ru-RU"/>
        </w:rPr>
        <w:t xml:space="preserve"> Приложение к </w:t>
      </w:r>
      <w:hyperlink r:id="rId11" w:history="1">
        <w:r w:rsidRPr="00773B67">
          <w:rPr>
            <w:rStyle w:val="Hyperlink"/>
            <w:sz w:val="16"/>
            <w:szCs w:val="16"/>
            <w:lang w:val="ru-RU"/>
          </w:rPr>
          <w:t>резолюции 70/1 Генеральной Ассамблеи</w:t>
        </w:r>
      </w:hyperlink>
      <w:r w:rsidRPr="00467159">
        <w:rPr>
          <w:sz w:val="16"/>
          <w:szCs w:val="16"/>
          <w:lang w:val="ru-RU"/>
        </w:rPr>
        <w:t>.</w:t>
      </w:r>
    </w:p>
  </w:footnote>
  <w:footnote w:id="7">
    <w:p w:rsidR="0063735B" w:rsidRDefault="0063735B" w:rsidP="0063735B">
      <w:pPr>
        <w:pStyle w:val="FootnoteText"/>
        <w:keepLines w:val="0"/>
        <w:spacing w:after="0"/>
        <w:ind w:firstLine="0"/>
      </w:pPr>
      <w:r w:rsidRPr="00467159">
        <w:rPr>
          <w:rStyle w:val="FootnoteReference"/>
          <w:kern w:val="18"/>
          <w:sz w:val="16"/>
          <w:szCs w:val="16"/>
          <w:vertAlign w:val="superscript"/>
          <w:lang w:val="ru-RU"/>
        </w:rPr>
        <w:footnoteRef/>
      </w:r>
      <w:r w:rsidRPr="00467159">
        <w:rPr>
          <w:sz w:val="16"/>
          <w:szCs w:val="16"/>
          <w:lang w:val="ru-RU"/>
        </w:rPr>
        <w:t xml:space="preserve"> Приложение </w:t>
      </w:r>
      <w:r w:rsidR="00773B67" w:rsidRPr="00773B67">
        <w:rPr>
          <w:sz w:val="16"/>
          <w:szCs w:val="16"/>
          <w:lang w:val="ru-RU"/>
        </w:rPr>
        <w:t xml:space="preserve">к </w:t>
      </w:r>
      <w:hyperlink r:id="rId12" w:history="1">
        <w:r w:rsidR="00773B67" w:rsidRPr="00773B67">
          <w:rPr>
            <w:rStyle w:val="Hyperlink"/>
            <w:sz w:val="16"/>
            <w:szCs w:val="16"/>
            <w:lang w:val="ru-RU"/>
          </w:rPr>
          <w:t>решению X/2</w:t>
        </w:r>
      </w:hyperlink>
      <w:r w:rsidRPr="00467159">
        <w:rPr>
          <w:sz w:val="16"/>
          <w:szCs w:val="16"/>
          <w:lang w:val="ru-RU"/>
        </w:rPr>
        <w:t>.</w:t>
      </w:r>
    </w:p>
  </w:footnote>
  <w:footnote w:id="8">
    <w:p w:rsidR="0063735B" w:rsidRPr="00DB3D43" w:rsidRDefault="0063735B" w:rsidP="0063735B">
      <w:pPr>
        <w:pStyle w:val="FootnoteText"/>
        <w:keepLines w:val="0"/>
        <w:spacing w:after="0"/>
        <w:ind w:firstLine="0"/>
        <w:rPr>
          <w:lang w:val="ru-RU"/>
        </w:rPr>
      </w:pPr>
      <w:r w:rsidRPr="00467159">
        <w:rPr>
          <w:rStyle w:val="FootnoteReference"/>
          <w:kern w:val="18"/>
          <w:sz w:val="16"/>
          <w:szCs w:val="16"/>
          <w:vertAlign w:val="superscript"/>
          <w:lang w:val="ru-RU"/>
        </w:rPr>
        <w:footnoteRef/>
      </w:r>
      <w:r w:rsidRPr="00DB3D43">
        <w:rPr>
          <w:sz w:val="16"/>
          <w:szCs w:val="16"/>
        </w:rPr>
        <w:t xml:space="preserve"> </w:t>
      </w:r>
      <w:hyperlink r:id="rId13" w:history="1">
        <w:r w:rsidR="00773B67" w:rsidRPr="00773B67">
          <w:rPr>
            <w:rStyle w:val="Hyperlink"/>
            <w:iCs/>
            <w:sz w:val="16"/>
            <w:szCs w:val="16"/>
          </w:rPr>
          <w:t>CBD/SBSTTA/21/2</w:t>
        </w:r>
      </w:hyperlink>
      <w:r w:rsidR="00773B67" w:rsidRPr="00773B67">
        <w:rPr>
          <w:iCs/>
          <w:sz w:val="16"/>
          <w:szCs w:val="16"/>
        </w:rPr>
        <w:t xml:space="preserve"> </w:t>
      </w:r>
      <w:r w:rsidR="00773B67" w:rsidRPr="00773B67">
        <w:rPr>
          <w:iCs/>
          <w:sz w:val="16"/>
          <w:szCs w:val="16"/>
          <w:lang w:val="ru-RU"/>
        </w:rPr>
        <w:t>и</w:t>
      </w:r>
      <w:r w:rsidR="00773B67" w:rsidRPr="00773B67">
        <w:rPr>
          <w:iCs/>
          <w:sz w:val="16"/>
          <w:szCs w:val="16"/>
        </w:rPr>
        <w:t xml:space="preserve"> </w:t>
      </w:r>
      <w:hyperlink r:id="rId14" w:history="1">
        <w:r w:rsidR="00773B67" w:rsidRPr="00773B67">
          <w:rPr>
            <w:rStyle w:val="Hyperlink"/>
            <w:iCs/>
            <w:sz w:val="16"/>
            <w:szCs w:val="16"/>
          </w:rPr>
          <w:t>Add.1</w:t>
        </w:r>
      </w:hyperlink>
      <w:r w:rsidRPr="00DB3D43">
        <w:rPr>
          <w:sz w:val="16"/>
          <w:szCs w:val="16"/>
        </w:rPr>
        <w:t xml:space="preserve">, </w:t>
      </w:r>
      <w:hyperlink r:id="rId15" w:history="1">
        <w:r w:rsidR="00773B67" w:rsidRPr="00773B67">
          <w:rPr>
            <w:rStyle w:val="Hyperlink"/>
            <w:sz w:val="16"/>
            <w:szCs w:val="16"/>
          </w:rPr>
          <w:t>CBD/SBSTTA/21/INF/2</w:t>
        </w:r>
      </w:hyperlink>
      <w:r w:rsidR="00773B67" w:rsidRPr="00773B67">
        <w:rPr>
          <w:sz w:val="16"/>
          <w:szCs w:val="16"/>
        </w:rPr>
        <w:t xml:space="preserve">, </w:t>
      </w:r>
      <w:hyperlink r:id="rId16" w:history="1">
        <w:r w:rsidR="00773B67" w:rsidRPr="00773B67">
          <w:rPr>
            <w:rStyle w:val="Hyperlink"/>
            <w:sz w:val="16"/>
            <w:szCs w:val="16"/>
          </w:rPr>
          <w:t>INF/3</w:t>
        </w:r>
      </w:hyperlink>
      <w:r w:rsidR="00773B67" w:rsidRPr="00773B67">
        <w:rPr>
          <w:sz w:val="16"/>
          <w:szCs w:val="16"/>
        </w:rPr>
        <w:t xml:space="preserve">, </w:t>
      </w:r>
      <w:hyperlink r:id="rId17" w:history="1">
        <w:r w:rsidR="00773B67" w:rsidRPr="00773B67">
          <w:rPr>
            <w:rStyle w:val="Hyperlink"/>
            <w:sz w:val="16"/>
            <w:szCs w:val="16"/>
          </w:rPr>
          <w:t>INF/4</w:t>
        </w:r>
      </w:hyperlink>
      <w:r w:rsidR="00773B67" w:rsidRPr="00773B67">
        <w:rPr>
          <w:sz w:val="16"/>
          <w:szCs w:val="16"/>
        </w:rPr>
        <w:t xml:space="preserve">, </w:t>
      </w:r>
      <w:hyperlink r:id="rId18" w:history="1">
        <w:r w:rsidR="00773B67" w:rsidRPr="00773B67">
          <w:rPr>
            <w:rStyle w:val="Hyperlink"/>
            <w:sz w:val="16"/>
            <w:szCs w:val="16"/>
          </w:rPr>
          <w:t>INF/18</w:t>
        </w:r>
      </w:hyperlink>
      <w:r w:rsidRPr="00DB3D43">
        <w:rPr>
          <w:sz w:val="16"/>
          <w:szCs w:val="16"/>
        </w:rPr>
        <w:t xml:space="preserve">. </w:t>
      </w:r>
      <w:r w:rsidRPr="00467159">
        <w:rPr>
          <w:sz w:val="16"/>
          <w:szCs w:val="16"/>
          <w:lang w:val="ru-RU"/>
        </w:rPr>
        <w:t>Информационные документы будут обновлены в свете коллегиального обзора, проведение которого было поручено в рекомендации XXI/</w:t>
      </w:r>
      <w:r w:rsidR="00773B67">
        <w:rPr>
          <w:sz w:val="16"/>
          <w:szCs w:val="16"/>
          <w:lang w:val="ru-RU"/>
        </w:rPr>
        <w:t>1 Вспомогательного органа</w:t>
      </w:r>
      <w:r w:rsidRPr="00467159">
        <w:rPr>
          <w:sz w:val="16"/>
          <w:szCs w:val="16"/>
          <w:lang w:val="ru-RU"/>
        </w:rPr>
        <w:t>.</w:t>
      </w:r>
    </w:p>
  </w:footnote>
  <w:footnote w:id="9">
    <w:p w:rsidR="00A203AA" w:rsidRPr="00E43595" w:rsidRDefault="00A203AA" w:rsidP="00E6346E">
      <w:pPr>
        <w:pStyle w:val="FootnoteText"/>
        <w:keepLines w:val="0"/>
        <w:spacing w:after="0"/>
        <w:ind w:firstLine="0"/>
        <w:rPr>
          <w:kern w:val="18"/>
          <w:sz w:val="16"/>
          <w:szCs w:val="16"/>
          <w:lang w:val="ru-RU"/>
        </w:rPr>
      </w:pPr>
      <w:r w:rsidRPr="008A54F9">
        <w:rPr>
          <w:rStyle w:val="FootnoteReference"/>
          <w:kern w:val="18"/>
          <w:vertAlign w:val="superscript"/>
        </w:rPr>
        <w:footnoteRef/>
      </w:r>
      <w:r w:rsidRPr="008A54F9">
        <w:rPr>
          <w:kern w:val="18"/>
        </w:rPr>
        <w:t xml:space="preserve"> </w:t>
      </w:r>
      <w:r w:rsidRPr="00E43595">
        <w:rPr>
          <w:kern w:val="18"/>
          <w:sz w:val="16"/>
          <w:szCs w:val="16"/>
          <w:lang w:val="ru-RU"/>
        </w:rPr>
        <w:t xml:space="preserve">См. также </w:t>
      </w:r>
      <w:r w:rsidRPr="00E43595">
        <w:rPr>
          <w:sz w:val="16"/>
          <w:szCs w:val="16"/>
          <w:lang w:val="ru-RU"/>
        </w:rPr>
        <w:t>Leadley</w:t>
      </w:r>
      <w:r w:rsidRPr="00E43595">
        <w:rPr>
          <w:kern w:val="18"/>
          <w:sz w:val="16"/>
          <w:szCs w:val="16"/>
          <w:lang w:val="ru-RU"/>
        </w:rPr>
        <w:t xml:space="preserve"> et al (2014 г.), Progress towards the Aichi Biodiversity Targets: An Assessment of Biodiversity Trends, Policy Scenarios and Key Actions (Результаты выполнения целевых задач по сохранению и устойчивому использованию биоразнообразия, принятых в Айти: оценка тенденций, сценариев политики и ключевых мер в области биоразнообразия). Секретариат Конвенции о биологическом разнообразии, Техническая серия 78 (</w:t>
      </w:r>
      <w:hyperlink r:id="rId19" w:history="1">
        <w:r w:rsidRPr="00E43595">
          <w:rPr>
            <w:rStyle w:val="Hyperlink"/>
            <w:kern w:val="18"/>
            <w:sz w:val="16"/>
            <w:szCs w:val="16"/>
            <w:lang w:val="ru-RU"/>
          </w:rPr>
          <w:t>https://www.cbd.int/do</w:t>
        </w:r>
        <w:r w:rsidRPr="00E43595">
          <w:rPr>
            <w:rStyle w:val="Hyperlink"/>
            <w:kern w:val="18"/>
            <w:sz w:val="16"/>
            <w:szCs w:val="16"/>
            <w:lang w:val="ru-RU"/>
          </w:rPr>
          <w:t>c</w:t>
        </w:r>
        <w:r w:rsidRPr="00E43595">
          <w:rPr>
            <w:rStyle w:val="Hyperlink"/>
            <w:kern w:val="18"/>
            <w:sz w:val="16"/>
            <w:szCs w:val="16"/>
            <w:lang w:val="ru-RU"/>
          </w:rPr>
          <w:t>/publications/</w:t>
        </w:r>
        <w:r w:rsidRPr="00E43595">
          <w:rPr>
            <w:rStyle w:val="Hyperlink"/>
            <w:kern w:val="18"/>
            <w:sz w:val="16"/>
            <w:szCs w:val="16"/>
            <w:lang w:val="ru-RU"/>
          </w:rPr>
          <w:t>c</w:t>
        </w:r>
        <w:r w:rsidRPr="00E43595">
          <w:rPr>
            <w:rStyle w:val="Hyperlink"/>
            <w:kern w:val="18"/>
            <w:sz w:val="16"/>
            <w:szCs w:val="16"/>
            <w:lang w:val="ru-RU"/>
          </w:rPr>
          <w:t>bd-ts-78-en.pdf</w:t>
        </w:r>
      </w:hyperlink>
      <w:r w:rsidRPr="00E43595">
        <w:rPr>
          <w:kern w:val="18"/>
          <w:sz w:val="16"/>
          <w:szCs w:val="16"/>
          <w:lang w:val="ru-RU"/>
        </w:rPr>
        <w:t>), и Kok, &amp; Alkemade (eds) (2014 г.), How sectors can contribute to sustainable use and conservation of biodiversity (Каким образом сектора могут способствовать устойчивому использованию и сохранению биоразнообразия), Секретариат Конвенции о биологическом разнообразии и Нидерландское агентство по оценке окружающей среды (PBL), Техническая серия 79 (https://www.cbd.int/doc/publications/cbd-ts-79-en.pdf).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AA" w:rsidRPr="00B15FF0" w:rsidRDefault="00E602AA" w:rsidP="00B15FF0">
    <w:pPr>
      <w:rPr>
        <w:noProof/>
        <w:kern w:val="22"/>
      </w:rPr>
    </w:pPr>
    <w:r w:rsidRPr="002E1220">
      <w:rPr>
        <w:snapToGrid w:val="0"/>
        <w:kern w:val="22"/>
      </w:rPr>
      <w:t>CBD/SBSTTA/REC/XX</w:t>
    </w:r>
    <w:r w:rsidR="00C92798">
      <w:rPr>
        <w:snapToGrid w:val="0"/>
        <w:kern w:val="22"/>
      </w:rPr>
      <w:t>I</w:t>
    </w:r>
    <w:r w:rsidRPr="002E1220">
      <w:rPr>
        <w:snapToGrid w:val="0"/>
        <w:kern w:val="22"/>
      </w:rPr>
      <w:t>/</w:t>
    </w:r>
    <w:r w:rsidR="0063735B">
      <w:rPr>
        <w:snapToGrid w:val="0"/>
        <w:kern w:val="22"/>
        <w:lang w:val="ru-RU"/>
      </w:rPr>
      <w:t>1</w:t>
    </w:r>
  </w:p>
  <w:p w:rsidR="00E602AA" w:rsidRPr="00B15FF0" w:rsidRDefault="00E602AA" w:rsidP="00B15FF0">
    <w:pPr>
      <w:pStyle w:val="Header"/>
      <w:rPr>
        <w:noProof/>
        <w:kern w:val="22"/>
      </w:rPr>
    </w:pPr>
    <w:r>
      <w:rPr>
        <w:noProof/>
        <w:kern w:val="22"/>
        <w:lang w:val="ru-RU"/>
      </w:rPr>
      <w:t>Страница</w:t>
    </w:r>
    <w:r w:rsidRPr="00B15FF0">
      <w:rPr>
        <w:noProof/>
        <w:kern w:val="22"/>
      </w:rPr>
      <w:t xml:space="preserve"> </w:t>
    </w:r>
    <w:r w:rsidRPr="00B15FF0">
      <w:rPr>
        <w:noProof/>
        <w:kern w:val="22"/>
      </w:rPr>
      <w:fldChar w:fldCharType="begin"/>
    </w:r>
    <w:r w:rsidRPr="00B15FF0">
      <w:rPr>
        <w:noProof/>
        <w:kern w:val="22"/>
      </w:rPr>
      <w:instrText xml:space="preserve"> PAGE   \* MERGEFORMAT </w:instrText>
    </w:r>
    <w:r w:rsidRPr="00B15FF0">
      <w:rPr>
        <w:noProof/>
        <w:kern w:val="22"/>
      </w:rPr>
      <w:fldChar w:fldCharType="separate"/>
    </w:r>
    <w:r w:rsidR="005B2FE2">
      <w:rPr>
        <w:noProof/>
        <w:kern w:val="22"/>
      </w:rPr>
      <w:t>6</w:t>
    </w:r>
    <w:r w:rsidRPr="00B15FF0">
      <w:rPr>
        <w:noProof/>
        <w:kern w:val="22"/>
      </w:rPr>
      <w:fldChar w:fldCharType="end"/>
    </w:r>
  </w:p>
  <w:p w:rsidR="00E602AA" w:rsidRPr="00B15FF0" w:rsidRDefault="00E602AA" w:rsidP="00B15FF0">
    <w:pPr>
      <w:pStyle w:val="Header"/>
      <w:rPr>
        <w:noProof/>
        <w:kern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798" w:rsidRPr="00C92798" w:rsidRDefault="00C92798" w:rsidP="00C92798">
    <w:pPr>
      <w:pStyle w:val="Header"/>
      <w:jc w:val="right"/>
    </w:pPr>
    <w:r w:rsidRPr="00C92798">
      <w:t>CBD/SBSTTA/REC/XXI/</w:t>
    </w:r>
    <w:r w:rsidR="0063735B">
      <w:rPr>
        <w:lang w:val="ru-RU"/>
      </w:rPr>
      <w:t>1</w:t>
    </w:r>
  </w:p>
  <w:p w:rsidR="00C92798" w:rsidRPr="00C92798" w:rsidRDefault="00C92798" w:rsidP="00C92798">
    <w:pPr>
      <w:pStyle w:val="Header"/>
      <w:jc w:val="right"/>
    </w:pPr>
    <w:r w:rsidRPr="00C92798">
      <w:rPr>
        <w:lang w:val="ru-RU"/>
      </w:rPr>
      <w:t>Страница</w:t>
    </w:r>
    <w:r w:rsidRPr="00C92798">
      <w:t xml:space="preserve"> </w:t>
    </w:r>
    <w:r w:rsidRPr="00C92798">
      <w:fldChar w:fldCharType="begin"/>
    </w:r>
    <w:r w:rsidRPr="00C92798">
      <w:instrText xml:space="preserve"> PAGE   \* MERGEFORMAT </w:instrText>
    </w:r>
    <w:r w:rsidRPr="00C92798">
      <w:fldChar w:fldCharType="separate"/>
    </w:r>
    <w:r w:rsidR="005B2FE2">
      <w:rPr>
        <w:noProof/>
      </w:rPr>
      <w:t>7</w:t>
    </w:r>
    <w:r w:rsidRPr="00C92798">
      <w:fldChar w:fldCharType="end"/>
    </w:r>
  </w:p>
  <w:p w:rsidR="00C92798" w:rsidRPr="00C92798" w:rsidRDefault="00C92798" w:rsidP="00C92798">
    <w:pPr>
      <w:pStyle w:val="Header"/>
      <w:jc w:val="right"/>
    </w:pPr>
  </w:p>
  <w:p w:rsidR="00C92798" w:rsidRDefault="00C927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AA" w:rsidRDefault="00E602AA" w:rsidP="00B15FF0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12"/>
    <w:lvl w:ilvl="0">
      <w:start w:val="1"/>
      <w:numFmt w:val="decimal"/>
      <w:pStyle w:val="Para1-Annex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/>
        <w:b w:val="0"/>
        <w:i w:val="0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13403434"/>
    <w:multiLevelType w:val="hybridMultilevel"/>
    <w:tmpl w:val="C02623F6"/>
    <w:lvl w:ilvl="0" w:tplc="BE94B0EA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199B07DA"/>
    <w:multiLevelType w:val="multilevel"/>
    <w:tmpl w:val="E0525A9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lowerRoman"/>
      <w:lvlText w:val=" %7)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3">
    <w:nsid w:val="25C77BB4"/>
    <w:multiLevelType w:val="hybridMultilevel"/>
    <w:tmpl w:val="DE32E8F8"/>
    <w:lvl w:ilvl="0" w:tplc="3A6CBDCC">
      <w:start w:val="1"/>
      <w:numFmt w:val="decimal"/>
      <w:lvlText w:val="%1."/>
      <w:lvlJc w:val="left"/>
      <w:pPr>
        <w:ind w:left="2520" w:hanging="360"/>
      </w:pPr>
      <w:rPr>
        <w:rFonts w:cs="Times New Roman"/>
        <w:i w:val="0"/>
      </w:rPr>
    </w:lvl>
    <w:lvl w:ilvl="1" w:tplc="CAB40D4C">
      <w:start w:val="1"/>
      <w:numFmt w:val="lowerLetter"/>
      <w:lvlText w:val="%2)"/>
      <w:lvlJc w:val="left"/>
      <w:pPr>
        <w:ind w:left="3240" w:hanging="360"/>
      </w:pPr>
      <w:rPr>
        <w:rFonts w:cs="Times New Roman" w:hint="default"/>
        <w:b w:val="0"/>
      </w:r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4">
    <w:nsid w:val="2BBF6D1E"/>
    <w:multiLevelType w:val="hybridMultilevel"/>
    <w:tmpl w:val="4718F22A"/>
    <w:lvl w:ilvl="0" w:tplc="AA2CF00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0336B8"/>
    <w:multiLevelType w:val="multilevel"/>
    <w:tmpl w:val="99BA12E0"/>
    <w:name w:val="WW8Num11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>
    <w:nsid w:val="40165948"/>
    <w:multiLevelType w:val="hybridMultilevel"/>
    <w:tmpl w:val="2EE8BF76"/>
    <w:lvl w:ilvl="0">
      <w:start w:val="1"/>
      <w:numFmt w:val="decimal"/>
      <w:pStyle w:val="Para1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9774E7"/>
    <w:multiLevelType w:val="hybridMultilevel"/>
    <w:tmpl w:val="456A47AA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44CC7FBB"/>
    <w:multiLevelType w:val="hybridMultilevel"/>
    <w:tmpl w:val="45E4BE68"/>
    <w:lvl w:ilvl="0" w:tplc="9640839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E0442B4"/>
    <w:multiLevelType w:val="multilevel"/>
    <w:tmpl w:val="4FF0117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pStyle w:val="TOC9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4FE95575"/>
    <w:multiLevelType w:val="hybridMultilevel"/>
    <w:tmpl w:val="C38A262E"/>
    <w:lvl w:ilvl="0">
      <w:start w:val="1"/>
      <w:numFmt w:val="lowerLetter"/>
      <w:lvlText w:val=" %1)"/>
      <w:lvlJc w:val="left"/>
      <w:pPr>
        <w:tabs>
          <w:tab w:val="num" w:pos="0"/>
        </w:tabs>
        <w:ind w:left="1440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56780C09"/>
    <w:multiLevelType w:val="hybridMultilevel"/>
    <w:tmpl w:val="69E6FFEA"/>
    <w:lvl w:ilvl="0" w:tplc="080C0001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090017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80C0001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3">
    <w:nsid w:val="62A23AF6"/>
    <w:multiLevelType w:val="hybridMultilevel"/>
    <w:tmpl w:val="425C1418"/>
    <w:lvl w:ilvl="0" w:tplc="0409000F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6A354F3F"/>
    <w:multiLevelType w:val="hybridMultilevel"/>
    <w:tmpl w:val="3A3C894E"/>
    <w:lvl w:ilvl="0" w:tplc="B8CCF4E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/>
      </w:rPr>
    </w:lvl>
    <w:lvl w:ilvl="1" w:tplc="F25E8CE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b w:val="0"/>
        <w:color w:val="000000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C8D1230"/>
    <w:multiLevelType w:val="hybridMultilevel"/>
    <w:tmpl w:val="EA6256D0"/>
    <w:lvl w:ilvl="0" w:tplc="F25E8CE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0"/>
  </w:num>
  <w:num w:numId="5">
    <w:abstractNumId w:val="9"/>
  </w:num>
  <w:num w:numId="6">
    <w:abstractNumId w:val="6"/>
  </w:num>
  <w:num w:numId="7">
    <w:abstractNumId w:val="11"/>
  </w:num>
  <w:num w:numId="8">
    <w:abstractNumId w:val="0"/>
  </w:num>
  <w:num w:numId="9">
    <w:abstractNumId w:val="1"/>
  </w:num>
  <w:num w:numId="10">
    <w:abstractNumId w:val="12"/>
  </w:num>
  <w:num w:numId="11">
    <w:abstractNumId w:val="4"/>
  </w:num>
  <w:num w:numId="12">
    <w:abstractNumId w:val="13"/>
  </w:num>
  <w:num w:numId="13">
    <w:abstractNumId w:val="2"/>
  </w:num>
  <w:num w:numId="14">
    <w:abstractNumId w:val="14"/>
    <w:lvlOverride w:ilvl="0">
      <w:lvl w:ilvl="0" w:tplc="B8CCF4EE">
        <w:numFmt w:val="decimal"/>
        <w:lvlText w:val=""/>
        <w:lvlJc w:val="left"/>
        <w:rPr>
          <w:rFonts w:cs="Times New Roman"/>
        </w:rPr>
      </w:lvl>
    </w:lvlOverride>
    <w:lvlOverride w:ilvl="1">
      <w:lvl w:ilvl="1" w:tplc="F25E8CE8">
        <w:start w:val="1"/>
        <w:numFmt w:val="lowerLetter"/>
        <w:lvlText w:val="%2)"/>
        <w:lvlJc w:val="left"/>
        <w:pPr>
          <w:ind w:left="1440" w:hanging="360"/>
        </w:pPr>
        <w:rPr>
          <w:rFonts w:cs="Times New Roman" w:hint="default"/>
          <w:b w:val="0"/>
          <w:color w:val="000000"/>
        </w:rPr>
      </w:lvl>
    </w:lvlOverride>
  </w:num>
  <w:num w:numId="15">
    <w:abstractNumId w:val="3"/>
    <w:lvlOverride w:ilvl="0">
      <w:lvl w:ilvl="0" w:tplc="3A6CBDCC">
        <w:start w:val="1"/>
        <w:numFmt w:val="decimal"/>
        <w:lvlText w:val="%1."/>
        <w:lvlJc w:val="left"/>
        <w:pPr>
          <w:ind w:left="2520" w:hanging="360"/>
        </w:pPr>
        <w:rPr>
          <w:rFonts w:cs="Times New Roman"/>
          <w:i w:val="0"/>
        </w:rPr>
      </w:lvl>
    </w:lvlOverride>
    <w:lvlOverride w:ilvl="1">
      <w:lvl w:ilvl="1" w:tplc="CAB40D4C">
        <w:start w:val="1"/>
        <w:numFmt w:val="lowerLetter"/>
        <w:lvlText w:val="%2)"/>
        <w:lvlJc w:val="left"/>
        <w:pPr>
          <w:ind w:left="3240" w:hanging="360"/>
        </w:pPr>
        <w:rPr>
          <w:rFonts w:cs="Times New Roman" w:hint="default"/>
          <w:b w:val="0"/>
        </w:rPr>
      </w:lvl>
    </w:lvlOverride>
  </w:num>
  <w:num w:numId="16">
    <w:abstractNumId w:val="7"/>
    <w:lvlOverride w:ilvl="0">
      <w:lvl w:ilvl="0" w:tplc="0409000F">
        <w:start w:val="1"/>
        <w:numFmt w:val="decimal"/>
        <w:lvlText w:val="%1."/>
        <w:lvlJc w:val="left"/>
        <w:pPr>
          <w:tabs>
            <w:tab w:val="num" w:pos="3240"/>
          </w:tabs>
          <w:ind w:left="3240" w:hanging="360"/>
        </w:pPr>
        <w:rPr>
          <w:rFonts w:cs="Times New Roman" w:hint="default"/>
          <w:b w:val="0"/>
        </w:rPr>
      </w:lvl>
    </w:lvlOverride>
  </w:num>
  <w:num w:numId="17">
    <w:abstractNumId w:val="14"/>
  </w:num>
  <w:num w:numId="18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evenAndOddHeaders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EBD"/>
    <w:rsid w:val="000019F9"/>
    <w:rsid w:val="00032254"/>
    <w:rsid w:val="00062398"/>
    <w:rsid w:val="00070BF7"/>
    <w:rsid w:val="000711E1"/>
    <w:rsid w:val="000A5550"/>
    <w:rsid w:val="000A7220"/>
    <w:rsid w:val="000B6666"/>
    <w:rsid w:val="000C10E1"/>
    <w:rsid w:val="000C252B"/>
    <w:rsid w:val="000C7BE4"/>
    <w:rsid w:val="000E2F78"/>
    <w:rsid w:val="000F1F06"/>
    <w:rsid w:val="000F63AB"/>
    <w:rsid w:val="00116418"/>
    <w:rsid w:val="0012218A"/>
    <w:rsid w:val="0012633E"/>
    <w:rsid w:val="0013786E"/>
    <w:rsid w:val="00141B25"/>
    <w:rsid w:val="00166273"/>
    <w:rsid w:val="00173327"/>
    <w:rsid w:val="00185288"/>
    <w:rsid w:val="00192075"/>
    <w:rsid w:val="0019637E"/>
    <w:rsid w:val="001C5F95"/>
    <w:rsid w:val="001D7F4F"/>
    <w:rsid w:val="0020629D"/>
    <w:rsid w:val="0021283D"/>
    <w:rsid w:val="00226CCC"/>
    <w:rsid w:val="00227853"/>
    <w:rsid w:val="002446D7"/>
    <w:rsid w:val="00251E04"/>
    <w:rsid w:val="00293EBD"/>
    <w:rsid w:val="002A16E6"/>
    <w:rsid w:val="002A2CB8"/>
    <w:rsid w:val="002B3335"/>
    <w:rsid w:val="002B6ECA"/>
    <w:rsid w:val="002B6F7D"/>
    <w:rsid w:val="002C2433"/>
    <w:rsid w:val="002D3730"/>
    <w:rsid w:val="002D613B"/>
    <w:rsid w:val="00320C08"/>
    <w:rsid w:val="003740E9"/>
    <w:rsid w:val="00380470"/>
    <w:rsid w:val="00397E40"/>
    <w:rsid w:val="003A721D"/>
    <w:rsid w:val="003C19C6"/>
    <w:rsid w:val="003C4191"/>
    <w:rsid w:val="003C7B64"/>
    <w:rsid w:val="003D462B"/>
    <w:rsid w:val="003D7CF6"/>
    <w:rsid w:val="003E5D1E"/>
    <w:rsid w:val="003F2D5A"/>
    <w:rsid w:val="004148C6"/>
    <w:rsid w:val="0042455F"/>
    <w:rsid w:val="00431FA8"/>
    <w:rsid w:val="0044505A"/>
    <w:rsid w:val="00484B8F"/>
    <w:rsid w:val="004A4369"/>
    <w:rsid w:val="004C14A0"/>
    <w:rsid w:val="004C16A9"/>
    <w:rsid w:val="004D728B"/>
    <w:rsid w:val="004E140A"/>
    <w:rsid w:val="004F7AAC"/>
    <w:rsid w:val="00500F5E"/>
    <w:rsid w:val="00501567"/>
    <w:rsid w:val="005033FC"/>
    <w:rsid w:val="00511D8C"/>
    <w:rsid w:val="0053458F"/>
    <w:rsid w:val="00534A24"/>
    <w:rsid w:val="0056089C"/>
    <w:rsid w:val="00592849"/>
    <w:rsid w:val="005975F1"/>
    <w:rsid w:val="005B2FE2"/>
    <w:rsid w:val="005C4F62"/>
    <w:rsid w:val="005E3E89"/>
    <w:rsid w:val="005E77AA"/>
    <w:rsid w:val="00607303"/>
    <w:rsid w:val="006073CD"/>
    <w:rsid w:val="0063386D"/>
    <w:rsid w:val="0063735B"/>
    <w:rsid w:val="006441B1"/>
    <w:rsid w:val="006472E6"/>
    <w:rsid w:val="006507F2"/>
    <w:rsid w:val="00694690"/>
    <w:rsid w:val="006963F5"/>
    <w:rsid w:val="006A0BD2"/>
    <w:rsid w:val="00701571"/>
    <w:rsid w:val="00722D13"/>
    <w:rsid w:val="00725C01"/>
    <w:rsid w:val="00726AA9"/>
    <w:rsid w:val="00726F90"/>
    <w:rsid w:val="00727994"/>
    <w:rsid w:val="00730AE3"/>
    <w:rsid w:val="00736BC2"/>
    <w:rsid w:val="00753BB7"/>
    <w:rsid w:val="007579D0"/>
    <w:rsid w:val="00766841"/>
    <w:rsid w:val="007672F0"/>
    <w:rsid w:val="00773B67"/>
    <w:rsid w:val="00785982"/>
    <w:rsid w:val="0079325E"/>
    <w:rsid w:val="007A67D0"/>
    <w:rsid w:val="007E3813"/>
    <w:rsid w:val="007E6F89"/>
    <w:rsid w:val="00811C5C"/>
    <w:rsid w:val="00821D9A"/>
    <w:rsid w:val="0082341A"/>
    <w:rsid w:val="008361CA"/>
    <w:rsid w:val="00841DD0"/>
    <w:rsid w:val="008452F6"/>
    <w:rsid w:val="00862D66"/>
    <w:rsid w:val="008724C3"/>
    <w:rsid w:val="008747C1"/>
    <w:rsid w:val="008774CC"/>
    <w:rsid w:val="00880C6C"/>
    <w:rsid w:val="008D2354"/>
    <w:rsid w:val="008F177A"/>
    <w:rsid w:val="008F429B"/>
    <w:rsid w:val="008F5CB0"/>
    <w:rsid w:val="00914CF0"/>
    <w:rsid w:val="00916A99"/>
    <w:rsid w:val="00920910"/>
    <w:rsid w:val="009352F1"/>
    <w:rsid w:val="00966AE3"/>
    <w:rsid w:val="00967B6B"/>
    <w:rsid w:val="00972798"/>
    <w:rsid w:val="009A5181"/>
    <w:rsid w:val="009B4798"/>
    <w:rsid w:val="009C3913"/>
    <w:rsid w:val="009C555B"/>
    <w:rsid w:val="009C696D"/>
    <w:rsid w:val="009D1BB0"/>
    <w:rsid w:val="009F3FD1"/>
    <w:rsid w:val="009F7B67"/>
    <w:rsid w:val="00A203AA"/>
    <w:rsid w:val="00A30202"/>
    <w:rsid w:val="00A55A16"/>
    <w:rsid w:val="00A6069E"/>
    <w:rsid w:val="00A63C12"/>
    <w:rsid w:val="00A77F7E"/>
    <w:rsid w:val="00A90C88"/>
    <w:rsid w:val="00AC345B"/>
    <w:rsid w:val="00AC3D97"/>
    <w:rsid w:val="00AE2F44"/>
    <w:rsid w:val="00B15FF0"/>
    <w:rsid w:val="00B360D7"/>
    <w:rsid w:val="00B54033"/>
    <w:rsid w:val="00B67F66"/>
    <w:rsid w:val="00B70BCF"/>
    <w:rsid w:val="00B83E5B"/>
    <w:rsid w:val="00B858EB"/>
    <w:rsid w:val="00BA062C"/>
    <w:rsid w:val="00BA1498"/>
    <w:rsid w:val="00BB4190"/>
    <w:rsid w:val="00BF7E16"/>
    <w:rsid w:val="00C25BA6"/>
    <w:rsid w:val="00C31FC0"/>
    <w:rsid w:val="00C33F23"/>
    <w:rsid w:val="00C374F5"/>
    <w:rsid w:val="00C60B82"/>
    <w:rsid w:val="00C8695C"/>
    <w:rsid w:val="00C92798"/>
    <w:rsid w:val="00D0283A"/>
    <w:rsid w:val="00D17401"/>
    <w:rsid w:val="00D35B6B"/>
    <w:rsid w:val="00D54AF3"/>
    <w:rsid w:val="00D865DA"/>
    <w:rsid w:val="00DA47DA"/>
    <w:rsid w:val="00DD4A75"/>
    <w:rsid w:val="00E2517E"/>
    <w:rsid w:val="00E33CF7"/>
    <w:rsid w:val="00E43595"/>
    <w:rsid w:val="00E536C3"/>
    <w:rsid w:val="00E602AA"/>
    <w:rsid w:val="00E6346E"/>
    <w:rsid w:val="00E67B5D"/>
    <w:rsid w:val="00EA19AB"/>
    <w:rsid w:val="00EA7525"/>
    <w:rsid w:val="00EB6160"/>
    <w:rsid w:val="00EE1C81"/>
    <w:rsid w:val="00EE51DB"/>
    <w:rsid w:val="00F02DAD"/>
    <w:rsid w:val="00F10E33"/>
    <w:rsid w:val="00F378C9"/>
    <w:rsid w:val="00F440CA"/>
    <w:rsid w:val="00F523D4"/>
    <w:rsid w:val="00F55560"/>
    <w:rsid w:val="00F73B1A"/>
    <w:rsid w:val="00F76188"/>
    <w:rsid w:val="00F8337D"/>
    <w:rsid w:val="00F836AB"/>
    <w:rsid w:val="00F85999"/>
    <w:rsid w:val="00FB7C32"/>
    <w:rsid w:val="00FC2746"/>
    <w:rsid w:val="00FC2F2F"/>
    <w:rsid w:val="00FF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Simple 2" w:locked="1"/>
    <w:lsdException w:name="Table Simple 3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83D"/>
    <w:pPr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Heading2"/>
    <w:link w:val="Heading1Char"/>
    <w:uiPriority w:val="99"/>
    <w:qFormat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qFormat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uiPriority w:val="99"/>
    <w:qFormat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qFormat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qFormat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ind w:firstLine="720"/>
      <w:jc w:val="right"/>
    </w:pPr>
  </w:style>
  <w:style w:type="paragraph" w:customStyle="1" w:styleId="Para10">
    <w:name w:val="Para1"/>
    <w:basedOn w:val="Normal"/>
    <w:link w:val="Para1Char1"/>
    <w:uiPriority w:val="99"/>
    <w:pPr>
      <w:spacing w:before="120" w:after="120"/>
    </w:pPr>
    <w:rPr>
      <w:snapToGrid w:val="0"/>
      <w:szCs w:val="18"/>
    </w:rPr>
  </w:style>
  <w:style w:type="paragraph" w:styleId="FootnoteText">
    <w:name w:val="footnote text"/>
    <w:aliases w:val="fn,Geneva 9,Font: Geneva 9,Boston 10,f,ft,Fotnotstext Char,ft Char,single space,FOOTNOTES,ADB,single space1,footnote text1,FOOTNOTES1,fn1,ADB1,single space2,footnote text2,FOOTNOTES2,fn2,ADB2,single space3,footnote text3,fn3"/>
    <w:basedOn w:val="Normal"/>
    <w:link w:val="FootnoteTextChar"/>
    <w:uiPriority w:val="99"/>
    <w:qFormat/>
    <w:pPr>
      <w:keepLines/>
      <w:spacing w:after="60"/>
      <w:ind w:firstLine="720"/>
    </w:pPr>
    <w:rPr>
      <w:sz w:val="18"/>
      <w:lang w:eastAsia="x-none"/>
    </w:rPr>
  </w:style>
  <w:style w:type="paragraph" w:styleId="BodyText">
    <w:name w:val="Body Text"/>
    <w:aliases w:val="Car"/>
    <w:basedOn w:val="Normal"/>
    <w:link w:val="BodyTextChar"/>
    <w:uiPriority w:val="99"/>
    <w:pPr>
      <w:spacing w:before="120" w:after="120"/>
      <w:ind w:firstLine="720"/>
    </w:pPr>
    <w:rPr>
      <w:iCs/>
    </w:rPr>
  </w:style>
  <w:style w:type="character" w:customStyle="1" w:styleId="StyleFootnoteReferenceNounderline">
    <w:name w:val="Style Footnote Reference + No underline"/>
    <w:rsid w:val="006507F2"/>
    <w:rPr>
      <w:sz w:val="18"/>
      <w:u w:val="none"/>
      <w:vertAlign w:val="baseline"/>
    </w:rPr>
  </w:style>
  <w:style w:type="paragraph" w:customStyle="1" w:styleId="Quotationtextindented">
    <w:name w:val="Quotation text (indented)"/>
    <w:basedOn w:val="Normal"/>
    <w:qFormat/>
    <w:rsid w:val="006507F2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6507F2"/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spacing w:after="120" w:line="240" w:lineRule="exact"/>
    </w:p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pa"/>
    <w:qFormat/>
    <w:rPr>
      <w:sz w:val="18"/>
      <w:u w:val="single"/>
      <w:vertAlign w:val="baseline"/>
    </w:rPr>
  </w:style>
  <w:style w:type="paragraph" w:styleId="BodyTextIndent">
    <w:name w:val="Body Text Indent"/>
    <w:basedOn w:val="Normal"/>
    <w:pPr>
      <w:spacing w:before="120" w:after="120"/>
      <w:ind w:left="1440" w:hanging="720"/>
      <w:jc w:val="left"/>
    </w:pPr>
  </w:style>
  <w:style w:type="character" w:styleId="PageNumber">
    <w:name w:val="page number"/>
    <w:rPr>
      <w:rFonts w:ascii="Times New Roman" w:hAnsi="Times New Roman"/>
      <w:sz w:val="22"/>
    </w:rPr>
  </w:style>
  <w:style w:type="paragraph" w:customStyle="1" w:styleId="HEADING">
    <w:name w:val="HEADING"/>
    <w:basedOn w:val="Normal"/>
    <w:uiPriority w:val="99"/>
    <w:pPr>
      <w:keepNext/>
      <w:spacing w:before="240" w:after="120"/>
      <w:jc w:val="center"/>
    </w:pPr>
    <w:rPr>
      <w:b/>
      <w:bCs/>
      <w:caps/>
    </w:rPr>
  </w:style>
  <w:style w:type="paragraph" w:customStyle="1" w:styleId="para4">
    <w:name w:val="para4"/>
    <w:basedOn w:val="Normal"/>
    <w:pPr>
      <w:numPr>
        <w:ilvl w:val="3"/>
        <w:numId w:val="5"/>
      </w:num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Heading4indent">
    <w:name w:val="Heading 4 indent"/>
    <w:basedOn w:val="Heading4"/>
    <w:rsid w:val="000F63AB"/>
    <w:pPr>
      <w:ind w:left="720"/>
      <w:outlineLvl w:val="9"/>
    </w:pPr>
    <w:rPr>
      <w:rFonts w:ascii="Times New Roman" w:hAnsi="Times New Roman"/>
    </w:rPr>
  </w:style>
  <w:style w:type="paragraph" w:customStyle="1" w:styleId="Cornernotation">
    <w:name w:val="Corner notation"/>
    <w:basedOn w:val="Normal"/>
    <w:uiPriority w:val="99"/>
    <w:rsid w:val="0012633E"/>
    <w:pPr>
      <w:ind w:left="170" w:right="4540" w:hanging="170"/>
      <w:jc w:val="left"/>
    </w:pPr>
  </w:style>
  <w:style w:type="paragraph" w:customStyle="1" w:styleId="Para3">
    <w:name w:val="Para3"/>
    <w:basedOn w:val="Normal"/>
    <w:uiPriority w:val="99"/>
    <w:pPr>
      <w:numPr>
        <w:ilvl w:val="2"/>
        <w:numId w:val="4"/>
      </w:numPr>
      <w:tabs>
        <w:tab w:val="left" w:pos="1980"/>
      </w:tabs>
      <w:spacing w:before="80" w:after="80"/>
    </w:pPr>
    <w:rPr>
      <w:szCs w:val="20"/>
    </w:rPr>
  </w:style>
  <w:style w:type="paragraph" w:customStyle="1" w:styleId="recommendationheaderlong">
    <w:name w:val="recommendation header long"/>
    <w:basedOn w:val="Heading2longmultiline"/>
    <w:qFormat/>
    <w:rsid w:val="000F63AB"/>
  </w:style>
  <w:style w:type="paragraph" w:customStyle="1" w:styleId="tabletitle">
    <w:name w:val="table title"/>
    <w:basedOn w:val="Heading2"/>
    <w:qFormat/>
    <w:rsid w:val="000F63AB"/>
    <w:pPr>
      <w:jc w:val="left"/>
      <w:outlineLvl w:val="9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styleId="TOC9">
    <w:name w:val="toc 9"/>
    <w:basedOn w:val="Normal"/>
    <w:next w:val="Normal"/>
    <w:autoRedefine/>
    <w:semiHidden/>
    <w:pPr>
      <w:spacing w:before="120" w:after="120"/>
      <w:ind w:left="1760"/>
      <w:jc w:val="left"/>
    </w:pPr>
  </w:style>
  <w:style w:type="paragraph" w:styleId="TOC1">
    <w:name w:val="toc 1"/>
    <w:basedOn w:val="Normal"/>
    <w:next w:val="Normal"/>
    <w:autoRedefine/>
    <w:semiHidden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pPr>
      <w:ind w:left="2160" w:hanging="720"/>
    </w:pPr>
  </w:style>
  <w:style w:type="paragraph" w:styleId="TOC4">
    <w:name w:val="toc 4"/>
    <w:basedOn w:val="Normal"/>
    <w:next w:val="Normal"/>
    <w:autoRedefine/>
    <w:semiHidden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pPr>
      <w:spacing w:before="120" w:after="120"/>
      <w:ind w:left="1540"/>
      <w:jc w:val="left"/>
    </w:pPr>
  </w:style>
  <w:style w:type="paragraph" w:customStyle="1" w:styleId="reference">
    <w:name w:val="reference"/>
    <w:basedOn w:val="Heading9"/>
    <w:qFormat/>
    <w:rsid w:val="000F63AB"/>
    <w:rPr>
      <w:i w:val="0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862D66"/>
    <w:pPr>
      <w:spacing w:after="120" w:line="480" w:lineRule="auto"/>
    </w:pPr>
  </w:style>
  <w:style w:type="paragraph" w:customStyle="1" w:styleId="Para2">
    <w:name w:val="Para2"/>
    <w:basedOn w:val="Para10"/>
    <w:pPr>
      <w:numPr>
        <w:numId w:val="3"/>
      </w:numPr>
      <w:tabs>
        <w:tab w:val="clear" w:pos="1080"/>
      </w:tabs>
      <w:autoSpaceDE w:val="0"/>
      <w:autoSpaceDN w:val="0"/>
      <w:ind w:left="0" w:firstLine="720"/>
    </w:pPr>
  </w:style>
  <w:style w:type="paragraph" w:customStyle="1" w:styleId="Para-decision">
    <w:name w:val="Para-decision"/>
    <w:basedOn w:val="Normal"/>
    <w:rsid w:val="007E6F89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color w:val="000000"/>
    </w:rPr>
  </w:style>
  <w:style w:type="character" w:customStyle="1" w:styleId="BodyText2Char">
    <w:name w:val="Body Text 2 Char"/>
    <w:link w:val="BodyText2"/>
    <w:uiPriority w:val="99"/>
    <w:rsid w:val="00862D66"/>
    <w:rPr>
      <w:sz w:val="22"/>
      <w:szCs w:val="24"/>
      <w:lang w:val="en-GB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paragraph" w:customStyle="1" w:styleId="Heading1longmultiline">
    <w:name w:val="Heading 1 (long multiline)"/>
    <w:basedOn w:val="Heading1"/>
    <w:pPr>
      <w:ind w:left="1843" w:hanging="1134"/>
      <w:jc w:val="left"/>
    </w:pPr>
  </w:style>
  <w:style w:type="paragraph" w:customStyle="1" w:styleId="Heading1multiline">
    <w:name w:val="Heading 1 (multiline)"/>
    <w:basedOn w:val="Heading1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Para10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pPr>
      <w:ind w:left="2127" w:hanging="1276"/>
    </w:pPr>
  </w:style>
  <w:style w:type="paragraph" w:customStyle="1" w:styleId="Heading3multiline">
    <w:name w:val="Heading 3 (multiline)"/>
    <w:basedOn w:val="Heading3"/>
    <w:next w:val="Para10"/>
    <w:pPr>
      <w:ind w:left="1418" w:hanging="425"/>
      <w:jc w:val="left"/>
    </w:pPr>
  </w:style>
  <w:style w:type="paragraph" w:customStyle="1" w:styleId="heading2notforTOC">
    <w:name w:val="heading 2 not for TOC"/>
    <w:basedOn w:val="Heading3"/>
    <w:rsid w:val="00A71706"/>
  </w:style>
  <w:style w:type="paragraph" w:customStyle="1" w:styleId="HEADINGNOTFORTOC">
    <w:name w:val="HEADING (NOT FOR TOC)"/>
    <w:basedOn w:val="Heading1"/>
    <w:next w:val="Heading2"/>
    <w:uiPriority w:val="99"/>
    <w:rsid w:val="00BB5903"/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S Char,ADB Char,single space1 Char,footnote text1 Char,FOOTNOTES1 Char,fn1 Char,ADB1 Char,fn2 Char"/>
    <w:link w:val="FootnoteText"/>
    <w:uiPriority w:val="99"/>
    <w:rsid w:val="000A7220"/>
    <w:rPr>
      <w:sz w:val="1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7DA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DA47DA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uiPriority w:val="99"/>
    <w:rsid w:val="008F429B"/>
    <w:rPr>
      <w:b/>
      <w:caps/>
      <w:sz w:val="22"/>
      <w:szCs w:val="24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E140A"/>
    <w:rPr>
      <w:b/>
      <w:bCs/>
      <w:i/>
      <w:iCs/>
      <w:sz w:val="22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E140A"/>
    <w:rPr>
      <w:sz w:val="22"/>
      <w:szCs w:val="24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E140A"/>
    <w:rPr>
      <w:sz w:val="22"/>
      <w:szCs w:val="24"/>
      <w:lang w:val="en-GB" w:eastAsia="en-US"/>
    </w:rPr>
  </w:style>
  <w:style w:type="character" w:styleId="Hyperlink">
    <w:name w:val="Hyperlink"/>
    <w:basedOn w:val="DefaultParagraphFont"/>
    <w:uiPriority w:val="99"/>
    <w:rsid w:val="004E140A"/>
    <w:rPr>
      <w:rFonts w:cs="Times New Roman"/>
      <w:color w:val="0000FF"/>
      <w:u w:val="single"/>
    </w:rPr>
  </w:style>
  <w:style w:type="paragraph" w:customStyle="1" w:styleId="Para1">
    <w:name w:val="Para 1"/>
    <w:basedOn w:val="BodyText"/>
    <w:uiPriority w:val="99"/>
    <w:rsid w:val="004E140A"/>
    <w:pPr>
      <w:numPr>
        <w:numId w:val="6"/>
      </w:numPr>
    </w:pPr>
    <w:rPr>
      <w:rFonts w:eastAsia="MS Mincho" w:cs="Angsana New"/>
      <w:bCs/>
      <w:iCs w:val="0"/>
      <w:szCs w:val="22"/>
      <w:lang w:val="ru-RU"/>
    </w:rPr>
  </w:style>
  <w:style w:type="paragraph" w:customStyle="1" w:styleId="Default">
    <w:name w:val="Default"/>
    <w:uiPriority w:val="99"/>
    <w:rsid w:val="004E14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ru-RU" w:eastAsia="en-US"/>
    </w:rPr>
  </w:style>
  <w:style w:type="paragraph" w:customStyle="1" w:styleId="DarkList-Accent51">
    <w:name w:val="Dark List - Accent 51"/>
    <w:basedOn w:val="Normal"/>
    <w:uiPriority w:val="99"/>
    <w:rsid w:val="004E140A"/>
    <w:pPr>
      <w:spacing w:after="240"/>
      <w:ind w:left="720"/>
      <w:contextualSpacing/>
      <w:jc w:val="left"/>
    </w:pPr>
    <w:rPr>
      <w:rFonts w:ascii="Calibri" w:hAnsi="Calibri"/>
      <w:sz w:val="24"/>
    </w:rPr>
  </w:style>
  <w:style w:type="paragraph" w:customStyle="1" w:styleId="LightList-Accent51">
    <w:name w:val="Light List - Accent 51"/>
    <w:basedOn w:val="Normal"/>
    <w:uiPriority w:val="99"/>
    <w:rsid w:val="004E140A"/>
    <w:pPr>
      <w:ind w:left="720"/>
      <w:contextualSpacing/>
    </w:pPr>
    <w:rPr>
      <w:rFonts w:cs="Angsana New"/>
    </w:rPr>
  </w:style>
  <w:style w:type="character" w:customStyle="1" w:styleId="st">
    <w:name w:val="st"/>
    <w:basedOn w:val="DefaultParagraphFont"/>
    <w:uiPriority w:val="99"/>
    <w:rsid w:val="004E140A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4E140A"/>
    <w:rPr>
      <w:rFonts w:cs="Times New Roman"/>
      <w:i/>
    </w:rPr>
  </w:style>
  <w:style w:type="paragraph" w:customStyle="1" w:styleId="Heading2-center">
    <w:name w:val="Heading 2-center"/>
    <w:basedOn w:val="Heading2"/>
    <w:rsid w:val="00511D8C"/>
    <w:pPr>
      <w:outlineLvl w:val="9"/>
    </w:pPr>
    <w:rPr>
      <w:rFonts w:eastAsia="Malgun Gothic"/>
      <w:i w:val="0"/>
      <w:iCs w:val="0"/>
      <w:caps/>
      <w:lang w:val="ru-RU" w:eastAsia="ru-RU"/>
    </w:rPr>
  </w:style>
  <w:style w:type="paragraph" w:customStyle="1" w:styleId="Para1-Annex">
    <w:name w:val="Para1-Annex"/>
    <w:basedOn w:val="Normal"/>
    <w:uiPriority w:val="99"/>
    <w:rsid w:val="000C10E1"/>
    <w:pPr>
      <w:numPr>
        <w:numId w:val="8"/>
      </w:numPr>
      <w:suppressAutoHyphens/>
      <w:spacing w:after="120"/>
    </w:pPr>
    <w:rPr>
      <w:szCs w:val="22"/>
      <w:lang w:val="en-US" w:eastAsia="ar-SA"/>
    </w:rPr>
  </w:style>
  <w:style w:type="character" w:customStyle="1" w:styleId="Para1Char1">
    <w:name w:val="Para1 Char1"/>
    <w:link w:val="Para10"/>
    <w:uiPriority w:val="99"/>
    <w:locked/>
    <w:rsid w:val="000C10E1"/>
    <w:rPr>
      <w:snapToGrid w:val="0"/>
      <w:sz w:val="22"/>
      <w:szCs w:val="18"/>
      <w:lang w:val="en-GB" w:eastAsia="en-US"/>
    </w:rPr>
  </w:style>
  <w:style w:type="character" w:customStyle="1" w:styleId="ListParagraphChar">
    <w:name w:val="List Paragraph Char"/>
    <w:aliases w:val="Dot pt Char,List Paragraph12 Char,MAIN CONTENT Char,List Paragraph2 Char,Rec para Char,List Paragraph1 Char,Recommendation Char,List Paragraph11 Char,F5 List Paragraph Char,List Paragraph Char Char Char Char,Indicator Text Char"/>
    <w:link w:val="ListParagraph"/>
    <w:uiPriority w:val="99"/>
    <w:locked/>
    <w:rsid w:val="000C10E1"/>
    <w:rPr>
      <w:sz w:val="24"/>
      <w:lang w:val="en-GB"/>
    </w:rPr>
  </w:style>
  <w:style w:type="paragraph" w:styleId="ListParagraph">
    <w:name w:val="List Paragraph"/>
    <w:aliases w:val="Dot pt,List Paragraph12,MAIN CONTENT,List Paragraph2,Rec para,List Paragraph1,Recommendation,List Paragraph11,F5 List Paragraph,List Paragraph Char Char Char,Indicator Text,Colorful List - Accent 11"/>
    <w:basedOn w:val="Normal"/>
    <w:link w:val="ListParagraphChar"/>
    <w:uiPriority w:val="99"/>
    <w:qFormat/>
    <w:rsid w:val="000C10E1"/>
    <w:pPr>
      <w:ind w:left="720"/>
      <w:contextualSpacing/>
    </w:pPr>
    <w:rPr>
      <w:sz w:val="24"/>
      <w:szCs w:val="20"/>
      <w:lang w:eastAsia="x-none"/>
    </w:rPr>
  </w:style>
  <w:style w:type="character" w:customStyle="1" w:styleId="StylePatternClearGray-15Kernat11pt">
    <w:name w:val="Style Pattern: Clear (Gray-15%) Kern at 11 pt"/>
    <w:uiPriority w:val="99"/>
    <w:rsid w:val="000C10E1"/>
    <w:rPr>
      <w:kern w:val="22"/>
      <w:bdr w:val="none" w:sz="0" w:space="0" w:color="auto" w:frame="1"/>
    </w:rPr>
  </w:style>
  <w:style w:type="paragraph" w:customStyle="1" w:styleId="recommendation">
    <w:name w:val="recommendation"/>
    <w:basedOn w:val="Heading2"/>
    <w:qFormat/>
    <w:rsid w:val="000C10E1"/>
    <w:pPr>
      <w:tabs>
        <w:tab w:val="clear" w:pos="720"/>
      </w:tabs>
      <w:spacing w:before="240" w:after="60" w:line="276" w:lineRule="auto"/>
      <w:jc w:val="left"/>
    </w:pPr>
    <w:rPr>
      <w:snapToGrid w:val="0"/>
      <w:kern w:val="2"/>
      <w:szCs w:val="22"/>
      <w:lang w:val="en-US"/>
    </w:rPr>
  </w:style>
  <w:style w:type="character" w:customStyle="1" w:styleId="BodyTextChar">
    <w:name w:val="Body Text Char"/>
    <w:aliases w:val="Car Char"/>
    <w:basedOn w:val="DefaultParagraphFont"/>
    <w:link w:val="BodyText"/>
    <w:uiPriority w:val="99"/>
    <w:locked/>
    <w:rsid w:val="0063735B"/>
    <w:rPr>
      <w:iCs/>
      <w:sz w:val="22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Simple 2" w:locked="1"/>
    <w:lsdException w:name="Table Simple 3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83D"/>
    <w:pPr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Heading2"/>
    <w:link w:val="Heading1Char"/>
    <w:uiPriority w:val="99"/>
    <w:qFormat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qFormat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uiPriority w:val="99"/>
    <w:qFormat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qFormat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qFormat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ind w:firstLine="720"/>
      <w:jc w:val="right"/>
    </w:pPr>
  </w:style>
  <w:style w:type="paragraph" w:customStyle="1" w:styleId="Para10">
    <w:name w:val="Para1"/>
    <w:basedOn w:val="Normal"/>
    <w:link w:val="Para1Char1"/>
    <w:uiPriority w:val="99"/>
    <w:pPr>
      <w:spacing w:before="120" w:after="120"/>
    </w:pPr>
    <w:rPr>
      <w:snapToGrid w:val="0"/>
      <w:szCs w:val="18"/>
    </w:rPr>
  </w:style>
  <w:style w:type="paragraph" w:styleId="FootnoteText">
    <w:name w:val="footnote text"/>
    <w:aliases w:val="fn,Geneva 9,Font: Geneva 9,Boston 10,f,ft,Fotnotstext Char,ft Char,single space,FOOTNOTES,ADB,single space1,footnote text1,FOOTNOTES1,fn1,ADB1,single space2,footnote text2,FOOTNOTES2,fn2,ADB2,single space3,footnote text3,fn3"/>
    <w:basedOn w:val="Normal"/>
    <w:link w:val="FootnoteTextChar"/>
    <w:uiPriority w:val="99"/>
    <w:qFormat/>
    <w:pPr>
      <w:keepLines/>
      <w:spacing w:after="60"/>
      <w:ind w:firstLine="720"/>
    </w:pPr>
    <w:rPr>
      <w:sz w:val="18"/>
      <w:lang w:eastAsia="x-none"/>
    </w:rPr>
  </w:style>
  <w:style w:type="paragraph" w:styleId="BodyText">
    <w:name w:val="Body Text"/>
    <w:aliases w:val="Car"/>
    <w:basedOn w:val="Normal"/>
    <w:link w:val="BodyTextChar"/>
    <w:uiPriority w:val="99"/>
    <w:pPr>
      <w:spacing w:before="120" w:after="120"/>
      <w:ind w:firstLine="720"/>
    </w:pPr>
    <w:rPr>
      <w:iCs/>
    </w:rPr>
  </w:style>
  <w:style w:type="character" w:customStyle="1" w:styleId="StyleFootnoteReferenceNounderline">
    <w:name w:val="Style Footnote Reference + No underline"/>
    <w:rsid w:val="006507F2"/>
    <w:rPr>
      <w:sz w:val="18"/>
      <w:u w:val="none"/>
      <w:vertAlign w:val="baseline"/>
    </w:rPr>
  </w:style>
  <w:style w:type="paragraph" w:customStyle="1" w:styleId="Quotationtextindented">
    <w:name w:val="Quotation text (indented)"/>
    <w:basedOn w:val="Normal"/>
    <w:qFormat/>
    <w:rsid w:val="006507F2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6507F2"/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spacing w:after="120" w:line="240" w:lineRule="exact"/>
    </w:p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pa"/>
    <w:qFormat/>
    <w:rPr>
      <w:sz w:val="18"/>
      <w:u w:val="single"/>
      <w:vertAlign w:val="baseline"/>
    </w:rPr>
  </w:style>
  <w:style w:type="paragraph" w:styleId="BodyTextIndent">
    <w:name w:val="Body Text Indent"/>
    <w:basedOn w:val="Normal"/>
    <w:pPr>
      <w:spacing w:before="120" w:after="120"/>
      <w:ind w:left="1440" w:hanging="720"/>
      <w:jc w:val="left"/>
    </w:pPr>
  </w:style>
  <w:style w:type="character" w:styleId="PageNumber">
    <w:name w:val="page number"/>
    <w:rPr>
      <w:rFonts w:ascii="Times New Roman" w:hAnsi="Times New Roman"/>
      <w:sz w:val="22"/>
    </w:rPr>
  </w:style>
  <w:style w:type="paragraph" w:customStyle="1" w:styleId="HEADING">
    <w:name w:val="HEADING"/>
    <w:basedOn w:val="Normal"/>
    <w:uiPriority w:val="99"/>
    <w:pPr>
      <w:keepNext/>
      <w:spacing w:before="240" w:after="120"/>
      <w:jc w:val="center"/>
    </w:pPr>
    <w:rPr>
      <w:b/>
      <w:bCs/>
      <w:caps/>
    </w:rPr>
  </w:style>
  <w:style w:type="paragraph" w:customStyle="1" w:styleId="para4">
    <w:name w:val="para4"/>
    <w:basedOn w:val="Normal"/>
    <w:pPr>
      <w:numPr>
        <w:ilvl w:val="3"/>
        <w:numId w:val="5"/>
      </w:num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Heading4indent">
    <w:name w:val="Heading 4 indent"/>
    <w:basedOn w:val="Heading4"/>
    <w:rsid w:val="000F63AB"/>
    <w:pPr>
      <w:ind w:left="720"/>
      <w:outlineLvl w:val="9"/>
    </w:pPr>
    <w:rPr>
      <w:rFonts w:ascii="Times New Roman" w:hAnsi="Times New Roman"/>
    </w:rPr>
  </w:style>
  <w:style w:type="paragraph" w:customStyle="1" w:styleId="Cornernotation">
    <w:name w:val="Corner notation"/>
    <w:basedOn w:val="Normal"/>
    <w:uiPriority w:val="99"/>
    <w:rsid w:val="0012633E"/>
    <w:pPr>
      <w:ind w:left="170" w:right="4540" w:hanging="170"/>
      <w:jc w:val="left"/>
    </w:pPr>
  </w:style>
  <w:style w:type="paragraph" w:customStyle="1" w:styleId="Para3">
    <w:name w:val="Para3"/>
    <w:basedOn w:val="Normal"/>
    <w:uiPriority w:val="99"/>
    <w:pPr>
      <w:numPr>
        <w:ilvl w:val="2"/>
        <w:numId w:val="4"/>
      </w:numPr>
      <w:tabs>
        <w:tab w:val="left" w:pos="1980"/>
      </w:tabs>
      <w:spacing w:before="80" w:after="80"/>
    </w:pPr>
    <w:rPr>
      <w:szCs w:val="20"/>
    </w:rPr>
  </w:style>
  <w:style w:type="paragraph" w:customStyle="1" w:styleId="recommendationheaderlong">
    <w:name w:val="recommendation header long"/>
    <w:basedOn w:val="Heading2longmultiline"/>
    <w:qFormat/>
    <w:rsid w:val="000F63AB"/>
  </w:style>
  <w:style w:type="paragraph" w:customStyle="1" w:styleId="tabletitle">
    <w:name w:val="table title"/>
    <w:basedOn w:val="Heading2"/>
    <w:qFormat/>
    <w:rsid w:val="000F63AB"/>
    <w:pPr>
      <w:jc w:val="left"/>
      <w:outlineLvl w:val="9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styleId="TOC9">
    <w:name w:val="toc 9"/>
    <w:basedOn w:val="Normal"/>
    <w:next w:val="Normal"/>
    <w:autoRedefine/>
    <w:semiHidden/>
    <w:pPr>
      <w:spacing w:before="120" w:after="120"/>
      <w:ind w:left="1760"/>
      <w:jc w:val="left"/>
    </w:pPr>
  </w:style>
  <w:style w:type="paragraph" w:styleId="TOC1">
    <w:name w:val="toc 1"/>
    <w:basedOn w:val="Normal"/>
    <w:next w:val="Normal"/>
    <w:autoRedefine/>
    <w:semiHidden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pPr>
      <w:ind w:left="2160" w:hanging="720"/>
    </w:pPr>
  </w:style>
  <w:style w:type="paragraph" w:styleId="TOC4">
    <w:name w:val="toc 4"/>
    <w:basedOn w:val="Normal"/>
    <w:next w:val="Normal"/>
    <w:autoRedefine/>
    <w:semiHidden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pPr>
      <w:spacing w:before="120" w:after="120"/>
      <w:ind w:left="1540"/>
      <w:jc w:val="left"/>
    </w:pPr>
  </w:style>
  <w:style w:type="paragraph" w:customStyle="1" w:styleId="reference">
    <w:name w:val="reference"/>
    <w:basedOn w:val="Heading9"/>
    <w:qFormat/>
    <w:rsid w:val="000F63AB"/>
    <w:rPr>
      <w:i w:val="0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862D66"/>
    <w:pPr>
      <w:spacing w:after="120" w:line="480" w:lineRule="auto"/>
    </w:pPr>
  </w:style>
  <w:style w:type="paragraph" w:customStyle="1" w:styleId="Para2">
    <w:name w:val="Para2"/>
    <w:basedOn w:val="Para10"/>
    <w:pPr>
      <w:numPr>
        <w:numId w:val="3"/>
      </w:numPr>
      <w:tabs>
        <w:tab w:val="clear" w:pos="1080"/>
      </w:tabs>
      <w:autoSpaceDE w:val="0"/>
      <w:autoSpaceDN w:val="0"/>
      <w:ind w:left="0" w:firstLine="720"/>
    </w:pPr>
  </w:style>
  <w:style w:type="paragraph" w:customStyle="1" w:styleId="Para-decision">
    <w:name w:val="Para-decision"/>
    <w:basedOn w:val="Normal"/>
    <w:rsid w:val="007E6F89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color w:val="000000"/>
    </w:rPr>
  </w:style>
  <w:style w:type="character" w:customStyle="1" w:styleId="BodyText2Char">
    <w:name w:val="Body Text 2 Char"/>
    <w:link w:val="BodyText2"/>
    <w:uiPriority w:val="99"/>
    <w:rsid w:val="00862D66"/>
    <w:rPr>
      <w:sz w:val="22"/>
      <w:szCs w:val="24"/>
      <w:lang w:val="en-GB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paragraph" w:customStyle="1" w:styleId="Heading1longmultiline">
    <w:name w:val="Heading 1 (long multiline)"/>
    <w:basedOn w:val="Heading1"/>
    <w:pPr>
      <w:ind w:left="1843" w:hanging="1134"/>
      <w:jc w:val="left"/>
    </w:pPr>
  </w:style>
  <w:style w:type="paragraph" w:customStyle="1" w:styleId="Heading1multiline">
    <w:name w:val="Heading 1 (multiline)"/>
    <w:basedOn w:val="Heading1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Para10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pPr>
      <w:ind w:left="2127" w:hanging="1276"/>
    </w:pPr>
  </w:style>
  <w:style w:type="paragraph" w:customStyle="1" w:styleId="Heading3multiline">
    <w:name w:val="Heading 3 (multiline)"/>
    <w:basedOn w:val="Heading3"/>
    <w:next w:val="Para10"/>
    <w:pPr>
      <w:ind w:left="1418" w:hanging="425"/>
      <w:jc w:val="left"/>
    </w:pPr>
  </w:style>
  <w:style w:type="paragraph" w:customStyle="1" w:styleId="heading2notforTOC">
    <w:name w:val="heading 2 not for TOC"/>
    <w:basedOn w:val="Heading3"/>
    <w:rsid w:val="00A71706"/>
  </w:style>
  <w:style w:type="paragraph" w:customStyle="1" w:styleId="HEADINGNOTFORTOC">
    <w:name w:val="HEADING (NOT FOR TOC)"/>
    <w:basedOn w:val="Heading1"/>
    <w:next w:val="Heading2"/>
    <w:uiPriority w:val="99"/>
    <w:rsid w:val="00BB5903"/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S Char,ADB Char,single space1 Char,footnote text1 Char,FOOTNOTES1 Char,fn1 Char,ADB1 Char,fn2 Char"/>
    <w:link w:val="FootnoteText"/>
    <w:uiPriority w:val="99"/>
    <w:rsid w:val="000A7220"/>
    <w:rPr>
      <w:sz w:val="1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7DA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DA47DA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uiPriority w:val="99"/>
    <w:rsid w:val="008F429B"/>
    <w:rPr>
      <w:b/>
      <w:caps/>
      <w:sz w:val="22"/>
      <w:szCs w:val="24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E140A"/>
    <w:rPr>
      <w:b/>
      <w:bCs/>
      <w:i/>
      <w:iCs/>
      <w:sz w:val="22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E140A"/>
    <w:rPr>
      <w:sz w:val="22"/>
      <w:szCs w:val="24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E140A"/>
    <w:rPr>
      <w:sz w:val="22"/>
      <w:szCs w:val="24"/>
      <w:lang w:val="en-GB" w:eastAsia="en-US"/>
    </w:rPr>
  </w:style>
  <w:style w:type="character" w:styleId="Hyperlink">
    <w:name w:val="Hyperlink"/>
    <w:basedOn w:val="DefaultParagraphFont"/>
    <w:uiPriority w:val="99"/>
    <w:rsid w:val="004E140A"/>
    <w:rPr>
      <w:rFonts w:cs="Times New Roman"/>
      <w:color w:val="0000FF"/>
      <w:u w:val="single"/>
    </w:rPr>
  </w:style>
  <w:style w:type="paragraph" w:customStyle="1" w:styleId="Para1">
    <w:name w:val="Para 1"/>
    <w:basedOn w:val="BodyText"/>
    <w:uiPriority w:val="99"/>
    <w:rsid w:val="004E140A"/>
    <w:pPr>
      <w:numPr>
        <w:numId w:val="6"/>
      </w:numPr>
    </w:pPr>
    <w:rPr>
      <w:rFonts w:eastAsia="MS Mincho" w:cs="Angsana New"/>
      <w:bCs/>
      <w:iCs w:val="0"/>
      <w:szCs w:val="22"/>
      <w:lang w:val="ru-RU"/>
    </w:rPr>
  </w:style>
  <w:style w:type="paragraph" w:customStyle="1" w:styleId="Default">
    <w:name w:val="Default"/>
    <w:uiPriority w:val="99"/>
    <w:rsid w:val="004E14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ru-RU" w:eastAsia="en-US"/>
    </w:rPr>
  </w:style>
  <w:style w:type="paragraph" w:customStyle="1" w:styleId="DarkList-Accent51">
    <w:name w:val="Dark List - Accent 51"/>
    <w:basedOn w:val="Normal"/>
    <w:uiPriority w:val="99"/>
    <w:rsid w:val="004E140A"/>
    <w:pPr>
      <w:spacing w:after="240"/>
      <w:ind w:left="720"/>
      <w:contextualSpacing/>
      <w:jc w:val="left"/>
    </w:pPr>
    <w:rPr>
      <w:rFonts w:ascii="Calibri" w:hAnsi="Calibri"/>
      <w:sz w:val="24"/>
    </w:rPr>
  </w:style>
  <w:style w:type="paragraph" w:customStyle="1" w:styleId="LightList-Accent51">
    <w:name w:val="Light List - Accent 51"/>
    <w:basedOn w:val="Normal"/>
    <w:uiPriority w:val="99"/>
    <w:rsid w:val="004E140A"/>
    <w:pPr>
      <w:ind w:left="720"/>
      <w:contextualSpacing/>
    </w:pPr>
    <w:rPr>
      <w:rFonts w:cs="Angsana New"/>
    </w:rPr>
  </w:style>
  <w:style w:type="character" w:customStyle="1" w:styleId="st">
    <w:name w:val="st"/>
    <w:basedOn w:val="DefaultParagraphFont"/>
    <w:uiPriority w:val="99"/>
    <w:rsid w:val="004E140A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4E140A"/>
    <w:rPr>
      <w:rFonts w:cs="Times New Roman"/>
      <w:i/>
    </w:rPr>
  </w:style>
  <w:style w:type="paragraph" w:customStyle="1" w:styleId="Heading2-center">
    <w:name w:val="Heading 2-center"/>
    <w:basedOn w:val="Heading2"/>
    <w:rsid w:val="00511D8C"/>
    <w:pPr>
      <w:outlineLvl w:val="9"/>
    </w:pPr>
    <w:rPr>
      <w:rFonts w:eastAsia="Malgun Gothic"/>
      <w:i w:val="0"/>
      <w:iCs w:val="0"/>
      <w:caps/>
      <w:lang w:val="ru-RU" w:eastAsia="ru-RU"/>
    </w:rPr>
  </w:style>
  <w:style w:type="paragraph" w:customStyle="1" w:styleId="Para1-Annex">
    <w:name w:val="Para1-Annex"/>
    <w:basedOn w:val="Normal"/>
    <w:uiPriority w:val="99"/>
    <w:rsid w:val="000C10E1"/>
    <w:pPr>
      <w:numPr>
        <w:numId w:val="8"/>
      </w:numPr>
      <w:suppressAutoHyphens/>
      <w:spacing w:after="120"/>
    </w:pPr>
    <w:rPr>
      <w:szCs w:val="22"/>
      <w:lang w:val="en-US" w:eastAsia="ar-SA"/>
    </w:rPr>
  </w:style>
  <w:style w:type="character" w:customStyle="1" w:styleId="Para1Char1">
    <w:name w:val="Para1 Char1"/>
    <w:link w:val="Para10"/>
    <w:uiPriority w:val="99"/>
    <w:locked/>
    <w:rsid w:val="000C10E1"/>
    <w:rPr>
      <w:snapToGrid w:val="0"/>
      <w:sz w:val="22"/>
      <w:szCs w:val="18"/>
      <w:lang w:val="en-GB" w:eastAsia="en-US"/>
    </w:rPr>
  </w:style>
  <w:style w:type="character" w:customStyle="1" w:styleId="ListParagraphChar">
    <w:name w:val="List Paragraph Char"/>
    <w:aliases w:val="Dot pt Char,List Paragraph12 Char,MAIN CONTENT Char,List Paragraph2 Char,Rec para Char,List Paragraph1 Char,Recommendation Char,List Paragraph11 Char,F5 List Paragraph Char,List Paragraph Char Char Char Char,Indicator Text Char"/>
    <w:link w:val="ListParagraph"/>
    <w:uiPriority w:val="99"/>
    <w:locked/>
    <w:rsid w:val="000C10E1"/>
    <w:rPr>
      <w:sz w:val="24"/>
      <w:lang w:val="en-GB"/>
    </w:rPr>
  </w:style>
  <w:style w:type="paragraph" w:styleId="ListParagraph">
    <w:name w:val="List Paragraph"/>
    <w:aliases w:val="Dot pt,List Paragraph12,MAIN CONTENT,List Paragraph2,Rec para,List Paragraph1,Recommendation,List Paragraph11,F5 List Paragraph,List Paragraph Char Char Char,Indicator Text,Colorful List - Accent 11"/>
    <w:basedOn w:val="Normal"/>
    <w:link w:val="ListParagraphChar"/>
    <w:uiPriority w:val="99"/>
    <w:qFormat/>
    <w:rsid w:val="000C10E1"/>
    <w:pPr>
      <w:ind w:left="720"/>
      <w:contextualSpacing/>
    </w:pPr>
    <w:rPr>
      <w:sz w:val="24"/>
      <w:szCs w:val="20"/>
      <w:lang w:eastAsia="x-none"/>
    </w:rPr>
  </w:style>
  <w:style w:type="character" w:customStyle="1" w:styleId="StylePatternClearGray-15Kernat11pt">
    <w:name w:val="Style Pattern: Clear (Gray-15%) Kern at 11 pt"/>
    <w:uiPriority w:val="99"/>
    <w:rsid w:val="000C10E1"/>
    <w:rPr>
      <w:kern w:val="22"/>
      <w:bdr w:val="none" w:sz="0" w:space="0" w:color="auto" w:frame="1"/>
    </w:rPr>
  </w:style>
  <w:style w:type="paragraph" w:customStyle="1" w:styleId="recommendation">
    <w:name w:val="recommendation"/>
    <w:basedOn w:val="Heading2"/>
    <w:qFormat/>
    <w:rsid w:val="000C10E1"/>
    <w:pPr>
      <w:tabs>
        <w:tab w:val="clear" w:pos="720"/>
      </w:tabs>
      <w:spacing w:before="240" w:after="60" w:line="276" w:lineRule="auto"/>
      <w:jc w:val="left"/>
    </w:pPr>
    <w:rPr>
      <w:snapToGrid w:val="0"/>
      <w:kern w:val="2"/>
      <w:szCs w:val="22"/>
      <w:lang w:val="en-US"/>
    </w:rPr>
  </w:style>
  <w:style w:type="character" w:customStyle="1" w:styleId="BodyTextChar">
    <w:name w:val="Body Text Char"/>
    <w:aliases w:val="Car Char"/>
    <w:basedOn w:val="DefaultParagraphFont"/>
    <w:link w:val="BodyText"/>
    <w:uiPriority w:val="99"/>
    <w:locked/>
    <w:rsid w:val="0063735B"/>
    <w:rPr>
      <w:iCs/>
      <w:sz w:val="2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bd.int/doc/decisions/cop-13/cop-13-dec-23-ru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bd.int/doc/recommendations/sbstta-20/sbstta-20-rec-10-ru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www.cbd.int/doc/decisions/cop-13/cop-13-dec-22-ru.pdf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bes.net/deliverables/3c-scenarios-and-modelling" TargetMode="External"/><Relationship Id="rId13" Type="http://schemas.openxmlformats.org/officeDocument/2006/relationships/hyperlink" Target="https://www.cbd.int/doc/c/3297/2d33/5a1342a2f6c9c509cb4ec161/sbstta-21-02-ru.pdf" TargetMode="External"/><Relationship Id="rId18" Type="http://schemas.openxmlformats.org/officeDocument/2006/relationships/hyperlink" Target="https://www.cbd.int/doc/c/e36c/2553/863a73bd3015677df8f30506/sbstta-21-inf-18-en.pdf" TargetMode="External"/><Relationship Id="rId3" Type="http://schemas.openxmlformats.org/officeDocument/2006/relationships/hyperlink" Target="https://www.cbd.int/doc/meetings/sbstta/sbstta-21/official/sbstta-21-02-add1-ru.pdf" TargetMode="External"/><Relationship Id="rId7" Type="http://schemas.openxmlformats.org/officeDocument/2006/relationships/hyperlink" Target="https://www.cbd.int/doc/c/e36c/2553/863a73bd3015677df8f30506/sbstta-21-inf-18-en.pdf" TargetMode="External"/><Relationship Id="rId12" Type="http://schemas.openxmlformats.org/officeDocument/2006/relationships/hyperlink" Target="https://www.cbd.int/doc/decisions/cop-10/cop-10-dec-02-ru.pdf" TargetMode="External"/><Relationship Id="rId17" Type="http://schemas.openxmlformats.org/officeDocument/2006/relationships/hyperlink" Target="https://www.cbd.int/doc/c/75db/a1d2/64d21404dca630a93407078b/sbstta-21-inf-04-en.pdf" TargetMode="External"/><Relationship Id="rId2" Type="http://schemas.openxmlformats.org/officeDocument/2006/relationships/hyperlink" Target="https://www.cbd.int/doc/c/3297/2d33/5a1342a2f6c9c509cb4ec161/sbstta-21-02-ru.pdf" TargetMode="External"/><Relationship Id="rId16" Type="http://schemas.openxmlformats.org/officeDocument/2006/relationships/hyperlink" Target="https://www.cbd.int/doc/c/d623/0105/bc697cf1556d8892498c3866/sbstta-21-inf-03-en.pdf" TargetMode="External"/><Relationship Id="rId1" Type="http://schemas.openxmlformats.org/officeDocument/2006/relationships/hyperlink" Target="https://www.cbd.int/doc/decisions/cop-10/cop-10-dec-02-ru.pdf" TargetMode="External"/><Relationship Id="rId6" Type="http://schemas.openxmlformats.org/officeDocument/2006/relationships/hyperlink" Target="https://www.cbd.int/doc/c/75db/a1d2/64d21404dca630a93407078b/sbstta-21-inf-04-en.pdf" TargetMode="External"/><Relationship Id="rId11" Type="http://schemas.openxmlformats.org/officeDocument/2006/relationships/hyperlink" Target="http://www.un.org/en/ga/search/view_doc.asp?symbol=A/RES/70/1&amp;referer=/english/&amp;Lang=R" TargetMode="External"/><Relationship Id="rId5" Type="http://schemas.openxmlformats.org/officeDocument/2006/relationships/hyperlink" Target="https://www.cbd.int/doc/c/d623/0105/bc697cf1556d8892498c3866/sbstta-21-inf-03-en.pdf" TargetMode="External"/><Relationship Id="rId15" Type="http://schemas.openxmlformats.org/officeDocument/2006/relationships/hyperlink" Target="https://www.cbd.int/doc/c/e14b/0ad0/52a612635e7d6b8bac0b6b38/sbstta-21-inf-02-en.pdf" TargetMode="External"/><Relationship Id="rId10" Type="http://schemas.openxmlformats.org/officeDocument/2006/relationships/hyperlink" Target="https://www.cbd.int/doc/c/6ada/4011/af94c4f5feeba81fc82c6db0/sbi-02-01-ru.pdf" TargetMode="External"/><Relationship Id="rId19" Type="http://schemas.openxmlformats.org/officeDocument/2006/relationships/hyperlink" Target="https://www.cbd.int/doc/publications/cbd-ts-78-en.pdf" TargetMode="External"/><Relationship Id="rId4" Type="http://schemas.openxmlformats.org/officeDocument/2006/relationships/hyperlink" Target="https://www.cbd.int/doc/c/e14b/0ad0/52a612635e7d6b8bac0b6b38/sbstta-21-inf-02-en.pdf" TargetMode="External"/><Relationship Id="rId9" Type="http://schemas.openxmlformats.org/officeDocument/2006/relationships/hyperlink" Target="https://www.cbd.int/doc/c/e36c/2553/863a73bd3015677df8f30506/sbstta-21-inf-18-en.pdf" TargetMode="External"/><Relationship Id="rId14" Type="http://schemas.openxmlformats.org/officeDocument/2006/relationships/hyperlink" Target="https://www.cbd.int/doc/meetings/sbstta/sbstta-21/official/sbstta-21-02-add1-ru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Working%20Folders\Conference%20&amp;%20Editorial%20Services\NEW%20U\Documents\2014\SBSTTA-18\template-sbstta-1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57DDB-1239-486B-81B3-0471BF5E0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template-sbstta-18.dot</Template>
  <TotalTime>0</TotalTime>
  <Pages>7</Pages>
  <Words>2667</Words>
  <Characters>15204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Biodiversity</Company>
  <LinksUpToDate>false</LinksUpToDate>
  <CharactersWithSpaces>17836</CharactersWithSpaces>
  <SharedDoc>false</SharedDoc>
  <HyperlinkBase/>
  <HLinks>
    <vt:vector size="132" baseType="variant">
      <vt:variant>
        <vt:i4>1900628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https://www.cbd.int/doc/decisions/cop-13/cop-13-dec-22-ru.pdf</vt:lpwstr>
      </vt:variant>
      <vt:variant>
        <vt:lpwstr/>
      </vt:variant>
      <vt:variant>
        <vt:i4>1835092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https://www.cbd.int/doc/decisions/cop-13/cop-13-dec-23-ru.pdf</vt:lpwstr>
      </vt:variant>
      <vt:variant>
        <vt:lpwstr/>
      </vt:variant>
      <vt:variant>
        <vt:i4>458816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https://www.cbd.int/doc/recommendations/sbstta-20/sbstta-20-rec-10-ru.pdf</vt:lpwstr>
      </vt:variant>
      <vt:variant>
        <vt:lpwstr/>
      </vt:variant>
      <vt:variant>
        <vt:i4>6160471</vt:i4>
      </vt:variant>
      <vt:variant>
        <vt:i4>54</vt:i4>
      </vt:variant>
      <vt:variant>
        <vt:i4>0</vt:i4>
      </vt:variant>
      <vt:variant>
        <vt:i4>5</vt:i4>
      </vt:variant>
      <vt:variant>
        <vt:lpwstr>https://www.cbd.int/doc/publications/cbd-ts-78-en.pdf</vt:lpwstr>
      </vt:variant>
      <vt:variant>
        <vt:lpwstr/>
      </vt:variant>
      <vt:variant>
        <vt:i4>983050</vt:i4>
      </vt:variant>
      <vt:variant>
        <vt:i4>51</vt:i4>
      </vt:variant>
      <vt:variant>
        <vt:i4>0</vt:i4>
      </vt:variant>
      <vt:variant>
        <vt:i4>5</vt:i4>
      </vt:variant>
      <vt:variant>
        <vt:lpwstr>https://www.cbd.int/doc/c/e36c/2553/863a73bd3015677df8f30506/sbstta-21-inf-18-en.pdf</vt:lpwstr>
      </vt:variant>
      <vt:variant>
        <vt:lpwstr/>
      </vt:variant>
      <vt:variant>
        <vt:i4>5832785</vt:i4>
      </vt:variant>
      <vt:variant>
        <vt:i4>48</vt:i4>
      </vt:variant>
      <vt:variant>
        <vt:i4>0</vt:i4>
      </vt:variant>
      <vt:variant>
        <vt:i4>5</vt:i4>
      </vt:variant>
      <vt:variant>
        <vt:lpwstr>https://www.cbd.int/doc/c/75db/a1d2/64d21404dca630a93407078b/sbstta-21-inf-04-en.pdf</vt:lpwstr>
      </vt:variant>
      <vt:variant>
        <vt:lpwstr/>
      </vt:variant>
      <vt:variant>
        <vt:i4>327765</vt:i4>
      </vt:variant>
      <vt:variant>
        <vt:i4>45</vt:i4>
      </vt:variant>
      <vt:variant>
        <vt:i4>0</vt:i4>
      </vt:variant>
      <vt:variant>
        <vt:i4>5</vt:i4>
      </vt:variant>
      <vt:variant>
        <vt:lpwstr>https://www.cbd.int/doc/c/d623/0105/bc697cf1556d8892498c3866/sbstta-21-inf-03-en.pdf</vt:lpwstr>
      </vt:variant>
      <vt:variant>
        <vt:lpwstr/>
      </vt:variant>
      <vt:variant>
        <vt:i4>6225923</vt:i4>
      </vt:variant>
      <vt:variant>
        <vt:i4>42</vt:i4>
      </vt:variant>
      <vt:variant>
        <vt:i4>0</vt:i4>
      </vt:variant>
      <vt:variant>
        <vt:i4>5</vt:i4>
      </vt:variant>
      <vt:variant>
        <vt:lpwstr>https://www.cbd.int/doc/c/e14b/0ad0/52a612635e7d6b8bac0b6b38/sbstta-21-inf-02-en.pdf</vt:lpwstr>
      </vt:variant>
      <vt:variant>
        <vt:lpwstr/>
      </vt:variant>
      <vt:variant>
        <vt:i4>2752568</vt:i4>
      </vt:variant>
      <vt:variant>
        <vt:i4>39</vt:i4>
      </vt:variant>
      <vt:variant>
        <vt:i4>0</vt:i4>
      </vt:variant>
      <vt:variant>
        <vt:i4>5</vt:i4>
      </vt:variant>
      <vt:variant>
        <vt:lpwstr>https://www.cbd.int/doc/meetings/sbstta/sbstta-21/official/sbstta-21-02-add1-ru.pdf</vt:lpwstr>
      </vt:variant>
      <vt:variant>
        <vt:lpwstr/>
      </vt:variant>
      <vt:variant>
        <vt:i4>4259844</vt:i4>
      </vt:variant>
      <vt:variant>
        <vt:i4>36</vt:i4>
      </vt:variant>
      <vt:variant>
        <vt:i4>0</vt:i4>
      </vt:variant>
      <vt:variant>
        <vt:i4>5</vt:i4>
      </vt:variant>
      <vt:variant>
        <vt:lpwstr>https://www.cbd.int/doc/c/3297/2d33/5a1342a2f6c9c509cb4ec161/sbstta-21-02-ru.pdf</vt:lpwstr>
      </vt:variant>
      <vt:variant>
        <vt:lpwstr/>
      </vt:variant>
      <vt:variant>
        <vt:i4>1966165</vt:i4>
      </vt:variant>
      <vt:variant>
        <vt:i4>33</vt:i4>
      </vt:variant>
      <vt:variant>
        <vt:i4>0</vt:i4>
      </vt:variant>
      <vt:variant>
        <vt:i4>5</vt:i4>
      </vt:variant>
      <vt:variant>
        <vt:lpwstr>https://www.cbd.int/doc/decisions/cop-10/cop-10-dec-02-ru.pdf</vt:lpwstr>
      </vt:variant>
      <vt:variant>
        <vt:lpwstr/>
      </vt:variant>
      <vt:variant>
        <vt:i4>1376313</vt:i4>
      </vt:variant>
      <vt:variant>
        <vt:i4>30</vt:i4>
      </vt:variant>
      <vt:variant>
        <vt:i4>0</vt:i4>
      </vt:variant>
      <vt:variant>
        <vt:i4>5</vt:i4>
      </vt:variant>
      <vt:variant>
        <vt:lpwstr>http://www.un.org/en/ga/search/view_doc.asp?symbol=A/RES/70/1&amp;referer=/english/&amp;Lang=R</vt:lpwstr>
      </vt:variant>
      <vt:variant>
        <vt:lpwstr/>
      </vt:variant>
      <vt:variant>
        <vt:i4>720899</vt:i4>
      </vt:variant>
      <vt:variant>
        <vt:i4>27</vt:i4>
      </vt:variant>
      <vt:variant>
        <vt:i4>0</vt:i4>
      </vt:variant>
      <vt:variant>
        <vt:i4>5</vt:i4>
      </vt:variant>
      <vt:variant>
        <vt:lpwstr>https://www.cbd.int/doc/c/6ada/4011/af94c4f5feeba81fc82c6db0/sbi-02-01-ru.pdf</vt:lpwstr>
      </vt:variant>
      <vt:variant>
        <vt:lpwstr/>
      </vt:variant>
      <vt:variant>
        <vt:i4>983050</vt:i4>
      </vt:variant>
      <vt:variant>
        <vt:i4>24</vt:i4>
      </vt:variant>
      <vt:variant>
        <vt:i4>0</vt:i4>
      </vt:variant>
      <vt:variant>
        <vt:i4>5</vt:i4>
      </vt:variant>
      <vt:variant>
        <vt:lpwstr>https://www.cbd.int/doc/c/e36c/2553/863a73bd3015677df8f30506/sbstta-21-inf-18-en.pdf</vt:lpwstr>
      </vt:variant>
      <vt:variant>
        <vt:lpwstr/>
      </vt:variant>
      <vt:variant>
        <vt:i4>4587521</vt:i4>
      </vt:variant>
      <vt:variant>
        <vt:i4>21</vt:i4>
      </vt:variant>
      <vt:variant>
        <vt:i4>0</vt:i4>
      </vt:variant>
      <vt:variant>
        <vt:i4>5</vt:i4>
      </vt:variant>
      <vt:variant>
        <vt:lpwstr>https://www.ipbes.net/deliverables/3c-scenarios-and-modelling</vt:lpwstr>
      </vt:variant>
      <vt:variant>
        <vt:lpwstr/>
      </vt:variant>
      <vt:variant>
        <vt:i4>983050</vt:i4>
      </vt:variant>
      <vt:variant>
        <vt:i4>18</vt:i4>
      </vt:variant>
      <vt:variant>
        <vt:i4>0</vt:i4>
      </vt:variant>
      <vt:variant>
        <vt:i4>5</vt:i4>
      </vt:variant>
      <vt:variant>
        <vt:lpwstr>https://www.cbd.int/doc/c/e36c/2553/863a73bd3015677df8f30506/sbstta-21-inf-18-en.pdf</vt:lpwstr>
      </vt:variant>
      <vt:variant>
        <vt:lpwstr/>
      </vt:variant>
      <vt:variant>
        <vt:i4>5832785</vt:i4>
      </vt:variant>
      <vt:variant>
        <vt:i4>15</vt:i4>
      </vt:variant>
      <vt:variant>
        <vt:i4>0</vt:i4>
      </vt:variant>
      <vt:variant>
        <vt:i4>5</vt:i4>
      </vt:variant>
      <vt:variant>
        <vt:lpwstr>https://www.cbd.int/doc/c/75db/a1d2/64d21404dca630a93407078b/sbstta-21-inf-04-en.pdf</vt:lpwstr>
      </vt:variant>
      <vt:variant>
        <vt:lpwstr/>
      </vt:variant>
      <vt:variant>
        <vt:i4>327765</vt:i4>
      </vt:variant>
      <vt:variant>
        <vt:i4>12</vt:i4>
      </vt:variant>
      <vt:variant>
        <vt:i4>0</vt:i4>
      </vt:variant>
      <vt:variant>
        <vt:i4>5</vt:i4>
      </vt:variant>
      <vt:variant>
        <vt:lpwstr>https://www.cbd.int/doc/c/d623/0105/bc697cf1556d8892498c3866/sbstta-21-inf-03-en.pdf</vt:lpwstr>
      </vt:variant>
      <vt:variant>
        <vt:lpwstr/>
      </vt:variant>
      <vt:variant>
        <vt:i4>6225923</vt:i4>
      </vt:variant>
      <vt:variant>
        <vt:i4>9</vt:i4>
      </vt:variant>
      <vt:variant>
        <vt:i4>0</vt:i4>
      </vt:variant>
      <vt:variant>
        <vt:i4>5</vt:i4>
      </vt:variant>
      <vt:variant>
        <vt:lpwstr>https://www.cbd.int/doc/c/e14b/0ad0/52a612635e7d6b8bac0b6b38/sbstta-21-inf-02-en.pdf</vt:lpwstr>
      </vt:variant>
      <vt:variant>
        <vt:lpwstr/>
      </vt:variant>
      <vt:variant>
        <vt:i4>2752568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https://www.cbd.int/doc/meetings/sbstta/sbstta-21/official/sbstta-21-02-add1-ru.pdf</vt:lpwstr>
      </vt:variant>
      <vt:variant>
        <vt:lpwstr/>
      </vt:variant>
      <vt:variant>
        <vt:i4>4259844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https://www.cbd.int/doc/c/3297/2d33/5a1342a2f6c9c509cb4ec161/sbstta-21-02-ru.pdf</vt:lpwstr>
      </vt:variant>
      <vt:variant>
        <vt:lpwstr/>
      </vt:variant>
      <vt:variant>
        <vt:i4>1966165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https://www.cbd.int/doc/decisions/cop-10/cop-10-dec-02-ru.pdf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lefebvre</dc:creator>
  <cp:lastModifiedBy>Administrator</cp:lastModifiedBy>
  <cp:revision>2</cp:revision>
  <cp:lastPrinted>2016-05-16T15:42:00Z</cp:lastPrinted>
  <dcterms:created xsi:type="dcterms:W3CDTF">2018-01-17T11:09:00Z</dcterms:created>
  <dcterms:modified xsi:type="dcterms:W3CDTF">2018-01-17T11:09:00Z</dcterms:modified>
</cp:coreProperties>
</file>