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53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00"/>
        <w:gridCol w:w="4756"/>
      </w:tblGrid>
      <w:tr w:rsidR="00C9161D" w:rsidRPr="00F24299" w:rsidTr="001F2542">
        <w:trPr>
          <w:trHeight w:val="709"/>
        </w:trPr>
        <w:tc>
          <w:tcPr>
            <w:tcW w:w="976" w:type="dxa"/>
            <w:tcBorders>
              <w:bottom w:val="single" w:sz="12" w:space="0" w:color="auto"/>
            </w:tcBorders>
          </w:tcPr>
          <w:p w:rsidR="00C9161D" w:rsidRPr="00F24299" w:rsidRDefault="00C9161D" w:rsidP="00EB5980">
            <w:pPr>
              <w:suppressLineNumbers/>
              <w:suppressAutoHyphens/>
              <w:kinsoku w:val="0"/>
              <w:overflowPunct w:val="0"/>
              <w:autoSpaceDE w:val="0"/>
              <w:autoSpaceDN w:val="0"/>
              <w:adjustRightInd w:val="0"/>
              <w:snapToGrid w:val="0"/>
            </w:pPr>
            <w:r w:rsidRPr="007C76FB">
              <w:rPr>
                <w:noProof/>
                <w:lang w:eastAsia="zh-CN"/>
              </w:rPr>
              <w:drawing>
                <wp:inline distT="0" distB="0" distL="0" distR="0" wp14:anchorId="37594C93" wp14:editId="77DB6A95">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3800" w:type="dxa"/>
            <w:tcBorders>
              <w:bottom w:val="single" w:sz="12" w:space="0" w:color="auto"/>
            </w:tcBorders>
          </w:tcPr>
          <w:p w:rsidR="00C9161D" w:rsidRPr="00F24299" w:rsidRDefault="00C9161D" w:rsidP="00EB5980">
            <w:pPr>
              <w:suppressLineNumbers/>
              <w:suppressAutoHyphens/>
              <w:kinsoku w:val="0"/>
              <w:overflowPunct w:val="0"/>
              <w:autoSpaceDE w:val="0"/>
              <w:autoSpaceDN w:val="0"/>
              <w:adjustRightInd w:val="0"/>
              <w:snapToGrid w:val="0"/>
            </w:pPr>
            <w:r w:rsidRPr="00EB5980">
              <w:rPr>
                <w:noProof/>
                <w:lang w:eastAsia="zh-CN"/>
              </w:rPr>
              <w:drawing>
                <wp:inline distT="0" distB="0" distL="0" distR="0" wp14:anchorId="3794C566" wp14:editId="6165A9DA">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756" w:type="dxa"/>
            <w:tcBorders>
              <w:bottom w:val="single" w:sz="12" w:space="0" w:color="auto"/>
            </w:tcBorders>
          </w:tcPr>
          <w:p w:rsidR="00C9161D" w:rsidRPr="00F00643" w:rsidRDefault="00C9161D" w:rsidP="00EB5980">
            <w:pPr>
              <w:suppressLineNumbers/>
              <w:suppressAutoHyphens/>
              <w:kinsoku w:val="0"/>
              <w:overflowPunct w:val="0"/>
              <w:autoSpaceDE w:val="0"/>
              <w:autoSpaceDN w:val="0"/>
              <w:adjustRightInd w:val="0"/>
              <w:snapToGrid w:val="0"/>
              <w:jc w:val="right"/>
              <w:rPr>
                <w:rFonts w:ascii="Arial" w:hAnsi="Arial" w:cs="Arial"/>
                <w:b/>
                <w:sz w:val="32"/>
                <w:szCs w:val="32"/>
              </w:rPr>
            </w:pPr>
            <w:r w:rsidRPr="00F24299">
              <w:rPr>
                <w:rFonts w:ascii="Arial" w:hAnsi="Arial" w:cs="Arial"/>
                <w:b/>
                <w:sz w:val="32"/>
                <w:szCs w:val="32"/>
              </w:rPr>
              <w:t>CBD</w:t>
            </w:r>
          </w:p>
        </w:tc>
      </w:tr>
      <w:tr w:rsidR="00C9161D" w:rsidRPr="00F24299" w:rsidTr="001F2542">
        <w:tc>
          <w:tcPr>
            <w:tcW w:w="4776" w:type="dxa"/>
            <w:gridSpan w:val="2"/>
            <w:tcBorders>
              <w:top w:val="single" w:sz="12" w:space="0" w:color="auto"/>
              <w:bottom w:val="single" w:sz="36" w:space="0" w:color="auto"/>
            </w:tcBorders>
            <w:vAlign w:val="center"/>
          </w:tcPr>
          <w:p w:rsidR="00C9161D" w:rsidRPr="00F24299" w:rsidRDefault="00C9161D" w:rsidP="00EB5980">
            <w:pPr>
              <w:suppressLineNumbers/>
              <w:suppressAutoHyphens/>
              <w:kinsoku w:val="0"/>
              <w:overflowPunct w:val="0"/>
              <w:autoSpaceDE w:val="0"/>
              <w:autoSpaceDN w:val="0"/>
              <w:adjustRightInd w:val="0"/>
              <w:snapToGrid w:val="0"/>
            </w:pPr>
            <w:r w:rsidRPr="00EB5980">
              <w:rPr>
                <w:noProof/>
                <w:lang w:eastAsia="zh-CN"/>
              </w:rPr>
              <w:drawing>
                <wp:inline distT="0" distB="0" distL="0" distR="0" wp14:anchorId="1431FB32" wp14:editId="5C7E6F53">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756" w:type="dxa"/>
            <w:tcBorders>
              <w:top w:val="single" w:sz="12" w:space="0" w:color="auto"/>
              <w:bottom w:val="single" w:sz="36" w:space="0" w:color="auto"/>
            </w:tcBorders>
          </w:tcPr>
          <w:p w:rsidR="00C9161D" w:rsidRPr="00F00643" w:rsidRDefault="00C9161D" w:rsidP="00EB5980">
            <w:pPr>
              <w:suppressLineNumbers/>
              <w:suppressAutoHyphens/>
              <w:kinsoku w:val="0"/>
              <w:overflowPunct w:val="0"/>
              <w:autoSpaceDE w:val="0"/>
              <w:autoSpaceDN w:val="0"/>
              <w:adjustRightInd w:val="0"/>
              <w:snapToGrid w:val="0"/>
              <w:ind w:left="1961"/>
              <w:rPr>
                <w:szCs w:val="22"/>
              </w:rPr>
            </w:pPr>
            <w:r w:rsidRPr="00F24299">
              <w:rPr>
                <w:szCs w:val="22"/>
              </w:rPr>
              <w:t>Distr.</w:t>
            </w:r>
          </w:p>
          <w:p w:rsidR="00C9161D" w:rsidRPr="00F24299" w:rsidRDefault="005648D0" w:rsidP="00EB5980">
            <w:pPr>
              <w:suppressLineNumbers/>
              <w:suppressAutoHyphens/>
              <w:kinsoku w:val="0"/>
              <w:overflowPunct w:val="0"/>
              <w:autoSpaceDE w:val="0"/>
              <w:autoSpaceDN w:val="0"/>
              <w:adjustRightInd w:val="0"/>
              <w:snapToGrid w:val="0"/>
              <w:ind w:left="1961"/>
              <w:rPr>
                <w:szCs w:val="22"/>
              </w:rPr>
            </w:pPr>
            <w:sdt>
              <w:sdtPr>
                <w:rPr>
                  <w:caps/>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8B6D29" w:rsidRPr="00F24299">
                  <w:rPr>
                    <w:caps/>
                    <w:szCs w:val="22"/>
                  </w:rPr>
                  <w:t>GENERAL</w:t>
                </w:r>
              </w:sdtContent>
            </w:sdt>
          </w:p>
          <w:p w:rsidR="00C9161D" w:rsidRPr="00F24299" w:rsidRDefault="00C9161D" w:rsidP="00EB5980">
            <w:pPr>
              <w:suppressLineNumbers/>
              <w:suppressAutoHyphens/>
              <w:kinsoku w:val="0"/>
              <w:overflowPunct w:val="0"/>
              <w:autoSpaceDE w:val="0"/>
              <w:autoSpaceDN w:val="0"/>
              <w:adjustRightInd w:val="0"/>
              <w:snapToGrid w:val="0"/>
              <w:ind w:left="1961"/>
              <w:rPr>
                <w:szCs w:val="22"/>
              </w:rPr>
            </w:pPr>
          </w:p>
          <w:p w:rsidR="00C9161D" w:rsidRPr="00F24299" w:rsidRDefault="005648D0" w:rsidP="00EB5980">
            <w:pPr>
              <w:suppressLineNumbers/>
              <w:suppressAutoHyphens/>
              <w:kinsoku w:val="0"/>
              <w:overflowPunct w:val="0"/>
              <w:autoSpaceDE w:val="0"/>
              <w:autoSpaceDN w:val="0"/>
              <w:adjustRightInd w:val="0"/>
              <w:snapToGrid w:val="0"/>
              <w:ind w:left="1961"/>
              <w:rPr>
                <w:szCs w:val="22"/>
              </w:rPr>
            </w:pPr>
            <w:sdt>
              <w:sdtPr>
                <w:rPr>
                  <w:szCs w:val="22"/>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6B3BD7">
                  <w:rPr>
                    <w:szCs w:val="22"/>
                  </w:rPr>
                  <w:t>CBD/SBSTTA/REC/22</w:t>
                </w:r>
                <w:r w:rsidR="00931DAD" w:rsidRPr="00EB5980">
                  <w:rPr>
                    <w:szCs w:val="22"/>
                  </w:rPr>
                  <w:t>/1</w:t>
                </w:r>
              </w:sdtContent>
            </w:sdt>
          </w:p>
          <w:p w:rsidR="00C9161D" w:rsidRPr="00F24299" w:rsidRDefault="005648D0" w:rsidP="00EB5980">
            <w:pPr>
              <w:suppressLineNumbers/>
              <w:suppressAutoHyphens/>
              <w:kinsoku w:val="0"/>
              <w:overflowPunct w:val="0"/>
              <w:autoSpaceDE w:val="0"/>
              <w:autoSpaceDN w:val="0"/>
              <w:adjustRightInd w:val="0"/>
              <w:snapToGrid w:val="0"/>
              <w:ind w:left="1961"/>
              <w:rPr>
                <w:szCs w:val="22"/>
              </w:rPr>
            </w:pPr>
            <w:sdt>
              <w:sdtPr>
                <w:rPr>
                  <w:szCs w:val="22"/>
                </w:rPr>
                <w:alias w:val="Publish Date"/>
                <w:tag w:val=""/>
                <w:id w:val="276757068"/>
                <w:placeholder>
                  <w:docPart w:val="0E8C501BBE954700A0C458443305DA39"/>
                </w:placeholder>
                <w:dataBinding w:prefixMappings="xmlns:ns0='http://schemas.microsoft.com/office/2006/coverPageProps' " w:xpath="/ns0:CoverPageProperties[1]/ns0:PublishDate[1]" w:storeItemID="{55AF091B-3C7A-41E3-B477-F2FDAA23CFDA}"/>
                <w:date w:fullDate="2018-07-07T00:00:00Z">
                  <w:dateFormat w:val="d MMMM yyyy"/>
                  <w:lid w:val="en-US"/>
                  <w:storeMappedDataAs w:val="dateTime"/>
                  <w:calendar w:val="gregorian"/>
                </w:date>
              </w:sdtPr>
              <w:sdtEndPr/>
              <w:sdtContent>
                <w:r w:rsidR="000304B3">
                  <w:rPr>
                    <w:szCs w:val="22"/>
                  </w:rPr>
                  <w:t>7</w:t>
                </w:r>
                <w:r w:rsidR="000304B3" w:rsidRPr="00F24299">
                  <w:rPr>
                    <w:szCs w:val="22"/>
                  </w:rPr>
                  <w:t xml:space="preserve"> July 2018</w:t>
                </w:r>
              </w:sdtContent>
            </w:sdt>
          </w:p>
          <w:p w:rsidR="00C9161D" w:rsidRPr="00F24299" w:rsidRDefault="00C9161D" w:rsidP="00EB5980">
            <w:pPr>
              <w:suppressLineNumbers/>
              <w:suppressAutoHyphens/>
              <w:kinsoku w:val="0"/>
              <w:overflowPunct w:val="0"/>
              <w:autoSpaceDE w:val="0"/>
              <w:autoSpaceDN w:val="0"/>
              <w:adjustRightInd w:val="0"/>
              <w:snapToGrid w:val="0"/>
              <w:ind w:left="1961"/>
              <w:rPr>
                <w:szCs w:val="22"/>
              </w:rPr>
            </w:pPr>
          </w:p>
          <w:p w:rsidR="00C9161D" w:rsidRPr="00F00643" w:rsidRDefault="00C9161D" w:rsidP="00EB5980">
            <w:pPr>
              <w:suppressLineNumbers/>
              <w:suppressAutoHyphens/>
              <w:kinsoku w:val="0"/>
              <w:overflowPunct w:val="0"/>
              <w:autoSpaceDE w:val="0"/>
              <w:autoSpaceDN w:val="0"/>
              <w:adjustRightInd w:val="0"/>
              <w:snapToGrid w:val="0"/>
              <w:ind w:left="1961"/>
              <w:rPr>
                <w:szCs w:val="22"/>
              </w:rPr>
            </w:pPr>
            <w:r w:rsidRPr="00F00643">
              <w:rPr>
                <w:szCs w:val="22"/>
              </w:rPr>
              <w:t>ORIGINAL:  ENGLISH</w:t>
            </w:r>
          </w:p>
          <w:p w:rsidR="00C9161D" w:rsidRPr="00F24299" w:rsidRDefault="00C9161D" w:rsidP="00EB5980">
            <w:pPr>
              <w:suppressLineNumbers/>
              <w:suppressAutoHyphens/>
              <w:kinsoku w:val="0"/>
              <w:overflowPunct w:val="0"/>
              <w:autoSpaceDE w:val="0"/>
              <w:autoSpaceDN w:val="0"/>
              <w:adjustRightInd w:val="0"/>
              <w:snapToGrid w:val="0"/>
            </w:pPr>
          </w:p>
        </w:tc>
      </w:tr>
    </w:tbl>
    <w:p w:rsidR="009D2C8F" w:rsidRPr="00A65E27" w:rsidRDefault="009D2C8F" w:rsidP="00EB5980">
      <w:pPr>
        <w:pStyle w:val="meetingname"/>
        <w:suppressLineNumbers/>
        <w:suppressAutoHyphens/>
        <w:kinsoku w:val="0"/>
        <w:overflowPunct w:val="0"/>
        <w:autoSpaceDE w:val="0"/>
        <w:autoSpaceDN w:val="0"/>
        <w:adjustRightInd w:val="0"/>
        <w:snapToGrid w:val="0"/>
        <w:ind w:right="4642"/>
        <w:jc w:val="left"/>
      </w:pPr>
      <w:r w:rsidRPr="00A65E27">
        <w:rPr>
          <w:caps w:val="0"/>
          <w:snapToGrid w:val="0"/>
          <w:kern w:val="22"/>
        </w:rPr>
        <w:t>SUBSIDIARY BODY ON SCIENTIFIC, TECHNICAL AND TECHNOLOGICAL ADVICE</w:t>
      </w:r>
    </w:p>
    <w:p w:rsidR="009D2C8F" w:rsidRPr="00EB5980" w:rsidRDefault="009D2C8F" w:rsidP="00EB5980">
      <w:pPr>
        <w:suppressLineNumbers/>
        <w:suppressAutoHyphens/>
        <w:kinsoku w:val="0"/>
        <w:overflowPunct w:val="0"/>
        <w:autoSpaceDE w:val="0"/>
        <w:autoSpaceDN w:val="0"/>
        <w:adjustRightInd w:val="0"/>
        <w:snapToGrid w:val="0"/>
        <w:rPr>
          <w:szCs w:val="22"/>
        </w:rPr>
      </w:pPr>
      <w:r w:rsidRPr="00EB5980">
        <w:rPr>
          <w:szCs w:val="22"/>
        </w:rPr>
        <w:t>Twenty-second meeting</w:t>
      </w:r>
    </w:p>
    <w:p w:rsidR="009D2C8F" w:rsidRPr="00EB5980" w:rsidRDefault="009D2C8F" w:rsidP="00EB5980">
      <w:pPr>
        <w:suppressLineNumbers/>
        <w:suppressAutoHyphens/>
        <w:kinsoku w:val="0"/>
        <w:overflowPunct w:val="0"/>
        <w:autoSpaceDE w:val="0"/>
        <w:autoSpaceDN w:val="0"/>
        <w:adjustRightInd w:val="0"/>
        <w:snapToGrid w:val="0"/>
        <w:rPr>
          <w:szCs w:val="22"/>
        </w:rPr>
      </w:pPr>
      <w:r w:rsidRPr="00EB5980">
        <w:rPr>
          <w:szCs w:val="22"/>
        </w:rPr>
        <w:t xml:space="preserve">Montreal, Canada, </w:t>
      </w:r>
      <w:r w:rsidRPr="00A65E27">
        <w:rPr>
          <w:snapToGrid w:val="0"/>
          <w:kern w:val="22"/>
          <w:szCs w:val="22"/>
        </w:rPr>
        <w:t>2-7 July 2018</w:t>
      </w:r>
    </w:p>
    <w:p w:rsidR="009D2C8F" w:rsidRPr="00EB5980" w:rsidRDefault="009D2C8F" w:rsidP="00EB5980">
      <w:pPr>
        <w:suppressLineNumbers/>
        <w:suppressAutoHyphens/>
        <w:kinsoku w:val="0"/>
        <w:overflowPunct w:val="0"/>
        <w:autoSpaceDE w:val="0"/>
        <w:autoSpaceDN w:val="0"/>
        <w:adjustRightInd w:val="0"/>
        <w:snapToGrid w:val="0"/>
        <w:rPr>
          <w:szCs w:val="22"/>
        </w:rPr>
      </w:pPr>
      <w:r w:rsidRPr="00EB5980">
        <w:rPr>
          <w:szCs w:val="22"/>
        </w:rPr>
        <w:t xml:space="preserve">Agenda item </w:t>
      </w:r>
      <w:r w:rsidR="00931DAD" w:rsidRPr="00EB5980">
        <w:rPr>
          <w:szCs w:val="22"/>
        </w:rPr>
        <w:t>3</w:t>
      </w:r>
    </w:p>
    <w:p w:rsidR="00AC447B" w:rsidRPr="00EB5980" w:rsidRDefault="00AC447B" w:rsidP="00EB5980">
      <w:pPr>
        <w:pStyle w:val="recommendation"/>
        <w:keepNext w:val="0"/>
        <w:suppressLineNumbers/>
        <w:suppressAutoHyphens/>
        <w:kinsoku w:val="0"/>
        <w:overflowPunct w:val="0"/>
        <w:autoSpaceDE w:val="0"/>
        <w:autoSpaceDN w:val="0"/>
        <w:adjustRightInd w:val="0"/>
        <w:snapToGrid w:val="0"/>
        <w:spacing w:line="240" w:lineRule="auto"/>
        <w:jc w:val="center"/>
        <w:rPr>
          <w:i w:val="0"/>
          <w:lang w:val="en-GB"/>
        </w:rPr>
      </w:pPr>
      <w:r w:rsidRPr="00EB5980">
        <w:rPr>
          <w:i w:val="0"/>
          <w:lang w:val="en-GB"/>
        </w:rPr>
        <w:t>RECOMMENDATION ADOPTED BY THE SUBSIDIARY BODY ON SCIENTIFIC, TECHNICAL AND TECHNOLOGICAL ADVICE</w:t>
      </w:r>
    </w:p>
    <w:p w:rsidR="00C9161D" w:rsidRPr="00EB5980" w:rsidRDefault="005648D0" w:rsidP="00EB5980">
      <w:pPr>
        <w:pStyle w:val="recommendationheaderlong"/>
        <w:keepNext w:val="0"/>
        <w:suppressLineNumbers/>
        <w:tabs>
          <w:tab w:val="clear" w:pos="720"/>
          <w:tab w:val="left" w:pos="851"/>
        </w:tabs>
        <w:suppressAutoHyphens/>
        <w:kinsoku w:val="0"/>
        <w:overflowPunct w:val="0"/>
        <w:autoSpaceDE w:val="0"/>
        <w:autoSpaceDN w:val="0"/>
        <w:adjustRightInd w:val="0"/>
        <w:snapToGrid w:val="0"/>
        <w:ind w:left="0" w:right="0" w:firstLine="0"/>
        <w:jc w:val="center"/>
        <w:rPr>
          <w:i w:val="0"/>
          <w:szCs w:val="22"/>
        </w:rPr>
      </w:pPr>
      <w:sdt>
        <w:sdtPr>
          <w:rPr>
            <w:i w:val="0"/>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6B3BD7">
            <w:rPr>
              <w:i w:val="0"/>
              <w:szCs w:val="22"/>
            </w:rPr>
            <w:t>22</w:t>
          </w:r>
          <w:r w:rsidR="00931DAD" w:rsidRPr="00EB5980">
            <w:rPr>
              <w:i w:val="0"/>
              <w:szCs w:val="22"/>
            </w:rPr>
            <w:t>/1.</w:t>
          </w:r>
          <w:r w:rsidR="00931DAD" w:rsidRPr="00EB5980">
            <w:rPr>
              <w:i w:val="0"/>
              <w:szCs w:val="22"/>
            </w:rPr>
            <w:tab/>
            <w:t>Digital sequence information on genetic resources</w:t>
          </w:r>
        </w:sdtContent>
      </w:sdt>
    </w:p>
    <w:p w:rsidR="00931DAD" w:rsidRPr="00EB5980" w:rsidRDefault="00931DAD" w:rsidP="00EB5980">
      <w:pPr>
        <w:suppressLineNumbers/>
        <w:suppressAutoHyphens/>
        <w:kinsoku w:val="0"/>
        <w:overflowPunct w:val="0"/>
        <w:autoSpaceDE w:val="0"/>
        <w:autoSpaceDN w:val="0"/>
        <w:adjustRightInd w:val="0"/>
        <w:snapToGrid w:val="0"/>
        <w:spacing w:before="120" w:after="120"/>
        <w:ind w:firstLine="720"/>
        <w:jc w:val="left"/>
        <w:rPr>
          <w:i/>
          <w:kern w:val="22"/>
          <w:szCs w:val="22"/>
        </w:rPr>
      </w:pPr>
      <w:r w:rsidRPr="00EB5980">
        <w:rPr>
          <w:i/>
          <w:kern w:val="22"/>
          <w:szCs w:val="22"/>
        </w:rPr>
        <w:t>The Subsidiary Body on Scientific, Technical and Technological Advice,</w:t>
      </w:r>
    </w:p>
    <w:p w:rsidR="00931DAD" w:rsidRPr="00EB5980" w:rsidRDefault="00931DAD" w:rsidP="00F24299">
      <w:pPr>
        <w:pStyle w:val="ListParagraph"/>
        <w:suppressLineNumbers/>
        <w:suppressAutoHyphens/>
        <w:kinsoku w:val="0"/>
        <w:overflowPunct w:val="0"/>
        <w:autoSpaceDE w:val="0"/>
        <w:autoSpaceDN w:val="0"/>
        <w:adjustRightInd w:val="0"/>
        <w:snapToGrid w:val="0"/>
        <w:spacing w:before="120" w:after="120"/>
        <w:ind w:left="0" w:firstLine="720"/>
        <w:contextualSpacing w:val="0"/>
        <w:rPr>
          <w:kern w:val="22"/>
          <w:sz w:val="22"/>
          <w:szCs w:val="22"/>
          <w:lang w:val="en-GB"/>
        </w:rPr>
      </w:pPr>
      <w:r w:rsidRPr="00EB5980">
        <w:rPr>
          <w:i/>
          <w:kern w:val="22"/>
          <w:sz w:val="22"/>
          <w:szCs w:val="22"/>
          <w:lang w:val="en-GB"/>
        </w:rPr>
        <w:t>Recalling</w:t>
      </w:r>
      <w:r w:rsidRPr="00EB5980">
        <w:rPr>
          <w:kern w:val="22"/>
          <w:sz w:val="22"/>
          <w:szCs w:val="22"/>
          <w:lang w:val="en-GB"/>
        </w:rPr>
        <w:t xml:space="preserve"> the coordinated and non-duplicative approach on digital sequence information on genetic resources under the Convention and the Nagoya Protocol adopted in decisions XIII/16 and NP-2/14,</w:t>
      </w:r>
    </w:p>
    <w:p w:rsidR="00931DAD" w:rsidRPr="00EB5980" w:rsidRDefault="00931DAD" w:rsidP="00F00643">
      <w:pPr>
        <w:pStyle w:val="ListParagraph"/>
        <w:suppressLineNumbers/>
        <w:suppressAutoHyphens/>
        <w:kinsoku w:val="0"/>
        <w:overflowPunct w:val="0"/>
        <w:autoSpaceDE w:val="0"/>
        <w:autoSpaceDN w:val="0"/>
        <w:adjustRightInd w:val="0"/>
        <w:snapToGrid w:val="0"/>
        <w:spacing w:before="120" w:after="120"/>
        <w:ind w:left="0" w:firstLine="720"/>
        <w:contextualSpacing w:val="0"/>
        <w:rPr>
          <w:kern w:val="22"/>
          <w:sz w:val="22"/>
          <w:szCs w:val="22"/>
          <w:lang w:val="en-GB"/>
        </w:rPr>
      </w:pPr>
      <w:r w:rsidRPr="00EB5980">
        <w:rPr>
          <w:i/>
          <w:kern w:val="22"/>
          <w:sz w:val="22"/>
          <w:szCs w:val="22"/>
          <w:lang w:val="en-GB"/>
        </w:rPr>
        <w:t xml:space="preserve">Noting </w:t>
      </w:r>
      <w:r w:rsidRPr="00EB5980">
        <w:rPr>
          <w:kern w:val="22"/>
          <w:sz w:val="22"/>
          <w:szCs w:val="22"/>
          <w:lang w:val="en-GB"/>
        </w:rPr>
        <w:t>the synthesis of views and information on the potential implications of the use of digital sequence information on genetic resources for the three objectives of the Convention and the objective of the Nagoya Protocol,</w:t>
      </w:r>
      <w:r w:rsidRPr="00EB5980">
        <w:rPr>
          <w:rStyle w:val="FootnoteReference"/>
          <w:sz w:val="22"/>
          <w:szCs w:val="22"/>
          <w:u w:val="none"/>
          <w:vertAlign w:val="superscript"/>
          <w:lang w:val="en-GB"/>
        </w:rPr>
        <w:footnoteReference w:id="1"/>
      </w:r>
    </w:p>
    <w:p w:rsidR="00931DAD" w:rsidRPr="00EB5980" w:rsidRDefault="00931DAD" w:rsidP="00F00643">
      <w:pPr>
        <w:pStyle w:val="ListParagraph"/>
        <w:suppressLineNumbers/>
        <w:suppressAutoHyphens/>
        <w:kinsoku w:val="0"/>
        <w:overflowPunct w:val="0"/>
        <w:autoSpaceDE w:val="0"/>
        <w:autoSpaceDN w:val="0"/>
        <w:adjustRightInd w:val="0"/>
        <w:snapToGrid w:val="0"/>
        <w:spacing w:before="120" w:after="120"/>
        <w:ind w:left="0" w:firstLine="720"/>
        <w:contextualSpacing w:val="0"/>
        <w:rPr>
          <w:kern w:val="22"/>
          <w:sz w:val="22"/>
          <w:szCs w:val="22"/>
          <w:lang w:val="en-GB"/>
        </w:rPr>
      </w:pPr>
      <w:r w:rsidRPr="00EB5980">
        <w:rPr>
          <w:i/>
          <w:kern w:val="22"/>
          <w:sz w:val="22"/>
          <w:szCs w:val="22"/>
          <w:lang w:val="en-GB"/>
        </w:rPr>
        <w:t>Noting also</w:t>
      </w:r>
      <w:r w:rsidRPr="00EB5980">
        <w:rPr>
          <w:kern w:val="22"/>
          <w:sz w:val="22"/>
          <w:szCs w:val="22"/>
          <w:lang w:val="en-GB"/>
        </w:rPr>
        <w:t xml:space="preserve"> the fact-finding and scoping study as well as related peer review comments to clarify terminology and concepts and to assess the extent and the terms and conditions of the use of digital sequence information on genetic resources in the context of the Convention and the Nagoya Protocol,</w:t>
      </w:r>
      <w:r w:rsidRPr="00EB5980">
        <w:rPr>
          <w:rStyle w:val="FootnoteReference"/>
          <w:sz w:val="22"/>
          <w:szCs w:val="22"/>
          <w:u w:val="none"/>
          <w:vertAlign w:val="superscript"/>
          <w:lang w:val="en-GB"/>
        </w:rPr>
        <w:footnoteReference w:id="2"/>
      </w:r>
    </w:p>
    <w:p w:rsidR="00931DAD" w:rsidRPr="00EB5980" w:rsidRDefault="00931DAD" w:rsidP="00A65E27">
      <w:pPr>
        <w:pStyle w:val="ListParagraph"/>
        <w:suppressLineNumbers/>
        <w:suppressAutoHyphens/>
        <w:kinsoku w:val="0"/>
        <w:overflowPunct w:val="0"/>
        <w:autoSpaceDE w:val="0"/>
        <w:autoSpaceDN w:val="0"/>
        <w:adjustRightInd w:val="0"/>
        <w:snapToGrid w:val="0"/>
        <w:spacing w:before="120" w:after="120"/>
        <w:ind w:left="0" w:firstLine="720"/>
        <w:contextualSpacing w:val="0"/>
        <w:rPr>
          <w:kern w:val="22"/>
          <w:sz w:val="22"/>
          <w:szCs w:val="22"/>
          <w:lang w:val="en-GB"/>
        </w:rPr>
      </w:pPr>
      <w:r w:rsidRPr="00EB5980">
        <w:rPr>
          <w:i/>
          <w:kern w:val="22"/>
          <w:sz w:val="22"/>
          <w:szCs w:val="22"/>
          <w:lang w:val="en-GB"/>
        </w:rPr>
        <w:t>Noting further</w:t>
      </w:r>
      <w:r w:rsidRPr="00EB5980">
        <w:rPr>
          <w:kern w:val="22"/>
          <w:sz w:val="22"/>
          <w:szCs w:val="22"/>
          <w:lang w:val="en-GB"/>
        </w:rPr>
        <w:t xml:space="preserve"> the report of the Ad Hoc Technical Expert Group on Digital Sequence Information on Genetic Resources,</w:t>
      </w:r>
      <w:r w:rsidRPr="00EB5980">
        <w:rPr>
          <w:rStyle w:val="FootnoteReference"/>
          <w:sz w:val="22"/>
          <w:szCs w:val="22"/>
          <w:u w:val="none"/>
          <w:vertAlign w:val="superscript"/>
          <w:lang w:val="en-GB"/>
        </w:rPr>
        <w:footnoteReference w:id="3"/>
      </w:r>
    </w:p>
    <w:p w:rsidR="00931DAD" w:rsidRPr="00EB5980" w:rsidRDefault="00931DAD" w:rsidP="00EB5980">
      <w:pPr>
        <w:suppressLineNumbers/>
        <w:suppressAutoHyphens/>
        <w:kinsoku w:val="0"/>
        <w:overflowPunct w:val="0"/>
        <w:autoSpaceDE w:val="0"/>
        <w:autoSpaceDN w:val="0"/>
        <w:adjustRightInd w:val="0"/>
        <w:snapToGrid w:val="0"/>
        <w:spacing w:before="120" w:after="120"/>
        <w:ind w:left="720" w:hanging="360"/>
        <w:rPr>
          <w:b/>
          <w:kern w:val="22"/>
          <w:szCs w:val="22"/>
        </w:rPr>
      </w:pPr>
      <w:r w:rsidRPr="00EB5980">
        <w:rPr>
          <w:b/>
          <w:kern w:val="22"/>
          <w:szCs w:val="22"/>
        </w:rPr>
        <w:t>A.</w:t>
      </w:r>
      <w:r w:rsidRPr="00EB5980">
        <w:rPr>
          <w:b/>
          <w:kern w:val="22"/>
          <w:szCs w:val="22"/>
        </w:rPr>
        <w:tab/>
        <w:t>Draft decision for the Conference of the Parties to the Convention on Biological Diversity</w:t>
      </w:r>
    </w:p>
    <w:p w:rsidR="00931DAD" w:rsidRPr="00EB5980" w:rsidRDefault="00C358CB" w:rsidP="00F24299">
      <w:pPr>
        <w:pStyle w:val="ListParagraph"/>
        <w:suppressLineNumbers/>
        <w:suppressAutoHyphens/>
        <w:kinsoku w:val="0"/>
        <w:overflowPunct w:val="0"/>
        <w:autoSpaceDE w:val="0"/>
        <w:autoSpaceDN w:val="0"/>
        <w:adjustRightInd w:val="0"/>
        <w:snapToGrid w:val="0"/>
        <w:spacing w:before="120" w:after="120"/>
        <w:ind w:left="0" w:firstLine="709"/>
        <w:contextualSpacing w:val="0"/>
        <w:rPr>
          <w:i/>
          <w:kern w:val="22"/>
          <w:sz w:val="22"/>
          <w:szCs w:val="22"/>
          <w:lang w:val="en-GB"/>
        </w:rPr>
      </w:pPr>
      <w:r w:rsidRPr="00EB5980">
        <w:rPr>
          <w:iCs/>
          <w:kern w:val="22"/>
          <w:sz w:val="22"/>
          <w:szCs w:val="22"/>
          <w:lang w:val="en-GB"/>
        </w:rPr>
        <w:t>1.</w:t>
      </w:r>
      <w:r w:rsidRPr="00EB5980">
        <w:rPr>
          <w:iCs/>
          <w:kern w:val="22"/>
          <w:sz w:val="22"/>
          <w:szCs w:val="22"/>
          <w:lang w:val="en-GB"/>
        </w:rPr>
        <w:tab/>
      </w:r>
      <w:r w:rsidR="00931DAD" w:rsidRPr="00EB5980">
        <w:rPr>
          <w:i/>
          <w:kern w:val="22"/>
          <w:sz w:val="22"/>
          <w:szCs w:val="22"/>
          <w:lang w:val="en-GB"/>
        </w:rPr>
        <w:t xml:space="preserve">Recommends </w:t>
      </w:r>
      <w:r w:rsidR="00931DAD" w:rsidRPr="00EB5980">
        <w:rPr>
          <w:kern w:val="22"/>
          <w:sz w:val="22"/>
          <w:szCs w:val="22"/>
          <w:lang w:val="en-GB"/>
        </w:rPr>
        <w:t>that the Conference of the Parties to the Convention on Biological Diversity at its fourteenth meeting adopt a decision along the following lines:</w:t>
      </w:r>
    </w:p>
    <w:p w:rsidR="00931DAD" w:rsidRPr="00EB5980" w:rsidRDefault="00931DAD" w:rsidP="00F00643">
      <w:pPr>
        <w:suppressLineNumbers/>
        <w:suppressAutoHyphens/>
        <w:kinsoku w:val="0"/>
        <w:overflowPunct w:val="0"/>
        <w:autoSpaceDE w:val="0"/>
        <w:autoSpaceDN w:val="0"/>
        <w:adjustRightInd w:val="0"/>
        <w:snapToGrid w:val="0"/>
        <w:spacing w:before="120" w:after="120"/>
        <w:ind w:left="720" w:firstLine="720"/>
        <w:rPr>
          <w:i/>
          <w:kern w:val="22"/>
          <w:szCs w:val="22"/>
        </w:rPr>
      </w:pPr>
      <w:r w:rsidRPr="00EB5980">
        <w:rPr>
          <w:b/>
          <w:bCs/>
          <w:iCs/>
          <w:kern w:val="22"/>
          <w:szCs w:val="22"/>
        </w:rPr>
        <w:t>[</w:t>
      </w:r>
      <w:r w:rsidRPr="00EB5980">
        <w:rPr>
          <w:i/>
          <w:kern w:val="22"/>
          <w:szCs w:val="22"/>
        </w:rPr>
        <w:t>The Conference of the Parties,</w:t>
      </w:r>
    </w:p>
    <w:p w:rsidR="00931DAD" w:rsidRPr="00EB5980" w:rsidRDefault="00931DAD" w:rsidP="00F00643">
      <w:pPr>
        <w:suppressLineNumbers/>
        <w:suppressAutoHyphens/>
        <w:kinsoku w:val="0"/>
        <w:overflowPunct w:val="0"/>
        <w:autoSpaceDE w:val="0"/>
        <w:autoSpaceDN w:val="0"/>
        <w:adjustRightInd w:val="0"/>
        <w:snapToGrid w:val="0"/>
        <w:spacing w:before="120" w:after="120"/>
        <w:ind w:left="720" w:firstLine="720"/>
        <w:rPr>
          <w:kern w:val="22"/>
          <w:szCs w:val="22"/>
        </w:rPr>
      </w:pPr>
      <w:r w:rsidRPr="00EB5980">
        <w:rPr>
          <w:i/>
          <w:kern w:val="22"/>
          <w:szCs w:val="22"/>
        </w:rPr>
        <w:t>Mindful</w:t>
      </w:r>
      <w:r w:rsidRPr="00EB5980">
        <w:rPr>
          <w:kern w:val="22"/>
          <w:szCs w:val="22"/>
        </w:rPr>
        <w:t xml:space="preserve"> of the three objectives of the Convention,</w:t>
      </w:r>
    </w:p>
    <w:p w:rsidR="00931DAD" w:rsidRPr="00EB5980" w:rsidRDefault="00931DAD" w:rsidP="00F00643">
      <w:pPr>
        <w:pStyle w:val="ListParagraph"/>
        <w:suppressLineNumbers/>
        <w:suppressAutoHyphens/>
        <w:kinsoku w:val="0"/>
        <w:overflowPunct w:val="0"/>
        <w:autoSpaceDE w:val="0"/>
        <w:autoSpaceDN w:val="0"/>
        <w:adjustRightInd w:val="0"/>
        <w:snapToGrid w:val="0"/>
        <w:spacing w:before="120" w:after="120"/>
        <w:ind w:firstLine="720"/>
        <w:contextualSpacing w:val="0"/>
        <w:rPr>
          <w:kern w:val="22"/>
          <w:sz w:val="22"/>
          <w:szCs w:val="22"/>
          <w:lang w:val="en-GB"/>
        </w:rPr>
      </w:pPr>
      <w:r w:rsidRPr="00EB5980">
        <w:rPr>
          <w:i/>
          <w:kern w:val="22"/>
          <w:sz w:val="22"/>
          <w:szCs w:val="22"/>
          <w:lang w:val="en-GB"/>
        </w:rPr>
        <w:t xml:space="preserve">Recalling </w:t>
      </w:r>
      <w:r w:rsidRPr="00EB5980">
        <w:rPr>
          <w:kern w:val="22"/>
          <w:sz w:val="22"/>
          <w:szCs w:val="22"/>
          <w:lang w:val="en-GB"/>
        </w:rPr>
        <w:t>Articles 12, 15, 16, 17 and 18 of the Convention and decisions VIII/11, XII/29 and XIII/31,</w:t>
      </w:r>
    </w:p>
    <w:p w:rsidR="00931DAD" w:rsidRPr="00EB5980" w:rsidRDefault="00931DAD" w:rsidP="00F00643">
      <w:pPr>
        <w:pStyle w:val="ListParagraph"/>
        <w:suppressLineNumbers/>
        <w:suppressAutoHyphens/>
        <w:kinsoku w:val="0"/>
        <w:overflowPunct w:val="0"/>
        <w:autoSpaceDE w:val="0"/>
        <w:autoSpaceDN w:val="0"/>
        <w:adjustRightInd w:val="0"/>
        <w:snapToGrid w:val="0"/>
        <w:spacing w:before="120" w:after="120"/>
        <w:ind w:firstLine="720"/>
        <w:contextualSpacing w:val="0"/>
        <w:rPr>
          <w:kern w:val="22"/>
          <w:sz w:val="22"/>
          <w:szCs w:val="22"/>
          <w:lang w:val="en-GB"/>
        </w:rPr>
      </w:pPr>
      <w:r w:rsidRPr="00EB5980">
        <w:rPr>
          <w:kern w:val="22"/>
          <w:sz w:val="22"/>
          <w:szCs w:val="22"/>
          <w:lang w:val="en-GB"/>
        </w:rPr>
        <w:t>[</w:t>
      </w:r>
      <w:r w:rsidRPr="00EB5980">
        <w:rPr>
          <w:i/>
          <w:kern w:val="22"/>
          <w:sz w:val="22"/>
          <w:szCs w:val="22"/>
          <w:lang w:val="en-GB"/>
        </w:rPr>
        <w:t xml:space="preserve">Noting </w:t>
      </w:r>
      <w:r w:rsidRPr="00EB5980">
        <w:rPr>
          <w:kern w:val="22"/>
          <w:sz w:val="22"/>
          <w:szCs w:val="22"/>
          <w:lang w:val="en-GB"/>
        </w:rPr>
        <w:t>the reports of discussions on this issue and related issues in other United Nations bodies, such as the Food and Agriculture Organization of the United Nations, the International Treaty on Plant Genetic Resources for Food and Agriculture, the World Health Organization and the World Intellectual Property Organization,]</w:t>
      </w:r>
    </w:p>
    <w:p w:rsidR="00931DAD" w:rsidRPr="00EB5980" w:rsidRDefault="00931DAD" w:rsidP="00F00643">
      <w:pPr>
        <w:suppressLineNumbers/>
        <w:suppressAutoHyphens/>
        <w:kinsoku w:val="0"/>
        <w:overflowPunct w:val="0"/>
        <w:autoSpaceDE w:val="0"/>
        <w:autoSpaceDN w:val="0"/>
        <w:adjustRightInd w:val="0"/>
        <w:snapToGrid w:val="0"/>
        <w:spacing w:before="120" w:after="120"/>
        <w:ind w:left="720" w:firstLine="720"/>
        <w:rPr>
          <w:kern w:val="22"/>
          <w:szCs w:val="22"/>
        </w:rPr>
      </w:pPr>
      <w:r w:rsidRPr="00EB5980">
        <w:rPr>
          <w:kern w:val="22"/>
          <w:szCs w:val="22"/>
        </w:rPr>
        <w:t>1.</w:t>
      </w:r>
      <w:r w:rsidRPr="00EB5980">
        <w:rPr>
          <w:kern w:val="22"/>
          <w:szCs w:val="22"/>
        </w:rPr>
        <w:tab/>
      </w:r>
      <w:r w:rsidRPr="00EB5980">
        <w:rPr>
          <w:i/>
          <w:kern w:val="22"/>
          <w:szCs w:val="22"/>
        </w:rPr>
        <w:t>Notes</w:t>
      </w:r>
      <w:r w:rsidRPr="00EB5980">
        <w:rPr>
          <w:kern w:val="22"/>
          <w:szCs w:val="22"/>
        </w:rPr>
        <w:t xml:space="preserve"> that the term “digital sequence information” may not be the most appropriate term to refer to the various types of information on genetic resources, and that it is used as a placeholder until an alternative term is agreed;</w:t>
      </w:r>
    </w:p>
    <w:p w:rsidR="00931DAD" w:rsidRPr="00EB5980" w:rsidRDefault="00931DAD" w:rsidP="00A65E27">
      <w:pPr>
        <w:suppressLineNumbers/>
        <w:suppressAutoHyphens/>
        <w:kinsoku w:val="0"/>
        <w:overflowPunct w:val="0"/>
        <w:autoSpaceDE w:val="0"/>
        <w:autoSpaceDN w:val="0"/>
        <w:adjustRightInd w:val="0"/>
        <w:snapToGrid w:val="0"/>
        <w:spacing w:before="120" w:after="120"/>
        <w:ind w:left="720" w:firstLine="720"/>
        <w:rPr>
          <w:kern w:val="22"/>
          <w:szCs w:val="22"/>
        </w:rPr>
      </w:pPr>
      <w:r w:rsidRPr="00EB5980">
        <w:rPr>
          <w:kern w:val="22"/>
          <w:szCs w:val="22"/>
        </w:rPr>
        <w:t>[2.</w:t>
      </w:r>
      <w:r w:rsidRPr="00EB5980">
        <w:rPr>
          <w:kern w:val="22"/>
          <w:szCs w:val="22"/>
        </w:rPr>
        <w:tab/>
      </w:r>
      <w:r w:rsidRPr="00EB5980">
        <w:rPr>
          <w:i/>
          <w:kern w:val="22"/>
          <w:szCs w:val="22"/>
        </w:rPr>
        <w:t>Recognizes</w:t>
      </w:r>
      <w:r w:rsidRPr="00EB5980">
        <w:rPr>
          <w:kern w:val="22"/>
          <w:szCs w:val="22"/>
        </w:rPr>
        <w:t xml:space="preserve"> that digital sequence information includes information on nucleic acids and protein sequences as well as information derived from biological and metabolic processes specific to the cells of the genetic resource;]</w:t>
      </w:r>
    </w:p>
    <w:p w:rsidR="00931DAD" w:rsidRPr="00EB5980" w:rsidRDefault="00931DAD" w:rsidP="00A65E27">
      <w:pPr>
        <w:suppressLineNumbers/>
        <w:suppressAutoHyphens/>
        <w:kinsoku w:val="0"/>
        <w:overflowPunct w:val="0"/>
        <w:autoSpaceDE w:val="0"/>
        <w:autoSpaceDN w:val="0"/>
        <w:adjustRightInd w:val="0"/>
        <w:snapToGrid w:val="0"/>
        <w:spacing w:before="120" w:after="120"/>
        <w:ind w:left="720" w:firstLine="720"/>
        <w:rPr>
          <w:kern w:val="22"/>
          <w:szCs w:val="22"/>
        </w:rPr>
      </w:pPr>
      <w:r w:rsidRPr="00EB5980">
        <w:rPr>
          <w:kern w:val="22"/>
          <w:szCs w:val="22"/>
        </w:rPr>
        <w:t>3.</w:t>
      </w:r>
      <w:r w:rsidRPr="00EB5980">
        <w:rPr>
          <w:kern w:val="22"/>
          <w:szCs w:val="22"/>
        </w:rPr>
        <w:tab/>
      </w:r>
      <w:r w:rsidRPr="00EB5980">
        <w:rPr>
          <w:i/>
          <w:kern w:val="22"/>
          <w:szCs w:val="22"/>
        </w:rPr>
        <w:t>Recognizes</w:t>
      </w:r>
      <w:r w:rsidRPr="00EB5980">
        <w:rPr>
          <w:kern w:val="22"/>
          <w:szCs w:val="22"/>
        </w:rPr>
        <w:t xml:space="preserve"> the importance of digital sequence information on genetic resources for the conservation of biological diversity and the sustainable use of its components while </w:t>
      </w:r>
      <w:r w:rsidRPr="00EB5980">
        <w:rPr>
          <w:i/>
          <w:szCs w:val="22"/>
        </w:rPr>
        <w:t>emphasizing</w:t>
      </w:r>
      <w:r w:rsidRPr="00EB5980">
        <w:rPr>
          <w:kern w:val="22"/>
          <w:szCs w:val="22"/>
        </w:rPr>
        <w:t xml:space="preserve"> that the three objectives of the Convention are interlinked and mutually supportive;</w:t>
      </w:r>
    </w:p>
    <w:p w:rsidR="00931DAD" w:rsidRPr="00EB5980" w:rsidRDefault="00931DAD">
      <w:pPr>
        <w:suppressLineNumbers/>
        <w:suppressAutoHyphens/>
        <w:kinsoku w:val="0"/>
        <w:overflowPunct w:val="0"/>
        <w:autoSpaceDE w:val="0"/>
        <w:autoSpaceDN w:val="0"/>
        <w:adjustRightInd w:val="0"/>
        <w:snapToGrid w:val="0"/>
        <w:spacing w:before="120" w:after="120"/>
        <w:ind w:left="720" w:firstLine="720"/>
        <w:rPr>
          <w:kern w:val="22"/>
          <w:szCs w:val="22"/>
        </w:rPr>
      </w:pPr>
      <w:r w:rsidRPr="00EB5980">
        <w:rPr>
          <w:kern w:val="22"/>
          <w:szCs w:val="22"/>
        </w:rPr>
        <w:t>[4.</w:t>
      </w:r>
      <w:r w:rsidRPr="00EB5980">
        <w:rPr>
          <w:kern w:val="22"/>
          <w:szCs w:val="22"/>
        </w:rPr>
        <w:tab/>
      </w:r>
      <w:r w:rsidRPr="00EB5980">
        <w:rPr>
          <w:i/>
          <w:kern w:val="22"/>
          <w:szCs w:val="22"/>
        </w:rPr>
        <w:t>Recognizes</w:t>
      </w:r>
      <w:r w:rsidRPr="00EB5980">
        <w:rPr>
          <w:kern w:val="22"/>
          <w:szCs w:val="22"/>
        </w:rPr>
        <w:t xml:space="preserve"> that digital sequence information on genetic resources has important and very positive effects on the conservation of biological diversity and sustainable use of its components as well as for protection of human, animal and plant health and for food security and safety;]</w:t>
      </w:r>
    </w:p>
    <w:p w:rsidR="00931DAD" w:rsidRPr="00EB5980" w:rsidRDefault="00931DAD">
      <w:pPr>
        <w:suppressLineNumbers/>
        <w:suppressAutoHyphens/>
        <w:kinsoku w:val="0"/>
        <w:overflowPunct w:val="0"/>
        <w:autoSpaceDE w:val="0"/>
        <w:autoSpaceDN w:val="0"/>
        <w:adjustRightInd w:val="0"/>
        <w:snapToGrid w:val="0"/>
        <w:spacing w:before="120" w:after="120"/>
        <w:ind w:left="720" w:firstLine="720"/>
        <w:rPr>
          <w:kern w:val="22"/>
          <w:szCs w:val="22"/>
        </w:rPr>
      </w:pPr>
      <w:r w:rsidRPr="00EB5980">
        <w:rPr>
          <w:kern w:val="22"/>
          <w:szCs w:val="22"/>
        </w:rPr>
        <w:t>5.</w:t>
      </w:r>
      <w:r w:rsidRPr="00EB5980">
        <w:rPr>
          <w:kern w:val="22"/>
          <w:szCs w:val="22"/>
        </w:rPr>
        <w:tab/>
      </w:r>
      <w:r w:rsidRPr="00EB5980">
        <w:rPr>
          <w:i/>
          <w:kern w:val="22"/>
          <w:szCs w:val="22"/>
        </w:rPr>
        <w:t>Recognizes</w:t>
      </w:r>
      <w:r w:rsidRPr="00EB5980">
        <w:rPr>
          <w:kern w:val="22"/>
          <w:szCs w:val="22"/>
        </w:rPr>
        <w:t xml:space="preserve"> that the use of digital sequence information on genetic resources and public access to this information contributes to scientific research [that is essential for the characterization, conservation and sustainable use of biological diversity and to food security, food safety and human health] [and provides multiple benefits to society] [which should be shared fairly and equitably];</w:t>
      </w:r>
    </w:p>
    <w:p w:rsidR="00931DAD" w:rsidRPr="00EB5980" w:rsidRDefault="00931DAD">
      <w:pPr>
        <w:suppressLineNumbers/>
        <w:suppressAutoHyphens/>
        <w:kinsoku w:val="0"/>
        <w:overflowPunct w:val="0"/>
        <w:autoSpaceDE w:val="0"/>
        <w:autoSpaceDN w:val="0"/>
        <w:adjustRightInd w:val="0"/>
        <w:snapToGrid w:val="0"/>
        <w:spacing w:before="120" w:after="120"/>
        <w:ind w:left="720" w:firstLine="720"/>
        <w:rPr>
          <w:kern w:val="22"/>
          <w:szCs w:val="22"/>
        </w:rPr>
      </w:pPr>
      <w:r w:rsidRPr="00EB5980">
        <w:rPr>
          <w:kern w:val="22"/>
          <w:szCs w:val="22"/>
        </w:rPr>
        <w:t>[6.</w:t>
      </w:r>
      <w:r w:rsidRPr="00EB5980">
        <w:rPr>
          <w:kern w:val="22"/>
          <w:szCs w:val="22"/>
        </w:rPr>
        <w:tab/>
      </w:r>
      <w:r w:rsidRPr="00EB5980">
        <w:rPr>
          <w:i/>
          <w:kern w:val="22"/>
          <w:szCs w:val="22"/>
        </w:rPr>
        <w:t>Notes</w:t>
      </w:r>
      <w:r w:rsidRPr="00EB5980">
        <w:rPr>
          <w:kern w:val="22"/>
          <w:szCs w:val="22"/>
        </w:rPr>
        <w:t xml:space="preserve"> that access to digital sequence information held in public databases is not subject to requirements for prior informed consent;]</w:t>
      </w:r>
    </w:p>
    <w:p w:rsidR="00931DAD" w:rsidRPr="00EB5980" w:rsidRDefault="00931DAD">
      <w:pPr>
        <w:suppressLineNumbers/>
        <w:suppressAutoHyphens/>
        <w:kinsoku w:val="0"/>
        <w:overflowPunct w:val="0"/>
        <w:autoSpaceDE w:val="0"/>
        <w:autoSpaceDN w:val="0"/>
        <w:adjustRightInd w:val="0"/>
        <w:snapToGrid w:val="0"/>
        <w:spacing w:before="120" w:after="120"/>
        <w:ind w:left="720" w:firstLine="720"/>
        <w:rPr>
          <w:kern w:val="22"/>
          <w:szCs w:val="22"/>
        </w:rPr>
      </w:pPr>
      <w:r w:rsidRPr="00EB5980">
        <w:rPr>
          <w:kern w:val="22"/>
          <w:szCs w:val="22"/>
        </w:rPr>
        <w:t>[7.</w:t>
      </w:r>
      <w:r w:rsidRPr="00EB5980">
        <w:rPr>
          <w:kern w:val="22"/>
          <w:szCs w:val="22"/>
        </w:rPr>
        <w:tab/>
      </w:r>
      <w:r w:rsidRPr="00EB5980">
        <w:rPr>
          <w:i/>
          <w:kern w:val="22"/>
          <w:szCs w:val="22"/>
        </w:rPr>
        <w:t xml:space="preserve">Notes </w:t>
      </w:r>
      <w:r w:rsidRPr="00EB5980">
        <w:rPr>
          <w:kern w:val="22"/>
          <w:szCs w:val="22"/>
        </w:rPr>
        <w:t>that the creation of digital sequence information requires initial access to a physical genetic resource, and that, therefore, a benefit arising from the utilization of digital sequence information should be shared fairly and equitably in accordance with the third objective of the Convention, the objective of the Nagoya Protocol and Article 5(1) of the Nagoya Protocol and in a way that directly benefits indigenous peoples and local communities conserving biological diversity so that it serves as an incentive for conservation and sustainable use;]</w:t>
      </w:r>
    </w:p>
    <w:p w:rsidR="00931DAD" w:rsidRPr="00EB5980" w:rsidRDefault="00931DAD">
      <w:pPr>
        <w:suppressLineNumbers/>
        <w:suppressAutoHyphens/>
        <w:kinsoku w:val="0"/>
        <w:overflowPunct w:val="0"/>
        <w:autoSpaceDE w:val="0"/>
        <w:autoSpaceDN w:val="0"/>
        <w:adjustRightInd w:val="0"/>
        <w:snapToGrid w:val="0"/>
        <w:spacing w:before="120" w:after="120"/>
        <w:ind w:left="720" w:firstLine="720"/>
        <w:rPr>
          <w:kern w:val="22"/>
          <w:szCs w:val="22"/>
        </w:rPr>
      </w:pPr>
      <w:r w:rsidRPr="00EB5980">
        <w:rPr>
          <w:kern w:val="22"/>
          <w:szCs w:val="22"/>
        </w:rPr>
        <w:t>8.</w:t>
      </w:r>
      <w:r w:rsidRPr="00EB5980">
        <w:rPr>
          <w:kern w:val="22"/>
          <w:szCs w:val="22"/>
        </w:rPr>
        <w:tab/>
      </w:r>
      <w:r w:rsidRPr="00EB5980">
        <w:rPr>
          <w:i/>
          <w:kern w:val="22"/>
          <w:szCs w:val="22"/>
        </w:rPr>
        <w:t xml:space="preserve">Recognizes </w:t>
      </w:r>
      <w:r w:rsidRPr="00EB5980">
        <w:rPr>
          <w:kern w:val="22"/>
          <w:szCs w:val="22"/>
        </w:rPr>
        <w:t xml:space="preserve">also that further capacity to use, generate and analyse digital sequence information on genetic resources is needed in many countries and </w:t>
      </w:r>
      <w:r w:rsidRPr="00EB5980">
        <w:rPr>
          <w:i/>
          <w:kern w:val="22"/>
          <w:szCs w:val="22"/>
        </w:rPr>
        <w:t>encourages</w:t>
      </w:r>
      <w:r w:rsidRPr="00EB5980">
        <w:rPr>
          <w:kern w:val="22"/>
          <w:szCs w:val="22"/>
        </w:rPr>
        <w:t xml:space="preserve"> Parties, other Governments and relevant organizations to support capacity-building and technology transfer to assist in the use of digital sequence information on genetic resources to contribute to conservation and sustainable use of biodiversity;</w:t>
      </w:r>
    </w:p>
    <w:p w:rsidR="00931DAD" w:rsidRPr="00EB5980" w:rsidRDefault="00931DAD">
      <w:pPr>
        <w:suppressLineNumbers/>
        <w:suppressAutoHyphens/>
        <w:kinsoku w:val="0"/>
        <w:overflowPunct w:val="0"/>
        <w:autoSpaceDE w:val="0"/>
        <w:autoSpaceDN w:val="0"/>
        <w:adjustRightInd w:val="0"/>
        <w:snapToGrid w:val="0"/>
        <w:spacing w:before="120" w:after="120"/>
        <w:ind w:left="720" w:firstLine="720"/>
        <w:rPr>
          <w:kern w:val="22"/>
          <w:szCs w:val="22"/>
        </w:rPr>
      </w:pPr>
      <w:r w:rsidRPr="00EB5980">
        <w:rPr>
          <w:kern w:val="22"/>
          <w:szCs w:val="22"/>
        </w:rPr>
        <w:t>[9.</w:t>
      </w:r>
      <w:r w:rsidRPr="00EB5980">
        <w:rPr>
          <w:kern w:val="22"/>
          <w:szCs w:val="22"/>
        </w:rPr>
        <w:tab/>
      </w:r>
      <w:r w:rsidRPr="00EB5980">
        <w:rPr>
          <w:i/>
          <w:kern w:val="22"/>
          <w:szCs w:val="22"/>
        </w:rPr>
        <w:t>Also recognizes</w:t>
      </w:r>
      <w:r w:rsidRPr="00EB5980">
        <w:rPr>
          <w:kern w:val="22"/>
          <w:szCs w:val="22"/>
        </w:rPr>
        <w:t xml:space="preserve"> the need to strike a balance between the interest in open and free access to information on genetic resources and the interest in fair and equitable sharing of benefits with countries and communities providing these genetic resources from which the information was generated which may otherwise not benefit from the results of the research and development activities;]</w:t>
      </w:r>
    </w:p>
    <w:p w:rsidR="00931DAD" w:rsidRPr="00EB5980" w:rsidRDefault="00931DAD">
      <w:pPr>
        <w:suppressLineNumbers/>
        <w:suppressAutoHyphens/>
        <w:kinsoku w:val="0"/>
        <w:overflowPunct w:val="0"/>
        <w:autoSpaceDE w:val="0"/>
        <w:autoSpaceDN w:val="0"/>
        <w:adjustRightInd w:val="0"/>
        <w:snapToGrid w:val="0"/>
        <w:spacing w:before="120" w:after="120"/>
        <w:ind w:left="720" w:firstLine="720"/>
        <w:rPr>
          <w:kern w:val="22"/>
          <w:szCs w:val="22"/>
        </w:rPr>
      </w:pPr>
      <w:r w:rsidRPr="00EB5980">
        <w:rPr>
          <w:kern w:val="22"/>
          <w:szCs w:val="22"/>
        </w:rPr>
        <w:t>[10.</w:t>
      </w:r>
      <w:r w:rsidRPr="00EB5980">
        <w:rPr>
          <w:kern w:val="22"/>
          <w:szCs w:val="22"/>
        </w:rPr>
        <w:tab/>
      </w:r>
      <w:r w:rsidRPr="00EB5980">
        <w:rPr>
          <w:i/>
          <w:kern w:val="22"/>
          <w:szCs w:val="22"/>
        </w:rPr>
        <w:t>Notes</w:t>
      </w:r>
      <w:r w:rsidRPr="00EB5980">
        <w:rPr>
          <w:kern w:val="22"/>
          <w:szCs w:val="22"/>
        </w:rPr>
        <w:t xml:space="preserve"> that some Parties have implemented provisions that consider digital sequence information as equivalent to genetic resources;]</w:t>
      </w:r>
    </w:p>
    <w:p w:rsidR="00931DAD" w:rsidRPr="00EB5980" w:rsidRDefault="00931DAD">
      <w:pPr>
        <w:suppressLineNumbers/>
        <w:suppressAutoHyphens/>
        <w:kinsoku w:val="0"/>
        <w:overflowPunct w:val="0"/>
        <w:autoSpaceDE w:val="0"/>
        <w:autoSpaceDN w:val="0"/>
        <w:adjustRightInd w:val="0"/>
        <w:snapToGrid w:val="0"/>
        <w:spacing w:before="120" w:after="120"/>
        <w:ind w:left="720" w:firstLine="720"/>
        <w:rPr>
          <w:kern w:val="22"/>
          <w:szCs w:val="22"/>
        </w:rPr>
      </w:pPr>
      <w:r w:rsidRPr="00EB5980">
        <w:rPr>
          <w:kern w:val="22"/>
          <w:szCs w:val="22"/>
        </w:rPr>
        <w:t>[11.</w:t>
      </w:r>
      <w:r w:rsidRPr="00EB5980">
        <w:rPr>
          <w:kern w:val="22"/>
          <w:szCs w:val="22"/>
        </w:rPr>
        <w:tab/>
      </w:r>
      <w:r w:rsidRPr="00EB5980">
        <w:rPr>
          <w:i/>
          <w:kern w:val="22"/>
          <w:szCs w:val="22"/>
        </w:rPr>
        <w:t>Acknowledges</w:t>
      </w:r>
      <w:r w:rsidRPr="00EB5980">
        <w:rPr>
          <w:kern w:val="22"/>
          <w:szCs w:val="22"/>
        </w:rPr>
        <w:t xml:space="preserve"> that mutually agreed terms can cover benefits arising from the commercial use of digital sequence information on genetic resources;]</w:t>
      </w:r>
    </w:p>
    <w:p w:rsidR="00931DAD" w:rsidRPr="00A65E27" w:rsidRDefault="00931DAD">
      <w:pPr>
        <w:suppressLineNumbers/>
        <w:suppressAutoHyphens/>
        <w:kinsoku w:val="0"/>
        <w:overflowPunct w:val="0"/>
        <w:autoSpaceDE w:val="0"/>
        <w:autoSpaceDN w:val="0"/>
        <w:adjustRightInd w:val="0"/>
        <w:snapToGrid w:val="0"/>
        <w:spacing w:before="120" w:after="120"/>
        <w:ind w:left="720" w:firstLine="720"/>
        <w:rPr>
          <w:kern w:val="22"/>
          <w:szCs w:val="22"/>
        </w:rPr>
      </w:pPr>
      <w:r w:rsidRPr="00A65E27">
        <w:rPr>
          <w:kern w:val="22"/>
          <w:szCs w:val="22"/>
        </w:rPr>
        <w:t>[12.</w:t>
      </w:r>
      <w:r w:rsidRPr="00A65E27">
        <w:rPr>
          <w:kern w:val="22"/>
          <w:szCs w:val="22"/>
        </w:rPr>
        <w:tab/>
      </w:r>
      <w:r w:rsidRPr="00A65E27">
        <w:rPr>
          <w:i/>
          <w:kern w:val="22"/>
          <w:szCs w:val="22"/>
        </w:rPr>
        <w:t>Also recognizes</w:t>
      </w:r>
      <w:r w:rsidRPr="00A65E27">
        <w:rPr>
          <w:kern w:val="22"/>
          <w:szCs w:val="22"/>
        </w:rPr>
        <w:t xml:space="preserve"> that digital sequence information on genetic resources can facilitate misappropriation if it is used to bypass national access legislation and no alternative benefit-sharing measure is put in place;]</w:t>
      </w:r>
    </w:p>
    <w:p w:rsidR="00931DAD" w:rsidRPr="00A65E27" w:rsidRDefault="00931DAD">
      <w:pPr>
        <w:suppressLineNumbers/>
        <w:suppressAutoHyphens/>
        <w:kinsoku w:val="0"/>
        <w:overflowPunct w:val="0"/>
        <w:autoSpaceDE w:val="0"/>
        <w:autoSpaceDN w:val="0"/>
        <w:adjustRightInd w:val="0"/>
        <w:snapToGrid w:val="0"/>
        <w:spacing w:before="120" w:after="120"/>
        <w:ind w:left="720" w:firstLine="720"/>
        <w:rPr>
          <w:kern w:val="22"/>
          <w:szCs w:val="22"/>
        </w:rPr>
      </w:pPr>
      <w:r w:rsidRPr="00EB5980">
        <w:rPr>
          <w:kern w:val="22"/>
          <w:szCs w:val="22"/>
        </w:rPr>
        <w:t>[13.</w:t>
      </w:r>
      <w:r w:rsidRPr="00EB5980">
        <w:rPr>
          <w:kern w:val="22"/>
          <w:szCs w:val="22"/>
        </w:rPr>
        <w:tab/>
      </w:r>
      <w:r w:rsidRPr="00A65E27">
        <w:rPr>
          <w:i/>
          <w:iCs/>
          <w:kern w:val="22"/>
          <w:szCs w:val="22"/>
        </w:rPr>
        <w:t xml:space="preserve">Acknowledges </w:t>
      </w:r>
      <w:r w:rsidRPr="00A65E27">
        <w:rPr>
          <w:kern w:val="22"/>
          <w:szCs w:val="22"/>
        </w:rPr>
        <w:t>that, according to Article 15.7 of the Convention and Article 5 of the Nagoya Protocol, benefits from the commercial use of the results of utilization of digital sequence information on genetic resources arising from access shall be shared in a fair and equitable way;]</w:t>
      </w:r>
    </w:p>
    <w:p w:rsidR="00931DAD" w:rsidRPr="00EB5980" w:rsidRDefault="00931DAD">
      <w:pPr>
        <w:suppressLineNumbers/>
        <w:suppressAutoHyphens/>
        <w:kinsoku w:val="0"/>
        <w:overflowPunct w:val="0"/>
        <w:autoSpaceDE w:val="0"/>
        <w:autoSpaceDN w:val="0"/>
        <w:adjustRightInd w:val="0"/>
        <w:snapToGrid w:val="0"/>
        <w:spacing w:before="120" w:after="120"/>
        <w:ind w:left="720" w:firstLine="720"/>
        <w:rPr>
          <w:kern w:val="22"/>
          <w:szCs w:val="22"/>
        </w:rPr>
      </w:pPr>
      <w:r w:rsidRPr="00EB5980">
        <w:rPr>
          <w:kern w:val="22"/>
          <w:szCs w:val="22"/>
        </w:rPr>
        <w:t>[14.</w:t>
      </w:r>
      <w:r w:rsidRPr="00EB5980">
        <w:rPr>
          <w:kern w:val="22"/>
          <w:szCs w:val="22"/>
        </w:rPr>
        <w:tab/>
      </w:r>
      <w:r w:rsidRPr="00EB5980">
        <w:rPr>
          <w:i/>
          <w:kern w:val="22"/>
          <w:szCs w:val="22"/>
        </w:rPr>
        <w:t>Acknowledges also</w:t>
      </w:r>
      <w:r w:rsidRPr="00EB5980">
        <w:rPr>
          <w:kern w:val="22"/>
          <w:szCs w:val="22"/>
        </w:rPr>
        <w:t xml:space="preserve"> that, according to Article 15.2 of the Convention and Article 8 of the Nagoya Protocol, the use of digital sequence information on genetic resources for non-commercial research and development should be subject to simplified measures according to domestic legislation, [taking into account the need to address a change of intent for such research highlighting that it is the sovereign right of a Party on how they wish to create conditions to promote and encourage research];]</w:t>
      </w:r>
    </w:p>
    <w:p w:rsidR="00931DAD" w:rsidRPr="00EB5980" w:rsidRDefault="00931DAD">
      <w:pPr>
        <w:suppressLineNumbers/>
        <w:suppressAutoHyphens/>
        <w:kinsoku w:val="0"/>
        <w:overflowPunct w:val="0"/>
        <w:autoSpaceDE w:val="0"/>
        <w:autoSpaceDN w:val="0"/>
        <w:adjustRightInd w:val="0"/>
        <w:snapToGrid w:val="0"/>
        <w:spacing w:before="120" w:after="120"/>
        <w:ind w:left="720" w:firstLine="720"/>
        <w:rPr>
          <w:kern w:val="22"/>
          <w:szCs w:val="22"/>
        </w:rPr>
      </w:pPr>
      <w:r w:rsidRPr="00EB5980">
        <w:rPr>
          <w:kern w:val="22"/>
          <w:szCs w:val="22"/>
        </w:rPr>
        <w:t>[15.</w:t>
      </w:r>
      <w:r w:rsidRPr="00EB5980">
        <w:rPr>
          <w:kern w:val="22"/>
          <w:szCs w:val="22"/>
        </w:rPr>
        <w:tab/>
      </w:r>
      <w:r w:rsidRPr="00EB5980">
        <w:rPr>
          <w:i/>
          <w:kern w:val="22"/>
          <w:szCs w:val="22"/>
        </w:rPr>
        <w:t>Invites</w:t>
      </w:r>
      <w:r w:rsidRPr="00EB5980">
        <w:rPr>
          <w:kern w:val="22"/>
          <w:szCs w:val="22"/>
        </w:rPr>
        <w:t xml:space="preserve"> Parties, other Governments, indigenous peoples and local communities, relevant organizations and stakeholders to facilitate access and support the exchange and use of digital sequence information [to further the three objectives of the Convention][to further the three objectives of the Convention, including for protection of human, animal and plant health and for food security][for purposes of conservation of biological diversity and sustainable use of its components as well as for protection of human, animal and plant health and for food security];]</w:t>
      </w:r>
    </w:p>
    <w:p w:rsidR="00931DAD" w:rsidRPr="00EB5980" w:rsidRDefault="00931DAD">
      <w:pPr>
        <w:suppressLineNumbers/>
        <w:suppressAutoHyphens/>
        <w:kinsoku w:val="0"/>
        <w:overflowPunct w:val="0"/>
        <w:autoSpaceDE w:val="0"/>
        <w:autoSpaceDN w:val="0"/>
        <w:adjustRightInd w:val="0"/>
        <w:snapToGrid w:val="0"/>
        <w:spacing w:before="120" w:after="120"/>
        <w:ind w:left="720" w:firstLine="720"/>
        <w:rPr>
          <w:kern w:val="22"/>
          <w:szCs w:val="22"/>
        </w:rPr>
      </w:pPr>
      <w:r w:rsidRPr="00EB5980">
        <w:rPr>
          <w:kern w:val="22"/>
          <w:szCs w:val="22"/>
        </w:rPr>
        <w:t>16.</w:t>
      </w:r>
      <w:r w:rsidRPr="00EB5980">
        <w:rPr>
          <w:kern w:val="22"/>
          <w:szCs w:val="22"/>
        </w:rPr>
        <w:tab/>
      </w:r>
      <w:r w:rsidRPr="00EB5980">
        <w:rPr>
          <w:i/>
          <w:kern w:val="22"/>
          <w:szCs w:val="22"/>
        </w:rPr>
        <w:t xml:space="preserve">Invites </w:t>
      </w:r>
      <w:r w:rsidRPr="00EB5980">
        <w:rPr>
          <w:kern w:val="22"/>
          <w:szCs w:val="22"/>
        </w:rPr>
        <w:t>Parties, other Governments, indigenous peoples and local communities, and relevant stakeholders to submit views and information to clarify the concept of digital sequence information;</w:t>
      </w:r>
    </w:p>
    <w:p w:rsidR="00931DAD" w:rsidRPr="00EB5980" w:rsidRDefault="00931DAD">
      <w:pPr>
        <w:suppressLineNumbers/>
        <w:suppressAutoHyphens/>
        <w:kinsoku w:val="0"/>
        <w:overflowPunct w:val="0"/>
        <w:autoSpaceDE w:val="0"/>
        <w:autoSpaceDN w:val="0"/>
        <w:adjustRightInd w:val="0"/>
        <w:snapToGrid w:val="0"/>
        <w:spacing w:before="120" w:after="120"/>
        <w:ind w:left="720" w:firstLine="720"/>
        <w:rPr>
          <w:kern w:val="22"/>
          <w:szCs w:val="22"/>
        </w:rPr>
      </w:pPr>
      <w:r w:rsidRPr="00EB5980">
        <w:rPr>
          <w:kern w:val="22"/>
          <w:szCs w:val="22"/>
        </w:rPr>
        <w:t>17.</w:t>
      </w:r>
      <w:r w:rsidRPr="00EB5980">
        <w:rPr>
          <w:kern w:val="22"/>
          <w:szCs w:val="22"/>
        </w:rPr>
        <w:tab/>
      </w:r>
      <w:r w:rsidRPr="00EB5980">
        <w:rPr>
          <w:i/>
          <w:kern w:val="22"/>
          <w:szCs w:val="22"/>
        </w:rPr>
        <w:t>Invites</w:t>
      </w:r>
      <w:r w:rsidRPr="00EB5980">
        <w:rPr>
          <w:kern w:val="22"/>
          <w:szCs w:val="22"/>
        </w:rPr>
        <w:t xml:space="preserve"> Parties and other Governments to submit information on how they address digital sequence information in their domestic legislation and other measures related to digital sequence information on genetic resources;</w:t>
      </w:r>
    </w:p>
    <w:p w:rsidR="00931DAD" w:rsidRPr="00EB5980" w:rsidRDefault="00931DAD">
      <w:pPr>
        <w:suppressLineNumbers/>
        <w:suppressAutoHyphens/>
        <w:kinsoku w:val="0"/>
        <w:overflowPunct w:val="0"/>
        <w:autoSpaceDE w:val="0"/>
        <w:autoSpaceDN w:val="0"/>
        <w:adjustRightInd w:val="0"/>
        <w:snapToGrid w:val="0"/>
        <w:spacing w:before="120" w:after="120"/>
        <w:ind w:left="720" w:firstLine="720"/>
        <w:rPr>
          <w:kern w:val="22"/>
          <w:szCs w:val="22"/>
        </w:rPr>
      </w:pPr>
      <w:r w:rsidRPr="00EB5980">
        <w:rPr>
          <w:kern w:val="22"/>
          <w:szCs w:val="22"/>
        </w:rPr>
        <w:t>[18.</w:t>
      </w:r>
      <w:r w:rsidRPr="00EB5980">
        <w:rPr>
          <w:kern w:val="22"/>
          <w:szCs w:val="22"/>
        </w:rPr>
        <w:tab/>
      </w:r>
      <w:r w:rsidRPr="00EB5980">
        <w:rPr>
          <w:i/>
          <w:kern w:val="22"/>
          <w:szCs w:val="22"/>
        </w:rPr>
        <w:t>Decides</w:t>
      </w:r>
      <w:r w:rsidRPr="00EB5980">
        <w:rPr>
          <w:kern w:val="22"/>
          <w:szCs w:val="22"/>
        </w:rPr>
        <w:t xml:space="preserve"> to establish an [Ad Hoc Technical Expert Group</w:t>
      </w:r>
      <w:r w:rsidRPr="00EB5980">
        <w:rPr>
          <w:rStyle w:val="FootnoteReference"/>
          <w:sz w:val="22"/>
          <w:szCs w:val="22"/>
          <w:u w:val="none"/>
          <w:vertAlign w:val="superscript"/>
        </w:rPr>
        <w:footnoteReference w:id="4"/>
      </w:r>
      <w:r w:rsidRPr="00EB5980">
        <w:rPr>
          <w:rStyle w:val="FootnoteReference"/>
          <w:sz w:val="22"/>
          <w:szCs w:val="22"/>
          <w:u w:val="none"/>
          <w:vertAlign w:val="superscript"/>
        </w:rPr>
        <w:t>]</w:t>
      </w:r>
      <w:r w:rsidRPr="00EB5980">
        <w:rPr>
          <w:kern w:val="22"/>
          <w:szCs w:val="22"/>
        </w:rPr>
        <w:t xml:space="preserve">[open-ended working group] and </w:t>
      </w:r>
      <w:r w:rsidRPr="00EB5980">
        <w:rPr>
          <w:i/>
          <w:kern w:val="22"/>
          <w:szCs w:val="22"/>
        </w:rPr>
        <w:t xml:space="preserve">requests </w:t>
      </w:r>
      <w:r w:rsidRPr="00EB5980">
        <w:rPr>
          <w:kern w:val="22"/>
          <w:szCs w:val="22"/>
        </w:rPr>
        <w:t xml:space="preserve">the Executive Secretary, subject to the availability of financial resources, to convene a meeting of this group in accordance with the terms of reference contained in the annex;] </w:t>
      </w:r>
    </w:p>
    <w:p w:rsidR="00931DAD" w:rsidRPr="00EB5980" w:rsidRDefault="00931DAD">
      <w:pPr>
        <w:suppressLineNumbers/>
        <w:suppressAutoHyphens/>
        <w:kinsoku w:val="0"/>
        <w:overflowPunct w:val="0"/>
        <w:autoSpaceDE w:val="0"/>
        <w:autoSpaceDN w:val="0"/>
        <w:adjustRightInd w:val="0"/>
        <w:snapToGrid w:val="0"/>
        <w:spacing w:before="120" w:after="120"/>
        <w:ind w:left="720" w:firstLine="720"/>
        <w:rPr>
          <w:kern w:val="22"/>
          <w:szCs w:val="22"/>
        </w:rPr>
      </w:pPr>
      <w:r w:rsidRPr="00EB5980">
        <w:rPr>
          <w:kern w:val="22"/>
          <w:szCs w:val="22"/>
        </w:rPr>
        <w:t>[19.</w:t>
      </w:r>
      <w:r w:rsidRPr="00EB5980">
        <w:rPr>
          <w:kern w:val="22"/>
          <w:szCs w:val="22"/>
        </w:rPr>
        <w:tab/>
      </w:r>
      <w:r w:rsidRPr="00EB5980">
        <w:rPr>
          <w:i/>
          <w:kern w:val="22"/>
          <w:szCs w:val="22"/>
        </w:rPr>
        <w:t>Decides</w:t>
      </w:r>
      <w:r w:rsidRPr="00EB5980">
        <w:rPr>
          <w:kern w:val="22"/>
          <w:szCs w:val="22"/>
        </w:rPr>
        <w:t xml:space="preserve"> to establish an open-ended working group to develop modalities for sharing benefits from digital sequence information, including possible multilateral approaches and approaches for publically accessible databases, taking into account the report of the ad hoc technical expert group established pursuant to paragraph 18 above, to meet at least once in the next biennium and to report to the Conference of the Parties at its fifteenth meeting;]</w:t>
      </w:r>
    </w:p>
    <w:p w:rsidR="00931DAD" w:rsidRPr="00EB5980" w:rsidRDefault="00931DAD">
      <w:pPr>
        <w:suppressLineNumbers/>
        <w:suppressAutoHyphens/>
        <w:kinsoku w:val="0"/>
        <w:overflowPunct w:val="0"/>
        <w:autoSpaceDE w:val="0"/>
        <w:autoSpaceDN w:val="0"/>
        <w:adjustRightInd w:val="0"/>
        <w:snapToGrid w:val="0"/>
        <w:spacing w:before="120" w:after="120"/>
        <w:ind w:left="720" w:firstLine="720"/>
        <w:rPr>
          <w:kern w:val="22"/>
          <w:szCs w:val="22"/>
        </w:rPr>
      </w:pPr>
      <w:r w:rsidRPr="00EB5980">
        <w:rPr>
          <w:kern w:val="22"/>
          <w:szCs w:val="22"/>
        </w:rPr>
        <w:t>20.</w:t>
      </w:r>
      <w:r w:rsidRPr="00EB5980">
        <w:rPr>
          <w:kern w:val="22"/>
          <w:szCs w:val="22"/>
        </w:rPr>
        <w:tab/>
      </w:r>
      <w:r w:rsidRPr="00EB5980">
        <w:rPr>
          <w:i/>
          <w:kern w:val="22"/>
          <w:szCs w:val="22"/>
        </w:rPr>
        <w:t xml:space="preserve">Requests </w:t>
      </w:r>
      <w:r w:rsidRPr="00EB5980">
        <w:rPr>
          <w:kern w:val="22"/>
          <w:szCs w:val="22"/>
        </w:rPr>
        <w:t>the Executive Secretary, subject to the availability of financial resources:</w:t>
      </w:r>
    </w:p>
    <w:p w:rsidR="00931DAD" w:rsidRPr="00EB5980" w:rsidRDefault="00931DAD">
      <w:pPr>
        <w:suppressLineNumbers/>
        <w:suppressAutoHyphens/>
        <w:kinsoku w:val="0"/>
        <w:overflowPunct w:val="0"/>
        <w:autoSpaceDE w:val="0"/>
        <w:autoSpaceDN w:val="0"/>
        <w:adjustRightInd w:val="0"/>
        <w:snapToGrid w:val="0"/>
        <w:spacing w:before="120" w:after="120"/>
        <w:ind w:left="720" w:firstLine="720"/>
        <w:rPr>
          <w:i/>
          <w:kern w:val="22"/>
          <w:szCs w:val="22"/>
        </w:rPr>
      </w:pPr>
      <w:r w:rsidRPr="00EB5980">
        <w:rPr>
          <w:kern w:val="22"/>
          <w:szCs w:val="22"/>
        </w:rPr>
        <w:t>(a)</w:t>
      </w:r>
      <w:r w:rsidRPr="00EB5980">
        <w:rPr>
          <w:kern w:val="22"/>
          <w:szCs w:val="22"/>
        </w:rPr>
        <w:tab/>
        <w:t>To compile and synthesize the views and information submitted;</w:t>
      </w:r>
    </w:p>
    <w:p w:rsidR="00931DAD" w:rsidRPr="00EB5980" w:rsidRDefault="00931DAD">
      <w:pPr>
        <w:suppressLineNumbers/>
        <w:suppressAutoHyphens/>
        <w:kinsoku w:val="0"/>
        <w:overflowPunct w:val="0"/>
        <w:autoSpaceDE w:val="0"/>
        <w:autoSpaceDN w:val="0"/>
        <w:adjustRightInd w:val="0"/>
        <w:snapToGrid w:val="0"/>
        <w:spacing w:before="120" w:after="120"/>
        <w:ind w:left="720" w:firstLine="720"/>
        <w:rPr>
          <w:kern w:val="22"/>
          <w:szCs w:val="22"/>
        </w:rPr>
      </w:pPr>
      <w:r w:rsidRPr="00EB5980">
        <w:rPr>
          <w:kern w:val="22"/>
          <w:szCs w:val="22"/>
        </w:rPr>
        <w:t>[(b)</w:t>
      </w:r>
      <w:r w:rsidRPr="00EB5980">
        <w:rPr>
          <w:kern w:val="22"/>
          <w:szCs w:val="22"/>
        </w:rPr>
        <w:tab/>
        <w:t>To commission a [peer-reviewed] study on ongoing developments in the field of traceability, including how traceability is addressed by databases, and how these could inform discussions on digital sequence information on genetic resources;]</w:t>
      </w:r>
    </w:p>
    <w:p w:rsidR="00931DAD" w:rsidRPr="00EB5980" w:rsidRDefault="00931DAD">
      <w:pPr>
        <w:suppressLineNumbers/>
        <w:suppressAutoHyphens/>
        <w:kinsoku w:val="0"/>
        <w:overflowPunct w:val="0"/>
        <w:autoSpaceDE w:val="0"/>
        <w:autoSpaceDN w:val="0"/>
        <w:adjustRightInd w:val="0"/>
        <w:snapToGrid w:val="0"/>
        <w:spacing w:before="120" w:after="120"/>
        <w:ind w:left="720" w:firstLine="720"/>
        <w:rPr>
          <w:i/>
          <w:kern w:val="22"/>
          <w:szCs w:val="22"/>
        </w:rPr>
      </w:pPr>
      <w:r w:rsidRPr="00EB5980">
        <w:rPr>
          <w:kern w:val="22"/>
          <w:szCs w:val="22"/>
        </w:rPr>
        <w:t>[(c)</w:t>
      </w:r>
      <w:r w:rsidRPr="00EB5980">
        <w:rPr>
          <w:kern w:val="22"/>
          <w:szCs w:val="22"/>
        </w:rPr>
        <w:tab/>
        <w:t>To commission a [peer-reviewed] study on benefit-sharing associated with digital sequence information, including examining different forms of benefit-sharing for non-commercial and commercial uses and how digitization of information in other sectors has impacted benefit-sharing, including possible lessons from the music, software, publishing and other industries;]</w:t>
      </w:r>
    </w:p>
    <w:p w:rsidR="00931DAD" w:rsidRPr="00EB5980" w:rsidRDefault="00931DAD">
      <w:pPr>
        <w:suppressLineNumbers/>
        <w:suppressAutoHyphens/>
        <w:kinsoku w:val="0"/>
        <w:overflowPunct w:val="0"/>
        <w:autoSpaceDE w:val="0"/>
        <w:autoSpaceDN w:val="0"/>
        <w:adjustRightInd w:val="0"/>
        <w:snapToGrid w:val="0"/>
        <w:spacing w:before="120" w:after="120"/>
        <w:ind w:left="720" w:firstLine="720"/>
        <w:rPr>
          <w:kern w:val="22"/>
          <w:szCs w:val="22"/>
        </w:rPr>
      </w:pPr>
      <w:r w:rsidRPr="00EB5980">
        <w:rPr>
          <w:kern w:val="22"/>
          <w:szCs w:val="22"/>
        </w:rPr>
        <w:t>(d)</w:t>
      </w:r>
      <w:r w:rsidRPr="00EB5980">
        <w:rPr>
          <w:kern w:val="22"/>
          <w:szCs w:val="22"/>
        </w:rPr>
        <w:tab/>
        <w:t>To make the studies and the synthesis of views available for the Parties and for the consideration of the Ad Hoc Technical Expert Group;</w:t>
      </w:r>
    </w:p>
    <w:p w:rsidR="00931DAD" w:rsidRPr="00EB5980" w:rsidRDefault="00931DAD">
      <w:pPr>
        <w:suppressLineNumbers/>
        <w:suppressAutoHyphens/>
        <w:kinsoku w:val="0"/>
        <w:overflowPunct w:val="0"/>
        <w:autoSpaceDE w:val="0"/>
        <w:autoSpaceDN w:val="0"/>
        <w:adjustRightInd w:val="0"/>
        <w:snapToGrid w:val="0"/>
        <w:spacing w:before="120" w:after="120"/>
        <w:ind w:left="720" w:firstLine="720"/>
        <w:rPr>
          <w:i/>
          <w:kern w:val="22"/>
          <w:szCs w:val="22"/>
        </w:rPr>
      </w:pPr>
      <w:r w:rsidRPr="00EB5980">
        <w:rPr>
          <w:kern w:val="22"/>
          <w:szCs w:val="22"/>
        </w:rPr>
        <w:t>(e)</w:t>
      </w:r>
      <w:r w:rsidRPr="00EB5980">
        <w:rPr>
          <w:kern w:val="22"/>
          <w:szCs w:val="22"/>
        </w:rPr>
        <w:tab/>
        <w:t>To convene a moderated open-ended online forum to support the work of the Ad Hoc Technical Expert Group established in paragraph 10 above in meeting its terms of reference;</w:t>
      </w:r>
    </w:p>
    <w:p w:rsidR="00931DAD" w:rsidRPr="00EB5980" w:rsidRDefault="00931DAD">
      <w:pPr>
        <w:suppressLineNumbers/>
        <w:suppressAutoHyphens/>
        <w:kinsoku w:val="0"/>
        <w:overflowPunct w:val="0"/>
        <w:autoSpaceDE w:val="0"/>
        <w:autoSpaceDN w:val="0"/>
        <w:adjustRightInd w:val="0"/>
        <w:snapToGrid w:val="0"/>
        <w:spacing w:before="120" w:after="120"/>
        <w:ind w:left="709" w:firstLine="567"/>
        <w:rPr>
          <w:kern w:val="22"/>
          <w:szCs w:val="22"/>
        </w:rPr>
      </w:pPr>
      <w:r w:rsidRPr="00EB5980">
        <w:rPr>
          <w:kern w:val="22"/>
          <w:szCs w:val="22"/>
        </w:rPr>
        <w:t>[21.</w:t>
      </w:r>
      <w:r w:rsidRPr="00EB5980">
        <w:rPr>
          <w:kern w:val="22"/>
          <w:szCs w:val="22"/>
        </w:rPr>
        <w:tab/>
      </w:r>
      <w:r w:rsidRPr="00EB5980">
        <w:rPr>
          <w:i/>
          <w:kern w:val="22"/>
          <w:szCs w:val="22"/>
        </w:rPr>
        <w:t xml:space="preserve">Requests </w:t>
      </w:r>
      <w:r w:rsidRPr="00EB5980">
        <w:rPr>
          <w:kern w:val="22"/>
          <w:szCs w:val="22"/>
        </w:rPr>
        <w:t>the Subsidiary Body on Scientific, Technical and Technological Advice to consider the outcomes of the Ad Hoc Technical Expert Group and to make a recommendation for the consideration of the Conference of the Parties at its fifteenth meeting;]</w:t>
      </w:r>
    </w:p>
    <w:p w:rsidR="00931DAD" w:rsidRPr="00EB5980" w:rsidRDefault="00931DAD">
      <w:pPr>
        <w:suppressLineNumbers/>
        <w:suppressAutoHyphens/>
        <w:kinsoku w:val="0"/>
        <w:overflowPunct w:val="0"/>
        <w:autoSpaceDE w:val="0"/>
        <w:autoSpaceDN w:val="0"/>
        <w:adjustRightInd w:val="0"/>
        <w:snapToGrid w:val="0"/>
        <w:spacing w:before="120" w:after="120"/>
        <w:ind w:left="709" w:firstLine="567"/>
        <w:rPr>
          <w:kern w:val="22"/>
          <w:szCs w:val="22"/>
        </w:rPr>
      </w:pPr>
      <w:r w:rsidRPr="00EB5980">
        <w:rPr>
          <w:kern w:val="22"/>
          <w:szCs w:val="22"/>
        </w:rPr>
        <w:t>22.</w:t>
      </w:r>
      <w:r w:rsidRPr="00EB5980">
        <w:rPr>
          <w:kern w:val="22"/>
          <w:szCs w:val="22"/>
        </w:rPr>
        <w:tab/>
      </w:r>
      <w:r w:rsidRPr="00EB5980">
        <w:rPr>
          <w:i/>
          <w:kern w:val="22"/>
          <w:szCs w:val="22"/>
        </w:rPr>
        <w:t xml:space="preserve">Recognizes </w:t>
      </w:r>
      <w:r w:rsidRPr="00EB5980">
        <w:rPr>
          <w:kern w:val="22"/>
          <w:szCs w:val="22"/>
        </w:rPr>
        <w:t xml:space="preserve">that the generation, use and management of digital sequence information is dynamic and subject to technological and scientific developments, and </w:t>
      </w:r>
      <w:r w:rsidRPr="00EB5980">
        <w:rPr>
          <w:i/>
          <w:kern w:val="22"/>
          <w:szCs w:val="22"/>
        </w:rPr>
        <w:t xml:space="preserve">notes </w:t>
      </w:r>
      <w:r w:rsidRPr="00EB5980">
        <w:rPr>
          <w:kern w:val="22"/>
          <w:szCs w:val="22"/>
        </w:rPr>
        <w:t>that regular horizon scanning of developments in the field of digital sequence information on genetic resources is needed for reviewing their potential implications for the objectives of the Convention and the Nagoya Protocol;</w:t>
      </w:r>
    </w:p>
    <w:p w:rsidR="00931DAD" w:rsidRPr="00EB5980" w:rsidRDefault="00931DAD">
      <w:pPr>
        <w:suppressLineNumbers/>
        <w:suppressAutoHyphens/>
        <w:kinsoku w:val="0"/>
        <w:overflowPunct w:val="0"/>
        <w:autoSpaceDE w:val="0"/>
        <w:autoSpaceDN w:val="0"/>
        <w:adjustRightInd w:val="0"/>
        <w:snapToGrid w:val="0"/>
        <w:spacing w:before="120" w:after="120"/>
        <w:ind w:left="709" w:firstLine="567"/>
        <w:rPr>
          <w:i/>
          <w:kern w:val="22"/>
          <w:szCs w:val="22"/>
        </w:rPr>
      </w:pPr>
      <w:r w:rsidRPr="00EB5980">
        <w:rPr>
          <w:kern w:val="22"/>
          <w:szCs w:val="22"/>
        </w:rPr>
        <w:t>23.</w:t>
      </w:r>
      <w:r w:rsidRPr="00EB5980">
        <w:rPr>
          <w:kern w:val="22"/>
          <w:szCs w:val="22"/>
        </w:rPr>
        <w:tab/>
      </w:r>
      <w:r w:rsidRPr="00EB5980">
        <w:rPr>
          <w:i/>
          <w:kern w:val="22"/>
          <w:szCs w:val="22"/>
        </w:rPr>
        <w:t xml:space="preserve">Notes </w:t>
      </w:r>
      <w:r w:rsidRPr="00EB5980">
        <w:rPr>
          <w:kern w:val="22"/>
          <w:szCs w:val="22"/>
        </w:rPr>
        <w:t xml:space="preserve">that the issue of digital sequence information on genetic resources is being considered in a number of different international forums, and </w:t>
      </w:r>
      <w:r w:rsidRPr="00EB5980">
        <w:rPr>
          <w:i/>
          <w:kern w:val="22"/>
          <w:szCs w:val="22"/>
        </w:rPr>
        <w:t xml:space="preserve">requests </w:t>
      </w:r>
      <w:r w:rsidRPr="00EB5980">
        <w:rPr>
          <w:kern w:val="22"/>
          <w:szCs w:val="22"/>
        </w:rPr>
        <w:t>the Executive Secretary to continue to engage and collaborate with relevant ongoing processes and policy debates to collect information on current discussions on the use of digital sequence information on genetic resources of relevance to the Convention and the Nagoya Protocol.</w:t>
      </w:r>
    </w:p>
    <w:p w:rsidR="00931DAD" w:rsidRPr="00EB5980" w:rsidRDefault="00931DAD">
      <w:pPr>
        <w:pStyle w:val="ListParagraph"/>
        <w:suppressLineNumbers/>
        <w:suppressAutoHyphens/>
        <w:kinsoku w:val="0"/>
        <w:overflowPunct w:val="0"/>
        <w:autoSpaceDE w:val="0"/>
        <w:autoSpaceDN w:val="0"/>
        <w:adjustRightInd w:val="0"/>
        <w:snapToGrid w:val="0"/>
        <w:spacing w:before="120" w:after="120"/>
        <w:contextualSpacing w:val="0"/>
        <w:jc w:val="center"/>
        <w:rPr>
          <w:i/>
          <w:kern w:val="22"/>
          <w:sz w:val="22"/>
          <w:szCs w:val="22"/>
          <w:lang w:val="en-GB"/>
        </w:rPr>
      </w:pPr>
      <w:r w:rsidRPr="00EB5980">
        <w:rPr>
          <w:kern w:val="22"/>
          <w:sz w:val="22"/>
          <w:szCs w:val="22"/>
          <w:lang w:val="en-GB"/>
        </w:rPr>
        <w:t>[</w:t>
      </w:r>
      <w:r w:rsidRPr="00EB5980">
        <w:rPr>
          <w:i/>
          <w:kern w:val="22"/>
          <w:sz w:val="22"/>
          <w:szCs w:val="22"/>
          <w:lang w:val="en-GB"/>
        </w:rPr>
        <w:t>Annex</w:t>
      </w:r>
    </w:p>
    <w:p w:rsidR="00931DAD" w:rsidRPr="00EB5980" w:rsidRDefault="00931DAD">
      <w:pPr>
        <w:pStyle w:val="ListParagraph"/>
        <w:suppressLineNumbers/>
        <w:suppressAutoHyphens/>
        <w:kinsoku w:val="0"/>
        <w:overflowPunct w:val="0"/>
        <w:autoSpaceDE w:val="0"/>
        <w:autoSpaceDN w:val="0"/>
        <w:adjustRightInd w:val="0"/>
        <w:snapToGrid w:val="0"/>
        <w:spacing w:before="120" w:after="120"/>
        <w:contextualSpacing w:val="0"/>
        <w:jc w:val="center"/>
        <w:rPr>
          <w:b/>
          <w:kern w:val="22"/>
          <w:sz w:val="22"/>
          <w:szCs w:val="22"/>
          <w:lang w:val="en-GB"/>
        </w:rPr>
      </w:pPr>
      <w:r w:rsidRPr="00EB5980">
        <w:rPr>
          <w:b/>
          <w:kern w:val="22"/>
          <w:sz w:val="22"/>
          <w:szCs w:val="22"/>
          <w:lang w:val="en-GB"/>
        </w:rPr>
        <w:t>TERMS OF REFERENCE FOR THE SECOND AD HOC TECHNICAL EXPERT GROUP ON DIGITAL SEQUENCE INFORMATION ON GENETIC RESOURCES</w:t>
      </w:r>
    </w:p>
    <w:p w:rsidR="00931DAD" w:rsidRPr="00EB5980" w:rsidRDefault="00931DAD">
      <w:pPr>
        <w:suppressLineNumbers/>
        <w:suppressAutoHyphens/>
        <w:kinsoku w:val="0"/>
        <w:overflowPunct w:val="0"/>
        <w:autoSpaceDE w:val="0"/>
        <w:autoSpaceDN w:val="0"/>
        <w:adjustRightInd w:val="0"/>
        <w:snapToGrid w:val="0"/>
        <w:spacing w:before="120" w:after="120"/>
        <w:ind w:left="709"/>
        <w:rPr>
          <w:kern w:val="22"/>
          <w:szCs w:val="22"/>
        </w:rPr>
      </w:pPr>
      <w:r w:rsidRPr="00EB5980">
        <w:rPr>
          <w:kern w:val="22"/>
          <w:szCs w:val="22"/>
        </w:rPr>
        <w:t>The Ad Hoc Technical Expert Group shall:</w:t>
      </w:r>
    </w:p>
    <w:p w:rsidR="00931DAD" w:rsidRPr="00EB5980" w:rsidRDefault="00931DAD">
      <w:pPr>
        <w:suppressLineNumbers/>
        <w:suppressAutoHyphens/>
        <w:kinsoku w:val="0"/>
        <w:overflowPunct w:val="0"/>
        <w:autoSpaceDE w:val="0"/>
        <w:autoSpaceDN w:val="0"/>
        <w:adjustRightInd w:val="0"/>
        <w:snapToGrid w:val="0"/>
        <w:spacing w:before="120" w:after="120"/>
        <w:ind w:left="720" w:firstLine="720"/>
        <w:rPr>
          <w:kern w:val="22"/>
          <w:szCs w:val="22"/>
        </w:rPr>
      </w:pPr>
      <w:r w:rsidRPr="00EB5980">
        <w:rPr>
          <w:kern w:val="22"/>
          <w:szCs w:val="22"/>
        </w:rPr>
        <w:t>(a)</w:t>
      </w:r>
      <w:r w:rsidRPr="00EB5980">
        <w:rPr>
          <w:kern w:val="22"/>
          <w:szCs w:val="22"/>
        </w:rPr>
        <w:tab/>
        <w:t>Take into account:</w:t>
      </w:r>
    </w:p>
    <w:p w:rsidR="00931DAD" w:rsidRPr="00EB5980" w:rsidRDefault="00931DAD">
      <w:pPr>
        <w:suppressLineNumbers/>
        <w:suppressAutoHyphens/>
        <w:kinsoku w:val="0"/>
        <w:overflowPunct w:val="0"/>
        <w:autoSpaceDE w:val="0"/>
        <w:autoSpaceDN w:val="0"/>
        <w:adjustRightInd w:val="0"/>
        <w:snapToGrid w:val="0"/>
        <w:spacing w:before="120" w:after="120"/>
        <w:ind w:left="2160" w:hanging="634"/>
        <w:rPr>
          <w:kern w:val="22"/>
          <w:szCs w:val="22"/>
        </w:rPr>
      </w:pPr>
      <w:r w:rsidRPr="00EB5980">
        <w:rPr>
          <w:kern w:val="22"/>
          <w:szCs w:val="22"/>
        </w:rPr>
        <w:t>(i)</w:t>
      </w:r>
      <w:r w:rsidRPr="00EB5980">
        <w:rPr>
          <w:kern w:val="22"/>
          <w:szCs w:val="22"/>
        </w:rPr>
        <w:tab/>
        <w:t>The compilation and synthesis of views and information related to digital sequence information on genetic resources submitted pursuant to decision XIII/16;</w:t>
      </w:r>
      <w:r w:rsidRPr="00EB5980">
        <w:rPr>
          <w:rStyle w:val="FootnoteReference"/>
          <w:sz w:val="22"/>
          <w:szCs w:val="22"/>
          <w:u w:val="none"/>
          <w:vertAlign w:val="superscript"/>
        </w:rPr>
        <w:footnoteReference w:id="5"/>
      </w:r>
    </w:p>
    <w:p w:rsidR="00931DAD" w:rsidRPr="00EB5980" w:rsidRDefault="00931DAD">
      <w:pPr>
        <w:suppressLineNumbers/>
        <w:suppressAutoHyphens/>
        <w:kinsoku w:val="0"/>
        <w:overflowPunct w:val="0"/>
        <w:autoSpaceDE w:val="0"/>
        <w:autoSpaceDN w:val="0"/>
        <w:adjustRightInd w:val="0"/>
        <w:snapToGrid w:val="0"/>
        <w:spacing w:before="120" w:after="120"/>
        <w:ind w:left="2160" w:hanging="634"/>
        <w:rPr>
          <w:kern w:val="22"/>
          <w:szCs w:val="22"/>
        </w:rPr>
      </w:pPr>
      <w:r w:rsidRPr="00EB5980">
        <w:rPr>
          <w:kern w:val="22"/>
          <w:szCs w:val="22"/>
        </w:rPr>
        <w:t>(ii)</w:t>
      </w:r>
      <w:r w:rsidRPr="00EB5980">
        <w:rPr>
          <w:kern w:val="22"/>
          <w:szCs w:val="22"/>
        </w:rPr>
        <w:tab/>
        <w:t>The fact finding and scoping study to clarify terminology and concepts and to assess the extent and the terms and conditions of the use of digital sequence information on genetic resources in the context of the Convention and the Nagoya Protocol prepared pursuant to decision XIII/16;</w:t>
      </w:r>
      <w:r w:rsidRPr="00EB5980">
        <w:rPr>
          <w:rStyle w:val="FootnoteReference"/>
          <w:sz w:val="22"/>
          <w:szCs w:val="22"/>
          <w:u w:val="none"/>
          <w:vertAlign w:val="superscript"/>
        </w:rPr>
        <w:footnoteReference w:id="6"/>
      </w:r>
    </w:p>
    <w:p w:rsidR="00931DAD" w:rsidRPr="00EB5980" w:rsidRDefault="00931DAD">
      <w:pPr>
        <w:suppressLineNumbers/>
        <w:suppressAutoHyphens/>
        <w:kinsoku w:val="0"/>
        <w:overflowPunct w:val="0"/>
        <w:autoSpaceDE w:val="0"/>
        <w:autoSpaceDN w:val="0"/>
        <w:adjustRightInd w:val="0"/>
        <w:snapToGrid w:val="0"/>
        <w:spacing w:before="120" w:after="120"/>
        <w:ind w:left="2160" w:hanging="634"/>
        <w:rPr>
          <w:kern w:val="22"/>
          <w:szCs w:val="22"/>
        </w:rPr>
      </w:pPr>
      <w:r w:rsidRPr="00EB5980">
        <w:rPr>
          <w:kern w:val="22"/>
          <w:szCs w:val="22"/>
        </w:rPr>
        <w:t>(iii)</w:t>
      </w:r>
      <w:r w:rsidRPr="00EB5980">
        <w:rPr>
          <w:kern w:val="22"/>
          <w:szCs w:val="22"/>
        </w:rPr>
        <w:tab/>
        <w:t>The report of the first Ad Hoc Technical Expert Group on Digital Sequence Information on Genetic Resources;</w:t>
      </w:r>
      <w:r w:rsidRPr="00EB5980">
        <w:rPr>
          <w:rStyle w:val="FootnoteReference"/>
          <w:sz w:val="22"/>
          <w:szCs w:val="22"/>
          <w:u w:val="none"/>
          <w:vertAlign w:val="superscript"/>
        </w:rPr>
        <w:footnoteReference w:id="7"/>
      </w:r>
    </w:p>
    <w:p w:rsidR="00931DAD" w:rsidRPr="00EB5980" w:rsidRDefault="00931DAD">
      <w:pPr>
        <w:suppressLineNumbers/>
        <w:suppressAutoHyphens/>
        <w:kinsoku w:val="0"/>
        <w:overflowPunct w:val="0"/>
        <w:autoSpaceDE w:val="0"/>
        <w:autoSpaceDN w:val="0"/>
        <w:adjustRightInd w:val="0"/>
        <w:snapToGrid w:val="0"/>
        <w:spacing w:before="120" w:after="120"/>
        <w:ind w:left="709" w:firstLine="850"/>
        <w:rPr>
          <w:kern w:val="22"/>
          <w:szCs w:val="22"/>
        </w:rPr>
      </w:pPr>
      <w:r w:rsidRPr="00EB5980">
        <w:rPr>
          <w:kern w:val="22"/>
          <w:szCs w:val="22"/>
        </w:rPr>
        <w:t>(b)</w:t>
      </w:r>
      <w:r w:rsidRPr="00EB5980">
        <w:rPr>
          <w:kern w:val="22"/>
          <w:szCs w:val="22"/>
        </w:rPr>
        <w:tab/>
        <w:t>Consider the synthesis of views and information and additional studies referred to in paragraph 20</w:t>
      </w:r>
      <w:r w:rsidR="009F2748">
        <w:rPr>
          <w:kern w:val="22"/>
          <w:szCs w:val="22"/>
        </w:rPr>
        <w:t> </w:t>
      </w:r>
      <w:r w:rsidRPr="00EB5980">
        <w:rPr>
          <w:kern w:val="22"/>
          <w:szCs w:val="22"/>
        </w:rPr>
        <w:t>(a), [(b)] and [(c)] of the decision;</w:t>
      </w:r>
    </w:p>
    <w:p w:rsidR="00931DAD" w:rsidRPr="00EB5980" w:rsidRDefault="00931DAD">
      <w:pPr>
        <w:suppressLineNumbers/>
        <w:suppressAutoHyphens/>
        <w:kinsoku w:val="0"/>
        <w:overflowPunct w:val="0"/>
        <w:autoSpaceDE w:val="0"/>
        <w:autoSpaceDN w:val="0"/>
        <w:adjustRightInd w:val="0"/>
        <w:snapToGrid w:val="0"/>
        <w:spacing w:before="120" w:after="120"/>
        <w:ind w:left="709" w:firstLine="850"/>
        <w:rPr>
          <w:kern w:val="22"/>
          <w:szCs w:val="22"/>
        </w:rPr>
      </w:pPr>
      <w:r w:rsidRPr="00EB5980" w:rsidDel="00A93979">
        <w:rPr>
          <w:kern w:val="22"/>
          <w:szCs w:val="22"/>
        </w:rPr>
        <w:t>(c)</w:t>
      </w:r>
      <w:r w:rsidRPr="00EB5980" w:rsidDel="00A93979">
        <w:rPr>
          <w:kern w:val="22"/>
          <w:szCs w:val="22"/>
        </w:rPr>
        <w:tab/>
      </w:r>
      <w:r w:rsidRPr="00EB5980">
        <w:rPr>
          <w:kern w:val="22"/>
          <w:szCs w:val="22"/>
        </w:rPr>
        <w:t xml:space="preserve">Clarify the concept of digital sequence </w:t>
      </w:r>
      <w:r w:rsidRPr="00EB5980" w:rsidDel="00A93979">
        <w:rPr>
          <w:kern w:val="22"/>
          <w:szCs w:val="22"/>
        </w:rPr>
        <w:t>information in the context of the Convention and the Nagoya Protocol</w:t>
      </w:r>
      <w:r w:rsidRPr="00EB5980">
        <w:rPr>
          <w:kern w:val="22"/>
          <w:szCs w:val="22"/>
        </w:rPr>
        <w:t xml:space="preserve"> and i</w:t>
      </w:r>
      <w:r w:rsidRPr="00EB5980" w:rsidDel="00A93979">
        <w:rPr>
          <w:kern w:val="22"/>
          <w:szCs w:val="22"/>
        </w:rPr>
        <w:t>dentify an operational term;</w:t>
      </w:r>
    </w:p>
    <w:p w:rsidR="00931DAD" w:rsidRPr="00EB5980" w:rsidDel="00A93979" w:rsidRDefault="00931DAD">
      <w:pPr>
        <w:suppressLineNumbers/>
        <w:suppressAutoHyphens/>
        <w:kinsoku w:val="0"/>
        <w:overflowPunct w:val="0"/>
        <w:autoSpaceDE w:val="0"/>
        <w:autoSpaceDN w:val="0"/>
        <w:adjustRightInd w:val="0"/>
        <w:snapToGrid w:val="0"/>
        <w:spacing w:before="120" w:after="120"/>
        <w:ind w:left="709" w:firstLine="850"/>
        <w:rPr>
          <w:kern w:val="22"/>
          <w:szCs w:val="22"/>
        </w:rPr>
      </w:pPr>
      <w:r w:rsidRPr="00EB5980">
        <w:rPr>
          <w:kern w:val="22"/>
          <w:szCs w:val="22"/>
        </w:rPr>
        <w:t>[(d)</w:t>
      </w:r>
      <w:r w:rsidRPr="00EB5980">
        <w:rPr>
          <w:kern w:val="22"/>
          <w:szCs w:val="22"/>
        </w:rPr>
        <w:tab/>
        <w:t>Consider how ongoing developments on traceability can inform discussions on digital sequence information on genetic resources;]</w:t>
      </w:r>
    </w:p>
    <w:p w:rsidR="00931DAD" w:rsidRPr="00EB5980" w:rsidRDefault="00931DAD">
      <w:pPr>
        <w:suppressLineNumbers/>
        <w:suppressAutoHyphens/>
        <w:kinsoku w:val="0"/>
        <w:overflowPunct w:val="0"/>
        <w:autoSpaceDE w:val="0"/>
        <w:autoSpaceDN w:val="0"/>
        <w:adjustRightInd w:val="0"/>
        <w:snapToGrid w:val="0"/>
        <w:spacing w:before="120" w:after="120"/>
        <w:ind w:left="709" w:firstLine="850"/>
        <w:rPr>
          <w:kern w:val="22"/>
          <w:szCs w:val="22"/>
        </w:rPr>
      </w:pPr>
      <w:r w:rsidRPr="00EB5980">
        <w:rPr>
          <w:kern w:val="22"/>
          <w:szCs w:val="22"/>
        </w:rPr>
        <w:t>[(e</w:t>
      </w:r>
      <w:r w:rsidRPr="00EB5980" w:rsidDel="00A93979">
        <w:rPr>
          <w:kern w:val="22"/>
          <w:szCs w:val="22"/>
        </w:rPr>
        <w:t>)</w:t>
      </w:r>
      <w:r w:rsidRPr="00EB5980" w:rsidDel="00A93979">
        <w:rPr>
          <w:kern w:val="22"/>
          <w:szCs w:val="22"/>
        </w:rPr>
        <w:tab/>
      </w:r>
      <w:r w:rsidRPr="00EB5980">
        <w:rPr>
          <w:kern w:val="22"/>
          <w:szCs w:val="22"/>
        </w:rPr>
        <w:t>Consider simplified measures for utilization of digital sequence information on genetic resources;</w:t>
      </w:r>
    </w:p>
    <w:p w:rsidR="00931DAD" w:rsidRPr="00EB5980" w:rsidRDefault="00931DAD">
      <w:pPr>
        <w:suppressLineNumbers/>
        <w:suppressAutoHyphens/>
        <w:kinsoku w:val="0"/>
        <w:overflowPunct w:val="0"/>
        <w:autoSpaceDE w:val="0"/>
        <w:autoSpaceDN w:val="0"/>
        <w:adjustRightInd w:val="0"/>
        <w:snapToGrid w:val="0"/>
        <w:spacing w:before="120" w:after="120"/>
        <w:ind w:left="709" w:firstLine="850"/>
        <w:rPr>
          <w:kern w:val="22"/>
          <w:szCs w:val="22"/>
        </w:rPr>
      </w:pPr>
      <w:r w:rsidRPr="00EB5980">
        <w:rPr>
          <w:kern w:val="22"/>
          <w:szCs w:val="22"/>
        </w:rPr>
        <w:t>(f)</w:t>
      </w:r>
      <w:r w:rsidRPr="00EB5980">
        <w:rPr>
          <w:kern w:val="22"/>
          <w:szCs w:val="22"/>
        </w:rPr>
        <w:tab/>
        <w:t>Consider mechanisms for the fair and equitable sharing of benefits derived from the commercial utilization of digital sequence information on genetic resources including the specific cases of transboundary situations or for which it is not possible to identify the country of origin of the genetic resource;</w:t>
      </w:r>
    </w:p>
    <w:p w:rsidR="00931DAD" w:rsidRPr="00EB5980" w:rsidRDefault="00931DAD">
      <w:pPr>
        <w:suppressLineNumbers/>
        <w:suppressAutoHyphens/>
        <w:kinsoku w:val="0"/>
        <w:overflowPunct w:val="0"/>
        <w:autoSpaceDE w:val="0"/>
        <w:autoSpaceDN w:val="0"/>
        <w:adjustRightInd w:val="0"/>
        <w:snapToGrid w:val="0"/>
        <w:spacing w:before="120" w:after="120"/>
        <w:ind w:left="709" w:firstLine="850"/>
        <w:rPr>
          <w:kern w:val="22"/>
          <w:szCs w:val="22"/>
        </w:rPr>
      </w:pPr>
      <w:r w:rsidRPr="00EB5980">
        <w:rPr>
          <w:kern w:val="22"/>
          <w:szCs w:val="22"/>
        </w:rPr>
        <w:t>(g)</w:t>
      </w:r>
      <w:r w:rsidRPr="00EB5980">
        <w:rPr>
          <w:kern w:val="22"/>
          <w:szCs w:val="22"/>
        </w:rPr>
        <w:tab/>
        <w:t>Consider mechanisms to ensure compliance with benefit-sharing obligations from the utilization of digital sequence information on genetic resources as well as subsequent applications and commercialization;]</w:t>
      </w:r>
    </w:p>
    <w:p w:rsidR="00931DAD" w:rsidRPr="00EB5980" w:rsidRDefault="00931DAD">
      <w:pPr>
        <w:suppressLineNumbers/>
        <w:suppressAutoHyphens/>
        <w:kinsoku w:val="0"/>
        <w:overflowPunct w:val="0"/>
        <w:autoSpaceDE w:val="0"/>
        <w:autoSpaceDN w:val="0"/>
        <w:adjustRightInd w:val="0"/>
        <w:snapToGrid w:val="0"/>
        <w:spacing w:before="120" w:after="120"/>
        <w:ind w:left="709" w:firstLine="850"/>
        <w:rPr>
          <w:kern w:val="22"/>
          <w:szCs w:val="22"/>
        </w:rPr>
      </w:pPr>
      <w:r w:rsidRPr="00EB5980">
        <w:rPr>
          <w:kern w:val="22"/>
          <w:szCs w:val="22"/>
        </w:rPr>
        <w:t>(h)</w:t>
      </w:r>
      <w:r w:rsidRPr="00EB5980">
        <w:rPr>
          <w:kern w:val="22"/>
          <w:szCs w:val="22"/>
        </w:rPr>
        <w:tab/>
        <w:t>Meet at least once face-to-face, subject to the availability of financial resources, prior to the fifteenth meeting of the Conference of the Parties and make use of online tools to facilitate its work, as appropriate;</w:t>
      </w:r>
    </w:p>
    <w:p w:rsidR="00931DAD" w:rsidRPr="00EB5980" w:rsidRDefault="00931DAD">
      <w:pPr>
        <w:suppressLineNumbers/>
        <w:suppressAutoHyphens/>
        <w:kinsoku w:val="0"/>
        <w:overflowPunct w:val="0"/>
        <w:autoSpaceDE w:val="0"/>
        <w:autoSpaceDN w:val="0"/>
        <w:adjustRightInd w:val="0"/>
        <w:snapToGrid w:val="0"/>
        <w:spacing w:before="120" w:after="120"/>
        <w:ind w:left="709" w:firstLine="850"/>
        <w:rPr>
          <w:kern w:val="22"/>
          <w:szCs w:val="22"/>
        </w:rPr>
      </w:pPr>
      <w:r w:rsidRPr="00EB5980">
        <w:rPr>
          <w:kern w:val="22"/>
          <w:szCs w:val="22"/>
        </w:rPr>
        <w:t>(i)</w:t>
      </w:r>
      <w:r w:rsidRPr="00EB5980">
        <w:rPr>
          <w:kern w:val="22"/>
          <w:szCs w:val="22"/>
        </w:rPr>
        <w:tab/>
        <w:t>Submit its outcomes for consideration by a meeting of the Subsidiary Body on Scientific Technical and Technological Advice to be held prior to the fifteenth meeting of the Conference of the Parties.]</w:t>
      </w:r>
      <w:r w:rsidRPr="00EB5980">
        <w:rPr>
          <w:b/>
          <w:bCs/>
          <w:kern w:val="22"/>
          <w:szCs w:val="22"/>
        </w:rPr>
        <w:t>]</w:t>
      </w:r>
    </w:p>
    <w:p w:rsidR="00931DAD" w:rsidRPr="00EB5980" w:rsidRDefault="00931DAD">
      <w:pPr>
        <w:keepNext/>
        <w:suppressLineNumbers/>
        <w:suppressAutoHyphens/>
        <w:kinsoku w:val="0"/>
        <w:overflowPunct w:val="0"/>
        <w:autoSpaceDE w:val="0"/>
        <w:autoSpaceDN w:val="0"/>
        <w:adjustRightInd w:val="0"/>
        <w:snapToGrid w:val="0"/>
        <w:spacing w:before="120" w:after="120"/>
        <w:ind w:left="1124" w:right="389" w:hanging="562"/>
        <w:rPr>
          <w:i/>
          <w:kern w:val="22"/>
          <w:szCs w:val="22"/>
        </w:rPr>
      </w:pPr>
      <w:r w:rsidRPr="00EB5980">
        <w:rPr>
          <w:b/>
          <w:kern w:val="22"/>
          <w:szCs w:val="22"/>
        </w:rPr>
        <w:t>B.</w:t>
      </w:r>
      <w:r w:rsidRPr="00EB5980">
        <w:rPr>
          <w:b/>
          <w:kern w:val="22"/>
          <w:szCs w:val="22"/>
        </w:rPr>
        <w:tab/>
        <w:t>Draft decision for the Conference of the Parties serving as the meeting of the Parties to the Nagoya Protocol</w:t>
      </w:r>
    </w:p>
    <w:p w:rsidR="00931DAD" w:rsidRPr="00EB5980" w:rsidRDefault="00852732" w:rsidP="00F24299">
      <w:pPr>
        <w:pStyle w:val="ListParagraph"/>
        <w:suppressLineNumbers/>
        <w:suppressAutoHyphens/>
        <w:kinsoku w:val="0"/>
        <w:overflowPunct w:val="0"/>
        <w:autoSpaceDE w:val="0"/>
        <w:autoSpaceDN w:val="0"/>
        <w:adjustRightInd w:val="0"/>
        <w:snapToGrid w:val="0"/>
        <w:spacing w:before="120" w:after="120"/>
        <w:ind w:left="0" w:firstLine="720"/>
        <w:contextualSpacing w:val="0"/>
        <w:rPr>
          <w:i/>
          <w:kern w:val="22"/>
          <w:sz w:val="22"/>
          <w:szCs w:val="22"/>
          <w:lang w:val="en-GB"/>
        </w:rPr>
      </w:pPr>
      <w:r w:rsidRPr="00EB5980">
        <w:rPr>
          <w:iCs/>
          <w:kern w:val="22"/>
          <w:sz w:val="22"/>
          <w:szCs w:val="22"/>
          <w:lang w:val="en-GB"/>
        </w:rPr>
        <w:t>2.</w:t>
      </w:r>
      <w:r w:rsidRPr="00EB5980">
        <w:rPr>
          <w:iCs/>
          <w:kern w:val="22"/>
          <w:sz w:val="22"/>
          <w:szCs w:val="22"/>
          <w:lang w:val="en-GB"/>
        </w:rPr>
        <w:tab/>
      </w:r>
      <w:r w:rsidR="00931DAD" w:rsidRPr="00EB5980">
        <w:rPr>
          <w:i/>
          <w:kern w:val="22"/>
          <w:sz w:val="22"/>
          <w:szCs w:val="22"/>
          <w:lang w:val="en-GB"/>
        </w:rPr>
        <w:t xml:space="preserve">Recommends </w:t>
      </w:r>
      <w:r w:rsidR="00931DAD" w:rsidRPr="00EB5980">
        <w:rPr>
          <w:kern w:val="22"/>
          <w:sz w:val="22"/>
          <w:szCs w:val="22"/>
          <w:lang w:val="en-GB"/>
        </w:rPr>
        <w:t>that the Conference of the Parties serving as the meeting of the Parties to the Nagoya Protocol, at its third meeting, adopt a decision along the following lines:</w:t>
      </w:r>
    </w:p>
    <w:p w:rsidR="00931DAD" w:rsidRPr="00EB5980" w:rsidRDefault="00931DAD" w:rsidP="00F00643">
      <w:pPr>
        <w:pStyle w:val="ListParagraph"/>
        <w:suppressLineNumbers/>
        <w:suppressAutoHyphens/>
        <w:kinsoku w:val="0"/>
        <w:overflowPunct w:val="0"/>
        <w:autoSpaceDE w:val="0"/>
        <w:autoSpaceDN w:val="0"/>
        <w:adjustRightInd w:val="0"/>
        <w:snapToGrid w:val="0"/>
        <w:spacing w:before="120" w:after="120"/>
        <w:ind w:firstLine="720"/>
        <w:contextualSpacing w:val="0"/>
        <w:rPr>
          <w:i/>
          <w:kern w:val="22"/>
          <w:sz w:val="22"/>
          <w:szCs w:val="22"/>
          <w:lang w:val="en-GB"/>
        </w:rPr>
      </w:pPr>
      <w:r w:rsidRPr="00EB5980">
        <w:rPr>
          <w:b/>
          <w:bCs/>
          <w:iCs/>
          <w:kern w:val="22"/>
          <w:sz w:val="22"/>
          <w:szCs w:val="22"/>
          <w:lang w:val="en-GB"/>
        </w:rPr>
        <w:t>[</w:t>
      </w:r>
      <w:r w:rsidRPr="00EB5980">
        <w:rPr>
          <w:i/>
          <w:kern w:val="22"/>
          <w:sz w:val="22"/>
          <w:szCs w:val="22"/>
          <w:lang w:val="en-GB"/>
        </w:rPr>
        <w:t>The Conference of the Parties serving as the meeting of the Parties to the Nagoya Protocol,</w:t>
      </w:r>
    </w:p>
    <w:p w:rsidR="00931DAD" w:rsidRPr="00EB5980" w:rsidRDefault="00931DAD" w:rsidP="00F00643">
      <w:pPr>
        <w:pStyle w:val="ListParagraph"/>
        <w:suppressLineNumbers/>
        <w:suppressAutoHyphens/>
        <w:kinsoku w:val="0"/>
        <w:overflowPunct w:val="0"/>
        <w:autoSpaceDE w:val="0"/>
        <w:autoSpaceDN w:val="0"/>
        <w:adjustRightInd w:val="0"/>
        <w:snapToGrid w:val="0"/>
        <w:spacing w:before="120" w:after="120"/>
        <w:ind w:firstLine="720"/>
        <w:contextualSpacing w:val="0"/>
        <w:rPr>
          <w:kern w:val="22"/>
          <w:sz w:val="22"/>
          <w:szCs w:val="22"/>
          <w:lang w:val="en-GB"/>
        </w:rPr>
      </w:pPr>
      <w:r w:rsidRPr="00EB5980">
        <w:rPr>
          <w:i/>
          <w:kern w:val="22"/>
          <w:sz w:val="22"/>
          <w:szCs w:val="22"/>
          <w:lang w:val="en-GB"/>
        </w:rPr>
        <w:t xml:space="preserve">Mindful </w:t>
      </w:r>
      <w:r w:rsidRPr="00EB5980">
        <w:rPr>
          <w:kern w:val="22"/>
          <w:sz w:val="22"/>
          <w:szCs w:val="22"/>
          <w:lang w:val="en-GB"/>
        </w:rPr>
        <w:t>of the objective of the Nagoya Protocol,</w:t>
      </w:r>
    </w:p>
    <w:p w:rsidR="00931DAD" w:rsidRPr="00EB5980" w:rsidRDefault="00931DAD" w:rsidP="00A65E27">
      <w:pPr>
        <w:pStyle w:val="ListParagraph"/>
        <w:suppressLineNumbers/>
        <w:suppressAutoHyphens/>
        <w:kinsoku w:val="0"/>
        <w:overflowPunct w:val="0"/>
        <w:autoSpaceDE w:val="0"/>
        <w:autoSpaceDN w:val="0"/>
        <w:adjustRightInd w:val="0"/>
        <w:snapToGrid w:val="0"/>
        <w:spacing w:before="120" w:after="120"/>
        <w:ind w:firstLine="720"/>
        <w:contextualSpacing w:val="0"/>
        <w:rPr>
          <w:kern w:val="22"/>
          <w:sz w:val="22"/>
          <w:szCs w:val="22"/>
          <w:lang w:val="en-GB"/>
        </w:rPr>
      </w:pPr>
      <w:r w:rsidRPr="00EB5980">
        <w:rPr>
          <w:kern w:val="22"/>
          <w:sz w:val="22"/>
          <w:szCs w:val="22"/>
          <w:lang w:val="en-GB"/>
        </w:rPr>
        <w:t>[</w:t>
      </w:r>
      <w:r w:rsidRPr="00EB5980">
        <w:rPr>
          <w:i/>
          <w:kern w:val="22"/>
          <w:sz w:val="22"/>
          <w:szCs w:val="22"/>
          <w:lang w:val="en-GB"/>
        </w:rPr>
        <w:t>Recalling</w:t>
      </w:r>
      <w:r w:rsidRPr="00EB5980">
        <w:rPr>
          <w:kern w:val="22"/>
          <w:sz w:val="22"/>
          <w:szCs w:val="22"/>
          <w:lang w:val="en-GB"/>
        </w:rPr>
        <w:t xml:space="preserve"> Articles 5(1), 8, 17, 20, 22 and 23 of the Nagoya Protocol,]</w:t>
      </w:r>
    </w:p>
    <w:p w:rsidR="00931DAD" w:rsidRPr="00EB5980" w:rsidRDefault="00931DAD" w:rsidP="00A65E27">
      <w:pPr>
        <w:pStyle w:val="ListParagraph"/>
        <w:suppressLineNumbers/>
        <w:suppressAutoHyphens/>
        <w:kinsoku w:val="0"/>
        <w:overflowPunct w:val="0"/>
        <w:autoSpaceDE w:val="0"/>
        <w:autoSpaceDN w:val="0"/>
        <w:adjustRightInd w:val="0"/>
        <w:snapToGrid w:val="0"/>
        <w:spacing w:before="120" w:after="120"/>
        <w:ind w:firstLine="720"/>
        <w:contextualSpacing w:val="0"/>
        <w:rPr>
          <w:kern w:val="22"/>
          <w:sz w:val="22"/>
          <w:szCs w:val="22"/>
          <w:lang w:val="en-GB"/>
        </w:rPr>
      </w:pPr>
      <w:r w:rsidRPr="00EB5980">
        <w:rPr>
          <w:i/>
          <w:kern w:val="22"/>
          <w:sz w:val="22"/>
          <w:szCs w:val="22"/>
          <w:lang w:val="en-GB"/>
        </w:rPr>
        <w:t xml:space="preserve">Acknowledging </w:t>
      </w:r>
      <w:r w:rsidRPr="00EB5980">
        <w:rPr>
          <w:kern w:val="22"/>
          <w:sz w:val="22"/>
          <w:szCs w:val="22"/>
          <w:lang w:val="en-GB"/>
        </w:rPr>
        <w:t>d</w:t>
      </w:r>
      <w:r w:rsidR="006B3BD7">
        <w:rPr>
          <w:kern w:val="22"/>
          <w:sz w:val="22"/>
          <w:szCs w:val="22"/>
          <w:lang w:val="en-GB"/>
        </w:rPr>
        <w:t>ecision 14</w:t>
      </w:r>
      <w:r w:rsidRPr="00EB5980">
        <w:rPr>
          <w:kern w:val="22"/>
          <w:sz w:val="22"/>
          <w:szCs w:val="22"/>
          <w:lang w:val="en-GB"/>
        </w:rPr>
        <w:t>/--,</w:t>
      </w:r>
    </w:p>
    <w:p w:rsidR="00931DAD" w:rsidRPr="00EB5980" w:rsidRDefault="00931DAD" w:rsidP="00A65E27">
      <w:pPr>
        <w:suppressLineNumbers/>
        <w:suppressAutoHyphens/>
        <w:kinsoku w:val="0"/>
        <w:overflowPunct w:val="0"/>
        <w:autoSpaceDE w:val="0"/>
        <w:autoSpaceDN w:val="0"/>
        <w:adjustRightInd w:val="0"/>
        <w:snapToGrid w:val="0"/>
        <w:spacing w:before="120" w:after="120"/>
        <w:ind w:left="720" w:firstLine="720"/>
        <w:rPr>
          <w:kern w:val="22"/>
          <w:szCs w:val="22"/>
        </w:rPr>
      </w:pPr>
      <w:r w:rsidRPr="00EB5980">
        <w:rPr>
          <w:kern w:val="22"/>
          <w:szCs w:val="22"/>
        </w:rPr>
        <w:t>1.</w:t>
      </w:r>
      <w:r w:rsidRPr="00EB5980">
        <w:rPr>
          <w:kern w:val="22"/>
          <w:szCs w:val="22"/>
        </w:rPr>
        <w:tab/>
      </w:r>
      <w:r w:rsidRPr="00EB5980">
        <w:rPr>
          <w:i/>
          <w:kern w:val="22"/>
          <w:szCs w:val="22"/>
        </w:rPr>
        <w:t>Decides</w:t>
      </w:r>
      <w:r w:rsidRPr="00EB5980">
        <w:rPr>
          <w:kern w:val="22"/>
          <w:szCs w:val="22"/>
        </w:rPr>
        <w:t xml:space="preserve"> that the ad hoc technical expert group referred t</w:t>
      </w:r>
      <w:r w:rsidR="006B3BD7">
        <w:rPr>
          <w:kern w:val="22"/>
          <w:szCs w:val="22"/>
        </w:rPr>
        <w:t>o in paragraph x of decision 14</w:t>
      </w:r>
      <w:r w:rsidRPr="00EB5980">
        <w:rPr>
          <w:kern w:val="22"/>
          <w:szCs w:val="22"/>
        </w:rPr>
        <w:t>/-- will also serve the Nagoya Protocol;</w:t>
      </w:r>
    </w:p>
    <w:p w:rsidR="00931DAD" w:rsidRPr="00EB5980" w:rsidRDefault="00931DAD">
      <w:pPr>
        <w:suppressLineNumbers/>
        <w:suppressAutoHyphens/>
        <w:kinsoku w:val="0"/>
        <w:overflowPunct w:val="0"/>
        <w:autoSpaceDE w:val="0"/>
        <w:autoSpaceDN w:val="0"/>
        <w:adjustRightInd w:val="0"/>
        <w:snapToGrid w:val="0"/>
        <w:spacing w:before="120" w:after="120"/>
        <w:ind w:left="720" w:firstLine="720"/>
        <w:rPr>
          <w:kern w:val="22"/>
          <w:szCs w:val="22"/>
        </w:rPr>
      </w:pPr>
      <w:r w:rsidRPr="00EB5980">
        <w:rPr>
          <w:kern w:val="22"/>
          <w:szCs w:val="22"/>
        </w:rPr>
        <w:t>2.</w:t>
      </w:r>
      <w:r w:rsidRPr="00EB5980">
        <w:rPr>
          <w:kern w:val="22"/>
          <w:szCs w:val="22"/>
        </w:rPr>
        <w:tab/>
      </w:r>
      <w:r w:rsidRPr="00EB5980">
        <w:rPr>
          <w:i/>
          <w:kern w:val="22"/>
          <w:szCs w:val="22"/>
        </w:rPr>
        <w:t>Requests</w:t>
      </w:r>
      <w:r w:rsidRPr="00EB5980">
        <w:rPr>
          <w:kern w:val="22"/>
          <w:szCs w:val="22"/>
        </w:rPr>
        <w:t xml:space="preserve"> the Subsidiary Body on Scientific, Technical and Technological Advice to consider the outcomes of the ad hoc technical expert group and to make a recommendation for the consideration of the Conference of the Parties serving as the meeting of the Parties to the Nagoya Protocol at its fourth meeting.</w:t>
      </w:r>
      <w:r w:rsidRPr="00EB5980">
        <w:rPr>
          <w:b/>
          <w:bCs/>
          <w:kern w:val="22"/>
          <w:szCs w:val="22"/>
        </w:rPr>
        <w:t>]</w:t>
      </w:r>
    </w:p>
    <w:p w:rsidR="007E7705" w:rsidRPr="00EB5980" w:rsidRDefault="00931DAD">
      <w:pPr>
        <w:suppressLineNumbers/>
        <w:suppressAutoHyphens/>
        <w:kinsoku w:val="0"/>
        <w:overflowPunct w:val="0"/>
        <w:autoSpaceDE w:val="0"/>
        <w:autoSpaceDN w:val="0"/>
        <w:adjustRightInd w:val="0"/>
        <w:snapToGrid w:val="0"/>
        <w:spacing w:before="120" w:after="120"/>
        <w:jc w:val="center"/>
        <w:rPr>
          <w:kern w:val="22"/>
          <w:szCs w:val="22"/>
        </w:rPr>
      </w:pPr>
      <w:r w:rsidRPr="00EB5980">
        <w:rPr>
          <w:kern w:val="22"/>
          <w:szCs w:val="22"/>
        </w:rPr>
        <w:t>__________</w:t>
      </w:r>
    </w:p>
    <w:p w:rsidR="007E7705" w:rsidRPr="00EB5980" w:rsidRDefault="007E7705" w:rsidP="00EB5980">
      <w:pPr>
        <w:suppressLineNumbers/>
        <w:tabs>
          <w:tab w:val="center" w:pos="4731"/>
          <w:tab w:val="right" w:pos="9462"/>
        </w:tabs>
        <w:suppressAutoHyphens/>
        <w:kinsoku w:val="0"/>
        <w:overflowPunct w:val="0"/>
        <w:autoSpaceDE w:val="0"/>
        <w:autoSpaceDN w:val="0"/>
        <w:adjustRightInd w:val="0"/>
        <w:snapToGrid w:val="0"/>
        <w:spacing w:before="120" w:after="120"/>
        <w:jc w:val="left"/>
        <w:rPr>
          <w:iCs/>
          <w:szCs w:val="22"/>
        </w:rPr>
      </w:pPr>
    </w:p>
    <w:sectPr w:rsidR="007E7705" w:rsidRPr="00EB5980" w:rsidSect="00EB5980">
      <w:headerReference w:type="even" r:id="rId12"/>
      <w:headerReference w:type="default" r:id="rId13"/>
      <w:footerReference w:type="even" r:id="rId14"/>
      <w:footerReference w:type="default" r:id="rId15"/>
      <w:pgSz w:w="12240" w:h="15840"/>
      <w:pgMar w:top="567" w:right="1350"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48D0" w:rsidRDefault="005648D0" w:rsidP="00CF1848">
      <w:r>
        <w:separator/>
      </w:r>
    </w:p>
  </w:endnote>
  <w:endnote w:type="continuationSeparator" w:id="0">
    <w:p w:rsidR="005648D0" w:rsidRDefault="005648D0"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default"/>
  </w:font>
  <w:font w:name="Calibri">
    <w:panose1 w:val="020F05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93E" w:rsidRDefault="005F093E" w:rsidP="001F2542">
    <w:pPr>
      <w:pStyle w:val="Footer"/>
      <w:tabs>
        <w:tab w:val="clear" w:pos="4320"/>
        <w:tab w:val="clear" w:pos="864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493" w:rsidRDefault="00344493" w:rsidP="001F2542">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48D0" w:rsidRDefault="005648D0" w:rsidP="00CF1848">
      <w:r>
        <w:separator/>
      </w:r>
    </w:p>
  </w:footnote>
  <w:footnote w:type="continuationSeparator" w:id="0">
    <w:p w:rsidR="005648D0" w:rsidRDefault="005648D0" w:rsidP="00CF1848">
      <w:r>
        <w:continuationSeparator/>
      </w:r>
    </w:p>
  </w:footnote>
  <w:footnote w:id="1">
    <w:p w:rsidR="00931DAD" w:rsidRPr="00EB5980" w:rsidRDefault="00931DAD" w:rsidP="00E46A38">
      <w:pPr>
        <w:pStyle w:val="FootnoteText"/>
        <w:kinsoku w:val="0"/>
        <w:overflowPunct w:val="0"/>
        <w:autoSpaceDE w:val="0"/>
        <w:autoSpaceDN w:val="0"/>
        <w:ind w:firstLine="0"/>
        <w:jc w:val="left"/>
        <w:rPr>
          <w:kern w:val="18"/>
          <w:szCs w:val="18"/>
          <w:lang w:val="en-CA"/>
        </w:rPr>
      </w:pPr>
      <w:r w:rsidRPr="00EB5980">
        <w:rPr>
          <w:rStyle w:val="FootnoteReference"/>
          <w:kern w:val="18"/>
          <w:szCs w:val="18"/>
          <w:u w:val="none"/>
          <w:vertAlign w:val="superscript"/>
        </w:rPr>
        <w:footnoteRef/>
      </w:r>
      <w:r w:rsidRPr="00EB5980">
        <w:rPr>
          <w:kern w:val="18"/>
          <w:szCs w:val="18"/>
        </w:rPr>
        <w:t xml:space="preserve"> CBD/SBSTTA/22/INF/2.</w:t>
      </w:r>
    </w:p>
  </w:footnote>
  <w:footnote w:id="2">
    <w:p w:rsidR="00931DAD" w:rsidRPr="00EB5980" w:rsidRDefault="00931DAD" w:rsidP="00E46A38">
      <w:pPr>
        <w:pStyle w:val="FootnoteText"/>
        <w:kinsoku w:val="0"/>
        <w:overflowPunct w:val="0"/>
        <w:autoSpaceDE w:val="0"/>
        <w:autoSpaceDN w:val="0"/>
        <w:ind w:firstLine="0"/>
        <w:jc w:val="left"/>
        <w:rPr>
          <w:kern w:val="18"/>
          <w:szCs w:val="18"/>
          <w:lang w:val="en-CA"/>
        </w:rPr>
      </w:pPr>
      <w:r w:rsidRPr="00EB5980">
        <w:rPr>
          <w:rStyle w:val="FootnoteReference"/>
          <w:kern w:val="18"/>
          <w:szCs w:val="18"/>
          <w:u w:val="none"/>
          <w:vertAlign w:val="superscript"/>
        </w:rPr>
        <w:footnoteRef/>
      </w:r>
      <w:r w:rsidRPr="00EB5980">
        <w:rPr>
          <w:kern w:val="18"/>
          <w:szCs w:val="18"/>
        </w:rPr>
        <w:t xml:space="preserve"> CBD/SBSTTA/22/INF/3.</w:t>
      </w:r>
    </w:p>
  </w:footnote>
  <w:footnote w:id="3">
    <w:p w:rsidR="00931DAD" w:rsidRPr="00EB5980" w:rsidRDefault="00931DAD" w:rsidP="00E46A38">
      <w:pPr>
        <w:pStyle w:val="FootnoteText"/>
        <w:kinsoku w:val="0"/>
        <w:overflowPunct w:val="0"/>
        <w:autoSpaceDE w:val="0"/>
        <w:autoSpaceDN w:val="0"/>
        <w:ind w:firstLine="0"/>
        <w:jc w:val="left"/>
        <w:rPr>
          <w:kern w:val="18"/>
          <w:szCs w:val="18"/>
          <w:lang w:val="en-CA"/>
        </w:rPr>
      </w:pPr>
      <w:r w:rsidRPr="00EB5980">
        <w:rPr>
          <w:rStyle w:val="FootnoteReference"/>
          <w:kern w:val="18"/>
          <w:szCs w:val="18"/>
          <w:u w:val="none"/>
          <w:vertAlign w:val="superscript"/>
        </w:rPr>
        <w:footnoteRef/>
      </w:r>
      <w:r w:rsidRPr="00EB5980">
        <w:rPr>
          <w:kern w:val="18"/>
          <w:szCs w:val="18"/>
        </w:rPr>
        <w:t xml:space="preserve"> CBD/SBSTTA/22/INF/4.</w:t>
      </w:r>
    </w:p>
  </w:footnote>
  <w:footnote w:id="4">
    <w:p w:rsidR="00931DAD" w:rsidRPr="00EB5980" w:rsidRDefault="00931DAD" w:rsidP="00E46A38">
      <w:pPr>
        <w:pStyle w:val="FootnoteText"/>
        <w:kinsoku w:val="0"/>
        <w:overflowPunct w:val="0"/>
        <w:autoSpaceDE w:val="0"/>
        <w:autoSpaceDN w:val="0"/>
        <w:ind w:firstLine="0"/>
        <w:jc w:val="left"/>
        <w:rPr>
          <w:kern w:val="18"/>
          <w:szCs w:val="18"/>
          <w:lang w:val="en-CA"/>
        </w:rPr>
      </w:pPr>
      <w:r w:rsidRPr="00EB5980">
        <w:rPr>
          <w:rStyle w:val="FootnoteReference"/>
          <w:kern w:val="18"/>
          <w:szCs w:val="18"/>
          <w:u w:val="none"/>
          <w:vertAlign w:val="superscript"/>
        </w:rPr>
        <w:footnoteRef/>
      </w:r>
      <w:r w:rsidRPr="00EB5980">
        <w:rPr>
          <w:kern w:val="18"/>
          <w:szCs w:val="18"/>
        </w:rPr>
        <w:t xml:space="preserve"> The Ad Hoc Technical Expert Group will be convened in accordance with the modus operandi of the Subsidiary Body on Scientific, Technical and Technological Advice, except that there will be five experts nominated by each of the five regions.</w:t>
      </w:r>
    </w:p>
  </w:footnote>
  <w:footnote w:id="5">
    <w:p w:rsidR="00931DAD" w:rsidRPr="00EB5980" w:rsidRDefault="00931DAD" w:rsidP="00E46A38">
      <w:pPr>
        <w:pStyle w:val="FootnoteText"/>
        <w:kinsoku w:val="0"/>
        <w:overflowPunct w:val="0"/>
        <w:autoSpaceDE w:val="0"/>
        <w:autoSpaceDN w:val="0"/>
        <w:ind w:firstLine="0"/>
        <w:jc w:val="left"/>
        <w:rPr>
          <w:kern w:val="18"/>
          <w:szCs w:val="18"/>
        </w:rPr>
      </w:pPr>
      <w:r w:rsidRPr="00EB5980">
        <w:rPr>
          <w:rStyle w:val="FootnoteReference"/>
          <w:kern w:val="18"/>
          <w:szCs w:val="18"/>
          <w:u w:val="none"/>
          <w:vertAlign w:val="superscript"/>
        </w:rPr>
        <w:footnoteRef/>
      </w:r>
      <w:r w:rsidRPr="00EB5980">
        <w:rPr>
          <w:kern w:val="18"/>
          <w:szCs w:val="18"/>
        </w:rPr>
        <w:t xml:space="preserve"> CBD/SBSTTA/22/INF/2 and addenda 1 and 2.</w:t>
      </w:r>
    </w:p>
  </w:footnote>
  <w:footnote w:id="6">
    <w:p w:rsidR="00931DAD" w:rsidRPr="00EB5980" w:rsidRDefault="00931DAD" w:rsidP="00E46A38">
      <w:pPr>
        <w:pStyle w:val="FootnoteText"/>
        <w:kinsoku w:val="0"/>
        <w:overflowPunct w:val="0"/>
        <w:autoSpaceDE w:val="0"/>
        <w:autoSpaceDN w:val="0"/>
        <w:ind w:firstLine="0"/>
        <w:jc w:val="left"/>
        <w:rPr>
          <w:kern w:val="18"/>
          <w:szCs w:val="18"/>
        </w:rPr>
      </w:pPr>
      <w:r w:rsidRPr="00EB5980">
        <w:rPr>
          <w:rStyle w:val="FootnoteReference"/>
          <w:kern w:val="18"/>
          <w:szCs w:val="18"/>
          <w:u w:val="none"/>
          <w:vertAlign w:val="superscript"/>
        </w:rPr>
        <w:footnoteRef/>
      </w:r>
      <w:r w:rsidRPr="00EB5980">
        <w:rPr>
          <w:kern w:val="18"/>
          <w:szCs w:val="18"/>
        </w:rPr>
        <w:t xml:space="preserve"> CBD/SBSTTA/22/INF/3.</w:t>
      </w:r>
    </w:p>
  </w:footnote>
  <w:footnote w:id="7">
    <w:p w:rsidR="00931DAD" w:rsidRPr="00EB5980" w:rsidRDefault="00931DAD" w:rsidP="00E46A38">
      <w:pPr>
        <w:pStyle w:val="FootnoteText"/>
        <w:kinsoku w:val="0"/>
        <w:overflowPunct w:val="0"/>
        <w:autoSpaceDE w:val="0"/>
        <w:autoSpaceDN w:val="0"/>
        <w:ind w:firstLine="0"/>
        <w:jc w:val="left"/>
        <w:rPr>
          <w:kern w:val="18"/>
          <w:szCs w:val="18"/>
        </w:rPr>
      </w:pPr>
      <w:r w:rsidRPr="00EB5980">
        <w:rPr>
          <w:rStyle w:val="FootnoteReference"/>
          <w:kern w:val="18"/>
          <w:szCs w:val="18"/>
          <w:u w:val="none"/>
          <w:vertAlign w:val="superscript"/>
        </w:rPr>
        <w:footnoteRef/>
      </w:r>
      <w:r w:rsidRPr="00EB5980">
        <w:rPr>
          <w:rStyle w:val="FootnoteReference"/>
          <w:kern w:val="18"/>
          <w:u w:val="none"/>
          <w:vertAlign w:val="superscript"/>
        </w:rPr>
        <w:t xml:space="preserve"> </w:t>
      </w:r>
      <w:r w:rsidRPr="00EB5980">
        <w:rPr>
          <w:kern w:val="18"/>
          <w:szCs w:val="18"/>
        </w:rPr>
        <w:t>CBD/SBSTTA/22/INF/4.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lang w:val="fr-FR"/>
      </w:rPr>
      <w:alias w:val="Subject"/>
      <w:tag w:val=""/>
      <w:id w:val="-1032883363"/>
      <w:placeholder>
        <w:docPart w:val="6B7789D81B514BF5A43844742D355B4A"/>
      </w:placeholder>
      <w:dataBinding w:prefixMappings="xmlns:ns0='http://purl.org/dc/elements/1.1/' xmlns:ns1='http://schemas.openxmlformats.org/package/2006/metadata/core-properties' " w:xpath="/ns1:coreProperties[1]/ns0:subject[1]" w:storeItemID="{6C3C8BC8-F283-45AE-878A-BAB7291924A1}"/>
      <w:text/>
    </w:sdtPr>
    <w:sdtEndPr/>
    <w:sdtContent>
      <w:p w:rsidR="00534681" w:rsidRPr="00EB5980" w:rsidRDefault="006B3BD7" w:rsidP="00EB5980">
        <w:pPr>
          <w:pStyle w:val="Header"/>
          <w:tabs>
            <w:tab w:val="clear" w:pos="4320"/>
            <w:tab w:val="clear" w:pos="8640"/>
          </w:tabs>
          <w:kinsoku w:val="0"/>
          <w:overflowPunct w:val="0"/>
          <w:autoSpaceDE w:val="0"/>
          <w:autoSpaceDN w:val="0"/>
          <w:jc w:val="left"/>
          <w:rPr>
            <w:noProof/>
            <w:kern w:val="22"/>
            <w:lang w:val="fr-FR"/>
          </w:rPr>
        </w:pPr>
        <w:r>
          <w:rPr>
            <w:noProof/>
            <w:kern w:val="22"/>
            <w:lang w:val="fr-FR"/>
          </w:rPr>
          <w:t>CBD/SBSTTA/REC/22/1</w:t>
        </w:r>
      </w:p>
    </w:sdtContent>
  </w:sdt>
  <w:p w:rsidR="00534681" w:rsidRPr="00EB5980" w:rsidRDefault="00534681" w:rsidP="00EB5980">
    <w:pPr>
      <w:pStyle w:val="Header"/>
      <w:tabs>
        <w:tab w:val="clear" w:pos="4320"/>
        <w:tab w:val="clear" w:pos="8640"/>
      </w:tabs>
      <w:kinsoku w:val="0"/>
      <w:overflowPunct w:val="0"/>
      <w:autoSpaceDE w:val="0"/>
      <w:autoSpaceDN w:val="0"/>
      <w:jc w:val="left"/>
      <w:rPr>
        <w:noProof/>
        <w:kern w:val="22"/>
        <w:lang w:val="fr-FR"/>
      </w:rPr>
    </w:pPr>
    <w:r w:rsidRPr="00EB5980">
      <w:rPr>
        <w:noProof/>
        <w:kern w:val="22"/>
        <w:lang w:val="fr-FR"/>
      </w:rPr>
      <w:t xml:space="preserve">Page </w:t>
    </w:r>
    <w:r w:rsidRPr="00EB5980">
      <w:rPr>
        <w:noProof/>
        <w:kern w:val="22"/>
      </w:rPr>
      <w:fldChar w:fldCharType="begin"/>
    </w:r>
    <w:r w:rsidRPr="00EB5980">
      <w:rPr>
        <w:noProof/>
        <w:kern w:val="22"/>
        <w:lang w:val="fr-FR"/>
      </w:rPr>
      <w:instrText xml:space="preserve"> PAGE   \* MERGEFORMAT </w:instrText>
    </w:r>
    <w:r w:rsidRPr="00EB5980">
      <w:rPr>
        <w:noProof/>
        <w:kern w:val="22"/>
      </w:rPr>
      <w:fldChar w:fldCharType="separate"/>
    </w:r>
    <w:r w:rsidR="007E1FF1">
      <w:rPr>
        <w:noProof/>
        <w:kern w:val="22"/>
        <w:lang w:val="fr-FR"/>
      </w:rPr>
      <w:t>4</w:t>
    </w:r>
    <w:r w:rsidRPr="00EB5980">
      <w:rPr>
        <w:noProof/>
        <w:kern w:val="22"/>
      </w:rPr>
      <w:fldChar w:fldCharType="end"/>
    </w:r>
  </w:p>
  <w:p w:rsidR="00534681" w:rsidRPr="00EB5980" w:rsidRDefault="00534681" w:rsidP="00EB5980">
    <w:pPr>
      <w:pStyle w:val="Header"/>
      <w:tabs>
        <w:tab w:val="clear" w:pos="4320"/>
        <w:tab w:val="clear" w:pos="8640"/>
      </w:tabs>
      <w:kinsoku w:val="0"/>
      <w:overflowPunct w:val="0"/>
      <w:autoSpaceDE w:val="0"/>
      <w:autoSpaceDN w:val="0"/>
      <w:jc w:val="left"/>
      <w:rPr>
        <w:noProof/>
        <w:kern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lang w:val="fr-FR"/>
      </w:rPr>
      <w:alias w:val="Subject"/>
      <w:tag w:val=""/>
      <w:id w:val="-205876444"/>
      <w:dataBinding w:prefixMappings="xmlns:ns0='http://purl.org/dc/elements/1.1/' xmlns:ns1='http://schemas.openxmlformats.org/package/2006/metadata/core-properties' " w:xpath="/ns1:coreProperties[1]/ns0:subject[1]" w:storeItemID="{6C3C8BC8-F283-45AE-878A-BAB7291924A1}"/>
      <w:text/>
    </w:sdtPr>
    <w:sdtEndPr/>
    <w:sdtContent>
      <w:p w:rsidR="002207B4" w:rsidRPr="00EB5980" w:rsidRDefault="006B3BD7" w:rsidP="00EB5980">
        <w:pPr>
          <w:pStyle w:val="Header"/>
          <w:tabs>
            <w:tab w:val="clear" w:pos="4320"/>
            <w:tab w:val="clear" w:pos="8640"/>
          </w:tabs>
          <w:kinsoku w:val="0"/>
          <w:overflowPunct w:val="0"/>
          <w:autoSpaceDE w:val="0"/>
          <w:autoSpaceDN w:val="0"/>
          <w:jc w:val="right"/>
          <w:rPr>
            <w:noProof/>
            <w:kern w:val="22"/>
            <w:lang w:val="fr-FR"/>
          </w:rPr>
        </w:pPr>
        <w:r>
          <w:rPr>
            <w:noProof/>
            <w:kern w:val="22"/>
            <w:lang w:val="fr-FR"/>
          </w:rPr>
          <w:t>CBD/SBSTTA/REC/22/1</w:t>
        </w:r>
      </w:p>
    </w:sdtContent>
  </w:sdt>
  <w:p w:rsidR="002207B4" w:rsidRPr="00EB5980" w:rsidRDefault="002207B4" w:rsidP="00EB5980">
    <w:pPr>
      <w:pStyle w:val="Header"/>
      <w:tabs>
        <w:tab w:val="clear" w:pos="4320"/>
        <w:tab w:val="clear" w:pos="8640"/>
      </w:tabs>
      <w:kinsoku w:val="0"/>
      <w:overflowPunct w:val="0"/>
      <w:autoSpaceDE w:val="0"/>
      <w:autoSpaceDN w:val="0"/>
      <w:jc w:val="right"/>
      <w:rPr>
        <w:noProof/>
        <w:kern w:val="22"/>
        <w:lang w:val="fr-FR"/>
      </w:rPr>
    </w:pPr>
    <w:r w:rsidRPr="00EB5980">
      <w:rPr>
        <w:noProof/>
        <w:kern w:val="22"/>
        <w:lang w:val="fr-FR"/>
      </w:rPr>
      <w:t xml:space="preserve">Page </w:t>
    </w:r>
    <w:r w:rsidRPr="00EB5980">
      <w:rPr>
        <w:noProof/>
        <w:kern w:val="22"/>
      </w:rPr>
      <w:fldChar w:fldCharType="begin"/>
    </w:r>
    <w:r w:rsidRPr="00EB5980">
      <w:rPr>
        <w:noProof/>
        <w:kern w:val="22"/>
        <w:lang w:val="fr-FR"/>
      </w:rPr>
      <w:instrText xml:space="preserve"> PAGE   \* MERGEFORMAT </w:instrText>
    </w:r>
    <w:r w:rsidRPr="00EB5980">
      <w:rPr>
        <w:noProof/>
        <w:kern w:val="22"/>
      </w:rPr>
      <w:fldChar w:fldCharType="separate"/>
    </w:r>
    <w:r w:rsidR="007E1FF1">
      <w:rPr>
        <w:noProof/>
        <w:kern w:val="22"/>
        <w:lang w:val="fr-FR"/>
      </w:rPr>
      <w:t>5</w:t>
    </w:r>
    <w:r w:rsidRPr="00EB5980">
      <w:rPr>
        <w:noProof/>
        <w:kern w:val="22"/>
      </w:rPr>
      <w:fldChar w:fldCharType="end"/>
    </w:r>
  </w:p>
  <w:p w:rsidR="002207B4" w:rsidRPr="00EB5980" w:rsidRDefault="002207B4" w:rsidP="00EB5980">
    <w:pPr>
      <w:pStyle w:val="Header"/>
      <w:tabs>
        <w:tab w:val="clear" w:pos="4320"/>
        <w:tab w:val="clear" w:pos="8640"/>
      </w:tabs>
      <w:kinsoku w:val="0"/>
      <w:overflowPunct w:val="0"/>
      <w:autoSpaceDE w:val="0"/>
      <w:autoSpaceDN w:val="0"/>
      <w:jc w:val="right"/>
      <w:rPr>
        <w:noProof/>
        <w:kern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940F2"/>
    <w:multiLevelType w:val="hybridMultilevel"/>
    <w:tmpl w:val="A4F00CD4"/>
    <w:lvl w:ilvl="0" w:tplc="825A2944">
      <w:start w:val="1"/>
      <w:numFmt w:val="decimal"/>
      <w:lvlText w:val="%1."/>
      <w:lvlJc w:val="left"/>
      <w:pPr>
        <w:ind w:left="720" w:hanging="360"/>
      </w:pPr>
      <w:rPr>
        <w:rFonts w:hint="default"/>
        <w:i w:val="0"/>
      </w:rPr>
    </w:lvl>
    <w:lvl w:ilvl="1" w:tplc="CAB40D4C">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45572"/>
    <w:multiLevelType w:val="hybridMultilevel"/>
    <w:tmpl w:val="74F44962"/>
    <w:lvl w:ilvl="0" w:tplc="B5A2B830">
      <w:start w:val="1"/>
      <w:numFmt w:val="decimal"/>
      <w:lvlText w:val="%1."/>
      <w:lvlJc w:val="left"/>
      <w:pPr>
        <w:tabs>
          <w:tab w:val="num" w:pos="1713"/>
        </w:tabs>
        <w:ind w:left="993" w:firstLine="0"/>
      </w:pPr>
      <w:rPr>
        <w:rFonts w:hint="default"/>
        <w:b w:val="0"/>
        <w:i w:val="0"/>
        <w:color w:val="000000"/>
        <w:sz w:val="22"/>
        <w:szCs w:val="22"/>
      </w:rPr>
    </w:lvl>
    <w:lvl w:ilvl="1" w:tplc="CAB40D4C">
      <w:start w:val="1"/>
      <w:numFmt w:val="lowerLetter"/>
      <w:lvlText w:val="(%2)"/>
      <w:lvlJc w:val="left"/>
      <w:pPr>
        <w:ind w:left="1070" w:hanging="360"/>
      </w:pPr>
      <w:rPr>
        <w:rFonts w:hint="default"/>
        <w:b w:val="0"/>
        <w:i w:val="0"/>
        <w:sz w:val="22"/>
        <w:szCs w:val="24"/>
        <w:u w:val="none"/>
      </w:rPr>
    </w:lvl>
    <w:lvl w:ilvl="2" w:tplc="12162BAC">
      <w:start w:val="1"/>
      <w:numFmt w:val="bullet"/>
      <w:lvlText w:val=""/>
      <w:lvlJc w:val="left"/>
      <w:pPr>
        <w:tabs>
          <w:tab w:val="num" w:pos="2070"/>
        </w:tabs>
        <w:ind w:left="1998" w:hanging="288"/>
      </w:pPr>
      <w:rPr>
        <w:rFonts w:ascii="Symbol" w:hAnsi="Symbol" w:hint="default"/>
      </w:rPr>
    </w:lvl>
    <w:lvl w:ilvl="3" w:tplc="1009000F">
      <w:start w:val="1"/>
      <w:numFmt w:val="decimal"/>
      <w:lvlText w:val="%4."/>
      <w:lvlJc w:val="left"/>
      <w:pPr>
        <w:tabs>
          <w:tab w:val="num" w:pos="2610"/>
        </w:tabs>
        <w:ind w:left="2610" w:hanging="360"/>
      </w:pPr>
      <w:rPr>
        <w:rFonts w:hint="default"/>
        <w:b w:val="0"/>
        <w:i w:val="0"/>
        <w:color w:val="000000"/>
        <w:sz w:val="22"/>
        <w:szCs w:val="22"/>
      </w:rPr>
    </w:lvl>
    <w:lvl w:ilvl="4" w:tplc="26A4B25A">
      <w:start w:val="1"/>
      <w:numFmt w:val="upperRoman"/>
      <w:lvlText w:val="%5."/>
      <w:lvlJc w:val="left"/>
      <w:pPr>
        <w:ind w:left="3690" w:hanging="720"/>
      </w:pPr>
      <w:rPr>
        <w:rFonts w:hint="default"/>
      </w:rPr>
    </w:lvl>
    <w:lvl w:ilvl="5" w:tplc="A1F253BC">
      <w:start w:val="2"/>
      <w:numFmt w:val="lowerRoman"/>
      <w:lvlText w:val="(%6)"/>
      <w:lvlJc w:val="left"/>
      <w:pPr>
        <w:ind w:left="4590" w:hanging="720"/>
      </w:pPr>
      <w:rPr>
        <w:rFonts w:hint="default"/>
      </w:r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15:restartNumberingAfterBreak="0">
    <w:nsid w:val="13223FCB"/>
    <w:multiLevelType w:val="hybridMultilevel"/>
    <w:tmpl w:val="14A69790"/>
    <w:lvl w:ilvl="0" w:tplc="CAB40D4C">
      <w:start w:val="1"/>
      <w:numFmt w:val="lowerLetter"/>
      <w:lvlText w:val="(%1)"/>
      <w:lvlJc w:val="left"/>
      <w:pPr>
        <w:ind w:left="720" w:hanging="360"/>
      </w:pPr>
      <w:rPr>
        <w:rFonts w:hint="default"/>
        <w:b w:val="0"/>
        <w:color w:val="000000"/>
      </w:rPr>
    </w:lvl>
    <w:lvl w:ilvl="1" w:tplc="04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2F122FD"/>
    <w:multiLevelType w:val="hybridMultilevel"/>
    <w:tmpl w:val="9E54895A"/>
    <w:lvl w:ilvl="0" w:tplc="0409000F">
      <w:start w:val="1"/>
      <w:numFmt w:val="decimal"/>
      <w:lvlText w:val="%1."/>
      <w:lvlJc w:val="left"/>
      <w:pPr>
        <w:ind w:left="363" w:hanging="360"/>
      </w:pPr>
      <w:rPr>
        <w:rFonts w:hint="default"/>
      </w:rPr>
    </w:lvl>
    <w:lvl w:ilvl="1" w:tplc="0409000F">
      <w:start w:val="1"/>
      <w:numFmt w:val="decimal"/>
      <w:lvlText w:val="%2."/>
      <w:lvlJc w:val="left"/>
      <w:pPr>
        <w:ind w:left="1083" w:hanging="360"/>
      </w:pPr>
      <w:rPr>
        <w:rFonts w:hint="default"/>
      </w:r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4" w15:restartNumberingAfterBreak="0">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F9932D0"/>
    <w:multiLevelType w:val="hybridMultilevel"/>
    <w:tmpl w:val="EA8EEDCA"/>
    <w:lvl w:ilvl="0" w:tplc="B5A2B830">
      <w:start w:val="1"/>
      <w:numFmt w:val="decimal"/>
      <w:lvlText w:val="%1."/>
      <w:lvlJc w:val="left"/>
      <w:pPr>
        <w:tabs>
          <w:tab w:val="num" w:pos="1713"/>
        </w:tabs>
        <w:ind w:left="993" w:firstLine="0"/>
      </w:pPr>
      <w:rPr>
        <w:rFonts w:hint="default"/>
        <w:b w:val="0"/>
        <w:i w:val="0"/>
        <w:color w:val="000000"/>
        <w:sz w:val="22"/>
        <w:szCs w:val="22"/>
      </w:rPr>
    </w:lvl>
    <w:lvl w:ilvl="1" w:tplc="D4125F96">
      <w:start w:val="1"/>
      <w:numFmt w:val="lowerLetter"/>
      <w:lvlRestart w:val="0"/>
      <w:lvlText w:val="(%2)"/>
      <w:lvlJc w:val="left"/>
      <w:pPr>
        <w:tabs>
          <w:tab w:val="num" w:pos="1070"/>
        </w:tabs>
        <w:ind w:left="-10" w:firstLine="720"/>
      </w:pPr>
      <w:rPr>
        <w:rFonts w:ascii="Times New Roman" w:hAnsi="Times New Roman" w:cs="Times New Roman" w:hint="default"/>
        <w:b w:val="0"/>
        <w:i w:val="0"/>
        <w:sz w:val="22"/>
        <w:szCs w:val="24"/>
        <w:u w:val="none"/>
      </w:rPr>
    </w:lvl>
    <w:lvl w:ilvl="2" w:tplc="12162BAC">
      <w:start w:val="1"/>
      <w:numFmt w:val="bullet"/>
      <w:lvlText w:val=""/>
      <w:lvlJc w:val="left"/>
      <w:pPr>
        <w:tabs>
          <w:tab w:val="num" w:pos="2070"/>
        </w:tabs>
        <w:ind w:left="1998" w:hanging="288"/>
      </w:pPr>
      <w:rPr>
        <w:rFonts w:ascii="Symbol" w:hAnsi="Symbol" w:hint="default"/>
      </w:rPr>
    </w:lvl>
    <w:lvl w:ilvl="3" w:tplc="1009000F">
      <w:start w:val="1"/>
      <w:numFmt w:val="decimal"/>
      <w:lvlText w:val="%4."/>
      <w:lvlJc w:val="left"/>
      <w:pPr>
        <w:tabs>
          <w:tab w:val="num" w:pos="2610"/>
        </w:tabs>
        <w:ind w:left="2610" w:hanging="360"/>
      </w:pPr>
      <w:rPr>
        <w:rFonts w:hint="default"/>
        <w:b w:val="0"/>
        <w:i w:val="0"/>
        <w:color w:val="000000"/>
        <w:sz w:val="22"/>
        <w:szCs w:val="22"/>
      </w:rPr>
    </w:lvl>
    <w:lvl w:ilvl="4" w:tplc="26A4B25A">
      <w:start w:val="1"/>
      <w:numFmt w:val="upperRoman"/>
      <w:lvlText w:val="%5."/>
      <w:lvlJc w:val="left"/>
      <w:pPr>
        <w:ind w:left="3690" w:hanging="720"/>
      </w:pPr>
      <w:rPr>
        <w:rFonts w:hint="default"/>
      </w:rPr>
    </w:lvl>
    <w:lvl w:ilvl="5" w:tplc="A1F253BC">
      <w:start w:val="2"/>
      <w:numFmt w:val="lowerRoman"/>
      <w:lvlText w:val="(%6)"/>
      <w:lvlJc w:val="left"/>
      <w:pPr>
        <w:ind w:left="4590" w:hanging="720"/>
      </w:pPr>
      <w:rPr>
        <w:rFonts w:hint="default"/>
      </w:rPr>
    </w:lvl>
    <w:lvl w:ilvl="6" w:tplc="F8348F60">
      <w:start w:val="4"/>
      <w:numFmt w:val="decimal"/>
      <w:lvlText w:val="(%7)"/>
      <w:lvlJc w:val="left"/>
      <w:pPr>
        <w:ind w:left="4770" w:hanging="360"/>
      </w:pPr>
      <w:rPr>
        <w:rFonts w:hint="default"/>
      </w:r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7" w15:restartNumberingAfterBreak="0">
    <w:nsid w:val="31820C5D"/>
    <w:multiLevelType w:val="hybridMultilevel"/>
    <w:tmpl w:val="1418604A"/>
    <w:lvl w:ilvl="0" w:tplc="D4125F96">
      <w:start w:val="1"/>
      <w:numFmt w:val="lowerLetter"/>
      <w:lvlRestart w:val="0"/>
      <w:lvlText w:val="(%1)"/>
      <w:lvlJc w:val="left"/>
      <w:pPr>
        <w:tabs>
          <w:tab w:val="num" w:pos="1070"/>
        </w:tabs>
        <w:ind w:left="-10" w:firstLine="720"/>
      </w:pPr>
      <w:rPr>
        <w:rFonts w:ascii="Times New Roman" w:hAnsi="Times New Roman" w:cs="Times New Roman" w:hint="default"/>
        <w:b w:val="0"/>
        <w:i w:val="0"/>
        <w:sz w:val="22"/>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DE1B95"/>
    <w:multiLevelType w:val="hybridMultilevel"/>
    <w:tmpl w:val="C82CC6F2"/>
    <w:lvl w:ilvl="0" w:tplc="AFFCD4EE">
      <w:start w:val="1"/>
      <w:numFmt w:val="lowerLetter"/>
      <w:lvlText w:val="(%1)"/>
      <w:lvlJc w:val="left"/>
      <w:pPr>
        <w:ind w:left="720" w:hanging="360"/>
      </w:pPr>
      <w:rPr>
        <w:rFonts w:hint="default"/>
        <w:b w:val="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3C68AE"/>
    <w:multiLevelType w:val="hybridMultilevel"/>
    <w:tmpl w:val="366C5686"/>
    <w:lvl w:ilvl="0" w:tplc="BC9066F4">
      <w:start w:val="1"/>
      <w:numFmt w:val="decimal"/>
      <w:lvlText w:val="%1."/>
      <w:lvlJc w:val="left"/>
      <w:pPr>
        <w:ind w:left="720" w:hanging="360"/>
      </w:pPr>
      <w:rPr>
        <w:rFonts w:hint="default"/>
        <w:b w:val="0"/>
        <w:i w:val="0"/>
        <w:sz w:val="22"/>
        <w:szCs w:val="22"/>
      </w:rPr>
    </w:lvl>
    <w:lvl w:ilvl="1" w:tplc="779E7F98">
      <w:start w:val="1"/>
      <w:numFmt w:val="lowerLetter"/>
      <w:lvlText w:val="%2."/>
      <w:lvlJc w:val="left"/>
      <w:pPr>
        <w:ind w:left="1440" w:hanging="360"/>
      </w:pPr>
    </w:lvl>
    <w:lvl w:ilvl="2" w:tplc="8CFE8224" w:tentative="1">
      <w:start w:val="1"/>
      <w:numFmt w:val="lowerRoman"/>
      <w:lvlText w:val="%3."/>
      <w:lvlJc w:val="right"/>
      <w:pPr>
        <w:ind w:left="2160" w:hanging="180"/>
      </w:pPr>
    </w:lvl>
    <w:lvl w:ilvl="3" w:tplc="34341C96" w:tentative="1">
      <w:start w:val="1"/>
      <w:numFmt w:val="decimal"/>
      <w:lvlText w:val="%4."/>
      <w:lvlJc w:val="left"/>
      <w:pPr>
        <w:ind w:left="2880" w:hanging="360"/>
      </w:pPr>
    </w:lvl>
    <w:lvl w:ilvl="4" w:tplc="EC68ED7A" w:tentative="1">
      <w:start w:val="1"/>
      <w:numFmt w:val="lowerLetter"/>
      <w:lvlText w:val="%5."/>
      <w:lvlJc w:val="left"/>
      <w:pPr>
        <w:ind w:left="3600" w:hanging="360"/>
      </w:pPr>
    </w:lvl>
    <w:lvl w:ilvl="5" w:tplc="20943864" w:tentative="1">
      <w:start w:val="1"/>
      <w:numFmt w:val="lowerRoman"/>
      <w:lvlText w:val="%6."/>
      <w:lvlJc w:val="right"/>
      <w:pPr>
        <w:ind w:left="4320" w:hanging="180"/>
      </w:pPr>
    </w:lvl>
    <w:lvl w:ilvl="6" w:tplc="A5E00F14" w:tentative="1">
      <w:start w:val="1"/>
      <w:numFmt w:val="decimal"/>
      <w:lvlText w:val="%7."/>
      <w:lvlJc w:val="left"/>
      <w:pPr>
        <w:ind w:left="5040" w:hanging="360"/>
      </w:pPr>
    </w:lvl>
    <w:lvl w:ilvl="7" w:tplc="EAF6720A" w:tentative="1">
      <w:start w:val="1"/>
      <w:numFmt w:val="lowerLetter"/>
      <w:lvlText w:val="%8."/>
      <w:lvlJc w:val="left"/>
      <w:pPr>
        <w:ind w:left="5760" w:hanging="360"/>
      </w:pPr>
    </w:lvl>
    <w:lvl w:ilvl="8" w:tplc="47BA2554" w:tentative="1">
      <w:start w:val="1"/>
      <w:numFmt w:val="lowerRoman"/>
      <w:lvlText w:val="%9."/>
      <w:lvlJc w:val="right"/>
      <w:pPr>
        <w:ind w:left="6480" w:hanging="180"/>
      </w:pPr>
    </w:lvl>
  </w:abstractNum>
  <w:abstractNum w:abstractNumId="10" w15:restartNumberingAfterBreak="0">
    <w:nsid w:val="419774E7"/>
    <w:multiLevelType w:val="hybridMultilevel"/>
    <w:tmpl w:val="456A47AA"/>
    <w:lvl w:ilvl="0" w:tplc="0409000F">
      <w:start w:val="1"/>
      <w:numFmt w:val="decimal"/>
      <w:lvlText w:val="%1."/>
      <w:lvlJc w:val="left"/>
      <w:pPr>
        <w:tabs>
          <w:tab w:val="num" w:pos="3240"/>
        </w:tabs>
        <w:ind w:left="3240" w:hanging="360"/>
      </w:pPr>
      <w:rPr>
        <w:rFonts w:hint="default"/>
        <w:b w:val="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1"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B342E88"/>
    <w:multiLevelType w:val="hybridMultilevel"/>
    <w:tmpl w:val="A1C8F9F8"/>
    <w:lvl w:ilvl="0" w:tplc="CAB40D4C">
      <w:start w:val="1"/>
      <w:numFmt w:val="lowerLetter"/>
      <w:lvlText w:val="(%1)"/>
      <w:lvlJc w:val="left"/>
      <w:pPr>
        <w:ind w:left="720" w:hanging="360"/>
      </w:pPr>
      <w:rPr>
        <w:rFonts w:hint="default"/>
        <w:b w:val="0"/>
        <w:color w:val="000000"/>
      </w:rPr>
    </w:lvl>
    <w:lvl w:ilvl="1" w:tplc="04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5F52A8F"/>
    <w:multiLevelType w:val="hybridMultilevel"/>
    <w:tmpl w:val="D6B20D76"/>
    <w:lvl w:ilvl="0" w:tplc="CAB40D4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A354F3F"/>
    <w:multiLevelType w:val="hybridMultilevel"/>
    <w:tmpl w:val="3A3C894E"/>
    <w:lvl w:ilvl="0" w:tplc="B8CCF4EE">
      <w:start w:val="1"/>
      <w:numFmt w:val="decimal"/>
      <w:lvlText w:val="(%1)"/>
      <w:lvlJc w:val="left"/>
      <w:pPr>
        <w:ind w:left="720" w:hanging="360"/>
      </w:pPr>
      <w:rPr>
        <w:rFonts w:hint="default"/>
        <w:i/>
      </w:rPr>
    </w:lvl>
    <w:lvl w:ilvl="1" w:tplc="F25E8CE8">
      <w:start w:val="1"/>
      <w:numFmt w:val="lowerLetter"/>
      <w:lvlText w:val="(%2)"/>
      <w:lvlJc w:val="left"/>
      <w:pPr>
        <w:ind w:left="1440" w:hanging="360"/>
      </w:pPr>
      <w:rPr>
        <w:rFonts w:hint="default"/>
        <w:b w:val="0"/>
        <w:color w:val="000000" w:themeColor="text1"/>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A4F01DF"/>
    <w:multiLevelType w:val="hybridMultilevel"/>
    <w:tmpl w:val="8C680D4A"/>
    <w:lvl w:ilvl="0" w:tplc="C3482D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C6862BA"/>
    <w:multiLevelType w:val="hybridMultilevel"/>
    <w:tmpl w:val="78FE431E"/>
    <w:lvl w:ilvl="0" w:tplc="F25E8CE8">
      <w:start w:val="1"/>
      <w:numFmt w:val="lowerLetter"/>
      <w:lvlText w:val="(%1)"/>
      <w:lvlJc w:val="left"/>
      <w:pPr>
        <w:ind w:left="1440" w:hanging="360"/>
      </w:pPr>
      <w:rPr>
        <w:rFonts w:hint="default"/>
        <w:b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1"/>
  </w:num>
  <w:num w:numId="4">
    <w:abstractNumId w:val="13"/>
  </w:num>
  <w:num w:numId="5">
    <w:abstractNumId w:val="12"/>
  </w:num>
  <w:num w:numId="6">
    <w:abstractNumId w:val="9"/>
  </w:num>
  <w:num w:numId="7">
    <w:abstractNumId w:val="6"/>
  </w:num>
  <w:num w:numId="8">
    <w:abstractNumId w:val="3"/>
  </w:num>
  <w:num w:numId="9">
    <w:abstractNumId w:val="17"/>
  </w:num>
  <w:num w:numId="10">
    <w:abstractNumId w:val="2"/>
  </w:num>
  <w:num w:numId="11">
    <w:abstractNumId w:val="14"/>
  </w:num>
  <w:num w:numId="12">
    <w:abstractNumId w:val="0"/>
  </w:num>
  <w:num w:numId="13">
    <w:abstractNumId w:val="1"/>
  </w:num>
  <w:num w:numId="14">
    <w:abstractNumId w:val="7"/>
  </w:num>
  <w:num w:numId="15">
    <w:abstractNumId w:val="8"/>
  </w:num>
  <w:num w:numId="16">
    <w:abstractNumId w:val="15"/>
  </w:num>
  <w:num w:numId="17">
    <w:abstractNumId w:val="16"/>
  </w:num>
  <w:num w:numId="18">
    <w:abstractNumId w:val="4"/>
  </w:num>
  <w:num w:numId="19">
    <w:abstractNumId w:val="1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6179"/>
    <w:rsid w:val="00013F2A"/>
    <w:rsid w:val="0002364D"/>
    <w:rsid w:val="000304B3"/>
    <w:rsid w:val="000730A8"/>
    <w:rsid w:val="00097336"/>
    <w:rsid w:val="000A7C42"/>
    <w:rsid w:val="000C61D3"/>
    <w:rsid w:val="000C6A5A"/>
    <w:rsid w:val="00105372"/>
    <w:rsid w:val="00120F63"/>
    <w:rsid w:val="00127015"/>
    <w:rsid w:val="001318B4"/>
    <w:rsid w:val="00131E7A"/>
    <w:rsid w:val="001451C7"/>
    <w:rsid w:val="001611CB"/>
    <w:rsid w:val="001D2B46"/>
    <w:rsid w:val="001E04E2"/>
    <w:rsid w:val="001F2542"/>
    <w:rsid w:val="00200650"/>
    <w:rsid w:val="002021BA"/>
    <w:rsid w:val="0021395E"/>
    <w:rsid w:val="002207B4"/>
    <w:rsid w:val="00227BCB"/>
    <w:rsid w:val="002321D7"/>
    <w:rsid w:val="002619AC"/>
    <w:rsid w:val="002B0D45"/>
    <w:rsid w:val="002B2A23"/>
    <w:rsid w:val="002D4681"/>
    <w:rsid w:val="002D7357"/>
    <w:rsid w:val="002E2546"/>
    <w:rsid w:val="002E6A8E"/>
    <w:rsid w:val="00304ED3"/>
    <w:rsid w:val="00314074"/>
    <w:rsid w:val="003370B1"/>
    <w:rsid w:val="00344493"/>
    <w:rsid w:val="0034608D"/>
    <w:rsid w:val="00371B9A"/>
    <w:rsid w:val="00372F74"/>
    <w:rsid w:val="003A3CA1"/>
    <w:rsid w:val="003B3DA7"/>
    <w:rsid w:val="003F4621"/>
    <w:rsid w:val="003F6309"/>
    <w:rsid w:val="00401DBE"/>
    <w:rsid w:val="00445AF4"/>
    <w:rsid w:val="004644C2"/>
    <w:rsid w:val="004956FD"/>
    <w:rsid w:val="004C03BC"/>
    <w:rsid w:val="00522497"/>
    <w:rsid w:val="00530E78"/>
    <w:rsid w:val="00534350"/>
    <w:rsid w:val="00534681"/>
    <w:rsid w:val="0053634B"/>
    <w:rsid w:val="00553717"/>
    <w:rsid w:val="005648D0"/>
    <w:rsid w:val="0059044A"/>
    <w:rsid w:val="005A6946"/>
    <w:rsid w:val="005B049E"/>
    <w:rsid w:val="005B071D"/>
    <w:rsid w:val="005F093E"/>
    <w:rsid w:val="005F6D5C"/>
    <w:rsid w:val="0061041E"/>
    <w:rsid w:val="00612549"/>
    <w:rsid w:val="00622B46"/>
    <w:rsid w:val="00646375"/>
    <w:rsid w:val="00665A56"/>
    <w:rsid w:val="00670F3A"/>
    <w:rsid w:val="006755EF"/>
    <w:rsid w:val="00675A16"/>
    <w:rsid w:val="00695F4B"/>
    <w:rsid w:val="006B3BD7"/>
    <w:rsid w:val="006C1414"/>
    <w:rsid w:val="00704286"/>
    <w:rsid w:val="00710DFF"/>
    <w:rsid w:val="00717D88"/>
    <w:rsid w:val="007431E8"/>
    <w:rsid w:val="007657E7"/>
    <w:rsid w:val="00767838"/>
    <w:rsid w:val="0078009B"/>
    <w:rsid w:val="007C715B"/>
    <w:rsid w:val="007C76FB"/>
    <w:rsid w:val="007E09DA"/>
    <w:rsid w:val="007E1FF1"/>
    <w:rsid w:val="007E7705"/>
    <w:rsid w:val="008079F1"/>
    <w:rsid w:val="0084472F"/>
    <w:rsid w:val="00852732"/>
    <w:rsid w:val="008810EC"/>
    <w:rsid w:val="008B6D29"/>
    <w:rsid w:val="00931DAD"/>
    <w:rsid w:val="009673C1"/>
    <w:rsid w:val="00970135"/>
    <w:rsid w:val="009747F5"/>
    <w:rsid w:val="00975948"/>
    <w:rsid w:val="00976677"/>
    <w:rsid w:val="009B3A7F"/>
    <w:rsid w:val="009C33D5"/>
    <w:rsid w:val="009D2C8F"/>
    <w:rsid w:val="009F2748"/>
    <w:rsid w:val="00A33494"/>
    <w:rsid w:val="00A65E27"/>
    <w:rsid w:val="00A96AA0"/>
    <w:rsid w:val="00AC447B"/>
    <w:rsid w:val="00AF571E"/>
    <w:rsid w:val="00AF64EF"/>
    <w:rsid w:val="00B10B8A"/>
    <w:rsid w:val="00B2576E"/>
    <w:rsid w:val="00B31FCF"/>
    <w:rsid w:val="00B3369F"/>
    <w:rsid w:val="00B3414A"/>
    <w:rsid w:val="00B57F38"/>
    <w:rsid w:val="00B8020A"/>
    <w:rsid w:val="00B8550A"/>
    <w:rsid w:val="00BA1F6F"/>
    <w:rsid w:val="00C021D4"/>
    <w:rsid w:val="00C0486F"/>
    <w:rsid w:val="00C358CB"/>
    <w:rsid w:val="00C563E5"/>
    <w:rsid w:val="00C727C6"/>
    <w:rsid w:val="00C9051C"/>
    <w:rsid w:val="00C9161D"/>
    <w:rsid w:val="00CF084F"/>
    <w:rsid w:val="00CF1848"/>
    <w:rsid w:val="00D15F30"/>
    <w:rsid w:val="00D20ED7"/>
    <w:rsid w:val="00D4598B"/>
    <w:rsid w:val="00D6285D"/>
    <w:rsid w:val="00D65F20"/>
    <w:rsid w:val="00D76A18"/>
    <w:rsid w:val="00DA5563"/>
    <w:rsid w:val="00DA78E9"/>
    <w:rsid w:val="00DC2D98"/>
    <w:rsid w:val="00DD1D50"/>
    <w:rsid w:val="00DD3871"/>
    <w:rsid w:val="00DE0B50"/>
    <w:rsid w:val="00E256C5"/>
    <w:rsid w:val="00E54F71"/>
    <w:rsid w:val="00E66235"/>
    <w:rsid w:val="00E74E85"/>
    <w:rsid w:val="00E83C24"/>
    <w:rsid w:val="00EA0759"/>
    <w:rsid w:val="00EB03D4"/>
    <w:rsid w:val="00EB5980"/>
    <w:rsid w:val="00ED087F"/>
    <w:rsid w:val="00F00643"/>
    <w:rsid w:val="00F00C00"/>
    <w:rsid w:val="00F07C7F"/>
    <w:rsid w:val="00F24299"/>
    <w:rsid w:val="00F32C63"/>
    <w:rsid w:val="00F43609"/>
    <w:rsid w:val="00F661CC"/>
    <w:rsid w:val="00F71279"/>
    <w:rsid w:val="00F94774"/>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D342F4"/>
  <w15:docId w15:val="{FC78BDFB-C3BB-44C4-BB1C-B61D4554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E09DA"/>
    <w:pPr>
      <w:keepNext/>
      <w:tabs>
        <w:tab w:val="left" w:pos="720"/>
      </w:tabs>
      <w:spacing w:before="120" w:after="120"/>
      <w:jc w:val="center"/>
      <w:outlineLvl w:val="1"/>
    </w:pPr>
    <w:rPr>
      <w:b/>
      <w:bCs/>
      <w:i/>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aliases w:val=" Car,Car"/>
    <w:basedOn w:val="Normal"/>
    <w:link w:val="BodyTextChar"/>
    <w:rsid w:val="007E09DA"/>
    <w:pPr>
      <w:spacing w:before="120" w:after="120"/>
      <w:ind w:firstLine="720"/>
    </w:pPr>
    <w:rPr>
      <w:iCs/>
    </w:rPr>
  </w:style>
  <w:style w:type="character" w:customStyle="1" w:styleId="BodyTextChar">
    <w:name w:val="Body Text Char"/>
    <w:aliases w:val=" Car Char,Car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uiPriority w:val="99"/>
    <w:semiHidden/>
    <w:rsid w:val="007E09DA"/>
    <w:pPr>
      <w:spacing w:after="120" w:line="240" w:lineRule="exact"/>
    </w:pPr>
  </w:style>
  <w:style w:type="character" w:customStyle="1" w:styleId="CommentTextChar">
    <w:name w:val="Comment Text Char"/>
    <w:basedOn w:val="DefaultParagraphFont"/>
    <w:link w:val="CommentText"/>
    <w:uiPriority w:val="99"/>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sid w:val="007E09DA"/>
    <w:rPr>
      <w:sz w:val="18"/>
      <w:u w:val="single"/>
      <w:vertAlign w:val="baseline"/>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7E09DA"/>
    <w:rPr>
      <w:rFonts w:ascii="Times New Roman" w:eastAsia="Times New Roman" w:hAnsi="Times New Roman" w:cs="Times New Roman"/>
      <w:b/>
      <w:bCs/>
      <w:i/>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7E09DA"/>
    <w:pPr>
      <w:jc w:val="left"/>
      <w:outlineLvl w:val="9"/>
    </w:p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304ED3"/>
    <w:rPr>
      <w:color w:val="0000FF"/>
      <w:u w:val="single"/>
    </w:rPr>
  </w:style>
  <w:style w:type="paragraph" w:customStyle="1" w:styleId="Para10">
    <w:name w:val="Para 1"/>
    <w:basedOn w:val="BodyText"/>
    <w:rsid w:val="00304ED3"/>
    <w:pPr>
      <w:ind w:firstLine="0"/>
      <w:jc w:val="left"/>
    </w:pPr>
    <w:rPr>
      <w:rFonts w:eastAsia="MS Mincho"/>
      <w:bCs/>
      <w:iCs w:val="0"/>
      <w:sz w:val="24"/>
      <w:szCs w:val="22"/>
      <w:lang w:val="en-US"/>
    </w:rPr>
  </w:style>
  <w:style w:type="paragraph" w:styleId="ListParagraph">
    <w:name w:val="List Paragraph"/>
    <w:basedOn w:val="Normal"/>
    <w:uiPriority w:val="34"/>
    <w:qFormat/>
    <w:rsid w:val="00304ED3"/>
    <w:pPr>
      <w:ind w:left="720"/>
      <w:contextualSpacing/>
      <w:jc w:val="left"/>
    </w:pPr>
    <w:rPr>
      <w:sz w:val="24"/>
      <w:lang w:val="en-US"/>
    </w:rPr>
  </w:style>
  <w:style w:type="paragraph" w:styleId="Revision">
    <w:name w:val="Revision"/>
    <w:hidden/>
    <w:uiPriority w:val="99"/>
    <w:semiHidden/>
    <w:rsid w:val="0021395E"/>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B10B8A"/>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B10B8A"/>
    <w:rPr>
      <w:rFonts w:ascii="Times New Roman" w:eastAsia="Times New Roman" w:hAnsi="Times New Roman" w:cs="Times New Roman"/>
      <w:b/>
      <w:bCs/>
      <w:sz w:val="20"/>
      <w:szCs w:val="20"/>
      <w:lang w:val="en-GB"/>
    </w:rPr>
  </w:style>
  <w:style w:type="paragraph" w:customStyle="1" w:styleId="recommendation">
    <w:name w:val="recommendation"/>
    <w:basedOn w:val="Heading2"/>
    <w:qFormat/>
    <w:rsid w:val="00AC447B"/>
    <w:pPr>
      <w:tabs>
        <w:tab w:val="clear" w:pos="720"/>
      </w:tabs>
      <w:spacing w:before="240" w:after="60" w:line="276" w:lineRule="auto"/>
      <w:jc w:val="left"/>
    </w:pPr>
    <w:rPr>
      <w:snapToGrid w:val="0"/>
      <w:kern w:val="2"/>
      <w:szCs w:val="22"/>
      <w:lang w:val="en-US"/>
    </w:rPr>
  </w:style>
  <w:style w:type="character" w:customStyle="1" w:styleId="UnresolvedMention1">
    <w:name w:val="Unresolved Mention1"/>
    <w:basedOn w:val="DefaultParagraphFont"/>
    <w:uiPriority w:val="99"/>
    <w:semiHidden/>
    <w:unhideWhenUsed/>
    <w:rsid w:val="005B049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0E8C501BBE954700A0C458443305DA39"/>
        <w:category>
          <w:name w:val="General"/>
          <w:gallery w:val="placeholder"/>
        </w:category>
        <w:types>
          <w:type w:val="bbPlcHdr"/>
        </w:types>
        <w:behaviors>
          <w:behavior w:val="content"/>
        </w:behaviors>
        <w:guid w:val="{47D1C8A2-CC07-4631-B696-2E4A0B019730}"/>
      </w:docPartPr>
      <w:docPartBody>
        <w:p w:rsidR="008D420E" w:rsidRDefault="00810A55">
          <w:r w:rsidRPr="007E02EB">
            <w:rPr>
              <w:rStyle w:val="PlaceholderText"/>
            </w:rPr>
            <w:t>[Publish Date]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6B7789D81B514BF5A43844742D355B4A"/>
        <w:category>
          <w:name w:val="General"/>
          <w:gallery w:val="placeholder"/>
        </w:category>
        <w:types>
          <w:type w:val="bbPlcHdr"/>
        </w:types>
        <w:behaviors>
          <w:behavior w:val="content"/>
        </w:behaviors>
        <w:guid w:val="{AB1F1756-B203-4B81-A711-C22C002B3649}"/>
      </w:docPartPr>
      <w:docPartBody>
        <w:p w:rsidR="009B722D" w:rsidRDefault="000B230B">
          <w:r w:rsidRPr="00115DE4">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default"/>
  </w:font>
  <w:font w:name="Calibri">
    <w:panose1 w:val="020F05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00E46"/>
    <w:rsid w:val="000B230B"/>
    <w:rsid w:val="000B3BBF"/>
    <w:rsid w:val="0015447D"/>
    <w:rsid w:val="0017412B"/>
    <w:rsid w:val="00517220"/>
    <w:rsid w:val="006D6F9B"/>
    <w:rsid w:val="00810A55"/>
    <w:rsid w:val="008D420E"/>
    <w:rsid w:val="009B722D"/>
    <w:rsid w:val="00D42B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2B3E"/>
    <w:rPr>
      <w:color w:val="808080"/>
    </w:rPr>
  </w:style>
  <w:style w:type="paragraph" w:customStyle="1" w:styleId="74DFE888CCB242E7B87A0F21309B51AD">
    <w:name w:val="74DFE888CCB242E7B87A0F21309B51AD"/>
    <w:rsid w:val="000B230B"/>
    <w:pPr>
      <w:spacing w:after="160" w:line="259" w:lineRule="auto"/>
    </w:pPr>
  </w:style>
  <w:style w:type="paragraph" w:customStyle="1" w:styleId="32F55500775344B49C33E3C9945BD3CF">
    <w:name w:val="32F55500775344B49C33E3C9945BD3CF"/>
    <w:rsid w:val="0017412B"/>
    <w:pPr>
      <w:spacing w:after="160" w:line="259" w:lineRule="auto"/>
    </w:pPr>
  </w:style>
  <w:style w:type="paragraph" w:customStyle="1" w:styleId="17C3950DDFD24D25A0C6DCA7856FBCD8">
    <w:name w:val="17C3950DDFD24D25A0C6DCA7856FBCD8"/>
    <w:rsid w:val="00D42B3E"/>
    <w:pPr>
      <w:spacing w:after="160" w:line="259" w:lineRule="auto"/>
    </w:pPr>
  </w:style>
  <w:style w:type="paragraph" w:customStyle="1" w:styleId="0FF17E74347F4D02B6D88743C5C59446">
    <w:name w:val="0FF17E74347F4D02B6D88743C5C59446"/>
    <w:rsid w:val="00D42B3E"/>
    <w:pPr>
      <w:spacing w:after="160" w:line="259" w:lineRule="auto"/>
    </w:pPr>
  </w:style>
  <w:style w:type="paragraph" w:customStyle="1" w:styleId="7AD7CF08F78542879D83A3A622EA882E">
    <w:name w:val="7AD7CF08F78542879D83A3A622EA882E"/>
    <w:rsid w:val="00D42B3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F51E8C-75AC-46AF-B60F-C75B8E1D4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1999</Words>
  <Characters>11397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22/1.	Digital sequence information on genetic resources</vt:lpstr>
    </vt:vector>
  </TitlesOfParts>
  <Company>Secretariat of the Convention on Biological Diversity (SCBD)</Company>
  <LinksUpToDate>false</LinksUpToDate>
  <CharactersWithSpaces>13370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22/1.	Digital sequence information on genetic resources</dc:title>
  <dc:subject>CBD/SBSTTA/REC/22/1</dc:subject>
  <dc:creator>SBSTTA 22</dc:creator>
  <cp:lastModifiedBy>veronique lefebvre</cp:lastModifiedBy>
  <cp:revision>4</cp:revision>
  <dcterms:created xsi:type="dcterms:W3CDTF">2018-07-10T17:50:00Z</dcterms:created>
  <dcterms:modified xsi:type="dcterms:W3CDTF">2018-07-16T19:21:00Z</dcterms:modified>
  <cp:contentStatus>GENERAL</cp:contentStatus>
</cp:coreProperties>
</file>