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53AE" w:rsidRDefault="006E53AE" w:rsidP="00E46A38">
      <w:pPr>
        <w:suppressLineNumbers/>
        <w:suppressAutoHyphens/>
        <w:kinsoku w:val="0"/>
        <w:overflowPunct w:val="0"/>
        <w:autoSpaceDE w:val="0"/>
        <w:autoSpaceDN w:val="0"/>
        <w:adjustRightInd w:val="0"/>
        <w:snapToGrid w:val="0"/>
        <w:rPr>
          <w:lang w:val="fr-CA"/>
        </w:rPr>
      </w:pPr>
    </w:p>
    <w:tbl>
      <w:tblPr>
        <w:tblW w:w="9889" w:type="dxa"/>
        <w:tblBorders>
          <w:bottom w:val="single" w:sz="30" w:space="0" w:color="000000"/>
        </w:tblBorders>
        <w:tblLayout w:type="fixed"/>
        <w:tblLook w:val="0000" w:firstRow="0" w:lastRow="0" w:firstColumn="0" w:lastColumn="0" w:noHBand="0" w:noVBand="0"/>
      </w:tblPr>
      <w:tblGrid>
        <w:gridCol w:w="17"/>
        <w:gridCol w:w="1350"/>
        <w:gridCol w:w="1260"/>
        <w:gridCol w:w="2611"/>
        <w:gridCol w:w="1710"/>
        <w:gridCol w:w="2941"/>
      </w:tblGrid>
      <w:tr w:rsidR="006E53AE" w:rsidRPr="00FE1F72" w:rsidTr="00D4635D">
        <w:trPr>
          <w:gridBefore w:val="1"/>
          <w:wBefore w:w="17" w:type="dxa"/>
          <w:trHeight w:val="1196"/>
        </w:trPr>
        <w:tc>
          <w:tcPr>
            <w:tcW w:w="1350" w:type="dxa"/>
            <w:tcBorders>
              <w:bottom w:val="single" w:sz="12" w:space="0" w:color="000000"/>
            </w:tcBorders>
          </w:tcPr>
          <w:p w:rsidR="006E53AE" w:rsidRPr="00FE1F72" w:rsidRDefault="006E53AE" w:rsidP="00D4635D">
            <w:pPr>
              <w:pStyle w:val="Header"/>
              <w:tabs>
                <w:tab w:val="clear" w:pos="4320"/>
                <w:tab w:val="clear" w:pos="8640"/>
              </w:tabs>
              <w:rPr>
                <w:noProof/>
                <w:lang w:val="fr-FR"/>
              </w:rPr>
            </w:pPr>
            <w:r>
              <w:rPr>
                <w:noProof/>
                <w:lang w:val="fr-FR" w:eastAsia="fr-FR"/>
              </w:rPr>
              <w:drawing>
                <wp:anchor distT="0" distB="0" distL="114300" distR="114300" simplePos="0" relativeHeight="251660288" behindDoc="0" locked="1" layoutInCell="1" allowOverlap="0" wp14:anchorId="1A8368E9" wp14:editId="3E5C606D">
                  <wp:simplePos x="0" y="0"/>
                  <wp:positionH relativeFrom="column">
                    <wp:posOffset>78105</wp:posOffset>
                  </wp:positionH>
                  <wp:positionV relativeFrom="page">
                    <wp:posOffset>69215</wp:posOffset>
                  </wp:positionV>
                  <wp:extent cx="495300" cy="581025"/>
                  <wp:effectExtent l="0" t="0" r="0" b="952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5300" cy="5810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260" w:type="dxa"/>
            <w:tcBorders>
              <w:bottom w:val="single" w:sz="12" w:space="0" w:color="000000"/>
            </w:tcBorders>
          </w:tcPr>
          <w:p w:rsidR="006E53AE" w:rsidRPr="00FE1F72" w:rsidRDefault="006E53AE" w:rsidP="00D4635D">
            <w:pPr>
              <w:rPr>
                <w:noProof/>
                <w:lang w:val="fr-FR"/>
              </w:rPr>
            </w:pPr>
            <w:r>
              <w:rPr>
                <w:noProof/>
                <w:sz w:val="20"/>
                <w:lang w:val="fr-FR" w:eastAsia="fr-FR"/>
              </w:rPr>
              <w:drawing>
                <wp:anchor distT="0" distB="0" distL="114300" distR="114300" simplePos="0" relativeHeight="251659264" behindDoc="0" locked="1" layoutInCell="1" allowOverlap="0" wp14:anchorId="78EC0EC2" wp14:editId="12FF2E87">
                  <wp:simplePos x="0" y="0"/>
                  <wp:positionH relativeFrom="column">
                    <wp:posOffset>-26035</wp:posOffset>
                  </wp:positionH>
                  <wp:positionV relativeFrom="page">
                    <wp:posOffset>635</wp:posOffset>
                  </wp:positionV>
                  <wp:extent cx="822960" cy="582930"/>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l="4492" r="4492"/>
                          <a:stretch>
                            <a:fillRect/>
                          </a:stretch>
                        </pic:blipFill>
                        <pic:spPr bwMode="auto">
                          <a:xfrm>
                            <a:off x="0" y="0"/>
                            <a:ext cx="822960" cy="5829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62" w:type="dxa"/>
            <w:gridSpan w:val="3"/>
            <w:tcBorders>
              <w:bottom w:val="single" w:sz="12" w:space="0" w:color="000000"/>
            </w:tcBorders>
          </w:tcPr>
          <w:p w:rsidR="006E53AE" w:rsidRPr="00FE1F72" w:rsidRDefault="006E53AE" w:rsidP="00D4635D">
            <w:pPr>
              <w:jc w:val="right"/>
              <w:rPr>
                <w:rFonts w:ascii="Univers" w:hAnsi="Univers"/>
                <w:b/>
                <w:noProof/>
                <w:sz w:val="32"/>
                <w:lang w:val="fr-FR"/>
              </w:rPr>
            </w:pPr>
            <w:r>
              <w:rPr>
                <w:rFonts w:ascii="Univers" w:hAnsi="Univers"/>
                <w:b/>
                <w:noProof/>
                <w:sz w:val="32"/>
                <w:lang w:val="fr-FR"/>
              </w:rPr>
              <w:t>CBD</w:t>
            </w:r>
          </w:p>
          <w:p w:rsidR="006E53AE" w:rsidRPr="00FE1F72" w:rsidRDefault="006E53AE" w:rsidP="00D4635D">
            <w:pPr>
              <w:jc w:val="left"/>
              <w:rPr>
                <w:rFonts w:ascii="Univers" w:hAnsi="Univers"/>
                <w:b/>
                <w:noProof/>
                <w:sz w:val="32"/>
                <w:lang w:val="fr-FR"/>
              </w:rPr>
            </w:pPr>
          </w:p>
        </w:tc>
      </w:tr>
      <w:tr w:rsidR="006E53AE" w:rsidRPr="00931F52" w:rsidTr="00D4635D">
        <w:trPr>
          <w:trHeight w:val="1693"/>
        </w:trPr>
        <w:tc>
          <w:tcPr>
            <w:tcW w:w="5238" w:type="dxa"/>
            <w:gridSpan w:val="4"/>
          </w:tcPr>
          <w:p w:rsidR="006E53AE" w:rsidRPr="00FE1F72" w:rsidRDefault="006E53AE" w:rsidP="00D4635D">
            <w:pPr>
              <w:jc w:val="left"/>
              <w:rPr>
                <w:noProof/>
                <w:lang w:val="fr-FR"/>
              </w:rPr>
            </w:pPr>
            <w:r>
              <w:rPr>
                <w:bCs/>
                <w:noProof/>
                <w:szCs w:val="22"/>
                <w:lang w:val="fr-FR" w:eastAsia="fr-FR"/>
              </w:rPr>
              <w:drawing>
                <wp:inline distT="0" distB="0" distL="0" distR="0" wp14:anchorId="62A8A2DE" wp14:editId="7A7D16D5">
                  <wp:extent cx="2857500" cy="1076325"/>
                  <wp:effectExtent l="0" t="0" r="0" b="9525"/>
                  <wp:docPr id="4" name="Picture 4"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fr-CMYK-black [Conver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1710" w:type="dxa"/>
          </w:tcPr>
          <w:p w:rsidR="006E53AE" w:rsidRPr="00FE1F72" w:rsidRDefault="006E53AE" w:rsidP="00D4635D">
            <w:pPr>
              <w:rPr>
                <w:noProof/>
                <w:lang w:val="fr-FR"/>
              </w:rPr>
            </w:pPr>
          </w:p>
        </w:tc>
        <w:tc>
          <w:tcPr>
            <w:tcW w:w="2941" w:type="dxa"/>
          </w:tcPr>
          <w:p w:rsidR="006E53AE" w:rsidRPr="00FE1F72" w:rsidRDefault="006E53AE" w:rsidP="00D4635D">
            <w:pPr>
              <w:ind w:left="37"/>
              <w:rPr>
                <w:noProof/>
                <w:lang w:val="fr-FR"/>
              </w:rPr>
            </w:pPr>
            <w:r w:rsidRPr="00FE1F72">
              <w:rPr>
                <w:noProof/>
                <w:lang w:val="fr-FR"/>
              </w:rPr>
              <w:t>Distr.</w:t>
            </w:r>
          </w:p>
          <w:p w:rsidR="006E53AE" w:rsidRPr="00FE1F72" w:rsidRDefault="006E53AE" w:rsidP="00D4635D">
            <w:pPr>
              <w:ind w:left="37"/>
              <w:rPr>
                <w:noProof/>
                <w:lang w:val="fr-FR"/>
              </w:rPr>
            </w:pPr>
            <w:r>
              <w:rPr>
                <w:noProof/>
                <w:lang w:val="fr-FR"/>
              </w:rPr>
              <w:t xml:space="preserve">GÉNÉRALE </w:t>
            </w:r>
          </w:p>
          <w:p w:rsidR="006E53AE" w:rsidRPr="00FE1F72" w:rsidRDefault="006E53AE" w:rsidP="00D4635D">
            <w:pPr>
              <w:ind w:left="37"/>
              <w:rPr>
                <w:noProof/>
                <w:lang w:val="fr-FR"/>
              </w:rPr>
            </w:pPr>
          </w:p>
          <w:p w:rsidR="006E53AE" w:rsidRPr="00FE1F72" w:rsidRDefault="006E53AE" w:rsidP="00D4635D">
            <w:pPr>
              <w:tabs>
                <w:tab w:val="left" w:pos="0"/>
              </w:tabs>
              <w:suppressAutoHyphens/>
              <w:ind w:left="37"/>
              <w:rPr>
                <w:noProof/>
                <w:lang w:val="fr-FR"/>
              </w:rPr>
            </w:pPr>
            <w:r>
              <w:rPr>
                <w:noProof/>
                <w:lang w:val="fr-FR"/>
              </w:rPr>
              <w:t>CBD/SBSTTA/</w:t>
            </w:r>
            <w:r w:rsidR="00931F52">
              <w:rPr>
                <w:noProof/>
                <w:lang w:val="fr-FR"/>
              </w:rPr>
              <w:t>REC/22/1</w:t>
            </w:r>
          </w:p>
          <w:p w:rsidR="006E53AE" w:rsidRPr="00FE1F72" w:rsidRDefault="00931F52" w:rsidP="00D4635D">
            <w:pPr>
              <w:ind w:left="37"/>
              <w:rPr>
                <w:noProof/>
                <w:lang w:val="fr-FR"/>
              </w:rPr>
            </w:pPr>
            <w:r>
              <w:rPr>
                <w:noProof/>
                <w:lang w:val="fr-FR"/>
              </w:rPr>
              <w:t>7</w:t>
            </w:r>
            <w:r w:rsidR="006E53AE">
              <w:rPr>
                <w:noProof/>
                <w:lang w:val="fr-FR"/>
              </w:rPr>
              <w:t xml:space="preserve"> juillet 2018</w:t>
            </w:r>
          </w:p>
          <w:p w:rsidR="006E53AE" w:rsidRPr="00FE1F72" w:rsidRDefault="006E53AE" w:rsidP="00D4635D">
            <w:pPr>
              <w:ind w:left="37"/>
              <w:rPr>
                <w:noProof/>
                <w:lang w:val="fr-FR"/>
              </w:rPr>
            </w:pPr>
          </w:p>
          <w:p w:rsidR="006E53AE" w:rsidRPr="00FE1F72" w:rsidRDefault="006E53AE" w:rsidP="00D4635D">
            <w:pPr>
              <w:ind w:left="37"/>
              <w:rPr>
                <w:noProof/>
                <w:lang w:val="fr-FR"/>
              </w:rPr>
            </w:pPr>
            <w:r w:rsidRPr="00FE1F72">
              <w:rPr>
                <w:noProof/>
                <w:lang w:val="fr-FR"/>
              </w:rPr>
              <w:t>FRANÇAIS</w:t>
            </w:r>
          </w:p>
          <w:p w:rsidR="006E53AE" w:rsidRPr="00FE1F72" w:rsidRDefault="006E53AE" w:rsidP="00D4635D">
            <w:pPr>
              <w:ind w:left="37"/>
              <w:rPr>
                <w:rFonts w:ascii="Courier New" w:hAnsi="Courier New"/>
                <w:noProof/>
                <w:lang w:val="fr-FR"/>
              </w:rPr>
            </w:pPr>
            <w:r w:rsidRPr="00FE1F72">
              <w:rPr>
                <w:noProof/>
                <w:lang w:val="fr-FR"/>
              </w:rPr>
              <w:t>ORIGINAL</w:t>
            </w:r>
            <w:r>
              <w:rPr>
                <w:noProof/>
                <w:lang w:val="fr-FR"/>
              </w:rPr>
              <w:t xml:space="preserve"> : </w:t>
            </w:r>
            <w:r w:rsidRPr="00FE1F72">
              <w:rPr>
                <w:noProof/>
                <w:lang w:val="fr-FR"/>
              </w:rPr>
              <w:t>ANGLAIS</w:t>
            </w:r>
          </w:p>
        </w:tc>
      </w:tr>
    </w:tbl>
    <w:p w:rsidR="006E53AE" w:rsidRPr="0040058B" w:rsidRDefault="006E53AE" w:rsidP="006E53AE">
      <w:pPr>
        <w:pStyle w:val="meetingname"/>
        <w:suppressLineNumbers/>
        <w:suppressAutoHyphens/>
        <w:kinsoku w:val="0"/>
        <w:overflowPunct w:val="0"/>
        <w:autoSpaceDE w:val="0"/>
        <w:autoSpaceDN w:val="0"/>
        <w:adjustRightInd w:val="0"/>
        <w:snapToGrid w:val="0"/>
        <w:ind w:right="4540"/>
        <w:jc w:val="left"/>
        <w:rPr>
          <w:kern w:val="22"/>
          <w:lang w:val="fr-CA"/>
        </w:rPr>
      </w:pPr>
      <w:r>
        <w:rPr>
          <w:kern w:val="22"/>
          <w:lang w:val="fr-CA"/>
        </w:rPr>
        <w:t>organe subsidiaire charg</w:t>
      </w:r>
      <w:r>
        <w:rPr>
          <w:kern w:val="22"/>
          <w:lang w:val="fr-FR"/>
        </w:rPr>
        <w:t>É</w:t>
      </w:r>
      <w:r>
        <w:rPr>
          <w:kern w:val="22"/>
          <w:lang w:val="fr-CA"/>
        </w:rPr>
        <w:t xml:space="preserve"> de fournir des avis scientifiques, techniques et technologiques</w:t>
      </w:r>
    </w:p>
    <w:p w:rsidR="006E53AE" w:rsidRPr="00E60EB9" w:rsidRDefault="006E53AE" w:rsidP="006E53AE">
      <w:pPr>
        <w:rPr>
          <w:noProof/>
          <w:snapToGrid w:val="0"/>
          <w:kern w:val="22"/>
          <w:szCs w:val="22"/>
          <w:lang w:val="fr-CA" w:eastAsia="nb-NO"/>
        </w:rPr>
      </w:pPr>
      <w:r w:rsidRPr="00E60EB9">
        <w:rPr>
          <w:noProof/>
          <w:snapToGrid w:val="0"/>
          <w:kern w:val="22"/>
          <w:szCs w:val="22"/>
          <w:lang w:val="fr-CA" w:eastAsia="nb-NO"/>
        </w:rPr>
        <w:t>Vingt</w:t>
      </w:r>
      <w:r>
        <w:rPr>
          <w:noProof/>
          <w:snapToGrid w:val="0"/>
          <w:kern w:val="22"/>
          <w:szCs w:val="22"/>
          <w:lang w:val="fr-CA" w:eastAsia="nb-NO"/>
        </w:rPr>
        <w:noBreakHyphen/>
      </w:r>
      <w:r w:rsidRPr="00E60EB9">
        <w:rPr>
          <w:noProof/>
          <w:snapToGrid w:val="0"/>
          <w:kern w:val="22"/>
          <w:szCs w:val="22"/>
          <w:lang w:val="fr-CA" w:eastAsia="nb-NO"/>
        </w:rPr>
        <w:t>deuxième réunion</w:t>
      </w:r>
    </w:p>
    <w:p w:rsidR="006E53AE" w:rsidRPr="00E60EB9" w:rsidRDefault="006E53AE" w:rsidP="006E53AE">
      <w:pPr>
        <w:rPr>
          <w:snapToGrid w:val="0"/>
          <w:kern w:val="22"/>
          <w:szCs w:val="22"/>
          <w:lang w:val="fr-CA" w:eastAsia="nb-NO"/>
        </w:rPr>
      </w:pPr>
      <w:r w:rsidRPr="00E60EB9">
        <w:rPr>
          <w:noProof/>
          <w:snapToGrid w:val="0"/>
          <w:kern w:val="22"/>
          <w:szCs w:val="22"/>
          <w:lang w:val="fr-CA" w:eastAsia="nb-NO"/>
        </w:rPr>
        <w:t>Montréal, Canada, 2</w:t>
      </w:r>
      <w:r>
        <w:rPr>
          <w:noProof/>
          <w:snapToGrid w:val="0"/>
          <w:kern w:val="22"/>
          <w:szCs w:val="22"/>
          <w:lang w:val="fr-CA" w:eastAsia="nb-NO"/>
        </w:rPr>
        <w:noBreakHyphen/>
      </w:r>
      <w:r w:rsidRPr="00E60EB9">
        <w:rPr>
          <w:noProof/>
          <w:snapToGrid w:val="0"/>
          <w:kern w:val="22"/>
          <w:szCs w:val="22"/>
          <w:lang w:val="fr-CA" w:eastAsia="nb-NO"/>
        </w:rPr>
        <w:t>7</w:t>
      </w:r>
      <w:r w:rsidRPr="00E60EB9">
        <w:rPr>
          <w:snapToGrid w:val="0"/>
          <w:kern w:val="22"/>
          <w:szCs w:val="22"/>
          <w:lang w:val="fr-CA" w:eastAsia="nb-NO"/>
        </w:rPr>
        <w:t xml:space="preserve"> juillet 2018</w:t>
      </w:r>
    </w:p>
    <w:p w:rsidR="00C9161D" w:rsidRPr="00441D60" w:rsidRDefault="005B648D" w:rsidP="00CF1CE0">
      <w:pPr>
        <w:suppressLineNumbers/>
        <w:suppressAutoHyphens/>
        <w:kinsoku w:val="0"/>
        <w:overflowPunct w:val="0"/>
        <w:autoSpaceDE w:val="0"/>
        <w:autoSpaceDN w:val="0"/>
        <w:adjustRightInd w:val="0"/>
        <w:snapToGrid w:val="0"/>
        <w:spacing w:after="240"/>
        <w:rPr>
          <w:kern w:val="22"/>
          <w:lang w:val="fr-CA"/>
        </w:rPr>
      </w:pPr>
      <w:r w:rsidRPr="00441D60">
        <w:rPr>
          <w:lang w:val="fr-CA"/>
        </w:rPr>
        <w:t>Point 3 de l</w:t>
      </w:r>
      <w:r w:rsidR="00257C6E">
        <w:rPr>
          <w:lang w:val="fr-CA"/>
        </w:rPr>
        <w:t>’</w:t>
      </w:r>
      <w:r w:rsidRPr="00441D60">
        <w:rPr>
          <w:lang w:val="fr-CA"/>
        </w:rPr>
        <w:t>ordre du jour</w:t>
      </w:r>
    </w:p>
    <w:p w:rsidR="00931F52" w:rsidRPr="00931F52" w:rsidRDefault="00931F52" w:rsidP="00931F52">
      <w:pPr>
        <w:pStyle w:val="recommendation"/>
        <w:keepNext w:val="0"/>
        <w:suppressLineNumbers/>
        <w:suppressAutoHyphens/>
        <w:kinsoku w:val="0"/>
        <w:overflowPunct w:val="0"/>
        <w:autoSpaceDE w:val="0"/>
        <w:autoSpaceDN w:val="0"/>
        <w:adjustRightInd w:val="0"/>
        <w:snapToGrid w:val="0"/>
        <w:spacing w:after="360" w:line="240" w:lineRule="auto"/>
        <w:jc w:val="center"/>
        <w:rPr>
          <w:i w:val="0"/>
          <w:lang w:val="fr-FR"/>
        </w:rPr>
      </w:pPr>
      <w:r w:rsidRPr="00931F52">
        <w:rPr>
          <w:i w:val="0"/>
          <w:lang w:val="fr-FR"/>
        </w:rPr>
        <w:t>RECOMMANDATION ADOPT</w:t>
      </w:r>
      <w:r>
        <w:rPr>
          <w:i w:val="0"/>
          <w:lang w:val="fr-FR"/>
        </w:rPr>
        <w:t>É</w:t>
      </w:r>
      <w:r w:rsidRPr="00931F52">
        <w:rPr>
          <w:i w:val="0"/>
          <w:lang w:val="fr-FR"/>
        </w:rPr>
        <w:t xml:space="preserve">E PAR L’ORGANE </w:t>
      </w:r>
      <w:r>
        <w:rPr>
          <w:i w:val="0"/>
          <w:lang w:val="fr-FR"/>
        </w:rPr>
        <w:t>SUBSIDIAIRE CHARGÉ</w:t>
      </w:r>
      <w:r w:rsidRPr="00931F52">
        <w:rPr>
          <w:i w:val="0"/>
          <w:lang w:val="fr-FR"/>
        </w:rPr>
        <w:t xml:space="preserve"> DE FOURNIR DES AVIS </w:t>
      </w:r>
      <w:r>
        <w:rPr>
          <w:i w:val="0"/>
          <w:lang w:val="fr-FR"/>
        </w:rPr>
        <w:t>SCIENTIFIQUES, TECHNIQUES ET TECHNOLOGIQUES</w:t>
      </w:r>
    </w:p>
    <w:p w:rsidR="00C9161D" w:rsidRPr="00931F52" w:rsidRDefault="00A1782D" w:rsidP="003755CB">
      <w:pPr>
        <w:pStyle w:val="recommendation"/>
        <w:keepNext w:val="0"/>
        <w:suppressLineNumbers/>
        <w:suppressAutoHyphens/>
        <w:kinsoku w:val="0"/>
        <w:overflowPunct w:val="0"/>
        <w:autoSpaceDE w:val="0"/>
        <w:autoSpaceDN w:val="0"/>
        <w:adjustRightInd w:val="0"/>
        <w:snapToGrid w:val="0"/>
        <w:spacing w:after="240" w:line="240" w:lineRule="auto"/>
        <w:jc w:val="center"/>
        <w:rPr>
          <w:i w:val="0"/>
          <w:lang w:val="fr-FR"/>
        </w:rPr>
      </w:pPr>
      <w:r>
        <w:rPr>
          <w:i w:val="0"/>
          <w:lang w:val="fr-CA"/>
        </w:rPr>
        <w:t>22/1.</w:t>
      </w:r>
      <w:r>
        <w:rPr>
          <w:i w:val="0"/>
          <w:lang w:val="fr-CA"/>
        </w:rPr>
        <w:tab/>
      </w:r>
      <w:r w:rsidR="00931F52">
        <w:rPr>
          <w:i w:val="0"/>
          <w:lang w:val="fr-CA"/>
        </w:rPr>
        <w:t>I</w:t>
      </w:r>
      <w:r w:rsidR="00931F52" w:rsidRPr="00931F52">
        <w:rPr>
          <w:i w:val="0"/>
          <w:lang w:val="fr-CA"/>
        </w:rPr>
        <w:t>nformation de séquençage numérique sur les ressources génétiques</w:t>
      </w:r>
    </w:p>
    <w:p w:rsidR="000975BA" w:rsidRPr="00441D60" w:rsidRDefault="00441D60" w:rsidP="00931F52">
      <w:pPr>
        <w:suppressLineNumbers/>
        <w:suppressAutoHyphens/>
        <w:kinsoku w:val="0"/>
        <w:overflowPunct w:val="0"/>
        <w:autoSpaceDE w:val="0"/>
        <w:autoSpaceDN w:val="0"/>
        <w:adjustRightInd w:val="0"/>
        <w:snapToGrid w:val="0"/>
        <w:spacing w:before="120" w:after="120"/>
        <w:ind w:firstLine="709"/>
        <w:rPr>
          <w:i/>
          <w:kern w:val="22"/>
          <w:lang w:val="fr-CA"/>
        </w:rPr>
      </w:pPr>
      <w:r w:rsidRPr="00441D60">
        <w:rPr>
          <w:i/>
          <w:lang w:val="fr-CA"/>
        </w:rPr>
        <w:t>L</w:t>
      </w:r>
      <w:r w:rsidR="00257C6E">
        <w:rPr>
          <w:i/>
          <w:lang w:val="fr-CA"/>
        </w:rPr>
        <w:t>’</w:t>
      </w:r>
      <w:r w:rsidRPr="00441D60">
        <w:rPr>
          <w:i/>
          <w:lang w:val="fr-CA"/>
        </w:rPr>
        <w:t>Organe subsidiaire chargé de fournir des avis scientifiques, techniques et technologiques,</w:t>
      </w:r>
    </w:p>
    <w:p w:rsidR="00441D60" w:rsidRPr="003F758F" w:rsidRDefault="00441D60" w:rsidP="00441D60">
      <w:pPr>
        <w:pStyle w:val="ListParagraph"/>
        <w:spacing w:before="120" w:after="120"/>
        <w:ind w:left="0" w:firstLine="709"/>
        <w:contextualSpacing w:val="0"/>
        <w:rPr>
          <w:lang w:val="fr-CA"/>
        </w:rPr>
      </w:pPr>
      <w:r w:rsidRPr="003F758F">
        <w:rPr>
          <w:i/>
          <w:lang w:val="fr-CA"/>
        </w:rPr>
        <w:t xml:space="preserve">Rappelant </w:t>
      </w:r>
      <w:r w:rsidRPr="003F758F">
        <w:rPr>
          <w:iCs/>
          <w:lang w:val="fr-CA"/>
        </w:rPr>
        <w:t>l</w:t>
      </w:r>
      <w:r w:rsidR="00257C6E">
        <w:rPr>
          <w:iCs/>
          <w:lang w:val="fr-CA"/>
        </w:rPr>
        <w:t>’</w:t>
      </w:r>
      <w:r w:rsidRPr="003F758F">
        <w:rPr>
          <w:iCs/>
          <w:lang w:val="fr-CA"/>
        </w:rPr>
        <w:t>a</w:t>
      </w:r>
      <w:r w:rsidRPr="003F758F">
        <w:rPr>
          <w:iCs/>
          <w:szCs w:val="22"/>
          <w:lang w:val="fr-CA"/>
        </w:rPr>
        <w:t>pproche</w:t>
      </w:r>
      <w:r w:rsidRPr="003F758F">
        <w:rPr>
          <w:szCs w:val="22"/>
          <w:lang w:val="fr-CA"/>
        </w:rPr>
        <w:t xml:space="preserve"> coordonnée </w:t>
      </w:r>
      <w:r w:rsidRPr="003F758F">
        <w:rPr>
          <w:snapToGrid w:val="0"/>
          <w:kern w:val="22"/>
          <w:szCs w:val="22"/>
          <w:lang w:val="fr-CA"/>
        </w:rPr>
        <w:t>qui évite la duplication des efforts concernant l</w:t>
      </w:r>
      <w:r w:rsidR="00257C6E">
        <w:rPr>
          <w:snapToGrid w:val="0"/>
          <w:kern w:val="22"/>
          <w:szCs w:val="22"/>
          <w:lang w:val="fr-CA"/>
        </w:rPr>
        <w:t>’</w:t>
      </w:r>
      <w:r w:rsidRPr="003F758F">
        <w:rPr>
          <w:lang w:val="fr-CA"/>
        </w:rPr>
        <w:t>informati</w:t>
      </w:r>
      <w:r w:rsidR="00931F52">
        <w:rPr>
          <w:lang w:val="fr-CA"/>
        </w:rPr>
        <w:t>on de séquençage numérique sur l</w:t>
      </w:r>
      <w:r w:rsidRPr="003F758F">
        <w:rPr>
          <w:lang w:val="fr-CA"/>
        </w:rPr>
        <w:t>es ressources génétiques</w:t>
      </w:r>
      <w:r w:rsidRPr="003F758F">
        <w:rPr>
          <w:szCs w:val="22"/>
          <w:lang w:val="fr-CA"/>
        </w:rPr>
        <w:t xml:space="preserve"> au titre de la Convention et du Protocole de Nagoya, adoptée dans les décisions XIII/16 et </w:t>
      </w:r>
      <w:r w:rsidR="001D414B">
        <w:rPr>
          <w:lang w:val="fr-CA"/>
        </w:rPr>
        <w:t>NP</w:t>
      </w:r>
      <w:r w:rsidR="00257C6E">
        <w:rPr>
          <w:lang w:val="fr-CA"/>
        </w:rPr>
        <w:noBreakHyphen/>
      </w:r>
      <w:r w:rsidR="001D414B">
        <w:rPr>
          <w:lang w:val="fr-CA"/>
        </w:rPr>
        <w:t>2/14</w:t>
      </w:r>
      <w:r w:rsidR="00605655">
        <w:rPr>
          <w:lang w:val="fr-CA"/>
        </w:rPr>
        <w:t>,</w:t>
      </w:r>
    </w:p>
    <w:p w:rsidR="000975BA" w:rsidRPr="00441D60" w:rsidRDefault="00441D60" w:rsidP="00441D60">
      <w:pPr>
        <w:pStyle w:val="ListParagraph"/>
        <w:suppressLineNumbers/>
        <w:suppressAutoHyphens/>
        <w:kinsoku w:val="0"/>
        <w:overflowPunct w:val="0"/>
        <w:autoSpaceDE w:val="0"/>
        <w:autoSpaceDN w:val="0"/>
        <w:adjustRightInd w:val="0"/>
        <w:snapToGrid w:val="0"/>
        <w:spacing w:before="120" w:after="120"/>
        <w:ind w:left="0" w:firstLine="720"/>
        <w:contextualSpacing w:val="0"/>
        <w:rPr>
          <w:kern w:val="22"/>
          <w:lang w:val="fr-CA"/>
        </w:rPr>
      </w:pPr>
      <w:r w:rsidRPr="003F758F">
        <w:rPr>
          <w:i/>
          <w:lang w:val="fr-CA"/>
        </w:rPr>
        <w:t xml:space="preserve">Prenant acte </w:t>
      </w:r>
      <w:r w:rsidRPr="003F758F">
        <w:rPr>
          <w:iCs/>
          <w:lang w:val="fr-CA"/>
        </w:rPr>
        <w:t>de la compilation des points de vue et des informations sur les répercussions potentielles de l</w:t>
      </w:r>
      <w:r w:rsidR="00257C6E">
        <w:rPr>
          <w:iCs/>
          <w:lang w:val="fr-CA"/>
        </w:rPr>
        <w:t>’</w:t>
      </w:r>
      <w:r w:rsidRPr="003F758F">
        <w:rPr>
          <w:iCs/>
          <w:lang w:val="fr-CA"/>
        </w:rPr>
        <w:t xml:space="preserve">utilisation de cette information de séquençage numérique sur les trois objectifs de la </w:t>
      </w:r>
      <w:r w:rsidRPr="003F758F">
        <w:rPr>
          <w:lang w:val="fr-CA"/>
        </w:rPr>
        <w:t>Convention et l</w:t>
      </w:r>
      <w:r w:rsidR="00257C6E">
        <w:rPr>
          <w:lang w:val="fr-CA"/>
        </w:rPr>
        <w:t>’</w:t>
      </w:r>
      <w:r w:rsidRPr="003F758F">
        <w:rPr>
          <w:lang w:val="fr-CA"/>
        </w:rPr>
        <w:t>objectif du Protocole de Nagoya,</w:t>
      </w:r>
      <w:r w:rsidR="008E3C4E" w:rsidRPr="00441D60">
        <w:rPr>
          <w:rStyle w:val="FootnoteReference"/>
          <w:kern w:val="22"/>
          <w:lang w:val="fr-CA"/>
        </w:rPr>
        <w:footnoteReference w:id="1"/>
      </w:r>
    </w:p>
    <w:p w:rsidR="000975BA" w:rsidRPr="00441D60" w:rsidRDefault="00441D60" w:rsidP="00441D60">
      <w:pPr>
        <w:pStyle w:val="ListParagraph"/>
        <w:suppressLineNumbers/>
        <w:suppressAutoHyphens/>
        <w:kinsoku w:val="0"/>
        <w:overflowPunct w:val="0"/>
        <w:autoSpaceDE w:val="0"/>
        <w:autoSpaceDN w:val="0"/>
        <w:adjustRightInd w:val="0"/>
        <w:snapToGrid w:val="0"/>
        <w:spacing w:before="120" w:after="120"/>
        <w:ind w:left="0" w:firstLine="720"/>
        <w:contextualSpacing w:val="0"/>
        <w:rPr>
          <w:kern w:val="22"/>
          <w:lang w:val="fr-CA"/>
        </w:rPr>
      </w:pPr>
      <w:r w:rsidRPr="003F758F">
        <w:rPr>
          <w:i/>
          <w:lang w:val="fr-CA"/>
        </w:rPr>
        <w:t>Prenant également acte</w:t>
      </w:r>
      <w:r w:rsidRPr="003F758F">
        <w:rPr>
          <w:iCs/>
          <w:lang w:val="fr-CA"/>
        </w:rPr>
        <w:t xml:space="preserve"> de l</w:t>
      </w:r>
      <w:r w:rsidR="00257C6E">
        <w:rPr>
          <w:iCs/>
          <w:lang w:val="fr-CA"/>
        </w:rPr>
        <w:t>’</w:t>
      </w:r>
      <w:r w:rsidRPr="003F758F">
        <w:rPr>
          <w:iCs/>
          <w:lang w:val="fr-CA"/>
        </w:rPr>
        <w:t>étude factuelle et exploratoire</w:t>
      </w:r>
      <w:r w:rsidR="00CF1CE0">
        <w:rPr>
          <w:iCs/>
          <w:lang w:val="fr-CA"/>
        </w:rPr>
        <w:t xml:space="preserve"> ain</w:t>
      </w:r>
      <w:r>
        <w:rPr>
          <w:iCs/>
          <w:lang w:val="fr-CA"/>
        </w:rPr>
        <w:t>si que des commentaires pertinents issus de l</w:t>
      </w:r>
      <w:r w:rsidR="00257C6E">
        <w:rPr>
          <w:iCs/>
          <w:lang w:val="fr-CA"/>
        </w:rPr>
        <w:t>’</w:t>
      </w:r>
      <w:r>
        <w:rPr>
          <w:iCs/>
          <w:lang w:val="fr-CA"/>
        </w:rPr>
        <w:t>examen par les pairs</w:t>
      </w:r>
      <w:r w:rsidRPr="003F758F">
        <w:rPr>
          <w:iCs/>
          <w:lang w:val="fr-CA"/>
        </w:rPr>
        <w:t xml:space="preserve"> qui </w:t>
      </w:r>
      <w:r w:rsidRPr="003F758F">
        <w:rPr>
          <w:szCs w:val="22"/>
          <w:lang w:val="fr-CA"/>
        </w:rPr>
        <w:t>clarifie</w:t>
      </w:r>
      <w:r>
        <w:rPr>
          <w:szCs w:val="22"/>
          <w:lang w:val="fr-CA"/>
        </w:rPr>
        <w:t>nt</w:t>
      </w:r>
      <w:r w:rsidRPr="003F758F">
        <w:rPr>
          <w:szCs w:val="22"/>
          <w:lang w:val="fr-CA"/>
        </w:rPr>
        <w:t xml:space="preserve"> la terminologie et les concepts, et évalue</w:t>
      </w:r>
      <w:r>
        <w:rPr>
          <w:szCs w:val="22"/>
          <w:lang w:val="fr-CA"/>
        </w:rPr>
        <w:t>nt</w:t>
      </w:r>
      <w:r w:rsidRPr="003F758F">
        <w:rPr>
          <w:szCs w:val="22"/>
          <w:lang w:val="fr-CA"/>
        </w:rPr>
        <w:t xml:space="preserve"> l</w:t>
      </w:r>
      <w:r w:rsidR="00257C6E">
        <w:rPr>
          <w:szCs w:val="22"/>
          <w:lang w:val="fr-CA"/>
        </w:rPr>
        <w:t>’</w:t>
      </w:r>
      <w:r w:rsidRPr="003F758F">
        <w:rPr>
          <w:szCs w:val="22"/>
          <w:lang w:val="fr-CA"/>
        </w:rPr>
        <w:t>étendue et les modalités d</w:t>
      </w:r>
      <w:r w:rsidR="00257C6E">
        <w:rPr>
          <w:szCs w:val="22"/>
          <w:lang w:val="fr-CA"/>
        </w:rPr>
        <w:t>’</w:t>
      </w:r>
      <w:r w:rsidRPr="003F758F">
        <w:rPr>
          <w:szCs w:val="22"/>
          <w:lang w:val="fr-CA"/>
        </w:rPr>
        <w:t>utilisation de l</w:t>
      </w:r>
      <w:r w:rsidR="00257C6E">
        <w:rPr>
          <w:szCs w:val="22"/>
          <w:lang w:val="fr-CA"/>
        </w:rPr>
        <w:t>’</w:t>
      </w:r>
      <w:r w:rsidRPr="003F758F">
        <w:rPr>
          <w:szCs w:val="22"/>
          <w:lang w:val="fr-CA"/>
        </w:rPr>
        <w:t>information de séquençage numérique sur les ressources génétiques dans le cadre de la Convention et du Protocole de Nagoya</w:t>
      </w:r>
      <w:r w:rsidR="000975BA" w:rsidRPr="00441D60">
        <w:rPr>
          <w:kern w:val="22"/>
          <w:lang w:val="fr-CA"/>
        </w:rPr>
        <w:t>,</w:t>
      </w:r>
      <w:r w:rsidR="008E3C4E" w:rsidRPr="00441D60">
        <w:rPr>
          <w:rStyle w:val="FootnoteReference"/>
          <w:kern w:val="22"/>
          <w:lang w:val="fr-CA"/>
        </w:rPr>
        <w:footnoteReference w:id="2"/>
      </w:r>
    </w:p>
    <w:p w:rsidR="000975BA" w:rsidRPr="00441D60" w:rsidRDefault="00441D60" w:rsidP="00931F52">
      <w:pPr>
        <w:pStyle w:val="ListParagraph"/>
        <w:suppressLineNumbers/>
        <w:suppressAutoHyphens/>
        <w:kinsoku w:val="0"/>
        <w:overflowPunct w:val="0"/>
        <w:autoSpaceDE w:val="0"/>
        <w:autoSpaceDN w:val="0"/>
        <w:adjustRightInd w:val="0"/>
        <w:snapToGrid w:val="0"/>
        <w:spacing w:before="120" w:after="240"/>
        <w:ind w:left="0" w:firstLine="720"/>
        <w:contextualSpacing w:val="0"/>
        <w:rPr>
          <w:kern w:val="22"/>
          <w:lang w:val="fr-CA"/>
        </w:rPr>
      </w:pPr>
      <w:r w:rsidRPr="003F758F">
        <w:rPr>
          <w:i/>
          <w:lang w:val="fr-CA"/>
        </w:rPr>
        <w:t>Prenant enfin acte</w:t>
      </w:r>
      <w:r w:rsidRPr="003F758F">
        <w:rPr>
          <w:iCs/>
          <w:lang w:val="fr-CA"/>
        </w:rPr>
        <w:t xml:space="preserve"> du rapport du groupe spécial d</w:t>
      </w:r>
      <w:r w:rsidR="00257C6E">
        <w:rPr>
          <w:iCs/>
          <w:lang w:val="fr-CA"/>
        </w:rPr>
        <w:t>’</w:t>
      </w:r>
      <w:r w:rsidR="00A1782D">
        <w:rPr>
          <w:iCs/>
          <w:lang w:val="fr-CA"/>
        </w:rPr>
        <w:t>experts techniques concernant</w:t>
      </w:r>
      <w:r w:rsidRPr="003F758F">
        <w:rPr>
          <w:iCs/>
          <w:lang w:val="fr-CA"/>
        </w:rPr>
        <w:t xml:space="preserve"> l</w:t>
      </w:r>
      <w:r w:rsidR="00257C6E">
        <w:rPr>
          <w:iCs/>
          <w:lang w:val="fr-CA"/>
        </w:rPr>
        <w:t>’</w:t>
      </w:r>
      <w:r w:rsidRPr="003F758F">
        <w:rPr>
          <w:iCs/>
          <w:lang w:val="fr-CA"/>
        </w:rPr>
        <w:t>information de séquençage numérique sur les ressources génétiques</w:t>
      </w:r>
      <w:r w:rsidR="000975BA" w:rsidRPr="00441D60">
        <w:rPr>
          <w:kern w:val="22"/>
          <w:lang w:val="fr-CA"/>
        </w:rPr>
        <w:t>,</w:t>
      </w:r>
      <w:r w:rsidR="00805D30" w:rsidRPr="00441D60">
        <w:rPr>
          <w:rStyle w:val="FootnoteReference"/>
          <w:kern w:val="22"/>
          <w:lang w:val="fr-CA"/>
        </w:rPr>
        <w:footnoteReference w:id="3"/>
      </w:r>
    </w:p>
    <w:p w:rsidR="000975BA" w:rsidRPr="00441D60" w:rsidRDefault="000975BA" w:rsidP="00441D60">
      <w:pPr>
        <w:keepNext/>
        <w:suppressLineNumbers/>
        <w:suppressAutoHyphens/>
        <w:kinsoku w:val="0"/>
        <w:overflowPunct w:val="0"/>
        <w:autoSpaceDE w:val="0"/>
        <w:autoSpaceDN w:val="0"/>
        <w:adjustRightInd w:val="0"/>
        <w:snapToGrid w:val="0"/>
        <w:spacing w:before="120" w:after="120"/>
        <w:ind w:left="720" w:hanging="360"/>
        <w:rPr>
          <w:b/>
          <w:kern w:val="22"/>
          <w:lang w:val="fr-CA"/>
        </w:rPr>
      </w:pPr>
      <w:r w:rsidRPr="00441D60">
        <w:rPr>
          <w:b/>
          <w:kern w:val="22"/>
          <w:lang w:val="fr-CA"/>
        </w:rPr>
        <w:t>A.</w:t>
      </w:r>
      <w:r w:rsidRPr="00441D60">
        <w:rPr>
          <w:b/>
          <w:kern w:val="22"/>
          <w:lang w:val="fr-CA"/>
        </w:rPr>
        <w:tab/>
      </w:r>
      <w:r w:rsidR="00441D60" w:rsidRPr="003F758F">
        <w:rPr>
          <w:b/>
          <w:lang w:val="fr-CA"/>
        </w:rPr>
        <w:t>Projet de décision pour la Conférence des Parties à la Convention sur la diversité biologique</w:t>
      </w:r>
    </w:p>
    <w:p w:rsidR="000975BA" w:rsidRPr="00441D60" w:rsidRDefault="00931F52" w:rsidP="00E46A38">
      <w:pPr>
        <w:pStyle w:val="ListParagraph"/>
        <w:suppressLineNumbers/>
        <w:suppressAutoHyphens/>
        <w:kinsoku w:val="0"/>
        <w:overflowPunct w:val="0"/>
        <w:autoSpaceDE w:val="0"/>
        <w:autoSpaceDN w:val="0"/>
        <w:adjustRightInd w:val="0"/>
        <w:snapToGrid w:val="0"/>
        <w:spacing w:before="120" w:after="120"/>
        <w:ind w:left="0" w:firstLine="709"/>
        <w:contextualSpacing w:val="0"/>
        <w:rPr>
          <w:i/>
          <w:kern w:val="22"/>
          <w:lang w:val="fr-CA"/>
        </w:rPr>
      </w:pPr>
      <w:r w:rsidRPr="00931F52">
        <w:rPr>
          <w:lang w:val="fr-CA"/>
        </w:rPr>
        <w:t>1.</w:t>
      </w:r>
      <w:r>
        <w:rPr>
          <w:i/>
          <w:lang w:val="fr-CA"/>
        </w:rPr>
        <w:tab/>
      </w:r>
      <w:r w:rsidR="00E07D5B" w:rsidRPr="003F758F">
        <w:rPr>
          <w:i/>
          <w:lang w:val="fr-CA"/>
        </w:rPr>
        <w:t>Recommande</w:t>
      </w:r>
      <w:r w:rsidR="00E07D5B" w:rsidRPr="003F758F">
        <w:rPr>
          <w:iCs/>
          <w:lang w:val="fr-CA"/>
        </w:rPr>
        <w:t xml:space="preserve"> que la Conférence des Parties à la Convention sur la diversité biologique adopte, à sa quatorzième réunion, une décision selon la formulation suivante :</w:t>
      </w:r>
    </w:p>
    <w:p w:rsidR="000975BA" w:rsidRPr="00441D60" w:rsidRDefault="000E2A2D" w:rsidP="00E07D5B">
      <w:pPr>
        <w:suppressLineNumbers/>
        <w:suppressAutoHyphens/>
        <w:kinsoku w:val="0"/>
        <w:overflowPunct w:val="0"/>
        <w:autoSpaceDE w:val="0"/>
        <w:autoSpaceDN w:val="0"/>
        <w:adjustRightInd w:val="0"/>
        <w:snapToGrid w:val="0"/>
        <w:spacing w:before="120" w:after="120"/>
        <w:ind w:left="720" w:firstLine="720"/>
        <w:rPr>
          <w:i/>
          <w:kern w:val="22"/>
          <w:lang w:val="fr-CA"/>
        </w:rPr>
      </w:pPr>
      <w:r w:rsidRPr="006817B4">
        <w:rPr>
          <w:b/>
          <w:bCs/>
          <w:iCs/>
          <w:kern w:val="22"/>
          <w:sz w:val="24"/>
          <w:lang w:val="fr-CA"/>
        </w:rPr>
        <w:t>[</w:t>
      </w:r>
      <w:r w:rsidR="00E07D5B" w:rsidRPr="003F758F">
        <w:rPr>
          <w:i/>
          <w:lang w:val="fr-CA"/>
        </w:rPr>
        <w:t>La Conférence des Parties,</w:t>
      </w:r>
    </w:p>
    <w:p w:rsidR="000975BA" w:rsidRPr="00441D60" w:rsidRDefault="00E57AF2" w:rsidP="00E46A38">
      <w:pPr>
        <w:suppressLineNumbers/>
        <w:suppressAutoHyphens/>
        <w:kinsoku w:val="0"/>
        <w:overflowPunct w:val="0"/>
        <w:autoSpaceDE w:val="0"/>
        <w:autoSpaceDN w:val="0"/>
        <w:adjustRightInd w:val="0"/>
        <w:snapToGrid w:val="0"/>
        <w:spacing w:before="120" w:after="120"/>
        <w:ind w:left="720" w:firstLine="720"/>
        <w:rPr>
          <w:kern w:val="22"/>
          <w:lang w:val="fr-CA"/>
        </w:rPr>
      </w:pPr>
      <w:r w:rsidRPr="003F758F">
        <w:rPr>
          <w:i/>
          <w:lang w:val="fr-CA"/>
        </w:rPr>
        <w:t>Ayant présents à l</w:t>
      </w:r>
      <w:r w:rsidR="00257C6E">
        <w:rPr>
          <w:i/>
          <w:lang w:val="fr-CA"/>
        </w:rPr>
        <w:t>’</w:t>
      </w:r>
      <w:r w:rsidRPr="003F758F">
        <w:rPr>
          <w:i/>
          <w:lang w:val="fr-CA"/>
        </w:rPr>
        <w:t>esprit</w:t>
      </w:r>
      <w:r w:rsidRPr="003F758F">
        <w:rPr>
          <w:iCs/>
          <w:lang w:val="fr-CA"/>
        </w:rPr>
        <w:t xml:space="preserve"> les trois objectifs de la </w:t>
      </w:r>
      <w:r w:rsidRPr="003F758F">
        <w:rPr>
          <w:lang w:val="fr-CA"/>
        </w:rPr>
        <w:t>Convention</w:t>
      </w:r>
      <w:r w:rsidR="000975BA" w:rsidRPr="00441D60">
        <w:rPr>
          <w:kern w:val="22"/>
          <w:lang w:val="fr-CA"/>
        </w:rPr>
        <w:t>,</w:t>
      </w:r>
    </w:p>
    <w:p w:rsidR="000E2A2D" w:rsidRPr="00441D60" w:rsidRDefault="00E57AF2" w:rsidP="00E57AF2">
      <w:pPr>
        <w:pStyle w:val="ListParagraph"/>
        <w:suppressLineNumbers/>
        <w:suppressAutoHyphens/>
        <w:kinsoku w:val="0"/>
        <w:overflowPunct w:val="0"/>
        <w:autoSpaceDE w:val="0"/>
        <w:autoSpaceDN w:val="0"/>
        <w:adjustRightInd w:val="0"/>
        <w:snapToGrid w:val="0"/>
        <w:spacing w:before="120" w:after="120"/>
        <w:ind w:firstLine="720"/>
        <w:contextualSpacing w:val="0"/>
        <w:rPr>
          <w:kern w:val="22"/>
          <w:lang w:val="fr-CA"/>
        </w:rPr>
      </w:pPr>
      <w:r w:rsidRPr="003F758F">
        <w:rPr>
          <w:i/>
          <w:lang w:val="fr-CA"/>
        </w:rPr>
        <w:t>Rappelant</w:t>
      </w:r>
      <w:r w:rsidRPr="003F758F">
        <w:rPr>
          <w:iCs/>
          <w:lang w:val="fr-CA"/>
        </w:rPr>
        <w:t xml:space="preserve"> les </w:t>
      </w:r>
      <w:r w:rsidRPr="003F758F">
        <w:rPr>
          <w:lang w:val="fr-CA"/>
        </w:rPr>
        <w:t>articles 12, 15, 16, 17 et 18 de la Convention, et les décisions VIII/11, XII/29 et XIII/31,</w:t>
      </w:r>
    </w:p>
    <w:p w:rsidR="000975BA" w:rsidRPr="00441D60" w:rsidRDefault="000E2A2D" w:rsidP="00C025D3">
      <w:pPr>
        <w:pStyle w:val="ListParagraph"/>
        <w:suppressLineNumbers/>
        <w:suppressAutoHyphens/>
        <w:kinsoku w:val="0"/>
        <w:overflowPunct w:val="0"/>
        <w:autoSpaceDE w:val="0"/>
        <w:autoSpaceDN w:val="0"/>
        <w:adjustRightInd w:val="0"/>
        <w:snapToGrid w:val="0"/>
        <w:spacing w:before="120" w:after="120"/>
        <w:ind w:firstLine="720"/>
        <w:contextualSpacing w:val="0"/>
        <w:rPr>
          <w:kern w:val="22"/>
          <w:lang w:val="fr-CA"/>
        </w:rPr>
      </w:pPr>
      <w:r w:rsidRPr="00441D60">
        <w:rPr>
          <w:kern w:val="22"/>
          <w:lang w:val="fr-CA"/>
        </w:rPr>
        <w:lastRenderedPageBreak/>
        <w:t>[</w:t>
      </w:r>
      <w:r w:rsidR="00EF5F1D">
        <w:rPr>
          <w:i/>
          <w:iCs/>
          <w:kern w:val="22"/>
          <w:lang w:val="fr-CA"/>
        </w:rPr>
        <w:t xml:space="preserve">Prenant </w:t>
      </w:r>
      <w:r w:rsidR="00C025D3">
        <w:rPr>
          <w:i/>
          <w:iCs/>
          <w:kern w:val="22"/>
          <w:lang w:val="fr-CA"/>
        </w:rPr>
        <w:t>acte</w:t>
      </w:r>
      <w:r w:rsidR="00C025D3">
        <w:rPr>
          <w:kern w:val="22"/>
          <w:lang w:val="fr-CA"/>
        </w:rPr>
        <w:t xml:space="preserve"> des rapports sur l</w:t>
      </w:r>
      <w:r w:rsidR="00EF5F1D">
        <w:rPr>
          <w:kern w:val="22"/>
          <w:lang w:val="fr-CA"/>
        </w:rPr>
        <w:t xml:space="preserve">es débats </w:t>
      </w:r>
      <w:r w:rsidR="00C025D3">
        <w:rPr>
          <w:kern w:val="22"/>
          <w:lang w:val="fr-CA"/>
        </w:rPr>
        <w:t>entourant</w:t>
      </w:r>
      <w:r w:rsidR="00EF5F1D">
        <w:rPr>
          <w:kern w:val="22"/>
          <w:lang w:val="fr-CA"/>
        </w:rPr>
        <w:t xml:space="preserve"> cette question et autres questions connexes par d</w:t>
      </w:r>
      <w:r w:rsidR="00257C6E">
        <w:rPr>
          <w:kern w:val="22"/>
          <w:lang w:val="fr-CA"/>
        </w:rPr>
        <w:t>’</w:t>
      </w:r>
      <w:r w:rsidR="00EF5F1D">
        <w:rPr>
          <w:kern w:val="22"/>
          <w:lang w:val="fr-CA"/>
        </w:rPr>
        <w:t>autres organisations des Nations Unies, telles que l</w:t>
      </w:r>
      <w:r w:rsidR="00257C6E">
        <w:rPr>
          <w:kern w:val="22"/>
          <w:lang w:val="fr-CA"/>
        </w:rPr>
        <w:t>’</w:t>
      </w:r>
      <w:r w:rsidR="00EF5F1D">
        <w:rPr>
          <w:kern w:val="22"/>
          <w:lang w:val="fr-CA"/>
        </w:rPr>
        <w:t>Organisation des Nations Unies pour l</w:t>
      </w:r>
      <w:r w:rsidR="00257C6E">
        <w:rPr>
          <w:kern w:val="22"/>
          <w:lang w:val="fr-CA"/>
        </w:rPr>
        <w:t>’</w:t>
      </w:r>
      <w:r w:rsidR="00EF5F1D">
        <w:rPr>
          <w:kern w:val="22"/>
          <w:lang w:val="fr-CA"/>
        </w:rPr>
        <w:t>alimentation et l</w:t>
      </w:r>
      <w:r w:rsidR="00257C6E">
        <w:rPr>
          <w:kern w:val="22"/>
          <w:lang w:val="fr-CA"/>
        </w:rPr>
        <w:t>’</w:t>
      </w:r>
      <w:r w:rsidR="00EF5F1D">
        <w:rPr>
          <w:kern w:val="22"/>
          <w:lang w:val="fr-CA"/>
        </w:rPr>
        <w:t xml:space="preserve">agriculture, le Traité international sur les ressources </w:t>
      </w:r>
      <w:r w:rsidR="00EF5F1D">
        <w:rPr>
          <w:noProof/>
          <w:kern w:val="22"/>
          <w:lang w:val="fr-CA"/>
        </w:rPr>
        <w:t xml:space="preserve">phytogénétiques </w:t>
      </w:r>
      <w:r w:rsidR="00EF5F1D">
        <w:rPr>
          <w:kern w:val="22"/>
          <w:lang w:val="fr-CA"/>
        </w:rPr>
        <w:t>pour l</w:t>
      </w:r>
      <w:r w:rsidR="00257C6E">
        <w:rPr>
          <w:kern w:val="22"/>
          <w:lang w:val="fr-CA"/>
        </w:rPr>
        <w:t>’</w:t>
      </w:r>
      <w:r w:rsidR="00EF5F1D">
        <w:rPr>
          <w:kern w:val="22"/>
          <w:lang w:val="fr-CA"/>
        </w:rPr>
        <w:t>alimentation et l</w:t>
      </w:r>
      <w:r w:rsidR="00257C6E">
        <w:rPr>
          <w:kern w:val="22"/>
          <w:lang w:val="fr-CA"/>
        </w:rPr>
        <w:t>’</w:t>
      </w:r>
      <w:r w:rsidR="00EF5F1D">
        <w:rPr>
          <w:kern w:val="22"/>
          <w:lang w:val="fr-CA"/>
        </w:rPr>
        <w:t>agriculture, l</w:t>
      </w:r>
      <w:r w:rsidR="00257C6E">
        <w:rPr>
          <w:kern w:val="22"/>
          <w:lang w:val="fr-CA"/>
        </w:rPr>
        <w:t>’</w:t>
      </w:r>
      <w:r w:rsidR="00EF5F1D">
        <w:rPr>
          <w:kern w:val="22"/>
          <w:lang w:val="fr-CA"/>
        </w:rPr>
        <w:t>Organisation mondiale de la santé et l</w:t>
      </w:r>
      <w:r w:rsidR="00257C6E">
        <w:rPr>
          <w:kern w:val="22"/>
          <w:lang w:val="fr-CA"/>
        </w:rPr>
        <w:t>’</w:t>
      </w:r>
      <w:r w:rsidR="00EF5F1D">
        <w:rPr>
          <w:kern w:val="22"/>
          <w:lang w:val="fr-CA"/>
        </w:rPr>
        <w:t>Organisation mondiale de la propriété intellectuelle</w:t>
      </w:r>
      <w:r w:rsidRPr="00441D60">
        <w:rPr>
          <w:kern w:val="22"/>
          <w:lang w:val="fr-CA"/>
        </w:rPr>
        <w:t>,]</w:t>
      </w:r>
    </w:p>
    <w:p w:rsidR="000975BA" w:rsidRPr="00441D60" w:rsidRDefault="000975BA" w:rsidP="003C01A9">
      <w:pPr>
        <w:suppressLineNumbers/>
        <w:suppressAutoHyphens/>
        <w:kinsoku w:val="0"/>
        <w:overflowPunct w:val="0"/>
        <w:autoSpaceDE w:val="0"/>
        <w:autoSpaceDN w:val="0"/>
        <w:adjustRightInd w:val="0"/>
        <w:snapToGrid w:val="0"/>
        <w:spacing w:before="120" w:after="120"/>
        <w:ind w:left="720" w:firstLine="720"/>
        <w:rPr>
          <w:kern w:val="22"/>
          <w:lang w:val="fr-CA"/>
        </w:rPr>
      </w:pPr>
      <w:r w:rsidRPr="00441D60">
        <w:rPr>
          <w:kern w:val="22"/>
          <w:lang w:val="fr-CA"/>
        </w:rPr>
        <w:t>1.</w:t>
      </w:r>
      <w:r w:rsidRPr="00441D60">
        <w:rPr>
          <w:kern w:val="22"/>
          <w:lang w:val="fr-CA"/>
        </w:rPr>
        <w:tab/>
      </w:r>
      <w:r w:rsidR="003C01A9" w:rsidRPr="003F758F">
        <w:rPr>
          <w:i/>
          <w:lang w:val="fr-CA"/>
        </w:rPr>
        <w:t>Note</w:t>
      </w:r>
      <w:r w:rsidR="003C01A9" w:rsidRPr="003F758F">
        <w:rPr>
          <w:iCs/>
          <w:lang w:val="fr-CA"/>
        </w:rPr>
        <w:t xml:space="preserve"> que le terme « information de séquençage numérique » n</w:t>
      </w:r>
      <w:r w:rsidR="00257C6E">
        <w:rPr>
          <w:iCs/>
          <w:lang w:val="fr-CA"/>
        </w:rPr>
        <w:t>’</w:t>
      </w:r>
      <w:r w:rsidR="003C01A9" w:rsidRPr="003F758F">
        <w:rPr>
          <w:iCs/>
          <w:lang w:val="fr-CA"/>
        </w:rPr>
        <w:t>est pas toujours le plus approprié pour désigner les divers types d</w:t>
      </w:r>
      <w:r w:rsidR="00257C6E">
        <w:rPr>
          <w:iCs/>
          <w:lang w:val="fr-CA"/>
        </w:rPr>
        <w:t>’</w:t>
      </w:r>
      <w:r w:rsidR="003C01A9" w:rsidRPr="003F758F">
        <w:rPr>
          <w:iCs/>
          <w:lang w:val="fr-CA"/>
        </w:rPr>
        <w:t>informations sur les ressources génétiques, et sert de substitut provisoire jusqu</w:t>
      </w:r>
      <w:r w:rsidR="00257C6E">
        <w:rPr>
          <w:iCs/>
          <w:lang w:val="fr-CA"/>
        </w:rPr>
        <w:t>’</w:t>
      </w:r>
      <w:r w:rsidR="003C01A9" w:rsidRPr="003F758F">
        <w:rPr>
          <w:iCs/>
          <w:lang w:val="fr-CA"/>
        </w:rPr>
        <w:t>à l</w:t>
      </w:r>
      <w:r w:rsidR="00257C6E">
        <w:rPr>
          <w:iCs/>
          <w:lang w:val="fr-CA"/>
        </w:rPr>
        <w:t>’</w:t>
      </w:r>
      <w:r w:rsidR="003C01A9" w:rsidRPr="003F758F">
        <w:rPr>
          <w:iCs/>
          <w:lang w:val="fr-CA"/>
        </w:rPr>
        <w:t>adoption d</w:t>
      </w:r>
      <w:r w:rsidR="00257C6E">
        <w:rPr>
          <w:iCs/>
          <w:lang w:val="fr-CA"/>
        </w:rPr>
        <w:t>’</w:t>
      </w:r>
      <w:r w:rsidR="003C01A9" w:rsidRPr="003F758F">
        <w:rPr>
          <w:iCs/>
          <w:lang w:val="fr-CA"/>
        </w:rPr>
        <w:t>un nouveau terme</w:t>
      </w:r>
      <w:r w:rsidRPr="00441D60">
        <w:rPr>
          <w:kern w:val="22"/>
          <w:lang w:val="fr-CA"/>
        </w:rPr>
        <w:t>;</w:t>
      </w:r>
    </w:p>
    <w:p w:rsidR="000975BA" w:rsidRPr="00441D60" w:rsidRDefault="000975BA" w:rsidP="00913F4D">
      <w:pPr>
        <w:suppressLineNumbers/>
        <w:suppressAutoHyphens/>
        <w:kinsoku w:val="0"/>
        <w:overflowPunct w:val="0"/>
        <w:autoSpaceDE w:val="0"/>
        <w:autoSpaceDN w:val="0"/>
        <w:adjustRightInd w:val="0"/>
        <w:snapToGrid w:val="0"/>
        <w:spacing w:before="120" w:after="120"/>
        <w:ind w:left="720" w:firstLine="720"/>
        <w:rPr>
          <w:kern w:val="22"/>
          <w:lang w:val="fr-CA"/>
        </w:rPr>
      </w:pPr>
      <w:r w:rsidRPr="00441D60">
        <w:rPr>
          <w:kern w:val="22"/>
          <w:lang w:val="fr-CA"/>
        </w:rPr>
        <w:t>[</w:t>
      </w:r>
      <w:r w:rsidR="006516C2" w:rsidRPr="00441D60">
        <w:rPr>
          <w:kern w:val="22"/>
          <w:lang w:val="fr-CA"/>
        </w:rPr>
        <w:t>2</w:t>
      </w:r>
      <w:r w:rsidRPr="00441D60">
        <w:rPr>
          <w:kern w:val="22"/>
          <w:lang w:val="fr-CA"/>
        </w:rPr>
        <w:t>.</w:t>
      </w:r>
      <w:r w:rsidRPr="00441D60">
        <w:rPr>
          <w:kern w:val="22"/>
          <w:lang w:val="fr-CA"/>
        </w:rPr>
        <w:tab/>
      </w:r>
      <w:r w:rsidR="00913F4D">
        <w:rPr>
          <w:i/>
          <w:iCs/>
          <w:kern w:val="22"/>
          <w:lang w:val="fr-CA"/>
        </w:rPr>
        <w:t>Reconnaît</w:t>
      </w:r>
      <w:r w:rsidR="00913F4D">
        <w:rPr>
          <w:kern w:val="22"/>
          <w:lang w:val="fr-CA"/>
        </w:rPr>
        <w:t xml:space="preserve"> que l</w:t>
      </w:r>
      <w:r w:rsidR="00257C6E">
        <w:rPr>
          <w:kern w:val="22"/>
          <w:lang w:val="fr-CA"/>
        </w:rPr>
        <w:t>’</w:t>
      </w:r>
      <w:r w:rsidR="00913F4D">
        <w:rPr>
          <w:kern w:val="22"/>
          <w:lang w:val="fr-CA"/>
        </w:rPr>
        <w:t>information de séquençage numérique comprend des informations sur les séquences d</w:t>
      </w:r>
      <w:r w:rsidR="00257C6E">
        <w:rPr>
          <w:kern w:val="22"/>
          <w:lang w:val="fr-CA"/>
        </w:rPr>
        <w:t>’</w:t>
      </w:r>
      <w:r w:rsidR="00913F4D">
        <w:rPr>
          <w:kern w:val="22"/>
          <w:lang w:val="fr-CA"/>
        </w:rPr>
        <w:t>acides nucléiques et de protéines ainsi que des informations dérivées de processus biologiques et métaboliques spécifiques aux cellules de la ressource génétique</w:t>
      </w:r>
      <w:r w:rsidRPr="00441D60">
        <w:rPr>
          <w:kern w:val="22"/>
          <w:lang w:val="fr-CA"/>
        </w:rPr>
        <w:t>;]</w:t>
      </w:r>
    </w:p>
    <w:p w:rsidR="000975BA" w:rsidRPr="00441D60" w:rsidRDefault="006516C2" w:rsidP="00496723">
      <w:pPr>
        <w:suppressLineNumbers/>
        <w:suppressAutoHyphens/>
        <w:kinsoku w:val="0"/>
        <w:overflowPunct w:val="0"/>
        <w:autoSpaceDE w:val="0"/>
        <w:autoSpaceDN w:val="0"/>
        <w:adjustRightInd w:val="0"/>
        <w:snapToGrid w:val="0"/>
        <w:spacing w:before="120" w:after="120"/>
        <w:ind w:left="720" w:firstLine="720"/>
        <w:rPr>
          <w:kern w:val="22"/>
          <w:lang w:val="fr-CA"/>
        </w:rPr>
      </w:pPr>
      <w:r w:rsidRPr="00441D60">
        <w:rPr>
          <w:kern w:val="22"/>
          <w:lang w:val="fr-CA"/>
        </w:rPr>
        <w:t>3</w:t>
      </w:r>
      <w:r w:rsidR="000975BA" w:rsidRPr="00441D60">
        <w:rPr>
          <w:kern w:val="22"/>
          <w:lang w:val="fr-CA"/>
        </w:rPr>
        <w:t>.</w:t>
      </w:r>
      <w:r w:rsidR="000975BA" w:rsidRPr="00441D60">
        <w:rPr>
          <w:kern w:val="22"/>
          <w:lang w:val="fr-CA"/>
        </w:rPr>
        <w:tab/>
      </w:r>
      <w:r w:rsidR="00496723" w:rsidRPr="003F758F">
        <w:rPr>
          <w:i/>
          <w:lang w:val="fr-CA"/>
        </w:rPr>
        <w:t xml:space="preserve">Reconnaît </w:t>
      </w:r>
      <w:r w:rsidR="00496723" w:rsidRPr="003F758F">
        <w:rPr>
          <w:iCs/>
          <w:lang w:val="fr-CA"/>
        </w:rPr>
        <w:t>l</w:t>
      </w:r>
      <w:r w:rsidR="00257C6E">
        <w:rPr>
          <w:iCs/>
          <w:lang w:val="fr-CA"/>
        </w:rPr>
        <w:t>’</w:t>
      </w:r>
      <w:r w:rsidR="00496723" w:rsidRPr="003F758F">
        <w:rPr>
          <w:iCs/>
          <w:lang w:val="fr-CA"/>
        </w:rPr>
        <w:t>importance de l</w:t>
      </w:r>
      <w:r w:rsidR="00257C6E">
        <w:rPr>
          <w:iCs/>
          <w:lang w:val="fr-CA"/>
        </w:rPr>
        <w:t>’</w:t>
      </w:r>
      <w:r w:rsidR="00496723" w:rsidRPr="003F758F">
        <w:rPr>
          <w:iCs/>
          <w:lang w:val="fr-CA"/>
        </w:rPr>
        <w:t xml:space="preserve">information de séquençage numérique sur les ressources génétiques pour la </w:t>
      </w:r>
      <w:r w:rsidR="00496723" w:rsidRPr="003F758F">
        <w:rPr>
          <w:lang w:val="fr-CA"/>
        </w:rPr>
        <w:t>conservation de la diversité biologique et l</w:t>
      </w:r>
      <w:r w:rsidR="00257C6E">
        <w:rPr>
          <w:lang w:val="fr-CA"/>
        </w:rPr>
        <w:t>’</w:t>
      </w:r>
      <w:r w:rsidR="00496723" w:rsidRPr="003F758F">
        <w:rPr>
          <w:lang w:val="fr-CA"/>
        </w:rPr>
        <w:t xml:space="preserve">utilisation durable de ses éléments constitutifs, tout </w:t>
      </w:r>
      <w:r w:rsidR="00496723" w:rsidRPr="003F758F">
        <w:rPr>
          <w:i/>
          <w:iCs/>
          <w:lang w:val="fr-CA"/>
        </w:rPr>
        <w:t>en soulignant</w:t>
      </w:r>
      <w:r w:rsidR="00496723" w:rsidRPr="003F758F">
        <w:rPr>
          <w:lang w:val="fr-CA"/>
        </w:rPr>
        <w:t xml:space="preserve"> que les trois objectifs de la Convention sont interdépendants et synergiques</w:t>
      </w:r>
      <w:r w:rsidR="000975BA" w:rsidRPr="00441D60">
        <w:rPr>
          <w:kern w:val="22"/>
          <w:lang w:val="fr-CA"/>
        </w:rPr>
        <w:t>;</w:t>
      </w:r>
    </w:p>
    <w:p w:rsidR="000975BA" w:rsidRPr="00A1782D" w:rsidRDefault="000975BA" w:rsidP="00C025D3">
      <w:pPr>
        <w:suppressLineNumbers/>
        <w:suppressAutoHyphens/>
        <w:kinsoku w:val="0"/>
        <w:overflowPunct w:val="0"/>
        <w:autoSpaceDE w:val="0"/>
        <w:autoSpaceDN w:val="0"/>
        <w:adjustRightInd w:val="0"/>
        <w:snapToGrid w:val="0"/>
        <w:spacing w:before="120" w:after="120"/>
        <w:ind w:left="720" w:firstLine="720"/>
        <w:rPr>
          <w:kern w:val="22"/>
          <w:lang w:val="fr-CA"/>
        </w:rPr>
      </w:pPr>
      <w:r w:rsidRPr="00441D60">
        <w:rPr>
          <w:kern w:val="22"/>
          <w:lang w:val="fr-CA"/>
        </w:rPr>
        <w:t>[</w:t>
      </w:r>
      <w:r w:rsidR="006516C2" w:rsidRPr="00441D60">
        <w:rPr>
          <w:kern w:val="22"/>
          <w:lang w:val="fr-CA"/>
        </w:rPr>
        <w:t>4</w:t>
      </w:r>
      <w:r w:rsidRPr="00441D60">
        <w:rPr>
          <w:kern w:val="22"/>
          <w:lang w:val="fr-CA"/>
        </w:rPr>
        <w:t>.</w:t>
      </w:r>
      <w:r w:rsidRPr="00441D60">
        <w:rPr>
          <w:kern w:val="22"/>
          <w:lang w:val="fr-CA"/>
        </w:rPr>
        <w:tab/>
      </w:r>
      <w:r w:rsidR="00496723">
        <w:rPr>
          <w:i/>
          <w:iCs/>
          <w:kern w:val="22"/>
          <w:lang w:val="fr-CA"/>
        </w:rPr>
        <w:t>Reconnaît</w:t>
      </w:r>
      <w:r w:rsidR="00496723">
        <w:rPr>
          <w:kern w:val="22"/>
          <w:lang w:val="fr-CA"/>
        </w:rPr>
        <w:t xml:space="preserve"> que l</w:t>
      </w:r>
      <w:r w:rsidR="00257C6E">
        <w:rPr>
          <w:kern w:val="22"/>
          <w:lang w:val="fr-CA"/>
        </w:rPr>
        <w:t>’</w:t>
      </w:r>
      <w:r w:rsidR="00496723">
        <w:rPr>
          <w:kern w:val="22"/>
          <w:lang w:val="fr-CA"/>
        </w:rPr>
        <w:t>information de séquençage numérique sur les ressources génétiques a des effets importants et très positifs sur la conservation de la diversité biologique et l</w:t>
      </w:r>
      <w:r w:rsidR="00257C6E">
        <w:rPr>
          <w:kern w:val="22"/>
          <w:lang w:val="fr-CA"/>
        </w:rPr>
        <w:t>’</w:t>
      </w:r>
      <w:r w:rsidR="00496723">
        <w:rPr>
          <w:kern w:val="22"/>
          <w:lang w:val="fr-CA"/>
        </w:rPr>
        <w:t>utilisation durable de ses éléments</w:t>
      </w:r>
      <w:r w:rsidR="00C025D3">
        <w:rPr>
          <w:kern w:val="22"/>
          <w:lang w:val="fr-CA"/>
        </w:rPr>
        <w:t xml:space="preserve"> constitutifs</w:t>
      </w:r>
      <w:r w:rsidR="00A1782D">
        <w:rPr>
          <w:kern w:val="22"/>
          <w:lang w:val="fr-CA"/>
        </w:rPr>
        <w:t>,</w:t>
      </w:r>
      <w:r w:rsidR="00496723">
        <w:rPr>
          <w:kern w:val="22"/>
          <w:lang w:val="fr-CA"/>
        </w:rPr>
        <w:t xml:space="preserve"> ainsi que sur la protection de la santé humaine, animale et végétale et </w:t>
      </w:r>
      <w:r w:rsidR="00C025D3">
        <w:rPr>
          <w:kern w:val="22"/>
          <w:lang w:val="fr-CA"/>
        </w:rPr>
        <w:t>sur</w:t>
      </w:r>
      <w:r w:rsidR="00496723">
        <w:rPr>
          <w:kern w:val="22"/>
          <w:lang w:val="fr-CA"/>
        </w:rPr>
        <w:t xml:space="preserve"> la sécurité alimentaire et </w:t>
      </w:r>
      <w:r w:rsidR="00C025D3">
        <w:rPr>
          <w:kern w:val="22"/>
          <w:lang w:val="fr-CA"/>
        </w:rPr>
        <w:t xml:space="preserve">la </w:t>
      </w:r>
      <w:r w:rsidR="00496723">
        <w:rPr>
          <w:kern w:val="22"/>
          <w:lang w:val="fr-CA"/>
        </w:rPr>
        <w:t>salubrité des aliments</w:t>
      </w:r>
      <w:r w:rsidR="00A1782D">
        <w:rPr>
          <w:kern w:val="22"/>
          <w:lang w:val="fr-CA"/>
        </w:rPr>
        <w:t>;</w:t>
      </w:r>
      <w:r w:rsidRPr="00441D60">
        <w:rPr>
          <w:kern w:val="22"/>
          <w:lang w:val="fr-CA"/>
        </w:rPr>
        <w:t>]</w:t>
      </w:r>
    </w:p>
    <w:p w:rsidR="000975BA" w:rsidRPr="00441D60" w:rsidRDefault="006516C2" w:rsidP="00E1718B">
      <w:pPr>
        <w:suppressLineNumbers/>
        <w:suppressAutoHyphens/>
        <w:kinsoku w:val="0"/>
        <w:overflowPunct w:val="0"/>
        <w:autoSpaceDE w:val="0"/>
        <w:autoSpaceDN w:val="0"/>
        <w:adjustRightInd w:val="0"/>
        <w:snapToGrid w:val="0"/>
        <w:spacing w:before="120" w:after="120"/>
        <w:ind w:left="720" w:firstLine="720"/>
        <w:rPr>
          <w:kern w:val="22"/>
          <w:lang w:val="fr-CA"/>
        </w:rPr>
      </w:pPr>
      <w:r w:rsidRPr="00441D60">
        <w:rPr>
          <w:kern w:val="22"/>
          <w:lang w:val="fr-CA"/>
        </w:rPr>
        <w:t>5</w:t>
      </w:r>
      <w:r w:rsidR="000975BA" w:rsidRPr="00441D60">
        <w:rPr>
          <w:kern w:val="22"/>
          <w:lang w:val="fr-CA"/>
        </w:rPr>
        <w:t>.</w:t>
      </w:r>
      <w:r w:rsidR="000975BA" w:rsidRPr="00441D60">
        <w:rPr>
          <w:kern w:val="22"/>
          <w:lang w:val="fr-CA"/>
        </w:rPr>
        <w:tab/>
      </w:r>
      <w:r w:rsidR="00E1718B" w:rsidRPr="003F758F">
        <w:rPr>
          <w:i/>
          <w:lang w:val="fr-CA"/>
        </w:rPr>
        <w:t xml:space="preserve">Constate </w:t>
      </w:r>
      <w:r w:rsidR="00E1718B" w:rsidRPr="003F758F">
        <w:rPr>
          <w:iCs/>
          <w:lang w:val="fr-CA"/>
        </w:rPr>
        <w:t>que l</w:t>
      </w:r>
      <w:r w:rsidR="00257C6E">
        <w:rPr>
          <w:iCs/>
          <w:lang w:val="fr-CA"/>
        </w:rPr>
        <w:t>’</w:t>
      </w:r>
      <w:r w:rsidR="00E1718B" w:rsidRPr="003F758F">
        <w:rPr>
          <w:iCs/>
          <w:lang w:val="fr-CA"/>
        </w:rPr>
        <w:t>utilisation de l</w:t>
      </w:r>
      <w:r w:rsidR="00257C6E">
        <w:rPr>
          <w:iCs/>
          <w:lang w:val="fr-CA"/>
        </w:rPr>
        <w:t>’</w:t>
      </w:r>
      <w:r w:rsidR="00E1718B" w:rsidRPr="003F758F">
        <w:rPr>
          <w:iCs/>
          <w:lang w:val="fr-CA"/>
        </w:rPr>
        <w:t>information de séquençage numérique sur les ressources génétiques et l</w:t>
      </w:r>
      <w:r w:rsidR="00257C6E">
        <w:rPr>
          <w:iCs/>
          <w:lang w:val="fr-CA"/>
        </w:rPr>
        <w:t>’</w:t>
      </w:r>
      <w:r w:rsidR="00E1718B" w:rsidRPr="003F758F">
        <w:rPr>
          <w:iCs/>
          <w:lang w:val="fr-CA"/>
        </w:rPr>
        <w:t xml:space="preserve">accès libre à </w:t>
      </w:r>
      <w:r w:rsidR="00C025D3">
        <w:rPr>
          <w:iCs/>
          <w:lang w:val="fr-CA"/>
        </w:rPr>
        <w:t>cette information</w:t>
      </w:r>
      <w:r w:rsidR="00E1718B" w:rsidRPr="003F758F">
        <w:rPr>
          <w:iCs/>
          <w:lang w:val="fr-CA"/>
        </w:rPr>
        <w:t xml:space="preserve"> contribuent à la recherche scientifique</w:t>
      </w:r>
      <w:r w:rsidR="00E1718B">
        <w:rPr>
          <w:iCs/>
          <w:lang w:val="fr-CA"/>
        </w:rPr>
        <w:t xml:space="preserve"> </w:t>
      </w:r>
      <w:r w:rsidR="00E1718B" w:rsidRPr="00441D60">
        <w:rPr>
          <w:kern w:val="22"/>
          <w:lang w:val="fr-CA"/>
        </w:rPr>
        <w:t>[</w:t>
      </w:r>
      <w:r w:rsidR="00E1718B">
        <w:rPr>
          <w:kern w:val="22"/>
          <w:lang w:val="fr-CA"/>
        </w:rPr>
        <w:t>qui est essentielle pour la caractérisation, la conservation et l</w:t>
      </w:r>
      <w:r w:rsidR="00257C6E">
        <w:rPr>
          <w:kern w:val="22"/>
          <w:lang w:val="fr-CA"/>
        </w:rPr>
        <w:t>’</w:t>
      </w:r>
      <w:r w:rsidR="00E1718B">
        <w:rPr>
          <w:kern w:val="22"/>
          <w:lang w:val="fr-CA"/>
        </w:rPr>
        <w:t>utilisation durable de la diversité biologique et pour la sécurité alimentaire, la salubrité des aliments et la santé humaine</w:t>
      </w:r>
      <w:r w:rsidR="00E1718B" w:rsidRPr="00441D60">
        <w:rPr>
          <w:kern w:val="22"/>
          <w:lang w:val="fr-CA"/>
        </w:rPr>
        <w:t>] [</w:t>
      </w:r>
      <w:r w:rsidR="00E1718B">
        <w:rPr>
          <w:kern w:val="22"/>
          <w:lang w:val="fr-CA"/>
        </w:rPr>
        <w:t>et qui fournit de multiples avantages à la société</w:t>
      </w:r>
      <w:r w:rsidR="00E1718B" w:rsidRPr="00441D60">
        <w:rPr>
          <w:kern w:val="22"/>
          <w:lang w:val="fr-CA"/>
        </w:rPr>
        <w:t>] [</w:t>
      </w:r>
      <w:r w:rsidR="00E1718B">
        <w:rPr>
          <w:kern w:val="22"/>
          <w:lang w:val="fr-CA"/>
        </w:rPr>
        <w:t>qui devraient être partagés de manière juste et équitable</w:t>
      </w:r>
      <w:r w:rsidR="00A461A8">
        <w:rPr>
          <w:kern w:val="22"/>
          <w:lang w:val="fr-CA"/>
        </w:rPr>
        <w:t>;]</w:t>
      </w:r>
    </w:p>
    <w:p w:rsidR="000975BA" w:rsidRPr="00441D60" w:rsidRDefault="000975BA" w:rsidP="00DB6579">
      <w:pPr>
        <w:suppressLineNumbers/>
        <w:suppressAutoHyphens/>
        <w:kinsoku w:val="0"/>
        <w:overflowPunct w:val="0"/>
        <w:autoSpaceDE w:val="0"/>
        <w:autoSpaceDN w:val="0"/>
        <w:adjustRightInd w:val="0"/>
        <w:snapToGrid w:val="0"/>
        <w:spacing w:before="120" w:after="120"/>
        <w:ind w:left="720" w:firstLine="720"/>
        <w:rPr>
          <w:kern w:val="22"/>
          <w:lang w:val="fr-CA"/>
        </w:rPr>
      </w:pPr>
      <w:r w:rsidRPr="00441D60">
        <w:rPr>
          <w:kern w:val="22"/>
          <w:lang w:val="fr-CA"/>
        </w:rPr>
        <w:t>[</w:t>
      </w:r>
      <w:r w:rsidR="006516C2" w:rsidRPr="00441D60">
        <w:rPr>
          <w:kern w:val="22"/>
          <w:lang w:val="fr-CA"/>
        </w:rPr>
        <w:t>6</w:t>
      </w:r>
      <w:r w:rsidRPr="00441D60">
        <w:rPr>
          <w:kern w:val="22"/>
          <w:lang w:val="fr-CA"/>
        </w:rPr>
        <w:t>.</w:t>
      </w:r>
      <w:r w:rsidRPr="00441D60">
        <w:rPr>
          <w:kern w:val="22"/>
          <w:lang w:val="fr-CA"/>
        </w:rPr>
        <w:tab/>
      </w:r>
      <w:r w:rsidR="00DB6579">
        <w:rPr>
          <w:i/>
          <w:iCs/>
          <w:kern w:val="22"/>
          <w:lang w:val="fr-CA"/>
        </w:rPr>
        <w:t>Note</w:t>
      </w:r>
      <w:r w:rsidR="00DB6579">
        <w:rPr>
          <w:kern w:val="22"/>
          <w:lang w:val="fr-CA"/>
        </w:rPr>
        <w:t xml:space="preserve"> que l</w:t>
      </w:r>
      <w:r w:rsidR="00257C6E">
        <w:rPr>
          <w:kern w:val="22"/>
          <w:lang w:val="fr-CA"/>
        </w:rPr>
        <w:t>’</w:t>
      </w:r>
      <w:r w:rsidR="00DB6579">
        <w:rPr>
          <w:kern w:val="22"/>
          <w:lang w:val="fr-CA"/>
        </w:rPr>
        <w:t>accès à l</w:t>
      </w:r>
      <w:r w:rsidR="00257C6E">
        <w:rPr>
          <w:kern w:val="22"/>
          <w:lang w:val="fr-CA"/>
        </w:rPr>
        <w:t>’</w:t>
      </w:r>
      <w:r w:rsidR="00DB6579">
        <w:rPr>
          <w:kern w:val="22"/>
          <w:lang w:val="fr-CA"/>
        </w:rPr>
        <w:t>information de séquençage numérique</w:t>
      </w:r>
      <w:r w:rsidR="00EC333F">
        <w:rPr>
          <w:kern w:val="22"/>
          <w:lang w:val="fr-CA"/>
        </w:rPr>
        <w:t xml:space="preserve"> contenue</w:t>
      </w:r>
      <w:r w:rsidR="00DB6579">
        <w:rPr>
          <w:kern w:val="22"/>
          <w:lang w:val="fr-CA"/>
        </w:rPr>
        <w:t xml:space="preserve"> dans les bases de données publiques n</w:t>
      </w:r>
      <w:r w:rsidR="00257C6E">
        <w:rPr>
          <w:kern w:val="22"/>
          <w:lang w:val="fr-CA"/>
        </w:rPr>
        <w:t>’</w:t>
      </w:r>
      <w:r w:rsidR="00DB6579">
        <w:rPr>
          <w:kern w:val="22"/>
          <w:lang w:val="fr-CA"/>
        </w:rPr>
        <w:t>est pas assujetti aux exigences relatives au consentement préalable en connaissance de cause</w:t>
      </w:r>
      <w:r w:rsidR="00DB6579" w:rsidRPr="00441D60">
        <w:rPr>
          <w:kern w:val="22"/>
          <w:lang w:val="fr-CA"/>
        </w:rPr>
        <w:t>;]</w:t>
      </w:r>
    </w:p>
    <w:p w:rsidR="000975BA" w:rsidRPr="00441D60" w:rsidRDefault="000975BA" w:rsidP="00ED019D">
      <w:pPr>
        <w:suppressLineNumbers/>
        <w:suppressAutoHyphens/>
        <w:kinsoku w:val="0"/>
        <w:overflowPunct w:val="0"/>
        <w:autoSpaceDE w:val="0"/>
        <w:autoSpaceDN w:val="0"/>
        <w:adjustRightInd w:val="0"/>
        <w:snapToGrid w:val="0"/>
        <w:spacing w:before="120" w:after="120"/>
        <w:ind w:left="720" w:firstLine="720"/>
        <w:rPr>
          <w:kern w:val="22"/>
          <w:lang w:val="fr-CA"/>
        </w:rPr>
      </w:pPr>
      <w:r w:rsidRPr="00441D60">
        <w:rPr>
          <w:kern w:val="22"/>
          <w:lang w:val="fr-CA"/>
        </w:rPr>
        <w:t>[</w:t>
      </w:r>
      <w:r w:rsidR="006516C2" w:rsidRPr="00441D60">
        <w:rPr>
          <w:kern w:val="22"/>
          <w:lang w:val="fr-CA"/>
        </w:rPr>
        <w:t>7</w:t>
      </w:r>
      <w:r w:rsidRPr="00441D60">
        <w:rPr>
          <w:kern w:val="22"/>
          <w:lang w:val="fr-CA"/>
        </w:rPr>
        <w:t>.</w:t>
      </w:r>
      <w:r w:rsidRPr="00441D60">
        <w:rPr>
          <w:kern w:val="22"/>
          <w:lang w:val="fr-CA"/>
        </w:rPr>
        <w:tab/>
      </w:r>
      <w:r w:rsidR="00EC333F">
        <w:rPr>
          <w:i/>
          <w:iCs/>
          <w:kern w:val="22"/>
          <w:lang w:val="fr-CA"/>
        </w:rPr>
        <w:t>Note</w:t>
      </w:r>
      <w:r w:rsidR="00EC333F">
        <w:rPr>
          <w:kern w:val="22"/>
          <w:lang w:val="fr-CA"/>
        </w:rPr>
        <w:t xml:space="preserve"> que la création d</w:t>
      </w:r>
      <w:r w:rsidR="00257C6E">
        <w:rPr>
          <w:kern w:val="22"/>
          <w:lang w:val="fr-CA"/>
        </w:rPr>
        <w:t>’</w:t>
      </w:r>
      <w:r w:rsidR="00EC333F">
        <w:rPr>
          <w:kern w:val="22"/>
          <w:lang w:val="fr-CA"/>
        </w:rPr>
        <w:t>informations de séquençage numérique requiert un accès initial à une ressource géné</w:t>
      </w:r>
      <w:r w:rsidR="008153E2">
        <w:rPr>
          <w:kern w:val="22"/>
          <w:lang w:val="fr-CA"/>
        </w:rPr>
        <w:t>tique et que, par conséquent, les</w:t>
      </w:r>
      <w:r w:rsidR="00EC333F">
        <w:rPr>
          <w:kern w:val="22"/>
          <w:lang w:val="fr-CA"/>
        </w:rPr>
        <w:t xml:space="preserve"> avantage</w:t>
      </w:r>
      <w:r w:rsidR="008153E2">
        <w:rPr>
          <w:kern w:val="22"/>
          <w:lang w:val="fr-CA"/>
        </w:rPr>
        <w:t>s</w:t>
      </w:r>
      <w:r w:rsidR="00EC333F">
        <w:rPr>
          <w:kern w:val="22"/>
          <w:lang w:val="fr-CA"/>
        </w:rPr>
        <w:t xml:space="preserve"> découlant de l</w:t>
      </w:r>
      <w:r w:rsidR="00257C6E">
        <w:rPr>
          <w:kern w:val="22"/>
          <w:lang w:val="fr-CA"/>
        </w:rPr>
        <w:t>’</w:t>
      </w:r>
      <w:r w:rsidR="00EC333F">
        <w:rPr>
          <w:kern w:val="22"/>
          <w:lang w:val="fr-CA"/>
        </w:rPr>
        <w:t>utilisation de l</w:t>
      </w:r>
      <w:r w:rsidR="00257C6E">
        <w:rPr>
          <w:kern w:val="22"/>
          <w:lang w:val="fr-CA"/>
        </w:rPr>
        <w:t>’</w:t>
      </w:r>
      <w:r w:rsidR="00EC333F">
        <w:rPr>
          <w:kern w:val="22"/>
          <w:lang w:val="fr-CA"/>
        </w:rPr>
        <w:t>information de séquençage numérique devrai</w:t>
      </w:r>
      <w:r w:rsidR="008153E2">
        <w:rPr>
          <w:kern w:val="22"/>
          <w:lang w:val="fr-CA"/>
        </w:rPr>
        <w:t>en</w:t>
      </w:r>
      <w:r w:rsidR="00EC333F">
        <w:rPr>
          <w:kern w:val="22"/>
          <w:lang w:val="fr-CA"/>
        </w:rPr>
        <w:t>t être partagé</w:t>
      </w:r>
      <w:r w:rsidR="008153E2">
        <w:rPr>
          <w:kern w:val="22"/>
          <w:lang w:val="fr-CA"/>
        </w:rPr>
        <w:t>s</w:t>
      </w:r>
      <w:r w:rsidR="00EC333F">
        <w:rPr>
          <w:kern w:val="22"/>
          <w:lang w:val="fr-CA"/>
        </w:rPr>
        <w:t xml:space="preserve"> de </w:t>
      </w:r>
      <w:r w:rsidR="00ED019D">
        <w:rPr>
          <w:kern w:val="22"/>
          <w:lang w:val="fr-CA"/>
        </w:rPr>
        <w:t>façon</w:t>
      </w:r>
      <w:r w:rsidR="00EC333F">
        <w:rPr>
          <w:kern w:val="22"/>
          <w:lang w:val="fr-CA"/>
        </w:rPr>
        <w:t xml:space="preserve"> juste et équitable, conformément au troisième objectif de la Convention, à l</w:t>
      </w:r>
      <w:r w:rsidR="00257C6E">
        <w:rPr>
          <w:kern w:val="22"/>
          <w:lang w:val="fr-CA"/>
        </w:rPr>
        <w:t>’</w:t>
      </w:r>
      <w:r w:rsidR="00EC333F">
        <w:rPr>
          <w:kern w:val="22"/>
          <w:lang w:val="fr-CA"/>
        </w:rPr>
        <w:t>objectif du Protocole de Nagoya et à l</w:t>
      </w:r>
      <w:r w:rsidR="00257C6E">
        <w:rPr>
          <w:kern w:val="22"/>
          <w:lang w:val="fr-CA"/>
        </w:rPr>
        <w:t>’</w:t>
      </w:r>
      <w:r w:rsidR="00EC333F">
        <w:rPr>
          <w:kern w:val="22"/>
          <w:lang w:val="fr-CA"/>
        </w:rPr>
        <w:t>article 5(1) du Protocole de Nagoya, et de manière à ce que les peuples autochtones et les communautés locales bénéficient directement de la conservation de la diversité biologique</w:t>
      </w:r>
      <w:r w:rsidR="00ED019D">
        <w:rPr>
          <w:kern w:val="22"/>
          <w:lang w:val="fr-CA"/>
        </w:rPr>
        <w:t>,</w:t>
      </w:r>
      <w:r w:rsidR="00EC333F">
        <w:rPr>
          <w:kern w:val="22"/>
          <w:lang w:val="fr-CA"/>
        </w:rPr>
        <w:t xml:space="preserve"> </w:t>
      </w:r>
      <w:r w:rsidR="008153E2">
        <w:rPr>
          <w:kern w:val="22"/>
          <w:lang w:val="fr-CA"/>
        </w:rPr>
        <w:t>afin que ces</w:t>
      </w:r>
      <w:r w:rsidR="00EC333F">
        <w:rPr>
          <w:kern w:val="22"/>
          <w:lang w:val="fr-CA"/>
        </w:rPr>
        <w:t xml:space="preserve"> avantage</w:t>
      </w:r>
      <w:r w:rsidR="008153E2">
        <w:rPr>
          <w:kern w:val="22"/>
          <w:lang w:val="fr-CA"/>
        </w:rPr>
        <w:t>s</w:t>
      </w:r>
      <w:r w:rsidR="00EC333F">
        <w:rPr>
          <w:kern w:val="22"/>
          <w:lang w:val="fr-CA"/>
        </w:rPr>
        <w:t xml:space="preserve"> serve</w:t>
      </w:r>
      <w:r w:rsidR="008153E2">
        <w:rPr>
          <w:kern w:val="22"/>
          <w:lang w:val="fr-CA"/>
        </w:rPr>
        <w:t>nt</w:t>
      </w:r>
      <w:r w:rsidR="00EC333F">
        <w:rPr>
          <w:kern w:val="22"/>
          <w:lang w:val="fr-CA"/>
        </w:rPr>
        <w:t xml:space="preserve"> d</w:t>
      </w:r>
      <w:r w:rsidR="00257C6E">
        <w:rPr>
          <w:kern w:val="22"/>
          <w:lang w:val="fr-CA"/>
        </w:rPr>
        <w:t>’</w:t>
      </w:r>
      <w:r w:rsidR="00EC333F">
        <w:rPr>
          <w:kern w:val="22"/>
          <w:lang w:val="fr-CA"/>
        </w:rPr>
        <w:t>incitation à la conservation et</w:t>
      </w:r>
      <w:r w:rsidR="00ED019D">
        <w:rPr>
          <w:kern w:val="22"/>
          <w:lang w:val="fr-CA"/>
        </w:rPr>
        <w:t xml:space="preserve"> à</w:t>
      </w:r>
      <w:r w:rsidR="00EC333F">
        <w:rPr>
          <w:kern w:val="22"/>
          <w:lang w:val="fr-CA"/>
        </w:rPr>
        <w:t xml:space="preserve"> l</w:t>
      </w:r>
      <w:r w:rsidR="00257C6E">
        <w:rPr>
          <w:kern w:val="22"/>
          <w:lang w:val="fr-CA"/>
        </w:rPr>
        <w:t>’</w:t>
      </w:r>
      <w:r w:rsidR="00EC333F">
        <w:rPr>
          <w:kern w:val="22"/>
          <w:lang w:val="fr-CA"/>
        </w:rPr>
        <w:t>utilisation durable</w:t>
      </w:r>
      <w:r w:rsidR="00EC333F" w:rsidRPr="00441D60">
        <w:rPr>
          <w:kern w:val="22"/>
          <w:lang w:val="fr-CA"/>
        </w:rPr>
        <w:t>;]</w:t>
      </w:r>
    </w:p>
    <w:p w:rsidR="000975BA" w:rsidRPr="00441D60" w:rsidRDefault="006516C2" w:rsidP="004F4A21">
      <w:pPr>
        <w:suppressLineNumbers/>
        <w:suppressAutoHyphens/>
        <w:kinsoku w:val="0"/>
        <w:overflowPunct w:val="0"/>
        <w:autoSpaceDE w:val="0"/>
        <w:autoSpaceDN w:val="0"/>
        <w:adjustRightInd w:val="0"/>
        <w:snapToGrid w:val="0"/>
        <w:spacing w:before="120" w:after="120"/>
        <w:ind w:left="720" w:firstLine="720"/>
        <w:rPr>
          <w:kern w:val="22"/>
          <w:lang w:val="fr-CA"/>
        </w:rPr>
      </w:pPr>
      <w:r w:rsidRPr="00441D60">
        <w:rPr>
          <w:kern w:val="22"/>
          <w:lang w:val="fr-CA"/>
        </w:rPr>
        <w:t>8</w:t>
      </w:r>
      <w:r w:rsidR="000975BA" w:rsidRPr="00441D60">
        <w:rPr>
          <w:kern w:val="22"/>
          <w:lang w:val="fr-CA"/>
        </w:rPr>
        <w:t>.</w:t>
      </w:r>
      <w:r w:rsidR="000975BA" w:rsidRPr="00441D60">
        <w:rPr>
          <w:kern w:val="22"/>
          <w:lang w:val="fr-CA"/>
        </w:rPr>
        <w:tab/>
      </w:r>
      <w:r w:rsidR="004F4A21" w:rsidRPr="003F758F">
        <w:rPr>
          <w:i/>
          <w:lang w:val="fr-CA"/>
        </w:rPr>
        <w:t>Constate également</w:t>
      </w:r>
      <w:r w:rsidR="004F4A21" w:rsidRPr="003F758F">
        <w:rPr>
          <w:iCs/>
          <w:lang w:val="fr-CA"/>
        </w:rPr>
        <w:t xml:space="preserve"> que la capacité à utiliser, à produire et à analyser l</w:t>
      </w:r>
      <w:r w:rsidR="00257C6E">
        <w:rPr>
          <w:iCs/>
          <w:lang w:val="fr-CA"/>
        </w:rPr>
        <w:t>’</w:t>
      </w:r>
      <w:r w:rsidR="004F4A21" w:rsidRPr="003F758F">
        <w:rPr>
          <w:iCs/>
          <w:lang w:val="fr-CA"/>
        </w:rPr>
        <w:t xml:space="preserve">information de séquençage numérique sur les ressources génétiques doit être renforcée dans de nombreux pays, et </w:t>
      </w:r>
      <w:r w:rsidR="004F4A21" w:rsidRPr="003F758F">
        <w:rPr>
          <w:i/>
          <w:lang w:val="fr-CA"/>
        </w:rPr>
        <w:t>encourage</w:t>
      </w:r>
      <w:r w:rsidR="004F4A21" w:rsidRPr="003F758F">
        <w:rPr>
          <w:iCs/>
          <w:lang w:val="fr-CA"/>
        </w:rPr>
        <w:t xml:space="preserve"> les Parties, les autres gouvernements et les organisations compétentes à concourir au renforcement des capacités et au transfert de technologies, afin de faciliter l</w:t>
      </w:r>
      <w:r w:rsidR="00257C6E">
        <w:rPr>
          <w:iCs/>
          <w:lang w:val="fr-CA"/>
        </w:rPr>
        <w:t>’</w:t>
      </w:r>
      <w:r w:rsidR="004F4A21" w:rsidRPr="003F758F">
        <w:rPr>
          <w:iCs/>
          <w:lang w:val="fr-CA"/>
        </w:rPr>
        <w:t xml:space="preserve">utilisation de cette information et de contribuer à la </w:t>
      </w:r>
      <w:r w:rsidR="004F4A21" w:rsidRPr="003F758F">
        <w:rPr>
          <w:lang w:val="fr-CA"/>
        </w:rPr>
        <w:t>conservation et à l</w:t>
      </w:r>
      <w:r w:rsidR="00257C6E">
        <w:rPr>
          <w:lang w:val="fr-CA"/>
        </w:rPr>
        <w:t>’</w:t>
      </w:r>
      <w:r w:rsidR="004F4A21" w:rsidRPr="003F758F">
        <w:rPr>
          <w:lang w:val="fr-CA"/>
        </w:rPr>
        <w:t>utilisation durable de la diversité biologique</w:t>
      </w:r>
      <w:r w:rsidR="004F4A21">
        <w:rPr>
          <w:lang w:val="fr-CA"/>
        </w:rPr>
        <w:t>;</w:t>
      </w:r>
    </w:p>
    <w:p w:rsidR="000975BA" w:rsidRPr="00441D60" w:rsidRDefault="000975BA" w:rsidP="00D937AB">
      <w:pPr>
        <w:suppressLineNumbers/>
        <w:suppressAutoHyphens/>
        <w:kinsoku w:val="0"/>
        <w:overflowPunct w:val="0"/>
        <w:autoSpaceDE w:val="0"/>
        <w:autoSpaceDN w:val="0"/>
        <w:adjustRightInd w:val="0"/>
        <w:snapToGrid w:val="0"/>
        <w:spacing w:before="120" w:after="120"/>
        <w:ind w:left="720" w:firstLine="720"/>
        <w:rPr>
          <w:kern w:val="22"/>
          <w:lang w:val="fr-CA"/>
        </w:rPr>
      </w:pPr>
      <w:r w:rsidRPr="00441D60">
        <w:rPr>
          <w:kern w:val="22"/>
          <w:lang w:val="fr-CA"/>
        </w:rPr>
        <w:t>[</w:t>
      </w:r>
      <w:r w:rsidR="006516C2" w:rsidRPr="00441D60">
        <w:rPr>
          <w:kern w:val="22"/>
          <w:lang w:val="fr-CA"/>
        </w:rPr>
        <w:t>9</w:t>
      </w:r>
      <w:r w:rsidRPr="00441D60">
        <w:rPr>
          <w:kern w:val="22"/>
          <w:lang w:val="fr-CA"/>
        </w:rPr>
        <w:t xml:space="preserve">. </w:t>
      </w:r>
      <w:r w:rsidR="006516C2" w:rsidRPr="00441D60">
        <w:rPr>
          <w:kern w:val="22"/>
          <w:lang w:val="fr-CA"/>
        </w:rPr>
        <w:tab/>
      </w:r>
      <w:r w:rsidR="008839CA">
        <w:rPr>
          <w:i/>
          <w:iCs/>
          <w:kern w:val="22"/>
          <w:lang w:val="fr-CA"/>
        </w:rPr>
        <w:t>Reconnaît également</w:t>
      </w:r>
      <w:r w:rsidR="008839CA">
        <w:rPr>
          <w:kern w:val="22"/>
          <w:lang w:val="fr-CA"/>
        </w:rPr>
        <w:t xml:space="preserve"> </w:t>
      </w:r>
      <w:r w:rsidR="00D937AB">
        <w:rPr>
          <w:kern w:val="22"/>
          <w:lang w:val="fr-CA"/>
        </w:rPr>
        <w:t>la nécessité</w:t>
      </w:r>
      <w:r w:rsidR="008839CA">
        <w:rPr>
          <w:kern w:val="22"/>
          <w:lang w:val="fr-CA"/>
        </w:rPr>
        <w:t xml:space="preserve"> de trouver un équilibre entre l</w:t>
      </w:r>
      <w:r w:rsidR="00257C6E">
        <w:rPr>
          <w:kern w:val="22"/>
          <w:lang w:val="fr-CA"/>
        </w:rPr>
        <w:t>’</w:t>
      </w:r>
      <w:r w:rsidR="009434E1">
        <w:rPr>
          <w:kern w:val="22"/>
          <w:lang w:val="fr-CA"/>
        </w:rPr>
        <w:t>intérêt que présente</w:t>
      </w:r>
      <w:r w:rsidR="008839CA">
        <w:rPr>
          <w:kern w:val="22"/>
          <w:lang w:val="fr-CA"/>
        </w:rPr>
        <w:t xml:space="preserve"> un accès libre et gratuit à l</w:t>
      </w:r>
      <w:r w:rsidR="00257C6E">
        <w:rPr>
          <w:kern w:val="22"/>
          <w:lang w:val="fr-CA"/>
        </w:rPr>
        <w:t>’</w:t>
      </w:r>
      <w:r w:rsidR="008839CA">
        <w:rPr>
          <w:kern w:val="22"/>
          <w:lang w:val="fr-CA"/>
        </w:rPr>
        <w:t>information relative aux ressources génétiques, et l</w:t>
      </w:r>
      <w:r w:rsidR="00257C6E">
        <w:rPr>
          <w:kern w:val="22"/>
          <w:lang w:val="fr-CA"/>
        </w:rPr>
        <w:t>’</w:t>
      </w:r>
      <w:r w:rsidR="009434E1">
        <w:rPr>
          <w:kern w:val="22"/>
          <w:lang w:val="fr-CA"/>
        </w:rPr>
        <w:t>intérêt présenté par</w:t>
      </w:r>
      <w:r w:rsidR="008839CA">
        <w:rPr>
          <w:kern w:val="22"/>
          <w:lang w:val="fr-CA"/>
        </w:rPr>
        <w:t xml:space="preserve"> un partage juste et équitable des avantages avec les pays et les communautés fournissant les ressources génétiques d</w:t>
      </w:r>
      <w:r w:rsidR="00257C6E">
        <w:rPr>
          <w:kern w:val="22"/>
          <w:lang w:val="fr-CA"/>
        </w:rPr>
        <w:t>’</w:t>
      </w:r>
      <w:r w:rsidR="008839CA">
        <w:rPr>
          <w:kern w:val="22"/>
          <w:lang w:val="fr-CA"/>
        </w:rPr>
        <w:t>où émane cette information qui autrement pourraient ne pas profiter des résultats des activités de recherche et développement</w:t>
      </w:r>
      <w:r w:rsidR="008839CA" w:rsidRPr="00441D60">
        <w:rPr>
          <w:kern w:val="22"/>
          <w:lang w:val="fr-CA"/>
        </w:rPr>
        <w:t>;]</w:t>
      </w:r>
    </w:p>
    <w:p w:rsidR="000975BA" w:rsidRPr="00441D60" w:rsidRDefault="000975BA" w:rsidP="007742B4">
      <w:pPr>
        <w:suppressLineNumbers/>
        <w:suppressAutoHyphens/>
        <w:kinsoku w:val="0"/>
        <w:overflowPunct w:val="0"/>
        <w:autoSpaceDE w:val="0"/>
        <w:autoSpaceDN w:val="0"/>
        <w:adjustRightInd w:val="0"/>
        <w:snapToGrid w:val="0"/>
        <w:spacing w:before="120" w:after="120"/>
        <w:ind w:left="720" w:firstLine="720"/>
        <w:rPr>
          <w:kern w:val="22"/>
          <w:lang w:val="fr-CA"/>
        </w:rPr>
      </w:pPr>
      <w:r w:rsidRPr="00441D60">
        <w:rPr>
          <w:kern w:val="22"/>
          <w:lang w:val="fr-CA"/>
        </w:rPr>
        <w:t>[</w:t>
      </w:r>
      <w:r w:rsidR="006516C2" w:rsidRPr="00441D60">
        <w:rPr>
          <w:kern w:val="22"/>
          <w:lang w:val="fr-CA"/>
        </w:rPr>
        <w:t>10</w:t>
      </w:r>
      <w:r w:rsidRPr="00441D60">
        <w:rPr>
          <w:kern w:val="22"/>
          <w:lang w:val="fr-CA"/>
        </w:rPr>
        <w:t>.</w:t>
      </w:r>
      <w:r w:rsidRPr="00441D60">
        <w:rPr>
          <w:kern w:val="22"/>
          <w:lang w:val="fr-CA"/>
        </w:rPr>
        <w:tab/>
      </w:r>
      <w:r w:rsidR="00846796">
        <w:rPr>
          <w:i/>
          <w:iCs/>
          <w:kern w:val="22"/>
          <w:lang w:val="fr-CA"/>
        </w:rPr>
        <w:t>Note</w:t>
      </w:r>
      <w:r w:rsidR="00846796">
        <w:rPr>
          <w:kern w:val="22"/>
          <w:lang w:val="fr-CA"/>
        </w:rPr>
        <w:t xml:space="preserve"> que certaines Parties ont mis en œuvre des dispositions </w:t>
      </w:r>
      <w:r w:rsidR="007742B4">
        <w:rPr>
          <w:kern w:val="22"/>
          <w:lang w:val="fr-CA"/>
        </w:rPr>
        <w:t>dans lesquelles</w:t>
      </w:r>
      <w:r w:rsidR="00846796">
        <w:rPr>
          <w:kern w:val="22"/>
          <w:lang w:val="fr-CA"/>
        </w:rPr>
        <w:t xml:space="preserve"> l</w:t>
      </w:r>
      <w:r w:rsidR="00257C6E">
        <w:rPr>
          <w:kern w:val="22"/>
          <w:lang w:val="fr-CA"/>
        </w:rPr>
        <w:t>’</w:t>
      </w:r>
      <w:r w:rsidR="00846796">
        <w:rPr>
          <w:kern w:val="22"/>
          <w:lang w:val="fr-CA"/>
        </w:rPr>
        <w:t>information de séquençage numérique est</w:t>
      </w:r>
      <w:r w:rsidR="007742B4">
        <w:rPr>
          <w:kern w:val="22"/>
          <w:lang w:val="fr-CA"/>
        </w:rPr>
        <w:t xml:space="preserve"> considérée comme</w:t>
      </w:r>
      <w:r w:rsidR="00846796">
        <w:rPr>
          <w:kern w:val="22"/>
          <w:lang w:val="fr-CA"/>
        </w:rPr>
        <w:t xml:space="preserve"> équivalente aux ressources génétiques</w:t>
      </w:r>
      <w:r w:rsidR="007742B4" w:rsidRPr="00441D60">
        <w:rPr>
          <w:kern w:val="22"/>
          <w:lang w:val="fr-CA"/>
        </w:rPr>
        <w:t>;]</w:t>
      </w:r>
    </w:p>
    <w:p w:rsidR="000975BA" w:rsidRPr="00441D60" w:rsidRDefault="000975BA" w:rsidP="00572DE7">
      <w:pPr>
        <w:suppressLineNumbers/>
        <w:suppressAutoHyphens/>
        <w:kinsoku w:val="0"/>
        <w:overflowPunct w:val="0"/>
        <w:autoSpaceDE w:val="0"/>
        <w:autoSpaceDN w:val="0"/>
        <w:adjustRightInd w:val="0"/>
        <w:snapToGrid w:val="0"/>
        <w:spacing w:before="120" w:after="120"/>
        <w:ind w:left="720" w:firstLine="720"/>
        <w:rPr>
          <w:kern w:val="22"/>
          <w:lang w:val="fr-CA"/>
        </w:rPr>
      </w:pPr>
      <w:r w:rsidRPr="00441D60">
        <w:rPr>
          <w:kern w:val="22"/>
          <w:lang w:val="fr-CA"/>
        </w:rPr>
        <w:lastRenderedPageBreak/>
        <w:t>[</w:t>
      </w:r>
      <w:r w:rsidR="006516C2" w:rsidRPr="00441D60">
        <w:rPr>
          <w:kern w:val="22"/>
          <w:lang w:val="fr-CA"/>
        </w:rPr>
        <w:t>11</w:t>
      </w:r>
      <w:r w:rsidRPr="00441D60">
        <w:rPr>
          <w:kern w:val="22"/>
          <w:lang w:val="fr-CA"/>
        </w:rPr>
        <w:t>.</w:t>
      </w:r>
      <w:r w:rsidRPr="00441D60">
        <w:rPr>
          <w:kern w:val="22"/>
          <w:lang w:val="fr-CA"/>
        </w:rPr>
        <w:tab/>
      </w:r>
      <w:r w:rsidR="00572DE7">
        <w:rPr>
          <w:i/>
          <w:lang w:val="fr-CA"/>
        </w:rPr>
        <w:t>Reconnaît</w:t>
      </w:r>
      <w:r w:rsidR="007742B4" w:rsidRPr="00B61388">
        <w:rPr>
          <w:iCs/>
          <w:lang w:val="fr-CA"/>
        </w:rPr>
        <w:t xml:space="preserve"> que les conditions convenues d</w:t>
      </w:r>
      <w:r w:rsidR="00257C6E">
        <w:rPr>
          <w:iCs/>
          <w:lang w:val="fr-CA"/>
        </w:rPr>
        <w:t>’</w:t>
      </w:r>
      <w:r w:rsidR="007742B4" w:rsidRPr="00B61388">
        <w:rPr>
          <w:iCs/>
          <w:lang w:val="fr-CA"/>
        </w:rPr>
        <w:t>un commun accord peuvent s</w:t>
      </w:r>
      <w:r w:rsidR="00257C6E">
        <w:rPr>
          <w:iCs/>
          <w:lang w:val="fr-CA"/>
        </w:rPr>
        <w:t>’</w:t>
      </w:r>
      <w:r w:rsidR="007742B4" w:rsidRPr="00B61388">
        <w:rPr>
          <w:iCs/>
          <w:lang w:val="fr-CA"/>
        </w:rPr>
        <w:t>étendre aux avantages découlant de l</w:t>
      </w:r>
      <w:r w:rsidR="00257C6E">
        <w:rPr>
          <w:iCs/>
          <w:lang w:val="fr-CA"/>
        </w:rPr>
        <w:t>’</w:t>
      </w:r>
      <w:r w:rsidR="007742B4" w:rsidRPr="00B61388">
        <w:rPr>
          <w:iCs/>
          <w:lang w:val="fr-CA"/>
        </w:rPr>
        <w:t>utilisation commerciale de l</w:t>
      </w:r>
      <w:r w:rsidR="00257C6E">
        <w:rPr>
          <w:iCs/>
          <w:lang w:val="fr-CA"/>
        </w:rPr>
        <w:t>’</w:t>
      </w:r>
      <w:r w:rsidR="007742B4" w:rsidRPr="00B61388">
        <w:rPr>
          <w:iCs/>
          <w:lang w:val="fr-CA"/>
        </w:rPr>
        <w:t>information de séquençage numérique sur les ressources génétiques</w:t>
      </w:r>
      <w:r w:rsidRPr="00441D60">
        <w:rPr>
          <w:kern w:val="22"/>
          <w:lang w:val="fr-CA"/>
        </w:rPr>
        <w:t>;]</w:t>
      </w:r>
    </w:p>
    <w:p w:rsidR="000975BA" w:rsidRPr="00441D60" w:rsidRDefault="000975BA" w:rsidP="00572DE7">
      <w:pPr>
        <w:suppressLineNumbers/>
        <w:suppressAutoHyphens/>
        <w:kinsoku w:val="0"/>
        <w:overflowPunct w:val="0"/>
        <w:autoSpaceDE w:val="0"/>
        <w:autoSpaceDN w:val="0"/>
        <w:adjustRightInd w:val="0"/>
        <w:snapToGrid w:val="0"/>
        <w:spacing w:before="120" w:after="120"/>
        <w:ind w:left="720" w:firstLine="720"/>
        <w:rPr>
          <w:kern w:val="22"/>
          <w:szCs w:val="22"/>
          <w:lang w:val="fr-CA"/>
        </w:rPr>
      </w:pPr>
      <w:r w:rsidRPr="00441D60">
        <w:rPr>
          <w:kern w:val="22"/>
          <w:szCs w:val="22"/>
          <w:lang w:val="fr-CA"/>
        </w:rPr>
        <w:t>[</w:t>
      </w:r>
      <w:r w:rsidR="006516C2" w:rsidRPr="00441D60">
        <w:rPr>
          <w:kern w:val="22"/>
          <w:szCs w:val="22"/>
          <w:lang w:val="fr-CA"/>
        </w:rPr>
        <w:t>12</w:t>
      </w:r>
      <w:r w:rsidRPr="00441D60">
        <w:rPr>
          <w:kern w:val="22"/>
          <w:szCs w:val="22"/>
          <w:lang w:val="fr-CA"/>
        </w:rPr>
        <w:t xml:space="preserve">. </w:t>
      </w:r>
      <w:r w:rsidRPr="00441D60">
        <w:rPr>
          <w:kern w:val="22"/>
          <w:szCs w:val="22"/>
          <w:lang w:val="fr-CA"/>
        </w:rPr>
        <w:tab/>
      </w:r>
      <w:r w:rsidR="00BB1CD2">
        <w:rPr>
          <w:i/>
          <w:iCs/>
          <w:kern w:val="22"/>
          <w:szCs w:val="22"/>
          <w:lang w:val="fr-CA"/>
        </w:rPr>
        <w:t>Reconnaît également</w:t>
      </w:r>
      <w:r w:rsidR="00BB1CD2">
        <w:rPr>
          <w:kern w:val="22"/>
          <w:szCs w:val="22"/>
          <w:lang w:val="fr-CA"/>
        </w:rPr>
        <w:t xml:space="preserve"> que l</w:t>
      </w:r>
      <w:r w:rsidR="00257C6E">
        <w:rPr>
          <w:kern w:val="22"/>
          <w:szCs w:val="22"/>
          <w:lang w:val="fr-CA"/>
        </w:rPr>
        <w:t>’</w:t>
      </w:r>
      <w:r w:rsidR="00BB1CD2">
        <w:rPr>
          <w:kern w:val="22"/>
          <w:szCs w:val="22"/>
          <w:lang w:val="fr-CA"/>
        </w:rPr>
        <w:t>information de séquençage numérique sur les ressources génétiques peut faciliter une appropriation illicite si elle est utilisée pour contourner les lois nationales relatives à l</w:t>
      </w:r>
      <w:r w:rsidR="00257C6E">
        <w:rPr>
          <w:kern w:val="22"/>
          <w:szCs w:val="22"/>
          <w:lang w:val="fr-CA"/>
        </w:rPr>
        <w:t>’</w:t>
      </w:r>
      <w:r w:rsidR="00BB1CD2">
        <w:rPr>
          <w:kern w:val="22"/>
          <w:szCs w:val="22"/>
          <w:lang w:val="fr-CA"/>
        </w:rPr>
        <w:t xml:space="preserve">accès et </w:t>
      </w:r>
      <w:r w:rsidR="001D1F79">
        <w:rPr>
          <w:kern w:val="22"/>
          <w:szCs w:val="22"/>
          <w:lang w:val="fr-CA"/>
        </w:rPr>
        <w:t>qu</w:t>
      </w:r>
      <w:r w:rsidR="00257C6E">
        <w:rPr>
          <w:kern w:val="22"/>
          <w:szCs w:val="22"/>
          <w:lang w:val="fr-CA"/>
        </w:rPr>
        <w:t>’</w:t>
      </w:r>
      <w:r w:rsidR="00BB1CD2">
        <w:rPr>
          <w:kern w:val="22"/>
          <w:szCs w:val="22"/>
          <w:lang w:val="fr-CA"/>
        </w:rPr>
        <w:t>aucune mesure alternative de partage des avantages n</w:t>
      </w:r>
      <w:r w:rsidR="00257C6E">
        <w:rPr>
          <w:kern w:val="22"/>
          <w:szCs w:val="22"/>
          <w:lang w:val="fr-CA"/>
        </w:rPr>
        <w:t>’</w:t>
      </w:r>
      <w:r w:rsidR="00BB1CD2">
        <w:rPr>
          <w:kern w:val="22"/>
          <w:szCs w:val="22"/>
          <w:lang w:val="fr-CA"/>
        </w:rPr>
        <w:t>est mise en place</w:t>
      </w:r>
      <w:r w:rsidR="00BB1CD2" w:rsidRPr="00441D60">
        <w:rPr>
          <w:kern w:val="22"/>
          <w:szCs w:val="22"/>
          <w:lang w:val="fr-CA"/>
        </w:rPr>
        <w:t>;]</w:t>
      </w:r>
    </w:p>
    <w:p w:rsidR="000975BA" w:rsidRPr="00441D60" w:rsidRDefault="000975BA" w:rsidP="00A461A8">
      <w:pPr>
        <w:suppressLineNumbers/>
        <w:suppressAutoHyphens/>
        <w:kinsoku w:val="0"/>
        <w:overflowPunct w:val="0"/>
        <w:autoSpaceDE w:val="0"/>
        <w:autoSpaceDN w:val="0"/>
        <w:adjustRightInd w:val="0"/>
        <w:snapToGrid w:val="0"/>
        <w:spacing w:before="120" w:after="120"/>
        <w:ind w:left="720" w:firstLine="720"/>
        <w:rPr>
          <w:kern w:val="22"/>
          <w:szCs w:val="22"/>
          <w:lang w:val="fr-CA"/>
        </w:rPr>
      </w:pPr>
      <w:r w:rsidRPr="00441D60">
        <w:rPr>
          <w:kern w:val="22"/>
          <w:lang w:val="fr-CA"/>
        </w:rPr>
        <w:t>[</w:t>
      </w:r>
      <w:r w:rsidR="006516C2" w:rsidRPr="00441D60">
        <w:rPr>
          <w:kern w:val="22"/>
          <w:lang w:val="fr-CA"/>
        </w:rPr>
        <w:t>13</w:t>
      </w:r>
      <w:r w:rsidRPr="00441D60">
        <w:rPr>
          <w:kern w:val="22"/>
          <w:lang w:val="fr-CA"/>
        </w:rPr>
        <w:t>.</w:t>
      </w:r>
      <w:r w:rsidRPr="00441D60">
        <w:rPr>
          <w:kern w:val="22"/>
          <w:lang w:val="fr-CA"/>
        </w:rPr>
        <w:tab/>
      </w:r>
      <w:r w:rsidR="00895248">
        <w:rPr>
          <w:i/>
          <w:iCs/>
          <w:kern w:val="22"/>
          <w:lang w:val="fr-CA"/>
        </w:rPr>
        <w:t>Reconnaît</w:t>
      </w:r>
      <w:r w:rsidR="00895248">
        <w:rPr>
          <w:kern w:val="22"/>
          <w:lang w:val="fr-CA"/>
        </w:rPr>
        <w:t xml:space="preserve"> que, </w:t>
      </w:r>
      <w:r w:rsidR="00895248">
        <w:rPr>
          <w:iCs/>
          <w:lang w:val="fr-CA"/>
        </w:rPr>
        <w:t>conformément à l</w:t>
      </w:r>
      <w:r w:rsidR="00257C6E">
        <w:rPr>
          <w:iCs/>
          <w:lang w:val="fr-CA"/>
        </w:rPr>
        <w:t>’</w:t>
      </w:r>
      <w:r w:rsidR="00895248">
        <w:rPr>
          <w:iCs/>
          <w:lang w:val="fr-CA"/>
        </w:rPr>
        <w:t>article 15.7</w:t>
      </w:r>
      <w:r w:rsidR="00895248" w:rsidRPr="003F758F">
        <w:rPr>
          <w:iCs/>
          <w:lang w:val="fr-CA"/>
        </w:rPr>
        <w:t xml:space="preserve"> de la </w:t>
      </w:r>
      <w:r w:rsidR="00895248">
        <w:rPr>
          <w:lang w:val="fr-CA"/>
        </w:rPr>
        <w:t>Convention et à l</w:t>
      </w:r>
      <w:r w:rsidR="00257C6E">
        <w:rPr>
          <w:lang w:val="fr-CA"/>
        </w:rPr>
        <w:t>’</w:t>
      </w:r>
      <w:r w:rsidR="00895248">
        <w:rPr>
          <w:lang w:val="fr-CA"/>
        </w:rPr>
        <w:t>article 5</w:t>
      </w:r>
      <w:r w:rsidR="00895248" w:rsidRPr="003F758F">
        <w:rPr>
          <w:lang w:val="fr-CA"/>
        </w:rPr>
        <w:t xml:space="preserve"> du Protocole de Nagoya, </w:t>
      </w:r>
      <w:r w:rsidR="00895248">
        <w:rPr>
          <w:lang w:val="fr-CA"/>
        </w:rPr>
        <w:t xml:space="preserve">les avantages découlant de </w:t>
      </w:r>
      <w:r w:rsidR="00895248" w:rsidRPr="003F758F">
        <w:rPr>
          <w:iCs/>
          <w:lang w:val="fr-CA"/>
        </w:rPr>
        <w:t>l</w:t>
      </w:r>
      <w:r w:rsidR="00257C6E">
        <w:rPr>
          <w:iCs/>
          <w:lang w:val="fr-CA"/>
        </w:rPr>
        <w:t>’</w:t>
      </w:r>
      <w:r w:rsidR="00895248" w:rsidRPr="003F758F">
        <w:rPr>
          <w:iCs/>
          <w:lang w:val="fr-CA"/>
        </w:rPr>
        <w:t xml:space="preserve">utilisation </w:t>
      </w:r>
      <w:r w:rsidR="00895248">
        <w:rPr>
          <w:iCs/>
          <w:lang w:val="fr-CA"/>
        </w:rPr>
        <w:t xml:space="preserve">commerciale des résultats </w:t>
      </w:r>
      <w:r w:rsidR="00895248" w:rsidRPr="003F758F">
        <w:rPr>
          <w:iCs/>
          <w:lang w:val="fr-CA"/>
        </w:rPr>
        <w:t xml:space="preserve">de </w:t>
      </w:r>
      <w:r w:rsidR="00895248">
        <w:rPr>
          <w:iCs/>
          <w:lang w:val="fr-CA"/>
        </w:rPr>
        <w:t>l</w:t>
      </w:r>
      <w:r w:rsidR="00257C6E">
        <w:rPr>
          <w:iCs/>
          <w:lang w:val="fr-CA"/>
        </w:rPr>
        <w:t>’</w:t>
      </w:r>
      <w:r w:rsidR="00895248">
        <w:rPr>
          <w:iCs/>
          <w:lang w:val="fr-CA"/>
        </w:rPr>
        <w:t xml:space="preserve">utilisation de </w:t>
      </w:r>
      <w:r w:rsidR="00895248" w:rsidRPr="003F758F">
        <w:rPr>
          <w:iCs/>
          <w:lang w:val="fr-CA"/>
        </w:rPr>
        <w:t>l</w:t>
      </w:r>
      <w:r w:rsidR="00257C6E">
        <w:rPr>
          <w:iCs/>
          <w:lang w:val="fr-CA"/>
        </w:rPr>
        <w:t>’</w:t>
      </w:r>
      <w:r w:rsidR="00895248" w:rsidRPr="003F758F">
        <w:rPr>
          <w:iCs/>
          <w:lang w:val="fr-CA"/>
        </w:rPr>
        <w:t>information de séquençage numérique sur les ressources génétiques</w:t>
      </w:r>
      <w:r w:rsidR="00895248">
        <w:rPr>
          <w:kern w:val="22"/>
          <w:lang w:val="fr-CA"/>
        </w:rPr>
        <w:t xml:space="preserve"> </w:t>
      </w:r>
      <w:r w:rsidR="001B777D">
        <w:rPr>
          <w:kern w:val="22"/>
          <w:lang w:val="fr-CA"/>
        </w:rPr>
        <w:t>émanant</w:t>
      </w:r>
      <w:r w:rsidR="00DB0DF1">
        <w:rPr>
          <w:kern w:val="22"/>
          <w:lang w:val="fr-CA"/>
        </w:rPr>
        <w:t xml:space="preserve"> de l</w:t>
      </w:r>
      <w:r w:rsidR="00257C6E">
        <w:rPr>
          <w:kern w:val="22"/>
          <w:lang w:val="fr-CA"/>
        </w:rPr>
        <w:t>’</w:t>
      </w:r>
      <w:r w:rsidR="00DB0DF1">
        <w:rPr>
          <w:kern w:val="22"/>
          <w:lang w:val="fr-CA"/>
        </w:rPr>
        <w:t>accès seront partagés de manière juste et équitable</w:t>
      </w:r>
      <w:r w:rsidR="00DB0DF1" w:rsidRPr="00441D60">
        <w:rPr>
          <w:kern w:val="22"/>
          <w:szCs w:val="22"/>
          <w:lang w:val="fr-CA"/>
        </w:rPr>
        <w:t>;]</w:t>
      </w:r>
    </w:p>
    <w:p w:rsidR="000975BA" w:rsidRPr="00441D60" w:rsidRDefault="000975BA" w:rsidP="00AD6A03">
      <w:pPr>
        <w:suppressLineNumbers/>
        <w:suppressAutoHyphens/>
        <w:kinsoku w:val="0"/>
        <w:overflowPunct w:val="0"/>
        <w:autoSpaceDE w:val="0"/>
        <w:autoSpaceDN w:val="0"/>
        <w:adjustRightInd w:val="0"/>
        <w:snapToGrid w:val="0"/>
        <w:spacing w:before="120" w:after="120"/>
        <w:ind w:left="720" w:firstLine="720"/>
        <w:rPr>
          <w:kern w:val="22"/>
          <w:lang w:val="fr-CA"/>
        </w:rPr>
      </w:pPr>
      <w:r w:rsidRPr="00441D60">
        <w:rPr>
          <w:kern w:val="22"/>
          <w:lang w:val="fr-CA"/>
        </w:rPr>
        <w:t>[</w:t>
      </w:r>
      <w:r w:rsidR="006516C2" w:rsidRPr="00441D60">
        <w:rPr>
          <w:kern w:val="22"/>
          <w:lang w:val="fr-CA"/>
        </w:rPr>
        <w:t>14</w:t>
      </w:r>
      <w:r w:rsidRPr="00441D60">
        <w:rPr>
          <w:kern w:val="22"/>
          <w:lang w:val="fr-CA"/>
        </w:rPr>
        <w:t>.</w:t>
      </w:r>
      <w:r w:rsidRPr="00441D60">
        <w:rPr>
          <w:kern w:val="22"/>
          <w:lang w:val="fr-CA"/>
        </w:rPr>
        <w:tab/>
      </w:r>
      <w:r w:rsidR="001B777D">
        <w:rPr>
          <w:i/>
          <w:lang w:val="fr-CA"/>
        </w:rPr>
        <w:t>Reconnaît</w:t>
      </w:r>
      <w:r w:rsidR="001B777D" w:rsidRPr="003F758F">
        <w:rPr>
          <w:i/>
          <w:lang w:val="fr-CA"/>
        </w:rPr>
        <w:t xml:space="preserve"> également </w:t>
      </w:r>
      <w:r w:rsidR="001B777D" w:rsidRPr="003F758F">
        <w:rPr>
          <w:iCs/>
          <w:lang w:val="fr-CA"/>
        </w:rPr>
        <w:t>que, conformément à l</w:t>
      </w:r>
      <w:r w:rsidR="00257C6E">
        <w:rPr>
          <w:iCs/>
          <w:lang w:val="fr-CA"/>
        </w:rPr>
        <w:t>’</w:t>
      </w:r>
      <w:r w:rsidR="001B777D" w:rsidRPr="003F758F">
        <w:rPr>
          <w:iCs/>
          <w:lang w:val="fr-CA"/>
        </w:rPr>
        <w:t xml:space="preserve">article 15.2 de la </w:t>
      </w:r>
      <w:r w:rsidR="001B777D" w:rsidRPr="003F758F">
        <w:rPr>
          <w:lang w:val="fr-CA"/>
        </w:rPr>
        <w:t>Convention et à l</w:t>
      </w:r>
      <w:r w:rsidR="00257C6E">
        <w:rPr>
          <w:lang w:val="fr-CA"/>
        </w:rPr>
        <w:t>’</w:t>
      </w:r>
      <w:r w:rsidR="001B777D" w:rsidRPr="003F758F">
        <w:rPr>
          <w:lang w:val="fr-CA"/>
        </w:rPr>
        <w:t xml:space="preserve">article 8 du Protocole de Nagoya, </w:t>
      </w:r>
      <w:r w:rsidR="001B777D" w:rsidRPr="003F758F">
        <w:rPr>
          <w:iCs/>
          <w:lang w:val="fr-CA"/>
        </w:rPr>
        <w:t>l</w:t>
      </w:r>
      <w:r w:rsidR="00257C6E">
        <w:rPr>
          <w:iCs/>
          <w:lang w:val="fr-CA"/>
        </w:rPr>
        <w:t>’</w:t>
      </w:r>
      <w:r w:rsidR="001B777D" w:rsidRPr="003F758F">
        <w:rPr>
          <w:iCs/>
          <w:lang w:val="fr-CA"/>
        </w:rPr>
        <w:t>utilisation de l</w:t>
      </w:r>
      <w:r w:rsidR="00257C6E">
        <w:rPr>
          <w:iCs/>
          <w:lang w:val="fr-CA"/>
        </w:rPr>
        <w:t>’</w:t>
      </w:r>
      <w:r w:rsidR="001B777D" w:rsidRPr="003F758F">
        <w:rPr>
          <w:iCs/>
          <w:lang w:val="fr-CA"/>
        </w:rPr>
        <w:t>information de séquençage numérique sur les ressources génétiques</w:t>
      </w:r>
      <w:r w:rsidR="001B777D">
        <w:rPr>
          <w:iCs/>
          <w:lang w:val="fr-CA"/>
        </w:rPr>
        <w:t xml:space="preserve"> au titre de la recherche et</w:t>
      </w:r>
      <w:r w:rsidR="001B777D" w:rsidRPr="003F758F">
        <w:rPr>
          <w:iCs/>
          <w:lang w:val="fr-CA"/>
        </w:rPr>
        <w:t xml:space="preserve"> développement</w:t>
      </w:r>
      <w:r w:rsidR="001B777D">
        <w:rPr>
          <w:iCs/>
          <w:lang w:val="fr-CA"/>
        </w:rPr>
        <w:t xml:space="preserve"> non commercial</w:t>
      </w:r>
      <w:r w:rsidR="001B777D" w:rsidRPr="003F758F">
        <w:rPr>
          <w:iCs/>
          <w:lang w:val="fr-CA"/>
        </w:rPr>
        <w:t xml:space="preserve"> doit faire l</w:t>
      </w:r>
      <w:r w:rsidR="00257C6E">
        <w:rPr>
          <w:iCs/>
          <w:lang w:val="fr-CA"/>
        </w:rPr>
        <w:t>’</w:t>
      </w:r>
      <w:r w:rsidR="001B777D" w:rsidRPr="003F758F">
        <w:rPr>
          <w:iCs/>
          <w:lang w:val="fr-CA"/>
        </w:rPr>
        <w:t>objet de mesures simplifiées</w:t>
      </w:r>
      <w:r w:rsidR="002D6330">
        <w:rPr>
          <w:iCs/>
          <w:lang w:val="fr-CA"/>
        </w:rPr>
        <w:t xml:space="preserve"> conformes</w:t>
      </w:r>
      <w:r w:rsidR="001B777D">
        <w:rPr>
          <w:iCs/>
          <w:lang w:val="fr-CA"/>
        </w:rPr>
        <w:t xml:space="preserve"> aux lois nationales </w:t>
      </w:r>
      <w:r w:rsidR="001B777D" w:rsidRPr="00441D60">
        <w:rPr>
          <w:kern w:val="22"/>
          <w:lang w:val="fr-CA"/>
        </w:rPr>
        <w:t>[</w:t>
      </w:r>
      <w:r w:rsidR="001B777D">
        <w:rPr>
          <w:kern w:val="22"/>
          <w:lang w:val="fr-CA"/>
        </w:rPr>
        <w:t>en tenant compte de la nécessité d</w:t>
      </w:r>
      <w:r w:rsidR="00257C6E">
        <w:rPr>
          <w:kern w:val="22"/>
          <w:lang w:val="fr-CA"/>
        </w:rPr>
        <w:t>’</w:t>
      </w:r>
      <w:r w:rsidR="001B777D">
        <w:rPr>
          <w:kern w:val="22"/>
          <w:lang w:val="fr-CA"/>
        </w:rPr>
        <w:t>aborder tou</w:t>
      </w:r>
      <w:r w:rsidR="002D6330">
        <w:rPr>
          <w:kern w:val="22"/>
          <w:lang w:val="fr-CA"/>
        </w:rPr>
        <w:t>t</w:t>
      </w:r>
      <w:r w:rsidR="001B777D">
        <w:rPr>
          <w:kern w:val="22"/>
          <w:lang w:val="fr-CA"/>
        </w:rPr>
        <w:t xml:space="preserve"> changement d</w:t>
      </w:r>
      <w:r w:rsidR="00257C6E">
        <w:rPr>
          <w:kern w:val="22"/>
          <w:lang w:val="fr-CA"/>
        </w:rPr>
        <w:t>’</w:t>
      </w:r>
      <w:r w:rsidR="001B777D">
        <w:rPr>
          <w:kern w:val="22"/>
          <w:lang w:val="fr-CA"/>
        </w:rPr>
        <w:t>intention en matière de recherche et développement, soulignant que chaque Partie a le droit souverain de décider la ma</w:t>
      </w:r>
      <w:r w:rsidR="002D6330">
        <w:rPr>
          <w:kern w:val="22"/>
          <w:lang w:val="fr-CA"/>
        </w:rPr>
        <w:t xml:space="preserve">nière dont elle souhaite créer </w:t>
      </w:r>
      <w:r w:rsidR="00AD6A03">
        <w:rPr>
          <w:kern w:val="22"/>
          <w:lang w:val="fr-CA"/>
        </w:rPr>
        <w:t>d</w:t>
      </w:r>
      <w:r w:rsidR="001B777D">
        <w:rPr>
          <w:kern w:val="22"/>
          <w:lang w:val="fr-CA"/>
        </w:rPr>
        <w:t xml:space="preserve">es conditions </w:t>
      </w:r>
      <w:r w:rsidR="002D6330">
        <w:rPr>
          <w:kern w:val="22"/>
          <w:lang w:val="fr-CA"/>
        </w:rPr>
        <w:t>visant à</w:t>
      </w:r>
      <w:r w:rsidR="001B777D">
        <w:rPr>
          <w:kern w:val="22"/>
          <w:lang w:val="fr-CA"/>
        </w:rPr>
        <w:t xml:space="preserve"> promouvoir et encourager la recherche</w:t>
      </w:r>
      <w:r w:rsidR="001B777D" w:rsidRPr="00441D60">
        <w:rPr>
          <w:kern w:val="22"/>
          <w:lang w:val="fr-CA"/>
        </w:rPr>
        <w:t>];]</w:t>
      </w:r>
    </w:p>
    <w:p w:rsidR="000975BA" w:rsidRPr="00441D60" w:rsidRDefault="000975BA" w:rsidP="001F4404">
      <w:pPr>
        <w:suppressLineNumbers/>
        <w:suppressAutoHyphens/>
        <w:kinsoku w:val="0"/>
        <w:overflowPunct w:val="0"/>
        <w:autoSpaceDE w:val="0"/>
        <w:autoSpaceDN w:val="0"/>
        <w:adjustRightInd w:val="0"/>
        <w:snapToGrid w:val="0"/>
        <w:spacing w:before="120" w:after="120"/>
        <w:ind w:left="720" w:firstLine="720"/>
        <w:rPr>
          <w:kern w:val="22"/>
          <w:lang w:val="fr-CA"/>
        </w:rPr>
      </w:pPr>
      <w:r w:rsidRPr="00441D60">
        <w:rPr>
          <w:kern w:val="22"/>
          <w:lang w:val="fr-CA"/>
        </w:rPr>
        <w:t>[</w:t>
      </w:r>
      <w:r w:rsidR="006516C2" w:rsidRPr="00441D60">
        <w:rPr>
          <w:kern w:val="22"/>
          <w:lang w:val="fr-CA"/>
        </w:rPr>
        <w:t>15</w:t>
      </w:r>
      <w:r w:rsidRPr="00441D60">
        <w:rPr>
          <w:kern w:val="22"/>
          <w:lang w:val="fr-CA"/>
        </w:rPr>
        <w:t xml:space="preserve">. </w:t>
      </w:r>
      <w:r w:rsidRPr="00441D60">
        <w:rPr>
          <w:kern w:val="22"/>
          <w:lang w:val="fr-CA"/>
        </w:rPr>
        <w:tab/>
      </w:r>
      <w:r w:rsidR="001F4404" w:rsidRPr="00B61388">
        <w:rPr>
          <w:i/>
          <w:lang w:val="fr-CA"/>
        </w:rPr>
        <w:t>Invite</w:t>
      </w:r>
      <w:r w:rsidR="001F4404" w:rsidRPr="00B61388">
        <w:rPr>
          <w:iCs/>
          <w:lang w:val="fr-CA"/>
        </w:rPr>
        <w:t xml:space="preserve"> les </w:t>
      </w:r>
      <w:r w:rsidR="001F4404" w:rsidRPr="00B61388">
        <w:rPr>
          <w:lang w:val="fr-CA"/>
        </w:rPr>
        <w:t>Parties, les autres gouvernements, les peuples autochtones, les communautés locales, les organisations compétentes et les parties prenantes à faciliter l</w:t>
      </w:r>
      <w:r w:rsidR="00257C6E">
        <w:rPr>
          <w:lang w:val="fr-CA"/>
        </w:rPr>
        <w:t>’</w:t>
      </w:r>
      <w:r w:rsidR="001F4404" w:rsidRPr="00B61388">
        <w:rPr>
          <w:lang w:val="fr-CA"/>
        </w:rPr>
        <w:t>accès à l</w:t>
      </w:r>
      <w:r w:rsidR="00257C6E">
        <w:rPr>
          <w:lang w:val="fr-CA"/>
        </w:rPr>
        <w:t>’</w:t>
      </w:r>
      <w:r w:rsidR="001F4404" w:rsidRPr="00B61388">
        <w:rPr>
          <w:lang w:val="fr-CA"/>
        </w:rPr>
        <w:t xml:space="preserve">information de </w:t>
      </w:r>
      <w:r w:rsidR="001F4404" w:rsidRPr="00B61388">
        <w:rPr>
          <w:iCs/>
          <w:lang w:val="fr-CA"/>
        </w:rPr>
        <w:t xml:space="preserve">séquençage numérique, </w:t>
      </w:r>
      <w:r w:rsidR="001F4404" w:rsidRPr="00B61388">
        <w:rPr>
          <w:lang w:val="fr-CA"/>
        </w:rPr>
        <w:t xml:space="preserve">et à concourir aux échanges et aux utilisations de cette information </w:t>
      </w:r>
      <w:r w:rsidR="001F4404" w:rsidRPr="00441D60">
        <w:rPr>
          <w:kern w:val="22"/>
          <w:lang w:val="fr-CA"/>
        </w:rPr>
        <w:t>[</w:t>
      </w:r>
      <w:r w:rsidR="001F4404" w:rsidRPr="00B61388">
        <w:rPr>
          <w:iCs/>
          <w:lang w:val="fr-CA"/>
        </w:rPr>
        <w:t xml:space="preserve">afin de contribuer à la réalisation des trois objectifs de la </w:t>
      </w:r>
      <w:r w:rsidR="001F4404">
        <w:rPr>
          <w:lang w:val="fr-CA"/>
        </w:rPr>
        <w:t>Convention</w:t>
      </w:r>
      <w:r w:rsidR="001F4404" w:rsidRPr="00441D60">
        <w:rPr>
          <w:kern w:val="22"/>
          <w:lang w:val="fr-CA"/>
        </w:rPr>
        <w:t>]</w:t>
      </w:r>
      <w:r w:rsidR="001F4404">
        <w:rPr>
          <w:kern w:val="22"/>
          <w:lang w:val="fr-CA"/>
        </w:rPr>
        <w:t xml:space="preserve"> </w:t>
      </w:r>
      <w:r w:rsidR="001F4404" w:rsidRPr="00441D60">
        <w:rPr>
          <w:kern w:val="22"/>
          <w:lang w:val="fr-CA"/>
        </w:rPr>
        <w:t>[</w:t>
      </w:r>
      <w:r w:rsidR="001F4404" w:rsidRPr="00B61388">
        <w:rPr>
          <w:iCs/>
          <w:lang w:val="fr-CA"/>
        </w:rPr>
        <w:t xml:space="preserve">afin de contribuer à la réalisation des trois objectifs de la </w:t>
      </w:r>
      <w:r w:rsidR="001F4404" w:rsidRPr="00B61388">
        <w:rPr>
          <w:lang w:val="fr-CA"/>
        </w:rPr>
        <w:t>Convention, notamment la protection de la santé humaine, animale et végéta</w:t>
      </w:r>
      <w:r w:rsidR="001F4404">
        <w:rPr>
          <w:lang w:val="fr-CA"/>
        </w:rPr>
        <w:t>le et la sécurité alimentaire</w:t>
      </w:r>
      <w:r w:rsidR="001F4404" w:rsidRPr="00441D60">
        <w:rPr>
          <w:kern w:val="22"/>
          <w:lang w:val="fr-CA"/>
        </w:rPr>
        <w:t>]</w:t>
      </w:r>
      <w:r w:rsidR="009434E1" w:rsidRPr="009434E1">
        <w:rPr>
          <w:kern w:val="22"/>
          <w:lang w:val="fr-CA"/>
        </w:rPr>
        <w:t xml:space="preserve"> </w:t>
      </w:r>
      <w:r w:rsidR="009434E1" w:rsidRPr="00441D60">
        <w:rPr>
          <w:kern w:val="22"/>
          <w:lang w:val="fr-CA"/>
        </w:rPr>
        <w:t>[</w:t>
      </w:r>
      <w:r w:rsidR="001F4404" w:rsidRPr="00B61388">
        <w:rPr>
          <w:lang w:val="fr-CA"/>
        </w:rPr>
        <w:t>aux fins de la conservation de la diversité biologique, de l</w:t>
      </w:r>
      <w:r w:rsidR="00257C6E">
        <w:rPr>
          <w:lang w:val="fr-CA"/>
        </w:rPr>
        <w:t>’</w:t>
      </w:r>
      <w:r w:rsidR="001F4404" w:rsidRPr="00B61388">
        <w:rPr>
          <w:lang w:val="fr-CA"/>
        </w:rPr>
        <w:t>utilisation durable de ses éléments constitutifs, de la protection de la santé humaine, animale et végétale et de la sécurité alimentair</w:t>
      </w:r>
      <w:r w:rsidR="001F4404">
        <w:rPr>
          <w:lang w:val="fr-CA"/>
        </w:rPr>
        <w:t>e</w:t>
      </w:r>
      <w:r w:rsidR="001F4404" w:rsidRPr="00441D60">
        <w:rPr>
          <w:kern w:val="22"/>
          <w:lang w:val="fr-CA"/>
        </w:rPr>
        <w:t>];]</w:t>
      </w:r>
    </w:p>
    <w:p w:rsidR="000975BA" w:rsidRPr="00441D60" w:rsidRDefault="006516C2" w:rsidP="001F4404">
      <w:pPr>
        <w:suppressLineNumbers/>
        <w:suppressAutoHyphens/>
        <w:kinsoku w:val="0"/>
        <w:overflowPunct w:val="0"/>
        <w:autoSpaceDE w:val="0"/>
        <w:autoSpaceDN w:val="0"/>
        <w:adjustRightInd w:val="0"/>
        <w:snapToGrid w:val="0"/>
        <w:spacing w:before="120" w:after="120"/>
        <w:ind w:left="720" w:firstLine="720"/>
        <w:rPr>
          <w:kern w:val="22"/>
          <w:lang w:val="fr-CA"/>
        </w:rPr>
      </w:pPr>
      <w:r w:rsidRPr="00441D60">
        <w:rPr>
          <w:kern w:val="22"/>
          <w:lang w:val="fr-CA"/>
        </w:rPr>
        <w:t>16</w:t>
      </w:r>
      <w:r w:rsidR="000975BA" w:rsidRPr="00441D60">
        <w:rPr>
          <w:kern w:val="22"/>
          <w:lang w:val="fr-CA"/>
        </w:rPr>
        <w:t>.</w:t>
      </w:r>
      <w:r w:rsidR="000975BA" w:rsidRPr="00441D60">
        <w:rPr>
          <w:kern w:val="22"/>
          <w:lang w:val="fr-CA"/>
        </w:rPr>
        <w:tab/>
      </w:r>
      <w:r w:rsidR="001F4404" w:rsidRPr="003F758F">
        <w:rPr>
          <w:i/>
          <w:lang w:val="fr-CA"/>
        </w:rPr>
        <w:t>Invite</w:t>
      </w:r>
      <w:r w:rsidR="001F4404" w:rsidRPr="003F758F">
        <w:rPr>
          <w:iCs/>
          <w:lang w:val="fr-CA"/>
        </w:rPr>
        <w:t xml:space="preserve"> les </w:t>
      </w:r>
      <w:r w:rsidR="001F4404" w:rsidRPr="003F758F">
        <w:rPr>
          <w:lang w:val="fr-CA"/>
        </w:rPr>
        <w:t xml:space="preserve">Parties, les autres gouvernements, les peuples autochtones, les communautés locales et les parties prenantes concernées à présenter des points de vue et des informations susceptibles de </w:t>
      </w:r>
      <w:r w:rsidR="001F4404" w:rsidRPr="003F758F">
        <w:rPr>
          <w:szCs w:val="22"/>
          <w:lang w:val="fr-CA"/>
        </w:rPr>
        <w:t>clarifier le concept d</w:t>
      </w:r>
      <w:r w:rsidR="00257C6E">
        <w:rPr>
          <w:szCs w:val="22"/>
          <w:lang w:val="fr-CA"/>
        </w:rPr>
        <w:t>’</w:t>
      </w:r>
      <w:r w:rsidR="001F4404" w:rsidRPr="003F758F">
        <w:rPr>
          <w:szCs w:val="22"/>
          <w:lang w:val="fr-CA"/>
        </w:rPr>
        <w:t>information de séquençage numérique</w:t>
      </w:r>
      <w:r w:rsidR="000975BA" w:rsidRPr="00441D60">
        <w:rPr>
          <w:kern w:val="22"/>
          <w:lang w:val="fr-CA"/>
        </w:rPr>
        <w:t>;</w:t>
      </w:r>
    </w:p>
    <w:p w:rsidR="000975BA" w:rsidRPr="00441D60" w:rsidRDefault="006516C2" w:rsidP="001F4404">
      <w:pPr>
        <w:suppressLineNumbers/>
        <w:suppressAutoHyphens/>
        <w:kinsoku w:val="0"/>
        <w:overflowPunct w:val="0"/>
        <w:autoSpaceDE w:val="0"/>
        <w:autoSpaceDN w:val="0"/>
        <w:adjustRightInd w:val="0"/>
        <w:snapToGrid w:val="0"/>
        <w:spacing w:before="120" w:after="120"/>
        <w:ind w:left="720" w:firstLine="720"/>
        <w:rPr>
          <w:kern w:val="22"/>
          <w:lang w:val="fr-CA"/>
        </w:rPr>
      </w:pPr>
      <w:r w:rsidRPr="00441D60">
        <w:rPr>
          <w:kern w:val="22"/>
          <w:lang w:val="fr-CA"/>
        </w:rPr>
        <w:t>17</w:t>
      </w:r>
      <w:r w:rsidR="000975BA" w:rsidRPr="00441D60">
        <w:rPr>
          <w:kern w:val="22"/>
          <w:lang w:val="fr-CA"/>
        </w:rPr>
        <w:t>.</w:t>
      </w:r>
      <w:r w:rsidR="000975BA" w:rsidRPr="00441D60">
        <w:rPr>
          <w:kern w:val="22"/>
          <w:lang w:val="fr-CA"/>
        </w:rPr>
        <w:tab/>
      </w:r>
      <w:r w:rsidR="001F4404" w:rsidRPr="003F758F">
        <w:rPr>
          <w:i/>
          <w:lang w:val="fr-CA"/>
        </w:rPr>
        <w:t>Invite</w:t>
      </w:r>
      <w:r w:rsidR="001F4404" w:rsidRPr="003F758F">
        <w:rPr>
          <w:iCs/>
          <w:lang w:val="fr-CA"/>
        </w:rPr>
        <w:t xml:space="preserve"> les </w:t>
      </w:r>
      <w:r w:rsidR="001F4404" w:rsidRPr="003F758F">
        <w:rPr>
          <w:lang w:val="fr-CA"/>
        </w:rPr>
        <w:t xml:space="preserve">Parties et les autres gouvernements à présenter des informations sur la manière dont ils tiennent compte de </w:t>
      </w:r>
      <w:r w:rsidR="001F4404" w:rsidRPr="003F758F">
        <w:rPr>
          <w:szCs w:val="22"/>
          <w:lang w:val="fr-CA"/>
        </w:rPr>
        <w:t>l</w:t>
      </w:r>
      <w:r w:rsidR="00257C6E">
        <w:rPr>
          <w:szCs w:val="22"/>
          <w:lang w:val="fr-CA"/>
        </w:rPr>
        <w:t>’</w:t>
      </w:r>
      <w:r w:rsidR="001F4404" w:rsidRPr="003F758F">
        <w:rPr>
          <w:szCs w:val="22"/>
          <w:lang w:val="fr-CA"/>
        </w:rPr>
        <w:t>info</w:t>
      </w:r>
      <w:r w:rsidR="0014669C">
        <w:rPr>
          <w:szCs w:val="22"/>
          <w:lang w:val="fr-CA"/>
        </w:rPr>
        <w:t xml:space="preserve">rmation de séquençage numérique </w:t>
      </w:r>
      <w:r w:rsidR="001F4404" w:rsidRPr="003F758F">
        <w:rPr>
          <w:szCs w:val="22"/>
          <w:lang w:val="fr-CA"/>
        </w:rPr>
        <w:t>dans leurs dispositions législatives internes et les autres mesures relatives à l</w:t>
      </w:r>
      <w:r w:rsidR="00257C6E">
        <w:rPr>
          <w:szCs w:val="22"/>
          <w:lang w:val="fr-CA"/>
        </w:rPr>
        <w:t>’</w:t>
      </w:r>
      <w:r w:rsidR="001F4404" w:rsidRPr="003F758F">
        <w:rPr>
          <w:szCs w:val="22"/>
          <w:lang w:val="fr-CA"/>
        </w:rPr>
        <w:t>information de séquençage numérique sur les ressources génétiques</w:t>
      </w:r>
      <w:r w:rsidR="000975BA" w:rsidRPr="00441D60">
        <w:rPr>
          <w:kern w:val="22"/>
          <w:lang w:val="fr-CA"/>
        </w:rPr>
        <w:t>;</w:t>
      </w:r>
    </w:p>
    <w:p w:rsidR="000975BA" w:rsidRPr="00441D60" w:rsidRDefault="009D154A" w:rsidP="009206E6">
      <w:pPr>
        <w:suppressLineNumbers/>
        <w:suppressAutoHyphens/>
        <w:kinsoku w:val="0"/>
        <w:overflowPunct w:val="0"/>
        <w:autoSpaceDE w:val="0"/>
        <w:autoSpaceDN w:val="0"/>
        <w:adjustRightInd w:val="0"/>
        <w:snapToGrid w:val="0"/>
        <w:spacing w:before="120" w:after="120"/>
        <w:ind w:left="720" w:firstLine="720"/>
        <w:rPr>
          <w:kern w:val="22"/>
          <w:lang w:val="fr-CA"/>
        </w:rPr>
      </w:pPr>
      <w:r w:rsidRPr="00441D60">
        <w:rPr>
          <w:kern w:val="22"/>
          <w:lang w:val="fr-CA"/>
        </w:rPr>
        <w:t>[</w:t>
      </w:r>
      <w:r w:rsidR="000975BA" w:rsidRPr="00441D60">
        <w:rPr>
          <w:kern w:val="22"/>
          <w:lang w:val="fr-CA"/>
        </w:rPr>
        <w:t>1</w:t>
      </w:r>
      <w:r w:rsidR="006516C2" w:rsidRPr="00441D60">
        <w:rPr>
          <w:kern w:val="22"/>
          <w:lang w:val="fr-CA"/>
        </w:rPr>
        <w:t>8</w:t>
      </w:r>
      <w:r w:rsidR="000975BA" w:rsidRPr="00441D60">
        <w:rPr>
          <w:kern w:val="22"/>
          <w:lang w:val="fr-CA"/>
        </w:rPr>
        <w:t>.</w:t>
      </w:r>
      <w:r w:rsidR="000975BA" w:rsidRPr="00441D60">
        <w:rPr>
          <w:kern w:val="22"/>
          <w:lang w:val="fr-CA"/>
        </w:rPr>
        <w:tab/>
      </w:r>
      <w:r w:rsidR="009206E6" w:rsidRPr="003F758F">
        <w:rPr>
          <w:i/>
          <w:lang w:val="fr-CA"/>
        </w:rPr>
        <w:t>Décide</w:t>
      </w:r>
      <w:r w:rsidR="009206E6" w:rsidRPr="003F758F">
        <w:rPr>
          <w:iCs/>
          <w:lang w:val="fr-CA"/>
        </w:rPr>
        <w:t xml:space="preserve"> de créer un </w:t>
      </w:r>
      <w:r w:rsidR="009206E6" w:rsidRPr="00441D60">
        <w:rPr>
          <w:kern w:val="22"/>
          <w:lang w:val="fr-CA"/>
        </w:rPr>
        <w:t>[</w:t>
      </w:r>
      <w:r w:rsidR="009206E6" w:rsidRPr="003F758F">
        <w:rPr>
          <w:iCs/>
          <w:lang w:val="fr-CA"/>
        </w:rPr>
        <w:t>groupe spécial d</w:t>
      </w:r>
      <w:r w:rsidR="00257C6E">
        <w:rPr>
          <w:iCs/>
          <w:lang w:val="fr-CA"/>
        </w:rPr>
        <w:t>’</w:t>
      </w:r>
      <w:r w:rsidR="009206E6" w:rsidRPr="003F758F">
        <w:rPr>
          <w:iCs/>
          <w:lang w:val="fr-CA"/>
        </w:rPr>
        <w:t>experts techniques</w:t>
      </w:r>
      <w:r w:rsidR="009206E6" w:rsidRPr="003F758F">
        <w:rPr>
          <w:rStyle w:val="FootnoteReference"/>
          <w:lang w:val="fr-CA"/>
        </w:rPr>
        <w:footnoteReference w:id="4"/>
      </w:r>
      <w:r w:rsidR="009434E1" w:rsidRPr="009434E1">
        <w:rPr>
          <w:kern w:val="22"/>
          <w:lang w:val="fr-CA"/>
        </w:rPr>
        <w:t>]</w:t>
      </w:r>
      <w:r w:rsidR="009434E1" w:rsidRPr="00441D60">
        <w:rPr>
          <w:kern w:val="22"/>
          <w:lang w:val="fr-CA"/>
        </w:rPr>
        <w:t xml:space="preserve"> </w:t>
      </w:r>
      <w:r w:rsidR="009206E6" w:rsidRPr="00441D60">
        <w:rPr>
          <w:kern w:val="22"/>
          <w:lang w:val="fr-CA"/>
        </w:rPr>
        <w:t>[</w:t>
      </w:r>
      <w:r w:rsidR="009206E6">
        <w:rPr>
          <w:kern w:val="22"/>
          <w:lang w:val="fr-CA"/>
        </w:rPr>
        <w:t>groupe de travail à composition non limitée</w:t>
      </w:r>
      <w:r w:rsidR="009206E6" w:rsidRPr="00441D60">
        <w:rPr>
          <w:kern w:val="22"/>
          <w:lang w:val="fr-CA"/>
        </w:rPr>
        <w:t>]</w:t>
      </w:r>
      <w:r w:rsidR="009206E6">
        <w:rPr>
          <w:kern w:val="22"/>
          <w:lang w:val="fr-CA"/>
        </w:rPr>
        <w:t>,</w:t>
      </w:r>
      <w:r w:rsidR="009206E6" w:rsidRPr="00441D60">
        <w:rPr>
          <w:kern w:val="22"/>
          <w:lang w:val="fr-CA"/>
        </w:rPr>
        <w:t xml:space="preserve"> </w:t>
      </w:r>
      <w:r w:rsidR="009206E6" w:rsidRPr="003F758F">
        <w:rPr>
          <w:iCs/>
          <w:lang w:val="fr-CA"/>
        </w:rPr>
        <w:t xml:space="preserve">et </w:t>
      </w:r>
      <w:r w:rsidR="009206E6" w:rsidRPr="003F758F">
        <w:rPr>
          <w:i/>
          <w:lang w:val="fr-CA"/>
        </w:rPr>
        <w:t>prie</w:t>
      </w:r>
      <w:r w:rsidR="009206E6" w:rsidRPr="003F758F">
        <w:rPr>
          <w:iCs/>
          <w:lang w:val="fr-CA"/>
        </w:rPr>
        <w:t xml:space="preserve"> la Secrétaire exécutive, dans la limite des </w:t>
      </w:r>
      <w:r w:rsidR="009206E6" w:rsidRPr="003F758F">
        <w:rPr>
          <w:lang w:val="fr-CA"/>
        </w:rPr>
        <w:t>ressources financières disponibles,</w:t>
      </w:r>
      <w:r w:rsidR="009206E6" w:rsidRPr="003F758F">
        <w:rPr>
          <w:iCs/>
          <w:lang w:val="fr-CA"/>
        </w:rPr>
        <w:t xml:space="preserve"> de convoquer une réunion de ce groupe conformément au mandat figurant en annexe</w:t>
      </w:r>
      <w:r w:rsidR="009206E6" w:rsidRPr="00441D60">
        <w:rPr>
          <w:kern w:val="22"/>
          <w:lang w:val="fr-CA"/>
        </w:rPr>
        <w:t>;]</w:t>
      </w:r>
    </w:p>
    <w:p w:rsidR="000975BA" w:rsidRPr="00441D60" w:rsidRDefault="000975BA" w:rsidP="000E47B3">
      <w:pPr>
        <w:suppressLineNumbers/>
        <w:suppressAutoHyphens/>
        <w:kinsoku w:val="0"/>
        <w:overflowPunct w:val="0"/>
        <w:autoSpaceDE w:val="0"/>
        <w:autoSpaceDN w:val="0"/>
        <w:adjustRightInd w:val="0"/>
        <w:snapToGrid w:val="0"/>
        <w:spacing w:before="120" w:after="120"/>
        <w:ind w:left="720" w:firstLine="720"/>
        <w:rPr>
          <w:kern w:val="22"/>
          <w:lang w:val="fr-CA"/>
        </w:rPr>
      </w:pPr>
      <w:r w:rsidRPr="00441D60">
        <w:rPr>
          <w:kern w:val="22"/>
          <w:lang w:val="fr-CA"/>
        </w:rPr>
        <w:t>[1</w:t>
      </w:r>
      <w:r w:rsidR="006516C2" w:rsidRPr="00441D60">
        <w:rPr>
          <w:kern w:val="22"/>
          <w:lang w:val="fr-CA"/>
        </w:rPr>
        <w:t>9</w:t>
      </w:r>
      <w:r w:rsidRPr="00441D60">
        <w:rPr>
          <w:kern w:val="22"/>
          <w:lang w:val="fr-CA"/>
        </w:rPr>
        <w:t>.</w:t>
      </w:r>
      <w:r w:rsidRPr="00441D60">
        <w:rPr>
          <w:kern w:val="22"/>
          <w:lang w:val="fr-CA"/>
        </w:rPr>
        <w:tab/>
      </w:r>
      <w:r w:rsidR="00E2062E">
        <w:rPr>
          <w:i/>
          <w:iCs/>
          <w:kern w:val="22"/>
          <w:lang w:val="fr-CA"/>
        </w:rPr>
        <w:t>Décide</w:t>
      </w:r>
      <w:r w:rsidR="00E2062E">
        <w:rPr>
          <w:kern w:val="22"/>
          <w:lang w:val="fr-CA"/>
        </w:rPr>
        <w:t xml:space="preserve"> de créer un groupe de travail à composition non limitée pour élaborer des modalités relatives au partage de</w:t>
      </w:r>
      <w:r w:rsidR="008F7F8C">
        <w:rPr>
          <w:kern w:val="22"/>
          <w:lang w:val="fr-CA"/>
        </w:rPr>
        <w:t>s</w:t>
      </w:r>
      <w:r w:rsidR="00E2062E">
        <w:rPr>
          <w:kern w:val="22"/>
          <w:lang w:val="fr-CA"/>
        </w:rPr>
        <w:t xml:space="preserve"> avantages découlant de l</w:t>
      </w:r>
      <w:r w:rsidR="00257C6E">
        <w:rPr>
          <w:kern w:val="22"/>
          <w:lang w:val="fr-CA"/>
        </w:rPr>
        <w:t>’</w:t>
      </w:r>
      <w:r w:rsidR="00E2062E">
        <w:rPr>
          <w:kern w:val="22"/>
          <w:lang w:val="fr-CA"/>
        </w:rPr>
        <w:t>information de séquençage numérique</w:t>
      </w:r>
      <w:r w:rsidR="008F7F8C">
        <w:rPr>
          <w:kern w:val="22"/>
          <w:lang w:val="fr-CA"/>
        </w:rPr>
        <w:t>, notamment de possibles approches multilatérales et des approches impliquant des bases de données accessibles au public, en tenant compte du rapport du groupe spécial d</w:t>
      </w:r>
      <w:r w:rsidR="00257C6E">
        <w:rPr>
          <w:kern w:val="22"/>
          <w:lang w:val="fr-CA"/>
        </w:rPr>
        <w:t>’</w:t>
      </w:r>
      <w:r w:rsidR="008F7F8C">
        <w:rPr>
          <w:kern w:val="22"/>
          <w:lang w:val="fr-CA"/>
        </w:rPr>
        <w:t xml:space="preserve">experts techniques créé conformément au paragraphe 18 </w:t>
      </w:r>
      <w:r w:rsidR="008F7F8C">
        <w:rPr>
          <w:noProof/>
          <w:kern w:val="22"/>
          <w:lang w:val="fr-CA"/>
        </w:rPr>
        <w:t>ci</w:t>
      </w:r>
      <w:r w:rsidR="00257C6E">
        <w:rPr>
          <w:noProof/>
          <w:kern w:val="22"/>
          <w:lang w:val="fr-CA"/>
        </w:rPr>
        <w:noBreakHyphen/>
      </w:r>
      <w:r w:rsidR="008F7F8C">
        <w:rPr>
          <w:noProof/>
          <w:kern w:val="22"/>
          <w:lang w:val="fr-CA"/>
        </w:rPr>
        <w:t>dessus,</w:t>
      </w:r>
      <w:r w:rsidR="008F7F8C">
        <w:rPr>
          <w:kern w:val="22"/>
          <w:lang w:val="fr-CA"/>
        </w:rPr>
        <w:t xml:space="preserve"> qui se réunira au moins une fois au cours du prochain exercice biennal et qui fera rapport à la Conférence des Parties à sa quinzième réunio</w:t>
      </w:r>
      <w:r w:rsidR="0014669C">
        <w:rPr>
          <w:kern w:val="22"/>
          <w:lang w:val="fr-CA"/>
        </w:rPr>
        <w:t>n</w:t>
      </w:r>
      <w:r w:rsidR="0014669C" w:rsidRPr="00441D60">
        <w:rPr>
          <w:kern w:val="22"/>
          <w:lang w:val="fr-CA"/>
        </w:rPr>
        <w:t>;]</w:t>
      </w:r>
    </w:p>
    <w:p w:rsidR="000975BA" w:rsidRPr="00441D60" w:rsidRDefault="006516C2" w:rsidP="00C63F9F">
      <w:pPr>
        <w:suppressLineNumbers/>
        <w:suppressAutoHyphens/>
        <w:kinsoku w:val="0"/>
        <w:overflowPunct w:val="0"/>
        <w:autoSpaceDE w:val="0"/>
        <w:autoSpaceDN w:val="0"/>
        <w:adjustRightInd w:val="0"/>
        <w:snapToGrid w:val="0"/>
        <w:spacing w:before="120" w:after="120"/>
        <w:ind w:left="720" w:firstLine="720"/>
        <w:rPr>
          <w:kern w:val="22"/>
          <w:lang w:val="fr-CA"/>
        </w:rPr>
      </w:pPr>
      <w:r w:rsidRPr="00441D60">
        <w:rPr>
          <w:kern w:val="22"/>
          <w:lang w:val="fr-CA"/>
        </w:rPr>
        <w:t>20</w:t>
      </w:r>
      <w:r w:rsidR="000975BA" w:rsidRPr="00441D60">
        <w:rPr>
          <w:kern w:val="22"/>
          <w:lang w:val="fr-CA"/>
        </w:rPr>
        <w:t>.</w:t>
      </w:r>
      <w:r w:rsidR="000975BA" w:rsidRPr="00441D60">
        <w:rPr>
          <w:kern w:val="22"/>
          <w:lang w:val="fr-CA"/>
        </w:rPr>
        <w:tab/>
      </w:r>
      <w:r w:rsidR="00C63F9F" w:rsidRPr="003F758F">
        <w:rPr>
          <w:i/>
          <w:lang w:val="fr-CA"/>
        </w:rPr>
        <w:t>Prie</w:t>
      </w:r>
      <w:r w:rsidR="00C63F9F" w:rsidRPr="003F758F">
        <w:rPr>
          <w:iCs/>
          <w:lang w:val="fr-CA"/>
        </w:rPr>
        <w:t xml:space="preserve"> la Secrétaire exécutive, dans la limite des </w:t>
      </w:r>
      <w:r w:rsidR="00C63F9F" w:rsidRPr="003F758F">
        <w:rPr>
          <w:lang w:val="fr-CA"/>
        </w:rPr>
        <w:t>ressources financières disponibles, de :</w:t>
      </w:r>
    </w:p>
    <w:p w:rsidR="000975BA" w:rsidRPr="00441D60" w:rsidRDefault="000975BA" w:rsidP="00D0543A">
      <w:pPr>
        <w:suppressLineNumbers/>
        <w:suppressAutoHyphens/>
        <w:kinsoku w:val="0"/>
        <w:overflowPunct w:val="0"/>
        <w:autoSpaceDE w:val="0"/>
        <w:autoSpaceDN w:val="0"/>
        <w:adjustRightInd w:val="0"/>
        <w:snapToGrid w:val="0"/>
        <w:spacing w:before="120" w:after="120"/>
        <w:ind w:left="720" w:firstLine="720"/>
        <w:rPr>
          <w:i/>
          <w:kern w:val="22"/>
          <w:lang w:val="fr-CA"/>
        </w:rPr>
      </w:pPr>
      <w:r w:rsidRPr="00441D60">
        <w:rPr>
          <w:kern w:val="22"/>
          <w:lang w:val="fr-CA"/>
        </w:rPr>
        <w:t>a)</w:t>
      </w:r>
      <w:r w:rsidRPr="00441D60">
        <w:rPr>
          <w:kern w:val="22"/>
          <w:lang w:val="fr-CA"/>
        </w:rPr>
        <w:tab/>
      </w:r>
      <w:r w:rsidR="00D0543A" w:rsidRPr="003F758F">
        <w:rPr>
          <w:lang w:val="fr-CA"/>
        </w:rPr>
        <w:t>Compiler et faire la synthèse des points de vue et des informations présentés</w:t>
      </w:r>
      <w:r w:rsidRPr="00441D60">
        <w:rPr>
          <w:kern w:val="22"/>
          <w:lang w:val="fr-CA"/>
        </w:rPr>
        <w:t>;</w:t>
      </w:r>
    </w:p>
    <w:p w:rsidR="000975BA" w:rsidRPr="00441D60" w:rsidRDefault="009D154A" w:rsidP="00D0543A">
      <w:pPr>
        <w:suppressLineNumbers/>
        <w:suppressAutoHyphens/>
        <w:kinsoku w:val="0"/>
        <w:overflowPunct w:val="0"/>
        <w:autoSpaceDE w:val="0"/>
        <w:autoSpaceDN w:val="0"/>
        <w:adjustRightInd w:val="0"/>
        <w:snapToGrid w:val="0"/>
        <w:spacing w:before="120" w:after="120"/>
        <w:ind w:left="720" w:firstLine="720"/>
        <w:rPr>
          <w:kern w:val="22"/>
          <w:lang w:val="fr-CA"/>
        </w:rPr>
      </w:pPr>
      <w:r w:rsidRPr="00441D60">
        <w:rPr>
          <w:kern w:val="22"/>
          <w:lang w:val="fr-CA"/>
        </w:rPr>
        <w:lastRenderedPageBreak/>
        <w:t>[</w:t>
      </w:r>
      <w:proofErr w:type="gramStart"/>
      <w:r w:rsidR="000975BA" w:rsidRPr="00441D60">
        <w:rPr>
          <w:kern w:val="22"/>
          <w:lang w:val="fr-CA"/>
        </w:rPr>
        <w:t>b</w:t>
      </w:r>
      <w:proofErr w:type="gramEnd"/>
      <w:r w:rsidR="000975BA" w:rsidRPr="00441D60">
        <w:rPr>
          <w:kern w:val="22"/>
          <w:lang w:val="fr-CA"/>
        </w:rPr>
        <w:t>)</w:t>
      </w:r>
      <w:r w:rsidR="000975BA" w:rsidRPr="00441D60">
        <w:rPr>
          <w:kern w:val="22"/>
          <w:lang w:val="fr-CA"/>
        </w:rPr>
        <w:tab/>
      </w:r>
      <w:r w:rsidR="00D0543A" w:rsidRPr="003F758F">
        <w:rPr>
          <w:lang w:val="fr-CA"/>
        </w:rPr>
        <w:t>Commander une étude</w:t>
      </w:r>
      <w:r w:rsidR="00D0543A">
        <w:rPr>
          <w:lang w:val="fr-CA"/>
        </w:rPr>
        <w:t xml:space="preserve"> </w:t>
      </w:r>
      <w:r w:rsidR="00D0543A" w:rsidRPr="00441D60">
        <w:rPr>
          <w:kern w:val="22"/>
          <w:lang w:val="fr-CA"/>
        </w:rPr>
        <w:t>[</w:t>
      </w:r>
      <w:r w:rsidR="00D0543A">
        <w:rPr>
          <w:kern w:val="22"/>
          <w:lang w:val="fr-CA"/>
        </w:rPr>
        <w:t>évaluée par des pairs</w:t>
      </w:r>
      <w:r w:rsidR="00D0543A" w:rsidRPr="00441D60">
        <w:rPr>
          <w:kern w:val="22"/>
          <w:lang w:val="fr-CA"/>
        </w:rPr>
        <w:t xml:space="preserve">] </w:t>
      </w:r>
      <w:r w:rsidR="00D0543A" w:rsidRPr="003F758F">
        <w:rPr>
          <w:lang w:val="fr-CA"/>
        </w:rPr>
        <w:t>sur l</w:t>
      </w:r>
      <w:r w:rsidR="00257C6E">
        <w:rPr>
          <w:lang w:val="fr-CA"/>
        </w:rPr>
        <w:t>’</w:t>
      </w:r>
      <w:r w:rsidR="00D0543A" w:rsidRPr="003F758F">
        <w:rPr>
          <w:lang w:val="fr-CA"/>
        </w:rPr>
        <w:t>évolution en cours du domaine de la traçabilité, en incluant les moyens de prendre en compte cette dernière dans les bases de données, ainsi que la façon dont ces dernières peuvent éclairer les discussions relatives à l</w:t>
      </w:r>
      <w:r w:rsidR="00257C6E">
        <w:rPr>
          <w:lang w:val="fr-CA"/>
        </w:rPr>
        <w:t>’</w:t>
      </w:r>
      <w:r w:rsidR="00D0543A" w:rsidRPr="003F758F">
        <w:rPr>
          <w:lang w:val="fr-CA"/>
        </w:rPr>
        <w:t>information de séquençage numérique sur les ressources génétiques</w:t>
      </w:r>
      <w:r w:rsidR="00D0543A" w:rsidRPr="00441D60">
        <w:rPr>
          <w:kern w:val="22"/>
          <w:lang w:val="fr-CA"/>
        </w:rPr>
        <w:t>;]</w:t>
      </w:r>
    </w:p>
    <w:p w:rsidR="000975BA" w:rsidRPr="00441D60" w:rsidRDefault="009D154A" w:rsidP="00856721">
      <w:pPr>
        <w:suppressLineNumbers/>
        <w:suppressAutoHyphens/>
        <w:kinsoku w:val="0"/>
        <w:overflowPunct w:val="0"/>
        <w:autoSpaceDE w:val="0"/>
        <w:autoSpaceDN w:val="0"/>
        <w:adjustRightInd w:val="0"/>
        <w:snapToGrid w:val="0"/>
        <w:spacing w:before="120" w:after="120"/>
        <w:ind w:left="720" w:firstLine="720"/>
        <w:rPr>
          <w:i/>
          <w:kern w:val="22"/>
          <w:lang w:val="fr-CA"/>
        </w:rPr>
      </w:pPr>
      <w:r w:rsidRPr="00441D60">
        <w:rPr>
          <w:kern w:val="22"/>
          <w:lang w:val="fr-CA"/>
        </w:rPr>
        <w:t>[</w:t>
      </w:r>
      <w:r w:rsidR="000975BA" w:rsidRPr="00441D60">
        <w:rPr>
          <w:kern w:val="22"/>
          <w:lang w:val="fr-CA"/>
        </w:rPr>
        <w:t>c)</w:t>
      </w:r>
      <w:r w:rsidR="000975BA" w:rsidRPr="00441D60">
        <w:rPr>
          <w:kern w:val="22"/>
          <w:lang w:val="fr-CA"/>
        </w:rPr>
        <w:tab/>
      </w:r>
      <w:r w:rsidR="00593B79" w:rsidRPr="003F758F">
        <w:rPr>
          <w:lang w:val="fr-CA"/>
        </w:rPr>
        <w:t xml:space="preserve">Commander une étude </w:t>
      </w:r>
      <w:r w:rsidR="00593B79" w:rsidRPr="00441D60">
        <w:rPr>
          <w:kern w:val="22"/>
          <w:lang w:val="fr-CA"/>
        </w:rPr>
        <w:t>[</w:t>
      </w:r>
      <w:r w:rsidR="00593B79">
        <w:rPr>
          <w:kern w:val="22"/>
          <w:lang w:val="fr-CA"/>
        </w:rPr>
        <w:t>évaluée par des pairs</w:t>
      </w:r>
      <w:r w:rsidR="00593B79" w:rsidRPr="00441D60">
        <w:rPr>
          <w:kern w:val="22"/>
          <w:lang w:val="fr-CA"/>
        </w:rPr>
        <w:t xml:space="preserve">] </w:t>
      </w:r>
      <w:r w:rsidR="00593B79" w:rsidRPr="003F758F">
        <w:rPr>
          <w:lang w:val="fr-CA"/>
        </w:rPr>
        <w:t>sur le partage des avantages associés à l</w:t>
      </w:r>
      <w:r w:rsidR="00257C6E">
        <w:rPr>
          <w:lang w:val="fr-CA"/>
        </w:rPr>
        <w:t>’</w:t>
      </w:r>
      <w:r w:rsidR="00593B79" w:rsidRPr="003F758F">
        <w:rPr>
          <w:lang w:val="fr-CA"/>
        </w:rPr>
        <w:t>information de séquençage numérique, en incluant un examen des différentes formes choisies pour les avantages découlant des utilisations non commerciales et commerciales, et des incidences de la numérisation de l</w:t>
      </w:r>
      <w:r w:rsidR="00257C6E">
        <w:rPr>
          <w:lang w:val="fr-CA"/>
        </w:rPr>
        <w:t>’</w:t>
      </w:r>
      <w:r w:rsidR="00593B79" w:rsidRPr="003F758F">
        <w:rPr>
          <w:lang w:val="fr-CA"/>
        </w:rPr>
        <w:t>information sur le partage des avantages dans d</w:t>
      </w:r>
      <w:r w:rsidR="00257C6E">
        <w:rPr>
          <w:lang w:val="fr-CA"/>
        </w:rPr>
        <w:t>’</w:t>
      </w:r>
      <w:r w:rsidR="00593B79" w:rsidRPr="003F758F">
        <w:rPr>
          <w:lang w:val="fr-CA"/>
        </w:rPr>
        <w:t>autres secteurs, notamment les enseignements éventuels de l</w:t>
      </w:r>
      <w:r w:rsidR="00257C6E">
        <w:rPr>
          <w:lang w:val="fr-CA"/>
        </w:rPr>
        <w:t>’</w:t>
      </w:r>
      <w:r w:rsidR="00593B79" w:rsidRPr="003F758F">
        <w:rPr>
          <w:lang w:val="fr-CA"/>
        </w:rPr>
        <w:t>industrie de la musique, de l</w:t>
      </w:r>
      <w:r w:rsidR="00257C6E">
        <w:rPr>
          <w:lang w:val="fr-CA"/>
        </w:rPr>
        <w:t>’</w:t>
      </w:r>
      <w:r w:rsidR="00593B79" w:rsidRPr="003F758F">
        <w:rPr>
          <w:lang w:val="fr-CA"/>
        </w:rPr>
        <w:t>informatique, de l</w:t>
      </w:r>
      <w:r w:rsidR="00257C6E">
        <w:rPr>
          <w:lang w:val="fr-CA"/>
        </w:rPr>
        <w:t>’</w:t>
      </w:r>
      <w:r w:rsidR="00593B79" w:rsidRPr="003F758F">
        <w:rPr>
          <w:lang w:val="fr-CA"/>
        </w:rPr>
        <w:t>édition</w:t>
      </w:r>
      <w:r w:rsidR="00856721">
        <w:rPr>
          <w:lang w:val="fr-CA"/>
        </w:rPr>
        <w:t xml:space="preserve"> ainsi que d</w:t>
      </w:r>
      <w:r w:rsidR="00257C6E">
        <w:rPr>
          <w:lang w:val="fr-CA"/>
        </w:rPr>
        <w:t>’</w:t>
      </w:r>
      <w:r w:rsidR="00856721">
        <w:rPr>
          <w:lang w:val="fr-CA"/>
        </w:rPr>
        <w:t>autres industries</w:t>
      </w:r>
      <w:r w:rsidR="00856721" w:rsidRPr="00441D60">
        <w:rPr>
          <w:kern w:val="22"/>
          <w:lang w:val="fr-CA"/>
        </w:rPr>
        <w:t>;]</w:t>
      </w:r>
    </w:p>
    <w:p w:rsidR="000975BA" w:rsidRPr="00441D60" w:rsidRDefault="000975BA" w:rsidP="00856721">
      <w:pPr>
        <w:suppressLineNumbers/>
        <w:suppressAutoHyphens/>
        <w:kinsoku w:val="0"/>
        <w:overflowPunct w:val="0"/>
        <w:autoSpaceDE w:val="0"/>
        <w:autoSpaceDN w:val="0"/>
        <w:adjustRightInd w:val="0"/>
        <w:snapToGrid w:val="0"/>
        <w:spacing w:before="120" w:after="120"/>
        <w:ind w:left="720" w:firstLine="720"/>
        <w:rPr>
          <w:kern w:val="22"/>
          <w:lang w:val="fr-CA"/>
        </w:rPr>
      </w:pPr>
      <w:r w:rsidRPr="00441D60">
        <w:rPr>
          <w:kern w:val="22"/>
          <w:lang w:val="fr-CA"/>
        </w:rPr>
        <w:t>d)</w:t>
      </w:r>
      <w:r w:rsidRPr="00441D60">
        <w:rPr>
          <w:kern w:val="22"/>
          <w:lang w:val="fr-CA"/>
        </w:rPr>
        <w:tab/>
      </w:r>
      <w:r w:rsidR="00856721">
        <w:rPr>
          <w:lang w:val="fr-CA"/>
        </w:rPr>
        <w:t>Mettre les</w:t>
      </w:r>
      <w:r w:rsidR="00856721" w:rsidRPr="003F758F">
        <w:rPr>
          <w:lang w:val="fr-CA"/>
        </w:rPr>
        <w:t xml:space="preserve"> études et </w:t>
      </w:r>
      <w:r w:rsidR="00856721">
        <w:rPr>
          <w:lang w:val="fr-CA"/>
        </w:rPr>
        <w:t>l</w:t>
      </w:r>
      <w:r w:rsidR="00856721" w:rsidRPr="003F758F">
        <w:rPr>
          <w:lang w:val="fr-CA"/>
        </w:rPr>
        <w:t>es compilations des points de vue</w:t>
      </w:r>
      <w:r w:rsidR="00856721">
        <w:rPr>
          <w:lang w:val="fr-CA"/>
        </w:rPr>
        <w:t xml:space="preserve"> à la disposition des Parties et</w:t>
      </w:r>
      <w:r w:rsidR="00856721" w:rsidRPr="003F758F">
        <w:rPr>
          <w:lang w:val="fr-CA"/>
        </w:rPr>
        <w:t xml:space="preserve"> </w:t>
      </w:r>
      <w:r w:rsidR="00856721">
        <w:rPr>
          <w:lang w:val="fr-CA"/>
        </w:rPr>
        <w:t xml:space="preserve">du </w:t>
      </w:r>
      <w:r w:rsidR="00856721" w:rsidRPr="003F758F">
        <w:rPr>
          <w:lang w:val="fr-CA"/>
        </w:rPr>
        <w:t>groupe spécial d</w:t>
      </w:r>
      <w:r w:rsidR="00257C6E">
        <w:rPr>
          <w:lang w:val="fr-CA"/>
        </w:rPr>
        <w:t>’</w:t>
      </w:r>
      <w:r w:rsidR="00856721" w:rsidRPr="003F758F">
        <w:rPr>
          <w:lang w:val="fr-CA"/>
        </w:rPr>
        <w:t>experts technique</w:t>
      </w:r>
      <w:r w:rsidR="00856721">
        <w:rPr>
          <w:lang w:val="fr-CA"/>
        </w:rPr>
        <w:t xml:space="preserve"> pour sa considération;</w:t>
      </w:r>
    </w:p>
    <w:p w:rsidR="000975BA" w:rsidRPr="00441D60" w:rsidRDefault="000975BA" w:rsidP="00856721">
      <w:pPr>
        <w:suppressLineNumbers/>
        <w:suppressAutoHyphens/>
        <w:kinsoku w:val="0"/>
        <w:overflowPunct w:val="0"/>
        <w:autoSpaceDE w:val="0"/>
        <w:autoSpaceDN w:val="0"/>
        <w:adjustRightInd w:val="0"/>
        <w:snapToGrid w:val="0"/>
        <w:spacing w:before="120" w:after="120"/>
        <w:ind w:left="720" w:firstLine="720"/>
        <w:rPr>
          <w:i/>
          <w:kern w:val="22"/>
          <w:lang w:val="fr-CA"/>
        </w:rPr>
      </w:pPr>
      <w:r w:rsidRPr="00441D60">
        <w:rPr>
          <w:kern w:val="22"/>
          <w:lang w:val="fr-CA"/>
        </w:rPr>
        <w:t>e)</w:t>
      </w:r>
      <w:r w:rsidRPr="00441D60">
        <w:rPr>
          <w:kern w:val="22"/>
          <w:lang w:val="fr-CA"/>
        </w:rPr>
        <w:tab/>
      </w:r>
      <w:r w:rsidR="00856721" w:rsidRPr="003F758F">
        <w:rPr>
          <w:lang w:val="fr-CA"/>
        </w:rPr>
        <w:t>Convoquer une discussion en ligne à composition non limitée en l</w:t>
      </w:r>
      <w:r w:rsidR="00257C6E">
        <w:rPr>
          <w:lang w:val="fr-CA"/>
        </w:rPr>
        <w:t>’</w:t>
      </w:r>
      <w:r w:rsidR="00856721" w:rsidRPr="003F758F">
        <w:rPr>
          <w:lang w:val="fr-CA"/>
        </w:rPr>
        <w:t>encadrant, afin d</w:t>
      </w:r>
      <w:r w:rsidR="00257C6E">
        <w:rPr>
          <w:lang w:val="fr-CA"/>
        </w:rPr>
        <w:t>’</w:t>
      </w:r>
      <w:r w:rsidR="00856721" w:rsidRPr="003F758F">
        <w:rPr>
          <w:lang w:val="fr-CA"/>
        </w:rPr>
        <w:t>appuyer les travaux effectués par le groupe spécial d</w:t>
      </w:r>
      <w:r w:rsidR="00257C6E">
        <w:rPr>
          <w:lang w:val="fr-CA"/>
        </w:rPr>
        <w:t>’</w:t>
      </w:r>
      <w:r w:rsidR="00856721" w:rsidRPr="003F758F">
        <w:rPr>
          <w:lang w:val="fr-CA"/>
        </w:rPr>
        <w:t xml:space="preserve">experts techniques créé au paragraphe 10 </w:t>
      </w:r>
      <w:r w:rsidR="00856721" w:rsidRPr="003F758F">
        <w:rPr>
          <w:noProof/>
          <w:lang w:val="fr-CA"/>
        </w:rPr>
        <w:t>ci</w:t>
      </w:r>
      <w:r w:rsidR="00257C6E">
        <w:rPr>
          <w:noProof/>
          <w:lang w:val="fr-CA"/>
        </w:rPr>
        <w:noBreakHyphen/>
      </w:r>
      <w:r w:rsidR="00856721" w:rsidRPr="003F758F">
        <w:rPr>
          <w:noProof/>
          <w:lang w:val="fr-CA"/>
        </w:rPr>
        <w:t>dessus au titre de son</w:t>
      </w:r>
      <w:r w:rsidR="00856721" w:rsidRPr="003F758F">
        <w:rPr>
          <w:lang w:val="fr-CA"/>
        </w:rPr>
        <w:t xml:space="preserve"> mandat</w:t>
      </w:r>
      <w:r w:rsidRPr="00441D60">
        <w:rPr>
          <w:kern w:val="22"/>
          <w:lang w:val="fr-CA"/>
        </w:rPr>
        <w:t>;</w:t>
      </w:r>
    </w:p>
    <w:p w:rsidR="000975BA" w:rsidRPr="00441D60" w:rsidRDefault="000975BA" w:rsidP="00C52EC4">
      <w:pPr>
        <w:suppressLineNumbers/>
        <w:suppressAutoHyphens/>
        <w:kinsoku w:val="0"/>
        <w:overflowPunct w:val="0"/>
        <w:autoSpaceDE w:val="0"/>
        <w:autoSpaceDN w:val="0"/>
        <w:adjustRightInd w:val="0"/>
        <w:snapToGrid w:val="0"/>
        <w:spacing w:before="120" w:after="120"/>
        <w:ind w:left="709" w:firstLine="567"/>
        <w:rPr>
          <w:kern w:val="22"/>
          <w:lang w:val="fr-CA"/>
        </w:rPr>
      </w:pPr>
      <w:r w:rsidRPr="00441D60">
        <w:rPr>
          <w:kern w:val="22"/>
          <w:lang w:val="fr-CA"/>
        </w:rPr>
        <w:t>[</w:t>
      </w:r>
      <w:r w:rsidR="006516C2" w:rsidRPr="00441D60">
        <w:rPr>
          <w:kern w:val="22"/>
          <w:lang w:val="fr-CA"/>
        </w:rPr>
        <w:t>21</w:t>
      </w:r>
      <w:r w:rsidRPr="00441D60">
        <w:rPr>
          <w:kern w:val="22"/>
          <w:lang w:val="fr-CA"/>
        </w:rPr>
        <w:t>.</w:t>
      </w:r>
      <w:r w:rsidRPr="00441D60">
        <w:rPr>
          <w:kern w:val="22"/>
          <w:lang w:val="fr-CA"/>
        </w:rPr>
        <w:tab/>
      </w:r>
      <w:r w:rsidR="00C52EC4" w:rsidRPr="003F758F">
        <w:rPr>
          <w:i/>
          <w:lang w:val="fr-CA"/>
        </w:rPr>
        <w:t>Prie</w:t>
      </w:r>
      <w:r w:rsidR="00C52EC4" w:rsidRPr="003F758F">
        <w:rPr>
          <w:iCs/>
          <w:lang w:val="fr-CA"/>
        </w:rPr>
        <w:t xml:space="preserve"> l</w:t>
      </w:r>
      <w:r w:rsidR="00257C6E">
        <w:rPr>
          <w:iCs/>
          <w:lang w:val="fr-CA"/>
        </w:rPr>
        <w:t>’</w:t>
      </w:r>
      <w:r w:rsidR="00C52EC4" w:rsidRPr="003F758F">
        <w:rPr>
          <w:iCs/>
          <w:lang w:val="fr-CA"/>
        </w:rPr>
        <w:t>Organe subsidiaire chargé de fournir des avis scientifiques, techniques et technologiques d</w:t>
      </w:r>
      <w:r w:rsidR="00257C6E">
        <w:rPr>
          <w:iCs/>
          <w:lang w:val="fr-CA"/>
        </w:rPr>
        <w:t>’</w:t>
      </w:r>
      <w:r w:rsidR="00C52EC4" w:rsidRPr="003F758F">
        <w:rPr>
          <w:iCs/>
          <w:lang w:val="fr-CA"/>
        </w:rPr>
        <w:t>examiner les résultats du groupe spécial d</w:t>
      </w:r>
      <w:r w:rsidR="00257C6E">
        <w:rPr>
          <w:iCs/>
          <w:lang w:val="fr-CA"/>
        </w:rPr>
        <w:t>’</w:t>
      </w:r>
      <w:r w:rsidR="00C52EC4" w:rsidRPr="003F758F">
        <w:rPr>
          <w:iCs/>
          <w:lang w:val="fr-CA"/>
        </w:rPr>
        <w:t>experts techniques, et de formuler une recommandation aux fins d</w:t>
      </w:r>
      <w:r w:rsidR="00257C6E">
        <w:rPr>
          <w:iCs/>
          <w:lang w:val="fr-CA"/>
        </w:rPr>
        <w:t>’</w:t>
      </w:r>
      <w:r w:rsidR="00C52EC4" w:rsidRPr="003F758F">
        <w:rPr>
          <w:iCs/>
          <w:lang w:val="fr-CA"/>
        </w:rPr>
        <w:t>examen par la Conférence des Parties à sa quinzième réunion</w:t>
      </w:r>
      <w:r w:rsidRPr="00441D60">
        <w:rPr>
          <w:kern w:val="22"/>
          <w:lang w:val="fr-CA"/>
        </w:rPr>
        <w:t>;]</w:t>
      </w:r>
    </w:p>
    <w:p w:rsidR="000975BA" w:rsidRPr="00441D60" w:rsidRDefault="006516C2" w:rsidP="00C52EC4">
      <w:pPr>
        <w:suppressLineNumbers/>
        <w:suppressAutoHyphens/>
        <w:kinsoku w:val="0"/>
        <w:overflowPunct w:val="0"/>
        <w:autoSpaceDE w:val="0"/>
        <w:autoSpaceDN w:val="0"/>
        <w:adjustRightInd w:val="0"/>
        <w:snapToGrid w:val="0"/>
        <w:spacing w:before="120" w:after="120"/>
        <w:ind w:left="709" w:firstLine="567"/>
        <w:rPr>
          <w:kern w:val="22"/>
          <w:lang w:val="fr-CA"/>
        </w:rPr>
      </w:pPr>
      <w:r w:rsidRPr="00441D60">
        <w:rPr>
          <w:kern w:val="22"/>
          <w:lang w:val="fr-CA"/>
        </w:rPr>
        <w:t>22</w:t>
      </w:r>
      <w:r w:rsidR="000975BA" w:rsidRPr="00441D60">
        <w:rPr>
          <w:kern w:val="22"/>
          <w:lang w:val="fr-CA"/>
        </w:rPr>
        <w:t>.</w:t>
      </w:r>
      <w:r w:rsidR="000975BA" w:rsidRPr="00441D60">
        <w:rPr>
          <w:kern w:val="22"/>
          <w:lang w:val="fr-CA"/>
        </w:rPr>
        <w:tab/>
      </w:r>
      <w:r w:rsidR="00C52EC4" w:rsidRPr="003F758F">
        <w:rPr>
          <w:i/>
          <w:lang w:val="fr-CA"/>
        </w:rPr>
        <w:t>Constat</w:t>
      </w:r>
      <w:r w:rsidR="00C52EC4">
        <w:rPr>
          <w:i/>
          <w:lang w:val="fr-CA"/>
        </w:rPr>
        <w:t>e</w:t>
      </w:r>
      <w:r w:rsidR="00C52EC4" w:rsidRPr="003F758F">
        <w:rPr>
          <w:i/>
          <w:lang w:val="fr-CA"/>
        </w:rPr>
        <w:t xml:space="preserve"> </w:t>
      </w:r>
      <w:r w:rsidR="00C52EC4" w:rsidRPr="003F758F">
        <w:rPr>
          <w:iCs/>
          <w:lang w:val="fr-CA"/>
        </w:rPr>
        <w:t>que la production, l</w:t>
      </w:r>
      <w:r w:rsidR="00257C6E">
        <w:rPr>
          <w:iCs/>
          <w:lang w:val="fr-CA"/>
        </w:rPr>
        <w:t>’</w:t>
      </w:r>
      <w:r w:rsidR="00C52EC4" w:rsidRPr="003F758F">
        <w:rPr>
          <w:iCs/>
          <w:lang w:val="fr-CA"/>
        </w:rPr>
        <w:t>utilisation et la gestion de l</w:t>
      </w:r>
      <w:r w:rsidR="00257C6E">
        <w:rPr>
          <w:iCs/>
          <w:lang w:val="fr-CA"/>
        </w:rPr>
        <w:t>’</w:t>
      </w:r>
      <w:r w:rsidR="00C52EC4" w:rsidRPr="003F758F">
        <w:rPr>
          <w:iCs/>
          <w:lang w:val="fr-CA"/>
        </w:rPr>
        <w:t>information de séquençage numérique sont dynamiques et influencées par les évolutions technologiques et scientifiques,</w:t>
      </w:r>
      <w:r w:rsidR="00C52EC4">
        <w:rPr>
          <w:iCs/>
          <w:lang w:val="fr-CA"/>
        </w:rPr>
        <w:t xml:space="preserve"> et</w:t>
      </w:r>
      <w:r w:rsidR="00C52EC4" w:rsidRPr="003F758F">
        <w:rPr>
          <w:iCs/>
          <w:lang w:val="fr-CA"/>
        </w:rPr>
        <w:t xml:space="preserve"> </w:t>
      </w:r>
      <w:r w:rsidR="00C52EC4" w:rsidRPr="003F758F">
        <w:rPr>
          <w:i/>
          <w:lang w:val="fr-CA"/>
        </w:rPr>
        <w:t>note</w:t>
      </w:r>
      <w:r w:rsidR="00C52EC4" w:rsidRPr="003F758F">
        <w:rPr>
          <w:iCs/>
          <w:lang w:val="fr-CA"/>
        </w:rPr>
        <w:t xml:space="preserve"> qu</w:t>
      </w:r>
      <w:r w:rsidR="00257C6E">
        <w:rPr>
          <w:iCs/>
          <w:lang w:val="fr-CA"/>
        </w:rPr>
        <w:t>’</w:t>
      </w:r>
      <w:r w:rsidR="00C52EC4" w:rsidRPr="003F758F">
        <w:rPr>
          <w:iCs/>
          <w:lang w:val="fr-CA"/>
        </w:rPr>
        <w:t>il est nécessaire d</w:t>
      </w:r>
      <w:r w:rsidR="00257C6E">
        <w:rPr>
          <w:iCs/>
          <w:lang w:val="fr-CA"/>
        </w:rPr>
        <w:t>’</w:t>
      </w:r>
      <w:r w:rsidR="00C52EC4" w:rsidRPr="003F758F">
        <w:rPr>
          <w:iCs/>
          <w:lang w:val="fr-CA"/>
        </w:rPr>
        <w:t>analyser de manière prospective et régulière les faits survenant dans le domaine de l</w:t>
      </w:r>
      <w:r w:rsidR="00257C6E">
        <w:rPr>
          <w:iCs/>
          <w:lang w:val="fr-CA"/>
        </w:rPr>
        <w:t>’</w:t>
      </w:r>
      <w:r w:rsidR="00C52EC4" w:rsidRPr="003F758F">
        <w:rPr>
          <w:iCs/>
          <w:lang w:val="fr-CA"/>
        </w:rPr>
        <w:t>information de séquençage numérique sur les ressources génétiques, aux fins d</w:t>
      </w:r>
      <w:r w:rsidR="00257C6E">
        <w:rPr>
          <w:iCs/>
          <w:lang w:val="fr-CA"/>
        </w:rPr>
        <w:t>’</w:t>
      </w:r>
      <w:r w:rsidR="00C52EC4" w:rsidRPr="003F758F">
        <w:rPr>
          <w:iCs/>
          <w:lang w:val="fr-CA"/>
        </w:rPr>
        <w:t xml:space="preserve">examiner leurs répercussions potentielles sur les objectifs de la </w:t>
      </w:r>
      <w:r w:rsidR="00C52EC4" w:rsidRPr="003F758F">
        <w:rPr>
          <w:lang w:val="fr-CA"/>
        </w:rPr>
        <w:t>Convention et du Protocole de Nagoya</w:t>
      </w:r>
      <w:r w:rsidR="00C52EC4">
        <w:rPr>
          <w:lang w:val="fr-CA"/>
        </w:rPr>
        <w:t>;</w:t>
      </w:r>
    </w:p>
    <w:p w:rsidR="000975BA" w:rsidRPr="00441D60" w:rsidRDefault="006516C2" w:rsidP="003755CB">
      <w:pPr>
        <w:suppressLineNumbers/>
        <w:suppressAutoHyphens/>
        <w:kinsoku w:val="0"/>
        <w:overflowPunct w:val="0"/>
        <w:autoSpaceDE w:val="0"/>
        <w:autoSpaceDN w:val="0"/>
        <w:adjustRightInd w:val="0"/>
        <w:snapToGrid w:val="0"/>
        <w:spacing w:before="120" w:after="360"/>
        <w:ind w:left="709" w:firstLine="567"/>
        <w:rPr>
          <w:i/>
          <w:kern w:val="22"/>
          <w:lang w:val="fr-CA"/>
        </w:rPr>
      </w:pPr>
      <w:r w:rsidRPr="00441D60">
        <w:rPr>
          <w:kern w:val="22"/>
          <w:lang w:val="fr-CA"/>
        </w:rPr>
        <w:t>23</w:t>
      </w:r>
      <w:r w:rsidR="000975BA" w:rsidRPr="00441D60">
        <w:rPr>
          <w:kern w:val="22"/>
          <w:lang w:val="fr-CA"/>
        </w:rPr>
        <w:t>.</w:t>
      </w:r>
      <w:r w:rsidR="000975BA" w:rsidRPr="00441D60">
        <w:rPr>
          <w:kern w:val="22"/>
          <w:lang w:val="fr-CA"/>
        </w:rPr>
        <w:tab/>
      </w:r>
      <w:r w:rsidR="00D84F7B">
        <w:rPr>
          <w:i/>
          <w:lang w:val="fr-CA"/>
        </w:rPr>
        <w:t>Note</w:t>
      </w:r>
      <w:r w:rsidR="00D84F7B" w:rsidRPr="003F758F">
        <w:rPr>
          <w:iCs/>
          <w:lang w:val="fr-CA"/>
        </w:rPr>
        <w:t xml:space="preserve"> que la question de l</w:t>
      </w:r>
      <w:r w:rsidR="00257C6E">
        <w:rPr>
          <w:iCs/>
          <w:lang w:val="fr-CA"/>
        </w:rPr>
        <w:t>’</w:t>
      </w:r>
      <w:r w:rsidR="00D84F7B" w:rsidRPr="003F758F">
        <w:rPr>
          <w:iCs/>
          <w:lang w:val="fr-CA"/>
        </w:rPr>
        <w:t xml:space="preserve">information de séquençage numérique sur les ressources génétiques est actuellement examinée dans plusieurs instances </w:t>
      </w:r>
      <w:r w:rsidR="00D84F7B" w:rsidRPr="003F758F">
        <w:rPr>
          <w:lang w:val="fr-CA"/>
        </w:rPr>
        <w:t>internationales,</w:t>
      </w:r>
      <w:r w:rsidR="00D84F7B">
        <w:rPr>
          <w:lang w:val="fr-CA"/>
        </w:rPr>
        <w:t xml:space="preserve"> et</w:t>
      </w:r>
      <w:r w:rsidR="00D84F7B" w:rsidRPr="003F758F">
        <w:rPr>
          <w:lang w:val="fr-CA"/>
        </w:rPr>
        <w:t xml:space="preserve"> </w:t>
      </w:r>
      <w:r w:rsidR="00D84F7B" w:rsidRPr="003F758F">
        <w:rPr>
          <w:i/>
          <w:iCs/>
          <w:lang w:val="fr-CA"/>
        </w:rPr>
        <w:t>prie</w:t>
      </w:r>
      <w:r w:rsidR="00D84F7B" w:rsidRPr="003F758F">
        <w:rPr>
          <w:lang w:val="fr-CA"/>
        </w:rPr>
        <w:t xml:space="preserve"> la Secrétaire exécutive de continuer à participer et à collaborer aux procédures et débats de politique générale perti</w:t>
      </w:r>
      <w:r w:rsidR="006817B4">
        <w:rPr>
          <w:lang w:val="fr-CA"/>
        </w:rPr>
        <w:t>nents en cours, afin de recueilli</w:t>
      </w:r>
      <w:r w:rsidR="00D84F7B" w:rsidRPr="003F758F">
        <w:rPr>
          <w:lang w:val="fr-CA"/>
        </w:rPr>
        <w:t>r des informations sur les échanges relatifs à l</w:t>
      </w:r>
      <w:r w:rsidR="00257C6E">
        <w:rPr>
          <w:lang w:val="fr-CA"/>
        </w:rPr>
        <w:t>’</w:t>
      </w:r>
      <w:r w:rsidR="00D84F7B" w:rsidRPr="003F758F">
        <w:rPr>
          <w:lang w:val="fr-CA"/>
        </w:rPr>
        <w:t>utilisation de cette information qui présentent un intérêt pour la Convention et le Protocole de Nagoya.</w:t>
      </w:r>
    </w:p>
    <w:p w:rsidR="000975BA" w:rsidRPr="00441D60" w:rsidRDefault="000975BA" w:rsidP="00E46A38">
      <w:pPr>
        <w:pStyle w:val="ListParagraph"/>
        <w:suppressLineNumbers/>
        <w:suppressAutoHyphens/>
        <w:kinsoku w:val="0"/>
        <w:overflowPunct w:val="0"/>
        <w:autoSpaceDE w:val="0"/>
        <w:autoSpaceDN w:val="0"/>
        <w:adjustRightInd w:val="0"/>
        <w:snapToGrid w:val="0"/>
        <w:spacing w:before="120" w:after="120"/>
        <w:contextualSpacing w:val="0"/>
        <w:jc w:val="center"/>
        <w:rPr>
          <w:i/>
          <w:kern w:val="22"/>
          <w:lang w:val="fr-CA"/>
        </w:rPr>
      </w:pPr>
      <w:r w:rsidRPr="00441D60">
        <w:rPr>
          <w:kern w:val="22"/>
          <w:lang w:val="fr-CA"/>
        </w:rPr>
        <w:t>[</w:t>
      </w:r>
      <w:r w:rsidRPr="00441D60">
        <w:rPr>
          <w:i/>
          <w:kern w:val="22"/>
          <w:lang w:val="fr-CA"/>
        </w:rPr>
        <w:t>Annex</w:t>
      </w:r>
      <w:r w:rsidR="00D84F7B">
        <w:rPr>
          <w:i/>
          <w:kern w:val="22"/>
          <w:lang w:val="fr-CA"/>
        </w:rPr>
        <w:t>e</w:t>
      </w:r>
    </w:p>
    <w:p w:rsidR="000975BA" w:rsidRPr="00441D60" w:rsidRDefault="0071315F" w:rsidP="00CF1CE0">
      <w:pPr>
        <w:pStyle w:val="ListParagraph"/>
        <w:suppressLineNumbers/>
        <w:suppressAutoHyphens/>
        <w:kinsoku w:val="0"/>
        <w:overflowPunct w:val="0"/>
        <w:autoSpaceDE w:val="0"/>
        <w:autoSpaceDN w:val="0"/>
        <w:adjustRightInd w:val="0"/>
        <w:snapToGrid w:val="0"/>
        <w:spacing w:before="120" w:after="240"/>
        <w:contextualSpacing w:val="0"/>
        <w:jc w:val="center"/>
        <w:rPr>
          <w:b/>
          <w:kern w:val="22"/>
          <w:lang w:val="fr-CA"/>
        </w:rPr>
      </w:pPr>
      <w:r w:rsidRPr="003F758F">
        <w:rPr>
          <w:b/>
          <w:lang w:val="fr-CA"/>
        </w:rPr>
        <w:t>MANDAT DU DEUXIÈME GROUPE SPÉCIAL D</w:t>
      </w:r>
      <w:r w:rsidR="00257C6E">
        <w:rPr>
          <w:b/>
          <w:lang w:val="fr-CA"/>
        </w:rPr>
        <w:t>’</w:t>
      </w:r>
      <w:r w:rsidRPr="003F758F">
        <w:rPr>
          <w:b/>
          <w:lang w:val="fr-CA"/>
        </w:rPr>
        <w:t>EXPERTS TECHNIQUES SUR L</w:t>
      </w:r>
      <w:r w:rsidR="00257C6E">
        <w:rPr>
          <w:b/>
          <w:lang w:val="fr-CA"/>
        </w:rPr>
        <w:t>’</w:t>
      </w:r>
      <w:r w:rsidRPr="003F758F">
        <w:rPr>
          <w:b/>
          <w:lang w:val="fr-CA"/>
        </w:rPr>
        <w:t>INFORMATION DE SÉQUENÇAGE NUMÉRIQUE SUR LES RESSOURCES GÉNÉTIQUES</w:t>
      </w:r>
    </w:p>
    <w:p w:rsidR="000975BA" w:rsidRPr="00441D60" w:rsidRDefault="0071315F" w:rsidP="00E46A38">
      <w:pPr>
        <w:suppressLineNumbers/>
        <w:suppressAutoHyphens/>
        <w:kinsoku w:val="0"/>
        <w:overflowPunct w:val="0"/>
        <w:autoSpaceDE w:val="0"/>
        <w:autoSpaceDN w:val="0"/>
        <w:adjustRightInd w:val="0"/>
        <w:snapToGrid w:val="0"/>
        <w:spacing w:before="120" w:after="120"/>
        <w:ind w:left="709"/>
        <w:rPr>
          <w:kern w:val="22"/>
          <w:lang w:val="fr-CA"/>
        </w:rPr>
      </w:pPr>
      <w:r w:rsidRPr="003F758F">
        <w:rPr>
          <w:lang w:val="fr-CA"/>
        </w:rPr>
        <w:t>Le groupe spécial d</w:t>
      </w:r>
      <w:r w:rsidR="00257C6E">
        <w:rPr>
          <w:lang w:val="fr-CA"/>
        </w:rPr>
        <w:t>’</w:t>
      </w:r>
      <w:r w:rsidRPr="003F758F">
        <w:rPr>
          <w:lang w:val="fr-CA"/>
        </w:rPr>
        <w:t>experts techniques doit :</w:t>
      </w:r>
    </w:p>
    <w:p w:rsidR="0071315F" w:rsidRPr="003F758F" w:rsidRDefault="0071315F" w:rsidP="0071315F">
      <w:pPr>
        <w:spacing w:before="120" w:after="120"/>
        <w:ind w:left="709" w:firstLine="850"/>
        <w:rPr>
          <w:lang w:val="fr-CA"/>
        </w:rPr>
      </w:pPr>
      <w:r w:rsidRPr="003F758F">
        <w:rPr>
          <w:lang w:val="fr-CA"/>
        </w:rPr>
        <w:t>a)</w:t>
      </w:r>
      <w:r w:rsidRPr="003F758F">
        <w:rPr>
          <w:lang w:val="fr-CA"/>
        </w:rPr>
        <w:tab/>
        <w:t>Prendre en considération :</w:t>
      </w:r>
    </w:p>
    <w:p w:rsidR="0071315F" w:rsidRPr="003F758F" w:rsidRDefault="0071315F" w:rsidP="0071315F">
      <w:pPr>
        <w:spacing w:before="120" w:after="120"/>
        <w:ind w:left="2835" w:hanging="708"/>
        <w:rPr>
          <w:lang w:val="fr-CA"/>
        </w:rPr>
      </w:pPr>
      <w:r w:rsidRPr="003F758F">
        <w:rPr>
          <w:lang w:val="fr-CA"/>
        </w:rPr>
        <w:t>i)</w:t>
      </w:r>
      <w:r w:rsidRPr="003F758F">
        <w:rPr>
          <w:lang w:val="fr-CA"/>
        </w:rPr>
        <w:tab/>
        <w:t>La compilation et la synthèse des points de vue et des informations relatifs à l</w:t>
      </w:r>
      <w:r w:rsidR="00257C6E">
        <w:rPr>
          <w:lang w:val="fr-CA"/>
        </w:rPr>
        <w:t>’</w:t>
      </w:r>
      <w:r w:rsidRPr="003F758F">
        <w:rPr>
          <w:lang w:val="fr-CA"/>
        </w:rPr>
        <w:t>information de séquençage numérique sur les ressources génétiques présentées conformément à la décision XIII/16</w:t>
      </w:r>
      <w:r w:rsidRPr="003F758F">
        <w:rPr>
          <w:rStyle w:val="FootnoteReference"/>
          <w:rFonts w:eastAsiaTheme="majorEastAsia"/>
          <w:lang w:val="fr-CA"/>
        </w:rPr>
        <w:footnoteReference w:id="5"/>
      </w:r>
      <w:r>
        <w:rPr>
          <w:lang w:val="fr-CA"/>
        </w:rPr>
        <w:t>;</w:t>
      </w:r>
    </w:p>
    <w:p w:rsidR="0071315F" w:rsidRPr="003F758F" w:rsidRDefault="0071315F" w:rsidP="0071315F">
      <w:pPr>
        <w:spacing w:before="120" w:after="120"/>
        <w:ind w:left="2835" w:hanging="708"/>
        <w:rPr>
          <w:lang w:val="fr-CA"/>
        </w:rPr>
      </w:pPr>
      <w:r w:rsidRPr="003F758F">
        <w:rPr>
          <w:lang w:val="fr-CA"/>
        </w:rPr>
        <w:t>ii)</w:t>
      </w:r>
      <w:r w:rsidRPr="003F758F">
        <w:rPr>
          <w:lang w:val="fr-CA"/>
        </w:rPr>
        <w:tab/>
        <w:t>L</w:t>
      </w:r>
      <w:r w:rsidR="00257C6E">
        <w:rPr>
          <w:lang w:val="fr-CA"/>
        </w:rPr>
        <w:t>’</w:t>
      </w:r>
      <w:r w:rsidRPr="003F758F">
        <w:rPr>
          <w:lang w:val="fr-CA"/>
        </w:rPr>
        <w:t>étude factuelle et exploratoire qui clarifie la terminologie et les concepts, et évalue l</w:t>
      </w:r>
      <w:r w:rsidR="00257C6E">
        <w:rPr>
          <w:lang w:val="fr-CA"/>
        </w:rPr>
        <w:t>’</w:t>
      </w:r>
      <w:r w:rsidRPr="003F758F">
        <w:rPr>
          <w:lang w:val="fr-CA"/>
        </w:rPr>
        <w:t>étendue et les modalités d</w:t>
      </w:r>
      <w:r w:rsidR="00257C6E">
        <w:rPr>
          <w:lang w:val="fr-CA"/>
        </w:rPr>
        <w:t>’</w:t>
      </w:r>
      <w:r w:rsidRPr="003F758F">
        <w:rPr>
          <w:lang w:val="fr-CA"/>
        </w:rPr>
        <w:t>utilisation de l</w:t>
      </w:r>
      <w:r w:rsidR="00257C6E">
        <w:rPr>
          <w:lang w:val="fr-CA"/>
        </w:rPr>
        <w:t>’</w:t>
      </w:r>
      <w:r w:rsidRPr="003F758F">
        <w:rPr>
          <w:lang w:val="fr-CA"/>
        </w:rPr>
        <w:t>information de séquençage numérique sur les ressources génétiques dans le cadre de la Convention et du Protocole de Nagoya, entreprise conformément à la décision XIII/16</w:t>
      </w:r>
      <w:r w:rsidR="007A02D9">
        <w:rPr>
          <w:lang w:val="fr-CA"/>
        </w:rPr>
        <w:t>;</w:t>
      </w:r>
      <w:r w:rsidRPr="003F758F">
        <w:rPr>
          <w:rStyle w:val="FootnoteReference"/>
          <w:rFonts w:eastAsiaTheme="majorEastAsia"/>
          <w:lang w:val="fr-CA"/>
        </w:rPr>
        <w:footnoteReference w:id="6"/>
      </w:r>
    </w:p>
    <w:p w:rsidR="000975BA" w:rsidRPr="00441D60" w:rsidRDefault="0071315F" w:rsidP="007A02D9">
      <w:pPr>
        <w:suppressLineNumbers/>
        <w:suppressAutoHyphens/>
        <w:kinsoku w:val="0"/>
        <w:overflowPunct w:val="0"/>
        <w:autoSpaceDE w:val="0"/>
        <w:autoSpaceDN w:val="0"/>
        <w:adjustRightInd w:val="0"/>
        <w:snapToGrid w:val="0"/>
        <w:spacing w:before="120" w:after="120"/>
        <w:ind w:left="2835" w:hanging="634"/>
        <w:rPr>
          <w:kern w:val="22"/>
          <w:lang w:val="fr-CA"/>
        </w:rPr>
      </w:pPr>
      <w:r w:rsidRPr="003F758F">
        <w:rPr>
          <w:lang w:val="fr-CA"/>
        </w:rPr>
        <w:lastRenderedPageBreak/>
        <w:t>ii</w:t>
      </w:r>
      <w:r w:rsidR="00CA5846">
        <w:rPr>
          <w:lang w:val="fr-CA"/>
        </w:rPr>
        <w:t>i)</w:t>
      </w:r>
      <w:r w:rsidR="00CA5846">
        <w:rPr>
          <w:lang w:val="fr-CA"/>
        </w:rPr>
        <w:tab/>
        <w:t xml:space="preserve">Le rapport du premier groupe </w:t>
      </w:r>
      <w:r w:rsidRPr="003F758F">
        <w:rPr>
          <w:lang w:val="fr-CA"/>
        </w:rPr>
        <w:t>spécial d</w:t>
      </w:r>
      <w:r w:rsidR="00257C6E">
        <w:rPr>
          <w:lang w:val="fr-CA"/>
        </w:rPr>
        <w:t>’</w:t>
      </w:r>
      <w:r w:rsidRPr="003F758F">
        <w:rPr>
          <w:lang w:val="fr-CA"/>
        </w:rPr>
        <w:t>experts techniques sur l</w:t>
      </w:r>
      <w:r w:rsidR="00257C6E">
        <w:rPr>
          <w:lang w:val="fr-CA"/>
        </w:rPr>
        <w:t>’</w:t>
      </w:r>
      <w:r w:rsidRPr="003F758F">
        <w:rPr>
          <w:lang w:val="fr-CA"/>
        </w:rPr>
        <w:t>information de séquençage numérique sur les ressources génétiques</w:t>
      </w:r>
      <w:r w:rsidRPr="003F758F">
        <w:rPr>
          <w:rStyle w:val="FootnoteReference"/>
          <w:rFonts w:eastAsiaTheme="majorEastAsia"/>
          <w:lang w:val="fr-CA"/>
        </w:rPr>
        <w:footnoteReference w:id="7"/>
      </w:r>
      <w:r>
        <w:rPr>
          <w:lang w:val="fr-CA"/>
        </w:rPr>
        <w:t>;</w:t>
      </w:r>
    </w:p>
    <w:p w:rsidR="0071315F" w:rsidRPr="003F758F" w:rsidRDefault="0071315F" w:rsidP="0071315F">
      <w:pPr>
        <w:ind w:left="709" w:firstLine="850"/>
        <w:rPr>
          <w:lang w:val="fr-CA"/>
        </w:rPr>
      </w:pPr>
      <w:r w:rsidRPr="003F758F">
        <w:rPr>
          <w:lang w:val="fr-CA"/>
        </w:rPr>
        <w:t>b)</w:t>
      </w:r>
      <w:r w:rsidRPr="003F758F">
        <w:rPr>
          <w:lang w:val="fr-CA"/>
        </w:rPr>
        <w:tab/>
        <w:t>Examiner la compilation des points de vue et des informations, ainsi que les études additionnelle</w:t>
      </w:r>
      <w:r w:rsidR="003755CB">
        <w:rPr>
          <w:lang w:val="fr-CA"/>
        </w:rPr>
        <w:t>s mentionnées aux paragraphes 20</w:t>
      </w:r>
      <w:r w:rsidRPr="003F758F">
        <w:rPr>
          <w:lang w:val="fr-CA"/>
        </w:rPr>
        <w:t xml:space="preserve"> a), </w:t>
      </w:r>
      <w:r w:rsidR="003755CB">
        <w:rPr>
          <w:lang w:val="fr-CA"/>
        </w:rPr>
        <w:t>[</w:t>
      </w:r>
      <w:r w:rsidRPr="003F758F">
        <w:rPr>
          <w:lang w:val="fr-CA"/>
        </w:rPr>
        <w:t>b)</w:t>
      </w:r>
      <w:r w:rsidR="003755CB">
        <w:rPr>
          <w:lang w:val="fr-CA"/>
        </w:rPr>
        <w:t>]</w:t>
      </w:r>
      <w:r w:rsidRPr="003F758F">
        <w:rPr>
          <w:lang w:val="fr-CA"/>
        </w:rPr>
        <w:t> et [c)] de la présente décision</w:t>
      </w:r>
      <w:r>
        <w:rPr>
          <w:lang w:val="fr-CA"/>
        </w:rPr>
        <w:t>;</w:t>
      </w:r>
    </w:p>
    <w:p w:rsidR="000975BA" w:rsidRPr="00441D60" w:rsidRDefault="0071315F" w:rsidP="0071315F">
      <w:pPr>
        <w:suppressLineNumbers/>
        <w:suppressAutoHyphens/>
        <w:kinsoku w:val="0"/>
        <w:overflowPunct w:val="0"/>
        <w:autoSpaceDE w:val="0"/>
        <w:autoSpaceDN w:val="0"/>
        <w:adjustRightInd w:val="0"/>
        <w:snapToGrid w:val="0"/>
        <w:spacing w:before="120" w:after="120"/>
        <w:ind w:left="709" w:firstLine="850"/>
        <w:rPr>
          <w:kern w:val="22"/>
          <w:lang w:val="fr-CA"/>
        </w:rPr>
      </w:pPr>
      <w:r w:rsidRPr="003F758F">
        <w:rPr>
          <w:lang w:val="fr-CA"/>
        </w:rPr>
        <w:t>c)</w:t>
      </w:r>
      <w:r w:rsidRPr="003F758F" w:rsidDel="00A93979">
        <w:rPr>
          <w:lang w:val="fr-CA"/>
        </w:rPr>
        <w:tab/>
      </w:r>
      <w:r w:rsidRPr="003F758F">
        <w:rPr>
          <w:lang w:val="fr-CA"/>
        </w:rPr>
        <w:t>Clarifier le concept d</w:t>
      </w:r>
      <w:r w:rsidR="00257C6E">
        <w:rPr>
          <w:lang w:val="fr-CA"/>
        </w:rPr>
        <w:t>’</w:t>
      </w:r>
      <w:r w:rsidRPr="003F758F">
        <w:rPr>
          <w:lang w:val="fr-CA"/>
        </w:rPr>
        <w:t>information de séquençage numérique dans le cadre de la Convention et du Protocole de Nagoya, et désigner un terme fonctionnel</w:t>
      </w:r>
      <w:r w:rsidR="000975BA" w:rsidRPr="00441D60" w:rsidDel="00A93979">
        <w:rPr>
          <w:kern w:val="22"/>
          <w:lang w:val="fr-CA"/>
        </w:rPr>
        <w:t>;</w:t>
      </w:r>
    </w:p>
    <w:p w:rsidR="000975BA" w:rsidRPr="00441D60" w:rsidDel="00A93979" w:rsidRDefault="000975BA" w:rsidP="0071315F">
      <w:pPr>
        <w:suppressLineNumbers/>
        <w:suppressAutoHyphens/>
        <w:kinsoku w:val="0"/>
        <w:overflowPunct w:val="0"/>
        <w:autoSpaceDE w:val="0"/>
        <w:autoSpaceDN w:val="0"/>
        <w:adjustRightInd w:val="0"/>
        <w:snapToGrid w:val="0"/>
        <w:spacing w:before="120" w:after="120"/>
        <w:ind w:left="709" w:firstLine="850"/>
        <w:rPr>
          <w:kern w:val="22"/>
          <w:lang w:val="fr-CA"/>
        </w:rPr>
      </w:pPr>
      <w:r w:rsidRPr="00441D60">
        <w:rPr>
          <w:kern w:val="22"/>
          <w:lang w:val="fr-CA"/>
        </w:rPr>
        <w:t>[</w:t>
      </w:r>
      <w:proofErr w:type="gramStart"/>
      <w:r w:rsidR="0071315F" w:rsidRPr="003F758F">
        <w:rPr>
          <w:lang w:val="fr-CA"/>
        </w:rPr>
        <w:t>d</w:t>
      </w:r>
      <w:proofErr w:type="gramEnd"/>
      <w:r w:rsidR="0071315F" w:rsidRPr="003F758F">
        <w:rPr>
          <w:lang w:val="fr-CA"/>
        </w:rPr>
        <w:t>)</w:t>
      </w:r>
      <w:r w:rsidR="0071315F" w:rsidRPr="003F758F">
        <w:rPr>
          <w:lang w:val="fr-CA"/>
        </w:rPr>
        <w:tab/>
        <w:t>Examiner la manière dont l</w:t>
      </w:r>
      <w:r w:rsidR="00257C6E">
        <w:rPr>
          <w:lang w:val="fr-CA"/>
        </w:rPr>
        <w:t>’</w:t>
      </w:r>
      <w:r w:rsidR="0071315F" w:rsidRPr="003F758F">
        <w:rPr>
          <w:lang w:val="fr-CA"/>
        </w:rPr>
        <w:t>évolution de la traçabilité peut éclairer les discussions relatives à l</w:t>
      </w:r>
      <w:r w:rsidR="00257C6E">
        <w:rPr>
          <w:lang w:val="fr-CA"/>
        </w:rPr>
        <w:t>’</w:t>
      </w:r>
      <w:r w:rsidR="0071315F" w:rsidRPr="003F758F">
        <w:rPr>
          <w:lang w:val="fr-CA"/>
        </w:rPr>
        <w:t>information de séquençage numérique sur les ressources génétiques</w:t>
      </w:r>
      <w:r w:rsidRPr="00441D60">
        <w:rPr>
          <w:kern w:val="22"/>
          <w:lang w:val="fr-CA"/>
        </w:rPr>
        <w:t>;]</w:t>
      </w:r>
    </w:p>
    <w:p w:rsidR="000975BA" w:rsidRPr="00441D60" w:rsidRDefault="00565139" w:rsidP="00565139">
      <w:pPr>
        <w:suppressLineNumbers/>
        <w:suppressAutoHyphens/>
        <w:kinsoku w:val="0"/>
        <w:overflowPunct w:val="0"/>
        <w:autoSpaceDE w:val="0"/>
        <w:autoSpaceDN w:val="0"/>
        <w:adjustRightInd w:val="0"/>
        <w:snapToGrid w:val="0"/>
        <w:spacing w:before="120" w:after="120"/>
        <w:ind w:left="709" w:firstLine="850"/>
        <w:rPr>
          <w:kern w:val="22"/>
          <w:lang w:val="fr-CA"/>
        </w:rPr>
      </w:pPr>
      <w:r>
        <w:rPr>
          <w:kern w:val="22"/>
          <w:lang w:val="fr-CA"/>
        </w:rPr>
        <w:t>[</w:t>
      </w:r>
      <w:proofErr w:type="gramStart"/>
      <w:r w:rsidR="000975BA" w:rsidRPr="00441D60">
        <w:rPr>
          <w:kern w:val="22"/>
          <w:lang w:val="fr-CA"/>
        </w:rPr>
        <w:t>e</w:t>
      </w:r>
      <w:proofErr w:type="gramEnd"/>
      <w:r w:rsidRPr="003F758F" w:rsidDel="00A93979">
        <w:rPr>
          <w:lang w:val="fr-CA"/>
        </w:rPr>
        <w:t>)</w:t>
      </w:r>
      <w:r w:rsidRPr="003F758F" w:rsidDel="00A93979">
        <w:rPr>
          <w:lang w:val="fr-CA"/>
        </w:rPr>
        <w:tab/>
      </w:r>
      <w:r w:rsidRPr="003F758F">
        <w:rPr>
          <w:lang w:val="fr-CA"/>
        </w:rPr>
        <w:t>Examiner les mesures simplifiées concernant l</w:t>
      </w:r>
      <w:r w:rsidR="00257C6E">
        <w:rPr>
          <w:lang w:val="fr-CA"/>
        </w:rPr>
        <w:t>’</w:t>
      </w:r>
      <w:r w:rsidRPr="003F758F">
        <w:rPr>
          <w:lang w:val="fr-CA"/>
        </w:rPr>
        <w:t>utilisation de l</w:t>
      </w:r>
      <w:r w:rsidR="00257C6E">
        <w:rPr>
          <w:lang w:val="fr-CA"/>
        </w:rPr>
        <w:t>’</w:t>
      </w:r>
      <w:r w:rsidRPr="003F758F">
        <w:rPr>
          <w:lang w:val="fr-CA"/>
        </w:rPr>
        <w:t>information de séquençage numérique sur les ressources génétiques</w:t>
      </w:r>
      <w:r w:rsidR="000975BA" w:rsidRPr="00441D60">
        <w:rPr>
          <w:kern w:val="22"/>
          <w:lang w:val="fr-CA"/>
        </w:rPr>
        <w:t>;</w:t>
      </w:r>
    </w:p>
    <w:p w:rsidR="000975BA" w:rsidRPr="00441D60" w:rsidRDefault="00565139" w:rsidP="00E46A38">
      <w:pPr>
        <w:suppressLineNumbers/>
        <w:suppressAutoHyphens/>
        <w:kinsoku w:val="0"/>
        <w:overflowPunct w:val="0"/>
        <w:autoSpaceDE w:val="0"/>
        <w:autoSpaceDN w:val="0"/>
        <w:adjustRightInd w:val="0"/>
        <w:snapToGrid w:val="0"/>
        <w:spacing w:before="120" w:after="120"/>
        <w:ind w:left="709" w:firstLine="850"/>
        <w:rPr>
          <w:kern w:val="22"/>
          <w:lang w:val="fr-CA"/>
        </w:rPr>
      </w:pPr>
      <w:r w:rsidRPr="003F758F">
        <w:rPr>
          <w:lang w:val="fr-CA"/>
        </w:rPr>
        <w:t>f)</w:t>
      </w:r>
      <w:r w:rsidRPr="003F758F">
        <w:rPr>
          <w:lang w:val="fr-CA"/>
        </w:rPr>
        <w:tab/>
        <w:t>Envisager des mécanismes pour assurer le partage juste et équitable des avantages découlant de l</w:t>
      </w:r>
      <w:r w:rsidR="00257C6E">
        <w:rPr>
          <w:lang w:val="fr-CA"/>
        </w:rPr>
        <w:t>’</w:t>
      </w:r>
      <w:r w:rsidRPr="003F758F">
        <w:rPr>
          <w:lang w:val="fr-CA"/>
        </w:rPr>
        <w:t>utilisation commerciale de l</w:t>
      </w:r>
      <w:r w:rsidR="00257C6E">
        <w:rPr>
          <w:lang w:val="fr-CA"/>
        </w:rPr>
        <w:t>’</w:t>
      </w:r>
      <w:r w:rsidRPr="003F758F">
        <w:rPr>
          <w:lang w:val="fr-CA"/>
        </w:rPr>
        <w:t>information de séquençage numérique sur les ressources génétiques, en incluant le cas particulier des situations tr</w:t>
      </w:r>
      <w:r w:rsidR="00CA5846">
        <w:rPr>
          <w:lang w:val="fr-CA"/>
        </w:rPr>
        <w:t>ans</w:t>
      </w:r>
      <w:r w:rsidRPr="003F758F">
        <w:rPr>
          <w:lang w:val="fr-CA"/>
        </w:rPr>
        <w:t>frontières ou celui pour lequel il est impossible d</w:t>
      </w:r>
      <w:r w:rsidR="00257C6E">
        <w:rPr>
          <w:lang w:val="fr-CA"/>
        </w:rPr>
        <w:t>’</w:t>
      </w:r>
      <w:r w:rsidRPr="003F758F">
        <w:rPr>
          <w:lang w:val="fr-CA"/>
        </w:rPr>
        <w:t>identifier le pays d</w:t>
      </w:r>
      <w:r w:rsidR="00257C6E">
        <w:rPr>
          <w:lang w:val="fr-CA"/>
        </w:rPr>
        <w:t>’</w:t>
      </w:r>
      <w:r w:rsidRPr="003F758F">
        <w:rPr>
          <w:lang w:val="fr-CA"/>
        </w:rPr>
        <w:t xml:space="preserve">origine </w:t>
      </w:r>
      <w:proofErr w:type="gramStart"/>
      <w:r w:rsidRPr="003F758F">
        <w:rPr>
          <w:lang w:val="fr-CA"/>
        </w:rPr>
        <w:t>de la ressources</w:t>
      </w:r>
      <w:proofErr w:type="gramEnd"/>
      <w:r w:rsidRPr="003F758F">
        <w:rPr>
          <w:lang w:val="fr-CA"/>
        </w:rPr>
        <w:t xml:space="preserve"> génétique</w:t>
      </w:r>
      <w:r w:rsidR="000975BA" w:rsidRPr="00441D60">
        <w:rPr>
          <w:kern w:val="22"/>
          <w:lang w:val="fr-CA"/>
        </w:rPr>
        <w:t>;</w:t>
      </w:r>
    </w:p>
    <w:p w:rsidR="00565139" w:rsidRPr="003F758F" w:rsidRDefault="00565139" w:rsidP="007A02D9">
      <w:pPr>
        <w:spacing w:before="120" w:after="120"/>
        <w:ind w:left="709" w:firstLine="850"/>
        <w:rPr>
          <w:lang w:val="fr-CA"/>
        </w:rPr>
      </w:pPr>
      <w:r w:rsidRPr="003F758F">
        <w:rPr>
          <w:lang w:val="fr-CA"/>
        </w:rPr>
        <w:t>g)</w:t>
      </w:r>
      <w:r w:rsidRPr="003F758F">
        <w:rPr>
          <w:lang w:val="fr-CA"/>
        </w:rPr>
        <w:tab/>
        <w:t>Envisager des mécanismes pour assurer la conformité aux obligations relatives au partage des avantages découlant de l</w:t>
      </w:r>
      <w:r w:rsidR="00257C6E">
        <w:rPr>
          <w:lang w:val="fr-CA"/>
        </w:rPr>
        <w:t>’</w:t>
      </w:r>
      <w:r w:rsidRPr="003F758F">
        <w:rPr>
          <w:lang w:val="fr-CA"/>
        </w:rPr>
        <w:t>utilisation de l</w:t>
      </w:r>
      <w:r w:rsidR="00257C6E">
        <w:rPr>
          <w:lang w:val="fr-CA"/>
        </w:rPr>
        <w:t>’</w:t>
      </w:r>
      <w:r w:rsidRPr="003F758F">
        <w:rPr>
          <w:lang w:val="fr-CA"/>
        </w:rPr>
        <w:t>information de séquençage numériq</w:t>
      </w:r>
      <w:r w:rsidR="006817B4">
        <w:rPr>
          <w:lang w:val="fr-CA"/>
        </w:rPr>
        <w:t>ue sur les ressources génétiques, ainsi que des applications ultérieures et d’une</w:t>
      </w:r>
      <w:r w:rsidRPr="003F758F">
        <w:rPr>
          <w:lang w:val="fr-CA"/>
        </w:rPr>
        <w:t xml:space="preserve"> commercialisation</w:t>
      </w:r>
      <w:r>
        <w:rPr>
          <w:lang w:val="fr-CA"/>
        </w:rPr>
        <w:t>;</w:t>
      </w:r>
      <w:r w:rsidR="007A02D9" w:rsidRPr="00E21EE1">
        <w:rPr>
          <w:kern w:val="22"/>
          <w:lang w:val="fr-FR"/>
        </w:rPr>
        <w:t>]</w:t>
      </w:r>
    </w:p>
    <w:p w:rsidR="000975BA" w:rsidRPr="00441D60" w:rsidRDefault="00565139" w:rsidP="00565139">
      <w:pPr>
        <w:suppressLineNumbers/>
        <w:suppressAutoHyphens/>
        <w:kinsoku w:val="0"/>
        <w:overflowPunct w:val="0"/>
        <w:autoSpaceDE w:val="0"/>
        <w:autoSpaceDN w:val="0"/>
        <w:adjustRightInd w:val="0"/>
        <w:snapToGrid w:val="0"/>
        <w:spacing w:before="120" w:after="120"/>
        <w:ind w:left="709" w:firstLine="850"/>
        <w:rPr>
          <w:kern w:val="22"/>
          <w:lang w:val="fr-CA"/>
        </w:rPr>
      </w:pPr>
      <w:r w:rsidRPr="003F758F">
        <w:rPr>
          <w:lang w:val="fr-CA"/>
        </w:rPr>
        <w:t xml:space="preserve">h) </w:t>
      </w:r>
      <w:r w:rsidRPr="003F758F">
        <w:rPr>
          <w:lang w:val="fr-CA"/>
        </w:rPr>
        <w:tab/>
        <w:t xml:space="preserve">Se réunir au moins une fois </w:t>
      </w:r>
      <w:r w:rsidRPr="003F758F">
        <w:rPr>
          <w:szCs w:val="22"/>
          <w:lang w:val="fr-CA"/>
        </w:rPr>
        <w:t xml:space="preserve">en </w:t>
      </w:r>
      <w:r w:rsidRPr="003F758F">
        <w:rPr>
          <w:noProof/>
          <w:szCs w:val="22"/>
          <w:lang w:val="fr-CA"/>
        </w:rPr>
        <w:t>face</w:t>
      </w:r>
      <w:r w:rsidR="00257C6E">
        <w:rPr>
          <w:noProof/>
          <w:szCs w:val="22"/>
          <w:lang w:val="fr-CA"/>
        </w:rPr>
        <w:noBreakHyphen/>
      </w:r>
      <w:r w:rsidRPr="003F758F">
        <w:rPr>
          <w:noProof/>
          <w:szCs w:val="22"/>
          <w:lang w:val="fr-CA"/>
        </w:rPr>
        <w:t>à</w:t>
      </w:r>
      <w:r w:rsidR="00257C6E">
        <w:rPr>
          <w:noProof/>
          <w:szCs w:val="22"/>
          <w:lang w:val="fr-CA"/>
        </w:rPr>
        <w:noBreakHyphen/>
      </w:r>
      <w:r w:rsidRPr="003F758F">
        <w:rPr>
          <w:noProof/>
          <w:szCs w:val="22"/>
          <w:lang w:val="fr-CA"/>
        </w:rPr>
        <w:t>face,</w:t>
      </w:r>
      <w:r w:rsidRPr="003F758F">
        <w:rPr>
          <w:szCs w:val="22"/>
          <w:lang w:val="fr-CA"/>
        </w:rPr>
        <w:t xml:space="preserve"> dans la limite des ressources financières disponibles, avant la quinzième réunion de la Conférence des Parties, et utiliser les outils en ligne pour faciliter ses travaux, selon qu</w:t>
      </w:r>
      <w:r w:rsidR="00257C6E">
        <w:rPr>
          <w:szCs w:val="22"/>
          <w:lang w:val="fr-CA"/>
        </w:rPr>
        <w:t>’</w:t>
      </w:r>
      <w:r w:rsidRPr="003F758F">
        <w:rPr>
          <w:szCs w:val="22"/>
          <w:lang w:val="fr-CA"/>
        </w:rPr>
        <w:t>il convient</w:t>
      </w:r>
      <w:r w:rsidR="000975BA" w:rsidRPr="00441D60">
        <w:rPr>
          <w:kern w:val="22"/>
          <w:lang w:val="fr-CA"/>
        </w:rPr>
        <w:t>;</w:t>
      </w:r>
    </w:p>
    <w:p w:rsidR="000975BA" w:rsidRPr="00441D60" w:rsidRDefault="00565139" w:rsidP="003755CB">
      <w:pPr>
        <w:suppressLineNumbers/>
        <w:suppressAutoHyphens/>
        <w:kinsoku w:val="0"/>
        <w:overflowPunct w:val="0"/>
        <w:autoSpaceDE w:val="0"/>
        <w:autoSpaceDN w:val="0"/>
        <w:adjustRightInd w:val="0"/>
        <w:snapToGrid w:val="0"/>
        <w:spacing w:before="120" w:after="240"/>
        <w:ind w:left="709" w:firstLine="850"/>
        <w:rPr>
          <w:kern w:val="22"/>
          <w:lang w:val="fr-CA"/>
        </w:rPr>
      </w:pPr>
      <w:r w:rsidRPr="003F758F">
        <w:rPr>
          <w:lang w:val="fr-CA"/>
        </w:rPr>
        <w:t>i)</w:t>
      </w:r>
      <w:r w:rsidRPr="003F758F">
        <w:rPr>
          <w:lang w:val="fr-CA"/>
        </w:rPr>
        <w:tab/>
      </w:r>
      <w:r w:rsidRPr="003F758F">
        <w:rPr>
          <w:szCs w:val="22"/>
          <w:lang w:val="fr-CA"/>
        </w:rPr>
        <w:t>Présenter ses résultats aux fins d</w:t>
      </w:r>
      <w:r w:rsidR="00257C6E">
        <w:rPr>
          <w:szCs w:val="22"/>
          <w:lang w:val="fr-CA"/>
        </w:rPr>
        <w:t>’</w:t>
      </w:r>
      <w:r w:rsidRPr="003F758F">
        <w:rPr>
          <w:szCs w:val="22"/>
          <w:lang w:val="fr-CA"/>
        </w:rPr>
        <w:t>examen d</w:t>
      </w:r>
      <w:r w:rsidR="00257C6E">
        <w:rPr>
          <w:szCs w:val="22"/>
          <w:lang w:val="fr-CA"/>
        </w:rPr>
        <w:t>’</w:t>
      </w:r>
      <w:r w:rsidRPr="003F758F">
        <w:rPr>
          <w:szCs w:val="22"/>
          <w:lang w:val="fr-CA"/>
        </w:rPr>
        <w:t>une réunion de l</w:t>
      </w:r>
      <w:r w:rsidR="00257C6E">
        <w:rPr>
          <w:szCs w:val="22"/>
          <w:lang w:val="fr-CA"/>
        </w:rPr>
        <w:t>’</w:t>
      </w:r>
      <w:r w:rsidRPr="003F758F">
        <w:rPr>
          <w:szCs w:val="22"/>
          <w:lang w:val="fr-CA"/>
        </w:rPr>
        <w:t>Organe subsidiaire chargé de fournir des avis scientifiques, techniques et technologiques qui se tiendra avant la quinzième réunion de la Conférence des Parties</w:t>
      </w:r>
      <w:r w:rsidR="000975BA" w:rsidRPr="00441D60">
        <w:rPr>
          <w:kern w:val="22"/>
          <w:lang w:val="fr-CA"/>
        </w:rPr>
        <w:t>.]</w:t>
      </w:r>
      <w:r w:rsidR="000E2A2D" w:rsidRPr="006817B4">
        <w:rPr>
          <w:b/>
          <w:bCs/>
          <w:kern w:val="22"/>
          <w:sz w:val="24"/>
          <w:lang w:val="fr-CA"/>
        </w:rPr>
        <w:t>]</w:t>
      </w:r>
    </w:p>
    <w:p w:rsidR="000975BA" w:rsidRPr="00441D60" w:rsidRDefault="000975BA" w:rsidP="005C5FE0">
      <w:pPr>
        <w:keepNext/>
        <w:suppressLineNumbers/>
        <w:suppressAutoHyphens/>
        <w:kinsoku w:val="0"/>
        <w:overflowPunct w:val="0"/>
        <w:autoSpaceDE w:val="0"/>
        <w:autoSpaceDN w:val="0"/>
        <w:adjustRightInd w:val="0"/>
        <w:snapToGrid w:val="0"/>
        <w:spacing w:before="120" w:after="120"/>
        <w:ind w:left="1124" w:right="389" w:hanging="562"/>
        <w:rPr>
          <w:i/>
          <w:kern w:val="22"/>
          <w:lang w:val="fr-CA"/>
        </w:rPr>
      </w:pPr>
      <w:r w:rsidRPr="00441D60">
        <w:rPr>
          <w:b/>
          <w:kern w:val="22"/>
          <w:lang w:val="fr-CA"/>
        </w:rPr>
        <w:t>B.</w:t>
      </w:r>
      <w:r w:rsidRPr="00441D60">
        <w:rPr>
          <w:b/>
          <w:kern w:val="22"/>
          <w:lang w:val="fr-CA"/>
        </w:rPr>
        <w:tab/>
      </w:r>
      <w:r w:rsidR="005C5FE0" w:rsidRPr="003F758F">
        <w:rPr>
          <w:b/>
          <w:lang w:val="fr-CA"/>
        </w:rPr>
        <w:t>Projet de décision pour la Conférence des Parties siégeant en tant que réunion des Parties au Protocole de Nagoya</w:t>
      </w:r>
    </w:p>
    <w:p w:rsidR="000975BA" w:rsidRPr="00441D60" w:rsidRDefault="005C5FE0" w:rsidP="00AC72D3">
      <w:pPr>
        <w:pStyle w:val="ListParagraph"/>
        <w:suppressLineNumbers/>
        <w:suppressAutoHyphens/>
        <w:kinsoku w:val="0"/>
        <w:overflowPunct w:val="0"/>
        <w:autoSpaceDE w:val="0"/>
        <w:autoSpaceDN w:val="0"/>
        <w:adjustRightInd w:val="0"/>
        <w:snapToGrid w:val="0"/>
        <w:spacing w:before="120" w:after="120"/>
        <w:ind w:left="562" w:firstLine="720"/>
        <w:contextualSpacing w:val="0"/>
        <w:rPr>
          <w:i/>
          <w:kern w:val="22"/>
          <w:lang w:val="fr-CA"/>
        </w:rPr>
      </w:pPr>
      <w:r w:rsidRPr="003F758F">
        <w:rPr>
          <w:i/>
          <w:lang w:val="fr-CA"/>
        </w:rPr>
        <w:t>Recommande</w:t>
      </w:r>
      <w:r w:rsidRPr="003F758F">
        <w:rPr>
          <w:iCs/>
          <w:lang w:val="fr-CA"/>
        </w:rPr>
        <w:t xml:space="preserve"> que la </w:t>
      </w:r>
      <w:r w:rsidRPr="003F758F">
        <w:rPr>
          <w:lang w:val="fr-CA"/>
        </w:rPr>
        <w:t>Conférence des Parties siégeant en tant que réunion des Parties au Protocole de Nagoya adopte, à sa troisième réunion, une décision selon la formulation suivante :</w:t>
      </w:r>
    </w:p>
    <w:p w:rsidR="000975BA" w:rsidRPr="00441D60" w:rsidRDefault="0003664E" w:rsidP="005C5FE0">
      <w:pPr>
        <w:pStyle w:val="ListParagraph"/>
        <w:suppressLineNumbers/>
        <w:suppressAutoHyphens/>
        <w:kinsoku w:val="0"/>
        <w:overflowPunct w:val="0"/>
        <w:autoSpaceDE w:val="0"/>
        <w:autoSpaceDN w:val="0"/>
        <w:adjustRightInd w:val="0"/>
        <w:snapToGrid w:val="0"/>
        <w:spacing w:before="120" w:after="120"/>
        <w:ind w:firstLine="720"/>
        <w:contextualSpacing w:val="0"/>
        <w:rPr>
          <w:i/>
          <w:kern w:val="22"/>
          <w:lang w:val="fr-CA"/>
        </w:rPr>
      </w:pPr>
      <w:r w:rsidRPr="006817B4">
        <w:rPr>
          <w:b/>
          <w:bCs/>
          <w:iCs/>
          <w:kern w:val="22"/>
          <w:sz w:val="24"/>
          <w:lang w:val="fr-CA"/>
        </w:rPr>
        <w:t>[</w:t>
      </w:r>
      <w:r w:rsidR="005C5FE0" w:rsidRPr="003F758F">
        <w:rPr>
          <w:i/>
          <w:lang w:val="fr-CA"/>
        </w:rPr>
        <w:t>La Conférence des Parties siégeant en tant que réunion des Parties au Protocole de Nagoya,</w:t>
      </w:r>
    </w:p>
    <w:p w:rsidR="000975BA" w:rsidRPr="00441D60" w:rsidRDefault="005C5FE0" w:rsidP="00E46A38">
      <w:pPr>
        <w:pStyle w:val="ListParagraph"/>
        <w:suppressLineNumbers/>
        <w:suppressAutoHyphens/>
        <w:kinsoku w:val="0"/>
        <w:overflowPunct w:val="0"/>
        <w:autoSpaceDE w:val="0"/>
        <w:autoSpaceDN w:val="0"/>
        <w:adjustRightInd w:val="0"/>
        <w:snapToGrid w:val="0"/>
        <w:spacing w:before="120" w:after="120"/>
        <w:ind w:firstLine="720"/>
        <w:contextualSpacing w:val="0"/>
        <w:rPr>
          <w:kern w:val="22"/>
          <w:lang w:val="fr-CA"/>
        </w:rPr>
      </w:pPr>
      <w:r w:rsidRPr="003F758F">
        <w:rPr>
          <w:i/>
          <w:lang w:val="fr-CA"/>
        </w:rPr>
        <w:t>Ayant présent à l</w:t>
      </w:r>
      <w:r w:rsidR="00257C6E">
        <w:rPr>
          <w:i/>
          <w:lang w:val="fr-CA"/>
        </w:rPr>
        <w:t>’</w:t>
      </w:r>
      <w:r w:rsidRPr="003F758F">
        <w:rPr>
          <w:i/>
          <w:lang w:val="fr-CA"/>
        </w:rPr>
        <w:t>esprit</w:t>
      </w:r>
      <w:r w:rsidRPr="003F758F">
        <w:rPr>
          <w:iCs/>
          <w:lang w:val="fr-CA"/>
        </w:rPr>
        <w:t xml:space="preserve"> l</w:t>
      </w:r>
      <w:r w:rsidR="00257C6E">
        <w:rPr>
          <w:iCs/>
          <w:lang w:val="fr-CA"/>
        </w:rPr>
        <w:t>’</w:t>
      </w:r>
      <w:r w:rsidRPr="003F758F">
        <w:rPr>
          <w:iCs/>
          <w:lang w:val="fr-CA"/>
        </w:rPr>
        <w:t>objectif du Protocole de Nagoya</w:t>
      </w:r>
      <w:r w:rsidR="000975BA" w:rsidRPr="00441D60">
        <w:rPr>
          <w:kern w:val="22"/>
          <w:lang w:val="fr-CA"/>
        </w:rPr>
        <w:t>,</w:t>
      </w:r>
    </w:p>
    <w:p w:rsidR="000975BA" w:rsidRPr="00441D60" w:rsidRDefault="000975BA" w:rsidP="005C5FE0">
      <w:pPr>
        <w:pStyle w:val="ListParagraph"/>
        <w:suppressLineNumbers/>
        <w:suppressAutoHyphens/>
        <w:kinsoku w:val="0"/>
        <w:overflowPunct w:val="0"/>
        <w:autoSpaceDE w:val="0"/>
        <w:autoSpaceDN w:val="0"/>
        <w:adjustRightInd w:val="0"/>
        <w:snapToGrid w:val="0"/>
        <w:spacing w:before="120" w:after="120"/>
        <w:ind w:firstLine="720"/>
        <w:contextualSpacing w:val="0"/>
        <w:rPr>
          <w:kern w:val="22"/>
          <w:lang w:val="fr-CA"/>
        </w:rPr>
      </w:pPr>
      <w:r w:rsidRPr="00441D60">
        <w:rPr>
          <w:kern w:val="22"/>
          <w:lang w:val="fr-CA"/>
        </w:rPr>
        <w:t>[</w:t>
      </w:r>
      <w:r w:rsidR="005C5FE0" w:rsidRPr="003F758F">
        <w:rPr>
          <w:i/>
          <w:lang w:val="fr-CA"/>
        </w:rPr>
        <w:t>Rappelant</w:t>
      </w:r>
      <w:r w:rsidR="005C5FE0" w:rsidRPr="003F758F">
        <w:rPr>
          <w:iCs/>
          <w:lang w:val="fr-CA"/>
        </w:rPr>
        <w:t xml:space="preserve"> les </w:t>
      </w:r>
      <w:r w:rsidR="006817B4">
        <w:rPr>
          <w:lang w:val="fr-CA"/>
        </w:rPr>
        <w:t>articles 5.1</w:t>
      </w:r>
      <w:r w:rsidR="005C5FE0" w:rsidRPr="003F758F">
        <w:rPr>
          <w:lang w:val="fr-CA"/>
        </w:rPr>
        <w:t>, 8, 17, 20, 22 et 23 du Protocole de Nagoya</w:t>
      </w:r>
      <w:r w:rsidRPr="00441D60">
        <w:rPr>
          <w:kern w:val="22"/>
          <w:lang w:val="fr-CA"/>
        </w:rPr>
        <w:t>,]</w:t>
      </w:r>
    </w:p>
    <w:p w:rsidR="000975BA" w:rsidRPr="00441D60" w:rsidRDefault="005C5FE0" w:rsidP="00E46A38">
      <w:pPr>
        <w:pStyle w:val="ListParagraph"/>
        <w:suppressLineNumbers/>
        <w:suppressAutoHyphens/>
        <w:kinsoku w:val="0"/>
        <w:overflowPunct w:val="0"/>
        <w:autoSpaceDE w:val="0"/>
        <w:autoSpaceDN w:val="0"/>
        <w:adjustRightInd w:val="0"/>
        <w:snapToGrid w:val="0"/>
        <w:spacing w:before="120" w:after="120"/>
        <w:ind w:firstLine="720"/>
        <w:contextualSpacing w:val="0"/>
        <w:rPr>
          <w:kern w:val="22"/>
          <w:lang w:val="fr-CA"/>
        </w:rPr>
      </w:pPr>
      <w:r w:rsidRPr="003F758F">
        <w:rPr>
          <w:i/>
          <w:lang w:val="fr-CA"/>
        </w:rPr>
        <w:t>Prenant acte</w:t>
      </w:r>
      <w:r w:rsidR="003755CB">
        <w:rPr>
          <w:iCs/>
          <w:lang w:val="fr-CA"/>
        </w:rPr>
        <w:t xml:space="preserve"> de la décision 14</w:t>
      </w:r>
      <w:r w:rsidR="000975BA" w:rsidRPr="00441D60">
        <w:rPr>
          <w:kern w:val="22"/>
          <w:lang w:val="fr-CA"/>
        </w:rPr>
        <w:t>,</w:t>
      </w:r>
    </w:p>
    <w:p w:rsidR="005C5FE0" w:rsidRPr="003F758F" w:rsidRDefault="005C5FE0" w:rsidP="003755CB">
      <w:pPr>
        <w:spacing w:before="120" w:after="120"/>
        <w:ind w:left="720" w:firstLine="698"/>
        <w:rPr>
          <w:lang w:val="fr-CA"/>
        </w:rPr>
      </w:pPr>
      <w:r w:rsidRPr="003F758F">
        <w:rPr>
          <w:lang w:val="fr-CA"/>
        </w:rPr>
        <w:t>1.</w:t>
      </w:r>
      <w:r w:rsidRPr="003F758F">
        <w:rPr>
          <w:lang w:val="fr-CA"/>
        </w:rPr>
        <w:tab/>
      </w:r>
      <w:r w:rsidRPr="003F758F">
        <w:rPr>
          <w:i/>
          <w:lang w:val="fr-CA"/>
        </w:rPr>
        <w:t>Décide</w:t>
      </w:r>
      <w:r w:rsidRPr="003F758F">
        <w:rPr>
          <w:iCs/>
          <w:lang w:val="fr-CA"/>
        </w:rPr>
        <w:t xml:space="preserve"> que le groupe spécial d</w:t>
      </w:r>
      <w:r w:rsidR="00257C6E">
        <w:rPr>
          <w:iCs/>
          <w:lang w:val="fr-CA"/>
        </w:rPr>
        <w:t>’</w:t>
      </w:r>
      <w:r w:rsidRPr="003F758F">
        <w:rPr>
          <w:iCs/>
          <w:lang w:val="fr-CA"/>
        </w:rPr>
        <w:t xml:space="preserve">experts techniques mentionné au </w:t>
      </w:r>
      <w:r w:rsidR="003755CB">
        <w:rPr>
          <w:iCs/>
          <w:lang w:val="fr-CA"/>
        </w:rPr>
        <w:t>paragraphe x de la décision 14</w:t>
      </w:r>
      <w:r w:rsidRPr="003F758F">
        <w:rPr>
          <w:iCs/>
          <w:lang w:val="fr-CA"/>
        </w:rPr>
        <w:t xml:space="preserve"> </w:t>
      </w:r>
      <w:r w:rsidR="006817B4">
        <w:rPr>
          <w:snapToGrid w:val="0"/>
          <w:kern w:val="22"/>
          <w:szCs w:val="22"/>
          <w:lang w:val="fr-CA"/>
        </w:rPr>
        <w:t>siégera aussi</w:t>
      </w:r>
      <w:r w:rsidR="003755CB">
        <w:rPr>
          <w:snapToGrid w:val="0"/>
          <w:kern w:val="22"/>
          <w:szCs w:val="22"/>
          <w:lang w:val="fr-CA"/>
        </w:rPr>
        <w:t xml:space="preserve"> au titre du</w:t>
      </w:r>
      <w:r w:rsidRPr="003F758F">
        <w:rPr>
          <w:snapToGrid w:val="0"/>
          <w:kern w:val="22"/>
          <w:szCs w:val="22"/>
          <w:lang w:val="fr-CA"/>
        </w:rPr>
        <w:t xml:space="preserve"> Protocole de Nagoya</w:t>
      </w:r>
      <w:r>
        <w:rPr>
          <w:snapToGrid w:val="0"/>
          <w:kern w:val="22"/>
          <w:szCs w:val="22"/>
          <w:lang w:val="fr-CA"/>
        </w:rPr>
        <w:t>;</w:t>
      </w:r>
    </w:p>
    <w:p w:rsidR="000975BA" w:rsidRPr="00441D60" w:rsidRDefault="005C5FE0" w:rsidP="006817B4">
      <w:pPr>
        <w:suppressLineNumbers/>
        <w:suppressAutoHyphens/>
        <w:kinsoku w:val="0"/>
        <w:overflowPunct w:val="0"/>
        <w:autoSpaceDE w:val="0"/>
        <w:autoSpaceDN w:val="0"/>
        <w:adjustRightInd w:val="0"/>
        <w:snapToGrid w:val="0"/>
        <w:spacing w:after="240"/>
        <w:ind w:left="720" w:firstLine="720"/>
        <w:rPr>
          <w:kern w:val="22"/>
          <w:lang w:val="fr-CA"/>
        </w:rPr>
      </w:pPr>
      <w:r w:rsidRPr="003F758F">
        <w:rPr>
          <w:lang w:val="fr-CA"/>
        </w:rPr>
        <w:t>2.</w:t>
      </w:r>
      <w:r w:rsidRPr="003F758F">
        <w:rPr>
          <w:lang w:val="fr-CA"/>
        </w:rPr>
        <w:tab/>
      </w:r>
      <w:r w:rsidRPr="003F758F">
        <w:rPr>
          <w:i/>
          <w:lang w:val="fr-CA"/>
        </w:rPr>
        <w:t xml:space="preserve">Prie </w:t>
      </w:r>
      <w:r w:rsidRPr="003F758F">
        <w:rPr>
          <w:iCs/>
          <w:lang w:val="fr-CA"/>
        </w:rPr>
        <w:t>l</w:t>
      </w:r>
      <w:r w:rsidR="00257C6E">
        <w:rPr>
          <w:iCs/>
          <w:lang w:val="fr-CA"/>
        </w:rPr>
        <w:t>’</w:t>
      </w:r>
      <w:r w:rsidRPr="003F758F">
        <w:rPr>
          <w:iCs/>
          <w:lang w:val="fr-CA"/>
        </w:rPr>
        <w:t>Organe subsidiaire chargé de fournir des avis scientifiques, techniques et technologiques d</w:t>
      </w:r>
      <w:r w:rsidR="00257C6E">
        <w:rPr>
          <w:iCs/>
          <w:lang w:val="fr-CA"/>
        </w:rPr>
        <w:t>’</w:t>
      </w:r>
      <w:r w:rsidRPr="003F758F">
        <w:rPr>
          <w:iCs/>
          <w:lang w:val="fr-CA"/>
        </w:rPr>
        <w:t>examiner les résultats du groupe spécial d</w:t>
      </w:r>
      <w:r w:rsidR="00257C6E">
        <w:rPr>
          <w:iCs/>
          <w:lang w:val="fr-CA"/>
        </w:rPr>
        <w:t>’</w:t>
      </w:r>
      <w:r w:rsidRPr="003F758F">
        <w:rPr>
          <w:iCs/>
          <w:lang w:val="fr-CA"/>
        </w:rPr>
        <w:t>experts techniques, et de formuler une recommandation aux fins d</w:t>
      </w:r>
      <w:r w:rsidR="00257C6E">
        <w:rPr>
          <w:iCs/>
          <w:lang w:val="fr-CA"/>
        </w:rPr>
        <w:t>’</w:t>
      </w:r>
      <w:r w:rsidRPr="003F758F">
        <w:rPr>
          <w:iCs/>
          <w:lang w:val="fr-CA"/>
        </w:rPr>
        <w:t>examen par la Conférence des Parties siégeant en tant que réunion des Parties au Protocole de Nagoya à sa quatrième réunion</w:t>
      </w:r>
      <w:r w:rsidR="000975BA" w:rsidRPr="00441D60">
        <w:rPr>
          <w:kern w:val="22"/>
          <w:lang w:val="fr-CA"/>
        </w:rPr>
        <w:t>.</w:t>
      </w:r>
      <w:r w:rsidR="000975BA" w:rsidRPr="006817B4">
        <w:rPr>
          <w:b/>
          <w:bCs/>
          <w:kern w:val="22"/>
          <w:sz w:val="24"/>
          <w:lang w:val="fr-CA"/>
        </w:rPr>
        <w:t>]</w:t>
      </w:r>
    </w:p>
    <w:p w:rsidR="00C9161D" w:rsidRPr="00441D60" w:rsidRDefault="000975BA" w:rsidP="00E46A38">
      <w:pPr>
        <w:suppressLineNumbers/>
        <w:suppressAutoHyphens/>
        <w:kinsoku w:val="0"/>
        <w:overflowPunct w:val="0"/>
        <w:autoSpaceDE w:val="0"/>
        <w:autoSpaceDN w:val="0"/>
        <w:adjustRightInd w:val="0"/>
        <w:snapToGrid w:val="0"/>
        <w:spacing w:before="120" w:after="120"/>
        <w:jc w:val="center"/>
        <w:rPr>
          <w:kern w:val="22"/>
          <w:lang w:val="fr-CA"/>
        </w:rPr>
      </w:pPr>
      <w:r w:rsidRPr="00441D60">
        <w:rPr>
          <w:kern w:val="22"/>
          <w:lang w:val="fr-CA"/>
        </w:rPr>
        <w:t>__________</w:t>
      </w:r>
    </w:p>
    <w:p w:rsidR="00B3369F" w:rsidRPr="00441D60" w:rsidRDefault="00B3369F" w:rsidP="00E46A38">
      <w:pPr>
        <w:suppressLineNumbers/>
        <w:suppressAutoHyphens/>
        <w:kinsoku w:val="0"/>
        <w:overflowPunct w:val="0"/>
        <w:autoSpaceDE w:val="0"/>
        <w:autoSpaceDN w:val="0"/>
        <w:adjustRightInd w:val="0"/>
        <w:snapToGrid w:val="0"/>
        <w:rPr>
          <w:kern w:val="22"/>
          <w:lang w:val="fr-CA"/>
        </w:rPr>
      </w:pPr>
    </w:p>
    <w:sectPr w:rsidR="00B3369F" w:rsidRPr="00441D60" w:rsidSect="00CE35CE">
      <w:headerReference w:type="even" r:id="rId12"/>
      <w:headerReference w:type="default" r:id="rId13"/>
      <w:pgSz w:w="12240" w:h="15840"/>
      <w:pgMar w:top="567" w:right="1389" w:bottom="851" w:left="1389" w:header="461"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2C1B" w:rsidRDefault="00992C1B" w:rsidP="00CF1848">
      <w:r>
        <w:separator/>
      </w:r>
    </w:p>
  </w:endnote>
  <w:endnote w:type="continuationSeparator" w:id="0">
    <w:p w:rsidR="00992C1B" w:rsidRDefault="00992C1B"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Arial"/>
    <w:charset w:val="00"/>
    <w:family w:val="auto"/>
    <w:pitch w:val="default"/>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2C1B" w:rsidRDefault="00992C1B" w:rsidP="00CF1848">
      <w:r>
        <w:separator/>
      </w:r>
    </w:p>
  </w:footnote>
  <w:footnote w:type="continuationSeparator" w:id="0">
    <w:p w:rsidR="00992C1B" w:rsidRDefault="00992C1B" w:rsidP="00CF1848">
      <w:r>
        <w:continuationSeparator/>
      </w:r>
    </w:p>
  </w:footnote>
  <w:footnote w:id="1">
    <w:p w:rsidR="008E3C4E" w:rsidRPr="00E46A38" w:rsidRDefault="008E3C4E" w:rsidP="00E46A38">
      <w:pPr>
        <w:pStyle w:val="FootnoteText"/>
        <w:kinsoku w:val="0"/>
        <w:overflowPunct w:val="0"/>
        <w:autoSpaceDE w:val="0"/>
        <w:autoSpaceDN w:val="0"/>
        <w:ind w:firstLine="0"/>
        <w:jc w:val="left"/>
        <w:rPr>
          <w:szCs w:val="18"/>
          <w:lang w:val="en-CA"/>
        </w:rPr>
      </w:pPr>
      <w:r w:rsidRPr="00E46A38">
        <w:rPr>
          <w:rStyle w:val="FootnoteReference"/>
          <w:sz w:val="18"/>
          <w:szCs w:val="18"/>
        </w:rPr>
        <w:footnoteRef/>
      </w:r>
      <w:r w:rsidRPr="00E46A38">
        <w:rPr>
          <w:szCs w:val="18"/>
        </w:rPr>
        <w:t xml:space="preserve"> CBD/SBSTTA/22/INF/2</w:t>
      </w:r>
      <w:r w:rsidR="00805D30" w:rsidRPr="00E46A38">
        <w:rPr>
          <w:szCs w:val="18"/>
        </w:rPr>
        <w:t>.</w:t>
      </w:r>
    </w:p>
  </w:footnote>
  <w:footnote w:id="2">
    <w:p w:rsidR="008E3C4E" w:rsidRPr="00E46A38" w:rsidRDefault="008E3C4E" w:rsidP="00E46A38">
      <w:pPr>
        <w:pStyle w:val="FootnoteText"/>
        <w:kinsoku w:val="0"/>
        <w:overflowPunct w:val="0"/>
        <w:autoSpaceDE w:val="0"/>
        <w:autoSpaceDN w:val="0"/>
        <w:ind w:firstLine="0"/>
        <w:jc w:val="left"/>
        <w:rPr>
          <w:szCs w:val="18"/>
          <w:lang w:val="en-CA"/>
        </w:rPr>
      </w:pPr>
      <w:r w:rsidRPr="00E46A38">
        <w:rPr>
          <w:rStyle w:val="FootnoteReference"/>
          <w:sz w:val="18"/>
          <w:szCs w:val="18"/>
        </w:rPr>
        <w:footnoteRef/>
      </w:r>
      <w:r w:rsidRPr="00E46A38">
        <w:rPr>
          <w:szCs w:val="18"/>
        </w:rPr>
        <w:t xml:space="preserve"> CBD/SBSTTA/22/INF/3</w:t>
      </w:r>
      <w:r w:rsidR="00805D30" w:rsidRPr="00E46A38">
        <w:rPr>
          <w:szCs w:val="18"/>
        </w:rPr>
        <w:t>.</w:t>
      </w:r>
    </w:p>
  </w:footnote>
  <w:footnote w:id="3">
    <w:p w:rsidR="00805D30" w:rsidRPr="006E53AE" w:rsidRDefault="00805D30" w:rsidP="00E46A38">
      <w:pPr>
        <w:pStyle w:val="FootnoteText"/>
        <w:kinsoku w:val="0"/>
        <w:overflowPunct w:val="0"/>
        <w:autoSpaceDE w:val="0"/>
        <w:autoSpaceDN w:val="0"/>
        <w:ind w:firstLine="0"/>
        <w:jc w:val="left"/>
        <w:rPr>
          <w:szCs w:val="18"/>
          <w:lang w:val="fr-FR"/>
        </w:rPr>
      </w:pPr>
      <w:r w:rsidRPr="00E46A38">
        <w:rPr>
          <w:rStyle w:val="FootnoteReference"/>
          <w:sz w:val="18"/>
          <w:szCs w:val="18"/>
        </w:rPr>
        <w:footnoteRef/>
      </w:r>
      <w:r w:rsidRPr="006E53AE">
        <w:rPr>
          <w:szCs w:val="18"/>
          <w:lang w:val="fr-FR"/>
        </w:rPr>
        <w:t xml:space="preserve"> CBD/SBSTTA/22/INF/4.</w:t>
      </w:r>
    </w:p>
  </w:footnote>
  <w:footnote w:id="4">
    <w:p w:rsidR="009206E6" w:rsidRPr="002B69DE" w:rsidRDefault="009206E6" w:rsidP="009206E6">
      <w:pPr>
        <w:pStyle w:val="FootnoteText"/>
        <w:ind w:firstLine="0"/>
        <w:rPr>
          <w:lang w:val="fr-FR"/>
        </w:rPr>
      </w:pPr>
      <w:r w:rsidRPr="002B69DE">
        <w:rPr>
          <w:rStyle w:val="FootnoteReference"/>
          <w:lang w:val="fr-FR"/>
        </w:rPr>
        <w:footnoteRef/>
      </w:r>
      <w:r w:rsidRPr="002B69DE">
        <w:rPr>
          <w:lang w:val="fr-FR"/>
        </w:rPr>
        <w:t xml:space="preserve"> Le groupe</w:t>
      </w:r>
      <w:r>
        <w:rPr>
          <w:lang w:val="fr-FR"/>
        </w:rPr>
        <w:t xml:space="preserve"> spécial d</w:t>
      </w:r>
      <w:r w:rsidR="00257C6E">
        <w:rPr>
          <w:lang w:val="fr-FR"/>
        </w:rPr>
        <w:t>’</w:t>
      </w:r>
      <w:r>
        <w:rPr>
          <w:lang w:val="fr-FR"/>
        </w:rPr>
        <w:t>experts techniqu</w:t>
      </w:r>
      <w:r w:rsidR="009434E1">
        <w:rPr>
          <w:lang w:val="fr-FR"/>
        </w:rPr>
        <w:t>es sera convoqué selon le</w:t>
      </w:r>
      <w:r>
        <w:rPr>
          <w:lang w:val="fr-FR"/>
        </w:rPr>
        <w:t xml:space="preserve"> mode de fonctionnement de l</w:t>
      </w:r>
      <w:r w:rsidR="00257C6E">
        <w:rPr>
          <w:lang w:val="fr-FR"/>
        </w:rPr>
        <w:t>’</w:t>
      </w:r>
      <w:r>
        <w:rPr>
          <w:lang w:val="fr-FR"/>
        </w:rPr>
        <w:t>Organe subsidiaire chargé de fournir des avis scientifiques, techniques et technologiques</w:t>
      </w:r>
      <w:r w:rsidR="009434E1">
        <w:rPr>
          <w:lang w:val="fr-FR"/>
        </w:rPr>
        <w:t>,</w:t>
      </w:r>
      <w:r>
        <w:rPr>
          <w:lang w:val="fr-FR"/>
        </w:rPr>
        <w:t xml:space="preserve"> mais comptera cinq experts nommés par chacune des cinq régions</w:t>
      </w:r>
      <w:r w:rsidRPr="006E53AE">
        <w:rPr>
          <w:lang w:val="fr-FR"/>
        </w:rPr>
        <w:t>.</w:t>
      </w:r>
    </w:p>
  </w:footnote>
  <w:footnote w:id="5">
    <w:p w:rsidR="0071315F" w:rsidRPr="002B69DE" w:rsidRDefault="0071315F" w:rsidP="0071315F">
      <w:pPr>
        <w:pStyle w:val="FootnoteText"/>
        <w:ind w:firstLine="0"/>
        <w:rPr>
          <w:lang w:val="fr-FR"/>
        </w:rPr>
      </w:pPr>
      <w:r w:rsidRPr="002B69DE">
        <w:rPr>
          <w:rStyle w:val="FootnoteReference"/>
          <w:rFonts w:eastAsiaTheme="majorEastAsia"/>
          <w:lang w:val="fr-FR"/>
        </w:rPr>
        <w:footnoteRef/>
      </w:r>
      <w:r w:rsidRPr="002B69DE">
        <w:rPr>
          <w:lang w:val="fr-FR"/>
        </w:rPr>
        <w:t xml:space="preserve"> CBD/SBSTTA/22/INF/2 et</w:t>
      </w:r>
      <w:r>
        <w:rPr>
          <w:lang w:val="fr-FR"/>
        </w:rPr>
        <w:t xml:space="preserve"> additifs 1</w:t>
      </w:r>
      <w:r w:rsidRPr="002B69DE">
        <w:rPr>
          <w:lang w:val="fr-FR"/>
        </w:rPr>
        <w:t xml:space="preserve"> </w:t>
      </w:r>
      <w:r>
        <w:rPr>
          <w:lang w:val="fr-FR"/>
        </w:rPr>
        <w:t>et </w:t>
      </w:r>
      <w:r w:rsidRPr="002B69DE">
        <w:rPr>
          <w:lang w:val="fr-FR"/>
        </w:rPr>
        <w:t>2.</w:t>
      </w:r>
    </w:p>
  </w:footnote>
  <w:footnote w:id="6">
    <w:p w:rsidR="0071315F" w:rsidRPr="002B69DE" w:rsidRDefault="0071315F" w:rsidP="0071315F">
      <w:pPr>
        <w:pStyle w:val="FootnoteText"/>
        <w:ind w:firstLine="0"/>
        <w:rPr>
          <w:lang w:val="fr-FR"/>
        </w:rPr>
      </w:pPr>
      <w:r w:rsidRPr="002B69DE">
        <w:rPr>
          <w:rStyle w:val="FootnoteReference"/>
          <w:rFonts w:eastAsiaTheme="majorEastAsia"/>
          <w:lang w:val="fr-FR"/>
        </w:rPr>
        <w:footnoteRef/>
      </w:r>
      <w:r>
        <w:rPr>
          <w:lang w:val="fr-FR"/>
        </w:rPr>
        <w:t xml:space="preserve"> CBD/SBSTTA/22/INF/3</w:t>
      </w:r>
    </w:p>
  </w:footnote>
  <w:footnote w:id="7">
    <w:p w:rsidR="0071315F" w:rsidRPr="002B69DE" w:rsidRDefault="0071315F" w:rsidP="0071315F">
      <w:pPr>
        <w:pStyle w:val="FootnoteText"/>
        <w:ind w:firstLine="0"/>
        <w:rPr>
          <w:lang w:val="fr-FR"/>
        </w:rPr>
      </w:pPr>
      <w:r w:rsidRPr="002B69DE">
        <w:rPr>
          <w:rStyle w:val="FootnoteReference"/>
          <w:rFonts w:eastAsiaTheme="majorEastAsia"/>
          <w:lang w:val="fr-FR"/>
        </w:rPr>
        <w:footnoteRef/>
      </w:r>
      <w:r w:rsidRPr="002B69DE">
        <w:rPr>
          <w:lang w:val="fr-FR"/>
        </w:rPr>
        <w:t xml:space="preserve"> CBD/SBSTTA/22/INF/4</w:t>
      </w:r>
      <w:bookmarkStart w:id="0" w:name="_GoBack"/>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rsidR="00534681" w:rsidRPr="00E46A38" w:rsidRDefault="006516C2" w:rsidP="00E46A38">
        <w:pPr>
          <w:pStyle w:val="Header"/>
          <w:tabs>
            <w:tab w:val="clear" w:pos="4320"/>
            <w:tab w:val="clear" w:pos="8640"/>
          </w:tabs>
          <w:kinsoku w:val="0"/>
          <w:overflowPunct w:val="0"/>
          <w:autoSpaceDE w:val="0"/>
          <w:autoSpaceDN w:val="0"/>
          <w:jc w:val="left"/>
          <w:rPr>
            <w:noProof/>
            <w:kern w:val="22"/>
          </w:rPr>
        </w:pPr>
        <w:r w:rsidRPr="00E46A38">
          <w:rPr>
            <w:noProof/>
            <w:kern w:val="22"/>
          </w:rPr>
          <w:t>CBD/SBSTTA/</w:t>
        </w:r>
        <w:r w:rsidR="003755CB">
          <w:rPr>
            <w:noProof/>
            <w:kern w:val="22"/>
          </w:rPr>
          <w:t>REC/22/1</w:t>
        </w:r>
      </w:p>
    </w:sdtContent>
  </w:sdt>
  <w:p w:rsidR="00534681" w:rsidRPr="00E46A38" w:rsidRDefault="00534681" w:rsidP="00E46A38">
    <w:pPr>
      <w:pStyle w:val="Header"/>
      <w:tabs>
        <w:tab w:val="clear" w:pos="4320"/>
        <w:tab w:val="clear" w:pos="8640"/>
      </w:tabs>
      <w:kinsoku w:val="0"/>
      <w:overflowPunct w:val="0"/>
      <w:autoSpaceDE w:val="0"/>
      <w:autoSpaceDN w:val="0"/>
      <w:jc w:val="left"/>
      <w:rPr>
        <w:noProof/>
        <w:kern w:val="22"/>
      </w:rPr>
    </w:pPr>
    <w:r w:rsidRPr="00E46A38">
      <w:rPr>
        <w:noProof/>
        <w:kern w:val="22"/>
      </w:rPr>
      <w:t xml:space="preserve">Page </w:t>
    </w:r>
    <w:r w:rsidR="00045B2D" w:rsidRPr="00E46A38">
      <w:rPr>
        <w:noProof/>
        <w:kern w:val="22"/>
      </w:rPr>
      <w:fldChar w:fldCharType="begin"/>
    </w:r>
    <w:r w:rsidRPr="00E46A38">
      <w:rPr>
        <w:noProof/>
        <w:kern w:val="22"/>
      </w:rPr>
      <w:instrText xml:space="preserve"> PAGE   \* MERGEFORMAT </w:instrText>
    </w:r>
    <w:r w:rsidR="00045B2D" w:rsidRPr="00E46A38">
      <w:rPr>
        <w:noProof/>
        <w:kern w:val="22"/>
      </w:rPr>
      <w:fldChar w:fldCharType="separate"/>
    </w:r>
    <w:r w:rsidR="00CF1CE0">
      <w:rPr>
        <w:noProof/>
        <w:kern w:val="22"/>
      </w:rPr>
      <w:t>4</w:t>
    </w:r>
    <w:r w:rsidR="00045B2D" w:rsidRPr="00E46A38">
      <w:rPr>
        <w:noProof/>
        <w:kern w:val="22"/>
      </w:rPr>
      <w:fldChar w:fldCharType="end"/>
    </w:r>
  </w:p>
  <w:p w:rsidR="00534681" w:rsidRPr="00E46A38" w:rsidRDefault="00534681" w:rsidP="00E46A38">
    <w:pPr>
      <w:pStyle w:val="Header"/>
      <w:tabs>
        <w:tab w:val="clear" w:pos="4320"/>
        <w:tab w:val="clear" w:pos="8640"/>
      </w:tabs>
      <w:kinsoku w:val="0"/>
      <w:overflowPunct w:val="0"/>
      <w:autoSpaceDE w:val="0"/>
      <w:autoSpaceDN w:val="0"/>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rsidR="009505C9" w:rsidRPr="00E46A38" w:rsidRDefault="003755CB" w:rsidP="00E46A38">
        <w:pPr>
          <w:pStyle w:val="Header"/>
          <w:tabs>
            <w:tab w:val="clear" w:pos="4320"/>
            <w:tab w:val="clear" w:pos="8640"/>
          </w:tabs>
          <w:kinsoku w:val="0"/>
          <w:overflowPunct w:val="0"/>
          <w:autoSpaceDE w:val="0"/>
          <w:autoSpaceDN w:val="0"/>
          <w:jc w:val="right"/>
          <w:rPr>
            <w:noProof/>
          </w:rPr>
        </w:pPr>
        <w:r>
          <w:rPr>
            <w:noProof/>
          </w:rPr>
          <w:t>CBD/SBSTTA/REC/22/1</w:t>
        </w:r>
      </w:p>
    </w:sdtContent>
  </w:sdt>
  <w:p w:rsidR="009505C9" w:rsidRPr="00E46A38" w:rsidRDefault="009505C9" w:rsidP="00E46A38">
    <w:pPr>
      <w:pStyle w:val="Header"/>
      <w:tabs>
        <w:tab w:val="clear" w:pos="4320"/>
        <w:tab w:val="clear" w:pos="8640"/>
      </w:tabs>
      <w:jc w:val="right"/>
      <w:rPr>
        <w:noProof/>
      </w:rPr>
    </w:pPr>
    <w:r w:rsidRPr="00E46A38">
      <w:rPr>
        <w:noProof/>
      </w:rPr>
      <w:t xml:space="preserve">Page </w:t>
    </w:r>
    <w:r w:rsidR="00045B2D" w:rsidRPr="00E46A38">
      <w:rPr>
        <w:noProof/>
      </w:rPr>
      <w:fldChar w:fldCharType="begin"/>
    </w:r>
    <w:r w:rsidRPr="00E46A38">
      <w:rPr>
        <w:noProof/>
      </w:rPr>
      <w:instrText xml:space="preserve"> PAGE   \* MERGEFORMAT </w:instrText>
    </w:r>
    <w:r w:rsidR="00045B2D" w:rsidRPr="00E46A38">
      <w:rPr>
        <w:noProof/>
      </w:rPr>
      <w:fldChar w:fldCharType="separate"/>
    </w:r>
    <w:r w:rsidR="00CF1CE0">
      <w:rPr>
        <w:noProof/>
      </w:rPr>
      <w:t>3</w:t>
    </w:r>
    <w:r w:rsidR="00045B2D" w:rsidRPr="00E46A38">
      <w:rPr>
        <w:noProof/>
      </w:rPr>
      <w:fldChar w:fldCharType="end"/>
    </w:r>
  </w:p>
  <w:p w:rsidR="009505C9" w:rsidRPr="00E46A38" w:rsidRDefault="009505C9" w:rsidP="00E46A38">
    <w:pPr>
      <w:pStyle w:val="Header"/>
      <w:tabs>
        <w:tab w:val="clear" w:pos="4320"/>
        <w:tab w:val="clear" w:pos="8640"/>
      </w:tabs>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grammar="clean"/>
  <w:defaultTabStop w:val="720"/>
  <w:hyphenationZone w:val="425"/>
  <w:evenAndOddHeaders/>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9161D"/>
    <w:rsid w:val="00000614"/>
    <w:rsid w:val="000037B0"/>
    <w:rsid w:val="0003664E"/>
    <w:rsid w:val="00043225"/>
    <w:rsid w:val="00045B2D"/>
    <w:rsid w:val="000975BA"/>
    <w:rsid w:val="000E2A2D"/>
    <w:rsid w:val="000E47B3"/>
    <w:rsid w:val="000E673A"/>
    <w:rsid w:val="000F4C65"/>
    <w:rsid w:val="000F74F5"/>
    <w:rsid w:val="00105372"/>
    <w:rsid w:val="0011511B"/>
    <w:rsid w:val="00120028"/>
    <w:rsid w:val="00131E7A"/>
    <w:rsid w:val="0014669C"/>
    <w:rsid w:val="001518E5"/>
    <w:rsid w:val="0016089F"/>
    <w:rsid w:val="0016667C"/>
    <w:rsid w:val="00172AF6"/>
    <w:rsid w:val="00176CEE"/>
    <w:rsid w:val="00182451"/>
    <w:rsid w:val="00182C4C"/>
    <w:rsid w:val="001B777D"/>
    <w:rsid w:val="001D1F79"/>
    <w:rsid w:val="001D414B"/>
    <w:rsid w:val="001D7C3E"/>
    <w:rsid w:val="001F4404"/>
    <w:rsid w:val="001F740A"/>
    <w:rsid w:val="00200B04"/>
    <w:rsid w:val="00257C6E"/>
    <w:rsid w:val="002D6330"/>
    <w:rsid w:val="002E5926"/>
    <w:rsid w:val="00326AAA"/>
    <w:rsid w:val="00372F74"/>
    <w:rsid w:val="003755CB"/>
    <w:rsid w:val="003C01A9"/>
    <w:rsid w:val="003F7224"/>
    <w:rsid w:val="00405146"/>
    <w:rsid w:val="0042412C"/>
    <w:rsid w:val="00424724"/>
    <w:rsid w:val="00427D21"/>
    <w:rsid w:val="00441D60"/>
    <w:rsid w:val="00450BD2"/>
    <w:rsid w:val="004644C2"/>
    <w:rsid w:val="00467F9C"/>
    <w:rsid w:val="00480F43"/>
    <w:rsid w:val="00496723"/>
    <w:rsid w:val="004B7311"/>
    <w:rsid w:val="004F4A21"/>
    <w:rsid w:val="00534681"/>
    <w:rsid w:val="0056185F"/>
    <w:rsid w:val="00565139"/>
    <w:rsid w:val="00572DE7"/>
    <w:rsid w:val="00576F61"/>
    <w:rsid w:val="005808F4"/>
    <w:rsid w:val="0058543F"/>
    <w:rsid w:val="00593B79"/>
    <w:rsid w:val="005B648D"/>
    <w:rsid w:val="005B6EA3"/>
    <w:rsid w:val="005C5FE0"/>
    <w:rsid w:val="005D069D"/>
    <w:rsid w:val="005E6F7B"/>
    <w:rsid w:val="00605655"/>
    <w:rsid w:val="006122BA"/>
    <w:rsid w:val="00622249"/>
    <w:rsid w:val="006516C2"/>
    <w:rsid w:val="006817B4"/>
    <w:rsid w:val="006A4CFA"/>
    <w:rsid w:val="006B2290"/>
    <w:rsid w:val="006B47CF"/>
    <w:rsid w:val="006D1522"/>
    <w:rsid w:val="006E00B8"/>
    <w:rsid w:val="006E53AE"/>
    <w:rsid w:val="0071315F"/>
    <w:rsid w:val="00717D88"/>
    <w:rsid w:val="00745201"/>
    <w:rsid w:val="0075753D"/>
    <w:rsid w:val="007733F1"/>
    <w:rsid w:val="007742B4"/>
    <w:rsid w:val="00793C20"/>
    <w:rsid w:val="007942D3"/>
    <w:rsid w:val="007A02D9"/>
    <w:rsid w:val="007B0C1C"/>
    <w:rsid w:val="007B6C09"/>
    <w:rsid w:val="007C04FF"/>
    <w:rsid w:val="007E09DA"/>
    <w:rsid w:val="00805D30"/>
    <w:rsid w:val="008153E2"/>
    <w:rsid w:val="008178B6"/>
    <w:rsid w:val="00846796"/>
    <w:rsid w:val="0085119C"/>
    <w:rsid w:val="00856721"/>
    <w:rsid w:val="00865B74"/>
    <w:rsid w:val="00876ADF"/>
    <w:rsid w:val="008839CA"/>
    <w:rsid w:val="00895248"/>
    <w:rsid w:val="008E3C4E"/>
    <w:rsid w:val="008F7F8C"/>
    <w:rsid w:val="00910F93"/>
    <w:rsid w:val="00913F4D"/>
    <w:rsid w:val="009145AF"/>
    <w:rsid w:val="009206E6"/>
    <w:rsid w:val="00930B3A"/>
    <w:rsid w:val="00930BA1"/>
    <w:rsid w:val="0093169E"/>
    <w:rsid w:val="00931F52"/>
    <w:rsid w:val="009434E1"/>
    <w:rsid w:val="009505C9"/>
    <w:rsid w:val="00992C1B"/>
    <w:rsid w:val="009935B2"/>
    <w:rsid w:val="009A3B96"/>
    <w:rsid w:val="009A76C2"/>
    <w:rsid w:val="009C200D"/>
    <w:rsid w:val="009D154A"/>
    <w:rsid w:val="00A1782D"/>
    <w:rsid w:val="00A461A8"/>
    <w:rsid w:val="00AC686F"/>
    <w:rsid w:val="00AC72D3"/>
    <w:rsid w:val="00AD6A03"/>
    <w:rsid w:val="00B20F09"/>
    <w:rsid w:val="00B3369F"/>
    <w:rsid w:val="00B45F0B"/>
    <w:rsid w:val="00BB1CD2"/>
    <w:rsid w:val="00C025D3"/>
    <w:rsid w:val="00C2521D"/>
    <w:rsid w:val="00C52EC4"/>
    <w:rsid w:val="00C55E4B"/>
    <w:rsid w:val="00C63F9F"/>
    <w:rsid w:val="00C77867"/>
    <w:rsid w:val="00C9161D"/>
    <w:rsid w:val="00CA49C4"/>
    <w:rsid w:val="00CA5846"/>
    <w:rsid w:val="00CC5D02"/>
    <w:rsid w:val="00CE35CE"/>
    <w:rsid w:val="00CF1848"/>
    <w:rsid w:val="00CF1CE0"/>
    <w:rsid w:val="00D0543A"/>
    <w:rsid w:val="00D12044"/>
    <w:rsid w:val="00D35474"/>
    <w:rsid w:val="00D71CE3"/>
    <w:rsid w:val="00D76A18"/>
    <w:rsid w:val="00D827AE"/>
    <w:rsid w:val="00D838AC"/>
    <w:rsid w:val="00D84F7B"/>
    <w:rsid w:val="00D937AB"/>
    <w:rsid w:val="00DB0DF1"/>
    <w:rsid w:val="00DB6579"/>
    <w:rsid w:val="00DD118C"/>
    <w:rsid w:val="00E02377"/>
    <w:rsid w:val="00E07D5B"/>
    <w:rsid w:val="00E1718B"/>
    <w:rsid w:val="00E2062E"/>
    <w:rsid w:val="00E21EE1"/>
    <w:rsid w:val="00E46A38"/>
    <w:rsid w:val="00E57AF2"/>
    <w:rsid w:val="00E66235"/>
    <w:rsid w:val="00E74720"/>
    <w:rsid w:val="00E83C24"/>
    <w:rsid w:val="00E9090C"/>
    <w:rsid w:val="00E9318D"/>
    <w:rsid w:val="00EA5CEA"/>
    <w:rsid w:val="00EC333F"/>
    <w:rsid w:val="00ED019D"/>
    <w:rsid w:val="00EF5F1D"/>
    <w:rsid w:val="00F222DC"/>
    <w:rsid w:val="00F33C2B"/>
    <w:rsid w:val="00F6357A"/>
    <w:rsid w:val="00F94774"/>
    <w:rsid w:val="00FC53DB"/>
  </w:rsids>
  <m:mathPr>
    <m:mathFont m:val="Cambria Math"/>
    <m:brkBin m:val="before"/>
    <m:brkBinSub m:val="--"/>
    <m:smallFrac m:val="0"/>
    <m:dispDef/>
    <m:lMargin m:val="0"/>
    <m:rMargin m:val="0"/>
    <m:defJc m:val="centerGroup"/>
    <m:wrapIndent m:val="1440"/>
    <m:intLim m:val="subSup"/>
    <m:naryLim m:val="undOvr"/>
  </m:mathPr>
  <w:themeFontLang w:val="fr-CA"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5:docId w15:val="{F0238BD3-14EB-4BF5-87F6-E0527CEE8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semiHidden/>
    <w:rsid w:val="00427D21"/>
    <w:rPr>
      <w:sz w:val="22"/>
      <w:u w:val="none"/>
      <w:vertAlign w:val="superscript"/>
    </w:rPr>
  </w:style>
  <w:style w:type="paragraph" w:styleId="FootnoteText">
    <w:name w:val="footnote text"/>
    <w:basedOn w:val="Normal"/>
    <w:link w:val="FootnoteTextChar"/>
    <w:semiHidden/>
    <w:rsid w:val="007E09DA"/>
    <w:pPr>
      <w:keepLines/>
      <w:spacing w:after="60"/>
      <w:ind w:firstLine="720"/>
    </w:pPr>
    <w:rPr>
      <w:sz w:val="18"/>
    </w:rPr>
  </w:style>
  <w:style w:type="character" w:customStyle="1" w:styleId="FootnoteTextChar">
    <w:name w:val="Footnote Text Char"/>
    <w:basedOn w:val="DefaultParagraphFont"/>
    <w:link w:val="FootnoteText"/>
    <w:semiHidden/>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recommendation">
    <w:name w:val="recommendation"/>
    <w:basedOn w:val="Heading2"/>
    <w:qFormat/>
    <w:rsid w:val="00931F52"/>
    <w:pPr>
      <w:tabs>
        <w:tab w:val="clear" w:pos="720"/>
      </w:tabs>
      <w:spacing w:before="240" w:after="60" w:line="276" w:lineRule="auto"/>
      <w:jc w:val="left"/>
    </w:pPr>
    <w:rPr>
      <w:i/>
      <w:snapToGrid w:val="0"/>
      <w:kern w:val="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Arial"/>
    <w:charset w:val="00"/>
    <w:family w:val="auto"/>
    <w:pitch w:val="default"/>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10A55"/>
    <w:rsid w:val="002610C0"/>
    <w:rsid w:val="00481938"/>
    <w:rsid w:val="00500A2B"/>
    <w:rsid w:val="0058288D"/>
    <w:rsid w:val="006801B3"/>
    <w:rsid w:val="00720F63"/>
    <w:rsid w:val="007F1B76"/>
    <w:rsid w:val="00800F83"/>
    <w:rsid w:val="00810A55"/>
    <w:rsid w:val="008C6619"/>
    <w:rsid w:val="008D420E"/>
    <w:rsid w:val="0098642F"/>
    <w:rsid w:val="00B3399D"/>
    <w:rsid w:val="00C745E9"/>
    <w:rsid w:val="00CE6602"/>
    <w:rsid w:val="00CF29AD"/>
    <w:rsid w:val="00E973D8"/>
  </w:rsids>
  <m:mathPr>
    <m:mathFont m:val="Cambria Math"/>
    <m:brkBin m:val="before"/>
    <m:brkBinSub m:val="--"/>
    <m:smallFrac m:val="0"/>
    <m:dispDef/>
    <m:lMargin m:val="0"/>
    <m:rMargin m:val="0"/>
    <m:defJc m:val="centerGroup"/>
    <m:wrapIndent m:val="1440"/>
    <m:intLim m:val="subSup"/>
    <m:naryLim m:val="undOvr"/>
  </m:mathPr>
  <w:themeFontLang w:val="fr-CA"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0F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73D8"/>
    <w:rPr>
      <w:color w:val="808080"/>
    </w:rPr>
  </w:style>
  <w:style w:type="paragraph" w:customStyle="1" w:styleId="C444DEE40D7C456B82AF1A09CD132ABF">
    <w:name w:val="C444DEE40D7C456B82AF1A09CD132ABF"/>
    <w:rsid w:val="00CE6602"/>
    <w:pPr>
      <w:spacing w:after="160" w:line="259" w:lineRule="auto"/>
    </w:pPr>
  </w:style>
  <w:style w:type="paragraph" w:customStyle="1" w:styleId="DA3C081DA4F94B42B842BE0C37DB6E42">
    <w:name w:val="DA3C081DA4F94B42B842BE0C37DB6E42"/>
    <w:rsid w:val="00CF29AD"/>
    <w:pPr>
      <w:spacing w:after="160" w:line="259" w:lineRule="auto"/>
    </w:pPr>
  </w:style>
  <w:style w:type="paragraph" w:customStyle="1" w:styleId="ADF9612CC1674E3EB995A2FB3A9947A6">
    <w:name w:val="ADF9612CC1674E3EB995A2FB3A9947A6"/>
    <w:rsid w:val="00E973D8"/>
    <w:pPr>
      <w:spacing w:after="160" w:line="259" w:lineRule="auto"/>
    </w:pPr>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DEAFB80-6BE7-4752-80D7-F79F69688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5</Pages>
  <Words>2372</Words>
  <Characters>13524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SCBD</Company>
  <LinksUpToDate>false</LinksUpToDate>
  <CharactersWithSpaces>15865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CBD/SBSTTA/REC/22/1</dc:subject>
  <dc:creator>SBSTTA 22</dc:creator>
  <cp:lastModifiedBy>Teresa Mazza</cp:lastModifiedBy>
  <cp:revision>59</cp:revision>
  <cp:lastPrinted>2018-07-06T22:51:00Z</cp:lastPrinted>
  <dcterms:created xsi:type="dcterms:W3CDTF">2018-07-07T00:24:00Z</dcterms:created>
  <dcterms:modified xsi:type="dcterms:W3CDTF">2018-08-21T15:23:00Z</dcterms:modified>
  <cp:contentStatus>GENERAL</cp:contentStatus>
</cp:coreProperties>
</file>