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5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756"/>
      </w:tblGrid>
      <w:tr w:rsidR="00C9161D" w:rsidRPr="00CF0122" w14:paraId="41B8E9AA" w14:textId="77777777" w:rsidTr="001F2542">
        <w:trPr>
          <w:trHeight w:val="709"/>
        </w:trPr>
        <w:tc>
          <w:tcPr>
            <w:tcW w:w="976" w:type="dxa"/>
            <w:tcBorders>
              <w:bottom w:val="single" w:sz="12" w:space="0" w:color="auto"/>
            </w:tcBorders>
          </w:tcPr>
          <w:p w14:paraId="213AB58C" w14:textId="77777777" w:rsidR="00C9161D" w:rsidRPr="00CF0122" w:rsidRDefault="00C9161D" w:rsidP="00E42CEA">
            <w:pPr>
              <w:suppressLineNumbers/>
              <w:suppressAutoHyphens/>
              <w:kinsoku w:val="0"/>
              <w:overflowPunct w:val="0"/>
              <w:autoSpaceDE w:val="0"/>
              <w:autoSpaceDN w:val="0"/>
              <w:adjustRightInd w:val="0"/>
              <w:snapToGrid w:val="0"/>
              <w:rPr>
                <w:kern w:val="22"/>
                <w:lang w:val="es-ES_tradnl"/>
              </w:rPr>
            </w:pPr>
            <w:r w:rsidRPr="00CF0122">
              <w:rPr>
                <w:noProof/>
                <w:lang w:val="es-ES_tradnl"/>
              </w:rPr>
              <w:drawing>
                <wp:inline distT="0" distB="0" distL="0" distR="0" wp14:anchorId="37594C93" wp14:editId="77DB6A9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64538D4E" w14:textId="77777777" w:rsidR="00C9161D" w:rsidRPr="00CF0122" w:rsidRDefault="00C9161D" w:rsidP="00E42CEA">
            <w:pPr>
              <w:suppressLineNumbers/>
              <w:suppressAutoHyphens/>
              <w:kinsoku w:val="0"/>
              <w:overflowPunct w:val="0"/>
              <w:autoSpaceDE w:val="0"/>
              <w:autoSpaceDN w:val="0"/>
              <w:adjustRightInd w:val="0"/>
              <w:snapToGrid w:val="0"/>
              <w:rPr>
                <w:kern w:val="22"/>
                <w:lang w:val="es-ES_tradnl"/>
              </w:rPr>
            </w:pPr>
            <w:r w:rsidRPr="00CF0122">
              <w:rPr>
                <w:noProof/>
                <w:lang w:val="es-ES_tradnl"/>
              </w:rPr>
              <w:drawing>
                <wp:inline distT="0" distB="0" distL="0" distR="0" wp14:anchorId="3794C566" wp14:editId="6165A9D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756" w:type="dxa"/>
            <w:tcBorders>
              <w:bottom w:val="single" w:sz="12" w:space="0" w:color="auto"/>
            </w:tcBorders>
          </w:tcPr>
          <w:p w14:paraId="7460D42E" w14:textId="77777777" w:rsidR="00C9161D" w:rsidRPr="00CF0122" w:rsidRDefault="00C9161D" w:rsidP="00E42CEA">
            <w:pPr>
              <w:suppressLineNumbers/>
              <w:suppressAutoHyphens/>
              <w:kinsoku w:val="0"/>
              <w:overflowPunct w:val="0"/>
              <w:autoSpaceDE w:val="0"/>
              <w:autoSpaceDN w:val="0"/>
              <w:adjustRightInd w:val="0"/>
              <w:snapToGrid w:val="0"/>
              <w:jc w:val="right"/>
              <w:rPr>
                <w:rFonts w:ascii="Arial" w:hAnsi="Arial" w:cs="Arial"/>
                <w:b/>
                <w:kern w:val="22"/>
                <w:sz w:val="32"/>
                <w:szCs w:val="32"/>
                <w:lang w:val="es-ES_tradnl"/>
              </w:rPr>
            </w:pPr>
            <w:r w:rsidRPr="00CF0122">
              <w:rPr>
                <w:rFonts w:ascii="Arial" w:hAnsi="Arial"/>
                <w:b/>
                <w:sz w:val="32"/>
                <w:szCs w:val="32"/>
                <w:lang w:val="es-ES_tradnl"/>
              </w:rPr>
              <w:t>CBD</w:t>
            </w:r>
          </w:p>
        </w:tc>
      </w:tr>
      <w:tr w:rsidR="00C9161D" w:rsidRPr="00CF0122" w14:paraId="19FF0EB9" w14:textId="77777777" w:rsidTr="001F2542">
        <w:tc>
          <w:tcPr>
            <w:tcW w:w="4776" w:type="dxa"/>
            <w:gridSpan w:val="2"/>
            <w:tcBorders>
              <w:top w:val="single" w:sz="12" w:space="0" w:color="auto"/>
              <w:bottom w:val="single" w:sz="36" w:space="0" w:color="auto"/>
            </w:tcBorders>
            <w:vAlign w:val="center"/>
          </w:tcPr>
          <w:p w14:paraId="6DE8E975" w14:textId="14A7D8E7" w:rsidR="00C9161D" w:rsidRPr="00CF0122" w:rsidRDefault="0022725A" w:rsidP="00E42CEA">
            <w:pPr>
              <w:suppressLineNumbers/>
              <w:suppressAutoHyphens/>
              <w:kinsoku w:val="0"/>
              <w:overflowPunct w:val="0"/>
              <w:autoSpaceDE w:val="0"/>
              <w:autoSpaceDN w:val="0"/>
              <w:adjustRightInd w:val="0"/>
              <w:snapToGrid w:val="0"/>
              <w:rPr>
                <w:kern w:val="22"/>
                <w:lang w:val="es-ES_tradnl"/>
              </w:rPr>
            </w:pPr>
            <w:r w:rsidRPr="00CF0122">
              <w:rPr>
                <w:noProof/>
                <w:lang w:val="es-ES_tradnl"/>
              </w:rPr>
              <w:drawing>
                <wp:inline distT="0" distB="0" distL="0" distR="0" wp14:anchorId="5C3BD591" wp14:editId="5A6CA2A1">
                  <wp:extent cx="2905125" cy="1076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756" w:type="dxa"/>
            <w:tcBorders>
              <w:top w:val="single" w:sz="12" w:space="0" w:color="auto"/>
              <w:bottom w:val="single" w:sz="36" w:space="0" w:color="auto"/>
            </w:tcBorders>
          </w:tcPr>
          <w:p w14:paraId="1B513161" w14:textId="77777777" w:rsidR="00C9161D" w:rsidRPr="00CF0122" w:rsidRDefault="00C9161D" w:rsidP="00E42CEA">
            <w:pPr>
              <w:suppressLineNumbers/>
              <w:suppressAutoHyphens/>
              <w:kinsoku w:val="0"/>
              <w:overflowPunct w:val="0"/>
              <w:autoSpaceDE w:val="0"/>
              <w:autoSpaceDN w:val="0"/>
              <w:adjustRightInd w:val="0"/>
              <w:snapToGrid w:val="0"/>
              <w:ind w:left="1961"/>
              <w:rPr>
                <w:kern w:val="22"/>
                <w:szCs w:val="22"/>
                <w:lang w:val="es-ES_tradnl"/>
              </w:rPr>
            </w:pPr>
            <w:r w:rsidRPr="00CF0122">
              <w:rPr>
                <w:lang w:val="es-ES_tradnl"/>
              </w:rPr>
              <w:t>Distr.</w:t>
            </w:r>
          </w:p>
          <w:p w14:paraId="14E02417" w14:textId="27BA5ED1" w:rsidR="00C9161D" w:rsidRPr="00CF0122" w:rsidRDefault="00863BE8" w:rsidP="00E42CEA">
            <w:pPr>
              <w:suppressLineNumbers/>
              <w:suppressAutoHyphens/>
              <w:kinsoku w:val="0"/>
              <w:overflowPunct w:val="0"/>
              <w:autoSpaceDE w:val="0"/>
              <w:autoSpaceDN w:val="0"/>
              <w:adjustRightInd w:val="0"/>
              <w:snapToGrid w:val="0"/>
              <w:ind w:left="1961"/>
              <w:rPr>
                <w:kern w:val="22"/>
                <w:szCs w:val="22"/>
                <w:lang w:val="es-ES_tradnl"/>
              </w:rPr>
            </w:pPr>
            <w:sdt>
              <w:sdtPr>
                <w:rPr>
                  <w:caps/>
                  <w:kern w:val="22"/>
                  <w:szCs w:val="22"/>
                  <w:lang w:val="es-ES_tradnl"/>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0C76B6" w:rsidRPr="00CF0122">
                  <w:rPr>
                    <w:caps/>
                    <w:kern w:val="22"/>
                    <w:szCs w:val="22"/>
                    <w:lang w:val="es-ES_tradnl"/>
                  </w:rPr>
                  <w:t>GENERAL</w:t>
                </w:r>
              </w:sdtContent>
            </w:sdt>
          </w:p>
          <w:p w14:paraId="75D555A0" w14:textId="77777777" w:rsidR="00C9161D" w:rsidRPr="00CF0122" w:rsidRDefault="00C9161D" w:rsidP="00E42CEA">
            <w:pPr>
              <w:suppressLineNumbers/>
              <w:suppressAutoHyphens/>
              <w:kinsoku w:val="0"/>
              <w:overflowPunct w:val="0"/>
              <w:autoSpaceDE w:val="0"/>
              <w:autoSpaceDN w:val="0"/>
              <w:adjustRightInd w:val="0"/>
              <w:snapToGrid w:val="0"/>
              <w:ind w:left="1961"/>
              <w:rPr>
                <w:kern w:val="22"/>
                <w:szCs w:val="22"/>
                <w:lang w:val="es-ES_tradnl"/>
              </w:rPr>
            </w:pPr>
          </w:p>
          <w:p w14:paraId="1442E213" w14:textId="48866571" w:rsidR="00C9161D" w:rsidRPr="00CF0122" w:rsidRDefault="00863BE8" w:rsidP="00E42CEA">
            <w:pPr>
              <w:suppressLineNumbers/>
              <w:suppressAutoHyphens/>
              <w:kinsoku w:val="0"/>
              <w:overflowPunct w:val="0"/>
              <w:autoSpaceDE w:val="0"/>
              <w:autoSpaceDN w:val="0"/>
              <w:adjustRightInd w:val="0"/>
              <w:snapToGrid w:val="0"/>
              <w:ind w:left="1961"/>
              <w:rPr>
                <w:kern w:val="22"/>
                <w:szCs w:val="22"/>
                <w:lang w:val="es-ES_tradnl"/>
              </w:rPr>
            </w:pPr>
            <w:sdt>
              <w:sdtPr>
                <w:rPr>
                  <w:kern w:val="22"/>
                  <w:szCs w:val="22"/>
                  <w:lang w:val="es-ES_tradnl"/>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0C76B6" w:rsidRPr="00CF0122">
                  <w:rPr>
                    <w:kern w:val="22"/>
                    <w:szCs w:val="22"/>
                    <w:lang w:val="es-ES_tradnl"/>
                  </w:rPr>
                  <w:t>CBD/SBSTTA/REC/22/2</w:t>
                </w:r>
              </w:sdtContent>
            </w:sdt>
          </w:p>
          <w:p w14:paraId="64E7AB9F" w14:textId="6103B7C8" w:rsidR="00C9161D" w:rsidRPr="00CF0122" w:rsidRDefault="00863BE8" w:rsidP="00E42CEA">
            <w:pPr>
              <w:suppressLineNumbers/>
              <w:suppressAutoHyphens/>
              <w:kinsoku w:val="0"/>
              <w:overflowPunct w:val="0"/>
              <w:autoSpaceDE w:val="0"/>
              <w:autoSpaceDN w:val="0"/>
              <w:adjustRightInd w:val="0"/>
              <w:snapToGrid w:val="0"/>
              <w:ind w:left="1961"/>
              <w:rPr>
                <w:kern w:val="22"/>
                <w:szCs w:val="22"/>
                <w:lang w:val="es-ES_tradnl"/>
              </w:rPr>
            </w:pPr>
            <w:sdt>
              <w:sdtPr>
                <w:rPr>
                  <w:kern w:val="22"/>
                  <w:szCs w:val="22"/>
                  <w:lang w:val="es-ES_tradnl"/>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dateFormat w:val="dd/MM/yyyy"/>
                  <w:lid w:val="es-ES"/>
                  <w:storeMappedDataAs w:val="dateTime"/>
                  <w:calendar w:val="gregorian"/>
                </w:date>
              </w:sdtPr>
              <w:sdtEndPr/>
              <w:sdtContent>
                <w:r w:rsidR="0022725A" w:rsidRPr="00CF0122">
                  <w:rPr>
                    <w:lang w:val="es-ES_tradnl"/>
                  </w:rPr>
                  <w:t>7 de julio de 2018</w:t>
                </w:r>
              </w:sdtContent>
            </w:sdt>
          </w:p>
          <w:p w14:paraId="26AFDFDC" w14:textId="77777777" w:rsidR="00C9161D" w:rsidRPr="00CF0122" w:rsidRDefault="00C9161D" w:rsidP="00E42CEA">
            <w:pPr>
              <w:suppressLineNumbers/>
              <w:suppressAutoHyphens/>
              <w:kinsoku w:val="0"/>
              <w:overflowPunct w:val="0"/>
              <w:autoSpaceDE w:val="0"/>
              <w:autoSpaceDN w:val="0"/>
              <w:adjustRightInd w:val="0"/>
              <w:snapToGrid w:val="0"/>
              <w:ind w:left="1961"/>
              <w:rPr>
                <w:kern w:val="22"/>
                <w:szCs w:val="22"/>
                <w:lang w:val="es-ES_tradnl"/>
              </w:rPr>
            </w:pPr>
          </w:p>
          <w:p w14:paraId="6406AD22" w14:textId="77777777" w:rsidR="0022725A" w:rsidRPr="00CF0122" w:rsidRDefault="00C9161D" w:rsidP="00E42CEA">
            <w:pPr>
              <w:suppressLineNumbers/>
              <w:suppressAutoHyphens/>
              <w:kinsoku w:val="0"/>
              <w:overflowPunct w:val="0"/>
              <w:autoSpaceDE w:val="0"/>
              <w:autoSpaceDN w:val="0"/>
              <w:adjustRightInd w:val="0"/>
              <w:snapToGrid w:val="0"/>
              <w:ind w:left="1961"/>
              <w:rPr>
                <w:lang w:val="es-ES_tradnl"/>
              </w:rPr>
            </w:pPr>
            <w:r w:rsidRPr="00CF0122">
              <w:rPr>
                <w:lang w:val="es-ES_tradnl"/>
              </w:rPr>
              <w:t>ESPAÑOL</w:t>
            </w:r>
          </w:p>
          <w:p w14:paraId="442BC061" w14:textId="4CBF5AAE" w:rsidR="00C9161D" w:rsidRPr="00CF0122" w:rsidRDefault="00C9161D" w:rsidP="00E42CEA">
            <w:pPr>
              <w:suppressLineNumbers/>
              <w:suppressAutoHyphens/>
              <w:kinsoku w:val="0"/>
              <w:overflowPunct w:val="0"/>
              <w:autoSpaceDE w:val="0"/>
              <w:autoSpaceDN w:val="0"/>
              <w:adjustRightInd w:val="0"/>
              <w:snapToGrid w:val="0"/>
              <w:ind w:left="1961"/>
              <w:rPr>
                <w:kern w:val="22"/>
                <w:szCs w:val="22"/>
                <w:lang w:val="es-ES_tradnl"/>
              </w:rPr>
            </w:pPr>
            <w:r w:rsidRPr="00CF0122">
              <w:rPr>
                <w:lang w:val="es-ES_tradnl"/>
              </w:rPr>
              <w:t>ORIGINAL:  INGLÉS</w:t>
            </w:r>
          </w:p>
          <w:p w14:paraId="5D8031B0" w14:textId="77777777" w:rsidR="00C9161D" w:rsidRPr="00CF0122" w:rsidRDefault="00C9161D" w:rsidP="00E42CEA">
            <w:pPr>
              <w:suppressLineNumbers/>
              <w:suppressAutoHyphens/>
              <w:kinsoku w:val="0"/>
              <w:overflowPunct w:val="0"/>
              <w:autoSpaceDE w:val="0"/>
              <w:autoSpaceDN w:val="0"/>
              <w:adjustRightInd w:val="0"/>
              <w:snapToGrid w:val="0"/>
              <w:rPr>
                <w:kern w:val="22"/>
                <w:lang w:val="es-ES_tradnl"/>
              </w:rPr>
            </w:pPr>
          </w:p>
        </w:tc>
      </w:tr>
    </w:tbl>
    <w:p w14:paraId="23DCD31D" w14:textId="77777777" w:rsidR="009D2C8F" w:rsidRPr="00CF0122" w:rsidRDefault="009D2C8F" w:rsidP="00E42CEA">
      <w:pPr>
        <w:pStyle w:val="meetingname"/>
        <w:suppressLineNumbers/>
        <w:suppressAutoHyphens/>
        <w:kinsoku w:val="0"/>
        <w:overflowPunct w:val="0"/>
        <w:autoSpaceDE w:val="0"/>
        <w:autoSpaceDN w:val="0"/>
        <w:adjustRightInd w:val="0"/>
        <w:snapToGrid w:val="0"/>
        <w:ind w:right="4642"/>
        <w:jc w:val="left"/>
        <w:rPr>
          <w:kern w:val="22"/>
          <w:lang w:val="es-ES_tradnl"/>
        </w:rPr>
      </w:pPr>
      <w:r w:rsidRPr="00CF0122">
        <w:rPr>
          <w:caps w:val="0"/>
          <w:lang w:val="es-ES_tradnl"/>
        </w:rPr>
        <w:t>ÓRGANO SUBSIDIARIO DE ASESORAMIENTO CIENTÍFICO, TÉCNICO Y TECNOLÓGICO</w:t>
      </w:r>
    </w:p>
    <w:p w14:paraId="699BC6CA" w14:textId="77777777" w:rsidR="009D2C8F" w:rsidRPr="00CF0122" w:rsidRDefault="009D2C8F" w:rsidP="00E42CEA">
      <w:pPr>
        <w:suppressLineNumbers/>
        <w:suppressAutoHyphens/>
        <w:kinsoku w:val="0"/>
        <w:overflowPunct w:val="0"/>
        <w:autoSpaceDE w:val="0"/>
        <w:autoSpaceDN w:val="0"/>
        <w:adjustRightInd w:val="0"/>
        <w:snapToGrid w:val="0"/>
        <w:rPr>
          <w:kern w:val="22"/>
          <w:szCs w:val="22"/>
          <w:lang w:val="es-ES_tradnl"/>
        </w:rPr>
      </w:pPr>
      <w:r w:rsidRPr="00CF0122">
        <w:rPr>
          <w:lang w:val="es-ES_tradnl"/>
        </w:rPr>
        <w:t>Vigésima segunda reunión</w:t>
      </w:r>
    </w:p>
    <w:p w14:paraId="1826299F" w14:textId="77777777" w:rsidR="009D2C8F" w:rsidRPr="00CF0122" w:rsidRDefault="009D2C8F" w:rsidP="00E42CEA">
      <w:pPr>
        <w:suppressLineNumbers/>
        <w:suppressAutoHyphens/>
        <w:kinsoku w:val="0"/>
        <w:overflowPunct w:val="0"/>
        <w:autoSpaceDE w:val="0"/>
        <w:autoSpaceDN w:val="0"/>
        <w:adjustRightInd w:val="0"/>
        <w:snapToGrid w:val="0"/>
        <w:rPr>
          <w:kern w:val="22"/>
          <w:szCs w:val="22"/>
          <w:lang w:val="es-ES_tradnl"/>
        </w:rPr>
      </w:pPr>
      <w:r w:rsidRPr="00CF0122">
        <w:rPr>
          <w:lang w:val="es-ES_tradnl"/>
        </w:rPr>
        <w:t>Montreal (Canadá), 2 a 7 de julio de 2018</w:t>
      </w:r>
    </w:p>
    <w:p w14:paraId="0B17845E" w14:textId="13355DEB" w:rsidR="009D2C8F" w:rsidRPr="00CF0122" w:rsidRDefault="009D2C8F" w:rsidP="00E42CEA">
      <w:pPr>
        <w:suppressLineNumbers/>
        <w:suppressAutoHyphens/>
        <w:kinsoku w:val="0"/>
        <w:overflowPunct w:val="0"/>
        <w:autoSpaceDE w:val="0"/>
        <w:autoSpaceDN w:val="0"/>
        <w:adjustRightInd w:val="0"/>
        <w:snapToGrid w:val="0"/>
        <w:rPr>
          <w:kern w:val="22"/>
          <w:szCs w:val="22"/>
          <w:lang w:val="es-ES_tradnl"/>
        </w:rPr>
      </w:pPr>
      <w:r w:rsidRPr="00CF0122">
        <w:rPr>
          <w:lang w:val="es-ES_tradnl"/>
        </w:rPr>
        <w:t>Tema 4 del programa</w:t>
      </w:r>
    </w:p>
    <w:p w14:paraId="402EDBA8" w14:textId="77777777" w:rsidR="00AC447B" w:rsidRPr="00CF0122" w:rsidRDefault="00AC447B" w:rsidP="00E42CEA">
      <w:pPr>
        <w:pStyle w:val="recommendation"/>
        <w:keepNext w:val="0"/>
        <w:suppressLineNumbers/>
        <w:suppressAutoHyphens/>
        <w:kinsoku w:val="0"/>
        <w:overflowPunct w:val="0"/>
        <w:autoSpaceDE w:val="0"/>
        <w:autoSpaceDN w:val="0"/>
        <w:adjustRightInd w:val="0"/>
        <w:snapToGrid w:val="0"/>
        <w:spacing w:line="240" w:lineRule="auto"/>
        <w:jc w:val="center"/>
        <w:rPr>
          <w:i w:val="0"/>
          <w:snapToGrid/>
          <w:kern w:val="22"/>
          <w:lang w:val="es-ES_tradnl"/>
        </w:rPr>
      </w:pPr>
      <w:r w:rsidRPr="00CF0122">
        <w:rPr>
          <w:i w:val="0"/>
          <w:snapToGrid/>
          <w:lang w:val="es-ES_tradnl"/>
        </w:rPr>
        <w:t>RECOMENDACIÓN ADOPTADA POR EL ÓRGANO SUBSIDIARIO DE ASESORAMIENTO CIENTÍFICO, TÉCNICO Y TECNOLÓGICO</w:t>
      </w:r>
    </w:p>
    <w:p w14:paraId="7B36F20C" w14:textId="55804C57" w:rsidR="00C9161D" w:rsidRPr="00CF0122" w:rsidRDefault="00863BE8" w:rsidP="00E42CEA">
      <w:pPr>
        <w:pStyle w:val="recommendation"/>
        <w:suppressLineNumbers/>
        <w:tabs>
          <w:tab w:val="left" w:pos="851"/>
        </w:tabs>
        <w:suppressAutoHyphens/>
        <w:kinsoku w:val="0"/>
        <w:overflowPunct w:val="0"/>
        <w:autoSpaceDE w:val="0"/>
        <w:autoSpaceDN w:val="0"/>
        <w:adjustRightInd w:val="0"/>
        <w:snapToGrid w:val="0"/>
        <w:jc w:val="center"/>
        <w:rPr>
          <w:i w:val="0"/>
          <w:snapToGrid/>
          <w:kern w:val="22"/>
          <w:lang w:val="es-ES_tradnl"/>
        </w:rPr>
      </w:pPr>
      <w:sdt>
        <w:sdtPr>
          <w:rPr>
            <w:i w:val="0"/>
            <w:snapToGrid/>
            <w:kern w:val="22"/>
            <w:lang w:val="es-ES_tradnl"/>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22725A" w:rsidRPr="00CF0122">
            <w:rPr>
              <w:i w:val="0"/>
              <w:snapToGrid/>
              <w:kern w:val="22"/>
              <w:lang w:val="es-ES_tradnl"/>
            </w:rPr>
            <w:t>22/2.</w:t>
          </w:r>
          <w:r w:rsidR="0022725A" w:rsidRPr="00CF0122">
            <w:rPr>
              <w:i w:val="0"/>
              <w:snapToGrid/>
              <w:kern w:val="22"/>
              <w:lang w:val="es-ES_tradnl"/>
            </w:rPr>
            <w:tab/>
            <w:t>Evaluación del riesgo y gestión del riesgo de organismos vivos modificados</w:t>
          </w:r>
        </w:sdtContent>
      </w:sdt>
    </w:p>
    <w:p w14:paraId="3FF64072" w14:textId="6C1EA44A" w:rsidR="00264516" w:rsidRPr="00CF0122" w:rsidRDefault="00264516" w:rsidP="00E42CEA">
      <w:pPr>
        <w:pStyle w:val="Para1"/>
        <w:suppressLineNumbers/>
        <w:suppressAutoHyphens/>
        <w:kinsoku w:val="0"/>
        <w:overflowPunct w:val="0"/>
        <w:autoSpaceDE w:val="0"/>
        <w:autoSpaceDN w:val="0"/>
        <w:adjustRightInd w:val="0"/>
        <w:snapToGrid w:val="0"/>
        <w:ind w:firstLine="720"/>
        <w:rPr>
          <w:snapToGrid/>
          <w:kern w:val="22"/>
          <w:szCs w:val="22"/>
          <w:lang w:val="es-ES_tradnl"/>
        </w:rPr>
      </w:pPr>
      <w:r w:rsidRPr="00CF0122">
        <w:rPr>
          <w:lang w:val="es-ES_tradnl"/>
        </w:rPr>
        <w:t>El Órgano Subsidiario de Asesoramiento Científico Técnico y Tecnológico recomienda a la Conferencia de las Partes que actúa como reunión de las Partes en el Protocolo de Cartagena que adopte una decisión del siguiente tenor:</w:t>
      </w:r>
    </w:p>
    <w:p w14:paraId="0AC5C94E" w14:textId="1A1F5B17" w:rsidR="00AC4904" w:rsidRPr="00CF0122" w:rsidRDefault="00AC4904" w:rsidP="00E42CEA">
      <w:pPr>
        <w:pStyle w:val="Para1"/>
        <w:suppressLineNumbers/>
        <w:suppressAutoHyphens/>
        <w:kinsoku w:val="0"/>
        <w:overflowPunct w:val="0"/>
        <w:autoSpaceDE w:val="0"/>
        <w:autoSpaceDN w:val="0"/>
        <w:adjustRightInd w:val="0"/>
        <w:snapToGrid w:val="0"/>
        <w:ind w:firstLine="720"/>
        <w:rPr>
          <w:i/>
          <w:snapToGrid/>
          <w:kern w:val="22"/>
          <w:szCs w:val="22"/>
          <w:lang w:val="es-ES_tradnl"/>
        </w:rPr>
      </w:pPr>
      <w:r w:rsidRPr="00CF0122">
        <w:rPr>
          <w:i/>
          <w:snapToGrid/>
          <w:szCs w:val="22"/>
          <w:lang w:val="es-ES_tradnl"/>
        </w:rPr>
        <w:t>La Conferencia de las Partes que actúa como reunión de las Partes en el Protocolo de Cartagena sobre Seguridad de la Biotecnología,</w:t>
      </w:r>
    </w:p>
    <w:p w14:paraId="60C877CC" w14:textId="00370CD6" w:rsidR="00AC4904" w:rsidRPr="00CF0122" w:rsidRDefault="00AC4904" w:rsidP="00E42CEA">
      <w:pPr>
        <w:pStyle w:val="Para1"/>
        <w:suppressLineNumbers/>
        <w:suppressAutoHyphens/>
        <w:kinsoku w:val="0"/>
        <w:overflowPunct w:val="0"/>
        <w:autoSpaceDE w:val="0"/>
        <w:autoSpaceDN w:val="0"/>
        <w:adjustRightInd w:val="0"/>
        <w:snapToGrid w:val="0"/>
        <w:ind w:firstLine="720"/>
        <w:rPr>
          <w:snapToGrid/>
          <w:kern w:val="22"/>
          <w:szCs w:val="22"/>
          <w:lang w:val="es-ES_tradnl"/>
        </w:rPr>
      </w:pPr>
      <w:r w:rsidRPr="00CF0122">
        <w:rPr>
          <w:i/>
          <w:lang w:val="es-ES_tradnl"/>
        </w:rPr>
        <w:t xml:space="preserve">Recordando </w:t>
      </w:r>
      <w:r w:rsidRPr="00CF0122">
        <w:rPr>
          <w:lang w:val="es-ES_tradnl"/>
        </w:rPr>
        <w:t>las decisiones</w:t>
      </w:r>
      <w:r w:rsidR="00240AE1">
        <w:rPr>
          <w:lang w:val="es-ES_tradnl"/>
        </w:rPr>
        <w:t> </w:t>
      </w:r>
      <w:bookmarkStart w:id="0" w:name="_GoBack"/>
      <w:bookmarkEnd w:id="0"/>
      <w:r w:rsidR="00863BE8">
        <w:rPr>
          <w:rStyle w:val="Hipervnculo"/>
          <w:snapToGrid/>
          <w:lang w:val="es-ES_tradnl"/>
        </w:rPr>
        <w:fldChar w:fldCharType="begin"/>
      </w:r>
      <w:r w:rsidR="00863BE8">
        <w:rPr>
          <w:rStyle w:val="Hipervnculo"/>
          <w:snapToGrid/>
          <w:lang w:val="es-ES_tradnl"/>
        </w:rPr>
        <w:instrText xml:space="preserve"> HYPERLINK "https://www.cbd.int/doc/decisions/mop-07/mop-07-dec-12-es.pdf" </w:instrText>
      </w:r>
      <w:r w:rsidR="00863BE8">
        <w:rPr>
          <w:rStyle w:val="Hipervnculo"/>
          <w:snapToGrid/>
          <w:lang w:val="es-ES_tradnl"/>
        </w:rPr>
        <w:fldChar w:fldCharType="separate"/>
      </w:r>
      <w:r w:rsidRPr="00CF0122">
        <w:rPr>
          <w:rStyle w:val="Hipervnculo"/>
          <w:snapToGrid/>
          <w:lang w:val="es-ES_tradnl"/>
        </w:rPr>
        <w:t>BS-VII/12</w:t>
      </w:r>
      <w:r w:rsidR="00863BE8">
        <w:rPr>
          <w:rStyle w:val="Hipervnculo"/>
          <w:snapToGrid/>
          <w:lang w:val="es-ES_tradnl"/>
        </w:rPr>
        <w:fldChar w:fldCharType="end"/>
      </w:r>
      <w:r w:rsidRPr="00CF0122">
        <w:rPr>
          <w:lang w:val="es-ES_tradnl"/>
        </w:rPr>
        <w:t xml:space="preserve"> y </w:t>
      </w:r>
      <w:hyperlink r:id="rId12" w:history="1">
        <w:r w:rsidRPr="00CF0122">
          <w:rPr>
            <w:rStyle w:val="Hipervnculo"/>
            <w:snapToGrid/>
            <w:lang w:val="es-ES_tradnl"/>
          </w:rPr>
          <w:t>XII/24</w:t>
        </w:r>
      </w:hyperlink>
      <w:r w:rsidRPr="00CF0122">
        <w:rPr>
          <w:lang w:val="es-ES_tradnl"/>
        </w:rPr>
        <w:t xml:space="preserve"> en las que se recomienda un enfoque coordinado de la cuestión de la biología sintética,</w:t>
      </w:r>
    </w:p>
    <w:p w14:paraId="05A8AB60" w14:textId="77777777" w:rsidR="00AC4904" w:rsidRPr="00CF0122" w:rsidRDefault="00AC4904" w:rsidP="00E42CEA">
      <w:pPr>
        <w:pStyle w:val="Para1"/>
        <w:suppressLineNumbers/>
        <w:suppressAutoHyphens/>
        <w:kinsoku w:val="0"/>
        <w:overflowPunct w:val="0"/>
        <w:autoSpaceDE w:val="0"/>
        <w:autoSpaceDN w:val="0"/>
        <w:adjustRightInd w:val="0"/>
        <w:snapToGrid w:val="0"/>
        <w:ind w:firstLine="720"/>
        <w:rPr>
          <w:snapToGrid/>
          <w:kern w:val="22"/>
          <w:szCs w:val="22"/>
          <w:lang w:val="es-ES_tradnl"/>
        </w:rPr>
      </w:pPr>
      <w:r w:rsidRPr="00CF0122">
        <w:rPr>
          <w:i/>
          <w:snapToGrid/>
          <w:szCs w:val="22"/>
          <w:lang w:val="es-ES_tradnl"/>
        </w:rPr>
        <w:t>Reafirmando</w:t>
      </w:r>
      <w:r w:rsidRPr="00CF0122">
        <w:rPr>
          <w:snapToGrid/>
          <w:szCs w:val="22"/>
          <w:lang w:val="es-ES_tradnl"/>
        </w:rPr>
        <w:t xml:space="preserve"> la decisión XII/24 de la Conferencia de las Partes en la que se instaba a las Partes y se invitaba a otros Gobiernos a adoptar un enfoque de precaución, de conformidad con el preámbulo del Convenio y con el artículo 14, al abordar las amenazas de reducción significativa o pérdida de diversidad biológica que representan los organismos, componentes y productos resultantes de la biología sintética, de conformidad con la legislación nacional y otras obligaciones internacionales pertinentes,</w:t>
      </w:r>
    </w:p>
    <w:p w14:paraId="32C32252" w14:textId="49B888B4" w:rsidR="00AC4904" w:rsidRPr="00CF0122" w:rsidRDefault="00AC4904" w:rsidP="00E42CEA">
      <w:pPr>
        <w:pStyle w:val="Para1"/>
        <w:numPr>
          <w:ilvl w:val="0"/>
          <w:numId w:val="21"/>
        </w:numPr>
        <w:suppressLineNumbers/>
        <w:suppressAutoHyphens/>
        <w:kinsoku w:val="0"/>
        <w:overflowPunct w:val="0"/>
        <w:autoSpaceDE w:val="0"/>
        <w:autoSpaceDN w:val="0"/>
        <w:adjustRightInd w:val="0"/>
        <w:snapToGrid w:val="0"/>
        <w:ind w:left="0" w:firstLine="720"/>
        <w:rPr>
          <w:snapToGrid/>
          <w:kern w:val="22"/>
          <w:szCs w:val="22"/>
          <w:lang w:val="es-ES_tradnl"/>
        </w:rPr>
      </w:pPr>
      <w:r w:rsidRPr="00CF0122">
        <w:rPr>
          <w:i/>
          <w:snapToGrid/>
          <w:szCs w:val="22"/>
          <w:lang w:val="es-ES_tradnl"/>
        </w:rPr>
        <w:t>Toma nota</w:t>
      </w:r>
      <w:r w:rsidRPr="00CF0122">
        <w:rPr>
          <w:snapToGrid/>
          <w:szCs w:val="22"/>
          <w:lang w:val="es-ES_tradnl"/>
        </w:rPr>
        <w:t xml:space="preserve"> de la disponibilidad de numerosos documentos de orientación y otros recursos para apoyar el proceso de evaluación del riesgo, pero </w:t>
      </w:r>
      <w:r w:rsidRPr="00CF0122">
        <w:rPr>
          <w:i/>
          <w:snapToGrid/>
          <w:szCs w:val="22"/>
          <w:lang w:val="es-ES_tradnl"/>
        </w:rPr>
        <w:t>reconoce</w:t>
      </w:r>
      <w:r w:rsidRPr="00CF0122">
        <w:rPr>
          <w:snapToGrid/>
          <w:szCs w:val="22"/>
          <w:lang w:val="es-ES_tradnl"/>
        </w:rPr>
        <w:t xml:space="preserve"> las carencias y necesidades identificadas por algunas Partes;</w:t>
      </w:r>
    </w:p>
    <w:p w14:paraId="75C5D24E" w14:textId="79330E3E" w:rsidR="00AC4904" w:rsidRPr="00CF0122" w:rsidRDefault="00AC4904" w:rsidP="00E42CEA">
      <w:pPr>
        <w:pStyle w:val="Para1"/>
        <w:numPr>
          <w:ilvl w:val="0"/>
          <w:numId w:val="21"/>
        </w:numPr>
        <w:suppressLineNumbers/>
        <w:suppressAutoHyphens/>
        <w:kinsoku w:val="0"/>
        <w:overflowPunct w:val="0"/>
        <w:autoSpaceDE w:val="0"/>
        <w:autoSpaceDN w:val="0"/>
        <w:adjustRightInd w:val="0"/>
        <w:snapToGrid w:val="0"/>
        <w:ind w:left="0" w:firstLine="720"/>
        <w:rPr>
          <w:i/>
          <w:snapToGrid/>
          <w:kern w:val="22"/>
          <w:szCs w:val="22"/>
          <w:lang w:val="es-ES_tradnl"/>
        </w:rPr>
      </w:pPr>
      <w:r w:rsidRPr="00CF0122">
        <w:rPr>
          <w:i/>
          <w:snapToGrid/>
          <w:szCs w:val="22"/>
          <w:lang w:val="es-ES_tradnl"/>
        </w:rPr>
        <w:t>Reconoce</w:t>
      </w:r>
      <w:r w:rsidRPr="00CF0122">
        <w:rPr>
          <w:snapToGrid/>
          <w:szCs w:val="22"/>
          <w:lang w:val="es-ES_tradnl"/>
        </w:rPr>
        <w:t xml:space="preserve"> la divergencia de opiniones entre las Partes acerca de si se requiere o no orientación adicional sobre temas específicos de la evaluación del riesgo;</w:t>
      </w:r>
    </w:p>
    <w:p w14:paraId="412202DC" w14:textId="17108941" w:rsidR="00AC4904" w:rsidRPr="00CF0122" w:rsidRDefault="003610C8" w:rsidP="00E42CEA">
      <w:pPr>
        <w:pStyle w:val="Para1"/>
        <w:numPr>
          <w:ilvl w:val="0"/>
          <w:numId w:val="21"/>
        </w:numPr>
        <w:suppressLineNumbers/>
        <w:suppressAutoHyphens/>
        <w:kinsoku w:val="0"/>
        <w:overflowPunct w:val="0"/>
        <w:autoSpaceDE w:val="0"/>
        <w:autoSpaceDN w:val="0"/>
        <w:adjustRightInd w:val="0"/>
        <w:snapToGrid w:val="0"/>
        <w:ind w:left="0" w:firstLine="720"/>
        <w:rPr>
          <w:snapToGrid/>
          <w:spacing w:val="-4"/>
          <w:kern w:val="22"/>
          <w:szCs w:val="22"/>
          <w:lang w:val="es-ES_tradnl"/>
        </w:rPr>
      </w:pPr>
      <w:r w:rsidRPr="00CF0122">
        <w:rPr>
          <w:i/>
          <w:snapToGrid/>
          <w:szCs w:val="22"/>
          <w:lang w:val="es-ES_tradnl"/>
        </w:rPr>
        <w:t>Reconoce también</w:t>
      </w:r>
      <w:r w:rsidRPr="00CF0122">
        <w:rPr>
          <w:snapToGrid/>
          <w:szCs w:val="22"/>
          <w:lang w:val="es-ES_tradnl"/>
        </w:rPr>
        <w:t xml:space="preserve"> que, dado que podrían existir posibles efectos adversos derivados de los organismos que contienen impulsores genéticos </w:t>
      </w:r>
      <w:r w:rsidR="00A400C1">
        <w:rPr>
          <w:snapToGrid/>
          <w:szCs w:val="22"/>
          <w:lang w:val="es-ES_tradnl"/>
        </w:rPr>
        <w:t>modificados</w:t>
      </w:r>
      <w:r w:rsidRPr="00CF0122">
        <w:rPr>
          <w:snapToGrid/>
          <w:szCs w:val="22"/>
          <w:lang w:val="es-ES_tradnl"/>
        </w:rPr>
        <w:t>, antes de que estos organismos sean considerados para su liberación en el medio ambiente, se requieren investigaciones y análisis, y que puede ser útil contar con orientación específica, para apoyar la evaluación del riesgo caso por caso;</w:t>
      </w:r>
    </w:p>
    <w:p w14:paraId="50D47A87" w14:textId="449C3051" w:rsidR="00AC4904" w:rsidRPr="00CF0122" w:rsidRDefault="00AC4904" w:rsidP="00E42CEA">
      <w:pPr>
        <w:pStyle w:val="Para1"/>
        <w:numPr>
          <w:ilvl w:val="0"/>
          <w:numId w:val="21"/>
        </w:numPr>
        <w:suppressLineNumbers/>
        <w:suppressAutoHyphens/>
        <w:kinsoku w:val="0"/>
        <w:overflowPunct w:val="0"/>
        <w:autoSpaceDE w:val="0"/>
        <w:autoSpaceDN w:val="0"/>
        <w:adjustRightInd w:val="0"/>
        <w:snapToGrid w:val="0"/>
        <w:ind w:left="0" w:firstLine="720"/>
        <w:rPr>
          <w:snapToGrid/>
          <w:kern w:val="22"/>
          <w:szCs w:val="22"/>
          <w:lang w:val="es-ES_tradnl"/>
        </w:rPr>
      </w:pPr>
      <w:r w:rsidRPr="00CF0122">
        <w:rPr>
          <w:i/>
          <w:snapToGrid/>
          <w:szCs w:val="22"/>
          <w:lang w:val="es-ES_tradnl"/>
        </w:rPr>
        <w:t xml:space="preserve">Toma nota </w:t>
      </w:r>
      <w:r w:rsidRPr="00CF0122">
        <w:rPr>
          <w:snapToGrid/>
          <w:szCs w:val="22"/>
          <w:lang w:val="es-ES_tradnl"/>
        </w:rPr>
        <w:t xml:space="preserve">de las conclusiones del Grupo Especial de Expertos Técnicos sobre Biología Sintética en cuanto a que, considerando las incertidumbres actuales con respecto a los impulsores genéticos </w:t>
      </w:r>
      <w:r w:rsidR="00A400C1">
        <w:rPr>
          <w:snapToGrid/>
          <w:szCs w:val="22"/>
          <w:lang w:val="es-ES_tradnl"/>
        </w:rPr>
        <w:t>modificados</w:t>
      </w:r>
      <w:r w:rsidRPr="00CF0122">
        <w:rPr>
          <w:snapToGrid/>
          <w:szCs w:val="22"/>
          <w:lang w:val="es-ES_tradnl"/>
        </w:rPr>
        <w:t xml:space="preserve">, puede que sea necesario obtener el consentimiento libre, previo y fundamentado de los pueblos indígenas y las comunidades locales al considerar la posible liberación de organismos que contienen impulsores genéticos </w:t>
      </w:r>
      <w:r w:rsidR="00A400C1">
        <w:rPr>
          <w:snapToGrid/>
          <w:szCs w:val="22"/>
          <w:lang w:val="es-ES_tradnl"/>
        </w:rPr>
        <w:t>modificados</w:t>
      </w:r>
      <w:r w:rsidRPr="00CF0122">
        <w:rPr>
          <w:snapToGrid/>
          <w:szCs w:val="22"/>
          <w:lang w:val="es-ES_tradnl"/>
        </w:rPr>
        <w:t xml:space="preserve"> que pueden afectar sus conocimientos tradicionales, innovaciones, prácticas y medios de vida y el uso de la tierra y el agua;</w:t>
      </w:r>
    </w:p>
    <w:p w14:paraId="026D6743" w14:textId="27EFCE2F" w:rsidR="00AC4904" w:rsidRPr="00CF0122" w:rsidRDefault="00AC4904" w:rsidP="00E42CEA">
      <w:pPr>
        <w:pStyle w:val="Para1"/>
        <w:numPr>
          <w:ilvl w:val="0"/>
          <w:numId w:val="21"/>
        </w:numPr>
        <w:suppressLineNumbers/>
        <w:suppressAutoHyphens/>
        <w:kinsoku w:val="0"/>
        <w:overflowPunct w:val="0"/>
        <w:autoSpaceDE w:val="0"/>
        <w:autoSpaceDN w:val="0"/>
        <w:adjustRightInd w:val="0"/>
        <w:snapToGrid w:val="0"/>
        <w:ind w:left="0" w:firstLine="720"/>
        <w:rPr>
          <w:snapToGrid/>
          <w:kern w:val="22"/>
          <w:szCs w:val="22"/>
          <w:lang w:val="es-ES_tradnl"/>
        </w:rPr>
      </w:pPr>
      <w:r w:rsidRPr="00CF0122">
        <w:rPr>
          <w:i/>
          <w:snapToGrid/>
          <w:szCs w:val="22"/>
          <w:lang w:val="es-ES_tradnl"/>
        </w:rPr>
        <w:t>Pide</w:t>
      </w:r>
      <w:r w:rsidRPr="00CF0122">
        <w:rPr>
          <w:snapToGrid/>
          <w:szCs w:val="22"/>
          <w:lang w:val="es-ES_tradnl"/>
        </w:rPr>
        <w:t xml:space="preserve"> que haya cooperación internacional, intercambio de conocimientos y creación de capacidad amplios para prestar apoyo, entre otros, a las Partes, con el fin de evaluar los posibles efectos </w:t>
      </w:r>
      <w:r w:rsidRPr="00CF0122">
        <w:rPr>
          <w:snapToGrid/>
          <w:szCs w:val="22"/>
          <w:lang w:val="es-ES_tradnl"/>
        </w:rPr>
        <w:lastRenderedPageBreak/>
        <w:t xml:space="preserve">adversos para la conservación y utilización sostenible de la diversidad biológica de [los organismos vivos modificados producidos mediante técnicas de edición genómica], los organismos vivos modificados que contienen impulsores genéticos </w:t>
      </w:r>
      <w:r w:rsidR="00A400C1">
        <w:rPr>
          <w:snapToGrid/>
          <w:szCs w:val="22"/>
          <w:lang w:val="es-ES_tradnl"/>
        </w:rPr>
        <w:t>modificados</w:t>
      </w:r>
      <w:r w:rsidRPr="00CF0122">
        <w:rPr>
          <w:snapToGrid/>
          <w:szCs w:val="22"/>
          <w:lang w:val="es-ES_tradnl"/>
        </w:rPr>
        <w:t xml:space="preserve"> y los peces vivos modificados, teniendo en cuenta los riesgos para la salud humana, el valor de la diversidad biológica para los pueblos indígenas y las comunidades locales y las experiencias pertinentes de cada país en la realización de la evaluación del riesgo de esos organismos de conformidad con el anexo III del Protocolo de Cartagena;</w:t>
      </w:r>
    </w:p>
    <w:p w14:paraId="3A1F1D21" w14:textId="2DF427E3" w:rsidR="00AC4904" w:rsidRPr="00CF0122" w:rsidRDefault="003A6A7C" w:rsidP="00E42CEA">
      <w:pPr>
        <w:pStyle w:val="Para1"/>
        <w:numPr>
          <w:ilvl w:val="0"/>
          <w:numId w:val="21"/>
        </w:numPr>
        <w:suppressLineNumbers/>
        <w:suppressAutoHyphens/>
        <w:kinsoku w:val="0"/>
        <w:overflowPunct w:val="0"/>
        <w:autoSpaceDE w:val="0"/>
        <w:autoSpaceDN w:val="0"/>
        <w:adjustRightInd w:val="0"/>
        <w:snapToGrid w:val="0"/>
        <w:ind w:left="0" w:firstLine="720"/>
        <w:rPr>
          <w:snapToGrid/>
          <w:kern w:val="22"/>
          <w:szCs w:val="22"/>
          <w:lang w:val="es-ES_tradnl"/>
        </w:rPr>
      </w:pPr>
      <w:r w:rsidRPr="00CF0122">
        <w:rPr>
          <w:i/>
          <w:lang w:val="es-ES_tradnl"/>
        </w:rPr>
        <w:t>Decide</w:t>
      </w:r>
      <w:r w:rsidRPr="00CF0122">
        <w:rPr>
          <w:lang w:val="es-ES_tradnl"/>
        </w:rPr>
        <w:t xml:space="preserve"> establecer un proceso para la identificación y priorización de cuestiones específicas respecto a la evaluación del riesgo de los organismos vivos modificados para que sea examinado por la Conferencia de las Partes que actúa como reunión de las Partes en el Protocolo de Cartagena con miras a elaborar orientación adicional sobre la evaluación del riesgo de las cuestiones específicas identificadas, teniendo en cuenta el anexo I;</w:t>
      </w:r>
    </w:p>
    <w:p w14:paraId="56AD3FC6" w14:textId="7DCE729B" w:rsidR="00AC4904" w:rsidRPr="00CF0122" w:rsidRDefault="00045FD6" w:rsidP="00E42CEA">
      <w:pPr>
        <w:pStyle w:val="Para1"/>
        <w:numPr>
          <w:ilvl w:val="0"/>
          <w:numId w:val="21"/>
        </w:numPr>
        <w:suppressLineNumbers/>
        <w:suppressAutoHyphens/>
        <w:kinsoku w:val="0"/>
        <w:overflowPunct w:val="0"/>
        <w:autoSpaceDE w:val="0"/>
        <w:autoSpaceDN w:val="0"/>
        <w:adjustRightInd w:val="0"/>
        <w:snapToGrid w:val="0"/>
        <w:ind w:left="0" w:firstLine="720"/>
        <w:rPr>
          <w:snapToGrid/>
          <w:kern w:val="22"/>
          <w:szCs w:val="22"/>
          <w:lang w:val="es-ES_tradnl"/>
        </w:rPr>
      </w:pPr>
      <w:r w:rsidRPr="00CF0122">
        <w:rPr>
          <w:i/>
          <w:snapToGrid/>
          <w:szCs w:val="22"/>
          <w:lang w:val="es-ES_tradnl"/>
        </w:rPr>
        <w:t>Decide también</w:t>
      </w:r>
      <w:r w:rsidRPr="00CF0122">
        <w:rPr>
          <w:snapToGrid/>
          <w:szCs w:val="22"/>
          <w:lang w:val="es-ES_tradnl"/>
        </w:rPr>
        <w:t xml:space="preserve"> estudiar, en su décima reunión, si se requieren o no materiales de orientación adicionales sobre evaluación del riesgo para [a) los organismos vivos modificados producidos mediante técnicas de edición genómica], b) los organismos vivos modificados que contienen impulsores genéticos </w:t>
      </w:r>
      <w:r w:rsidR="00A400C1">
        <w:rPr>
          <w:snapToGrid/>
          <w:szCs w:val="22"/>
          <w:lang w:val="es-ES_tradnl"/>
        </w:rPr>
        <w:t>modificados</w:t>
      </w:r>
      <w:r w:rsidRPr="00CF0122">
        <w:rPr>
          <w:snapToGrid/>
          <w:szCs w:val="22"/>
          <w:lang w:val="es-ES_tradnl"/>
        </w:rPr>
        <w:t xml:space="preserve"> y c) los peces vivos modificados;</w:t>
      </w:r>
    </w:p>
    <w:p w14:paraId="4F747608" w14:textId="02DE24CB" w:rsidR="00AC4904" w:rsidRPr="00CF0122" w:rsidRDefault="00970E20" w:rsidP="00E42CEA">
      <w:pPr>
        <w:pStyle w:val="Para1"/>
        <w:numPr>
          <w:ilvl w:val="0"/>
          <w:numId w:val="21"/>
        </w:numPr>
        <w:suppressLineNumbers/>
        <w:suppressAutoHyphens/>
        <w:kinsoku w:val="0"/>
        <w:overflowPunct w:val="0"/>
        <w:autoSpaceDE w:val="0"/>
        <w:autoSpaceDN w:val="0"/>
        <w:adjustRightInd w:val="0"/>
        <w:snapToGrid w:val="0"/>
        <w:ind w:left="0" w:firstLine="720"/>
        <w:rPr>
          <w:snapToGrid/>
          <w:kern w:val="22"/>
          <w:szCs w:val="22"/>
          <w:lang w:val="es-ES_tradnl"/>
        </w:rPr>
      </w:pPr>
      <w:r w:rsidRPr="00CF0122">
        <w:rPr>
          <w:i/>
          <w:snapToGrid/>
          <w:szCs w:val="22"/>
          <w:lang w:val="es-ES_tradnl"/>
        </w:rPr>
        <w:t>Decide además</w:t>
      </w:r>
      <w:r w:rsidRPr="00CF0122">
        <w:rPr>
          <w:snapToGrid/>
          <w:szCs w:val="22"/>
          <w:lang w:val="es-ES_tradnl"/>
        </w:rPr>
        <w:t xml:space="preserve"> establecer un grupo especial de expertos técnicos sobre evaluación del riesgo, integrado por expertos seleccionados de conformidad con el </w:t>
      </w:r>
      <w:r w:rsidRPr="00CF0122">
        <w:rPr>
          <w:i/>
          <w:snapToGrid/>
          <w:szCs w:val="22"/>
          <w:lang w:val="es-ES_tradnl"/>
        </w:rPr>
        <w:t>modus operandi</w:t>
      </w:r>
      <w:r w:rsidRPr="00CF0122">
        <w:rPr>
          <w:snapToGrid/>
          <w:szCs w:val="22"/>
          <w:lang w:val="es-ES_tradnl"/>
        </w:rPr>
        <w:t xml:space="preserve"> consolidado del Órgano Subsidiario de Asesoramiento Científico, Técnico y Tecnológico</w:t>
      </w:r>
      <w:r w:rsidR="00AC4904" w:rsidRPr="00CF0122">
        <w:rPr>
          <w:rStyle w:val="Refdenotaalpie"/>
          <w:rFonts w:eastAsiaTheme="majorEastAsia"/>
          <w:snapToGrid/>
          <w:kern w:val="22"/>
          <w:sz w:val="22"/>
          <w:szCs w:val="22"/>
          <w:u w:val="none"/>
          <w:vertAlign w:val="superscript"/>
          <w:lang w:val="es-ES_tradnl"/>
        </w:rPr>
        <w:footnoteReference w:id="2"/>
      </w:r>
      <w:r w:rsidRPr="00CF0122">
        <w:rPr>
          <w:snapToGrid/>
          <w:szCs w:val="22"/>
          <w:lang w:val="es-ES_tradnl"/>
        </w:rPr>
        <w:t>, de conformidad con el mandato que figura en el anexo II;</w:t>
      </w:r>
    </w:p>
    <w:p w14:paraId="41E0E859" w14:textId="7C49AF89" w:rsidR="00AC4904" w:rsidRPr="00CF0122" w:rsidRDefault="00AC4904" w:rsidP="00E42CEA">
      <w:pPr>
        <w:pStyle w:val="Para1"/>
        <w:numPr>
          <w:ilvl w:val="0"/>
          <w:numId w:val="21"/>
        </w:numPr>
        <w:suppressLineNumbers/>
        <w:suppressAutoHyphens/>
        <w:kinsoku w:val="0"/>
        <w:overflowPunct w:val="0"/>
        <w:autoSpaceDE w:val="0"/>
        <w:autoSpaceDN w:val="0"/>
        <w:adjustRightInd w:val="0"/>
        <w:snapToGrid w:val="0"/>
        <w:ind w:left="0" w:firstLine="720"/>
        <w:rPr>
          <w:snapToGrid/>
          <w:kern w:val="22"/>
          <w:szCs w:val="22"/>
          <w:lang w:val="es-ES_tradnl"/>
        </w:rPr>
      </w:pPr>
      <w:r w:rsidRPr="00CF0122">
        <w:rPr>
          <w:i/>
          <w:snapToGrid/>
          <w:szCs w:val="22"/>
          <w:lang w:val="es-ES_tradnl"/>
        </w:rPr>
        <w:t>Decide</w:t>
      </w:r>
      <w:r w:rsidRPr="00CF0122">
        <w:rPr>
          <w:snapToGrid/>
          <w:szCs w:val="22"/>
          <w:lang w:val="es-ES_tradnl"/>
        </w:rPr>
        <w:t xml:space="preserve"> prorrogar el foro en línea sobre evaluación del riesgo y gestión del riesgo para que preste asistencia al grupo especial de expertos técnicos sobre evaluación del riesgo;</w:t>
      </w:r>
    </w:p>
    <w:p w14:paraId="6C3E7732" w14:textId="7BA8C919" w:rsidR="00AC4904" w:rsidRPr="00CF0122" w:rsidRDefault="00AC4904" w:rsidP="00E42CEA">
      <w:pPr>
        <w:pStyle w:val="Para1"/>
        <w:numPr>
          <w:ilvl w:val="0"/>
          <w:numId w:val="21"/>
        </w:numPr>
        <w:suppressLineNumbers/>
        <w:suppressAutoHyphens/>
        <w:kinsoku w:val="0"/>
        <w:overflowPunct w:val="0"/>
        <w:autoSpaceDE w:val="0"/>
        <w:autoSpaceDN w:val="0"/>
        <w:adjustRightInd w:val="0"/>
        <w:snapToGrid w:val="0"/>
        <w:ind w:left="0" w:firstLine="720"/>
        <w:rPr>
          <w:snapToGrid/>
          <w:kern w:val="22"/>
          <w:szCs w:val="22"/>
          <w:lang w:val="es-ES_tradnl"/>
        </w:rPr>
      </w:pPr>
      <w:r w:rsidRPr="00CF0122">
        <w:rPr>
          <w:i/>
          <w:snapToGrid/>
          <w:szCs w:val="22"/>
          <w:lang w:val="es-ES_tradnl"/>
        </w:rPr>
        <w:t>Invita</w:t>
      </w:r>
      <w:r w:rsidRPr="00CF0122">
        <w:rPr>
          <w:snapToGrid/>
          <w:szCs w:val="22"/>
          <w:lang w:val="es-ES_tradnl"/>
        </w:rPr>
        <w:t xml:space="preserve"> a las Partes, otros Gobiernos, los pueblos indígenas y las comunidades locales, y organizaciones pertinentes, a que presenten a la Secretaria Ejecutiva información pertinente para la labor del foro en línea y del Grupo Especial de Expertos Técnicos;</w:t>
      </w:r>
    </w:p>
    <w:p w14:paraId="336FA357" w14:textId="77777777" w:rsidR="00AC4904" w:rsidRPr="00CF0122" w:rsidRDefault="00AC4904" w:rsidP="00E42CEA">
      <w:pPr>
        <w:pStyle w:val="Para1"/>
        <w:numPr>
          <w:ilvl w:val="0"/>
          <w:numId w:val="21"/>
        </w:numPr>
        <w:suppressLineNumbers/>
        <w:suppressAutoHyphens/>
        <w:kinsoku w:val="0"/>
        <w:overflowPunct w:val="0"/>
        <w:autoSpaceDE w:val="0"/>
        <w:autoSpaceDN w:val="0"/>
        <w:adjustRightInd w:val="0"/>
        <w:snapToGrid w:val="0"/>
        <w:ind w:left="0" w:firstLine="720"/>
        <w:rPr>
          <w:snapToGrid/>
          <w:kern w:val="22"/>
          <w:szCs w:val="22"/>
          <w:lang w:val="es-ES_tradnl"/>
        </w:rPr>
      </w:pPr>
      <w:r w:rsidRPr="00CF0122">
        <w:rPr>
          <w:i/>
          <w:snapToGrid/>
          <w:szCs w:val="22"/>
          <w:lang w:val="es-ES_tradnl"/>
        </w:rPr>
        <w:t>Pide</w:t>
      </w:r>
      <w:r w:rsidRPr="00CF0122">
        <w:rPr>
          <w:snapToGrid/>
          <w:szCs w:val="22"/>
          <w:lang w:val="es-ES_tradnl"/>
        </w:rPr>
        <w:t xml:space="preserve"> a la Secretaria Ejecutiva que, con sujeción a la disponibilidad de recursos:</w:t>
      </w:r>
    </w:p>
    <w:p w14:paraId="5CDA02EA" w14:textId="614AADC8" w:rsidR="00AC4904" w:rsidRPr="00CF0122" w:rsidRDefault="00AC4904" w:rsidP="00E42CEA">
      <w:pPr>
        <w:pStyle w:val="Prrafodelista"/>
        <w:numPr>
          <w:ilvl w:val="0"/>
          <w:numId w:val="22"/>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jc w:val="both"/>
        <w:rPr>
          <w:kern w:val="22"/>
          <w:sz w:val="22"/>
          <w:szCs w:val="22"/>
          <w:lang w:val="es-ES_tradnl"/>
        </w:rPr>
      </w:pPr>
      <w:r w:rsidRPr="00CF0122">
        <w:rPr>
          <w:sz w:val="22"/>
          <w:szCs w:val="22"/>
          <w:lang w:val="es-ES_tradnl"/>
        </w:rPr>
        <w:t xml:space="preserve">Encargue la realización de un estudio que aporte información acerca de la aplicación del anexo I a [i) los organismos vivos modificados producidos mediante técnicas de edición genómica], ii) los organismos vivos modificados que contienen impulsores genéticos </w:t>
      </w:r>
      <w:r w:rsidR="00A400C1">
        <w:rPr>
          <w:sz w:val="22"/>
          <w:szCs w:val="22"/>
          <w:lang w:val="es-ES_tradnl"/>
        </w:rPr>
        <w:t>modificados</w:t>
      </w:r>
      <w:r w:rsidRPr="00CF0122">
        <w:rPr>
          <w:sz w:val="22"/>
          <w:szCs w:val="22"/>
          <w:lang w:val="es-ES_tradnl"/>
        </w:rPr>
        <w:t xml:space="preserve"> y iii) los peces vivos modificados, para facilitar el proceso mencionado en el párrafo 5 anterior, y que lo presente al foro en línea de composición abierta y al Grupo Especial de Expertos Técnicos sobre Evaluación del Riesgo y Gestión del Riesgo;</w:t>
      </w:r>
    </w:p>
    <w:p w14:paraId="32AEC1B2" w14:textId="77777777" w:rsidR="00AC4904" w:rsidRPr="00CF0122" w:rsidRDefault="00AC4904" w:rsidP="00E42CEA">
      <w:pPr>
        <w:pStyle w:val="Prrafodelista"/>
        <w:numPr>
          <w:ilvl w:val="0"/>
          <w:numId w:val="22"/>
        </w:numPr>
        <w:suppressLineNumbers/>
        <w:suppressAutoHyphens/>
        <w:kinsoku w:val="0"/>
        <w:overflowPunct w:val="0"/>
        <w:autoSpaceDE w:val="0"/>
        <w:autoSpaceDN w:val="0"/>
        <w:adjustRightInd w:val="0"/>
        <w:snapToGrid w:val="0"/>
        <w:spacing w:before="120" w:after="120"/>
        <w:ind w:left="0" w:firstLine="720"/>
        <w:contextualSpacing w:val="0"/>
        <w:jc w:val="both"/>
        <w:rPr>
          <w:kern w:val="22"/>
          <w:sz w:val="22"/>
          <w:szCs w:val="22"/>
          <w:lang w:val="es-ES_tradnl"/>
        </w:rPr>
      </w:pPr>
      <w:r w:rsidRPr="00CF0122">
        <w:rPr>
          <w:color w:val="000000"/>
          <w:sz w:val="22"/>
          <w:szCs w:val="22"/>
          <w:lang w:val="es-ES_tradnl"/>
        </w:rPr>
        <w:t>Recopile</w:t>
      </w:r>
      <w:r w:rsidRPr="00CF0122">
        <w:rPr>
          <w:sz w:val="22"/>
          <w:szCs w:val="22"/>
          <w:lang w:val="es-ES_tradnl"/>
        </w:rPr>
        <w:t xml:space="preserve"> y resuma la información pertinente para facilitar la labor del foro en línea y del grupo especial de expertos técnicos;</w:t>
      </w:r>
    </w:p>
    <w:p w14:paraId="754998B6" w14:textId="77777777" w:rsidR="00AC4904" w:rsidRPr="00CF0122" w:rsidRDefault="00AC4904" w:rsidP="00E42CEA">
      <w:pPr>
        <w:pStyle w:val="Prrafodelista"/>
        <w:numPr>
          <w:ilvl w:val="0"/>
          <w:numId w:val="22"/>
        </w:numPr>
        <w:suppressLineNumbers/>
        <w:suppressAutoHyphens/>
        <w:kinsoku w:val="0"/>
        <w:overflowPunct w:val="0"/>
        <w:autoSpaceDE w:val="0"/>
        <w:autoSpaceDN w:val="0"/>
        <w:adjustRightInd w:val="0"/>
        <w:snapToGrid w:val="0"/>
        <w:spacing w:before="120" w:after="120"/>
        <w:ind w:left="0" w:firstLine="720"/>
        <w:contextualSpacing w:val="0"/>
        <w:jc w:val="both"/>
        <w:rPr>
          <w:color w:val="000000"/>
          <w:kern w:val="22"/>
          <w:sz w:val="22"/>
          <w:szCs w:val="22"/>
          <w:lang w:val="es-ES_tradnl"/>
        </w:rPr>
      </w:pPr>
      <w:r w:rsidRPr="00CF0122">
        <w:rPr>
          <w:color w:val="000000"/>
          <w:sz w:val="22"/>
          <w:szCs w:val="22"/>
          <w:lang w:val="es-ES_tradnl"/>
        </w:rPr>
        <w:t>Ayude al moderador principal del foro en línea a convocar debates y elaborar informes sobre los resultados de los debates;</w:t>
      </w:r>
    </w:p>
    <w:p w14:paraId="23747029" w14:textId="06AA0BA0" w:rsidR="00AC4904" w:rsidRPr="00CF0122" w:rsidRDefault="00AC4904" w:rsidP="00E42CEA">
      <w:pPr>
        <w:pStyle w:val="Prrafodelista"/>
        <w:numPr>
          <w:ilvl w:val="0"/>
          <w:numId w:val="22"/>
        </w:numPr>
        <w:suppressLineNumbers/>
        <w:suppressAutoHyphens/>
        <w:kinsoku w:val="0"/>
        <w:overflowPunct w:val="0"/>
        <w:autoSpaceDE w:val="0"/>
        <w:autoSpaceDN w:val="0"/>
        <w:adjustRightInd w:val="0"/>
        <w:snapToGrid w:val="0"/>
        <w:spacing w:before="120" w:after="120"/>
        <w:ind w:left="0" w:firstLine="720"/>
        <w:contextualSpacing w:val="0"/>
        <w:jc w:val="both"/>
        <w:rPr>
          <w:kern w:val="22"/>
          <w:sz w:val="22"/>
          <w:szCs w:val="22"/>
          <w:lang w:val="es-ES_tradnl"/>
        </w:rPr>
      </w:pPr>
      <w:r w:rsidRPr="00CF0122">
        <w:rPr>
          <w:color w:val="000000"/>
          <w:sz w:val="22"/>
          <w:szCs w:val="22"/>
          <w:lang w:val="es-ES_tradnl"/>
        </w:rPr>
        <w:t>Convoque</w:t>
      </w:r>
      <w:r w:rsidRPr="00CF0122">
        <w:rPr>
          <w:sz w:val="22"/>
          <w:szCs w:val="22"/>
          <w:lang w:val="es-ES_tradnl"/>
        </w:rPr>
        <w:t xml:space="preserve"> una reunión presencial del grupo especial de expertos técnicos sobre evaluación del riesgo;</w:t>
      </w:r>
    </w:p>
    <w:p w14:paraId="44FF9A0E" w14:textId="6F0C7A99" w:rsidR="00AC4904" w:rsidRPr="00CF0122" w:rsidRDefault="00AC4904" w:rsidP="00E42CEA">
      <w:pPr>
        <w:pStyle w:val="Prrafodelista"/>
        <w:numPr>
          <w:ilvl w:val="0"/>
          <w:numId w:val="21"/>
        </w:numPr>
        <w:suppressLineNumbers/>
        <w:suppressAutoHyphens/>
        <w:kinsoku w:val="0"/>
        <w:overflowPunct w:val="0"/>
        <w:autoSpaceDE w:val="0"/>
        <w:autoSpaceDN w:val="0"/>
        <w:adjustRightInd w:val="0"/>
        <w:snapToGrid w:val="0"/>
        <w:spacing w:before="120" w:after="120"/>
        <w:ind w:left="0" w:firstLine="720"/>
        <w:contextualSpacing w:val="0"/>
        <w:jc w:val="both"/>
        <w:rPr>
          <w:i/>
          <w:kern w:val="22"/>
          <w:sz w:val="22"/>
          <w:szCs w:val="22"/>
          <w:lang w:val="es-ES_tradnl"/>
        </w:rPr>
      </w:pPr>
      <w:r w:rsidRPr="00CF0122">
        <w:rPr>
          <w:i/>
          <w:sz w:val="22"/>
          <w:szCs w:val="22"/>
          <w:lang w:val="es-ES_tradnl"/>
        </w:rPr>
        <w:t xml:space="preserve">Pide </w:t>
      </w:r>
      <w:r w:rsidRPr="00CF0122">
        <w:rPr>
          <w:sz w:val="22"/>
          <w:szCs w:val="22"/>
          <w:lang w:val="es-ES_tradnl"/>
        </w:rPr>
        <w:t xml:space="preserve">al Órgano Subsidiario de Asesoramiento Científico, Técnico y Tecnológico que formule una recomendación acerca de si se requieren o no materiales de orientación adicionales sobre la evaluación del riesgo para [i) los organismos vivos modificados producidos mediante técnicas de edición genómica], ii) los organismos vivos modificados que contienen impulsores genéticos </w:t>
      </w:r>
      <w:r w:rsidR="00A400C1">
        <w:rPr>
          <w:sz w:val="22"/>
          <w:szCs w:val="22"/>
          <w:lang w:val="es-ES_tradnl"/>
        </w:rPr>
        <w:t>modificados</w:t>
      </w:r>
      <w:r w:rsidRPr="00CF0122">
        <w:rPr>
          <w:sz w:val="22"/>
          <w:szCs w:val="22"/>
          <w:lang w:val="es-ES_tradnl"/>
        </w:rPr>
        <w:t xml:space="preserve"> y iii) los peces vivos modificados para que la Conferencia de las Partes que actúa como reunión de las Partes en el Protocolo de Cartagena la examine en su décima reunión.</w:t>
      </w:r>
    </w:p>
    <w:p w14:paraId="1CC5D7AA" w14:textId="77777777" w:rsidR="00AC4904" w:rsidRPr="00CF0122" w:rsidRDefault="00AC4904" w:rsidP="00E42CEA">
      <w:pPr>
        <w:suppressLineNumbers/>
        <w:suppressAutoHyphens/>
        <w:kinsoku w:val="0"/>
        <w:overflowPunct w:val="0"/>
        <w:autoSpaceDE w:val="0"/>
        <w:autoSpaceDN w:val="0"/>
        <w:adjustRightInd w:val="0"/>
        <w:snapToGrid w:val="0"/>
        <w:jc w:val="right"/>
        <w:rPr>
          <w:i/>
          <w:kern w:val="22"/>
          <w:szCs w:val="22"/>
          <w:lang w:val="es-ES_tradnl"/>
        </w:rPr>
      </w:pPr>
    </w:p>
    <w:p w14:paraId="6CEF60A8" w14:textId="101A9F0A" w:rsidR="00AC4904" w:rsidRPr="00CF0122" w:rsidRDefault="00AC4904" w:rsidP="00E42CEA">
      <w:pPr>
        <w:keepNext/>
        <w:suppressLineNumbers/>
        <w:suppressAutoHyphens/>
        <w:kinsoku w:val="0"/>
        <w:overflowPunct w:val="0"/>
        <w:autoSpaceDE w:val="0"/>
        <w:autoSpaceDN w:val="0"/>
        <w:adjustRightInd w:val="0"/>
        <w:snapToGrid w:val="0"/>
        <w:spacing w:before="120" w:after="120"/>
        <w:jc w:val="center"/>
        <w:rPr>
          <w:i/>
          <w:kern w:val="22"/>
          <w:szCs w:val="22"/>
          <w:lang w:val="es-ES_tradnl"/>
        </w:rPr>
      </w:pPr>
      <w:r w:rsidRPr="00CF0122">
        <w:rPr>
          <w:i/>
          <w:szCs w:val="22"/>
          <w:lang w:val="es-ES_tradnl"/>
        </w:rPr>
        <w:lastRenderedPageBreak/>
        <w:t>Anexo</w:t>
      </w:r>
      <w:r w:rsidR="00CF0122">
        <w:rPr>
          <w:i/>
          <w:szCs w:val="22"/>
          <w:lang w:val="es-ES_tradnl"/>
        </w:rPr>
        <w:t> </w:t>
      </w:r>
      <w:r w:rsidRPr="00CF0122">
        <w:rPr>
          <w:i/>
          <w:szCs w:val="22"/>
          <w:lang w:val="es-ES_tradnl"/>
        </w:rPr>
        <w:t>I</w:t>
      </w:r>
    </w:p>
    <w:p w14:paraId="365C0D4F" w14:textId="77777777" w:rsidR="00AC4904" w:rsidRPr="00CF0122" w:rsidRDefault="00AC4904" w:rsidP="00E42CEA">
      <w:pPr>
        <w:keepNext/>
        <w:suppressLineNumbers/>
        <w:suppressAutoHyphens/>
        <w:kinsoku w:val="0"/>
        <w:overflowPunct w:val="0"/>
        <w:autoSpaceDE w:val="0"/>
        <w:autoSpaceDN w:val="0"/>
        <w:adjustRightInd w:val="0"/>
        <w:snapToGrid w:val="0"/>
        <w:spacing w:before="120" w:after="120"/>
        <w:jc w:val="center"/>
        <w:rPr>
          <w:b/>
          <w:kern w:val="22"/>
          <w:szCs w:val="22"/>
          <w:lang w:val="es-ES_tradnl"/>
        </w:rPr>
      </w:pPr>
      <w:r w:rsidRPr="00CF0122">
        <w:rPr>
          <w:b/>
          <w:szCs w:val="22"/>
          <w:lang w:val="es-ES_tradnl"/>
        </w:rPr>
        <w:t>Identificación y priorización de las cuestiones específicas de la evaluación del riesgo de los organismos vivos modificados que podrían merecer ser examinadas</w:t>
      </w:r>
    </w:p>
    <w:p w14:paraId="04776858" w14:textId="3A27FAC9" w:rsidR="00AC4904" w:rsidRPr="00CF0122" w:rsidRDefault="00AC4904" w:rsidP="00E42CEA">
      <w:pPr>
        <w:suppressLineNumbers/>
        <w:suppressAutoHyphens/>
        <w:kinsoku w:val="0"/>
        <w:overflowPunct w:val="0"/>
        <w:autoSpaceDE w:val="0"/>
        <w:autoSpaceDN w:val="0"/>
        <w:adjustRightInd w:val="0"/>
        <w:snapToGrid w:val="0"/>
        <w:spacing w:before="120" w:after="120"/>
        <w:ind w:firstLine="720"/>
        <w:rPr>
          <w:kern w:val="22"/>
          <w:szCs w:val="22"/>
          <w:lang w:val="es-ES_tradnl"/>
        </w:rPr>
      </w:pPr>
      <w:r w:rsidRPr="00CF0122">
        <w:rPr>
          <w:lang w:val="es-ES_tradnl"/>
        </w:rPr>
        <w:t>El proceso para recomendar cuestiones específicas de la evaluación del riesgo para que sean examinadas la Conferencia de las Partes que actúa como reunión de las Partes en el Protocolo de Cartagena debería incluir un análisis estructurado para evaluar si las cuestiones concretas cumplen lo siguiente:</w:t>
      </w:r>
    </w:p>
    <w:p w14:paraId="73EAA6DF" w14:textId="41179420" w:rsidR="00AC4904" w:rsidRPr="00CF0122" w:rsidRDefault="00AC4904" w:rsidP="00E42CEA">
      <w:pPr>
        <w:suppressLineNumbers/>
        <w:suppressAutoHyphens/>
        <w:kinsoku w:val="0"/>
        <w:overflowPunct w:val="0"/>
        <w:autoSpaceDE w:val="0"/>
        <w:autoSpaceDN w:val="0"/>
        <w:adjustRightInd w:val="0"/>
        <w:snapToGrid w:val="0"/>
        <w:spacing w:before="120" w:after="120"/>
        <w:ind w:firstLine="720"/>
        <w:rPr>
          <w:kern w:val="22"/>
          <w:szCs w:val="22"/>
          <w:lang w:val="es-ES_tradnl"/>
        </w:rPr>
      </w:pPr>
      <w:r w:rsidRPr="00CF0122">
        <w:rPr>
          <w:lang w:val="es-ES_tradnl"/>
        </w:rPr>
        <w:t>a)</w:t>
      </w:r>
      <w:r w:rsidRPr="00CF0122">
        <w:rPr>
          <w:lang w:val="es-ES_tradnl"/>
        </w:rPr>
        <w:tab/>
        <w:t>Las Partes las han identificado como prioridades teniendo en cuenta las dificultades para la evaluación del riesgo, especialmente de las Partes que son países en desarrollo y países con economías en transición;</w:t>
      </w:r>
    </w:p>
    <w:p w14:paraId="0C10ADFA" w14:textId="77777777" w:rsidR="00AC4904" w:rsidRPr="00CF0122" w:rsidRDefault="00AC4904" w:rsidP="00E42CEA">
      <w:pPr>
        <w:suppressLineNumbers/>
        <w:suppressAutoHyphens/>
        <w:kinsoku w:val="0"/>
        <w:overflowPunct w:val="0"/>
        <w:autoSpaceDE w:val="0"/>
        <w:autoSpaceDN w:val="0"/>
        <w:adjustRightInd w:val="0"/>
        <w:snapToGrid w:val="0"/>
        <w:spacing w:before="120" w:after="120"/>
        <w:ind w:firstLine="720"/>
        <w:rPr>
          <w:kern w:val="22"/>
          <w:szCs w:val="22"/>
          <w:lang w:val="es-ES_tradnl"/>
        </w:rPr>
      </w:pPr>
      <w:r w:rsidRPr="00CF0122">
        <w:rPr>
          <w:lang w:val="es-ES_tradnl"/>
        </w:rPr>
        <w:t>b)</w:t>
      </w:r>
      <w:r w:rsidRPr="00CF0122">
        <w:rPr>
          <w:lang w:val="es-ES_tradnl"/>
        </w:rPr>
        <w:tab/>
        <w:t>Están comprendidas en el ámbito y el objetivo del Protocolo de Cartagena;</w:t>
      </w:r>
    </w:p>
    <w:p w14:paraId="76EF1820" w14:textId="7F28C7C3" w:rsidR="00AC4904" w:rsidRPr="00CF0122" w:rsidRDefault="00AC4904" w:rsidP="00E42CEA">
      <w:pPr>
        <w:suppressLineNumbers/>
        <w:suppressAutoHyphens/>
        <w:kinsoku w:val="0"/>
        <w:overflowPunct w:val="0"/>
        <w:autoSpaceDE w:val="0"/>
        <w:autoSpaceDN w:val="0"/>
        <w:adjustRightInd w:val="0"/>
        <w:snapToGrid w:val="0"/>
        <w:spacing w:before="120" w:after="120"/>
        <w:ind w:firstLine="720"/>
        <w:rPr>
          <w:kern w:val="22"/>
          <w:szCs w:val="22"/>
          <w:lang w:val="es-ES_tradnl"/>
        </w:rPr>
      </w:pPr>
      <w:r w:rsidRPr="00CF0122">
        <w:rPr>
          <w:lang w:val="es-ES_tradnl"/>
        </w:rPr>
        <w:t>c)</w:t>
      </w:r>
      <w:r w:rsidRPr="00CF0122">
        <w:rPr>
          <w:lang w:val="es-ES_tradnl"/>
        </w:rPr>
        <w:tab/>
        <w:t>Plantean dificultades para los marcos, orientaciones y metodologías de evaluación del riesgo existentes; por ejemplo, el asunto en cuestión se ha evaluado con los marcos de evaluación del riesgo existentes pero plantea dificultades técnicas o metodológicas concretas que requieren mayor atención;</w:t>
      </w:r>
    </w:p>
    <w:p w14:paraId="4D7D6854" w14:textId="5A8472CF" w:rsidR="00AC4904" w:rsidRPr="00CF0122" w:rsidRDefault="00AC4904" w:rsidP="00E42CEA">
      <w:pPr>
        <w:suppressLineNumbers/>
        <w:suppressAutoHyphens/>
        <w:kinsoku w:val="0"/>
        <w:overflowPunct w:val="0"/>
        <w:autoSpaceDE w:val="0"/>
        <w:autoSpaceDN w:val="0"/>
        <w:adjustRightInd w:val="0"/>
        <w:snapToGrid w:val="0"/>
        <w:spacing w:before="120" w:after="120"/>
        <w:ind w:firstLine="720"/>
        <w:rPr>
          <w:kern w:val="22"/>
          <w:szCs w:val="22"/>
          <w:lang w:val="es-ES_tradnl"/>
        </w:rPr>
      </w:pPr>
      <w:r w:rsidRPr="00CF0122">
        <w:rPr>
          <w:lang w:val="es-ES_tradnl"/>
        </w:rPr>
        <w:t>d)</w:t>
      </w:r>
      <w:r w:rsidRPr="00CF0122">
        <w:rPr>
          <w:lang w:val="es-ES_tradnl"/>
        </w:rPr>
        <w:tab/>
        <w:t>Las dificultades para abordar la cuestión concreta se describen claramente;</w:t>
      </w:r>
    </w:p>
    <w:p w14:paraId="5F183D26" w14:textId="77777777" w:rsidR="00AC4904" w:rsidRPr="00CF0122" w:rsidRDefault="00AC4904" w:rsidP="00E42CEA">
      <w:pPr>
        <w:suppressLineNumbers/>
        <w:suppressAutoHyphens/>
        <w:kinsoku w:val="0"/>
        <w:overflowPunct w:val="0"/>
        <w:autoSpaceDE w:val="0"/>
        <w:autoSpaceDN w:val="0"/>
        <w:adjustRightInd w:val="0"/>
        <w:snapToGrid w:val="0"/>
        <w:spacing w:before="120" w:after="120"/>
        <w:rPr>
          <w:kern w:val="22"/>
          <w:szCs w:val="22"/>
          <w:lang w:val="es-ES_tradnl"/>
        </w:rPr>
      </w:pPr>
      <w:r w:rsidRPr="00CF0122">
        <w:rPr>
          <w:lang w:val="es-ES_tradnl"/>
        </w:rPr>
        <w:t>y considerando, entre otras cosas:</w:t>
      </w:r>
    </w:p>
    <w:p w14:paraId="3FEEC474" w14:textId="65511587" w:rsidR="00AC4904" w:rsidRPr="00CF0122" w:rsidRDefault="00AC4904" w:rsidP="00E42CEA">
      <w:pPr>
        <w:suppressLineNumbers/>
        <w:suppressAutoHyphens/>
        <w:kinsoku w:val="0"/>
        <w:overflowPunct w:val="0"/>
        <w:autoSpaceDE w:val="0"/>
        <w:autoSpaceDN w:val="0"/>
        <w:adjustRightInd w:val="0"/>
        <w:snapToGrid w:val="0"/>
        <w:spacing w:before="120" w:after="120"/>
        <w:ind w:firstLine="720"/>
        <w:rPr>
          <w:kern w:val="22"/>
          <w:szCs w:val="22"/>
          <w:lang w:val="es-ES_tradnl"/>
        </w:rPr>
      </w:pPr>
      <w:r w:rsidRPr="00CF0122">
        <w:rPr>
          <w:lang w:val="es-ES_tradnl"/>
        </w:rPr>
        <w:t>e)</w:t>
      </w:r>
      <w:r w:rsidRPr="00CF0122">
        <w:rPr>
          <w:lang w:val="es-ES_tradnl"/>
        </w:rPr>
        <w:tab/>
        <w:t>Las cuestiones concretas atañen a organismos vivos modificados que:</w:t>
      </w:r>
    </w:p>
    <w:p w14:paraId="45F37453" w14:textId="754F5A02" w:rsidR="00AC4904" w:rsidRPr="00CF0122" w:rsidRDefault="00AC4904" w:rsidP="00E42CEA">
      <w:pPr>
        <w:suppressLineNumbers/>
        <w:suppressAutoHyphens/>
        <w:kinsoku w:val="0"/>
        <w:overflowPunct w:val="0"/>
        <w:autoSpaceDE w:val="0"/>
        <w:autoSpaceDN w:val="0"/>
        <w:adjustRightInd w:val="0"/>
        <w:snapToGrid w:val="0"/>
        <w:spacing w:before="120" w:after="120"/>
        <w:ind w:left="1980" w:hanging="540"/>
        <w:rPr>
          <w:kern w:val="22"/>
          <w:szCs w:val="22"/>
          <w:lang w:val="es-ES_tradnl"/>
        </w:rPr>
      </w:pPr>
      <w:r w:rsidRPr="00CF0122">
        <w:rPr>
          <w:lang w:val="es-ES_tradnl"/>
        </w:rPr>
        <w:t>i)</w:t>
      </w:r>
      <w:r w:rsidRPr="00CF0122">
        <w:rPr>
          <w:lang w:val="es-ES_tradnl"/>
        </w:rPr>
        <w:tab/>
        <w:t>Podrían tener efectos adversos [graves o irreversibles] en la diversidad biológica, teniendo en cuenta la urgente necesidad de proteger aspectos específicos de esta, como por ejemplo una especie endémica/rara o un hábitat/ecosistema singular, teniendo en consideración los riesgos para la salud humana y el valor de la diversidad biológica para los pueblos indígenas y las comunidades locales;</w:t>
      </w:r>
    </w:p>
    <w:p w14:paraId="27C27A5B" w14:textId="003D023B" w:rsidR="00AC4904" w:rsidRPr="00CF0122" w:rsidRDefault="00AC4904" w:rsidP="00E42CEA">
      <w:pPr>
        <w:suppressLineNumbers/>
        <w:suppressAutoHyphens/>
        <w:kinsoku w:val="0"/>
        <w:overflowPunct w:val="0"/>
        <w:autoSpaceDE w:val="0"/>
        <w:autoSpaceDN w:val="0"/>
        <w:adjustRightInd w:val="0"/>
        <w:snapToGrid w:val="0"/>
        <w:spacing w:before="120" w:after="120"/>
        <w:ind w:left="1980" w:hanging="540"/>
        <w:rPr>
          <w:kern w:val="22"/>
          <w:szCs w:val="22"/>
          <w:lang w:val="es-ES_tradnl"/>
        </w:rPr>
      </w:pPr>
      <w:r w:rsidRPr="00CF0122">
        <w:rPr>
          <w:lang w:val="es-ES_tradnl"/>
        </w:rPr>
        <w:t>ii)</w:t>
      </w:r>
      <w:r w:rsidRPr="00CF0122">
        <w:rPr>
          <w:lang w:val="es-ES_tradnl"/>
        </w:rPr>
        <w:tab/>
        <w:t>Podrían ser introducidos en el medio ambiente de forma ya sea deliberada o accidental;</w:t>
      </w:r>
    </w:p>
    <w:p w14:paraId="6ADCC59B" w14:textId="3F8B3C85" w:rsidR="00AC4904" w:rsidRPr="00CF0122" w:rsidRDefault="00AC4904" w:rsidP="00E42CEA">
      <w:pPr>
        <w:suppressLineNumbers/>
        <w:suppressAutoHyphens/>
        <w:kinsoku w:val="0"/>
        <w:overflowPunct w:val="0"/>
        <w:autoSpaceDE w:val="0"/>
        <w:autoSpaceDN w:val="0"/>
        <w:adjustRightInd w:val="0"/>
        <w:snapToGrid w:val="0"/>
        <w:spacing w:before="120" w:after="120"/>
        <w:ind w:left="1980" w:hanging="540"/>
        <w:rPr>
          <w:kern w:val="22"/>
          <w:szCs w:val="22"/>
          <w:lang w:val="es-ES_tradnl"/>
        </w:rPr>
      </w:pPr>
      <w:r w:rsidRPr="00CF0122">
        <w:rPr>
          <w:lang w:val="es-ES_tradnl"/>
        </w:rPr>
        <w:t>iii)</w:t>
      </w:r>
      <w:r w:rsidRPr="00CF0122">
        <w:rPr>
          <w:lang w:val="es-ES_tradnl"/>
        </w:rPr>
        <w:tab/>
        <w:t>Podrían propagarse atravesando fronteras nacionales;</w:t>
      </w:r>
    </w:p>
    <w:p w14:paraId="3295AF44" w14:textId="77777777" w:rsidR="00AC4904" w:rsidRPr="00CF0122" w:rsidRDefault="00AC4904" w:rsidP="00E42CEA">
      <w:pPr>
        <w:suppressLineNumbers/>
        <w:suppressAutoHyphens/>
        <w:kinsoku w:val="0"/>
        <w:overflowPunct w:val="0"/>
        <w:autoSpaceDE w:val="0"/>
        <w:autoSpaceDN w:val="0"/>
        <w:adjustRightInd w:val="0"/>
        <w:snapToGrid w:val="0"/>
        <w:spacing w:before="120" w:after="120"/>
        <w:ind w:left="1980" w:hanging="540"/>
        <w:rPr>
          <w:kern w:val="22"/>
          <w:szCs w:val="22"/>
          <w:lang w:val="es-ES_tradnl"/>
        </w:rPr>
      </w:pPr>
      <w:r w:rsidRPr="00CF0122">
        <w:rPr>
          <w:lang w:val="es-ES_tradnl"/>
        </w:rPr>
        <w:t>iv)</w:t>
      </w:r>
      <w:r w:rsidRPr="00CF0122">
        <w:rPr>
          <w:lang w:val="es-ES_tradnl"/>
        </w:rPr>
        <w:tab/>
        <w:t>Ya se comercializan o usan, o es probable que se comercialicen o usen, en alguna parte del mundo;</w:t>
      </w:r>
    </w:p>
    <w:p w14:paraId="3371832B" w14:textId="77777777" w:rsidR="00AC4904" w:rsidRPr="00CF0122" w:rsidRDefault="00AC4904" w:rsidP="00E42CEA">
      <w:pPr>
        <w:suppressLineNumbers/>
        <w:suppressAutoHyphens/>
        <w:kinsoku w:val="0"/>
        <w:overflowPunct w:val="0"/>
        <w:autoSpaceDE w:val="0"/>
        <w:autoSpaceDN w:val="0"/>
        <w:adjustRightInd w:val="0"/>
        <w:snapToGrid w:val="0"/>
        <w:spacing w:before="120" w:after="120"/>
        <w:rPr>
          <w:kern w:val="22"/>
          <w:szCs w:val="22"/>
          <w:lang w:val="es-ES_tradnl"/>
        </w:rPr>
      </w:pPr>
      <w:r w:rsidRPr="00CF0122">
        <w:rPr>
          <w:lang w:val="es-ES_tradnl"/>
        </w:rPr>
        <w:t>y considerar un ejercicio de balance para determinar si se han elaborado recursos sobre cuestiones similares en otros órganos nacionales, regionales o internacionales y, en tal caso, si esos recursos pueden ser revisados o adaptados al objetivo del Protocolo de Cartagena, según proceda.</w:t>
      </w:r>
    </w:p>
    <w:p w14:paraId="24C1DCB1" w14:textId="796162E7" w:rsidR="00AC4904" w:rsidRPr="00CF0122" w:rsidRDefault="00AC4904" w:rsidP="00E42CEA">
      <w:pPr>
        <w:keepNext/>
        <w:suppressLineNumbers/>
        <w:suppressAutoHyphens/>
        <w:kinsoku w:val="0"/>
        <w:overflowPunct w:val="0"/>
        <w:autoSpaceDE w:val="0"/>
        <w:autoSpaceDN w:val="0"/>
        <w:adjustRightInd w:val="0"/>
        <w:snapToGrid w:val="0"/>
        <w:spacing w:before="240" w:after="120"/>
        <w:jc w:val="center"/>
        <w:rPr>
          <w:i/>
          <w:kern w:val="22"/>
          <w:szCs w:val="22"/>
          <w:lang w:val="es-ES_tradnl"/>
        </w:rPr>
      </w:pPr>
      <w:r w:rsidRPr="00CF0122">
        <w:rPr>
          <w:i/>
          <w:szCs w:val="22"/>
          <w:lang w:val="es-ES_tradnl"/>
        </w:rPr>
        <w:t>Anexo</w:t>
      </w:r>
      <w:r w:rsidR="00CF0122">
        <w:rPr>
          <w:i/>
          <w:szCs w:val="22"/>
          <w:lang w:val="es-ES_tradnl"/>
        </w:rPr>
        <w:t> </w:t>
      </w:r>
      <w:r w:rsidRPr="00CF0122">
        <w:rPr>
          <w:i/>
          <w:szCs w:val="22"/>
          <w:lang w:val="es-ES_tradnl"/>
        </w:rPr>
        <w:t>II</w:t>
      </w:r>
    </w:p>
    <w:p w14:paraId="3C3C447F" w14:textId="45F7422B" w:rsidR="00AC4904" w:rsidRPr="00CF0122" w:rsidRDefault="00AC4904" w:rsidP="00E42CEA">
      <w:pPr>
        <w:keepNext/>
        <w:suppressLineNumbers/>
        <w:suppressAutoHyphens/>
        <w:kinsoku w:val="0"/>
        <w:overflowPunct w:val="0"/>
        <w:autoSpaceDE w:val="0"/>
        <w:autoSpaceDN w:val="0"/>
        <w:adjustRightInd w:val="0"/>
        <w:snapToGrid w:val="0"/>
        <w:spacing w:before="120" w:after="120"/>
        <w:jc w:val="center"/>
        <w:rPr>
          <w:b/>
          <w:kern w:val="22"/>
          <w:szCs w:val="22"/>
          <w:lang w:val="es-ES_tradnl"/>
        </w:rPr>
      </w:pPr>
      <w:r w:rsidRPr="00CF0122">
        <w:rPr>
          <w:b/>
          <w:color w:val="000000"/>
          <w:lang w:val="es-ES_tradnl"/>
        </w:rPr>
        <w:t>Mandato para el Grupo Especial de Expertos Técnicos sobre Evaluación del Riesgo</w:t>
      </w:r>
    </w:p>
    <w:p w14:paraId="6F1C9FF0" w14:textId="4366261F" w:rsidR="00AC4904" w:rsidRPr="00CF0122" w:rsidRDefault="003C1E99" w:rsidP="00E42CEA">
      <w:pPr>
        <w:suppressLineNumbers/>
        <w:suppressAutoHyphens/>
        <w:kinsoku w:val="0"/>
        <w:overflowPunct w:val="0"/>
        <w:autoSpaceDE w:val="0"/>
        <w:autoSpaceDN w:val="0"/>
        <w:adjustRightInd w:val="0"/>
        <w:snapToGrid w:val="0"/>
        <w:spacing w:before="120" w:after="120"/>
        <w:rPr>
          <w:kern w:val="22"/>
          <w:szCs w:val="22"/>
          <w:lang w:val="es-ES_tradnl"/>
        </w:rPr>
      </w:pPr>
      <w:r w:rsidRPr="00CF0122">
        <w:rPr>
          <w:lang w:val="es-ES_tradnl"/>
        </w:rPr>
        <w:tab/>
        <w:t>El Grupo Especial de Expertos Técnicos sobre Evaluación del Riesgo, teniendo en cuenta la labor llevada a cabo por el Grupo Especial de Expertos Técnicos sobre Biología Sintética:</w:t>
      </w:r>
    </w:p>
    <w:p w14:paraId="3830B84B" w14:textId="3A0A2AC5" w:rsidR="00AC4904" w:rsidRPr="00CF0122" w:rsidRDefault="00AC4904" w:rsidP="00E42CEA">
      <w:pPr>
        <w:pStyle w:val="Para1"/>
        <w:suppressLineNumbers/>
        <w:suppressAutoHyphens/>
        <w:kinsoku w:val="0"/>
        <w:overflowPunct w:val="0"/>
        <w:autoSpaceDE w:val="0"/>
        <w:autoSpaceDN w:val="0"/>
        <w:adjustRightInd w:val="0"/>
        <w:snapToGrid w:val="0"/>
        <w:ind w:firstLine="720"/>
        <w:rPr>
          <w:snapToGrid/>
          <w:kern w:val="22"/>
          <w:szCs w:val="22"/>
          <w:lang w:val="es-ES_tradnl"/>
        </w:rPr>
      </w:pPr>
      <w:r w:rsidRPr="00CF0122">
        <w:rPr>
          <w:snapToGrid/>
          <w:szCs w:val="22"/>
          <w:lang w:val="es-ES_tradnl"/>
        </w:rPr>
        <w:t>a)</w:t>
      </w:r>
      <w:r w:rsidRPr="00CF0122">
        <w:rPr>
          <w:snapToGrid/>
          <w:szCs w:val="22"/>
          <w:lang w:val="es-ES_tradnl"/>
        </w:rPr>
        <w:tab/>
        <w:t xml:space="preserve">Examinará el estudio citado en el párrafo 11 a) de la presente y efectuará un análisis sobre [i) los organismos vivos modificados producidos mediante técnicas de edición genómica], ii) los organismos vivos modificados que contienen impulsores genéticos </w:t>
      </w:r>
      <w:r w:rsidR="00A400C1">
        <w:rPr>
          <w:snapToGrid/>
          <w:szCs w:val="22"/>
          <w:lang w:val="es-ES_tradnl"/>
        </w:rPr>
        <w:t>modificados</w:t>
      </w:r>
      <w:r w:rsidRPr="00CF0122">
        <w:rPr>
          <w:snapToGrid/>
          <w:szCs w:val="22"/>
          <w:lang w:val="es-ES_tradnl"/>
        </w:rPr>
        <w:t xml:space="preserve"> y iii) los peces vivos modificados, con arreglo al anexo I, y basándose en los datos del estudio;</w:t>
      </w:r>
    </w:p>
    <w:p w14:paraId="401AE3B2" w14:textId="64DC1D1E" w:rsidR="00AC4904" w:rsidRPr="00CF0122" w:rsidRDefault="00AC4904" w:rsidP="00E42CEA">
      <w:pPr>
        <w:pStyle w:val="Para1"/>
        <w:suppressLineNumbers/>
        <w:suppressAutoHyphens/>
        <w:kinsoku w:val="0"/>
        <w:overflowPunct w:val="0"/>
        <w:autoSpaceDE w:val="0"/>
        <w:autoSpaceDN w:val="0"/>
        <w:adjustRightInd w:val="0"/>
        <w:snapToGrid w:val="0"/>
        <w:ind w:firstLine="720"/>
        <w:rPr>
          <w:snapToGrid/>
          <w:kern w:val="22"/>
          <w:szCs w:val="22"/>
          <w:lang w:val="es-ES_tradnl"/>
        </w:rPr>
      </w:pPr>
      <w:r w:rsidRPr="00CF0122">
        <w:rPr>
          <w:snapToGrid/>
          <w:szCs w:val="22"/>
          <w:lang w:val="es-ES_tradnl"/>
        </w:rPr>
        <w:t>b)</w:t>
      </w:r>
      <w:r w:rsidRPr="00CF0122">
        <w:rPr>
          <w:snapToGrid/>
          <w:szCs w:val="22"/>
          <w:lang w:val="es-ES_tradnl"/>
        </w:rPr>
        <w:tab/>
        <w:t>Considerará las necesidades y prioridades de orientación adicional y las carencias en la orientación existente identificadas por las Partes en respuesta a la decisión CP-VIII/12 con respecto a temas específicos de la evaluación del riesgo y preparará un análisis;</w:t>
      </w:r>
    </w:p>
    <w:p w14:paraId="629E0452" w14:textId="2A282085" w:rsidR="00AC4904" w:rsidRPr="00CF0122" w:rsidRDefault="00AC4904" w:rsidP="00E42CEA">
      <w:pPr>
        <w:pStyle w:val="Para1"/>
        <w:suppressLineNumbers/>
        <w:suppressAutoHyphens/>
        <w:kinsoku w:val="0"/>
        <w:overflowPunct w:val="0"/>
        <w:autoSpaceDE w:val="0"/>
        <w:autoSpaceDN w:val="0"/>
        <w:adjustRightInd w:val="0"/>
        <w:snapToGrid w:val="0"/>
        <w:ind w:firstLine="720"/>
        <w:rPr>
          <w:snapToGrid/>
          <w:kern w:val="22"/>
          <w:szCs w:val="22"/>
          <w:lang w:val="es-ES_tradnl"/>
        </w:rPr>
      </w:pPr>
      <w:r w:rsidRPr="00CF0122">
        <w:rPr>
          <w:snapToGrid/>
          <w:szCs w:val="22"/>
          <w:lang w:val="es-ES_tradnl"/>
        </w:rPr>
        <w:t>c)</w:t>
      </w:r>
      <w:r w:rsidRPr="00CF0122">
        <w:rPr>
          <w:snapToGrid/>
          <w:szCs w:val="22"/>
          <w:lang w:val="es-ES_tradnl"/>
        </w:rPr>
        <w:tab/>
        <w:t xml:space="preserve">Formulará recomendaciones sobre i) la necesidad de elaborar orientación sobre la evaluación del riesgo de [los organismos vivos modificados producidos mediante técnicas de edición </w:t>
      </w:r>
      <w:r w:rsidRPr="00CF0122">
        <w:rPr>
          <w:snapToGrid/>
          <w:szCs w:val="22"/>
          <w:lang w:val="es-ES_tradnl"/>
        </w:rPr>
        <w:lastRenderedPageBreak/>
        <w:t xml:space="preserve">genómica,] los organismos vivos modificados que contienen impulsores genéticos </w:t>
      </w:r>
      <w:r w:rsidR="00A400C1">
        <w:rPr>
          <w:snapToGrid/>
          <w:szCs w:val="22"/>
          <w:lang w:val="es-ES_tradnl"/>
        </w:rPr>
        <w:t>modificados</w:t>
      </w:r>
      <w:r w:rsidRPr="00CF0122">
        <w:rPr>
          <w:snapToGrid/>
          <w:szCs w:val="22"/>
          <w:lang w:val="es-ES_tradnl"/>
        </w:rPr>
        <w:t xml:space="preserve"> y los peces vivos modificados, y ii) cualquier ajuste en el anexo I;</w:t>
      </w:r>
    </w:p>
    <w:p w14:paraId="6318A3C4" w14:textId="7F035470" w:rsidR="00AC4904" w:rsidRPr="00CF0122" w:rsidRDefault="00AC4904" w:rsidP="00E42CEA">
      <w:pPr>
        <w:pStyle w:val="Prrafodelista"/>
        <w:suppressLineNumbers/>
        <w:suppressAutoHyphens/>
        <w:kinsoku w:val="0"/>
        <w:overflowPunct w:val="0"/>
        <w:autoSpaceDE w:val="0"/>
        <w:autoSpaceDN w:val="0"/>
        <w:adjustRightInd w:val="0"/>
        <w:snapToGrid w:val="0"/>
        <w:spacing w:before="120" w:after="120"/>
        <w:ind w:left="0" w:firstLine="720"/>
        <w:contextualSpacing w:val="0"/>
        <w:rPr>
          <w:iCs/>
          <w:kern w:val="22"/>
          <w:sz w:val="22"/>
          <w:szCs w:val="22"/>
          <w:lang w:val="es-ES_tradnl"/>
        </w:rPr>
      </w:pPr>
      <w:r w:rsidRPr="00CF0122">
        <w:rPr>
          <w:sz w:val="22"/>
          <w:szCs w:val="22"/>
          <w:lang w:val="es-ES_tradnl"/>
        </w:rPr>
        <w:t>d)</w:t>
      </w:r>
      <w:r w:rsidRPr="00CF0122">
        <w:rPr>
          <w:sz w:val="22"/>
          <w:szCs w:val="22"/>
          <w:lang w:val="es-ES_tradnl"/>
        </w:rPr>
        <w:tab/>
        <w:t xml:space="preserve">Preparará un informe con el fin de que el </w:t>
      </w:r>
      <w:r w:rsidRPr="00CF0122">
        <w:rPr>
          <w:rStyle w:val="st"/>
          <w:sz w:val="22"/>
          <w:szCs w:val="22"/>
          <w:lang w:val="es-ES_tradnl"/>
        </w:rPr>
        <w:t>Órgano Subsidiario de Asesoramiento Científico, Técnico y Tecnológico</w:t>
      </w:r>
      <w:r w:rsidRPr="00CF0122">
        <w:rPr>
          <w:sz w:val="22"/>
          <w:szCs w:val="22"/>
          <w:lang w:val="es-ES_tradnl"/>
        </w:rPr>
        <w:t xml:space="preserve"> lo examine y pueda preparar una recomendación para que la Conferencia de las Partes que actúa como reunión de las Partes en el Protocolo de Cartagena la examine en su décima reunión.</w:t>
      </w:r>
    </w:p>
    <w:p w14:paraId="434F7836" w14:textId="77777777" w:rsidR="00AC4904" w:rsidRPr="00CF0122" w:rsidRDefault="00AC4904" w:rsidP="00E42CEA">
      <w:pPr>
        <w:suppressLineNumbers/>
        <w:suppressAutoHyphens/>
        <w:kinsoku w:val="0"/>
        <w:overflowPunct w:val="0"/>
        <w:autoSpaceDE w:val="0"/>
        <w:autoSpaceDN w:val="0"/>
        <w:adjustRightInd w:val="0"/>
        <w:snapToGrid w:val="0"/>
        <w:spacing w:before="120" w:after="120"/>
        <w:jc w:val="center"/>
        <w:rPr>
          <w:kern w:val="22"/>
          <w:szCs w:val="22"/>
          <w:lang w:val="es-ES_tradnl"/>
        </w:rPr>
      </w:pPr>
      <w:r w:rsidRPr="00CF0122">
        <w:rPr>
          <w:lang w:val="es-ES_tradnl"/>
        </w:rPr>
        <w:t>__________</w:t>
      </w:r>
    </w:p>
    <w:p w14:paraId="2482573C" w14:textId="77777777" w:rsidR="007E7705" w:rsidRPr="00CF0122" w:rsidRDefault="007E7705" w:rsidP="00E42CEA">
      <w:pPr>
        <w:pStyle w:val="Textoindependiente"/>
        <w:suppressLineNumbers/>
        <w:suppressAutoHyphens/>
        <w:kinsoku w:val="0"/>
        <w:overflowPunct w:val="0"/>
        <w:autoSpaceDE w:val="0"/>
        <w:autoSpaceDN w:val="0"/>
        <w:adjustRightInd w:val="0"/>
        <w:snapToGrid w:val="0"/>
        <w:spacing w:before="0" w:after="0"/>
        <w:ind w:firstLine="0"/>
        <w:jc w:val="left"/>
        <w:rPr>
          <w:kern w:val="22"/>
          <w:szCs w:val="22"/>
          <w:lang w:val="es-ES_tradnl"/>
        </w:rPr>
      </w:pPr>
    </w:p>
    <w:sectPr w:rsidR="007E7705" w:rsidRPr="00CF0122" w:rsidSect="001F2542">
      <w:headerReference w:type="even" r:id="rId13"/>
      <w:headerReference w:type="default" r:id="rId14"/>
      <w:footerReference w:type="even" r:id="rId15"/>
      <w:footerReference w:type="default" r:id="rId16"/>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3412F" w14:textId="77777777" w:rsidR="00863BE8" w:rsidRDefault="00863BE8" w:rsidP="00CF1848">
      <w:r>
        <w:separator/>
      </w:r>
    </w:p>
  </w:endnote>
  <w:endnote w:type="continuationSeparator" w:id="0">
    <w:p w14:paraId="31AAC82A" w14:textId="77777777" w:rsidR="00863BE8" w:rsidRDefault="00863BE8" w:rsidP="00CF1848">
      <w:r>
        <w:continuationSeparator/>
      </w:r>
    </w:p>
  </w:endnote>
  <w:endnote w:type="continuationNotice" w:id="1">
    <w:p w14:paraId="137EBE10" w14:textId="77777777" w:rsidR="00863BE8" w:rsidRDefault="00863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4A41" w14:textId="77777777" w:rsidR="005F093E" w:rsidRDefault="005F093E" w:rsidP="001F2542">
    <w:pPr>
      <w:pStyle w:val="Piedepgina"/>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B7BA" w14:textId="77777777" w:rsidR="00344493" w:rsidRDefault="00344493" w:rsidP="001F2542">
    <w:pPr>
      <w:pStyle w:val="Piedepgina"/>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F3FF7" w14:textId="77777777" w:rsidR="00863BE8" w:rsidRDefault="00863BE8" w:rsidP="00CF1848">
      <w:r>
        <w:separator/>
      </w:r>
    </w:p>
  </w:footnote>
  <w:footnote w:type="continuationSeparator" w:id="0">
    <w:p w14:paraId="61B40817" w14:textId="77777777" w:rsidR="00863BE8" w:rsidRDefault="00863BE8" w:rsidP="00CF1848">
      <w:r>
        <w:continuationSeparator/>
      </w:r>
    </w:p>
  </w:footnote>
  <w:footnote w:type="continuationNotice" w:id="1">
    <w:p w14:paraId="7392D372" w14:textId="77777777" w:rsidR="00863BE8" w:rsidRDefault="00863BE8"/>
  </w:footnote>
  <w:footnote w:id="2">
    <w:p w14:paraId="181BBA98" w14:textId="0B0F5B9B" w:rsidR="00AC4904" w:rsidRPr="0068290F" w:rsidRDefault="00AC4904" w:rsidP="0068290F">
      <w:pPr>
        <w:pStyle w:val="Textonotapie"/>
        <w:kinsoku w:val="0"/>
        <w:overflowPunct w:val="0"/>
        <w:autoSpaceDE w:val="0"/>
        <w:autoSpaceDN w:val="0"/>
        <w:ind w:firstLine="0"/>
        <w:jc w:val="left"/>
        <w:rPr>
          <w:kern w:val="18"/>
        </w:rPr>
      </w:pPr>
      <w:r>
        <w:rPr>
          <w:rStyle w:val="Refdenotaalpie"/>
          <w:rFonts w:eastAsiaTheme="majorEastAsia"/>
          <w:kern w:val="18"/>
          <w:u w:val="none"/>
          <w:vertAlign w:val="superscript"/>
        </w:rPr>
        <w:footnoteRef/>
      </w:r>
      <w:r>
        <w:t xml:space="preserve"> </w:t>
      </w:r>
      <w:hyperlink r:id="rId1" w:history="1">
        <w:r>
          <w:rPr>
            <w:rStyle w:val="Hipervnculo"/>
          </w:rPr>
          <w:t>Decisión VIII/10</w:t>
        </w:r>
      </w:hyperlink>
      <w:r>
        <w:t>, anexo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032883363"/>
      <w:placeholder>
        <w:docPart w:val="6B7789D81B514BF5A43844742D355B4A"/>
      </w:placeholder>
      <w:dataBinding w:prefixMappings="xmlns:ns0='http://purl.org/dc/elements/1.1/' xmlns:ns1='http://schemas.openxmlformats.org/package/2006/metadata/core-properties' " w:xpath="/ns1:coreProperties[1]/ns0:subject[1]" w:storeItemID="{6C3C8BC8-F283-45AE-878A-BAB7291924A1}"/>
      <w:text/>
    </w:sdtPr>
    <w:sdtEndPr/>
    <w:sdtContent>
      <w:p w14:paraId="7335E9C0" w14:textId="38383C45" w:rsidR="00534681" w:rsidRPr="000C61D3" w:rsidRDefault="007A300E" w:rsidP="001F2542">
        <w:pPr>
          <w:pStyle w:val="Encabezado"/>
          <w:tabs>
            <w:tab w:val="clear" w:pos="4320"/>
            <w:tab w:val="clear" w:pos="8640"/>
          </w:tabs>
          <w:jc w:val="left"/>
          <w:rPr>
            <w:noProof/>
            <w:kern w:val="22"/>
            <w:lang w:val="fr-FR"/>
          </w:rPr>
        </w:pPr>
        <w:r>
          <w:rPr>
            <w:noProof/>
            <w:kern w:val="22"/>
            <w:lang w:val="fr-FR"/>
          </w:rPr>
          <w:t>CBD/SBSTTA/REC/22/2</w:t>
        </w:r>
      </w:p>
    </w:sdtContent>
  </w:sdt>
  <w:p w14:paraId="76555332" w14:textId="64439A6B" w:rsidR="00534681" w:rsidRPr="000C61D3" w:rsidRDefault="00534681" w:rsidP="001F2542">
    <w:pPr>
      <w:pStyle w:val="Encabezado"/>
      <w:tabs>
        <w:tab w:val="clear" w:pos="4320"/>
        <w:tab w:val="clear" w:pos="8640"/>
      </w:tabs>
      <w:jc w:val="left"/>
      <w:rPr>
        <w:noProof/>
        <w:kern w:val="22"/>
      </w:rPr>
    </w:pPr>
    <w:r>
      <w:t xml:space="preserve">Página </w:t>
    </w:r>
    <w:r w:rsidRPr="001F2542">
      <w:fldChar w:fldCharType="begin"/>
    </w:r>
    <w:r w:rsidRPr="000C61D3">
      <w:instrText xml:space="preserve"> PAGE   \* MERGEFORMAT </w:instrText>
    </w:r>
    <w:r w:rsidRPr="001F2542">
      <w:fldChar w:fldCharType="separate"/>
    </w:r>
    <w:r w:rsidR="00E42CEA">
      <w:t>2</w:t>
    </w:r>
    <w:r w:rsidRPr="001F2542">
      <w:fldChar w:fldCharType="end"/>
    </w:r>
  </w:p>
  <w:p w14:paraId="4265AD75" w14:textId="77777777" w:rsidR="00534681" w:rsidRPr="000C61D3" w:rsidRDefault="00534681" w:rsidP="001F2542">
    <w:pPr>
      <w:pStyle w:val="Encabezado"/>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kern w:val="22"/>
      </w:rPr>
      <w:alias w:val="Subject"/>
      <w:tag w:val=""/>
      <w:id w:val="-205876444"/>
      <w:dataBinding w:prefixMappings="xmlns:ns0='http://purl.org/dc/elements/1.1/' xmlns:ns1='http://schemas.openxmlformats.org/package/2006/metadata/core-properties' " w:xpath="/ns1:coreProperties[1]/ns0:subject[1]" w:storeItemID="{6C3C8BC8-F283-45AE-878A-BAB7291924A1}"/>
      <w:text/>
    </w:sdtPr>
    <w:sdtEndPr/>
    <w:sdtContent>
      <w:p w14:paraId="3F9355BE" w14:textId="606CF5EF" w:rsidR="002207B4" w:rsidRPr="001F2542" w:rsidRDefault="007A300E" w:rsidP="001F2542">
        <w:pPr>
          <w:pStyle w:val="Encabezado"/>
          <w:tabs>
            <w:tab w:val="clear" w:pos="4320"/>
            <w:tab w:val="clear" w:pos="8640"/>
          </w:tabs>
          <w:jc w:val="right"/>
          <w:rPr>
            <w:kern w:val="22"/>
            <w:lang w:val="fr-FR"/>
          </w:rPr>
        </w:pPr>
        <w:r>
          <w:rPr>
            <w:kern w:val="22"/>
            <w:lang w:val="fr-FR"/>
          </w:rPr>
          <w:t>CBD/SBSTTA/REC/22/2</w:t>
        </w:r>
      </w:p>
    </w:sdtContent>
  </w:sdt>
  <w:p w14:paraId="124D263B" w14:textId="3A4524AF" w:rsidR="002207B4" w:rsidRPr="001F2542" w:rsidRDefault="002207B4" w:rsidP="001F2542">
    <w:pPr>
      <w:pStyle w:val="Encabezado"/>
      <w:tabs>
        <w:tab w:val="clear" w:pos="4320"/>
        <w:tab w:val="clear" w:pos="8640"/>
      </w:tabs>
      <w:jc w:val="right"/>
      <w:rPr>
        <w:kern w:val="22"/>
      </w:rPr>
    </w:pPr>
    <w:r>
      <w:t xml:space="preserve">Página </w:t>
    </w:r>
    <w:r w:rsidRPr="001F2542">
      <w:fldChar w:fldCharType="begin"/>
    </w:r>
    <w:r w:rsidRPr="001F2542">
      <w:instrText xml:space="preserve"> PAGE   \* MERGEFORMAT </w:instrText>
    </w:r>
    <w:r w:rsidRPr="001F2542">
      <w:fldChar w:fldCharType="separate"/>
    </w:r>
    <w:r w:rsidR="00E42CEA">
      <w:t>3</w:t>
    </w:r>
    <w:r w:rsidRPr="001F2542">
      <w:fldChar w:fldCharType="end"/>
    </w:r>
  </w:p>
  <w:p w14:paraId="34C04E7F" w14:textId="77777777" w:rsidR="002207B4" w:rsidRPr="001F2542" w:rsidRDefault="002207B4" w:rsidP="001F2542">
    <w:pPr>
      <w:pStyle w:val="Encabezado"/>
      <w:tabs>
        <w:tab w:val="clear" w:pos="4320"/>
        <w:tab w:val="clear" w:pos="8640"/>
      </w:tabs>
      <w:jc w:val="right"/>
      <w:rPr>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40F2"/>
    <w:multiLevelType w:val="hybridMultilevel"/>
    <w:tmpl w:val="A4F00CD4"/>
    <w:lvl w:ilvl="0" w:tplc="825A2944">
      <w:start w:val="1"/>
      <w:numFmt w:val="decimal"/>
      <w:lvlText w:val="%1."/>
      <w:lvlJc w:val="left"/>
      <w:pPr>
        <w:ind w:left="720" w:hanging="360"/>
      </w:pPr>
      <w:rPr>
        <w:rFonts w:hint="default"/>
        <w:i w:val="0"/>
      </w:rPr>
    </w:lvl>
    <w:lvl w:ilvl="1" w:tplc="CAB40D4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C3974"/>
    <w:multiLevelType w:val="hybridMultilevel"/>
    <w:tmpl w:val="2CAE934C"/>
    <w:lvl w:ilvl="0" w:tplc="6F768CE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45572"/>
    <w:multiLevelType w:val="hybridMultilevel"/>
    <w:tmpl w:val="74F44962"/>
    <w:lvl w:ilvl="0" w:tplc="B5A2B830">
      <w:start w:val="1"/>
      <w:numFmt w:val="decimal"/>
      <w:lvlText w:val="%1."/>
      <w:lvlJc w:val="left"/>
      <w:pPr>
        <w:tabs>
          <w:tab w:val="num" w:pos="1713"/>
        </w:tabs>
        <w:ind w:left="993" w:firstLine="0"/>
      </w:pPr>
      <w:rPr>
        <w:rFonts w:hint="default"/>
        <w:b w:val="0"/>
        <w:i w:val="0"/>
        <w:color w:val="000000"/>
        <w:sz w:val="22"/>
        <w:szCs w:val="22"/>
      </w:rPr>
    </w:lvl>
    <w:lvl w:ilvl="1" w:tplc="CAB40D4C">
      <w:start w:val="1"/>
      <w:numFmt w:val="lowerLetter"/>
      <w:lvlText w:val="(%2)"/>
      <w:lvlJc w:val="left"/>
      <w:pPr>
        <w:ind w:left="1070" w:hanging="360"/>
      </w:pPr>
      <w:rPr>
        <w:rFonts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13223FCB"/>
    <w:multiLevelType w:val="hybridMultilevel"/>
    <w:tmpl w:val="14A69790"/>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F122FD"/>
    <w:multiLevelType w:val="hybridMultilevel"/>
    <w:tmpl w:val="9E54895A"/>
    <w:lvl w:ilvl="0" w:tplc="0409000F">
      <w:start w:val="1"/>
      <w:numFmt w:val="decimal"/>
      <w:lvlText w:val="%1."/>
      <w:lvlJc w:val="left"/>
      <w:pPr>
        <w:ind w:left="363" w:hanging="360"/>
      </w:pPr>
      <w:rPr>
        <w:rFonts w:hint="default"/>
      </w:rPr>
    </w:lvl>
    <w:lvl w:ilvl="1" w:tplc="0409000F">
      <w:start w:val="1"/>
      <w:numFmt w:val="decimal"/>
      <w:lvlText w:val="%2."/>
      <w:lvlJc w:val="left"/>
      <w:pPr>
        <w:ind w:left="1083" w:hanging="360"/>
      </w:pPr>
      <w:rPr>
        <w:rFonts w:hint="default"/>
      </w:r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5"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F9932D0"/>
    <w:multiLevelType w:val="hybridMultilevel"/>
    <w:tmpl w:val="EA8EEDCA"/>
    <w:lvl w:ilvl="0" w:tplc="B5A2B830">
      <w:start w:val="1"/>
      <w:numFmt w:val="decimal"/>
      <w:lvlText w:val="%1."/>
      <w:lvlJc w:val="left"/>
      <w:pPr>
        <w:tabs>
          <w:tab w:val="num" w:pos="1713"/>
        </w:tabs>
        <w:ind w:left="993" w:firstLine="0"/>
      </w:pPr>
      <w:rPr>
        <w:rFonts w:hint="default"/>
        <w:b w:val="0"/>
        <w:i w:val="0"/>
        <w:color w:val="000000"/>
        <w:sz w:val="22"/>
        <w:szCs w:val="22"/>
      </w:rPr>
    </w:lvl>
    <w:lvl w:ilvl="1" w:tplc="D4125F96">
      <w:start w:val="1"/>
      <w:numFmt w:val="lowerLetter"/>
      <w:lvlRestart w:val="0"/>
      <w:lvlText w:val="(%2)"/>
      <w:lvlJc w:val="left"/>
      <w:pPr>
        <w:tabs>
          <w:tab w:val="num" w:pos="1070"/>
        </w:tabs>
        <w:ind w:left="-10" w:firstLine="720"/>
      </w:pPr>
      <w:rPr>
        <w:rFonts w:ascii="Times New Roman" w:hAnsi="Times New Roman" w:cs="Times New Roman"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F8348F60">
      <w:start w:val="4"/>
      <w:numFmt w:val="decimal"/>
      <w:lvlText w:val="(%7)"/>
      <w:lvlJc w:val="left"/>
      <w:pPr>
        <w:ind w:left="4770" w:hanging="360"/>
      </w:pPr>
      <w:rPr>
        <w:rFonts w:hint="default"/>
      </w:r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15:restartNumberingAfterBreak="0">
    <w:nsid w:val="31820C5D"/>
    <w:multiLevelType w:val="hybridMultilevel"/>
    <w:tmpl w:val="1418604A"/>
    <w:lvl w:ilvl="0" w:tplc="D4125F96">
      <w:start w:val="1"/>
      <w:numFmt w:val="lowerLetter"/>
      <w:lvlRestart w:val="0"/>
      <w:lvlText w:val="(%1)"/>
      <w:lvlJc w:val="left"/>
      <w:pPr>
        <w:tabs>
          <w:tab w:val="num" w:pos="1070"/>
        </w:tabs>
        <w:ind w:left="-10" w:firstLine="720"/>
      </w:pPr>
      <w:rPr>
        <w:rFonts w:ascii="Times New Roman" w:hAnsi="Times New Roman" w:cs="Times New Roman" w:hint="default"/>
        <w:b w:val="0"/>
        <w:i w:val="0"/>
        <w:sz w:val="22"/>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E1B95"/>
    <w:multiLevelType w:val="hybridMultilevel"/>
    <w:tmpl w:val="C82CC6F2"/>
    <w:lvl w:ilvl="0" w:tplc="AFFCD4EE">
      <w:start w:val="1"/>
      <w:numFmt w:val="lowerLetter"/>
      <w:lvlText w:val="(%1)"/>
      <w:lvlJc w:val="left"/>
      <w:pPr>
        <w:ind w:left="720" w:hanging="360"/>
      </w:pPr>
      <w:rPr>
        <w:rFonts w:hint="default"/>
        <w:b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C68AE"/>
    <w:multiLevelType w:val="hybridMultilevel"/>
    <w:tmpl w:val="366C5686"/>
    <w:lvl w:ilvl="0" w:tplc="BC9066F4">
      <w:start w:val="1"/>
      <w:numFmt w:val="decimal"/>
      <w:lvlText w:val="%1."/>
      <w:lvlJc w:val="left"/>
      <w:pPr>
        <w:ind w:left="720" w:hanging="360"/>
      </w:pPr>
      <w:rPr>
        <w:rFonts w:hint="default"/>
        <w:b w:val="0"/>
        <w:i w:val="0"/>
        <w:sz w:val="22"/>
        <w:szCs w:val="22"/>
      </w:rPr>
    </w:lvl>
    <w:lvl w:ilvl="1" w:tplc="779E7F98">
      <w:start w:val="1"/>
      <w:numFmt w:val="lowerLetter"/>
      <w:lvlText w:val="%2."/>
      <w:lvlJc w:val="left"/>
      <w:pPr>
        <w:ind w:left="1440" w:hanging="360"/>
      </w:pPr>
    </w:lvl>
    <w:lvl w:ilvl="2" w:tplc="8CFE8224" w:tentative="1">
      <w:start w:val="1"/>
      <w:numFmt w:val="lowerRoman"/>
      <w:lvlText w:val="%3."/>
      <w:lvlJc w:val="right"/>
      <w:pPr>
        <w:ind w:left="2160" w:hanging="180"/>
      </w:pPr>
    </w:lvl>
    <w:lvl w:ilvl="3" w:tplc="34341C96" w:tentative="1">
      <w:start w:val="1"/>
      <w:numFmt w:val="decimal"/>
      <w:lvlText w:val="%4."/>
      <w:lvlJc w:val="left"/>
      <w:pPr>
        <w:ind w:left="2880" w:hanging="360"/>
      </w:pPr>
    </w:lvl>
    <w:lvl w:ilvl="4" w:tplc="EC68ED7A" w:tentative="1">
      <w:start w:val="1"/>
      <w:numFmt w:val="lowerLetter"/>
      <w:lvlText w:val="%5."/>
      <w:lvlJc w:val="left"/>
      <w:pPr>
        <w:ind w:left="3600" w:hanging="360"/>
      </w:pPr>
    </w:lvl>
    <w:lvl w:ilvl="5" w:tplc="20943864" w:tentative="1">
      <w:start w:val="1"/>
      <w:numFmt w:val="lowerRoman"/>
      <w:lvlText w:val="%6."/>
      <w:lvlJc w:val="right"/>
      <w:pPr>
        <w:ind w:left="4320" w:hanging="180"/>
      </w:pPr>
    </w:lvl>
    <w:lvl w:ilvl="6" w:tplc="A5E00F14" w:tentative="1">
      <w:start w:val="1"/>
      <w:numFmt w:val="decimal"/>
      <w:lvlText w:val="%7."/>
      <w:lvlJc w:val="left"/>
      <w:pPr>
        <w:ind w:left="5040" w:hanging="360"/>
      </w:pPr>
    </w:lvl>
    <w:lvl w:ilvl="7" w:tplc="EAF6720A" w:tentative="1">
      <w:start w:val="1"/>
      <w:numFmt w:val="lowerLetter"/>
      <w:lvlText w:val="%8."/>
      <w:lvlJc w:val="left"/>
      <w:pPr>
        <w:ind w:left="5760" w:hanging="360"/>
      </w:pPr>
    </w:lvl>
    <w:lvl w:ilvl="8" w:tplc="47BA2554" w:tentative="1">
      <w:start w:val="1"/>
      <w:numFmt w:val="lowerRoman"/>
      <w:lvlText w:val="%9."/>
      <w:lvlJc w:val="right"/>
      <w:pPr>
        <w:ind w:left="6480" w:hanging="180"/>
      </w:pPr>
    </w:lvl>
  </w:abstractNum>
  <w:abstractNum w:abstractNumId="11" w15:restartNumberingAfterBreak="0">
    <w:nsid w:val="419774E7"/>
    <w:multiLevelType w:val="hybridMultilevel"/>
    <w:tmpl w:val="456A47AA"/>
    <w:lvl w:ilvl="0" w:tplc="0409000F">
      <w:start w:val="1"/>
      <w:numFmt w:val="decimal"/>
      <w:lvlText w:val="%1."/>
      <w:lvlJc w:val="left"/>
      <w:pPr>
        <w:tabs>
          <w:tab w:val="num" w:pos="3240"/>
        </w:tabs>
        <w:ind w:left="324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B342E88"/>
    <w:multiLevelType w:val="hybridMultilevel"/>
    <w:tmpl w:val="A1C8F9F8"/>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B516B6E"/>
    <w:multiLevelType w:val="hybridMultilevel"/>
    <w:tmpl w:val="B142CAEC"/>
    <w:lvl w:ilvl="0" w:tplc="9D4605C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52A8F"/>
    <w:multiLevelType w:val="hybridMultilevel"/>
    <w:tmpl w:val="D6B20D76"/>
    <w:lvl w:ilvl="0" w:tplc="CAB40D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354F3F"/>
    <w:multiLevelType w:val="hybridMultilevel"/>
    <w:tmpl w:val="3A3C894E"/>
    <w:lvl w:ilvl="0" w:tplc="B8CCF4EE">
      <w:start w:val="1"/>
      <w:numFmt w:val="decimal"/>
      <w:lvlText w:val="(%1)"/>
      <w:lvlJc w:val="left"/>
      <w:pPr>
        <w:ind w:left="720" w:hanging="360"/>
      </w:pPr>
      <w:rPr>
        <w:rFonts w:hint="default"/>
        <w:i/>
      </w:rPr>
    </w:lvl>
    <w:lvl w:ilvl="1" w:tplc="F25E8CE8">
      <w:start w:val="1"/>
      <w:numFmt w:val="lowerLetter"/>
      <w:lvlText w:val="(%2)"/>
      <w:lvlJc w:val="left"/>
      <w:pPr>
        <w:ind w:left="1440" w:hanging="360"/>
      </w:pPr>
      <w:rPr>
        <w:rFonts w:hint="default"/>
        <w:b w:val="0"/>
        <w:color w:val="000000" w:themeColor="text1"/>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A4F01DF"/>
    <w:multiLevelType w:val="hybridMultilevel"/>
    <w:tmpl w:val="8C680D4A"/>
    <w:lvl w:ilvl="0" w:tplc="C3482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6862BA"/>
    <w:multiLevelType w:val="hybridMultilevel"/>
    <w:tmpl w:val="78FE431E"/>
    <w:lvl w:ilvl="0" w:tplc="F25E8CE8">
      <w:start w:val="1"/>
      <w:numFmt w:val="lowerLetter"/>
      <w:lvlText w:val="(%1)"/>
      <w:lvlJc w:val="left"/>
      <w:pPr>
        <w:ind w:left="1440" w:hanging="360"/>
      </w:pPr>
      <w:rPr>
        <w:rFonts w:hint="default"/>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2"/>
  </w:num>
  <w:num w:numId="4">
    <w:abstractNumId w:val="14"/>
  </w:num>
  <w:num w:numId="5">
    <w:abstractNumId w:val="13"/>
  </w:num>
  <w:num w:numId="6">
    <w:abstractNumId w:val="10"/>
  </w:num>
  <w:num w:numId="7">
    <w:abstractNumId w:val="7"/>
  </w:num>
  <w:num w:numId="8">
    <w:abstractNumId w:val="4"/>
  </w:num>
  <w:num w:numId="9">
    <w:abstractNumId w:val="19"/>
  </w:num>
  <w:num w:numId="10">
    <w:abstractNumId w:val="3"/>
  </w:num>
  <w:num w:numId="11">
    <w:abstractNumId w:val="15"/>
  </w:num>
  <w:num w:numId="12">
    <w:abstractNumId w:val="0"/>
  </w:num>
  <w:num w:numId="13">
    <w:abstractNumId w:val="2"/>
  </w:num>
  <w:num w:numId="14">
    <w:abstractNumId w:val="8"/>
  </w:num>
  <w:num w:numId="15">
    <w:abstractNumId w:val="9"/>
  </w:num>
  <w:num w:numId="16">
    <w:abstractNumId w:val="17"/>
  </w:num>
  <w:num w:numId="17">
    <w:abstractNumId w:val="18"/>
  </w:num>
  <w:num w:numId="18">
    <w:abstractNumId w:val="5"/>
  </w:num>
  <w:num w:numId="19">
    <w:abstractNumId w:val="11"/>
  </w:num>
  <w:num w:numId="20">
    <w:abstractNumId w:val="20"/>
  </w:num>
  <w:num w:numId="21">
    <w:abstractNumId w:val="1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hideSpellingErrors/>
  <w:hideGrammaticalErrors/>
  <w:proofState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61D"/>
    <w:rsid w:val="00006179"/>
    <w:rsid w:val="00013F2A"/>
    <w:rsid w:val="0002364D"/>
    <w:rsid w:val="00045FD6"/>
    <w:rsid w:val="00053D93"/>
    <w:rsid w:val="000730A8"/>
    <w:rsid w:val="00097336"/>
    <w:rsid w:val="000A7C42"/>
    <w:rsid w:val="000C41DB"/>
    <w:rsid w:val="000C61D3"/>
    <w:rsid w:val="000C6A5A"/>
    <w:rsid w:val="000C76B6"/>
    <w:rsid w:val="00105372"/>
    <w:rsid w:val="0010571A"/>
    <w:rsid w:val="00120F63"/>
    <w:rsid w:val="00127015"/>
    <w:rsid w:val="00127605"/>
    <w:rsid w:val="001318B4"/>
    <w:rsid w:val="00131E7A"/>
    <w:rsid w:val="001451C7"/>
    <w:rsid w:val="00145524"/>
    <w:rsid w:val="0015117C"/>
    <w:rsid w:val="001611CB"/>
    <w:rsid w:val="001919BF"/>
    <w:rsid w:val="001D2B46"/>
    <w:rsid w:val="001D76E8"/>
    <w:rsid w:val="001E04E2"/>
    <w:rsid w:val="001F2542"/>
    <w:rsid w:val="00200650"/>
    <w:rsid w:val="00202B64"/>
    <w:rsid w:val="00205D67"/>
    <w:rsid w:val="0021395E"/>
    <w:rsid w:val="0021799D"/>
    <w:rsid w:val="002207B4"/>
    <w:rsid w:val="0022725A"/>
    <w:rsid w:val="00227BCB"/>
    <w:rsid w:val="002321D7"/>
    <w:rsid w:val="00240AE1"/>
    <w:rsid w:val="002619AC"/>
    <w:rsid w:val="0026200C"/>
    <w:rsid w:val="00264516"/>
    <w:rsid w:val="00273F38"/>
    <w:rsid w:val="002A783D"/>
    <w:rsid w:val="002B0D45"/>
    <w:rsid w:val="002B2A23"/>
    <w:rsid w:val="002D4681"/>
    <w:rsid w:val="002D7357"/>
    <w:rsid w:val="002E2546"/>
    <w:rsid w:val="002E6A8E"/>
    <w:rsid w:val="00304ED3"/>
    <w:rsid w:val="00307059"/>
    <w:rsid w:val="00314074"/>
    <w:rsid w:val="0033033C"/>
    <w:rsid w:val="003370B1"/>
    <w:rsid w:val="003407FE"/>
    <w:rsid w:val="0034118E"/>
    <w:rsid w:val="00344493"/>
    <w:rsid w:val="0034608D"/>
    <w:rsid w:val="0035279B"/>
    <w:rsid w:val="003610C8"/>
    <w:rsid w:val="00372F74"/>
    <w:rsid w:val="0038246A"/>
    <w:rsid w:val="003943BA"/>
    <w:rsid w:val="003A3CA1"/>
    <w:rsid w:val="003A6A7C"/>
    <w:rsid w:val="003B3DA7"/>
    <w:rsid w:val="003C1E99"/>
    <w:rsid w:val="003F4621"/>
    <w:rsid w:val="003F6309"/>
    <w:rsid w:val="00401DBE"/>
    <w:rsid w:val="0043154D"/>
    <w:rsid w:val="00440A6D"/>
    <w:rsid w:val="00445AF4"/>
    <w:rsid w:val="00452EF1"/>
    <w:rsid w:val="004644C2"/>
    <w:rsid w:val="00474A55"/>
    <w:rsid w:val="00482681"/>
    <w:rsid w:val="004956FD"/>
    <w:rsid w:val="004C03BC"/>
    <w:rsid w:val="004D4DBE"/>
    <w:rsid w:val="004D5CE4"/>
    <w:rsid w:val="004F05E6"/>
    <w:rsid w:val="004F72D5"/>
    <w:rsid w:val="00522497"/>
    <w:rsid w:val="00530E78"/>
    <w:rsid w:val="00534350"/>
    <w:rsid w:val="00534681"/>
    <w:rsid w:val="0053634B"/>
    <w:rsid w:val="00553717"/>
    <w:rsid w:val="00554380"/>
    <w:rsid w:val="005550C4"/>
    <w:rsid w:val="0056636D"/>
    <w:rsid w:val="00584EDC"/>
    <w:rsid w:val="0059044A"/>
    <w:rsid w:val="005A6946"/>
    <w:rsid w:val="005B049E"/>
    <w:rsid w:val="005B071D"/>
    <w:rsid w:val="005C4A11"/>
    <w:rsid w:val="005F093E"/>
    <w:rsid w:val="005F6D5C"/>
    <w:rsid w:val="0061041E"/>
    <w:rsid w:val="00612549"/>
    <w:rsid w:val="00622B46"/>
    <w:rsid w:val="00646375"/>
    <w:rsid w:val="00665A56"/>
    <w:rsid w:val="0067084D"/>
    <w:rsid w:val="00670F3A"/>
    <w:rsid w:val="006738EA"/>
    <w:rsid w:val="00675A16"/>
    <w:rsid w:val="00695F4B"/>
    <w:rsid w:val="006C1414"/>
    <w:rsid w:val="006C170E"/>
    <w:rsid w:val="006C7587"/>
    <w:rsid w:val="00704286"/>
    <w:rsid w:val="00710DFF"/>
    <w:rsid w:val="00717D88"/>
    <w:rsid w:val="00724AF4"/>
    <w:rsid w:val="007431E8"/>
    <w:rsid w:val="007657E7"/>
    <w:rsid w:val="00767838"/>
    <w:rsid w:val="0078009B"/>
    <w:rsid w:val="007A300E"/>
    <w:rsid w:val="007A4108"/>
    <w:rsid w:val="007A6FAF"/>
    <w:rsid w:val="007C398A"/>
    <w:rsid w:val="007C715B"/>
    <w:rsid w:val="007E09DA"/>
    <w:rsid w:val="007E7705"/>
    <w:rsid w:val="008079F1"/>
    <w:rsid w:val="00832A94"/>
    <w:rsid w:val="0084472F"/>
    <w:rsid w:val="00846298"/>
    <w:rsid w:val="00863BE8"/>
    <w:rsid w:val="008714D8"/>
    <w:rsid w:val="00872883"/>
    <w:rsid w:val="008810EC"/>
    <w:rsid w:val="008919FE"/>
    <w:rsid w:val="008B62F9"/>
    <w:rsid w:val="008B6D29"/>
    <w:rsid w:val="0093319E"/>
    <w:rsid w:val="0096655D"/>
    <w:rsid w:val="009673C1"/>
    <w:rsid w:val="00970135"/>
    <w:rsid w:val="00970E20"/>
    <w:rsid w:val="009747F5"/>
    <w:rsid w:val="00975948"/>
    <w:rsid w:val="00976677"/>
    <w:rsid w:val="009B3A7F"/>
    <w:rsid w:val="009C33D5"/>
    <w:rsid w:val="009D2C8F"/>
    <w:rsid w:val="009D5B22"/>
    <w:rsid w:val="009E40CC"/>
    <w:rsid w:val="009F43DB"/>
    <w:rsid w:val="009F7901"/>
    <w:rsid w:val="00A400C1"/>
    <w:rsid w:val="00A40CDA"/>
    <w:rsid w:val="00A96AA0"/>
    <w:rsid w:val="00AC447B"/>
    <w:rsid w:val="00AC4904"/>
    <w:rsid w:val="00AF21CC"/>
    <w:rsid w:val="00AF571E"/>
    <w:rsid w:val="00AF64EF"/>
    <w:rsid w:val="00B10B8A"/>
    <w:rsid w:val="00B2576E"/>
    <w:rsid w:val="00B31FCF"/>
    <w:rsid w:val="00B3369F"/>
    <w:rsid w:val="00B3414A"/>
    <w:rsid w:val="00B57F38"/>
    <w:rsid w:val="00B61165"/>
    <w:rsid w:val="00B715F0"/>
    <w:rsid w:val="00B8020A"/>
    <w:rsid w:val="00B82943"/>
    <w:rsid w:val="00B8550A"/>
    <w:rsid w:val="00B9318B"/>
    <w:rsid w:val="00BA1F6F"/>
    <w:rsid w:val="00BF4960"/>
    <w:rsid w:val="00C021D4"/>
    <w:rsid w:val="00C0486F"/>
    <w:rsid w:val="00C15858"/>
    <w:rsid w:val="00C27FE0"/>
    <w:rsid w:val="00C47194"/>
    <w:rsid w:val="00C727C6"/>
    <w:rsid w:val="00C83E70"/>
    <w:rsid w:val="00C9051C"/>
    <w:rsid w:val="00C9161D"/>
    <w:rsid w:val="00CB2FDD"/>
    <w:rsid w:val="00CF0122"/>
    <w:rsid w:val="00CF084F"/>
    <w:rsid w:val="00CF1848"/>
    <w:rsid w:val="00CF46CA"/>
    <w:rsid w:val="00D0244E"/>
    <w:rsid w:val="00D04721"/>
    <w:rsid w:val="00D10747"/>
    <w:rsid w:val="00D15F30"/>
    <w:rsid w:val="00D17EBB"/>
    <w:rsid w:val="00D20ED7"/>
    <w:rsid w:val="00D36325"/>
    <w:rsid w:val="00D4598B"/>
    <w:rsid w:val="00D6285D"/>
    <w:rsid w:val="00D76A18"/>
    <w:rsid w:val="00DA5563"/>
    <w:rsid w:val="00DA78E9"/>
    <w:rsid w:val="00DB6035"/>
    <w:rsid w:val="00DC2D98"/>
    <w:rsid w:val="00DD1D50"/>
    <w:rsid w:val="00DD3871"/>
    <w:rsid w:val="00DE0B50"/>
    <w:rsid w:val="00DE1F93"/>
    <w:rsid w:val="00DF7957"/>
    <w:rsid w:val="00E17C7A"/>
    <w:rsid w:val="00E30438"/>
    <w:rsid w:val="00E42CEA"/>
    <w:rsid w:val="00E42E9F"/>
    <w:rsid w:val="00E54F71"/>
    <w:rsid w:val="00E66235"/>
    <w:rsid w:val="00E74E85"/>
    <w:rsid w:val="00E83C24"/>
    <w:rsid w:val="00EA0759"/>
    <w:rsid w:val="00EB03D4"/>
    <w:rsid w:val="00EB6DCA"/>
    <w:rsid w:val="00ED087F"/>
    <w:rsid w:val="00F00C00"/>
    <w:rsid w:val="00F07C7F"/>
    <w:rsid w:val="00F32C63"/>
    <w:rsid w:val="00F43609"/>
    <w:rsid w:val="00F51AF8"/>
    <w:rsid w:val="00F661CC"/>
    <w:rsid w:val="00F71279"/>
    <w:rsid w:val="00F90E04"/>
    <w:rsid w:val="00F94774"/>
    <w:rsid w:val="00FB1390"/>
    <w:rsid w:val="00FB15B3"/>
    <w:rsid w:val="00FB49B6"/>
    <w:rsid w:val="00FE674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D342F4"/>
  <w15:docId w15:val="{1D3CA35D-E5C0-49EE-9B16-A2CE4C12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7E09DA"/>
    <w:pPr>
      <w:keepNext/>
      <w:tabs>
        <w:tab w:val="left" w:pos="720"/>
      </w:tabs>
      <w:spacing w:before="120" w:after="120"/>
      <w:jc w:val="center"/>
      <w:outlineLvl w:val="1"/>
    </w:pPr>
    <w:rPr>
      <w:b/>
      <w:bCs/>
      <w:i/>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aliases w:val=" Car,Car"/>
    <w:basedOn w:val="Normal"/>
    <w:link w:val="TextoindependienteCar"/>
    <w:rsid w:val="007E09DA"/>
    <w:pPr>
      <w:spacing w:before="120" w:after="120"/>
      <w:ind w:firstLine="720"/>
    </w:pPr>
    <w:rPr>
      <w:iCs/>
    </w:rPr>
  </w:style>
  <w:style w:type="character" w:customStyle="1" w:styleId="TextoindependienteCar">
    <w:name w:val="Texto independiente Car"/>
    <w:aliases w:val=" Car Car,Car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uiPriority w:val="99"/>
    <w:semiHidden/>
    <w:rsid w:val="007E09DA"/>
    <w:pPr>
      <w:spacing w:after="120" w:line="240" w:lineRule="exact"/>
    </w:pPr>
  </w:style>
  <w:style w:type="character" w:customStyle="1" w:styleId="TextocomentarioCar">
    <w:name w:val="Texto comentario Car"/>
    <w:basedOn w:val="Fuentedeprrafopredeter"/>
    <w:link w:val="Textocomentario"/>
    <w:uiPriority w:val="99"/>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qFormat/>
    <w:rsid w:val="007E09DA"/>
    <w:rPr>
      <w:sz w:val="18"/>
      <w:u w:val="single"/>
      <w:vertAlign w:val="baseline"/>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7E09DA"/>
    <w:rPr>
      <w:rFonts w:ascii="Times New Roman" w:eastAsia="Times New Roman" w:hAnsi="Times New Roman" w:cs="Times New Roman"/>
      <w:b/>
      <w:bCs/>
      <w:i/>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7E09DA"/>
    <w:pPr>
      <w:jc w:val="left"/>
      <w:outlineLvl w:val="9"/>
    </w:p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304ED3"/>
    <w:rPr>
      <w:color w:val="0000FF"/>
      <w:u w:val="single"/>
    </w:rPr>
  </w:style>
  <w:style w:type="paragraph" w:customStyle="1" w:styleId="Para10">
    <w:name w:val="Para 1"/>
    <w:basedOn w:val="Textoindependiente"/>
    <w:rsid w:val="00304ED3"/>
    <w:pPr>
      <w:ind w:firstLine="0"/>
      <w:jc w:val="left"/>
    </w:pPr>
    <w:rPr>
      <w:rFonts w:eastAsia="MS Mincho"/>
      <w:bCs/>
      <w:iCs w:val="0"/>
      <w:sz w:val="24"/>
      <w:szCs w:val="22"/>
    </w:rPr>
  </w:style>
  <w:style w:type="paragraph" w:styleId="Prrafodelista">
    <w:name w:val="List Paragraph"/>
    <w:basedOn w:val="Normal"/>
    <w:uiPriority w:val="34"/>
    <w:qFormat/>
    <w:rsid w:val="00304ED3"/>
    <w:pPr>
      <w:ind w:left="720"/>
      <w:contextualSpacing/>
      <w:jc w:val="left"/>
    </w:pPr>
    <w:rPr>
      <w:sz w:val="24"/>
    </w:rPr>
  </w:style>
  <w:style w:type="paragraph" w:styleId="Revisin">
    <w:name w:val="Revision"/>
    <w:hidden/>
    <w:uiPriority w:val="99"/>
    <w:semiHidden/>
    <w:rsid w:val="0021395E"/>
    <w:rPr>
      <w:rFonts w:ascii="Times New Roman" w:eastAsia="Times New Roman" w:hAnsi="Times New Roman" w:cs="Times New Roman"/>
      <w:sz w:val="22"/>
    </w:rPr>
  </w:style>
  <w:style w:type="paragraph" w:styleId="Asuntodelcomentario">
    <w:name w:val="annotation subject"/>
    <w:basedOn w:val="Textocomentario"/>
    <w:next w:val="Textocomentario"/>
    <w:link w:val="AsuntodelcomentarioCar"/>
    <w:uiPriority w:val="99"/>
    <w:semiHidden/>
    <w:unhideWhenUsed/>
    <w:rsid w:val="00B10B8A"/>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B10B8A"/>
    <w:rPr>
      <w:rFonts w:ascii="Times New Roman" w:eastAsia="Times New Roman" w:hAnsi="Times New Roman" w:cs="Times New Roman"/>
      <w:b/>
      <w:bCs/>
      <w:sz w:val="20"/>
      <w:szCs w:val="20"/>
      <w:lang w:val="es-ES"/>
    </w:rPr>
  </w:style>
  <w:style w:type="paragraph" w:customStyle="1" w:styleId="recommendation">
    <w:name w:val="recommendation"/>
    <w:basedOn w:val="Ttulo2"/>
    <w:qFormat/>
    <w:rsid w:val="00AC447B"/>
    <w:pPr>
      <w:tabs>
        <w:tab w:val="clear" w:pos="720"/>
      </w:tabs>
      <w:spacing w:before="240" w:after="60" w:line="276" w:lineRule="auto"/>
      <w:jc w:val="left"/>
    </w:pPr>
    <w:rPr>
      <w:snapToGrid w:val="0"/>
      <w:kern w:val="2"/>
      <w:szCs w:val="22"/>
    </w:rPr>
  </w:style>
  <w:style w:type="character" w:customStyle="1" w:styleId="UnresolvedMention1">
    <w:name w:val="Unresolved Mention1"/>
    <w:basedOn w:val="Fuentedeprrafopredeter"/>
    <w:uiPriority w:val="99"/>
    <w:semiHidden/>
    <w:unhideWhenUsed/>
    <w:rsid w:val="005B049E"/>
    <w:rPr>
      <w:color w:val="808080"/>
      <w:shd w:val="clear" w:color="auto" w:fill="E6E6E6"/>
    </w:rPr>
  </w:style>
  <w:style w:type="character" w:customStyle="1" w:styleId="Para1Char">
    <w:name w:val="Para1 Char"/>
    <w:link w:val="Para1"/>
    <w:locked/>
    <w:rsid w:val="00AC4904"/>
    <w:rPr>
      <w:rFonts w:ascii="Times New Roman" w:eastAsia="Times New Roman" w:hAnsi="Times New Roman" w:cs="Times New Roman"/>
      <w:snapToGrid w:val="0"/>
      <w:sz w:val="22"/>
      <w:szCs w:val="18"/>
      <w:lang w:val="es-ES"/>
    </w:rPr>
  </w:style>
  <w:style w:type="character" w:customStyle="1" w:styleId="st">
    <w:name w:val="st"/>
    <w:rsid w:val="00AC4904"/>
  </w:style>
  <w:style w:type="character" w:customStyle="1" w:styleId="UnresolvedMention2">
    <w:name w:val="Unresolved Mention2"/>
    <w:basedOn w:val="Fuentedeprrafopredeter"/>
    <w:uiPriority w:val="99"/>
    <w:semiHidden/>
    <w:unhideWhenUsed/>
    <w:rsid w:val="00C471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2/cop-12-dec-24-e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08/full/cop-08-dec-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Textodelmarcadordeposicin"/>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Textodelmarcadordeposicin"/>
            </w:rPr>
            <w:t>[Status]</w:t>
          </w:r>
        </w:p>
      </w:docPartBody>
    </w:docPart>
    <w:docPart>
      <w:docPartPr>
        <w:name w:val="6B7789D81B514BF5A43844742D355B4A"/>
        <w:category>
          <w:name w:val="General"/>
          <w:gallery w:val="placeholder"/>
        </w:category>
        <w:types>
          <w:type w:val="bbPlcHdr"/>
        </w:types>
        <w:behaviors>
          <w:behavior w:val="content"/>
        </w:behaviors>
        <w:guid w:val="{AB1F1756-B203-4B81-A711-C22C002B3649}"/>
      </w:docPartPr>
      <w:docPartBody>
        <w:p w:rsidR="009B722D" w:rsidRDefault="000B230B">
          <w:r w:rsidRPr="00115DE4">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0E46"/>
    <w:rsid w:val="000B230B"/>
    <w:rsid w:val="000B3BBF"/>
    <w:rsid w:val="0017412B"/>
    <w:rsid w:val="00304A09"/>
    <w:rsid w:val="00393DB5"/>
    <w:rsid w:val="003D2A1F"/>
    <w:rsid w:val="00517220"/>
    <w:rsid w:val="006933E7"/>
    <w:rsid w:val="006D6F9B"/>
    <w:rsid w:val="00787DAF"/>
    <w:rsid w:val="00810A55"/>
    <w:rsid w:val="008D420E"/>
    <w:rsid w:val="009B722D"/>
    <w:rsid w:val="00C149CB"/>
    <w:rsid w:val="00F361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04A09"/>
    <w:rPr>
      <w:color w:val="808080"/>
    </w:rPr>
  </w:style>
  <w:style w:type="paragraph" w:customStyle="1" w:styleId="74DFE888CCB242E7B87A0F21309B51AD">
    <w:name w:val="74DFE888CCB242E7B87A0F21309B51AD"/>
    <w:rsid w:val="000B230B"/>
    <w:pPr>
      <w:spacing w:after="160" w:line="259" w:lineRule="auto"/>
    </w:pPr>
  </w:style>
  <w:style w:type="paragraph" w:customStyle="1" w:styleId="32F55500775344B49C33E3C9945BD3CF">
    <w:name w:val="32F55500775344B49C33E3C9945BD3CF"/>
    <w:rsid w:val="0017412B"/>
    <w:pPr>
      <w:spacing w:after="160" w:line="259" w:lineRule="auto"/>
    </w:pPr>
  </w:style>
  <w:style w:type="paragraph" w:customStyle="1" w:styleId="C25F2A5C92374082A2EC34C28F977AA8">
    <w:name w:val="C25F2A5C92374082A2EC34C28F977AA8"/>
    <w:rsid w:val="00304A09"/>
    <w:pPr>
      <w:spacing w:after="160" w:line="259" w:lineRule="auto"/>
    </w:pPr>
  </w:style>
  <w:style w:type="paragraph" w:customStyle="1" w:styleId="7EE4EFE9AEFB47008F3ED11D39A8D6BD">
    <w:name w:val="7EE4EFE9AEFB47008F3ED11D39A8D6BD"/>
    <w:rsid w:val="00304A09"/>
    <w:pPr>
      <w:spacing w:after="160" w:line="259" w:lineRule="auto"/>
    </w:pPr>
  </w:style>
  <w:style w:type="paragraph" w:customStyle="1" w:styleId="D6F9FD4284D04A12B29030EFF39BC3C2">
    <w:name w:val="D6F9FD4284D04A12B29030EFF39BC3C2"/>
    <w:rsid w:val="00304A0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7 de julio de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9D2E5D-15C9-41E4-BD63-65AEFF3A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1610</Words>
  <Characters>8859</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22/2.	Evaluación del riesgo y gestión del riesgo de organismos vivos modificados</vt:lpstr>
      <vt:lpstr>22/2.	Risk assessment and risk management of living modified organisms</vt:lpstr>
    </vt:vector>
  </TitlesOfParts>
  <Company>Secretariat of the Convention on Biological Diversity (SCBD)</Company>
  <LinksUpToDate>false</LinksUpToDate>
  <CharactersWithSpaces>10449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Evaluación del riesgo y gestión del riesgo de organismos vivos modificados</dc:title>
  <dc:subject>CBD/SBSTTA/REC/22/2</dc:subject>
  <dc:creator>SBSTTA 22</dc:creator>
  <cp:lastModifiedBy>Maria Troitino</cp:lastModifiedBy>
  <cp:revision>6</cp:revision>
  <cp:lastPrinted>2018-07-09T23:50:00Z</cp:lastPrinted>
  <dcterms:created xsi:type="dcterms:W3CDTF">2018-08-21T16:16:00Z</dcterms:created>
  <dcterms:modified xsi:type="dcterms:W3CDTF">2018-09-04T16:12:00Z</dcterms:modified>
  <cp:contentStatus>GENERAL</cp:contentStatus>
</cp:coreProperties>
</file>