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055F6D" w:rsidRPr="00AC626C" w14:paraId="79C845AD" w14:textId="77777777" w:rsidTr="00CF6861">
        <w:trPr>
          <w:trHeight w:val="709"/>
        </w:trPr>
        <w:tc>
          <w:tcPr>
            <w:tcW w:w="976" w:type="dxa"/>
            <w:tcBorders>
              <w:bottom w:val="single" w:sz="12" w:space="0" w:color="auto"/>
            </w:tcBorders>
          </w:tcPr>
          <w:p w14:paraId="28B51067" w14:textId="77777777" w:rsidR="00055F6D" w:rsidRPr="00AC626C" w:rsidRDefault="00055F6D" w:rsidP="00CF6861">
            <w:bookmarkStart w:id="0" w:name="Meeting"/>
            <w:r w:rsidRPr="00AC626C">
              <w:rPr>
                <w:noProof/>
              </w:rPr>
              <w:drawing>
                <wp:inline distT="0" distB="0" distL="0" distR="0" wp14:anchorId="6F254032" wp14:editId="031CA173">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tcPr>
          <w:p w14:paraId="4542FC7C" w14:textId="77777777" w:rsidR="00055F6D" w:rsidRPr="00AC626C" w:rsidRDefault="00055F6D" w:rsidP="00CF6861">
            <w:r w:rsidRPr="00AC626C">
              <w:rPr>
                <w:noProof/>
              </w:rPr>
              <w:drawing>
                <wp:inline distT="0" distB="0" distL="0" distR="0" wp14:anchorId="7C6A5FD0" wp14:editId="17EAA0C2">
                  <wp:extent cx="343700" cy="403200"/>
                  <wp:effectExtent l="0" t="0" r="12065" b="3810"/>
                  <wp:docPr id="2" name="Picture 2"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090" w:type="dxa"/>
            <w:tcBorders>
              <w:bottom w:val="single" w:sz="12" w:space="0" w:color="auto"/>
            </w:tcBorders>
          </w:tcPr>
          <w:p w14:paraId="35DCFC4F" w14:textId="77777777" w:rsidR="00055F6D" w:rsidRPr="00AC626C" w:rsidRDefault="00055F6D" w:rsidP="00CF6861">
            <w:pPr>
              <w:jc w:val="right"/>
              <w:rPr>
                <w:rFonts w:ascii="Arial" w:hAnsi="Arial" w:cs="Arial"/>
                <w:b/>
                <w:sz w:val="32"/>
                <w:szCs w:val="32"/>
              </w:rPr>
            </w:pPr>
            <w:r>
              <w:rPr>
                <w:rFonts w:ascii="Arial" w:hAnsi="Arial" w:cs="Arial"/>
                <w:b/>
                <w:sz w:val="32"/>
                <w:szCs w:val="32"/>
              </w:rPr>
              <w:t>CBD</w:t>
            </w:r>
          </w:p>
        </w:tc>
      </w:tr>
    </w:tbl>
    <w:tbl>
      <w:tblPr>
        <w:tblW w:w="10348" w:type="dxa"/>
        <w:tblInd w:w="-459" w:type="dxa"/>
        <w:tblBorders>
          <w:bottom w:val="single" w:sz="36" w:space="0" w:color="000000"/>
        </w:tblBorders>
        <w:tblLayout w:type="fixed"/>
        <w:tblLook w:val="0000" w:firstRow="0" w:lastRow="0" w:firstColumn="0" w:lastColumn="0" w:noHBand="0" w:noVBand="0"/>
      </w:tblPr>
      <w:tblGrid>
        <w:gridCol w:w="6227"/>
        <w:gridCol w:w="1144"/>
        <w:gridCol w:w="2977"/>
      </w:tblGrid>
      <w:tr w:rsidR="00055F6D" w:rsidRPr="00AC626C" w14:paraId="3D9E5EAA" w14:textId="77777777" w:rsidTr="00CF6861">
        <w:trPr>
          <w:trHeight w:val="1693"/>
        </w:trPr>
        <w:tc>
          <w:tcPr>
            <w:tcW w:w="6227" w:type="dxa"/>
            <w:tcBorders>
              <w:top w:val="nil"/>
              <w:bottom w:val="single" w:sz="36" w:space="0" w:color="000000"/>
            </w:tcBorders>
          </w:tcPr>
          <w:p w14:paraId="1325FC08" w14:textId="77777777" w:rsidR="00055F6D" w:rsidRPr="00AC626C" w:rsidRDefault="00055F6D" w:rsidP="00CF6861">
            <w:pPr>
              <w:rPr>
                <w:snapToGrid w:val="0"/>
                <w:kern w:val="22"/>
              </w:rPr>
            </w:pPr>
          </w:p>
          <w:p w14:paraId="33426DE3" w14:textId="27D69B55" w:rsidR="00055F6D" w:rsidRPr="00AC626C" w:rsidRDefault="00067FAA" w:rsidP="00CF6861">
            <w:pPr>
              <w:rPr>
                <w:snapToGrid w:val="0"/>
                <w:kern w:val="22"/>
              </w:rPr>
            </w:pPr>
            <w:r w:rsidRPr="005B2EE5">
              <w:rPr>
                <w:bCs/>
                <w:noProof/>
                <w:szCs w:val="22"/>
              </w:rPr>
              <w:drawing>
                <wp:inline distT="0" distB="0" distL="0" distR="0" wp14:anchorId="6F11DB4D" wp14:editId="1B17077F">
                  <wp:extent cx="2857500" cy="1076325"/>
                  <wp:effectExtent l="0" t="0" r="0" b="9525"/>
                  <wp:docPr id="3" name="Picture 7"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fr-CMYK-black [Conver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7500" cy="1076325"/>
                          </a:xfrm>
                          <a:prstGeom prst="rect">
                            <a:avLst/>
                          </a:prstGeom>
                          <a:noFill/>
                          <a:ln>
                            <a:noFill/>
                          </a:ln>
                        </pic:spPr>
                      </pic:pic>
                    </a:graphicData>
                  </a:graphic>
                </wp:inline>
              </w:drawing>
            </w:r>
          </w:p>
          <w:p w14:paraId="167E7309" w14:textId="77777777" w:rsidR="00055F6D" w:rsidRPr="00AC626C" w:rsidRDefault="00055F6D" w:rsidP="00CF6861">
            <w:pPr>
              <w:rPr>
                <w:rFonts w:ascii="Univers" w:hAnsi="Univers"/>
                <w:snapToGrid w:val="0"/>
                <w:kern w:val="22"/>
                <w:sz w:val="32"/>
              </w:rPr>
            </w:pPr>
          </w:p>
        </w:tc>
        <w:tc>
          <w:tcPr>
            <w:tcW w:w="1144" w:type="dxa"/>
            <w:tcBorders>
              <w:top w:val="nil"/>
              <w:bottom w:val="single" w:sz="36" w:space="0" w:color="000000"/>
            </w:tcBorders>
          </w:tcPr>
          <w:p w14:paraId="0C0FE462" w14:textId="77777777" w:rsidR="00055F6D" w:rsidRPr="00AC626C" w:rsidRDefault="00055F6D" w:rsidP="00CF6861">
            <w:pPr>
              <w:pStyle w:val="Header"/>
              <w:tabs>
                <w:tab w:val="clear" w:pos="4320"/>
                <w:tab w:val="clear" w:pos="8640"/>
              </w:tabs>
              <w:rPr>
                <w:b/>
                <w:snapToGrid w:val="0"/>
                <w:kern w:val="22"/>
                <w:sz w:val="32"/>
                <w:szCs w:val="32"/>
              </w:rPr>
            </w:pPr>
          </w:p>
        </w:tc>
        <w:tc>
          <w:tcPr>
            <w:tcW w:w="2977" w:type="dxa"/>
            <w:tcBorders>
              <w:top w:val="nil"/>
              <w:bottom w:val="single" w:sz="36" w:space="0" w:color="000000"/>
            </w:tcBorders>
          </w:tcPr>
          <w:p w14:paraId="58B93B59" w14:textId="77777777" w:rsidR="00055F6D" w:rsidRPr="00AC626C" w:rsidRDefault="00055F6D" w:rsidP="00CF6861">
            <w:pPr>
              <w:ind w:left="63"/>
              <w:rPr>
                <w:noProof/>
                <w:snapToGrid w:val="0"/>
                <w:kern w:val="22"/>
                <w:szCs w:val="22"/>
              </w:rPr>
            </w:pPr>
            <w:r>
              <w:rPr>
                <w:noProof/>
                <w:snapToGrid w:val="0"/>
                <w:kern w:val="22"/>
                <w:szCs w:val="22"/>
              </w:rPr>
              <w:t>Distr.</w:t>
            </w:r>
          </w:p>
          <w:p w14:paraId="5526A491" w14:textId="1566F3B1" w:rsidR="00055F6D" w:rsidRPr="00AC626C" w:rsidRDefault="00382A6F" w:rsidP="00CF6861">
            <w:pPr>
              <w:ind w:left="63"/>
              <w:rPr>
                <w:snapToGrid w:val="0"/>
                <w:kern w:val="22"/>
                <w:szCs w:val="22"/>
              </w:rPr>
            </w:pPr>
            <w:r>
              <w:rPr>
                <w:snapToGrid w:val="0"/>
                <w:kern w:val="22"/>
                <w:szCs w:val="22"/>
              </w:rPr>
              <w:t>GÉNÉRALE</w:t>
            </w:r>
          </w:p>
          <w:p w14:paraId="46842358" w14:textId="77777777" w:rsidR="00055F6D" w:rsidRPr="00AC626C" w:rsidRDefault="00055F6D" w:rsidP="00CF6861">
            <w:pPr>
              <w:ind w:left="63"/>
              <w:rPr>
                <w:snapToGrid w:val="0"/>
                <w:kern w:val="22"/>
                <w:szCs w:val="22"/>
              </w:rPr>
            </w:pPr>
          </w:p>
          <w:p w14:paraId="564CCA8C" w14:textId="28D80B8A" w:rsidR="00055F6D" w:rsidRPr="00AC626C" w:rsidRDefault="00A749CA" w:rsidP="00CF6861">
            <w:pPr>
              <w:ind w:left="63"/>
              <w:rPr>
                <w:snapToGrid w:val="0"/>
                <w:kern w:val="22"/>
                <w:szCs w:val="22"/>
              </w:rPr>
            </w:pPr>
            <w:sdt>
              <w:sdtPr>
                <w:rPr>
                  <w:snapToGrid w:val="0"/>
                  <w:kern w:val="22"/>
                  <w:szCs w:val="22"/>
                </w:rPr>
                <w:alias w:val="Subject"/>
                <w:tag w:val=""/>
                <w:id w:val="-344942035"/>
                <w:placeholder>
                  <w:docPart w:val="614E89801A8B45F09D13C3BBA1795C03"/>
                </w:placeholder>
                <w:dataBinding w:prefixMappings="xmlns:ns0='http://purl.org/dc/elements/1.1/' xmlns:ns1='http://schemas.openxmlformats.org/package/2006/metadata/core-properties' " w:xpath="/ns1:coreProperties[1]/ns0:subject[1]" w:storeItemID="{6C3C8BC8-F283-45AE-878A-BAB7291924A1}"/>
                <w:text/>
              </w:sdtPr>
              <w:sdtEndPr/>
              <w:sdtContent>
                <w:r w:rsidR="00055F6D" w:rsidRPr="00067FAA">
                  <w:rPr>
                    <w:snapToGrid w:val="0"/>
                    <w:kern w:val="22"/>
                    <w:szCs w:val="22"/>
                  </w:rPr>
                  <w:t>CBD/SBSTTA/</w:t>
                </w:r>
                <w:r w:rsidR="00382A6F">
                  <w:rPr>
                    <w:snapToGrid w:val="0"/>
                    <w:kern w:val="22"/>
                    <w:szCs w:val="22"/>
                  </w:rPr>
                  <w:t>REC/</w:t>
                </w:r>
                <w:r w:rsidR="00055F6D" w:rsidRPr="00067FAA">
                  <w:rPr>
                    <w:snapToGrid w:val="0"/>
                    <w:kern w:val="22"/>
                    <w:szCs w:val="22"/>
                  </w:rPr>
                  <w:t>23/</w:t>
                </w:r>
                <w:r w:rsidR="00382A6F">
                  <w:rPr>
                    <w:snapToGrid w:val="0"/>
                    <w:kern w:val="22"/>
                    <w:szCs w:val="22"/>
                  </w:rPr>
                  <w:t>02</w:t>
                </w:r>
              </w:sdtContent>
            </w:sdt>
          </w:p>
          <w:p w14:paraId="5B03460F" w14:textId="56059A51" w:rsidR="00055F6D" w:rsidRPr="00AC626C" w:rsidRDefault="003C7F47" w:rsidP="00CF6861">
            <w:pPr>
              <w:ind w:left="63"/>
              <w:rPr>
                <w:snapToGrid w:val="0"/>
                <w:kern w:val="22"/>
                <w:szCs w:val="22"/>
              </w:rPr>
            </w:pPr>
            <w:r>
              <w:rPr>
                <w:snapToGrid w:val="0"/>
                <w:kern w:val="22"/>
                <w:szCs w:val="22"/>
              </w:rPr>
              <w:t>28 novembre 2019</w:t>
            </w:r>
          </w:p>
          <w:p w14:paraId="27A38830" w14:textId="77777777" w:rsidR="00055F6D" w:rsidRPr="00AC626C" w:rsidRDefault="00055F6D" w:rsidP="00CF6861">
            <w:pPr>
              <w:ind w:left="63"/>
              <w:rPr>
                <w:snapToGrid w:val="0"/>
                <w:kern w:val="22"/>
                <w:szCs w:val="22"/>
              </w:rPr>
            </w:pPr>
          </w:p>
          <w:p w14:paraId="47AC7201" w14:textId="77777777" w:rsidR="00055F6D" w:rsidRPr="00AC626C" w:rsidRDefault="00055F6D" w:rsidP="00CF6861">
            <w:pPr>
              <w:ind w:left="63"/>
              <w:rPr>
                <w:snapToGrid w:val="0"/>
                <w:color w:val="FF0000"/>
                <w:kern w:val="22"/>
                <w:szCs w:val="22"/>
                <w:u w:val="single"/>
              </w:rPr>
            </w:pPr>
            <w:r>
              <w:rPr>
                <w:snapToGrid w:val="0"/>
                <w:kern w:val="22"/>
                <w:szCs w:val="22"/>
              </w:rPr>
              <w:t xml:space="preserve">FRANÇAIS </w:t>
            </w:r>
            <w:r>
              <w:rPr>
                <w:snapToGrid w:val="0"/>
                <w:kern w:val="22"/>
                <w:szCs w:val="22"/>
              </w:rPr>
              <w:br/>
              <w:t>ORIGINAL : ANGLAIS</w:t>
            </w:r>
          </w:p>
        </w:tc>
      </w:tr>
    </w:tbl>
    <w:p w14:paraId="5FBABDE7" w14:textId="77777777" w:rsidR="0042412C" w:rsidRPr="00AC626C" w:rsidRDefault="00A749CA" w:rsidP="0042412C">
      <w:pPr>
        <w:pStyle w:val="meetingname"/>
        <w:suppressLineNumbers/>
        <w:suppressAutoHyphens/>
        <w:kinsoku w:val="0"/>
        <w:overflowPunct w:val="0"/>
        <w:autoSpaceDE w:val="0"/>
        <w:autoSpaceDN w:val="0"/>
        <w:ind w:right="4590"/>
        <w:jc w:val="left"/>
        <w:rPr>
          <w:kern w:val="22"/>
        </w:rPr>
      </w:pPr>
      <w:sdt>
        <w:sdtPr>
          <w:rPr>
            <w:kern w:val="22"/>
          </w:rPr>
          <w:alias w:val="Meeting"/>
          <w:tag w:val="Meeting"/>
          <w:id w:val="1412045910"/>
          <w:placeholder>
            <w:docPart w:val="C444DEE40D7C456B82AF1A09CD132ABF"/>
          </w:placeholder>
          <w:text/>
        </w:sdtPr>
        <w:sdtEndPr/>
        <w:sdtContent>
          <w:r w:rsidR="00410237">
            <w:rPr>
              <w:kern w:val="22"/>
            </w:rPr>
            <w:t>ORGANE SUBSIDIAIRE CHARGÉ DE FOURNIR DES AVIS SCIENTIFIQUES, TECHNIQUES ET TECHNOLOGIQUES</w:t>
          </w:r>
        </w:sdtContent>
      </w:sdt>
      <w:bookmarkEnd w:id="0"/>
    </w:p>
    <w:p w14:paraId="1A1425B4" w14:textId="77777777" w:rsidR="003C5220" w:rsidRPr="00AC626C" w:rsidRDefault="003C5220" w:rsidP="003C5220">
      <w:pPr>
        <w:rPr>
          <w:snapToGrid w:val="0"/>
          <w:kern w:val="22"/>
          <w:szCs w:val="22"/>
          <w:lang w:eastAsia="nb-NO"/>
        </w:rPr>
      </w:pPr>
      <w:r>
        <w:rPr>
          <w:snapToGrid w:val="0"/>
          <w:kern w:val="22"/>
          <w:szCs w:val="22"/>
        </w:rPr>
        <w:t>Vingt-troisième réunion</w:t>
      </w:r>
    </w:p>
    <w:p w14:paraId="11F73B9E" w14:textId="77777777" w:rsidR="0042412C" w:rsidRPr="00AC626C" w:rsidRDefault="003C5220" w:rsidP="003C5220">
      <w:pPr>
        <w:suppressLineNumbers/>
        <w:suppressAutoHyphens/>
        <w:kinsoku w:val="0"/>
        <w:overflowPunct w:val="0"/>
        <w:autoSpaceDE w:val="0"/>
        <w:autoSpaceDN w:val="0"/>
        <w:rPr>
          <w:snapToGrid w:val="0"/>
          <w:kern w:val="22"/>
          <w:szCs w:val="22"/>
          <w:lang w:eastAsia="nb-NO"/>
        </w:rPr>
      </w:pPr>
      <w:r>
        <w:rPr>
          <w:snapToGrid w:val="0"/>
          <w:kern w:val="22"/>
          <w:szCs w:val="22"/>
        </w:rPr>
        <w:t>Montréal, Canada, 25-29 novembre 2019</w:t>
      </w:r>
    </w:p>
    <w:p w14:paraId="54B6CBFA" w14:textId="4FDF082A" w:rsidR="00C9161D" w:rsidRPr="00AC626C" w:rsidRDefault="00405146" w:rsidP="00C9161D">
      <w:r>
        <w:t>Point 4 de l’ordre du jour</w:t>
      </w:r>
    </w:p>
    <w:p w14:paraId="03BC1CC7" w14:textId="6EDC6CDE" w:rsidR="00C9161D" w:rsidRPr="00AC626C" w:rsidRDefault="00AB119D" w:rsidP="00AB119D">
      <w:pPr>
        <w:pStyle w:val="Heading1"/>
        <w:rPr>
          <w:rFonts w:ascii="Times New Roman Bold" w:hAnsi="Times New Roman Bold"/>
        </w:rPr>
      </w:pPr>
      <w:r w:rsidRPr="008F76A6">
        <w:t>recommandation adoptÉe par l’organe subsidiaire chargÉ de fournir des avis scientifiques, techniques et technologiques</w:t>
      </w:r>
    </w:p>
    <w:p w14:paraId="62A8A16F" w14:textId="32D57710" w:rsidR="00176CEE" w:rsidRPr="00AC626C" w:rsidRDefault="00AB119D" w:rsidP="00167918">
      <w:pPr>
        <w:pStyle w:val="Heading2"/>
        <w:rPr>
          <w:caps/>
        </w:rPr>
      </w:pPr>
      <w:r>
        <w:t>23/2.</w:t>
      </w:r>
      <w:r>
        <w:tab/>
        <w:t>Biodiversité et changements climatiques</w:t>
      </w:r>
    </w:p>
    <w:p w14:paraId="4EDEC8FB" w14:textId="5B4FA860" w:rsidR="005A28E8" w:rsidRPr="00AC626C" w:rsidRDefault="005A28E8" w:rsidP="004823D0">
      <w:pPr>
        <w:pStyle w:val="Para10"/>
        <w:numPr>
          <w:ilvl w:val="0"/>
          <w:numId w:val="0"/>
        </w:numPr>
        <w:suppressLineNumbers/>
        <w:suppressAutoHyphens/>
        <w:kinsoku w:val="0"/>
        <w:overflowPunct w:val="0"/>
        <w:autoSpaceDE w:val="0"/>
        <w:autoSpaceDN w:val="0"/>
        <w:adjustRightInd w:val="0"/>
        <w:snapToGrid w:val="0"/>
        <w:ind w:firstLine="720"/>
        <w:rPr>
          <w:i/>
          <w:kern w:val="22"/>
          <w:szCs w:val="22"/>
        </w:rPr>
      </w:pPr>
      <w:r>
        <w:rPr>
          <w:i/>
          <w:kern w:val="22"/>
          <w:szCs w:val="22"/>
        </w:rPr>
        <w:t>L’Organe subsidiaire chargé de fournir des avis scientifiques, techniques et technologiques</w:t>
      </w:r>
    </w:p>
    <w:p w14:paraId="11100231" w14:textId="429F9991" w:rsidR="005671A7" w:rsidRPr="00AC626C" w:rsidRDefault="00776000" w:rsidP="000405C5">
      <w:pPr>
        <w:pStyle w:val="Para10"/>
        <w:numPr>
          <w:ilvl w:val="0"/>
          <w:numId w:val="0"/>
        </w:numPr>
        <w:suppressLineNumbers/>
        <w:suppressAutoHyphens/>
        <w:kinsoku w:val="0"/>
        <w:overflowPunct w:val="0"/>
        <w:autoSpaceDE w:val="0"/>
        <w:autoSpaceDN w:val="0"/>
        <w:adjustRightInd w:val="0"/>
        <w:snapToGrid w:val="0"/>
        <w:ind w:firstLine="720"/>
        <w:rPr>
          <w:kern w:val="22"/>
          <w:szCs w:val="22"/>
        </w:rPr>
      </w:pPr>
      <w:r>
        <w:rPr>
          <w:kern w:val="22"/>
          <w:szCs w:val="22"/>
        </w:rPr>
        <w:t>1</w:t>
      </w:r>
      <w:r>
        <w:rPr>
          <w:i/>
          <w:kern w:val="22"/>
          <w:szCs w:val="22"/>
        </w:rPr>
        <w:t>.</w:t>
      </w:r>
      <w:r>
        <w:rPr>
          <w:i/>
          <w:kern w:val="22"/>
          <w:szCs w:val="22"/>
        </w:rPr>
        <w:tab/>
        <w:t>Se félicite</w:t>
      </w:r>
      <w:r>
        <w:rPr>
          <w:kern w:val="22"/>
          <w:szCs w:val="22"/>
        </w:rPr>
        <w:t xml:space="preserve"> du rapport </w:t>
      </w:r>
      <w:r w:rsidR="00AB119D">
        <w:rPr>
          <w:kern w:val="22"/>
          <w:szCs w:val="22"/>
        </w:rPr>
        <w:t>sur l’</w:t>
      </w:r>
      <w:r w:rsidR="003F4D48">
        <w:rPr>
          <w:kern w:val="22"/>
          <w:szCs w:val="22"/>
        </w:rPr>
        <w:t>É</w:t>
      </w:r>
      <w:r w:rsidR="00AB119D">
        <w:rPr>
          <w:kern w:val="22"/>
          <w:szCs w:val="22"/>
        </w:rPr>
        <w:t>valuation mondiale de la biodiversité et des services écosystémiques</w:t>
      </w:r>
      <w:r w:rsidR="00AB119D">
        <w:rPr>
          <w:rStyle w:val="FootnoteReference"/>
          <w:kern w:val="22"/>
          <w:szCs w:val="22"/>
        </w:rPr>
        <w:footnoteReference w:id="2"/>
      </w:r>
      <w:r w:rsidR="003F4D48">
        <w:rPr>
          <w:kern w:val="22"/>
          <w:szCs w:val="22"/>
        </w:rPr>
        <w:t xml:space="preserve"> </w:t>
      </w:r>
      <w:r>
        <w:rPr>
          <w:kern w:val="22"/>
          <w:szCs w:val="22"/>
        </w:rPr>
        <w:t>de la Plateforme intergouvernementale scientifique et politique sur la biodiversité et les services écosystémiques (IPBES) ;</w:t>
      </w:r>
    </w:p>
    <w:p w14:paraId="0D3FD4FD" w14:textId="1B6A41BA" w:rsidR="008C133F" w:rsidRPr="00067FAA" w:rsidRDefault="00776000" w:rsidP="00A50B3A">
      <w:pPr>
        <w:suppressLineNumbers/>
        <w:suppressAutoHyphens/>
        <w:kinsoku w:val="0"/>
        <w:overflowPunct w:val="0"/>
        <w:autoSpaceDE w:val="0"/>
        <w:autoSpaceDN w:val="0"/>
        <w:adjustRightInd w:val="0"/>
        <w:snapToGrid w:val="0"/>
        <w:spacing w:before="120" w:after="120"/>
        <w:ind w:firstLine="720"/>
        <w:rPr>
          <w:noProof/>
          <w:snapToGrid w:val="0"/>
          <w:kern w:val="22"/>
        </w:rPr>
      </w:pPr>
      <w:r>
        <w:rPr>
          <w:noProof/>
          <w:snapToGrid w:val="0"/>
          <w:kern w:val="22"/>
        </w:rPr>
        <w:t>2</w:t>
      </w:r>
      <w:r>
        <w:rPr>
          <w:i/>
          <w:noProof/>
          <w:snapToGrid w:val="0"/>
          <w:kern w:val="22"/>
        </w:rPr>
        <w:t>.</w:t>
      </w:r>
      <w:r>
        <w:rPr>
          <w:i/>
          <w:noProof/>
          <w:snapToGrid w:val="0"/>
          <w:kern w:val="22"/>
        </w:rPr>
        <w:tab/>
        <w:t>Se félicite également</w:t>
      </w:r>
      <w:r>
        <w:t xml:space="preserve"> des rapports spéciaux du Groupe d’experts intergouvernemental sur l’évolution du climat (GIEC) </w:t>
      </w:r>
      <w:r>
        <w:rPr>
          <w:noProof/>
          <w:snapToGrid w:val="0"/>
          <w:kern w:val="22"/>
        </w:rPr>
        <w:t xml:space="preserve">: a) le réchauffement planétaire de </w:t>
      </w:r>
      <w:r>
        <w:t>1,5 °C. Le rapport spécial du GIEC sur les effets du réchauffement planétaire de </w:t>
      </w:r>
      <w:r>
        <w:rPr>
          <w:noProof/>
          <w:snapToGrid w:val="0"/>
          <w:kern w:val="22"/>
        </w:rPr>
        <w:t>1,5 °C au-dessus des niveaux pré-industriels, et les voies d'émission de gaz à effets de serre connexes, dans le contexte du renforcement de la réponse mondiale à la menace du changement climatique, du développement durable, et des efforts pour éradiquer la pauvreté (SR1.5)</w:t>
      </w:r>
      <w:r>
        <w:rPr>
          <w:noProof/>
          <w:snapToGrid w:val="0"/>
          <w:kern w:val="22"/>
          <w:vertAlign w:val="superscript"/>
        </w:rPr>
        <w:footnoteReference w:id="3"/>
      </w:r>
      <w:r>
        <w:rPr>
          <w:noProof/>
          <w:snapToGrid w:val="0"/>
          <w:kern w:val="22"/>
        </w:rPr>
        <w:t xml:space="preserve">, b) le rapport spécial du GIEC </w:t>
      </w:r>
      <w:r>
        <w:t>sur les changements climatiques, la désertification, la dégradation des terres, la gestion durable des terres, la sécurité alimentaire et les flux de gaz à effet de serre dans les écosystèmes terrestres</w:t>
      </w:r>
      <w:r>
        <w:rPr>
          <w:noProof/>
          <w:snapToGrid w:val="0"/>
          <w:kern w:val="22"/>
        </w:rPr>
        <w:t xml:space="preserve"> (SRCCL)</w:t>
      </w:r>
      <w:r>
        <w:rPr>
          <w:noProof/>
          <w:snapToGrid w:val="0"/>
          <w:kern w:val="22"/>
          <w:vertAlign w:val="superscript"/>
        </w:rPr>
        <w:footnoteReference w:id="4"/>
      </w:r>
      <w:r>
        <w:rPr>
          <w:noProof/>
          <w:snapToGrid w:val="0"/>
          <w:kern w:val="22"/>
        </w:rPr>
        <w:t xml:space="preserve">, et c) le rapport spécial du GIEC </w:t>
      </w:r>
      <w:r>
        <w:t>l’océan et la cryosphère dans le contexte du changement climatique</w:t>
      </w:r>
      <w:r>
        <w:rPr>
          <w:noProof/>
          <w:snapToGrid w:val="0"/>
          <w:kern w:val="22"/>
        </w:rPr>
        <w:t xml:space="preserve"> (SROCC)</w:t>
      </w:r>
      <w:r w:rsidRPr="00705484">
        <w:rPr>
          <w:noProof/>
          <w:snapToGrid w:val="0"/>
          <w:kern w:val="22"/>
          <w:vertAlign w:val="superscript"/>
        </w:rPr>
        <w:footnoteReference w:id="5"/>
      </w:r>
      <w:r>
        <w:rPr>
          <w:noProof/>
          <w:snapToGrid w:val="0"/>
          <w:kern w:val="22"/>
        </w:rPr>
        <w:t> ;</w:t>
      </w:r>
    </w:p>
    <w:p w14:paraId="53D11E7F" w14:textId="043A5637" w:rsidR="005A28E8" w:rsidRPr="00AC626C" w:rsidRDefault="00346252" w:rsidP="00A50B3A">
      <w:pPr>
        <w:pStyle w:val="Para10"/>
        <w:numPr>
          <w:ilvl w:val="0"/>
          <w:numId w:val="0"/>
        </w:numPr>
        <w:suppressLineNumbers/>
        <w:suppressAutoHyphens/>
        <w:kinsoku w:val="0"/>
        <w:overflowPunct w:val="0"/>
        <w:autoSpaceDE w:val="0"/>
        <w:autoSpaceDN w:val="0"/>
        <w:adjustRightInd w:val="0"/>
        <w:snapToGrid w:val="0"/>
        <w:ind w:firstLine="720"/>
        <w:rPr>
          <w:kern w:val="22"/>
          <w:szCs w:val="22"/>
        </w:rPr>
      </w:pPr>
      <w:r>
        <w:rPr>
          <w:kern w:val="22"/>
          <w:szCs w:val="22"/>
        </w:rPr>
        <w:t>3.</w:t>
      </w:r>
      <w:r>
        <w:rPr>
          <w:kern w:val="22"/>
          <w:szCs w:val="22"/>
        </w:rPr>
        <w:tab/>
      </w:r>
      <w:r>
        <w:rPr>
          <w:i/>
          <w:kern w:val="22"/>
          <w:szCs w:val="22"/>
        </w:rPr>
        <w:t xml:space="preserve">Se félicite </w:t>
      </w:r>
      <w:r w:rsidR="003F4D48">
        <w:rPr>
          <w:i/>
          <w:kern w:val="22"/>
          <w:szCs w:val="22"/>
        </w:rPr>
        <w:t>en outre</w:t>
      </w:r>
      <w:r>
        <w:rPr>
          <w:kern w:val="22"/>
          <w:szCs w:val="22"/>
        </w:rPr>
        <w:t xml:space="preserve"> de l’examen des nouveaux renseignements scientifiques et techniques sur la biodiversité et les changements climatiques et de ses conséquences pour les travaux de la Convention, présenté dans la note de la Secrétaire exécutive</w:t>
      </w:r>
      <w:r>
        <w:rPr>
          <w:rStyle w:val="FootnoteReference"/>
          <w:rFonts w:eastAsiaTheme="majorEastAsia"/>
          <w:kern w:val="22"/>
          <w:szCs w:val="22"/>
        </w:rPr>
        <w:footnoteReference w:id="6"/>
      </w:r>
      <w:r>
        <w:rPr>
          <w:kern w:val="22"/>
          <w:szCs w:val="22"/>
        </w:rPr>
        <w:t> ;</w:t>
      </w:r>
    </w:p>
    <w:p w14:paraId="3D95EA70" w14:textId="4D0A3CF1" w:rsidR="00825521" w:rsidRPr="00AC626C" w:rsidRDefault="007065CA" w:rsidP="00A50B3A">
      <w:pPr>
        <w:pStyle w:val="Para10"/>
        <w:numPr>
          <w:ilvl w:val="0"/>
          <w:numId w:val="0"/>
        </w:numPr>
        <w:suppressLineNumbers/>
        <w:suppressAutoHyphens/>
        <w:kinsoku w:val="0"/>
        <w:overflowPunct w:val="0"/>
        <w:autoSpaceDE w:val="0"/>
        <w:autoSpaceDN w:val="0"/>
        <w:adjustRightInd w:val="0"/>
        <w:snapToGrid w:val="0"/>
        <w:ind w:firstLine="720"/>
        <w:rPr>
          <w:rFonts w:eastAsiaTheme="majorEastAsia"/>
          <w:kern w:val="22"/>
          <w:szCs w:val="22"/>
        </w:rPr>
      </w:pPr>
      <w:r>
        <w:t>4.</w:t>
      </w:r>
      <w:r>
        <w:tab/>
      </w:r>
      <w:r>
        <w:rPr>
          <w:i/>
        </w:rPr>
        <w:t>Note</w:t>
      </w:r>
      <w:r>
        <w:t xml:space="preserve"> que les solutions basées sur la nature intégrant des mesures de protection de la biodiversité sont une composante essentielle des approches écosystémiques en matière d'adaptation aux changements climatiques, d'atténuation de leurs effets et de réduction des risques de catastrophe ;</w:t>
      </w:r>
    </w:p>
    <w:p w14:paraId="2D4DA7E4" w14:textId="5A7DA352" w:rsidR="00EF1044" w:rsidRPr="00AC626C" w:rsidRDefault="007065CA" w:rsidP="00A50B3A">
      <w:pPr>
        <w:pStyle w:val="Para10"/>
        <w:numPr>
          <w:ilvl w:val="0"/>
          <w:numId w:val="0"/>
        </w:numPr>
        <w:suppressLineNumbers/>
        <w:suppressAutoHyphens/>
        <w:kinsoku w:val="0"/>
        <w:overflowPunct w:val="0"/>
        <w:autoSpaceDE w:val="0"/>
        <w:autoSpaceDN w:val="0"/>
        <w:adjustRightInd w:val="0"/>
        <w:snapToGrid w:val="0"/>
        <w:ind w:firstLine="720"/>
        <w:rPr>
          <w:kern w:val="22"/>
          <w:szCs w:val="22"/>
        </w:rPr>
      </w:pPr>
      <w:r>
        <w:rPr>
          <w:kern w:val="22"/>
          <w:szCs w:val="22"/>
        </w:rPr>
        <w:t>5.</w:t>
      </w:r>
      <w:r>
        <w:rPr>
          <w:kern w:val="22"/>
          <w:szCs w:val="22"/>
        </w:rPr>
        <w:tab/>
      </w:r>
      <w:r>
        <w:rPr>
          <w:i/>
          <w:kern w:val="22"/>
          <w:szCs w:val="22"/>
        </w:rPr>
        <w:t>Se félicite</w:t>
      </w:r>
      <w:r>
        <w:rPr>
          <w:kern w:val="22"/>
          <w:szCs w:val="22"/>
        </w:rPr>
        <w:t xml:space="preserve"> de la Charte de Metz sur la biodiversité, convenue lors de la réunion des ministres de l’environnement du G7 en France, en mai 2019</w:t>
      </w:r>
      <w:r w:rsidR="007B7CEB">
        <w:rPr>
          <w:rStyle w:val="FootnoteReference"/>
          <w:kern w:val="22"/>
          <w:szCs w:val="22"/>
        </w:rPr>
        <w:footnoteReference w:id="7"/>
      </w:r>
      <w:r>
        <w:rPr>
          <w:kern w:val="22"/>
          <w:szCs w:val="22"/>
        </w:rPr>
        <w:t xml:space="preserve">, et du Communiqué issu de la réunion ministérielle du G20 sur les transitions énergétiques et l’environnement mondial pour une croissance durable, adopté au </w:t>
      </w:r>
      <w:r>
        <w:rPr>
          <w:kern w:val="22"/>
          <w:szCs w:val="22"/>
        </w:rPr>
        <w:lastRenderedPageBreak/>
        <w:t>Japon, en juin 2019</w:t>
      </w:r>
      <w:r w:rsidR="007B7CEB">
        <w:rPr>
          <w:rStyle w:val="FootnoteReference"/>
          <w:kern w:val="22"/>
          <w:szCs w:val="22"/>
        </w:rPr>
        <w:footnoteReference w:id="8"/>
      </w:r>
      <w:r>
        <w:rPr>
          <w:kern w:val="22"/>
          <w:szCs w:val="22"/>
        </w:rPr>
        <w:t>, ainsi que du programme d'action panafricain sur la restauration des écosystèmes axée sur l'accroissement de la résilience, adopté en novembre 2018</w:t>
      </w:r>
      <w:r w:rsidR="003F4D48">
        <w:rPr>
          <w:rStyle w:val="FootnoteReference"/>
          <w:kern w:val="22"/>
          <w:szCs w:val="22"/>
        </w:rPr>
        <w:footnoteReference w:id="9"/>
      </w:r>
      <w:r>
        <w:rPr>
          <w:kern w:val="22"/>
          <w:szCs w:val="22"/>
        </w:rPr>
        <w:t>, qui encourage les solutions basées sur la nature intégrant des mesures de protection de la biodiversité et les approches écosystémiques ;</w:t>
      </w:r>
    </w:p>
    <w:p w14:paraId="640B2AC8" w14:textId="6A2B5F76" w:rsidR="00D726C9" w:rsidRPr="00AC626C" w:rsidRDefault="007065CA" w:rsidP="00A50B3A">
      <w:pPr>
        <w:pStyle w:val="Para10"/>
        <w:numPr>
          <w:ilvl w:val="0"/>
          <w:numId w:val="0"/>
        </w:numPr>
        <w:suppressLineNumbers/>
        <w:suppressAutoHyphens/>
        <w:kinsoku w:val="0"/>
        <w:overflowPunct w:val="0"/>
        <w:autoSpaceDE w:val="0"/>
        <w:autoSpaceDN w:val="0"/>
        <w:adjustRightInd w:val="0"/>
        <w:snapToGrid w:val="0"/>
        <w:ind w:firstLine="720"/>
        <w:rPr>
          <w:kern w:val="22"/>
          <w:szCs w:val="22"/>
        </w:rPr>
      </w:pPr>
      <w:r>
        <w:rPr>
          <w:kern w:val="22"/>
          <w:szCs w:val="22"/>
        </w:rPr>
        <w:t>6.</w:t>
      </w:r>
      <w:r>
        <w:rPr>
          <w:i/>
          <w:kern w:val="22"/>
          <w:szCs w:val="22"/>
        </w:rPr>
        <w:tab/>
      </w:r>
      <w:r w:rsidRPr="00783D7A">
        <w:rPr>
          <w:i/>
          <w:kern w:val="22"/>
          <w:szCs w:val="22"/>
        </w:rPr>
        <w:t>Reconnaît</w:t>
      </w:r>
      <w:r>
        <w:rPr>
          <w:kern w:val="22"/>
          <w:szCs w:val="22"/>
        </w:rPr>
        <w:t xml:space="preserve"> les activités conjointes en cours de la Plateforme intergouvernementale scientifique et politique sur la biodiversité et les services écosystémiques et du Groupe d’experts intergouvernemental sur l’évolution du climat relatives à la biodiversité et aux changements climatiques ;</w:t>
      </w:r>
    </w:p>
    <w:p w14:paraId="5B17843E" w14:textId="7B2EB36B" w:rsidR="00530BF2" w:rsidRPr="00067FAA" w:rsidRDefault="007065CA" w:rsidP="00AC626C">
      <w:pPr>
        <w:suppressLineNumbers/>
        <w:suppressAutoHyphens/>
        <w:kinsoku w:val="0"/>
        <w:overflowPunct w:val="0"/>
        <w:autoSpaceDE w:val="0"/>
        <w:autoSpaceDN w:val="0"/>
        <w:adjustRightInd w:val="0"/>
        <w:snapToGrid w:val="0"/>
        <w:spacing w:before="120" w:after="120"/>
        <w:ind w:firstLine="720"/>
        <w:rPr>
          <w:kern w:val="22"/>
          <w:szCs w:val="22"/>
        </w:rPr>
      </w:pPr>
      <w:r>
        <w:rPr>
          <w:snapToGrid w:val="0"/>
          <w:kern w:val="22"/>
          <w:szCs w:val="22"/>
        </w:rPr>
        <w:t>7.</w:t>
      </w:r>
      <w:r>
        <w:rPr>
          <w:kern w:val="22"/>
          <w:szCs w:val="22"/>
        </w:rPr>
        <w:tab/>
      </w:r>
      <w:r w:rsidR="007B7CEB">
        <w:rPr>
          <w:i/>
          <w:kern w:val="22"/>
          <w:szCs w:val="22"/>
        </w:rPr>
        <w:t>Souligne</w:t>
      </w:r>
      <w:r>
        <w:rPr>
          <w:kern w:val="22"/>
          <w:szCs w:val="22"/>
        </w:rPr>
        <w:t xml:space="preserve"> la nécessité d’agir sans délai par rapport au changement climatique à tous les niveaux et dans tous les secteurs, et la nécessité de lutter contre la perte de biodiversité et les changements climatiques de manière intégrée ;</w:t>
      </w:r>
    </w:p>
    <w:p w14:paraId="188BDBC2" w14:textId="0243F5F0" w:rsidR="005A28E8" w:rsidRPr="00AC626C" w:rsidRDefault="00637644" w:rsidP="00901D0E">
      <w:pPr>
        <w:pStyle w:val="Para10"/>
        <w:numPr>
          <w:ilvl w:val="0"/>
          <w:numId w:val="0"/>
        </w:numPr>
        <w:suppressLineNumbers/>
        <w:suppressAutoHyphens/>
        <w:kinsoku w:val="0"/>
        <w:overflowPunct w:val="0"/>
        <w:autoSpaceDE w:val="0"/>
        <w:autoSpaceDN w:val="0"/>
        <w:adjustRightInd w:val="0"/>
        <w:snapToGrid w:val="0"/>
        <w:ind w:firstLine="720"/>
        <w:rPr>
          <w:kern w:val="22"/>
          <w:szCs w:val="22"/>
        </w:rPr>
      </w:pPr>
      <w:r>
        <w:rPr>
          <w:kern w:val="22"/>
          <w:szCs w:val="22"/>
        </w:rPr>
        <w:t>8</w:t>
      </w:r>
      <w:r w:rsidR="00985EFB">
        <w:rPr>
          <w:kern w:val="22"/>
          <w:szCs w:val="22"/>
        </w:rPr>
        <w:t>.</w:t>
      </w:r>
      <w:r w:rsidR="00985EFB">
        <w:rPr>
          <w:kern w:val="22"/>
          <w:szCs w:val="22"/>
        </w:rPr>
        <w:tab/>
      </w:r>
      <w:r w:rsidR="00985EFB">
        <w:rPr>
          <w:i/>
          <w:kern w:val="22"/>
          <w:szCs w:val="22"/>
        </w:rPr>
        <w:t xml:space="preserve">Invite </w:t>
      </w:r>
      <w:r w:rsidR="00985EFB">
        <w:rPr>
          <w:kern w:val="22"/>
          <w:szCs w:val="22"/>
        </w:rPr>
        <w:t xml:space="preserve">le Groupe de travail à composition non limitée sur le </w:t>
      </w:r>
      <w:r>
        <w:rPr>
          <w:kern w:val="22"/>
          <w:szCs w:val="22"/>
        </w:rPr>
        <w:t>c</w:t>
      </w:r>
      <w:r w:rsidR="00985EFB">
        <w:rPr>
          <w:kern w:val="22"/>
          <w:szCs w:val="22"/>
        </w:rPr>
        <w:t>adre mondial de la biodiversité pour l’après</w:t>
      </w:r>
      <w:r w:rsidR="00985EFB">
        <w:rPr>
          <w:kern w:val="22"/>
          <w:szCs w:val="22"/>
        </w:rPr>
        <w:noBreakHyphen/>
        <w:t xml:space="preserve">2020, ainsi que les ateliers thématiques associés, à examiner les liens d’interdépendance entre la </w:t>
      </w:r>
      <w:r w:rsidR="00CA77E7">
        <w:rPr>
          <w:kern w:val="22"/>
          <w:szCs w:val="22"/>
        </w:rPr>
        <w:t>biodiversité</w:t>
      </w:r>
      <w:r w:rsidR="00985EFB">
        <w:rPr>
          <w:kern w:val="22"/>
          <w:szCs w:val="22"/>
        </w:rPr>
        <w:t xml:space="preserve"> et les changements climatiques, la désertification et la dégradation des terres lors de l’élaboration du cadre mondial de la biodiversité pour l’après</w:t>
      </w:r>
      <w:r w:rsidR="00985EFB">
        <w:rPr>
          <w:kern w:val="22"/>
          <w:szCs w:val="22"/>
        </w:rPr>
        <w:noBreakHyphen/>
        <w:t>2020, en particulier le recours aux approches écosystémiques pour l’adaptation aux changements climatiques, l’atténuation de leurs effets et la réduction des risques de catastrophes, en ayant recours aux informations figurant dans la note de la Secrétaire exécutive et aux di</w:t>
      </w:r>
      <w:r>
        <w:rPr>
          <w:kern w:val="22"/>
          <w:szCs w:val="22"/>
        </w:rPr>
        <w:t>vers</w:t>
      </w:r>
      <w:r w:rsidR="00985EFB">
        <w:rPr>
          <w:kern w:val="22"/>
          <w:szCs w:val="22"/>
        </w:rPr>
        <w:t xml:space="preserve"> points de vue abordés à la vingt-troisième réunion de l'Organe subsidiaire chargé de fournir des avis scientifiques, techniques et technologique</w:t>
      </w:r>
      <w:r>
        <w:rPr>
          <w:kern w:val="22"/>
          <w:szCs w:val="22"/>
        </w:rPr>
        <w:t>, ainsi qu’</w:t>
      </w:r>
      <w:r w:rsidR="00985EFB">
        <w:rPr>
          <w:kern w:val="22"/>
          <w:szCs w:val="22"/>
        </w:rPr>
        <w:t>aux documents sources sous-jacent</w:t>
      </w:r>
      <w:r>
        <w:rPr>
          <w:kern w:val="22"/>
          <w:szCs w:val="22"/>
        </w:rPr>
        <w:t>s</w:t>
      </w:r>
      <w:r w:rsidR="00985EFB">
        <w:rPr>
          <w:kern w:val="22"/>
          <w:szCs w:val="22"/>
        </w:rPr>
        <w:t>, en vue de soutenir l'intégration de ces questions dans le cadre mondial de la biodiversité ;</w:t>
      </w:r>
    </w:p>
    <w:p w14:paraId="078315E5" w14:textId="00148035" w:rsidR="008E64D1" w:rsidRPr="00AC626C" w:rsidRDefault="00637644" w:rsidP="003815AC">
      <w:pPr>
        <w:pStyle w:val="Para10"/>
        <w:numPr>
          <w:ilvl w:val="0"/>
          <w:numId w:val="0"/>
        </w:numPr>
        <w:suppressLineNumbers/>
        <w:suppressAutoHyphens/>
        <w:kinsoku w:val="0"/>
        <w:overflowPunct w:val="0"/>
        <w:autoSpaceDE w:val="0"/>
        <w:autoSpaceDN w:val="0"/>
        <w:adjustRightInd w:val="0"/>
        <w:snapToGrid w:val="0"/>
        <w:ind w:firstLine="720"/>
        <w:rPr>
          <w:kern w:val="22"/>
          <w:szCs w:val="22"/>
        </w:rPr>
      </w:pPr>
      <w:r>
        <w:rPr>
          <w:kern w:val="22"/>
          <w:szCs w:val="22"/>
        </w:rPr>
        <w:t>9</w:t>
      </w:r>
      <w:r w:rsidR="00985EFB">
        <w:rPr>
          <w:kern w:val="22"/>
          <w:szCs w:val="22"/>
        </w:rPr>
        <w:t>.</w:t>
      </w:r>
      <w:r w:rsidR="00985EFB">
        <w:rPr>
          <w:kern w:val="22"/>
          <w:szCs w:val="22"/>
        </w:rPr>
        <w:tab/>
      </w:r>
      <w:r w:rsidR="00985EFB">
        <w:rPr>
          <w:i/>
          <w:kern w:val="22"/>
          <w:szCs w:val="22"/>
        </w:rPr>
        <w:t>Invite</w:t>
      </w:r>
      <w:r w:rsidR="00985EFB">
        <w:rPr>
          <w:iCs/>
          <w:kern w:val="22"/>
          <w:szCs w:val="22"/>
        </w:rPr>
        <w:t xml:space="preserve"> </w:t>
      </w:r>
      <w:r w:rsidR="00985EFB" w:rsidRPr="00637644">
        <w:rPr>
          <w:i/>
          <w:kern w:val="22"/>
          <w:szCs w:val="22"/>
        </w:rPr>
        <w:t>également</w:t>
      </w:r>
      <w:r w:rsidR="00985EFB">
        <w:rPr>
          <w:iCs/>
          <w:kern w:val="22"/>
          <w:szCs w:val="22"/>
        </w:rPr>
        <w:t xml:space="preserve"> le Groupe de travail à composition non limitée sur le </w:t>
      </w:r>
      <w:r>
        <w:rPr>
          <w:iCs/>
          <w:kern w:val="22"/>
          <w:szCs w:val="22"/>
        </w:rPr>
        <w:t>c</w:t>
      </w:r>
      <w:r w:rsidR="00985EFB">
        <w:rPr>
          <w:iCs/>
          <w:kern w:val="22"/>
          <w:szCs w:val="22"/>
        </w:rPr>
        <w:t>adre mondial de la biodiversité pour l’après</w:t>
      </w:r>
      <w:r w:rsidR="00985EFB">
        <w:rPr>
          <w:iCs/>
          <w:kern w:val="22"/>
          <w:szCs w:val="22"/>
        </w:rPr>
        <w:noBreakHyphen/>
        <w:t xml:space="preserve">2020 et l’Organe subsidiaire chargé de l’application, dans le cadre de leurs délibérations sur la mobilisation de ressources, à examiner des opportunités émanant de sources de financement existantes et aussi de nouvelles sources novatrices en vue de financer des approches écosystémiques </w:t>
      </w:r>
      <w:r>
        <w:rPr>
          <w:iCs/>
          <w:kern w:val="22"/>
          <w:szCs w:val="22"/>
        </w:rPr>
        <w:t>de</w:t>
      </w:r>
      <w:r w:rsidR="00985EFB">
        <w:rPr>
          <w:iCs/>
          <w:kern w:val="22"/>
          <w:szCs w:val="22"/>
        </w:rPr>
        <w:t xml:space="preserve"> l’adaptation aux changements climatiques, l’atténuation de leurs effets et la réduction des risques de catastrophe ;</w:t>
      </w:r>
    </w:p>
    <w:p w14:paraId="54493C94" w14:textId="4924AEF3" w:rsidR="00776000" w:rsidRPr="00067FAA" w:rsidRDefault="00985EFB" w:rsidP="00A50B3A">
      <w:pPr>
        <w:suppressLineNumbers/>
        <w:suppressAutoHyphens/>
        <w:kinsoku w:val="0"/>
        <w:overflowPunct w:val="0"/>
        <w:autoSpaceDE w:val="0"/>
        <w:autoSpaceDN w:val="0"/>
        <w:adjustRightInd w:val="0"/>
        <w:snapToGrid w:val="0"/>
        <w:spacing w:before="120" w:after="120"/>
        <w:ind w:firstLine="720"/>
        <w:rPr>
          <w:iCs/>
          <w:snapToGrid w:val="0"/>
          <w:kern w:val="22"/>
        </w:rPr>
      </w:pPr>
      <w:r>
        <w:rPr>
          <w:kern w:val="22"/>
        </w:rPr>
        <w:t>1</w:t>
      </w:r>
      <w:r w:rsidR="00637644">
        <w:rPr>
          <w:kern w:val="22"/>
        </w:rPr>
        <w:t>0</w:t>
      </w:r>
      <w:r>
        <w:rPr>
          <w:kern w:val="22"/>
        </w:rPr>
        <w:t>.</w:t>
      </w:r>
      <w:r>
        <w:rPr>
          <w:kern w:val="22"/>
        </w:rPr>
        <w:tab/>
      </w:r>
      <w:r>
        <w:rPr>
          <w:i/>
          <w:snapToGrid w:val="0"/>
          <w:kern w:val="22"/>
        </w:rPr>
        <w:t>Invite</w:t>
      </w:r>
      <w:r>
        <w:rPr>
          <w:iCs/>
          <w:snapToGrid w:val="0"/>
          <w:kern w:val="22"/>
        </w:rPr>
        <w:t xml:space="preserve"> l’Organe subsidiaire chargé de l’application, s’agissant du besoin d’orientations en ce qui concerne la mise à jour des stratégies et plans d’action nationaux pour la </w:t>
      </w:r>
      <w:r w:rsidR="0087106C">
        <w:rPr>
          <w:iCs/>
          <w:snapToGrid w:val="0"/>
          <w:kern w:val="22"/>
        </w:rPr>
        <w:t>diversité biologique</w:t>
      </w:r>
      <w:r>
        <w:rPr>
          <w:iCs/>
          <w:snapToGrid w:val="0"/>
          <w:kern w:val="22"/>
        </w:rPr>
        <w:t>, à tenir compte de la nécessité de puissants liens d’interdépendance entre l'application des politiques liées à la biodiversité et aux changements climatiques, particulièrement en ce qui concerne les approches écosystémiques ;</w:t>
      </w:r>
    </w:p>
    <w:p w14:paraId="371AB58B" w14:textId="6BBA2807" w:rsidR="005A28E8" w:rsidRPr="00AC626C" w:rsidRDefault="007A063B" w:rsidP="00701CCD">
      <w:pPr>
        <w:pStyle w:val="Para10"/>
        <w:numPr>
          <w:ilvl w:val="0"/>
          <w:numId w:val="0"/>
        </w:numPr>
        <w:suppressLineNumbers/>
        <w:suppressAutoHyphens/>
        <w:ind w:firstLine="720"/>
        <w:rPr>
          <w:kern w:val="22"/>
          <w:szCs w:val="22"/>
        </w:rPr>
      </w:pPr>
      <w:r>
        <w:rPr>
          <w:kern w:val="22"/>
          <w:szCs w:val="22"/>
        </w:rPr>
        <w:t>12.</w:t>
      </w:r>
      <w:r>
        <w:rPr>
          <w:kern w:val="22"/>
          <w:szCs w:val="22"/>
        </w:rPr>
        <w:tab/>
      </w:r>
      <w:r>
        <w:rPr>
          <w:i/>
          <w:kern w:val="22"/>
          <w:szCs w:val="22"/>
        </w:rPr>
        <w:t>Prie</w:t>
      </w:r>
      <w:r>
        <w:rPr>
          <w:kern w:val="22"/>
          <w:szCs w:val="22"/>
        </w:rPr>
        <w:t xml:space="preserve"> la Secrétaire exécutive d'inviter les Parties et d'autres à présenter des communications écrites, sollicitant leurs points de vue sur des cibles et indicateurs possibles pour le </w:t>
      </w:r>
      <w:r w:rsidR="0087106C">
        <w:rPr>
          <w:kern w:val="22"/>
          <w:szCs w:val="22"/>
        </w:rPr>
        <w:t>c</w:t>
      </w:r>
      <w:r>
        <w:rPr>
          <w:kern w:val="22"/>
          <w:szCs w:val="22"/>
        </w:rPr>
        <w:t xml:space="preserve">adre mondial de la biodiversité pour l'après-2020 eu égard aux liens d'interdépendance entre la biodiversité et les changements climatiques, de compiler les points de vue et de les mettre à disposition aux fins d'examen par le Groupe de travail à composition non limitée sur le </w:t>
      </w:r>
      <w:r w:rsidR="0087106C">
        <w:rPr>
          <w:kern w:val="22"/>
          <w:szCs w:val="22"/>
        </w:rPr>
        <w:t>c</w:t>
      </w:r>
      <w:r>
        <w:rPr>
          <w:kern w:val="22"/>
          <w:szCs w:val="22"/>
        </w:rPr>
        <w:t>adre mondial de la biodiversité pour l’après</w:t>
      </w:r>
      <w:r>
        <w:rPr>
          <w:kern w:val="22"/>
          <w:szCs w:val="22"/>
        </w:rPr>
        <w:noBreakHyphen/>
        <w:t>2020 à ses prochaines réunions et l’Organe subsidiaire chargé de donner des avis scientifiques, techniques et technologiques à sa vingt</w:t>
      </w:r>
      <w:r>
        <w:rPr>
          <w:kern w:val="22"/>
          <w:szCs w:val="22"/>
        </w:rPr>
        <w:noBreakHyphen/>
        <w:t>quatrième réunion ;</w:t>
      </w:r>
    </w:p>
    <w:p w14:paraId="1C5B554D" w14:textId="2D7F116E" w:rsidR="005A28E8" w:rsidRPr="00AC626C" w:rsidRDefault="007A063B" w:rsidP="00A50B3A">
      <w:pPr>
        <w:pStyle w:val="Para10"/>
        <w:numPr>
          <w:ilvl w:val="0"/>
          <w:numId w:val="0"/>
        </w:numPr>
        <w:suppressLineNumbers/>
        <w:suppressAutoHyphens/>
        <w:ind w:firstLine="720"/>
        <w:rPr>
          <w:kern w:val="22"/>
          <w:szCs w:val="22"/>
        </w:rPr>
      </w:pPr>
      <w:r>
        <w:rPr>
          <w:kern w:val="22"/>
          <w:szCs w:val="22"/>
        </w:rPr>
        <w:t>13.</w:t>
      </w:r>
      <w:r>
        <w:rPr>
          <w:kern w:val="22"/>
          <w:szCs w:val="22"/>
        </w:rPr>
        <w:tab/>
      </w:r>
      <w:r>
        <w:rPr>
          <w:i/>
          <w:kern w:val="22"/>
          <w:szCs w:val="22"/>
        </w:rPr>
        <w:t>Recommande</w:t>
      </w:r>
      <w:r>
        <w:rPr>
          <w:kern w:val="22"/>
          <w:szCs w:val="22"/>
        </w:rPr>
        <w:t xml:space="preserve"> que la Conférence des Parties, à sa quinzième réunion, adopte une décision </w:t>
      </w:r>
      <w:r w:rsidR="0087106C">
        <w:rPr>
          <w:kern w:val="22"/>
          <w:szCs w:val="22"/>
        </w:rPr>
        <w:t>comme</w:t>
      </w:r>
      <w:r>
        <w:rPr>
          <w:kern w:val="22"/>
          <w:szCs w:val="22"/>
        </w:rPr>
        <w:t xml:space="preserve"> suit :</w:t>
      </w:r>
    </w:p>
    <w:p w14:paraId="76E42903" w14:textId="27353532" w:rsidR="005A28E8" w:rsidRPr="00AC626C" w:rsidRDefault="005A28E8" w:rsidP="00A50B3A">
      <w:pPr>
        <w:pStyle w:val="Para1"/>
        <w:numPr>
          <w:ilvl w:val="0"/>
          <w:numId w:val="0"/>
        </w:numPr>
        <w:suppressLineNumbers/>
        <w:suppressAutoHyphens/>
        <w:kinsoku w:val="0"/>
        <w:overflowPunct w:val="0"/>
        <w:autoSpaceDE w:val="0"/>
        <w:autoSpaceDN w:val="0"/>
        <w:adjustRightInd w:val="0"/>
        <w:snapToGrid w:val="0"/>
        <w:ind w:left="720" w:firstLine="720"/>
        <w:rPr>
          <w:rFonts w:cs="Times New Roman"/>
          <w:i/>
          <w:snapToGrid w:val="0"/>
          <w:kern w:val="22"/>
        </w:rPr>
      </w:pPr>
      <w:r>
        <w:rPr>
          <w:rFonts w:cs="Times New Roman"/>
          <w:i/>
          <w:snapToGrid w:val="0"/>
          <w:kern w:val="22"/>
        </w:rPr>
        <w:t>La Conférence des Parties,</w:t>
      </w:r>
    </w:p>
    <w:p w14:paraId="54573E3D" w14:textId="3C0122B0" w:rsidR="00783C1F" w:rsidRPr="00AC626C" w:rsidRDefault="00DA3C6F" w:rsidP="00A7214F">
      <w:pPr>
        <w:pStyle w:val="Para1"/>
        <w:numPr>
          <w:ilvl w:val="0"/>
          <w:numId w:val="0"/>
        </w:numPr>
        <w:suppressLineNumbers/>
        <w:suppressAutoHyphens/>
        <w:kinsoku w:val="0"/>
        <w:overflowPunct w:val="0"/>
        <w:autoSpaceDE w:val="0"/>
        <w:autoSpaceDN w:val="0"/>
        <w:adjustRightInd w:val="0"/>
        <w:snapToGrid w:val="0"/>
        <w:ind w:left="720" w:firstLine="720"/>
        <w:rPr>
          <w:rFonts w:eastAsia="Times New Roman"/>
          <w:bCs w:val="0"/>
          <w:snapToGrid w:val="0"/>
          <w:kern w:val="22"/>
        </w:rPr>
      </w:pPr>
      <w:r>
        <w:rPr>
          <w:i/>
          <w:iCs/>
          <w:snapToGrid w:val="0"/>
          <w:kern w:val="22"/>
        </w:rPr>
        <w:t>Reconnaissant</w:t>
      </w:r>
      <w:r>
        <w:rPr>
          <w:snapToGrid w:val="0"/>
          <w:kern w:val="22"/>
        </w:rPr>
        <w:t xml:space="preserve"> que l</w:t>
      </w:r>
      <w:r w:rsidR="0087106C">
        <w:rPr>
          <w:snapToGrid w:val="0"/>
          <w:kern w:val="22"/>
        </w:rPr>
        <w:t>a perte</w:t>
      </w:r>
      <w:r>
        <w:rPr>
          <w:snapToGrid w:val="0"/>
          <w:kern w:val="22"/>
        </w:rPr>
        <w:t xml:space="preserve"> de la </w:t>
      </w:r>
      <w:r w:rsidR="00CA77E7">
        <w:rPr>
          <w:snapToGrid w:val="0"/>
          <w:kern w:val="22"/>
        </w:rPr>
        <w:t>biodiversité</w:t>
      </w:r>
      <w:r>
        <w:rPr>
          <w:snapToGrid w:val="0"/>
          <w:kern w:val="22"/>
        </w:rPr>
        <w:t xml:space="preserve">, les changements climatiques, la désertification et la dégradation des terres représentent des défis inséparables et interdépendants d’une gravité sans précédent qu’il faut relever d'urgence de façon cohérente et systématique et de manière intégrée afin de réaliser les objectifs du </w:t>
      </w:r>
      <w:r w:rsidR="0087106C">
        <w:rPr>
          <w:snapToGrid w:val="0"/>
          <w:kern w:val="22"/>
        </w:rPr>
        <w:t>c</w:t>
      </w:r>
      <w:r>
        <w:rPr>
          <w:snapToGrid w:val="0"/>
          <w:kern w:val="22"/>
        </w:rPr>
        <w:t>adre mondial de la biodiversité pour l’après</w:t>
      </w:r>
      <w:r>
        <w:rPr>
          <w:snapToGrid w:val="0"/>
          <w:kern w:val="22"/>
        </w:rPr>
        <w:noBreakHyphen/>
        <w:t xml:space="preserve">2020 et de l’Accord de </w:t>
      </w:r>
      <w:r>
        <w:rPr>
          <w:snapToGrid w:val="0"/>
          <w:kern w:val="22"/>
        </w:rPr>
        <w:lastRenderedPageBreak/>
        <w:t>Paris</w:t>
      </w:r>
      <w:r>
        <w:rPr>
          <w:rStyle w:val="FootnoteReference"/>
          <w:snapToGrid w:val="0"/>
          <w:kern w:val="22"/>
        </w:rPr>
        <w:footnoteReference w:id="10"/>
      </w:r>
      <w:r>
        <w:rPr>
          <w:rFonts w:eastAsia="Times New Roman"/>
          <w:bCs w:val="0"/>
          <w:snapToGrid w:val="0"/>
          <w:kern w:val="22"/>
        </w:rPr>
        <w:t xml:space="preserve">, ainsi que </w:t>
      </w:r>
      <w:r>
        <w:rPr>
          <w:rFonts w:eastAsia="Times New Roman" w:cs="Times New Roman"/>
          <w:bCs w:val="0"/>
          <w:snapToGrid w:val="0"/>
          <w:kern w:val="22"/>
        </w:rPr>
        <w:t>[</w:t>
      </w:r>
      <w:r>
        <w:rPr>
          <w:snapToGrid w:val="0"/>
          <w:kern w:val="22"/>
        </w:rPr>
        <w:t xml:space="preserve">les cibles volontaires </w:t>
      </w:r>
      <w:r w:rsidR="00C07C07">
        <w:rPr>
          <w:snapToGrid w:val="0"/>
          <w:kern w:val="22"/>
        </w:rPr>
        <w:t xml:space="preserve">pour la neutralité en matière de dégradation des terres </w:t>
      </w:r>
      <w:r>
        <w:rPr>
          <w:snapToGrid w:val="0"/>
          <w:kern w:val="22"/>
        </w:rPr>
        <w:t xml:space="preserve">au titre de la Convention des Nations Unies sur la lutte contre la désertification], </w:t>
      </w:r>
      <w:r>
        <w:rPr>
          <w:rFonts w:eastAsia="Times New Roman" w:cs="Times New Roman"/>
          <w:bCs w:val="0"/>
          <w:snapToGrid w:val="0"/>
          <w:kern w:val="22"/>
        </w:rPr>
        <w:t xml:space="preserve">les </w:t>
      </w:r>
      <w:r w:rsidR="00C07C07">
        <w:rPr>
          <w:snapToGrid w:val="0"/>
          <w:kern w:val="22"/>
        </w:rPr>
        <w:t>O</w:t>
      </w:r>
      <w:r>
        <w:rPr>
          <w:snapToGrid w:val="0"/>
          <w:kern w:val="22"/>
        </w:rPr>
        <w:t xml:space="preserve">bjectifs de développement durable </w:t>
      </w:r>
      <w:r>
        <w:rPr>
          <w:rFonts w:eastAsia="Times New Roman" w:cs="Times New Roman"/>
          <w:bCs w:val="0"/>
          <w:snapToGrid w:val="0"/>
          <w:kern w:val="22"/>
        </w:rPr>
        <w:t>et le programme d'action panafricain sur la restauration des écosystèmes axée sur l'accroissement de la résilience</w:t>
      </w:r>
      <w:r>
        <w:rPr>
          <w:kern w:val="22"/>
        </w:rPr>
        <w:t xml:space="preserve">, </w:t>
      </w:r>
      <w:r>
        <w:rPr>
          <w:rFonts w:cs="Times New Roman"/>
          <w:snapToGrid w:val="0"/>
          <w:kern w:val="22"/>
        </w:rPr>
        <w:t>entre autres initiatives régionales pertinentes</w:t>
      </w:r>
      <w:r>
        <w:rPr>
          <w:rFonts w:eastAsia="Times New Roman"/>
          <w:bCs w:val="0"/>
          <w:snapToGrid w:val="0"/>
          <w:kern w:val="22"/>
        </w:rPr>
        <w:t>,</w:t>
      </w:r>
    </w:p>
    <w:p w14:paraId="1C28A177" w14:textId="597BCDEC" w:rsidR="00783C1F" w:rsidRPr="00AC626C" w:rsidRDefault="00101A24" w:rsidP="00CD2A59">
      <w:pPr>
        <w:pStyle w:val="Para1"/>
        <w:numPr>
          <w:ilvl w:val="0"/>
          <w:numId w:val="0"/>
        </w:numPr>
        <w:suppressLineNumbers/>
        <w:suppressAutoHyphens/>
        <w:kinsoku w:val="0"/>
        <w:overflowPunct w:val="0"/>
        <w:autoSpaceDE w:val="0"/>
        <w:autoSpaceDN w:val="0"/>
        <w:adjustRightInd w:val="0"/>
        <w:snapToGrid w:val="0"/>
        <w:ind w:left="720" w:firstLine="720"/>
        <w:rPr>
          <w:rFonts w:cs="Times New Roman"/>
          <w:snapToGrid w:val="0"/>
          <w:kern w:val="22"/>
        </w:rPr>
      </w:pPr>
      <w:r>
        <w:rPr>
          <w:rFonts w:cs="Times New Roman"/>
          <w:i/>
          <w:snapToGrid w:val="0"/>
          <w:kern w:val="22"/>
        </w:rPr>
        <w:t>Vivement préoccupée</w:t>
      </w:r>
      <w:r>
        <w:rPr>
          <w:rFonts w:cs="Times New Roman"/>
          <w:snapToGrid w:val="0"/>
          <w:kern w:val="22"/>
        </w:rPr>
        <w:t xml:space="preserve"> par les effets de plus en plus importants des changements climatiques qui amplifient la perte de biodiversité et affaiblissent l'apport de fonctions et services écosystémiques essentiels,</w:t>
      </w:r>
    </w:p>
    <w:p w14:paraId="17FF760A" w14:textId="77238D69" w:rsidR="00DA3C6F" w:rsidRPr="00AC626C" w:rsidRDefault="00DA3C6F" w:rsidP="00A50B3A">
      <w:pPr>
        <w:suppressLineNumbers/>
        <w:suppressAutoHyphens/>
        <w:spacing w:before="120" w:after="120"/>
        <w:ind w:left="720" w:firstLine="720"/>
        <w:rPr>
          <w:rFonts w:eastAsia="MS Mincho"/>
          <w:snapToGrid w:val="0"/>
          <w:kern w:val="22"/>
          <w:szCs w:val="22"/>
        </w:rPr>
      </w:pPr>
      <w:r>
        <w:rPr>
          <w:rFonts w:eastAsia="MS Mincho"/>
          <w:i/>
          <w:snapToGrid w:val="0"/>
          <w:kern w:val="22"/>
          <w:szCs w:val="22"/>
        </w:rPr>
        <w:t>Reconnaissant</w:t>
      </w:r>
      <w:r>
        <w:rPr>
          <w:color w:val="000000"/>
          <w:szCs w:val="22"/>
          <w:shd w:val="clear" w:color="auto" w:fill="FFFFFF"/>
        </w:rPr>
        <w:t xml:space="preserve"> que, </w:t>
      </w:r>
      <w:r w:rsidR="00C07C07">
        <w:rPr>
          <w:color w:val="000000"/>
          <w:szCs w:val="22"/>
          <w:shd w:val="clear" w:color="auto" w:fill="FFFFFF"/>
        </w:rPr>
        <w:t>bien que</w:t>
      </w:r>
      <w:r>
        <w:rPr>
          <w:color w:val="000000"/>
          <w:szCs w:val="22"/>
          <w:shd w:val="clear" w:color="auto" w:fill="FFFFFF"/>
        </w:rPr>
        <w:t xml:space="preserve"> le fait de limiter l’augmentation de la température mondiale moyenne à 1,5 °C au</w:t>
      </w:r>
      <w:r>
        <w:rPr>
          <w:color w:val="000000"/>
          <w:szCs w:val="22"/>
          <w:shd w:val="clear" w:color="auto" w:fill="FFFFFF"/>
        </w:rPr>
        <w:noBreakHyphen/>
        <w:t>dessus des valeurs préindustrielles, comparé à une augmentation de 2 °C ou plus, ne suffi</w:t>
      </w:r>
      <w:r w:rsidR="00C07C07">
        <w:rPr>
          <w:color w:val="000000"/>
          <w:szCs w:val="22"/>
          <w:shd w:val="clear" w:color="auto" w:fill="FFFFFF"/>
        </w:rPr>
        <w:t>sent</w:t>
      </w:r>
      <w:r>
        <w:rPr>
          <w:color w:val="000000"/>
          <w:szCs w:val="22"/>
          <w:shd w:val="clear" w:color="auto" w:fill="FFFFFF"/>
        </w:rPr>
        <w:t xml:space="preserve"> pas</w:t>
      </w:r>
      <w:r w:rsidR="00C07C07">
        <w:rPr>
          <w:color w:val="000000"/>
          <w:szCs w:val="22"/>
          <w:shd w:val="clear" w:color="auto" w:fill="FFFFFF"/>
        </w:rPr>
        <w:t xml:space="preserve"> pour</w:t>
      </w:r>
      <w:r>
        <w:rPr>
          <w:color w:val="000000"/>
          <w:szCs w:val="22"/>
          <w:shd w:val="clear" w:color="auto" w:fill="FFFFFF"/>
        </w:rPr>
        <w:t xml:space="preserve"> enrayer la perte de biodiversité, cela réduirait cette dernière considérablement</w:t>
      </w:r>
      <w:r>
        <w:rPr>
          <w:rFonts w:eastAsia="MS Mincho"/>
          <w:i/>
          <w:snapToGrid w:val="0"/>
          <w:kern w:val="22"/>
          <w:szCs w:val="22"/>
        </w:rPr>
        <w:t>,</w:t>
      </w:r>
    </w:p>
    <w:p w14:paraId="5E1D5527" w14:textId="18CF7FBC" w:rsidR="00DA3C6F" w:rsidRPr="00AC626C" w:rsidRDefault="00DA3C6F" w:rsidP="00A50B3A">
      <w:pPr>
        <w:suppressLineNumbers/>
        <w:suppressAutoHyphens/>
        <w:spacing w:before="120" w:after="120"/>
        <w:ind w:left="720" w:firstLine="720"/>
        <w:rPr>
          <w:rFonts w:eastAsia="MS Mincho"/>
          <w:snapToGrid w:val="0"/>
          <w:kern w:val="22"/>
          <w:szCs w:val="22"/>
        </w:rPr>
      </w:pPr>
      <w:r>
        <w:rPr>
          <w:i/>
          <w:snapToGrid w:val="0"/>
          <w:kern w:val="22"/>
          <w:szCs w:val="22"/>
        </w:rPr>
        <w:t>Soulignant</w:t>
      </w:r>
      <w:r>
        <w:rPr>
          <w:snapToGrid w:val="0"/>
          <w:kern w:val="22"/>
          <w:szCs w:val="22"/>
        </w:rPr>
        <w:t xml:space="preserve"> que le maintien de l’augmentation de la température mondiale moyenne en deçà de 1,5 °C au</w:t>
      </w:r>
      <w:r>
        <w:rPr>
          <w:snapToGrid w:val="0"/>
          <w:kern w:val="22"/>
          <w:szCs w:val="22"/>
        </w:rPr>
        <w:noBreakHyphen/>
        <w:t xml:space="preserve">dessus des niveaux préindustriels constitue une condition préalable pour éviter de nouvelles pertes de biodiversité et la dégradation des terres et des océans et pour réaliser la Vision 2050 de </w:t>
      </w:r>
      <w:r w:rsidR="00847F36">
        <w:rPr>
          <w:snapToGrid w:val="0"/>
          <w:kern w:val="22"/>
          <w:szCs w:val="22"/>
        </w:rPr>
        <w:t>v</w:t>
      </w:r>
      <w:r>
        <w:rPr>
          <w:snapToGrid w:val="0"/>
          <w:kern w:val="22"/>
          <w:szCs w:val="22"/>
        </w:rPr>
        <w:t>ivre en harmonie avec la nature [, et qu’elle nécessitera des changements</w:t>
      </w:r>
      <w:r>
        <w:rPr>
          <w:i/>
          <w:snapToGrid w:val="0"/>
          <w:kern w:val="22"/>
          <w:szCs w:val="22"/>
        </w:rPr>
        <w:t xml:space="preserve"> </w:t>
      </w:r>
      <w:r w:rsidR="00847F36">
        <w:rPr>
          <w:iCs/>
          <w:snapToGrid w:val="0"/>
          <w:kern w:val="22"/>
          <w:szCs w:val="22"/>
        </w:rPr>
        <w:t>transformateurs</w:t>
      </w:r>
      <w:r>
        <w:rPr>
          <w:snapToGrid w:val="0"/>
          <w:kern w:val="22"/>
          <w:szCs w:val="22"/>
        </w:rPr>
        <w:t>],</w:t>
      </w:r>
    </w:p>
    <w:p w14:paraId="459EE413" w14:textId="0FD1983A" w:rsidR="00DA3C6F" w:rsidRPr="00AC626C" w:rsidRDefault="00DA3C6F" w:rsidP="00A50B3A">
      <w:pPr>
        <w:suppressLineNumbers/>
        <w:suppressAutoHyphens/>
        <w:spacing w:before="120" w:after="120"/>
        <w:ind w:left="720" w:firstLine="720"/>
        <w:rPr>
          <w:rFonts w:eastAsia="MS Mincho"/>
          <w:snapToGrid w:val="0"/>
          <w:kern w:val="22"/>
          <w:szCs w:val="22"/>
        </w:rPr>
      </w:pPr>
      <w:r>
        <w:rPr>
          <w:rFonts w:eastAsia="MS Mincho"/>
          <w:bCs/>
          <w:i/>
          <w:snapToGrid w:val="0"/>
          <w:kern w:val="22"/>
          <w:szCs w:val="22"/>
        </w:rPr>
        <w:t>Notant</w:t>
      </w:r>
      <w:r>
        <w:rPr>
          <w:rFonts w:eastAsia="MS Mincho"/>
          <w:snapToGrid w:val="0"/>
          <w:kern w:val="22"/>
          <w:szCs w:val="22"/>
        </w:rPr>
        <w:t xml:space="preserve"> que les solutions basées sur la nature intégrant des mesures de protection constituent, selon les estimations, 37 % des mesures d’atténuation des changements climatiques nécessaires d’ici à 2030 pour réaliser l’objectif de maintenir le réchauffement climatique mondial en</w:t>
      </w:r>
      <w:r>
        <w:rPr>
          <w:rFonts w:eastAsia="MS Mincho"/>
          <w:snapToGrid w:val="0"/>
          <w:kern w:val="22"/>
          <w:szCs w:val="22"/>
        </w:rPr>
        <w:noBreakHyphen/>
        <w:t xml:space="preserve">deçà de 2°C, avec des retombées positives probables pour la biodiversité, comme indiqué dans le </w:t>
      </w:r>
      <w:r w:rsidR="00847F36">
        <w:rPr>
          <w:rFonts w:eastAsia="MS Mincho"/>
          <w:snapToGrid w:val="0"/>
          <w:kern w:val="22"/>
          <w:szCs w:val="22"/>
        </w:rPr>
        <w:t>r</w:t>
      </w:r>
      <w:r>
        <w:rPr>
          <w:rFonts w:eastAsia="MS Mincho"/>
          <w:snapToGrid w:val="0"/>
          <w:kern w:val="22"/>
          <w:szCs w:val="22"/>
        </w:rPr>
        <w:t xml:space="preserve">apport </w:t>
      </w:r>
      <w:r w:rsidR="00847F36">
        <w:rPr>
          <w:rFonts w:eastAsia="MS Mincho"/>
          <w:snapToGrid w:val="0"/>
          <w:kern w:val="22"/>
          <w:szCs w:val="22"/>
        </w:rPr>
        <w:t xml:space="preserve">sur l’Évaluation mondiale de la biodiversité et des services écosystémiques </w:t>
      </w:r>
      <w:r>
        <w:rPr>
          <w:rFonts w:eastAsia="MS Mincho"/>
          <w:snapToGrid w:val="0"/>
          <w:kern w:val="22"/>
          <w:szCs w:val="22"/>
        </w:rPr>
        <w:t>de la Plateforme intergouvernementale scientifique et politique sur la biodiversité et les services écosystémiques,</w:t>
      </w:r>
    </w:p>
    <w:p w14:paraId="6C57562C" w14:textId="76C99DAB" w:rsidR="00DA3C6F" w:rsidRPr="00AC626C" w:rsidRDefault="00DA3C6F" w:rsidP="00A50B3A">
      <w:pPr>
        <w:suppressLineNumbers/>
        <w:suppressAutoHyphens/>
        <w:spacing w:before="120" w:after="120"/>
        <w:ind w:left="720" w:firstLine="720"/>
        <w:rPr>
          <w:rFonts w:eastAsia="MS Mincho"/>
          <w:snapToGrid w:val="0"/>
          <w:kern w:val="22"/>
          <w:szCs w:val="22"/>
        </w:rPr>
      </w:pPr>
      <w:r>
        <w:rPr>
          <w:i/>
          <w:snapToGrid w:val="0"/>
          <w:kern w:val="22"/>
          <w:szCs w:val="22"/>
        </w:rPr>
        <w:t>Soulignant</w:t>
      </w:r>
      <w:r>
        <w:rPr>
          <w:snapToGrid w:val="0"/>
          <w:kern w:val="22"/>
          <w:szCs w:val="22"/>
        </w:rPr>
        <w:t xml:space="preserve"> que, si les changements climatiques devraient principalement être atténués par la réduction des émissions anthropiques, le recours accru aux approches écosystémiques pour l’adaptation aux changements climatiques, l’atténuation de leurs effets et la réduction des risques de catastrophe est également indispensable pour réaliser les objectifs convenus au niveau international, notamment les objectifs de l'Accord de Paris</w:t>
      </w:r>
      <w:r>
        <w:rPr>
          <w:rStyle w:val="FootnoteReference"/>
          <w:snapToGrid w:val="0"/>
          <w:kern w:val="22"/>
        </w:rPr>
        <w:footnoteReference w:id="11"/>
      </w:r>
      <w:r>
        <w:rPr>
          <w:snapToGrid w:val="0"/>
          <w:kern w:val="22"/>
          <w:szCs w:val="22"/>
        </w:rPr>
        <w:t>,</w:t>
      </w:r>
    </w:p>
    <w:p w14:paraId="4AE03074" w14:textId="0E13CD03" w:rsidR="002D4A45" w:rsidRPr="00AC626C" w:rsidRDefault="001A5B69" w:rsidP="00AC626C">
      <w:pPr>
        <w:suppressLineNumbers/>
        <w:suppressAutoHyphens/>
        <w:spacing w:before="120" w:after="120"/>
        <w:ind w:left="720" w:firstLine="720"/>
      </w:pPr>
      <w:r>
        <w:rPr>
          <w:rFonts w:eastAsia="MS Mincho"/>
          <w:i/>
          <w:snapToGrid w:val="0"/>
          <w:kern w:val="22"/>
          <w:szCs w:val="22"/>
        </w:rPr>
        <w:t>[Notant</w:t>
      </w:r>
      <w:r>
        <w:rPr>
          <w:rFonts w:eastAsia="MS Mincho"/>
          <w:snapToGrid w:val="0"/>
          <w:kern w:val="22"/>
          <w:szCs w:val="22"/>
        </w:rPr>
        <w:t xml:space="preserve"> que le déploiement à grande échelle de plantations bioénergétiques intensives qui remplacent les forêts naturelles et les terres agricoles de subsistance, les subventions néfastes à l'agriculture et d'autres vecteurs qui engendrent un recul de la biodiversité, parmi d'autres exemples de compromis défavorables, auront probablement des répercussions négatives sur la biodiversité et pourraient menacer la sécurité alimentaire et hydrique, ainsi que les moyens de subsistance locaux, et pourraient accroître les conflits sociaux,]</w:t>
      </w:r>
    </w:p>
    <w:p w14:paraId="3098F7B8" w14:textId="2FB29698" w:rsidR="001A5B69" w:rsidRPr="00AC626C" w:rsidRDefault="002D4A45" w:rsidP="00AC626C">
      <w:pPr>
        <w:pStyle w:val="Para10"/>
        <w:numPr>
          <w:ilvl w:val="0"/>
          <w:numId w:val="0"/>
        </w:numPr>
        <w:suppressLineNumbers/>
        <w:suppressAutoHyphens/>
        <w:kinsoku w:val="0"/>
        <w:overflowPunct w:val="0"/>
        <w:autoSpaceDE w:val="0"/>
        <w:autoSpaceDN w:val="0"/>
        <w:adjustRightInd w:val="0"/>
        <w:snapToGrid w:val="0"/>
        <w:ind w:left="709" w:firstLine="720"/>
        <w:rPr>
          <w:rFonts w:eastAsiaTheme="majorEastAsia"/>
          <w:kern w:val="22"/>
          <w:szCs w:val="22"/>
        </w:rPr>
      </w:pPr>
      <w:r>
        <w:rPr>
          <w:i/>
        </w:rPr>
        <w:t>Notant également</w:t>
      </w:r>
      <w:r>
        <w:t xml:space="preserve"> que les solutions basées sur la nature intégrant des mesures de protection de la biodiversité sont une composante essentielle des approches écosystémiques en matière d'adaptation aux changements climatiques, d'atténuation de leurs effets et de réduction des risques de catastrophe,</w:t>
      </w:r>
    </w:p>
    <w:p w14:paraId="5D8E7881" w14:textId="56A2E535" w:rsidR="005A28E8" w:rsidRPr="00AC626C" w:rsidRDefault="005A28E8" w:rsidP="00A50B3A">
      <w:pPr>
        <w:pStyle w:val="Para1"/>
        <w:numPr>
          <w:ilvl w:val="0"/>
          <w:numId w:val="0"/>
        </w:numPr>
        <w:suppressLineNumbers/>
        <w:suppressAutoHyphens/>
        <w:kinsoku w:val="0"/>
        <w:overflowPunct w:val="0"/>
        <w:autoSpaceDE w:val="0"/>
        <w:autoSpaceDN w:val="0"/>
        <w:adjustRightInd w:val="0"/>
        <w:snapToGrid w:val="0"/>
        <w:ind w:left="720" w:firstLine="720"/>
        <w:rPr>
          <w:kern w:val="22"/>
        </w:rPr>
      </w:pPr>
      <w:r>
        <w:rPr>
          <w:rFonts w:cs="Times New Roman"/>
          <w:i/>
          <w:kern w:val="22"/>
        </w:rPr>
        <w:t xml:space="preserve">Rappelant les </w:t>
      </w:r>
      <w:r>
        <w:rPr>
          <w:rFonts w:cs="Times New Roman"/>
          <w:kern w:val="22"/>
        </w:rPr>
        <w:t xml:space="preserve">décisions </w:t>
      </w:r>
      <w:hyperlink r:id="rId15" w:history="1">
        <w:r>
          <w:rPr>
            <w:rStyle w:val="Hyperlink"/>
            <w:kern w:val="22"/>
            <w:sz w:val="22"/>
          </w:rPr>
          <w:t>VII/15</w:t>
        </w:r>
      </w:hyperlink>
      <w:r>
        <w:rPr>
          <w:kern w:val="22"/>
        </w:rPr>
        <w:t>,</w:t>
      </w:r>
      <w:r>
        <w:rPr>
          <w:rFonts w:cs="Times New Roman"/>
          <w:kern w:val="22"/>
        </w:rPr>
        <w:t xml:space="preserve"> </w:t>
      </w:r>
      <w:hyperlink r:id="rId16" w:history="1">
        <w:r>
          <w:rPr>
            <w:rStyle w:val="Hyperlink"/>
            <w:rFonts w:cs="Times New Roman"/>
            <w:kern w:val="22"/>
            <w:sz w:val="22"/>
          </w:rPr>
          <w:t>IX/16</w:t>
        </w:r>
      </w:hyperlink>
      <w:r>
        <w:rPr>
          <w:rFonts w:cs="Times New Roman"/>
          <w:kern w:val="22"/>
        </w:rPr>
        <w:t xml:space="preserve">, </w:t>
      </w:r>
      <w:hyperlink r:id="rId17" w:history="1">
        <w:r>
          <w:rPr>
            <w:rStyle w:val="Hyperlink"/>
            <w:rFonts w:cs="Times New Roman"/>
            <w:kern w:val="22"/>
            <w:sz w:val="22"/>
          </w:rPr>
          <w:t>X/33</w:t>
        </w:r>
      </w:hyperlink>
      <w:r>
        <w:rPr>
          <w:rFonts w:cs="Times New Roman"/>
          <w:kern w:val="22"/>
        </w:rPr>
        <w:t>,</w:t>
      </w:r>
      <w:hyperlink r:id="rId18" w:history="1">
        <w:r>
          <w:rPr>
            <w:rStyle w:val="Hyperlink"/>
            <w:rFonts w:cs="Times New Roman"/>
            <w:kern w:val="22"/>
            <w:sz w:val="22"/>
          </w:rPr>
          <w:t xml:space="preserve"> XIII/4</w:t>
        </w:r>
      </w:hyperlink>
      <w:r>
        <w:rPr>
          <w:rFonts w:cs="Times New Roman"/>
          <w:kern w:val="22"/>
        </w:rPr>
        <w:t>, et</w:t>
      </w:r>
      <w:r>
        <w:rPr>
          <w:rStyle w:val="Hyperlink"/>
          <w:rFonts w:cs="Times New Roman"/>
          <w:kern w:val="22"/>
          <w:sz w:val="22"/>
        </w:rPr>
        <w:t xml:space="preserve"> </w:t>
      </w:r>
      <w:hyperlink r:id="rId19" w:history="1">
        <w:r>
          <w:rPr>
            <w:rStyle w:val="Hyperlink"/>
            <w:rFonts w:cs="Times New Roman"/>
            <w:kern w:val="22"/>
            <w:sz w:val="22"/>
          </w:rPr>
          <w:t>14/5</w:t>
        </w:r>
      </w:hyperlink>
      <w:r>
        <w:rPr>
          <w:rFonts w:eastAsia="Times New Roman" w:cs="Times New Roman"/>
          <w:bCs w:val="0"/>
          <w:snapToGrid w:val="0"/>
          <w:kern w:val="22"/>
        </w:rPr>
        <w:t>,</w:t>
      </w:r>
      <w:r>
        <w:rPr>
          <w:rFonts w:cs="Times New Roman"/>
          <w:kern w:val="22"/>
        </w:rPr>
        <w:t xml:space="preserve"> et, en particulier, le rôle essentiel de la biodiversité et des fonctions et services écosystémiques pour l’adaptation aux changements climatiques, l’atténuation de leurs effets et la réduction des risques de catastrophe</w:t>
      </w:r>
      <w:r>
        <w:rPr>
          <w:kern w:val="22"/>
        </w:rPr>
        <w:t>,</w:t>
      </w:r>
    </w:p>
    <w:p w14:paraId="0FF4F823" w14:textId="14C20384" w:rsidR="0057704B" w:rsidRPr="00AC626C" w:rsidRDefault="00B35DCF" w:rsidP="00492701">
      <w:pPr>
        <w:pStyle w:val="Para1"/>
        <w:numPr>
          <w:ilvl w:val="0"/>
          <w:numId w:val="0"/>
        </w:numPr>
        <w:suppressLineNumbers/>
        <w:suppressAutoHyphens/>
        <w:kinsoku w:val="0"/>
        <w:overflowPunct w:val="0"/>
        <w:autoSpaceDE w:val="0"/>
        <w:autoSpaceDN w:val="0"/>
        <w:adjustRightInd w:val="0"/>
        <w:snapToGrid w:val="0"/>
        <w:ind w:left="720" w:firstLine="720"/>
        <w:rPr>
          <w:kern w:val="22"/>
        </w:rPr>
      </w:pPr>
      <w:r>
        <w:rPr>
          <w:kern w:val="22"/>
        </w:rPr>
        <w:t>1.</w:t>
      </w:r>
      <w:r>
        <w:rPr>
          <w:i/>
          <w:kern w:val="22"/>
        </w:rPr>
        <w:tab/>
      </w:r>
      <w:r w:rsidR="00B0486B">
        <w:rPr>
          <w:i/>
          <w:kern w:val="22"/>
        </w:rPr>
        <w:t xml:space="preserve">Se félicite </w:t>
      </w:r>
      <w:r w:rsidR="00B0486B">
        <w:rPr>
          <w:kern w:val="22"/>
        </w:rPr>
        <w:t>du</w:t>
      </w:r>
      <w:r>
        <w:rPr>
          <w:kern w:val="22"/>
        </w:rPr>
        <w:t xml:space="preserve"> rapport </w:t>
      </w:r>
      <w:r w:rsidR="00167918">
        <w:rPr>
          <w:kern w:val="22"/>
        </w:rPr>
        <w:t>sur l'</w:t>
      </w:r>
      <w:r w:rsidR="00167918">
        <w:rPr>
          <w:rFonts w:cs="Times New Roman"/>
          <w:kern w:val="22"/>
        </w:rPr>
        <w:t>É</w:t>
      </w:r>
      <w:r w:rsidR="00167918">
        <w:rPr>
          <w:kern w:val="22"/>
        </w:rPr>
        <w:t xml:space="preserve">valuation mondiale de la biodiversité et des services écosystémiques </w:t>
      </w:r>
      <w:r>
        <w:rPr>
          <w:kern w:val="22"/>
        </w:rPr>
        <w:t>de la Plateforme intergouvernementale scientifique et politique sur la biodiversité et les services écosystémiques</w:t>
      </w:r>
      <w:r w:rsidR="004C3F79">
        <w:rPr>
          <w:rStyle w:val="FootnoteReference"/>
          <w:kern w:val="22"/>
        </w:rPr>
        <w:footnoteReference w:id="12"/>
      </w:r>
      <w:r>
        <w:rPr>
          <w:kern w:val="22"/>
        </w:rPr>
        <w:t> ;</w:t>
      </w:r>
    </w:p>
    <w:p w14:paraId="77EC9975" w14:textId="03B11348" w:rsidR="00862C2E" w:rsidRPr="00067FAA" w:rsidRDefault="00B35DCF" w:rsidP="00A50B3A">
      <w:pPr>
        <w:suppressLineNumbers/>
        <w:suppressAutoHyphens/>
        <w:kinsoku w:val="0"/>
        <w:overflowPunct w:val="0"/>
        <w:autoSpaceDE w:val="0"/>
        <w:autoSpaceDN w:val="0"/>
        <w:adjustRightInd w:val="0"/>
        <w:snapToGrid w:val="0"/>
        <w:spacing w:before="120" w:after="120"/>
        <w:ind w:left="720" w:firstLine="720"/>
        <w:rPr>
          <w:bCs/>
          <w:noProof/>
          <w:snapToGrid w:val="0"/>
          <w:kern w:val="22"/>
          <w:u w:val="single"/>
        </w:rPr>
      </w:pPr>
      <w:r>
        <w:rPr>
          <w:noProof/>
          <w:snapToGrid w:val="0"/>
          <w:kern w:val="22"/>
        </w:rPr>
        <w:lastRenderedPageBreak/>
        <w:t>2.</w:t>
      </w:r>
      <w:r>
        <w:rPr>
          <w:i/>
          <w:noProof/>
          <w:snapToGrid w:val="0"/>
          <w:kern w:val="22"/>
        </w:rPr>
        <w:tab/>
      </w:r>
      <w:r w:rsidR="00B0486B">
        <w:rPr>
          <w:i/>
          <w:noProof/>
          <w:snapToGrid w:val="0"/>
          <w:kern w:val="22"/>
        </w:rPr>
        <w:t>Se félicite</w:t>
      </w:r>
      <w:r>
        <w:rPr>
          <w:i/>
          <w:noProof/>
          <w:snapToGrid w:val="0"/>
          <w:kern w:val="22"/>
        </w:rPr>
        <w:t xml:space="preserve"> également </w:t>
      </w:r>
      <w:r w:rsidR="00B0486B" w:rsidRPr="00CD0D10">
        <w:rPr>
          <w:iCs/>
          <w:noProof/>
          <w:snapToGrid w:val="0"/>
          <w:kern w:val="22"/>
        </w:rPr>
        <w:t>d</w:t>
      </w:r>
      <w:r w:rsidRPr="00CD0D10">
        <w:rPr>
          <w:iCs/>
        </w:rPr>
        <w:t>es</w:t>
      </w:r>
      <w:r>
        <w:t xml:space="preserve"> rapports spéciaux du Groupe d’experts intergouvernemental sur l’évolution du climat (GIEC) </w:t>
      </w:r>
      <w:r>
        <w:rPr>
          <w:noProof/>
          <w:snapToGrid w:val="0"/>
          <w:kern w:val="22"/>
        </w:rPr>
        <w:t xml:space="preserve">: a) le réchauffement planétaire de </w:t>
      </w:r>
      <w:r>
        <w:t>1,5 °C. Le rapport spécial du GIEC sur les effets du réchauffement planétaire de </w:t>
      </w:r>
      <w:r>
        <w:rPr>
          <w:noProof/>
          <w:snapToGrid w:val="0"/>
          <w:kern w:val="22"/>
        </w:rPr>
        <w:t>1,5 °C au-dessus des niveaux pré-industriels, et les voies d'émission de gaz à effets de serre connexes, dans le contexte du renforcement de la réponse mondiale à la menace du changement climatique, du développement durable, et des efforts pour éradiquer la pauvreté (SR1.5)</w:t>
      </w:r>
      <w:r w:rsidR="00705484" w:rsidRPr="00705484">
        <w:rPr>
          <w:noProof/>
          <w:snapToGrid w:val="0"/>
          <w:kern w:val="22"/>
          <w:vertAlign w:val="superscript"/>
          <w:lang w:val="en-CA" w:eastAsia="en-US"/>
        </w:rPr>
        <w:footnoteReference w:id="13"/>
      </w:r>
      <w:r>
        <w:rPr>
          <w:noProof/>
          <w:snapToGrid w:val="0"/>
          <w:kern w:val="22"/>
        </w:rPr>
        <w:t xml:space="preserve">, b) le rapport spécial du GIEC </w:t>
      </w:r>
      <w:r>
        <w:t>sur les changements climatiques, la désertification, la dégradation des terres, la gestion durable des terres, la sécurité alimentaire et les flux de gaz à effet de serre dans les écosystèmes terrestres</w:t>
      </w:r>
      <w:r>
        <w:rPr>
          <w:noProof/>
          <w:snapToGrid w:val="0"/>
          <w:kern w:val="22"/>
        </w:rPr>
        <w:t xml:space="preserve"> (SRCCL)</w:t>
      </w:r>
      <w:r w:rsidR="00705484" w:rsidRPr="00705484">
        <w:rPr>
          <w:noProof/>
          <w:snapToGrid w:val="0"/>
          <w:kern w:val="22"/>
          <w:vertAlign w:val="superscript"/>
          <w:lang w:val="en-CA" w:eastAsia="en-US"/>
        </w:rPr>
        <w:footnoteReference w:id="14"/>
      </w:r>
      <w:r>
        <w:rPr>
          <w:noProof/>
          <w:snapToGrid w:val="0"/>
          <w:kern w:val="22"/>
        </w:rPr>
        <w:t xml:space="preserve">, et c) le rapport spécial du GIEC </w:t>
      </w:r>
      <w:r w:rsidR="00CD0D10">
        <w:rPr>
          <w:noProof/>
          <w:snapToGrid w:val="0"/>
          <w:kern w:val="22"/>
        </w:rPr>
        <w:t xml:space="preserve">sur </w:t>
      </w:r>
      <w:r>
        <w:t>l’océan et la cryosphère dans le contexte du changement climatique</w:t>
      </w:r>
      <w:r>
        <w:rPr>
          <w:noProof/>
          <w:snapToGrid w:val="0"/>
          <w:kern w:val="22"/>
        </w:rPr>
        <w:t xml:space="preserve"> (SROCC)</w:t>
      </w:r>
      <w:r w:rsidR="00705484" w:rsidRPr="00705484">
        <w:rPr>
          <w:noProof/>
          <w:snapToGrid w:val="0"/>
          <w:kern w:val="22"/>
          <w:vertAlign w:val="superscript"/>
          <w:lang w:val="en-CA" w:eastAsia="en-US"/>
        </w:rPr>
        <w:footnoteReference w:id="15"/>
      </w:r>
      <w:r>
        <w:rPr>
          <w:noProof/>
          <w:snapToGrid w:val="0"/>
          <w:kern w:val="22"/>
        </w:rPr>
        <w:t> ;</w:t>
      </w:r>
    </w:p>
    <w:p w14:paraId="3FEC9947" w14:textId="38B4259D" w:rsidR="00F32C54" w:rsidRPr="00AC626C" w:rsidRDefault="0047047C" w:rsidP="00085C1F">
      <w:pPr>
        <w:pStyle w:val="Para10"/>
        <w:numPr>
          <w:ilvl w:val="0"/>
          <w:numId w:val="0"/>
        </w:numPr>
        <w:suppressLineNumbers/>
        <w:suppressAutoHyphens/>
        <w:kinsoku w:val="0"/>
        <w:overflowPunct w:val="0"/>
        <w:autoSpaceDE w:val="0"/>
        <w:autoSpaceDN w:val="0"/>
        <w:adjustRightInd w:val="0"/>
        <w:snapToGrid w:val="0"/>
        <w:ind w:left="720" w:firstLine="720"/>
        <w:rPr>
          <w:kern w:val="22"/>
          <w:szCs w:val="22"/>
        </w:rPr>
      </w:pPr>
      <w:r>
        <w:rPr>
          <w:kern w:val="22"/>
          <w:szCs w:val="22"/>
        </w:rPr>
        <w:t>3.</w:t>
      </w:r>
      <w:r>
        <w:rPr>
          <w:kern w:val="22"/>
          <w:szCs w:val="22"/>
        </w:rPr>
        <w:tab/>
      </w:r>
      <w:r w:rsidR="00B0486B">
        <w:rPr>
          <w:i/>
          <w:kern w:val="22"/>
          <w:szCs w:val="22"/>
        </w:rPr>
        <w:t>Se félicite en outre</w:t>
      </w:r>
      <w:r>
        <w:rPr>
          <w:kern w:val="22"/>
          <w:szCs w:val="22"/>
        </w:rPr>
        <w:t xml:space="preserve"> </w:t>
      </w:r>
      <w:r w:rsidR="00B0486B">
        <w:rPr>
          <w:kern w:val="22"/>
          <w:szCs w:val="22"/>
        </w:rPr>
        <w:t xml:space="preserve">de </w:t>
      </w:r>
      <w:r>
        <w:rPr>
          <w:kern w:val="22"/>
          <w:szCs w:val="22"/>
        </w:rPr>
        <w:t>l’examen des nouveaux renseignements scientifiques et techniques sur la biodiversité et les changements climatiques et de ses conséquences pour les travaux de la Convention</w:t>
      </w:r>
      <w:r w:rsidR="004C3F79">
        <w:rPr>
          <w:kern w:val="22"/>
          <w:szCs w:val="22"/>
        </w:rPr>
        <w:t xml:space="preserve"> qui </w:t>
      </w:r>
      <w:r>
        <w:rPr>
          <w:kern w:val="22"/>
          <w:szCs w:val="22"/>
        </w:rPr>
        <w:t>figur</w:t>
      </w:r>
      <w:r w:rsidR="004C3F79">
        <w:rPr>
          <w:kern w:val="22"/>
          <w:szCs w:val="22"/>
        </w:rPr>
        <w:t>e</w:t>
      </w:r>
      <w:r>
        <w:rPr>
          <w:kern w:val="22"/>
          <w:szCs w:val="22"/>
        </w:rPr>
        <w:t xml:space="preserve"> dans la note de la Secrétaire exécutive</w:t>
      </w:r>
      <w:r>
        <w:rPr>
          <w:rStyle w:val="FootnoteReference"/>
          <w:rFonts w:eastAsiaTheme="majorEastAsia"/>
          <w:kern w:val="22"/>
          <w:szCs w:val="22"/>
        </w:rPr>
        <w:footnoteReference w:id="16"/>
      </w:r>
      <w:r>
        <w:rPr>
          <w:kern w:val="22"/>
          <w:szCs w:val="22"/>
        </w:rPr>
        <w:t> ;</w:t>
      </w:r>
    </w:p>
    <w:p w14:paraId="67A51E9F" w14:textId="5AF4A3CE" w:rsidR="005A28E8" w:rsidRPr="00AC626C" w:rsidRDefault="0047047C" w:rsidP="005A28E8">
      <w:pPr>
        <w:pStyle w:val="Para10"/>
        <w:numPr>
          <w:ilvl w:val="0"/>
          <w:numId w:val="0"/>
        </w:numPr>
        <w:suppressLineNumbers/>
        <w:suppressAutoHyphens/>
        <w:kinsoku w:val="0"/>
        <w:overflowPunct w:val="0"/>
        <w:autoSpaceDE w:val="0"/>
        <w:autoSpaceDN w:val="0"/>
        <w:adjustRightInd w:val="0"/>
        <w:snapToGrid w:val="0"/>
        <w:ind w:left="720" w:firstLine="720"/>
        <w:rPr>
          <w:kern w:val="22"/>
          <w:szCs w:val="22"/>
        </w:rPr>
      </w:pPr>
      <w:r>
        <w:rPr>
          <w:kern w:val="22"/>
          <w:szCs w:val="22"/>
        </w:rPr>
        <w:t>4.</w:t>
      </w:r>
      <w:r>
        <w:rPr>
          <w:kern w:val="22"/>
          <w:szCs w:val="22"/>
        </w:rPr>
        <w:tab/>
      </w:r>
      <w:r>
        <w:rPr>
          <w:i/>
          <w:kern w:val="22"/>
          <w:szCs w:val="22"/>
        </w:rPr>
        <w:t>Exhorte</w:t>
      </w:r>
      <w:r>
        <w:rPr>
          <w:kern w:val="22"/>
          <w:szCs w:val="22"/>
        </w:rPr>
        <w:t xml:space="preserve"> les Parties et </w:t>
      </w:r>
      <w:r>
        <w:rPr>
          <w:i/>
          <w:kern w:val="22"/>
          <w:szCs w:val="22"/>
        </w:rPr>
        <w:t>invite</w:t>
      </w:r>
      <w:r>
        <w:rPr>
          <w:kern w:val="22"/>
          <w:szCs w:val="22"/>
        </w:rPr>
        <w:t xml:space="preserve"> les autres gouvernements, les organisations compétentes et les parties prenantes, y compris les secteurs de la production, à promouvoir et à améliorer l’utilisation des approches écosystémiques pour l’atténuation des changements climatiques, l’adaptation à ceux</w:t>
      </w:r>
      <w:r>
        <w:rPr>
          <w:kern w:val="22"/>
          <w:szCs w:val="22"/>
        </w:rPr>
        <w:noBreakHyphen/>
        <w:t xml:space="preserve">ci et la réduction des risques de catastrophe, notamment la protection et la restauration des écosystèmes, la gestion durable des infrastructures et des écosystèmes, y compris les agroécosystèmes, compte tenu de leurs synergies potentielles afin de faire face à la perte de biodiversité et aux changements climatiques tout en apportant divers avantages, notamment pour la santé humaine, la réduction de la pauvreté et le développement durable, ainsi que de leur capacité </w:t>
      </w:r>
      <w:r w:rsidR="009F6F0B">
        <w:rPr>
          <w:kern w:val="22"/>
          <w:szCs w:val="22"/>
        </w:rPr>
        <w:t>d’</w:t>
      </w:r>
      <w:r>
        <w:rPr>
          <w:kern w:val="22"/>
          <w:szCs w:val="22"/>
        </w:rPr>
        <w:t>éviter les compromis défavorables entre l'atténuation des changements climatiques et la conservation de la biodiversité ;</w:t>
      </w:r>
    </w:p>
    <w:p w14:paraId="72728329" w14:textId="58C409AD" w:rsidR="00363194" w:rsidRPr="00AC626C" w:rsidRDefault="0047047C" w:rsidP="00EC127D">
      <w:pPr>
        <w:pStyle w:val="Para10"/>
        <w:numPr>
          <w:ilvl w:val="0"/>
          <w:numId w:val="0"/>
        </w:numPr>
        <w:suppressLineNumbers/>
        <w:suppressAutoHyphens/>
        <w:kinsoku w:val="0"/>
        <w:overflowPunct w:val="0"/>
        <w:autoSpaceDE w:val="0"/>
        <w:autoSpaceDN w:val="0"/>
        <w:adjustRightInd w:val="0"/>
        <w:snapToGrid w:val="0"/>
        <w:ind w:left="720" w:firstLine="720"/>
        <w:rPr>
          <w:kern w:val="22"/>
          <w:szCs w:val="22"/>
        </w:rPr>
      </w:pPr>
      <w:r>
        <w:rPr>
          <w:kern w:val="22"/>
          <w:szCs w:val="22"/>
        </w:rPr>
        <w:t>5.</w:t>
      </w:r>
      <w:r>
        <w:rPr>
          <w:kern w:val="22"/>
          <w:szCs w:val="22"/>
        </w:rPr>
        <w:tab/>
      </w:r>
      <w:r>
        <w:rPr>
          <w:i/>
          <w:kern w:val="22"/>
          <w:szCs w:val="22"/>
        </w:rPr>
        <w:t>Encourage</w:t>
      </w:r>
      <w:r>
        <w:rPr>
          <w:kern w:val="22"/>
          <w:szCs w:val="22"/>
        </w:rPr>
        <w:t xml:space="preserve"> les Parties et </w:t>
      </w:r>
      <w:r>
        <w:rPr>
          <w:i/>
          <w:kern w:val="22"/>
          <w:szCs w:val="22"/>
        </w:rPr>
        <w:t>invite</w:t>
      </w:r>
      <w:r>
        <w:rPr>
          <w:kern w:val="22"/>
          <w:szCs w:val="22"/>
        </w:rPr>
        <w:t xml:space="preserve"> les autres gouvernements, avec la participation pleine et effective des peuples autochtones et communautés locales, conformément à la législation nationale, dans le contexte des mesures d’action climatique des pays au titre de l’Accord de Paris</w:t>
      </w:r>
      <w:r>
        <w:rPr>
          <w:rStyle w:val="FootnoteReference"/>
          <w:rFonts w:eastAsiaTheme="majorEastAsia"/>
          <w:kern w:val="22"/>
          <w:szCs w:val="22"/>
        </w:rPr>
        <w:footnoteReference w:id="17"/>
      </w:r>
      <w:r>
        <w:rPr>
          <w:kern w:val="22"/>
          <w:szCs w:val="22"/>
          <w:vertAlign w:val="superscript"/>
        </w:rPr>
        <w:t xml:space="preserve">, </w:t>
      </w:r>
      <w:r>
        <w:rPr>
          <w:kern w:val="22"/>
          <w:szCs w:val="22"/>
        </w:rPr>
        <w:t>à renforcer et à améliorer leurs efforts pour intégrer la conservation de la biodiversité, la restauration des écosystèmes et les approches écosystémiques pour l’atténuation des changements climatiques, l’adaptation à ceux</w:t>
      </w:r>
      <w:r>
        <w:rPr>
          <w:kern w:val="22"/>
          <w:szCs w:val="22"/>
        </w:rPr>
        <w:noBreakHyphen/>
        <w:t>ci et la réduction des risques de catastrophe dans les processus nationaux et autres processus de planification, [y compris les contributions</w:t>
      </w:r>
      <w:r w:rsidR="009F6F0B">
        <w:rPr>
          <w:kern w:val="22"/>
          <w:szCs w:val="22"/>
        </w:rPr>
        <w:t xml:space="preserve"> existantes, nouvelles ou actualisées</w:t>
      </w:r>
      <w:r>
        <w:rPr>
          <w:kern w:val="22"/>
          <w:szCs w:val="22"/>
        </w:rPr>
        <w:t xml:space="preserve"> déterminées par les pays] et les plans d’adaptation nationaux, selon qu’il convient, dans les rapports nationaux </w:t>
      </w:r>
      <w:r w:rsidR="009F6F0B">
        <w:rPr>
          <w:kern w:val="22"/>
          <w:szCs w:val="22"/>
        </w:rPr>
        <w:t>relatifs</w:t>
      </w:r>
      <w:r>
        <w:rPr>
          <w:kern w:val="22"/>
          <w:szCs w:val="22"/>
        </w:rPr>
        <w:t xml:space="preserve"> aux changements climatiques, y compris les communications nationales et les rapports biennaux, et dans la planification spatiale, et à développer des indicateurs permettant de mesurer les progrès réalisés dans l'application </w:t>
      </w:r>
      <w:r w:rsidR="009F6F0B">
        <w:rPr>
          <w:kern w:val="22"/>
          <w:szCs w:val="22"/>
        </w:rPr>
        <w:t xml:space="preserve">de ces démarches et </w:t>
      </w:r>
      <w:r>
        <w:rPr>
          <w:kern w:val="22"/>
          <w:szCs w:val="22"/>
        </w:rPr>
        <w:t xml:space="preserve">l’efficacité de </w:t>
      </w:r>
      <w:r w:rsidR="009F6F0B">
        <w:rPr>
          <w:kern w:val="22"/>
          <w:szCs w:val="22"/>
        </w:rPr>
        <w:t xml:space="preserve">leur </w:t>
      </w:r>
      <w:r>
        <w:rPr>
          <w:kern w:val="22"/>
          <w:szCs w:val="22"/>
        </w:rPr>
        <w:t>application ;</w:t>
      </w:r>
    </w:p>
    <w:p w14:paraId="345AB1E0" w14:textId="50B1B708" w:rsidR="00F933E9" w:rsidRPr="00AC626C" w:rsidRDefault="00363194" w:rsidP="005A28E8">
      <w:pPr>
        <w:pStyle w:val="Para10"/>
        <w:numPr>
          <w:ilvl w:val="0"/>
          <w:numId w:val="0"/>
        </w:numPr>
        <w:suppressLineNumbers/>
        <w:suppressAutoHyphens/>
        <w:kinsoku w:val="0"/>
        <w:overflowPunct w:val="0"/>
        <w:autoSpaceDE w:val="0"/>
        <w:autoSpaceDN w:val="0"/>
        <w:adjustRightInd w:val="0"/>
        <w:snapToGrid w:val="0"/>
        <w:ind w:left="720" w:firstLine="720"/>
        <w:rPr>
          <w:color w:val="000000"/>
          <w:szCs w:val="22"/>
        </w:rPr>
      </w:pPr>
      <w:r>
        <w:rPr>
          <w:kern w:val="22"/>
          <w:szCs w:val="22"/>
        </w:rPr>
        <w:t>6.</w:t>
      </w:r>
      <w:r>
        <w:rPr>
          <w:kern w:val="22"/>
          <w:szCs w:val="22"/>
        </w:rPr>
        <w:tab/>
      </w:r>
      <w:r>
        <w:rPr>
          <w:i/>
          <w:kern w:val="22"/>
          <w:szCs w:val="22"/>
        </w:rPr>
        <w:t>Encourage</w:t>
      </w:r>
      <w:r>
        <w:rPr>
          <w:kern w:val="22"/>
          <w:szCs w:val="22"/>
        </w:rPr>
        <w:t xml:space="preserve"> les Parties et </w:t>
      </w:r>
      <w:r>
        <w:rPr>
          <w:i/>
          <w:kern w:val="22"/>
          <w:szCs w:val="22"/>
        </w:rPr>
        <w:t>invite</w:t>
      </w:r>
      <w:r>
        <w:rPr>
          <w:kern w:val="22"/>
          <w:szCs w:val="22"/>
        </w:rPr>
        <w:t xml:space="preserve"> les autres gouvernements, les organisations compétentes et les parties prenantes, dont le secteur privé, avec la participation pleine et effective des peuples autochtones et communautés locales, des femmes et des jeunes, conformément à la législation nationale, lors de la conception et de l’application de mesures d’atténuation des changements climatiques, d’adaptation à ceux</w:t>
      </w:r>
      <w:r>
        <w:rPr>
          <w:kern w:val="22"/>
          <w:szCs w:val="22"/>
        </w:rPr>
        <w:noBreakHyphen/>
        <w:t>ci et de réduction des risques de catastrophe, y compris les approches écosystémiques, compte tenu des spécificités de chaque pays, à :</w:t>
      </w:r>
    </w:p>
    <w:p w14:paraId="54F53443" w14:textId="298088AC" w:rsidR="00F933E9" w:rsidRPr="00AC626C" w:rsidRDefault="0047047C" w:rsidP="005A28E8">
      <w:pPr>
        <w:pStyle w:val="Para10"/>
        <w:numPr>
          <w:ilvl w:val="0"/>
          <w:numId w:val="0"/>
        </w:numPr>
        <w:suppressLineNumbers/>
        <w:suppressAutoHyphens/>
        <w:kinsoku w:val="0"/>
        <w:overflowPunct w:val="0"/>
        <w:autoSpaceDE w:val="0"/>
        <w:autoSpaceDN w:val="0"/>
        <w:adjustRightInd w:val="0"/>
        <w:snapToGrid w:val="0"/>
        <w:ind w:left="720" w:firstLine="720"/>
        <w:rPr>
          <w:color w:val="000000"/>
          <w:szCs w:val="22"/>
        </w:rPr>
      </w:pPr>
      <w:r>
        <w:rPr>
          <w:color w:val="000000"/>
          <w:szCs w:val="22"/>
        </w:rPr>
        <w:t>a)</w:t>
      </w:r>
      <w:r>
        <w:rPr>
          <w:color w:val="000000"/>
          <w:szCs w:val="22"/>
        </w:rPr>
        <w:tab/>
        <w:t xml:space="preserve">Utiliser les lignes directrices facultatives pour la conception et l’application efficace des approches écosystémiques pour l'adaptation aux changements climatiques et la réduction des </w:t>
      </w:r>
      <w:r>
        <w:rPr>
          <w:color w:val="000000"/>
          <w:szCs w:val="22"/>
        </w:rPr>
        <w:lastRenderedPageBreak/>
        <w:t>risques de catastrophe</w:t>
      </w:r>
      <w:r>
        <w:rPr>
          <w:rStyle w:val="FootnoteReference"/>
          <w:color w:val="000000"/>
          <w:szCs w:val="22"/>
        </w:rPr>
        <w:footnoteReference w:id="18"/>
      </w:r>
      <w:r>
        <w:rPr>
          <w:color w:val="000000"/>
          <w:szCs w:val="22"/>
        </w:rPr>
        <w:t xml:space="preserve">, ainsi que d'autres outils et orientations élaborés au titre de la Convention sur la diversité biologique et </w:t>
      </w:r>
      <w:r w:rsidR="00317730">
        <w:rPr>
          <w:color w:val="000000"/>
          <w:szCs w:val="22"/>
        </w:rPr>
        <w:t>d’</w:t>
      </w:r>
      <w:r>
        <w:rPr>
          <w:color w:val="000000"/>
          <w:szCs w:val="22"/>
        </w:rPr>
        <w:t>autres instruments internationaux ;</w:t>
      </w:r>
    </w:p>
    <w:p w14:paraId="70C21691" w14:textId="1A1560AF" w:rsidR="001D5711" w:rsidRPr="00AC626C" w:rsidRDefault="0047047C" w:rsidP="00D069DC">
      <w:pPr>
        <w:pStyle w:val="Para10"/>
        <w:numPr>
          <w:ilvl w:val="0"/>
          <w:numId w:val="0"/>
        </w:numPr>
        <w:suppressLineNumbers/>
        <w:suppressAutoHyphens/>
        <w:kinsoku w:val="0"/>
        <w:overflowPunct w:val="0"/>
        <w:autoSpaceDE w:val="0"/>
        <w:autoSpaceDN w:val="0"/>
        <w:adjustRightInd w:val="0"/>
        <w:snapToGrid w:val="0"/>
        <w:ind w:left="720" w:firstLine="720"/>
        <w:rPr>
          <w:kern w:val="22"/>
          <w:szCs w:val="22"/>
        </w:rPr>
      </w:pPr>
      <w:r>
        <w:rPr>
          <w:color w:val="000000"/>
          <w:szCs w:val="22"/>
        </w:rPr>
        <w:t>b)</w:t>
      </w:r>
      <w:r>
        <w:rPr>
          <w:color w:val="000000"/>
          <w:szCs w:val="22"/>
        </w:rPr>
        <w:tab/>
      </w:r>
      <w:r>
        <w:rPr>
          <w:kern w:val="22"/>
          <w:szCs w:val="22"/>
        </w:rPr>
        <w:t xml:space="preserve">Repérer et </w:t>
      </w:r>
      <w:r w:rsidR="00317730">
        <w:rPr>
          <w:kern w:val="22"/>
          <w:szCs w:val="22"/>
        </w:rPr>
        <w:t>optimiser</w:t>
      </w:r>
      <w:r>
        <w:rPr>
          <w:kern w:val="22"/>
          <w:szCs w:val="22"/>
        </w:rPr>
        <w:t xml:space="preserve"> les synergies possibles, promouvoir les effets positifs et réduire au minimum ou éviter les effets négatifs sur la biodiversité, [y compris ceux provenant de la transition à une énergie renouvelable,] surtout pour les écosystèmes vulnérables et d'autres écosystèmes irremplaçables, et pour les communautés qui dépendent directement de la biodiversité</w:t>
      </w:r>
      <w:r w:rsidR="00317730">
        <w:rPr>
          <w:kern w:val="22"/>
          <w:szCs w:val="22"/>
        </w:rPr>
        <w:t>.</w:t>
      </w:r>
    </w:p>
    <w:p w14:paraId="59E97F36" w14:textId="5A615AF6" w:rsidR="00B62B89" w:rsidRPr="00AC626C" w:rsidRDefault="00363194" w:rsidP="00B62B89">
      <w:pPr>
        <w:pStyle w:val="Para10"/>
        <w:numPr>
          <w:ilvl w:val="0"/>
          <w:numId w:val="0"/>
        </w:numPr>
        <w:suppressLineNumbers/>
        <w:suppressAutoHyphens/>
        <w:kinsoku w:val="0"/>
        <w:overflowPunct w:val="0"/>
        <w:autoSpaceDE w:val="0"/>
        <w:autoSpaceDN w:val="0"/>
        <w:adjustRightInd w:val="0"/>
        <w:snapToGrid w:val="0"/>
        <w:ind w:left="720" w:firstLine="720"/>
        <w:rPr>
          <w:i/>
          <w:kern w:val="22"/>
          <w:szCs w:val="22"/>
        </w:rPr>
      </w:pPr>
      <w:r>
        <w:rPr>
          <w:kern w:val="22"/>
          <w:szCs w:val="22"/>
        </w:rPr>
        <w:t>7.</w:t>
      </w:r>
      <w:r>
        <w:rPr>
          <w:kern w:val="22"/>
          <w:szCs w:val="22"/>
        </w:rPr>
        <w:tab/>
      </w:r>
      <w:r>
        <w:rPr>
          <w:i/>
          <w:kern w:val="22"/>
          <w:szCs w:val="22"/>
        </w:rPr>
        <w:t>Encourage</w:t>
      </w:r>
      <w:r>
        <w:rPr>
          <w:kern w:val="22"/>
          <w:szCs w:val="22"/>
        </w:rPr>
        <w:t xml:space="preserve"> les Parties et </w:t>
      </w:r>
      <w:r>
        <w:rPr>
          <w:i/>
          <w:kern w:val="22"/>
          <w:szCs w:val="22"/>
        </w:rPr>
        <w:t>invite</w:t>
      </w:r>
      <w:r>
        <w:rPr>
          <w:kern w:val="22"/>
          <w:szCs w:val="22"/>
        </w:rPr>
        <w:t xml:space="preserve"> les autres gouvernements, les institutions financières, les organisations compétentes et les parties prenantes, dont le secteur privé, conformément à l’article 20 de la Convention, à :</w:t>
      </w:r>
    </w:p>
    <w:p w14:paraId="3EFB9CD6" w14:textId="6E476341" w:rsidR="00B62B89" w:rsidRPr="00AC626C" w:rsidRDefault="005507E4" w:rsidP="00B62B89">
      <w:pPr>
        <w:pStyle w:val="Para10"/>
        <w:numPr>
          <w:ilvl w:val="0"/>
          <w:numId w:val="0"/>
        </w:numPr>
        <w:suppressLineNumbers/>
        <w:suppressAutoHyphens/>
        <w:kinsoku w:val="0"/>
        <w:overflowPunct w:val="0"/>
        <w:autoSpaceDE w:val="0"/>
        <w:autoSpaceDN w:val="0"/>
        <w:adjustRightInd w:val="0"/>
        <w:snapToGrid w:val="0"/>
        <w:ind w:left="720" w:firstLine="720"/>
        <w:rPr>
          <w:kern w:val="22"/>
          <w:szCs w:val="22"/>
        </w:rPr>
      </w:pPr>
      <w:r>
        <w:rPr>
          <w:kern w:val="22"/>
          <w:szCs w:val="22"/>
        </w:rPr>
        <w:t>[</w:t>
      </w:r>
      <w:r w:rsidR="009D243B">
        <w:rPr>
          <w:kern w:val="22"/>
          <w:szCs w:val="22"/>
        </w:rPr>
        <w:t>a</w:t>
      </w:r>
      <w:r>
        <w:rPr>
          <w:kern w:val="22"/>
          <w:szCs w:val="22"/>
        </w:rPr>
        <w:t>)</w:t>
      </w:r>
      <w:r>
        <w:rPr>
          <w:i/>
          <w:kern w:val="22"/>
          <w:szCs w:val="22"/>
        </w:rPr>
        <w:tab/>
      </w:r>
      <w:r>
        <w:rPr>
          <w:kern w:val="22"/>
          <w:szCs w:val="22"/>
        </w:rPr>
        <w:t>Accroître les investissements, en particulier aux pays en développement Parties, dans les approches écosystémiques pour l’atténuation des changements climatiques, l’adaptation à ceux</w:t>
      </w:r>
      <w:r>
        <w:rPr>
          <w:kern w:val="22"/>
          <w:szCs w:val="22"/>
        </w:rPr>
        <w:noBreakHyphen/>
        <w:t>ci et la réduction des risques de catastrophe, y compris la conservation et l’utilisation durable de la biodiversité, la restauration des écosystèmes et les infrastructures durables ;]</w:t>
      </w:r>
    </w:p>
    <w:p w14:paraId="5437FF3E" w14:textId="77B22C4D" w:rsidR="00B62B89" w:rsidRPr="00AC626C" w:rsidRDefault="000C0F8C" w:rsidP="00B62B89">
      <w:pPr>
        <w:pStyle w:val="Para10"/>
        <w:numPr>
          <w:ilvl w:val="0"/>
          <w:numId w:val="0"/>
        </w:numPr>
        <w:suppressLineNumbers/>
        <w:suppressAutoHyphens/>
        <w:kinsoku w:val="0"/>
        <w:overflowPunct w:val="0"/>
        <w:autoSpaceDE w:val="0"/>
        <w:autoSpaceDN w:val="0"/>
        <w:adjustRightInd w:val="0"/>
        <w:snapToGrid w:val="0"/>
        <w:ind w:left="720" w:firstLine="720"/>
        <w:rPr>
          <w:kern w:val="22"/>
          <w:szCs w:val="22"/>
        </w:rPr>
      </w:pPr>
      <w:r>
        <w:rPr>
          <w:kern w:val="22"/>
          <w:szCs w:val="22"/>
        </w:rPr>
        <w:t>[</w:t>
      </w:r>
      <w:r w:rsidR="009D243B">
        <w:rPr>
          <w:kern w:val="22"/>
          <w:szCs w:val="22"/>
        </w:rPr>
        <w:t>b</w:t>
      </w:r>
      <w:r>
        <w:rPr>
          <w:kern w:val="22"/>
          <w:szCs w:val="22"/>
        </w:rPr>
        <w:t>)</w:t>
      </w:r>
      <w:r>
        <w:rPr>
          <w:kern w:val="22"/>
          <w:szCs w:val="22"/>
        </w:rPr>
        <w:tab/>
        <w:t>Inclure les approches écosystémiques dans les politiques et budgets sectoriels pertinents, conformément aux priorités de chaque pays ;]</w:t>
      </w:r>
    </w:p>
    <w:p w14:paraId="78E5C6C8" w14:textId="6E19FDDA" w:rsidR="005A28E8" w:rsidRPr="00AC626C" w:rsidRDefault="009D243B" w:rsidP="00572AA9">
      <w:pPr>
        <w:pStyle w:val="Para10"/>
        <w:numPr>
          <w:ilvl w:val="0"/>
          <w:numId w:val="0"/>
        </w:numPr>
        <w:suppressLineNumbers/>
        <w:suppressAutoHyphens/>
        <w:kinsoku w:val="0"/>
        <w:overflowPunct w:val="0"/>
        <w:autoSpaceDE w:val="0"/>
        <w:autoSpaceDN w:val="0"/>
        <w:adjustRightInd w:val="0"/>
        <w:snapToGrid w:val="0"/>
        <w:ind w:left="720" w:firstLine="720"/>
        <w:rPr>
          <w:kern w:val="22"/>
          <w:szCs w:val="22"/>
        </w:rPr>
      </w:pPr>
      <w:r>
        <w:rPr>
          <w:kern w:val="22"/>
          <w:szCs w:val="22"/>
        </w:rPr>
        <w:t>c</w:t>
      </w:r>
      <w:r w:rsidR="0047047C">
        <w:rPr>
          <w:kern w:val="22"/>
          <w:szCs w:val="22"/>
        </w:rPr>
        <w:t>)</w:t>
      </w:r>
      <w:r w:rsidR="0047047C">
        <w:rPr>
          <w:kern w:val="22"/>
          <w:szCs w:val="22"/>
        </w:rPr>
        <w:tab/>
        <w:t>Développer et exploiter des synergies entre les mécanismes de financement de la biodiversité, des changements climatiques et de la dégradation des terres ;</w:t>
      </w:r>
    </w:p>
    <w:p w14:paraId="369AF626" w14:textId="37881802" w:rsidR="001E63A8" w:rsidRDefault="005507E4" w:rsidP="00A50B3A">
      <w:pPr>
        <w:pStyle w:val="Para10"/>
        <w:numPr>
          <w:ilvl w:val="0"/>
          <w:numId w:val="0"/>
        </w:numPr>
        <w:ind w:left="720" w:firstLine="720"/>
      </w:pPr>
      <w:r>
        <w:rPr>
          <w:kern w:val="22"/>
          <w:szCs w:val="22"/>
        </w:rPr>
        <w:t>[8.</w:t>
      </w:r>
      <w:r>
        <w:rPr>
          <w:kern w:val="22"/>
          <w:szCs w:val="22"/>
        </w:rPr>
        <w:tab/>
      </w:r>
      <w:r>
        <w:rPr>
          <w:i/>
          <w:kern w:val="22"/>
          <w:szCs w:val="22"/>
        </w:rPr>
        <w:t>Encourage</w:t>
      </w:r>
      <w:r>
        <w:t xml:space="preserve"> les Parties et </w:t>
      </w:r>
      <w:r>
        <w:rPr>
          <w:i/>
          <w:kern w:val="22"/>
          <w:szCs w:val="22"/>
        </w:rPr>
        <w:t>invite</w:t>
      </w:r>
      <w:r>
        <w:t xml:space="preserve"> les autres gouvernements, les organisations compétentes et les parties prenantes, dont le</w:t>
      </w:r>
      <w:r w:rsidR="009D243B">
        <w:t xml:space="preserve">s secteurs productif et financier, </w:t>
      </w:r>
      <w:r>
        <w:t xml:space="preserve">à tenir compte des </w:t>
      </w:r>
      <w:r w:rsidR="009D243B">
        <w:t xml:space="preserve">possibilités de </w:t>
      </w:r>
      <w:r>
        <w:t xml:space="preserve">réduire la vulnérabilité aux changements climatiques, notamment en utilisant </w:t>
      </w:r>
      <w:r w:rsidR="009D243B">
        <w:t>d</w:t>
      </w:r>
      <w:r>
        <w:t>es approches écosystémiques</w:t>
      </w:r>
      <w:r w:rsidR="009D243B">
        <w:t xml:space="preserve"> afin de réduire les risques pour ces secteurs</w:t>
      </w:r>
      <w:r>
        <w:t>, et à faciliter l</w:t>
      </w:r>
      <w:r w:rsidR="001A5E8F">
        <w:t>a prise de</w:t>
      </w:r>
      <w:r>
        <w:t xml:space="preserve"> mesures concertées pour promouvoir la gestion durable des ressources ;]</w:t>
      </w:r>
    </w:p>
    <w:p w14:paraId="4D1533DB" w14:textId="566E3E7D" w:rsidR="007B7CEB" w:rsidRPr="00AC626C" w:rsidRDefault="00637644" w:rsidP="00A50B3A">
      <w:pPr>
        <w:pStyle w:val="Para10"/>
        <w:numPr>
          <w:ilvl w:val="0"/>
          <w:numId w:val="0"/>
        </w:numPr>
        <w:ind w:left="720" w:firstLine="720"/>
      </w:pPr>
      <w:r>
        <w:rPr>
          <w:kern w:val="22"/>
          <w:szCs w:val="22"/>
        </w:rPr>
        <w:t>9.</w:t>
      </w:r>
      <w:r>
        <w:rPr>
          <w:kern w:val="22"/>
          <w:szCs w:val="22"/>
        </w:rPr>
        <w:tab/>
      </w:r>
      <w:r w:rsidR="007B7CEB">
        <w:rPr>
          <w:kern w:val="22"/>
          <w:szCs w:val="22"/>
        </w:rPr>
        <w:t>[</w:t>
      </w:r>
      <w:r w:rsidR="007B7CEB">
        <w:rPr>
          <w:i/>
          <w:kern w:val="22"/>
          <w:szCs w:val="22"/>
        </w:rPr>
        <w:t>Reconnaît</w:t>
      </w:r>
      <w:r w:rsidR="007B7CEB">
        <w:rPr>
          <w:kern w:val="22"/>
          <w:szCs w:val="22"/>
        </w:rPr>
        <w:t xml:space="preserve"> que les stratégies mondiales adoptées pour traiter la biodiversité et les changements climatiques doivent tenir compte des spécificités et capacités de chaque pays, ainsi que des principes tels que celui des responsabilités communes mais différenciées ;]</w:t>
      </w:r>
    </w:p>
    <w:p w14:paraId="452FED01" w14:textId="002B8AA4" w:rsidR="001E63A8" w:rsidRPr="00AC626C" w:rsidRDefault="00363194" w:rsidP="00BF5020">
      <w:pPr>
        <w:pStyle w:val="Para10"/>
        <w:numPr>
          <w:ilvl w:val="0"/>
          <w:numId w:val="0"/>
        </w:numPr>
        <w:suppressLineNumbers/>
        <w:suppressAutoHyphens/>
        <w:kinsoku w:val="0"/>
        <w:overflowPunct w:val="0"/>
        <w:autoSpaceDE w:val="0"/>
        <w:autoSpaceDN w:val="0"/>
        <w:adjustRightInd w:val="0"/>
        <w:snapToGrid w:val="0"/>
        <w:ind w:left="720" w:firstLine="720"/>
        <w:rPr>
          <w:kern w:val="22"/>
          <w:szCs w:val="22"/>
        </w:rPr>
      </w:pPr>
      <w:r>
        <w:rPr>
          <w:kern w:val="22"/>
          <w:szCs w:val="22"/>
        </w:rPr>
        <w:t>9.</w:t>
      </w:r>
      <w:r>
        <w:rPr>
          <w:kern w:val="22"/>
          <w:szCs w:val="22"/>
        </w:rPr>
        <w:tab/>
      </w:r>
      <w:r>
        <w:rPr>
          <w:i/>
          <w:kern w:val="22"/>
          <w:szCs w:val="22"/>
        </w:rPr>
        <w:t>Invite</w:t>
      </w:r>
      <w:r>
        <w:rPr>
          <w:kern w:val="22"/>
          <w:szCs w:val="22"/>
        </w:rPr>
        <w:t xml:space="preserve"> la Conférence des Parties à la Convention</w:t>
      </w:r>
      <w:r>
        <w:rPr>
          <w:kern w:val="22"/>
          <w:szCs w:val="22"/>
        </w:rPr>
        <w:noBreakHyphen/>
        <w:t>cadre des Nations Unies sur les changements climatiques à tenir compte des lignes directrices facultatives pour la conception et l’application efficace des approches écosystémiques pour l’adaptation aux changements climatiques et la réduction des risques de catastrophe</w:t>
      </w:r>
      <w:r>
        <w:rPr>
          <w:rStyle w:val="FootnoteReference"/>
          <w:kern w:val="22"/>
          <w:szCs w:val="22"/>
        </w:rPr>
        <w:footnoteReference w:id="19"/>
      </w:r>
      <w:r>
        <w:rPr>
          <w:kern w:val="22"/>
          <w:szCs w:val="22"/>
        </w:rPr>
        <w:t> ;</w:t>
      </w:r>
    </w:p>
    <w:p w14:paraId="213EF8ED" w14:textId="09295966" w:rsidR="00C111F1" w:rsidRPr="00067FAA" w:rsidRDefault="00363194" w:rsidP="00A50B3A">
      <w:pPr>
        <w:suppressLineNumbers/>
        <w:suppressAutoHyphens/>
        <w:kinsoku w:val="0"/>
        <w:overflowPunct w:val="0"/>
        <w:autoSpaceDE w:val="0"/>
        <w:autoSpaceDN w:val="0"/>
        <w:adjustRightInd w:val="0"/>
        <w:snapToGrid w:val="0"/>
        <w:spacing w:before="120" w:after="120"/>
        <w:ind w:left="720" w:firstLine="720"/>
        <w:rPr>
          <w:noProof/>
          <w:kern w:val="22"/>
        </w:rPr>
      </w:pPr>
      <w:r>
        <w:rPr>
          <w:noProof/>
          <w:snapToGrid w:val="0"/>
          <w:kern w:val="22"/>
        </w:rPr>
        <w:t>10.</w:t>
      </w:r>
      <w:r>
        <w:rPr>
          <w:noProof/>
          <w:snapToGrid w:val="0"/>
          <w:kern w:val="22"/>
        </w:rPr>
        <w:tab/>
      </w:r>
      <w:r>
        <w:rPr>
          <w:i/>
          <w:noProof/>
          <w:snapToGrid w:val="0"/>
          <w:kern w:val="22"/>
        </w:rPr>
        <w:t>Prie</w:t>
      </w:r>
      <w:r>
        <w:rPr>
          <w:noProof/>
          <w:snapToGrid w:val="0"/>
          <w:kern w:val="22"/>
        </w:rPr>
        <w:t xml:space="preserve"> la Secrétaire exécutive, dans son soutien aux activités de la Décennie des Nations Unies sur la restauration des écosystèmes, de promouvoir les synergies et une collaboration plus étroite entre les accords multilatéraux </w:t>
      </w:r>
      <w:r w:rsidR="001A5E8F">
        <w:rPr>
          <w:noProof/>
          <w:snapToGrid w:val="0"/>
          <w:kern w:val="22"/>
        </w:rPr>
        <w:t>relatifs</w:t>
      </w:r>
      <w:r>
        <w:rPr>
          <w:noProof/>
          <w:snapToGrid w:val="0"/>
          <w:kern w:val="22"/>
        </w:rPr>
        <w:t xml:space="preserve"> à l’environnement, les Conventions de Rio, le Forum des Nations Unies sur les forêts, le Cadre d’action de Sendai pour la réduction des risques de catastrophe 2015</w:t>
      </w:r>
      <w:r>
        <w:rPr>
          <w:noProof/>
          <w:snapToGrid w:val="0"/>
          <w:kern w:val="22"/>
        </w:rPr>
        <w:noBreakHyphen/>
        <w:t>2030</w:t>
      </w:r>
      <w:r>
        <w:rPr>
          <w:rStyle w:val="FootnoteReference"/>
          <w:noProof/>
          <w:snapToGrid w:val="0"/>
          <w:kern w:val="22"/>
        </w:rPr>
        <w:footnoteReference w:id="20"/>
      </w:r>
      <w:r>
        <w:rPr>
          <w:noProof/>
          <w:snapToGrid w:val="0"/>
          <w:kern w:val="22"/>
        </w:rPr>
        <w:t>, l’Approche stratégique de la gestion internationale des produits chimiques, le Nouveau Programme pour les villes</w:t>
      </w:r>
      <w:r>
        <w:rPr>
          <w:rStyle w:val="FootnoteReference"/>
          <w:noProof/>
          <w:snapToGrid w:val="0"/>
          <w:kern w:val="22"/>
        </w:rPr>
        <w:footnoteReference w:id="21"/>
      </w:r>
      <w:r>
        <w:rPr>
          <w:noProof/>
          <w:snapToGrid w:val="0"/>
          <w:kern w:val="22"/>
        </w:rPr>
        <w:t>, et autres organisations et processus pertinents ayant pour but d’améliorer les démarches intégrées pour lutter contre l</w:t>
      </w:r>
      <w:r w:rsidR="001A5E8F">
        <w:rPr>
          <w:noProof/>
          <w:snapToGrid w:val="0"/>
          <w:kern w:val="22"/>
        </w:rPr>
        <w:t>a perte</w:t>
      </w:r>
      <w:r>
        <w:rPr>
          <w:noProof/>
          <w:snapToGrid w:val="0"/>
          <w:kern w:val="22"/>
        </w:rPr>
        <w:t xml:space="preserve"> de la biodiversité, les changements climatiques et la dégradation des</w:t>
      </w:r>
      <w:r w:rsidR="001A5E8F">
        <w:rPr>
          <w:noProof/>
          <w:snapToGrid w:val="0"/>
          <w:kern w:val="22"/>
        </w:rPr>
        <w:t xml:space="preserve"> terres et des</w:t>
      </w:r>
      <w:r>
        <w:rPr>
          <w:noProof/>
          <w:snapToGrid w:val="0"/>
          <w:kern w:val="22"/>
        </w:rPr>
        <w:t xml:space="preserve"> océans ;</w:t>
      </w:r>
    </w:p>
    <w:p w14:paraId="2207DCAC" w14:textId="621A6B69" w:rsidR="005A28E8" w:rsidRPr="00AC626C" w:rsidRDefault="00292C8B" w:rsidP="005A28E8">
      <w:pPr>
        <w:pStyle w:val="Para10"/>
        <w:numPr>
          <w:ilvl w:val="0"/>
          <w:numId w:val="0"/>
        </w:numPr>
        <w:suppressLineNumbers/>
        <w:suppressAutoHyphens/>
        <w:kinsoku w:val="0"/>
        <w:overflowPunct w:val="0"/>
        <w:autoSpaceDE w:val="0"/>
        <w:autoSpaceDN w:val="0"/>
        <w:adjustRightInd w:val="0"/>
        <w:snapToGrid w:val="0"/>
        <w:ind w:left="720" w:firstLine="720"/>
        <w:rPr>
          <w:color w:val="000000"/>
          <w:kern w:val="22"/>
          <w:szCs w:val="22"/>
        </w:rPr>
      </w:pPr>
      <w:r>
        <w:rPr>
          <w:kern w:val="22"/>
          <w:szCs w:val="22"/>
        </w:rPr>
        <w:t>11.</w:t>
      </w:r>
      <w:r>
        <w:rPr>
          <w:kern w:val="22"/>
          <w:szCs w:val="22"/>
        </w:rPr>
        <w:tab/>
      </w:r>
      <w:r>
        <w:rPr>
          <w:i/>
          <w:kern w:val="22"/>
          <w:szCs w:val="22"/>
        </w:rPr>
        <w:t>Prie également</w:t>
      </w:r>
      <w:r>
        <w:rPr>
          <w:kern w:val="22"/>
          <w:szCs w:val="22"/>
        </w:rPr>
        <w:t xml:space="preserve"> la Secrétaire exécutive, dans les limites des ressources disponibles et de manière à éviter le</w:t>
      </w:r>
      <w:r w:rsidR="008A59EE">
        <w:rPr>
          <w:kern w:val="22"/>
          <w:szCs w:val="22"/>
        </w:rPr>
        <w:t xml:space="preserve"> double emploi</w:t>
      </w:r>
      <w:r>
        <w:rPr>
          <w:kern w:val="22"/>
          <w:szCs w:val="22"/>
        </w:rPr>
        <w:t xml:space="preserve">, et en collaboration avec les organisations compétentes et les </w:t>
      </w:r>
      <w:r>
        <w:rPr>
          <w:kern w:val="22"/>
          <w:szCs w:val="22"/>
        </w:rPr>
        <w:lastRenderedPageBreak/>
        <w:t xml:space="preserve">processus pertinents, notamment le Groupe mixte de liaison des </w:t>
      </w:r>
      <w:r w:rsidR="008A59EE">
        <w:rPr>
          <w:kern w:val="22"/>
          <w:szCs w:val="22"/>
        </w:rPr>
        <w:t>c</w:t>
      </w:r>
      <w:r>
        <w:rPr>
          <w:kern w:val="22"/>
          <w:szCs w:val="22"/>
        </w:rPr>
        <w:t>onventions de Rio, les peuples autochtones et communautés locales, et les parties prenantes :</w:t>
      </w:r>
    </w:p>
    <w:p w14:paraId="22A96942" w14:textId="19FC459C" w:rsidR="005A28E8" w:rsidRPr="00AC626C" w:rsidRDefault="003729E1" w:rsidP="00BF5020">
      <w:pPr>
        <w:pStyle w:val="Para10"/>
        <w:numPr>
          <w:ilvl w:val="0"/>
          <w:numId w:val="0"/>
        </w:numPr>
        <w:suppressLineNumbers/>
        <w:suppressAutoHyphens/>
        <w:kinsoku w:val="0"/>
        <w:overflowPunct w:val="0"/>
        <w:autoSpaceDE w:val="0"/>
        <w:autoSpaceDN w:val="0"/>
        <w:adjustRightInd w:val="0"/>
        <w:snapToGrid w:val="0"/>
        <w:ind w:left="720" w:firstLine="720"/>
        <w:rPr>
          <w:color w:val="000000"/>
          <w:kern w:val="22"/>
          <w:szCs w:val="22"/>
        </w:rPr>
      </w:pPr>
      <w:r>
        <w:rPr>
          <w:kern w:val="22"/>
          <w:szCs w:val="22"/>
        </w:rPr>
        <w:t>[a)</w:t>
      </w:r>
      <w:r>
        <w:rPr>
          <w:kern w:val="22"/>
          <w:szCs w:val="22"/>
        </w:rPr>
        <w:tab/>
        <w:t>De fournir et élaborer, selon qu'il convient, des orientations sur les moyens de répondre, notamment par le biais de l’évaluation des risques et la gestion des risques</w:t>
      </w:r>
      <w:r w:rsidR="008A59EE">
        <w:rPr>
          <w:kern w:val="22"/>
          <w:szCs w:val="22"/>
        </w:rPr>
        <w:t>,</w:t>
      </w:r>
      <w:r>
        <w:rPr>
          <w:kern w:val="22"/>
          <w:szCs w:val="22"/>
        </w:rPr>
        <w:t xml:space="preserve"> </w:t>
      </w:r>
      <w:r w:rsidR="00C370F8">
        <w:rPr>
          <w:kern w:val="22"/>
          <w:szCs w:val="22"/>
        </w:rPr>
        <w:t>aux menaces qui pèsent sur les</w:t>
      </w:r>
      <w:r>
        <w:rPr>
          <w:kern w:val="22"/>
          <w:szCs w:val="22"/>
        </w:rPr>
        <w:t xml:space="preserve"> écosystèmes vulnérables touchés par les changements climatiques et les écosystèmes ayant un potentiel d'atténuation élevé, ainsi que </w:t>
      </w:r>
      <w:r w:rsidR="00C370F8">
        <w:rPr>
          <w:kern w:val="22"/>
          <w:szCs w:val="22"/>
        </w:rPr>
        <w:t xml:space="preserve">sur </w:t>
      </w:r>
      <w:r>
        <w:rPr>
          <w:kern w:val="22"/>
          <w:szCs w:val="22"/>
        </w:rPr>
        <w:t xml:space="preserve">les communautés qui dépendent directement des fonctions et services écosystémiques, dont les peuples autochtones et communautés locales, et de </w:t>
      </w:r>
      <w:r w:rsidR="00C370F8">
        <w:rPr>
          <w:kern w:val="22"/>
          <w:szCs w:val="22"/>
        </w:rPr>
        <w:t>présenter</w:t>
      </w:r>
      <w:r>
        <w:rPr>
          <w:kern w:val="22"/>
          <w:szCs w:val="22"/>
        </w:rPr>
        <w:t xml:space="preserve"> un rapport pour examen par l’Organe subsidiaire chargé de fournir des avis scientifiques, techniques et technologiques lors d’une réunion qui précédera la seizième réunion de la Conférence des Parties ;]</w:t>
      </w:r>
    </w:p>
    <w:p w14:paraId="0BCFE962" w14:textId="33A71C18" w:rsidR="00144C2D" w:rsidRPr="00AC626C" w:rsidRDefault="005A28E8" w:rsidP="001B4CD4">
      <w:pPr>
        <w:pStyle w:val="Para10"/>
        <w:numPr>
          <w:ilvl w:val="0"/>
          <w:numId w:val="0"/>
        </w:numPr>
        <w:suppressLineNumbers/>
        <w:suppressAutoHyphens/>
        <w:kinsoku w:val="0"/>
        <w:overflowPunct w:val="0"/>
        <w:autoSpaceDE w:val="0"/>
        <w:autoSpaceDN w:val="0"/>
        <w:adjustRightInd w:val="0"/>
        <w:snapToGrid w:val="0"/>
        <w:ind w:left="720" w:firstLine="720"/>
      </w:pPr>
      <w:r>
        <w:rPr>
          <w:kern w:val="22"/>
          <w:szCs w:val="22"/>
        </w:rPr>
        <w:t>b)</w:t>
      </w:r>
      <w:r>
        <w:rPr>
          <w:kern w:val="22"/>
          <w:szCs w:val="22"/>
        </w:rPr>
        <w:tab/>
        <w:t>De faciliter le renforcement des capacités, en particulier pour les pays en développement</w:t>
      </w:r>
      <w:r>
        <w:rPr>
          <w:color w:val="000000"/>
          <w:kern w:val="22"/>
          <w:szCs w:val="22"/>
        </w:rPr>
        <w:t>,</w:t>
      </w:r>
      <w:r>
        <w:rPr>
          <w:color w:val="000000"/>
          <w:szCs w:val="22"/>
        </w:rPr>
        <w:t xml:space="preserve"> afin d'accroître le niveau de sensibilisation et de compr</w:t>
      </w:r>
      <w:r w:rsidR="00C370F8">
        <w:rPr>
          <w:color w:val="000000"/>
          <w:szCs w:val="22"/>
        </w:rPr>
        <w:t xml:space="preserve">éhension des </w:t>
      </w:r>
      <w:r>
        <w:rPr>
          <w:color w:val="000000"/>
          <w:szCs w:val="22"/>
        </w:rPr>
        <w:t xml:space="preserve">approches écosystémiques, </w:t>
      </w:r>
      <w:r w:rsidR="00C370F8">
        <w:rPr>
          <w:color w:val="000000"/>
          <w:szCs w:val="22"/>
        </w:rPr>
        <w:t>en complément du</w:t>
      </w:r>
      <w:r>
        <w:rPr>
          <w:color w:val="000000"/>
          <w:szCs w:val="22"/>
        </w:rPr>
        <w:t xml:space="preserve"> cadre stratégique à long terme pour le renforcement des capacités </w:t>
      </w:r>
      <w:r w:rsidR="00DA00C3">
        <w:rPr>
          <w:color w:val="000000"/>
          <w:szCs w:val="22"/>
        </w:rPr>
        <w:t xml:space="preserve">au-delà de </w:t>
      </w:r>
      <w:r>
        <w:rPr>
          <w:kern w:val="22"/>
          <w:szCs w:val="22"/>
        </w:rPr>
        <w:t>2020</w:t>
      </w:r>
      <w:r>
        <w:rPr>
          <w:color w:val="000000"/>
          <w:szCs w:val="22"/>
        </w:rPr>
        <w:t> </w:t>
      </w:r>
      <w:r>
        <w:rPr>
          <w:color w:val="000000"/>
          <w:kern w:val="22"/>
          <w:szCs w:val="22"/>
        </w:rPr>
        <w:t xml:space="preserve">; </w:t>
      </w:r>
    </w:p>
    <w:p w14:paraId="6B6AB2D8" w14:textId="3D4FF892" w:rsidR="005D439C" w:rsidRDefault="001B4CD4" w:rsidP="00A50B3A">
      <w:pPr>
        <w:spacing w:before="120" w:after="120"/>
        <w:ind w:left="709" w:firstLine="709"/>
      </w:pPr>
      <w:r>
        <w:t>[</w:t>
      </w:r>
      <w:r w:rsidR="00DA00C3">
        <w:t>c</w:t>
      </w:r>
      <w:r>
        <w:t>)</w:t>
      </w:r>
      <w:r>
        <w:tab/>
        <w:t xml:space="preserve">De soutenir les </w:t>
      </w:r>
      <w:r w:rsidR="00DA00C3">
        <w:t>projets</w:t>
      </w:r>
      <w:r>
        <w:t xml:space="preserve"> des peuples autochtones et communautés locales, conformément à la législation nationale, sur les systèmes communautaires de suivi et d’information sur les changements climatiques en tenant compte de l’utilisation coutumière durable de la biodiversité et des connaissances traditionnelles.]</w:t>
      </w:r>
    </w:p>
    <w:p w14:paraId="3FFFD37A" w14:textId="1C12BD18" w:rsidR="00DA00C3" w:rsidRPr="00AC626C" w:rsidRDefault="00DA00C3" w:rsidP="00A50B3A">
      <w:pPr>
        <w:spacing w:before="120" w:after="120"/>
        <w:ind w:left="709" w:firstLine="709"/>
      </w:pPr>
      <w:r>
        <w:rPr>
          <w:kern w:val="22"/>
          <w:szCs w:val="22"/>
        </w:rPr>
        <w:t>13.</w:t>
      </w:r>
      <w:r>
        <w:rPr>
          <w:kern w:val="22"/>
          <w:szCs w:val="22"/>
        </w:rPr>
        <w:tab/>
      </w:r>
      <w:r w:rsidR="00E96754" w:rsidRPr="00E96754">
        <w:rPr>
          <w:i/>
          <w:iCs/>
          <w:kern w:val="22"/>
          <w:szCs w:val="22"/>
        </w:rPr>
        <w:t>Accueille avec satisfaction</w:t>
      </w:r>
      <w:r w:rsidR="00E96754">
        <w:rPr>
          <w:kern w:val="22"/>
          <w:szCs w:val="22"/>
        </w:rPr>
        <w:t xml:space="preserve"> </w:t>
      </w:r>
      <w:r>
        <w:rPr>
          <w:kern w:val="22"/>
          <w:szCs w:val="22"/>
        </w:rPr>
        <w:t xml:space="preserve">la poursuite de la collaboration et le développement </w:t>
      </w:r>
      <w:r w:rsidR="00E96754">
        <w:rPr>
          <w:kern w:val="22"/>
          <w:szCs w:val="22"/>
        </w:rPr>
        <w:t>accru des s</w:t>
      </w:r>
      <w:r>
        <w:rPr>
          <w:kern w:val="22"/>
          <w:szCs w:val="22"/>
        </w:rPr>
        <w:t>ynergies entre la plateforme des communautés locales et des peuples autochtones de la Convention</w:t>
      </w:r>
      <w:r>
        <w:rPr>
          <w:kern w:val="22"/>
          <w:szCs w:val="22"/>
        </w:rPr>
        <w:noBreakHyphen/>
        <w:t>cadre des Nations Unies sur les changements climatiques et le Groupe de travail spécial à composition non limitée sur l’article 8 j) et les dispositions connexes ou son successeur et les autres organes compétents relevant de la Convention sur la diversité biologique ;]</w:t>
      </w:r>
    </w:p>
    <w:p w14:paraId="00BD5053" w14:textId="26339F85" w:rsidR="00B3369F" w:rsidRPr="00C9161D" w:rsidRDefault="005175B9" w:rsidP="00A50B3A">
      <w:pPr>
        <w:jc w:val="center"/>
      </w:pPr>
      <w:r>
        <w:t>__________</w:t>
      </w:r>
    </w:p>
    <w:sectPr w:rsidR="00B3369F" w:rsidRPr="00C9161D" w:rsidSect="009C200D">
      <w:headerReference w:type="even" r:id="rId20"/>
      <w:headerReference w:type="default" r:id="rId21"/>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3E58A7" w14:textId="77777777" w:rsidR="00A749CA" w:rsidRDefault="00A749CA" w:rsidP="00CF1848">
      <w:r>
        <w:separator/>
      </w:r>
    </w:p>
  </w:endnote>
  <w:endnote w:type="continuationSeparator" w:id="0">
    <w:p w14:paraId="6A2F9561" w14:textId="77777777" w:rsidR="00A749CA" w:rsidRDefault="00A749CA" w:rsidP="00CF1848">
      <w:r>
        <w:continuationSeparator/>
      </w:r>
    </w:p>
  </w:endnote>
  <w:endnote w:type="continuationNotice" w:id="1">
    <w:p w14:paraId="33BDBAA6" w14:textId="77777777" w:rsidR="00A749CA" w:rsidRDefault="00A749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notTrueType/>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D376D6" w14:textId="77777777" w:rsidR="00A749CA" w:rsidRDefault="00A749CA" w:rsidP="00CF1848">
      <w:r>
        <w:separator/>
      </w:r>
    </w:p>
  </w:footnote>
  <w:footnote w:type="continuationSeparator" w:id="0">
    <w:p w14:paraId="236630E6" w14:textId="77777777" w:rsidR="00A749CA" w:rsidRDefault="00A749CA" w:rsidP="00CF1848">
      <w:r>
        <w:continuationSeparator/>
      </w:r>
    </w:p>
  </w:footnote>
  <w:footnote w:type="continuationNotice" w:id="1">
    <w:p w14:paraId="0974C59D" w14:textId="77777777" w:rsidR="00A749CA" w:rsidRDefault="00A749CA"/>
  </w:footnote>
  <w:footnote w:id="2">
    <w:p w14:paraId="260B18EA" w14:textId="12AAA50F" w:rsidR="00AB119D" w:rsidRPr="00DA6C46" w:rsidRDefault="00AB119D" w:rsidP="00AB119D">
      <w:pPr>
        <w:pStyle w:val="FootnoteText"/>
        <w:suppressLineNumbers/>
        <w:suppressAutoHyphens/>
        <w:ind w:firstLine="0"/>
        <w:jc w:val="left"/>
        <w:rPr>
          <w:kern w:val="18"/>
          <w:szCs w:val="18"/>
        </w:rPr>
      </w:pPr>
      <w:r w:rsidRPr="00705484">
        <w:rPr>
          <w:rStyle w:val="FootnoteReference"/>
          <w:kern w:val="18"/>
          <w:sz w:val="18"/>
          <w:szCs w:val="18"/>
        </w:rPr>
        <w:footnoteRef/>
      </w:r>
      <w:r>
        <w:rPr>
          <w:kern w:val="18"/>
          <w:szCs w:val="18"/>
        </w:rPr>
        <w:t xml:space="preserve"> </w:t>
      </w:r>
      <w:r w:rsidRPr="003F4D48">
        <w:rPr>
          <w:kern w:val="18"/>
          <w:szCs w:val="18"/>
        </w:rPr>
        <w:t>https://ipbes.net/global-assessment</w:t>
      </w:r>
    </w:p>
  </w:footnote>
  <w:footnote w:id="3">
    <w:p w14:paraId="20662275" w14:textId="68F48EA2" w:rsidR="000C0F8C" w:rsidRPr="00FB7C40" w:rsidRDefault="000C0F8C" w:rsidP="00C25CDA">
      <w:pPr>
        <w:pStyle w:val="FootnoteText"/>
        <w:suppressLineNumbers/>
        <w:suppressAutoHyphens/>
        <w:ind w:firstLine="0"/>
        <w:jc w:val="left"/>
        <w:rPr>
          <w:kern w:val="18"/>
          <w:szCs w:val="18"/>
        </w:rPr>
      </w:pPr>
      <w:r>
        <w:rPr>
          <w:rStyle w:val="FootnoteReference"/>
          <w:kern w:val="18"/>
          <w:sz w:val="18"/>
          <w:szCs w:val="18"/>
        </w:rPr>
        <w:footnoteRef/>
      </w:r>
      <w:r>
        <w:rPr>
          <w:kern w:val="18"/>
          <w:szCs w:val="18"/>
        </w:rPr>
        <w:t xml:space="preserve"> </w:t>
      </w:r>
      <w:r w:rsidRPr="003F4D48">
        <w:rPr>
          <w:kern w:val="18"/>
          <w:szCs w:val="18"/>
        </w:rPr>
        <w:t>https://www.ipcc.ch/sr15/</w:t>
      </w:r>
    </w:p>
  </w:footnote>
  <w:footnote w:id="4">
    <w:p w14:paraId="0944AF3C" w14:textId="66C0D679" w:rsidR="000C0F8C" w:rsidRPr="00DA6C46" w:rsidRDefault="000C0F8C" w:rsidP="00C25CDA">
      <w:pPr>
        <w:pStyle w:val="FootnoteText"/>
        <w:suppressLineNumbers/>
        <w:suppressAutoHyphens/>
        <w:ind w:firstLine="0"/>
        <w:jc w:val="left"/>
        <w:rPr>
          <w:kern w:val="18"/>
          <w:szCs w:val="18"/>
        </w:rPr>
      </w:pPr>
      <w:r>
        <w:rPr>
          <w:rStyle w:val="FootnoteReference"/>
          <w:kern w:val="18"/>
          <w:sz w:val="18"/>
          <w:szCs w:val="18"/>
        </w:rPr>
        <w:footnoteRef/>
      </w:r>
      <w:r>
        <w:rPr>
          <w:kern w:val="18"/>
          <w:szCs w:val="18"/>
        </w:rPr>
        <w:t xml:space="preserve"> </w:t>
      </w:r>
      <w:r w:rsidRPr="003F4D48">
        <w:rPr>
          <w:kern w:val="18"/>
          <w:szCs w:val="18"/>
        </w:rPr>
        <w:t>https://www.ipcc.ch/report/srccl/</w:t>
      </w:r>
    </w:p>
  </w:footnote>
  <w:footnote w:id="5">
    <w:p w14:paraId="2B034446" w14:textId="457BE89E" w:rsidR="000C0F8C" w:rsidRPr="00DA6C46" w:rsidRDefault="000C0F8C" w:rsidP="00C25CDA">
      <w:pPr>
        <w:pStyle w:val="FootnoteText"/>
        <w:suppressLineNumbers/>
        <w:suppressAutoHyphens/>
        <w:ind w:firstLine="0"/>
        <w:jc w:val="left"/>
        <w:rPr>
          <w:kern w:val="18"/>
          <w:szCs w:val="18"/>
        </w:rPr>
      </w:pPr>
      <w:r>
        <w:rPr>
          <w:rStyle w:val="FootnoteReference"/>
          <w:kern w:val="18"/>
          <w:sz w:val="18"/>
          <w:szCs w:val="18"/>
        </w:rPr>
        <w:footnoteRef/>
      </w:r>
      <w:r>
        <w:rPr>
          <w:kern w:val="18"/>
          <w:szCs w:val="18"/>
        </w:rPr>
        <w:t xml:space="preserve"> </w:t>
      </w:r>
      <w:r w:rsidRPr="003F4D48">
        <w:rPr>
          <w:kern w:val="18"/>
          <w:szCs w:val="18"/>
        </w:rPr>
        <w:t>https://www.ipcc.ch/srocc/home/</w:t>
      </w:r>
    </w:p>
  </w:footnote>
  <w:footnote w:id="6">
    <w:p w14:paraId="71C06C35" w14:textId="4FF8C6AC" w:rsidR="000C0F8C" w:rsidRPr="00FB7C40" w:rsidRDefault="000C0F8C" w:rsidP="00C25CDA">
      <w:pPr>
        <w:pStyle w:val="FootnoteText"/>
        <w:suppressLineNumbers/>
        <w:suppressAutoHyphens/>
        <w:ind w:firstLine="0"/>
        <w:jc w:val="left"/>
        <w:rPr>
          <w:kern w:val="18"/>
          <w:szCs w:val="18"/>
        </w:rPr>
      </w:pPr>
      <w:r>
        <w:rPr>
          <w:rStyle w:val="FootnoteReference"/>
          <w:rFonts w:eastAsiaTheme="majorEastAsia"/>
          <w:kern w:val="18"/>
          <w:sz w:val="18"/>
          <w:szCs w:val="18"/>
        </w:rPr>
        <w:footnoteRef/>
      </w:r>
      <w:r>
        <w:rPr>
          <w:kern w:val="18"/>
          <w:szCs w:val="18"/>
        </w:rPr>
        <w:t xml:space="preserve"> CBD/SBSTTA/23/3.</w:t>
      </w:r>
    </w:p>
  </w:footnote>
  <w:footnote w:id="7">
    <w:p w14:paraId="41CF7B29" w14:textId="77777777" w:rsidR="007B7CEB" w:rsidRPr="00300257" w:rsidRDefault="007B7CEB" w:rsidP="007B7CEB">
      <w:pPr>
        <w:pStyle w:val="FootnoteText"/>
        <w:suppressLineNumbers/>
        <w:suppressAutoHyphens/>
        <w:ind w:firstLine="0"/>
        <w:jc w:val="left"/>
        <w:rPr>
          <w:kern w:val="18"/>
          <w:szCs w:val="18"/>
          <w:lang w:val="en-CA"/>
        </w:rPr>
      </w:pPr>
      <w:r w:rsidRPr="00300257">
        <w:rPr>
          <w:rStyle w:val="FootnoteReference"/>
          <w:kern w:val="18"/>
          <w:sz w:val="18"/>
          <w:szCs w:val="18"/>
        </w:rPr>
        <w:footnoteRef/>
      </w:r>
      <w:r w:rsidRPr="00300257">
        <w:rPr>
          <w:kern w:val="18"/>
          <w:szCs w:val="18"/>
        </w:rPr>
        <w:t xml:space="preserve"> https://www.ecologique-solidaire.gouv.fr/sites/default/files/2019.05.06_EN_Biodiversity_Charter.pdf</w:t>
      </w:r>
    </w:p>
  </w:footnote>
  <w:footnote w:id="8">
    <w:p w14:paraId="5F32AED7" w14:textId="77777777" w:rsidR="007B7CEB" w:rsidRPr="00300257" w:rsidRDefault="007B7CEB" w:rsidP="007B7CEB">
      <w:pPr>
        <w:pStyle w:val="FootnoteText"/>
        <w:suppressLineNumbers/>
        <w:suppressAutoHyphens/>
        <w:ind w:firstLine="0"/>
        <w:jc w:val="left"/>
        <w:rPr>
          <w:kern w:val="18"/>
          <w:szCs w:val="18"/>
          <w:lang w:val="en-CA"/>
        </w:rPr>
      </w:pPr>
      <w:r w:rsidRPr="00300257">
        <w:rPr>
          <w:rStyle w:val="FootnoteReference"/>
          <w:kern w:val="18"/>
          <w:sz w:val="18"/>
          <w:szCs w:val="18"/>
        </w:rPr>
        <w:footnoteRef/>
      </w:r>
      <w:r w:rsidRPr="00300257">
        <w:rPr>
          <w:kern w:val="18"/>
          <w:szCs w:val="18"/>
        </w:rPr>
        <w:t xml:space="preserve"> https://www.env.go.jp/press/files/en/803.pdf</w:t>
      </w:r>
    </w:p>
  </w:footnote>
  <w:footnote w:id="9">
    <w:p w14:paraId="40F8728D" w14:textId="3988CC87" w:rsidR="003F4D48" w:rsidRPr="00300257" w:rsidRDefault="003F4D48" w:rsidP="003F4D48">
      <w:pPr>
        <w:pStyle w:val="FootnoteText"/>
        <w:suppressLineNumbers/>
        <w:suppressAutoHyphens/>
        <w:ind w:firstLine="0"/>
        <w:jc w:val="left"/>
        <w:rPr>
          <w:kern w:val="18"/>
          <w:szCs w:val="18"/>
        </w:rPr>
      </w:pPr>
      <w:r w:rsidRPr="00300257">
        <w:rPr>
          <w:rStyle w:val="FootnoteReference"/>
          <w:kern w:val="18"/>
          <w:sz w:val="18"/>
          <w:szCs w:val="18"/>
        </w:rPr>
        <w:footnoteRef/>
      </w:r>
      <w:r w:rsidRPr="00300257">
        <w:rPr>
          <w:kern w:val="18"/>
          <w:szCs w:val="18"/>
        </w:rPr>
        <w:t xml:space="preserve"> </w:t>
      </w:r>
      <w:r w:rsidRPr="007B7CEB">
        <w:rPr>
          <w:kern w:val="18"/>
          <w:szCs w:val="18"/>
          <w:lang w:val="en-GB"/>
        </w:rPr>
        <w:t>UNEP/CBD/COP/14/INF/50</w:t>
      </w:r>
      <w:r w:rsidRPr="00300257">
        <w:rPr>
          <w:kern w:val="18"/>
          <w:szCs w:val="18"/>
          <w:lang w:val="en-GB"/>
        </w:rPr>
        <w:t>, annex II.</w:t>
      </w:r>
    </w:p>
  </w:footnote>
  <w:footnote w:id="10">
    <w:p w14:paraId="33FECC47" w14:textId="77777777" w:rsidR="000C0F8C" w:rsidRPr="00A45FDA" w:rsidRDefault="000C0F8C" w:rsidP="00C25CDA">
      <w:pPr>
        <w:pStyle w:val="FootnoteText"/>
        <w:suppressLineNumbers/>
        <w:suppressAutoHyphens/>
        <w:ind w:firstLine="0"/>
        <w:jc w:val="left"/>
        <w:rPr>
          <w:kern w:val="18"/>
          <w:szCs w:val="18"/>
        </w:rPr>
      </w:pPr>
      <w:r>
        <w:rPr>
          <w:rStyle w:val="FootnoteReference"/>
          <w:kern w:val="18"/>
          <w:sz w:val="18"/>
          <w:szCs w:val="18"/>
        </w:rPr>
        <w:footnoteRef/>
      </w:r>
      <w:r>
        <w:rPr>
          <w:kern w:val="18"/>
          <w:szCs w:val="18"/>
        </w:rPr>
        <w:t xml:space="preserve"> Nations Unies, Recueil des Traités, n° d'enregistrement I-54113.</w:t>
      </w:r>
    </w:p>
  </w:footnote>
  <w:footnote w:id="11">
    <w:p w14:paraId="4B4C6C9D" w14:textId="77777777" w:rsidR="002D4A45" w:rsidRPr="00DA6C46" w:rsidRDefault="002D4A45" w:rsidP="002D4A45">
      <w:pPr>
        <w:pStyle w:val="FootnoteText"/>
        <w:suppressLineNumbers/>
        <w:suppressAutoHyphens/>
        <w:ind w:firstLine="0"/>
        <w:jc w:val="left"/>
        <w:rPr>
          <w:kern w:val="18"/>
          <w:szCs w:val="18"/>
        </w:rPr>
      </w:pPr>
      <w:r>
        <w:rPr>
          <w:rStyle w:val="FootnoteReference"/>
          <w:kern w:val="18"/>
          <w:sz w:val="18"/>
          <w:szCs w:val="18"/>
        </w:rPr>
        <w:footnoteRef/>
      </w:r>
      <w:r>
        <w:rPr>
          <w:kern w:val="18"/>
          <w:szCs w:val="18"/>
        </w:rPr>
        <w:t xml:space="preserve"> Nations Unies, Recueil des Traités, n° d'enregistrement I-54113.</w:t>
      </w:r>
    </w:p>
  </w:footnote>
  <w:footnote w:id="12">
    <w:p w14:paraId="720D9187" w14:textId="77777777" w:rsidR="004C3F79" w:rsidRPr="00C9680E" w:rsidRDefault="004C3F79" w:rsidP="004C3F79">
      <w:pPr>
        <w:pStyle w:val="FootnoteText"/>
        <w:suppressLineNumbers/>
        <w:suppressAutoHyphens/>
        <w:ind w:firstLine="0"/>
        <w:jc w:val="left"/>
        <w:rPr>
          <w:szCs w:val="18"/>
          <w:lang w:val="en-CA"/>
        </w:rPr>
      </w:pPr>
      <w:r w:rsidRPr="00C9680E">
        <w:rPr>
          <w:rStyle w:val="FootnoteReference"/>
          <w:sz w:val="18"/>
          <w:szCs w:val="18"/>
        </w:rPr>
        <w:footnoteRef/>
      </w:r>
      <w:r w:rsidRPr="00C9680E">
        <w:rPr>
          <w:szCs w:val="18"/>
        </w:rPr>
        <w:t xml:space="preserve"> </w:t>
      </w:r>
      <w:hyperlink r:id="rId1" w:history="1">
        <w:r w:rsidRPr="00C9680E">
          <w:rPr>
            <w:rStyle w:val="Hyperlink"/>
            <w:kern w:val="18"/>
            <w:szCs w:val="18"/>
          </w:rPr>
          <w:t>https://ipbes.net/global-assessment</w:t>
        </w:r>
      </w:hyperlink>
      <w:r w:rsidRPr="00C9680E">
        <w:rPr>
          <w:rStyle w:val="Hyperlink"/>
          <w:kern w:val="18"/>
          <w:szCs w:val="18"/>
        </w:rPr>
        <w:t>.</w:t>
      </w:r>
    </w:p>
  </w:footnote>
  <w:footnote w:id="13">
    <w:p w14:paraId="474A0ACF" w14:textId="77777777" w:rsidR="00705484" w:rsidRPr="00901D0E" w:rsidRDefault="00705484" w:rsidP="00705484">
      <w:pPr>
        <w:pStyle w:val="FootnoteText"/>
        <w:suppressLineNumbers/>
        <w:suppressAutoHyphens/>
        <w:ind w:firstLine="0"/>
        <w:jc w:val="left"/>
        <w:rPr>
          <w:kern w:val="18"/>
          <w:szCs w:val="18"/>
        </w:rPr>
      </w:pPr>
      <w:r w:rsidRPr="00DA6C46">
        <w:rPr>
          <w:rStyle w:val="FootnoteReference"/>
          <w:kern w:val="18"/>
          <w:sz w:val="18"/>
          <w:szCs w:val="18"/>
        </w:rPr>
        <w:footnoteRef/>
      </w:r>
      <w:r w:rsidRPr="00DA6C46">
        <w:rPr>
          <w:kern w:val="18"/>
          <w:szCs w:val="18"/>
        </w:rPr>
        <w:t xml:space="preserve"> </w:t>
      </w:r>
      <w:hyperlink r:id="rId2" w:history="1">
        <w:r w:rsidRPr="00DA6C46">
          <w:rPr>
            <w:rStyle w:val="Hyperlink"/>
            <w:kern w:val="18"/>
            <w:szCs w:val="18"/>
          </w:rPr>
          <w:t>https://www.ipcc.ch/sr15/</w:t>
        </w:r>
      </w:hyperlink>
    </w:p>
  </w:footnote>
  <w:footnote w:id="14">
    <w:p w14:paraId="5DE8F4F9" w14:textId="77777777" w:rsidR="00705484" w:rsidRPr="00DA6C46" w:rsidRDefault="00705484" w:rsidP="00705484">
      <w:pPr>
        <w:pStyle w:val="FootnoteText"/>
        <w:suppressLineNumbers/>
        <w:suppressAutoHyphens/>
        <w:ind w:firstLine="0"/>
        <w:jc w:val="left"/>
        <w:rPr>
          <w:kern w:val="18"/>
          <w:szCs w:val="18"/>
        </w:rPr>
      </w:pPr>
      <w:r w:rsidRPr="00DA6C46">
        <w:rPr>
          <w:rStyle w:val="FootnoteReference"/>
          <w:kern w:val="18"/>
          <w:sz w:val="18"/>
          <w:szCs w:val="18"/>
        </w:rPr>
        <w:footnoteRef/>
      </w:r>
      <w:r w:rsidRPr="00DA6C46">
        <w:rPr>
          <w:kern w:val="18"/>
          <w:szCs w:val="18"/>
        </w:rPr>
        <w:t xml:space="preserve"> </w:t>
      </w:r>
      <w:hyperlink r:id="rId3" w:history="1">
        <w:r w:rsidRPr="00DA6C46">
          <w:rPr>
            <w:rStyle w:val="Hyperlink"/>
            <w:kern w:val="18"/>
            <w:szCs w:val="18"/>
          </w:rPr>
          <w:t>https://www.ipcc.ch/report/srccl/</w:t>
        </w:r>
      </w:hyperlink>
    </w:p>
  </w:footnote>
  <w:footnote w:id="15">
    <w:p w14:paraId="0675651D" w14:textId="77777777" w:rsidR="00705484" w:rsidRPr="00DA6C46" w:rsidRDefault="00705484" w:rsidP="00705484">
      <w:pPr>
        <w:pStyle w:val="FootnoteText"/>
        <w:suppressLineNumbers/>
        <w:suppressAutoHyphens/>
        <w:ind w:firstLine="0"/>
        <w:jc w:val="left"/>
        <w:rPr>
          <w:kern w:val="18"/>
          <w:szCs w:val="18"/>
        </w:rPr>
      </w:pPr>
      <w:r w:rsidRPr="00DA6C46">
        <w:rPr>
          <w:rStyle w:val="FootnoteReference"/>
          <w:kern w:val="18"/>
          <w:sz w:val="18"/>
          <w:szCs w:val="18"/>
        </w:rPr>
        <w:footnoteRef/>
      </w:r>
      <w:r w:rsidRPr="00DA6C46">
        <w:rPr>
          <w:kern w:val="18"/>
          <w:szCs w:val="18"/>
        </w:rPr>
        <w:t xml:space="preserve"> </w:t>
      </w:r>
      <w:hyperlink r:id="rId4" w:history="1">
        <w:r w:rsidRPr="00DA6C46">
          <w:rPr>
            <w:rStyle w:val="Hyperlink"/>
            <w:kern w:val="18"/>
            <w:szCs w:val="18"/>
          </w:rPr>
          <w:t>https://www.ipcc.ch/srocc/home/</w:t>
        </w:r>
      </w:hyperlink>
    </w:p>
  </w:footnote>
  <w:footnote w:id="16">
    <w:p w14:paraId="020B8AC6" w14:textId="37A8DFC6" w:rsidR="000C0F8C" w:rsidRPr="00DA6C46" w:rsidRDefault="000C0F8C" w:rsidP="00C25CDA">
      <w:pPr>
        <w:pStyle w:val="FootnoteText"/>
        <w:suppressLineNumbers/>
        <w:suppressAutoHyphens/>
        <w:ind w:firstLine="0"/>
        <w:jc w:val="left"/>
        <w:rPr>
          <w:kern w:val="18"/>
          <w:szCs w:val="18"/>
        </w:rPr>
      </w:pPr>
      <w:r>
        <w:rPr>
          <w:rStyle w:val="FootnoteReference"/>
          <w:rFonts w:eastAsiaTheme="majorEastAsia"/>
          <w:kern w:val="18"/>
          <w:sz w:val="18"/>
          <w:szCs w:val="18"/>
        </w:rPr>
        <w:footnoteRef/>
      </w:r>
      <w:r>
        <w:rPr>
          <w:kern w:val="18"/>
          <w:szCs w:val="18"/>
        </w:rPr>
        <w:t xml:space="preserve"> CBD/SBSTTA/23/3.</w:t>
      </w:r>
    </w:p>
  </w:footnote>
  <w:footnote w:id="17">
    <w:p w14:paraId="60E2AF9C" w14:textId="77777777" w:rsidR="000C0F8C" w:rsidRPr="00DA6C46" w:rsidRDefault="000C0F8C" w:rsidP="00C25CDA">
      <w:pPr>
        <w:pStyle w:val="FootnoteText"/>
        <w:suppressLineNumbers/>
        <w:suppressAutoHyphens/>
        <w:ind w:firstLine="0"/>
        <w:jc w:val="left"/>
        <w:rPr>
          <w:kern w:val="18"/>
          <w:szCs w:val="18"/>
        </w:rPr>
      </w:pPr>
      <w:r>
        <w:rPr>
          <w:rStyle w:val="FootnoteReference"/>
          <w:rFonts w:eastAsiaTheme="majorEastAsia"/>
          <w:kern w:val="18"/>
          <w:sz w:val="18"/>
          <w:szCs w:val="18"/>
        </w:rPr>
        <w:footnoteRef/>
      </w:r>
      <w:r>
        <w:rPr>
          <w:kern w:val="18"/>
          <w:szCs w:val="18"/>
        </w:rPr>
        <w:t xml:space="preserve"> Nations Unies, Recueil des Traités, n° d'enregistrement I-54113.</w:t>
      </w:r>
    </w:p>
  </w:footnote>
  <w:footnote w:id="18">
    <w:p w14:paraId="07119757" w14:textId="70A106ED" w:rsidR="000C0F8C" w:rsidRPr="00DA6C46" w:rsidRDefault="000C0F8C" w:rsidP="00C25CDA">
      <w:pPr>
        <w:pStyle w:val="FootnoteText"/>
        <w:suppressLineNumbers/>
        <w:suppressAutoHyphens/>
        <w:ind w:firstLine="0"/>
        <w:jc w:val="left"/>
        <w:rPr>
          <w:kern w:val="18"/>
          <w:szCs w:val="18"/>
        </w:rPr>
      </w:pPr>
      <w:r>
        <w:rPr>
          <w:rStyle w:val="FootnoteReference"/>
          <w:kern w:val="18"/>
          <w:sz w:val="18"/>
          <w:szCs w:val="18"/>
        </w:rPr>
        <w:footnoteRef/>
      </w:r>
      <w:r>
        <w:rPr>
          <w:kern w:val="18"/>
          <w:szCs w:val="18"/>
        </w:rPr>
        <w:t xml:space="preserve"> Adopté</w:t>
      </w:r>
      <w:r w:rsidR="002612AD">
        <w:rPr>
          <w:kern w:val="18"/>
          <w:szCs w:val="18"/>
        </w:rPr>
        <w:t>es</w:t>
      </w:r>
      <w:r>
        <w:rPr>
          <w:kern w:val="18"/>
          <w:szCs w:val="18"/>
        </w:rPr>
        <w:t xml:space="preserve"> </w:t>
      </w:r>
      <w:r w:rsidR="002612AD">
        <w:rPr>
          <w:kern w:val="18"/>
          <w:szCs w:val="18"/>
        </w:rPr>
        <w:t>dans</w:t>
      </w:r>
      <w:r>
        <w:rPr>
          <w:kern w:val="18"/>
          <w:szCs w:val="18"/>
        </w:rPr>
        <w:t xml:space="preserve"> la décision 14/5 et publié avec les renseignements complémentaires dans le Cahier technique n° 93 de la CDB, disponible à l'adresse </w:t>
      </w:r>
      <w:r w:rsidRPr="002612AD">
        <w:rPr>
          <w:kern w:val="18"/>
          <w:szCs w:val="18"/>
        </w:rPr>
        <w:t>https://www.cbd.int/doc/publications/cbd-ts-93-en.pdf</w:t>
      </w:r>
    </w:p>
  </w:footnote>
  <w:footnote w:id="19">
    <w:p w14:paraId="4918E947" w14:textId="7654C683" w:rsidR="000C0F8C" w:rsidRPr="00DA6C46" w:rsidRDefault="000C0F8C" w:rsidP="00C25CDA">
      <w:pPr>
        <w:pStyle w:val="FootnoteText"/>
        <w:suppressLineNumbers/>
        <w:suppressAutoHyphens/>
        <w:ind w:firstLine="0"/>
        <w:jc w:val="left"/>
        <w:rPr>
          <w:b/>
          <w:kern w:val="18"/>
          <w:szCs w:val="18"/>
        </w:rPr>
      </w:pPr>
      <w:r>
        <w:rPr>
          <w:rStyle w:val="FootnoteReference"/>
          <w:kern w:val="18"/>
          <w:sz w:val="18"/>
          <w:szCs w:val="18"/>
        </w:rPr>
        <w:footnoteRef/>
      </w:r>
      <w:r>
        <w:rPr>
          <w:kern w:val="18"/>
          <w:szCs w:val="18"/>
        </w:rPr>
        <w:t xml:space="preserve"> Adopté</w:t>
      </w:r>
      <w:r w:rsidR="002612AD">
        <w:rPr>
          <w:kern w:val="18"/>
          <w:szCs w:val="18"/>
        </w:rPr>
        <w:t xml:space="preserve">es dans </w:t>
      </w:r>
      <w:r>
        <w:rPr>
          <w:kern w:val="18"/>
          <w:szCs w:val="18"/>
        </w:rPr>
        <w:t xml:space="preserve">la décision 14/5 et publié avec les renseignements complémentaires dans le Cahier technique n° 93 de la CDB, disponible à l'adresse </w:t>
      </w:r>
      <w:r w:rsidRPr="002612AD">
        <w:rPr>
          <w:kern w:val="18"/>
          <w:szCs w:val="18"/>
        </w:rPr>
        <w:t>https://www.cbd.in</w:t>
      </w:r>
      <w:bookmarkStart w:id="1" w:name="_GoBack"/>
      <w:bookmarkEnd w:id="1"/>
      <w:r w:rsidRPr="002612AD">
        <w:rPr>
          <w:kern w:val="18"/>
          <w:szCs w:val="18"/>
        </w:rPr>
        <w:t>t/doc/publications/cbd-ts-93-en.pdf</w:t>
      </w:r>
    </w:p>
  </w:footnote>
  <w:footnote w:id="20">
    <w:p w14:paraId="7A66B20C" w14:textId="753F8197" w:rsidR="000C0F8C" w:rsidRPr="00901D0E" w:rsidRDefault="000C0F8C" w:rsidP="00C25CDA">
      <w:pPr>
        <w:pStyle w:val="FootnoteText"/>
        <w:suppressLineNumbers/>
        <w:suppressAutoHyphens/>
        <w:ind w:firstLine="0"/>
        <w:jc w:val="left"/>
        <w:rPr>
          <w:kern w:val="18"/>
          <w:szCs w:val="18"/>
        </w:rPr>
      </w:pPr>
      <w:r>
        <w:rPr>
          <w:rStyle w:val="FootnoteReference"/>
          <w:kern w:val="18"/>
          <w:sz w:val="18"/>
          <w:szCs w:val="18"/>
        </w:rPr>
        <w:footnoteRef/>
      </w:r>
      <w:r>
        <w:rPr>
          <w:kern w:val="18"/>
          <w:szCs w:val="18"/>
        </w:rPr>
        <w:t xml:space="preserve"> Annexe II </w:t>
      </w:r>
      <w:r w:rsidR="001A5E8F">
        <w:rPr>
          <w:kern w:val="18"/>
          <w:szCs w:val="18"/>
        </w:rPr>
        <w:t>de</w:t>
      </w:r>
      <w:r>
        <w:rPr>
          <w:kern w:val="18"/>
          <w:szCs w:val="18"/>
        </w:rPr>
        <w:t xml:space="preserve"> la résolution </w:t>
      </w:r>
      <w:r w:rsidRPr="002612AD">
        <w:rPr>
          <w:kern w:val="18"/>
          <w:szCs w:val="18"/>
        </w:rPr>
        <w:t>69/28</w:t>
      </w:r>
      <w:r w:rsidRPr="002612AD">
        <w:rPr>
          <w:kern w:val="18"/>
          <w:szCs w:val="18"/>
        </w:rPr>
        <w:t>3</w:t>
      </w:r>
      <w:r>
        <w:rPr>
          <w:kern w:val="18"/>
          <w:szCs w:val="18"/>
        </w:rPr>
        <w:t xml:space="preserve"> de l'Assemblée générale des Nations Unies.</w:t>
      </w:r>
    </w:p>
  </w:footnote>
  <w:footnote w:id="21">
    <w:p w14:paraId="3B499F77" w14:textId="1F2B7A64" w:rsidR="000C0F8C" w:rsidRPr="00901D0E" w:rsidRDefault="000C0F8C" w:rsidP="00C25CDA">
      <w:pPr>
        <w:pStyle w:val="FootnoteText"/>
        <w:suppressLineNumbers/>
        <w:suppressAutoHyphens/>
        <w:ind w:firstLine="0"/>
        <w:jc w:val="left"/>
        <w:rPr>
          <w:kern w:val="18"/>
          <w:szCs w:val="18"/>
        </w:rPr>
      </w:pPr>
      <w:r w:rsidRPr="00A349D5">
        <w:rPr>
          <w:rStyle w:val="FootnoteReference"/>
          <w:kern w:val="18"/>
          <w:sz w:val="18"/>
          <w:szCs w:val="18"/>
        </w:rPr>
        <w:footnoteRef/>
      </w:r>
      <w:r w:rsidRPr="00705484">
        <w:rPr>
          <w:kern w:val="18"/>
          <w:szCs w:val="18"/>
        </w:rPr>
        <w:t xml:space="preserve"> </w:t>
      </w:r>
      <w:r>
        <w:rPr>
          <w:kern w:val="18"/>
          <w:szCs w:val="18"/>
        </w:rPr>
        <w:t xml:space="preserve">Annexe </w:t>
      </w:r>
      <w:r w:rsidR="001A5E8F">
        <w:rPr>
          <w:kern w:val="18"/>
          <w:szCs w:val="18"/>
        </w:rPr>
        <w:t>de</w:t>
      </w:r>
      <w:r>
        <w:rPr>
          <w:kern w:val="18"/>
          <w:szCs w:val="18"/>
        </w:rPr>
        <w:t xml:space="preserve"> la résolution 71/256 de l’Assemblée générale des Nations Unies.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30FEEBB0" w14:textId="370751AF" w:rsidR="000C0F8C" w:rsidRPr="00A50B3A" w:rsidRDefault="00382A6F" w:rsidP="00534681">
        <w:pPr>
          <w:pStyle w:val="Header"/>
          <w:rPr>
            <w:noProof/>
          </w:rPr>
        </w:pPr>
        <w:r>
          <w:t>CBD/SBSTTA/REC/23/02</w:t>
        </w:r>
      </w:p>
    </w:sdtContent>
  </w:sdt>
  <w:p w14:paraId="3EA48BBD" w14:textId="77777777" w:rsidR="000C0F8C" w:rsidRPr="00A50B3A" w:rsidRDefault="000C0F8C" w:rsidP="00534681">
    <w:pPr>
      <w:pStyle w:val="Header"/>
      <w:rPr>
        <w:noProof/>
      </w:rPr>
    </w:pPr>
    <w:r>
      <w:rPr>
        <w:noProof/>
      </w:rPr>
      <w:t xml:space="preserve">Page </w:t>
    </w:r>
    <w:r>
      <w:fldChar w:fldCharType="begin"/>
    </w:r>
    <w:r>
      <w:rPr>
        <w:noProof/>
      </w:rPr>
      <w:instrText xml:space="preserve"> PAGE   \* MERGEFORMAT </w:instrText>
    </w:r>
    <w:r>
      <w:fldChar w:fldCharType="separate"/>
    </w:r>
    <w:r w:rsidR="004431DC">
      <w:rPr>
        <w:noProof/>
      </w:rPr>
      <w:t>2</w:t>
    </w:r>
    <w:r>
      <w:fldChar w:fldCharType="end"/>
    </w:r>
  </w:p>
  <w:p w14:paraId="4991B278" w14:textId="77777777" w:rsidR="000C0F8C" w:rsidRPr="00A50B3A" w:rsidRDefault="000C0F8C">
    <w:pPr>
      <w:pStyle w:val="Header"/>
      <w:rPr>
        <w:noProo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28E62C35" w14:textId="4B84BB08" w:rsidR="000C0F8C" w:rsidRPr="00A50B3A" w:rsidRDefault="00382A6F" w:rsidP="00A50B3A">
        <w:pPr>
          <w:pStyle w:val="Header"/>
          <w:keepLines/>
          <w:suppressLineNumbers/>
          <w:suppressAutoHyphens/>
          <w:jc w:val="right"/>
          <w:rPr>
            <w:noProof/>
          </w:rPr>
        </w:pPr>
        <w:r>
          <w:t>CBD/SBSTTA/REC/23/02</w:t>
        </w:r>
      </w:p>
    </w:sdtContent>
  </w:sdt>
  <w:p w14:paraId="213AB81C" w14:textId="77777777" w:rsidR="000C0F8C" w:rsidRPr="00A50B3A" w:rsidRDefault="000C0F8C" w:rsidP="00A50B3A">
    <w:pPr>
      <w:pStyle w:val="Header"/>
      <w:keepLines/>
      <w:suppressLineNumbers/>
      <w:suppressAutoHyphens/>
      <w:jc w:val="right"/>
      <w:rPr>
        <w:noProof/>
      </w:rPr>
    </w:pPr>
    <w:r>
      <w:rPr>
        <w:noProof/>
      </w:rPr>
      <w:t xml:space="preserve">Page </w:t>
    </w:r>
    <w:r>
      <w:fldChar w:fldCharType="begin"/>
    </w:r>
    <w:r>
      <w:rPr>
        <w:noProof/>
      </w:rPr>
      <w:instrText xml:space="preserve"> PAGE   \* MERGEFORMAT </w:instrText>
    </w:r>
    <w:r>
      <w:fldChar w:fldCharType="separate"/>
    </w:r>
    <w:r w:rsidR="004431DC">
      <w:rPr>
        <w:noProof/>
      </w:rPr>
      <w:t>5</w:t>
    </w:r>
    <w:r>
      <w:fldChar w:fldCharType="end"/>
    </w:r>
  </w:p>
  <w:p w14:paraId="64B5CF41" w14:textId="77777777" w:rsidR="000C0F8C" w:rsidRPr="00A50B3A" w:rsidRDefault="000C0F8C" w:rsidP="00A50B3A">
    <w:pPr>
      <w:pStyle w:val="Header"/>
      <w:keepLines/>
      <w:suppressLineNumbers/>
      <w:suppressAutoHyphens/>
      <w:jc w:val="right"/>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243685"/>
    <w:multiLevelType w:val="hybridMultilevel"/>
    <w:tmpl w:val="C86AFD18"/>
    <w:lvl w:ilvl="0" w:tplc="D25ED688">
      <w:start w:val="1"/>
      <w:numFmt w:val="decimal"/>
      <w:lvlText w:val="%1."/>
      <w:lvlJc w:val="left"/>
      <w:pPr>
        <w:ind w:left="1080" w:hanging="360"/>
      </w:pPr>
      <w:rPr>
        <w:rFonts w:hint="default"/>
        <w:i/>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3E12E32"/>
    <w:multiLevelType w:val="hybridMultilevel"/>
    <w:tmpl w:val="AB4ABA76"/>
    <w:lvl w:ilvl="0" w:tplc="D6A07B3A">
      <w:start w:val="1"/>
      <w:numFmt w:val="decimal"/>
      <w:pStyle w:val="Para1"/>
      <w:lvlText w:val="%1."/>
      <w:lvlJc w:val="left"/>
      <w:pPr>
        <w:ind w:left="720" w:hanging="360"/>
      </w:pPr>
      <w:rPr>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D16471"/>
    <w:multiLevelType w:val="hybridMultilevel"/>
    <w:tmpl w:val="7392432E"/>
    <w:lvl w:ilvl="0" w:tplc="A710B850">
      <w:start w:val="1"/>
      <w:numFmt w:val="lowerLetter"/>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6"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7"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4E0442B4"/>
    <w:multiLevelType w:val="multilevel"/>
    <w:tmpl w:val="4FF01174"/>
    <w:lvl w:ilvl="0">
      <w:start w:val="1"/>
      <w:numFmt w:val="decimal"/>
      <w:pStyle w:val="Para10"/>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4FB47C02"/>
    <w:multiLevelType w:val="hybridMultilevel"/>
    <w:tmpl w:val="852A25D0"/>
    <w:lvl w:ilvl="0" w:tplc="F36C216C">
      <w:start w:val="1"/>
      <w:numFmt w:val="decimal"/>
      <w:lvlText w:val="%1."/>
      <w:lvlJc w:val="left"/>
      <w:pPr>
        <w:ind w:left="1800" w:hanging="360"/>
      </w:pPr>
      <w:rPr>
        <w:rFonts w:hint="default"/>
        <w:i/>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1"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9"/>
  </w:num>
  <w:num w:numId="3">
    <w:abstractNumId w:val="7"/>
  </w:num>
  <w:num w:numId="4">
    <w:abstractNumId w:val="9"/>
  </w:num>
  <w:num w:numId="5">
    <w:abstractNumId w:val="8"/>
  </w:num>
  <w:num w:numId="6">
    <w:abstractNumId w:val="0"/>
  </w:num>
  <w:num w:numId="7">
    <w:abstractNumId w:val="3"/>
  </w:num>
  <w:num w:numId="8">
    <w:abstractNumId w:val="7"/>
    <w:lvlOverride w:ilvl="0">
      <w:startOverride w:val="1"/>
    </w:lvlOverride>
  </w:num>
  <w:num w:numId="9">
    <w:abstractNumId w:val="13"/>
  </w:num>
  <w:num w:numId="10">
    <w:abstractNumId w:val="7"/>
    <w:lvlOverride w:ilvl="0">
      <w:startOverride w:val="1"/>
    </w:lvlOverride>
  </w:num>
  <w:num w:numId="11">
    <w:abstractNumId w:val="7"/>
    <w:lvlOverride w:ilvl="0">
      <w:startOverride w:val="1"/>
    </w:lvlOverride>
  </w:num>
  <w:num w:numId="12">
    <w:abstractNumId w:val="7"/>
    <w:lvlOverride w:ilvl="0">
      <w:startOverride w:val="1"/>
    </w:lvlOverride>
  </w:num>
  <w:num w:numId="13">
    <w:abstractNumId w:val="7"/>
    <w:lvlOverride w:ilvl="0">
      <w:startOverride w:val="1"/>
    </w:lvlOverride>
  </w:num>
  <w:num w:numId="14">
    <w:abstractNumId w:val="12"/>
  </w:num>
  <w:num w:numId="15">
    <w:abstractNumId w:val="11"/>
  </w:num>
  <w:num w:numId="16">
    <w:abstractNumId w:val="1"/>
  </w:num>
  <w:num w:numId="17">
    <w:abstractNumId w:val="14"/>
  </w:num>
  <w:num w:numId="18">
    <w:abstractNumId w:val="15"/>
  </w:num>
  <w:num w:numId="19">
    <w:abstractNumId w:val="4"/>
  </w:num>
  <w:num w:numId="20">
    <w:abstractNumId w:val="5"/>
  </w:num>
  <w:num w:numId="21">
    <w:abstractNumId w:val="10"/>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evenAndOddHeaders/>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0614"/>
    <w:rsid w:val="00000810"/>
    <w:rsid w:val="00002AE7"/>
    <w:rsid w:val="00013096"/>
    <w:rsid w:val="00014781"/>
    <w:rsid w:val="00017211"/>
    <w:rsid w:val="00020146"/>
    <w:rsid w:val="00023043"/>
    <w:rsid w:val="00030433"/>
    <w:rsid w:val="00030D52"/>
    <w:rsid w:val="0003101B"/>
    <w:rsid w:val="0003221F"/>
    <w:rsid w:val="000336E1"/>
    <w:rsid w:val="000405C5"/>
    <w:rsid w:val="00050874"/>
    <w:rsid w:val="00055F6D"/>
    <w:rsid w:val="000563F6"/>
    <w:rsid w:val="000602A8"/>
    <w:rsid w:val="00066459"/>
    <w:rsid w:val="00067FAA"/>
    <w:rsid w:val="00075B1A"/>
    <w:rsid w:val="0008437B"/>
    <w:rsid w:val="00085205"/>
    <w:rsid w:val="00085C1F"/>
    <w:rsid w:val="000924C4"/>
    <w:rsid w:val="00093762"/>
    <w:rsid w:val="000A44CA"/>
    <w:rsid w:val="000A4A4E"/>
    <w:rsid w:val="000A74C9"/>
    <w:rsid w:val="000A76F4"/>
    <w:rsid w:val="000B078D"/>
    <w:rsid w:val="000B0A7D"/>
    <w:rsid w:val="000B0E00"/>
    <w:rsid w:val="000C0D18"/>
    <w:rsid w:val="000C0F8C"/>
    <w:rsid w:val="000C5A2B"/>
    <w:rsid w:val="000D1E30"/>
    <w:rsid w:val="000D60A7"/>
    <w:rsid w:val="000E3812"/>
    <w:rsid w:val="000E61E6"/>
    <w:rsid w:val="000E673A"/>
    <w:rsid w:val="000E7F82"/>
    <w:rsid w:val="000F1D1C"/>
    <w:rsid w:val="000F3766"/>
    <w:rsid w:val="000F4465"/>
    <w:rsid w:val="000F74F5"/>
    <w:rsid w:val="000F7A7B"/>
    <w:rsid w:val="00100A1B"/>
    <w:rsid w:val="00100DBE"/>
    <w:rsid w:val="00101A24"/>
    <w:rsid w:val="00105372"/>
    <w:rsid w:val="00105576"/>
    <w:rsid w:val="00107A0A"/>
    <w:rsid w:val="001137FC"/>
    <w:rsid w:val="001163BC"/>
    <w:rsid w:val="00117116"/>
    <w:rsid w:val="00117D0C"/>
    <w:rsid w:val="001224B2"/>
    <w:rsid w:val="00124854"/>
    <w:rsid w:val="00126B6B"/>
    <w:rsid w:val="00130A33"/>
    <w:rsid w:val="00131E7A"/>
    <w:rsid w:val="001327D8"/>
    <w:rsid w:val="00132D71"/>
    <w:rsid w:val="0013484A"/>
    <w:rsid w:val="00134F61"/>
    <w:rsid w:val="0013651F"/>
    <w:rsid w:val="00140543"/>
    <w:rsid w:val="001417E3"/>
    <w:rsid w:val="001438E0"/>
    <w:rsid w:val="00144C2D"/>
    <w:rsid w:val="0014739F"/>
    <w:rsid w:val="00154DB9"/>
    <w:rsid w:val="0015680C"/>
    <w:rsid w:val="001620A7"/>
    <w:rsid w:val="001624B5"/>
    <w:rsid w:val="001630A5"/>
    <w:rsid w:val="00164104"/>
    <w:rsid w:val="001654D3"/>
    <w:rsid w:val="00167918"/>
    <w:rsid w:val="00167AED"/>
    <w:rsid w:val="00172AF6"/>
    <w:rsid w:val="00176AC4"/>
    <w:rsid w:val="00176CEE"/>
    <w:rsid w:val="00184188"/>
    <w:rsid w:val="001850D4"/>
    <w:rsid w:val="00187F7E"/>
    <w:rsid w:val="0019184C"/>
    <w:rsid w:val="0019626A"/>
    <w:rsid w:val="001A2D26"/>
    <w:rsid w:val="001A5B69"/>
    <w:rsid w:val="001A5E8F"/>
    <w:rsid w:val="001B21D5"/>
    <w:rsid w:val="001B3A42"/>
    <w:rsid w:val="001B4CD4"/>
    <w:rsid w:val="001B7A07"/>
    <w:rsid w:val="001C0548"/>
    <w:rsid w:val="001C67AD"/>
    <w:rsid w:val="001D0630"/>
    <w:rsid w:val="001D17A9"/>
    <w:rsid w:val="001D389B"/>
    <w:rsid w:val="001D5711"/>
    <w:rsid w:val="001D69F9"/>
    <w:rsid w:val="001E61FA"/>
    <w:rsid w:val="001E63A8"/>
    <w:rsid w:val="001F0A12"/>
    <w:rsid w:val="001F1656"/>
    <w:rsid w:val="001F3AB6"/>
    <w:rsid w:val="001F5808"/>
    <w:rsid w:val="001F6EBC"/>
    <w:rsid w:val="00201112"/>
    <w:rsid w:val="00206BF4"/>
    <w:rsid w:val="00211328"/>
    <w:rsid w:val="00214470"/>
    <w:rsid w:val="00214CA4"/>
    <w:rsid w:val="00215C7A"/>
    <w:rsid w:val="00216056"/>
    <w:rsid w:val="0022152B"/>
    <w:rsid w:val="00223606"/>
    <w:rsid w:val="00224C11"/>
    <w:rsid w:val="00231C1E"/>
    <w:rsid w:val="00234E49"/>
    <w:rsid w:val="002369DC"/>
    <w:rsid w:val="00236BC9"/>
    <w:rsid w:val="00237E53"/>
    <w:rsid w:val="002412DD"/>
    <w:rsid w:val="002423A3"/>
    <w:rsid w:val="00247D75"/>
    <w:rsid w:val="00250876"/>
    <w:rsid w:val="00257826"/>
    <w:rsid w:val="002612AD"/>
    <w:rsid w:val="0027045D"/>
    <w:rsid w:val="00286B03"/>
    <w:rsid w:val="00286D42"/>
    <w:rsid w:val="00287870"/>
    <w:rsid w:val="00287886"/>
    <w:rsid w:val="0028788B"/>
    <w:rsid w:val="00292C8B"/>
    <w:rsid w:val="002A21E2"/>
    <w:rsid w:val="002A602A"/>
    <w:rsid w:val="002A7BD3"/>
    <w:rsid w:val="002B09A0"/>
    <w:rsid w:val="002B09D1"/>
    <w:rsid w:val="002B258F"/>
    <w:rsid w:val="002B7968"/>
    <w:rsid w:val="002C0B8C"/>
    <w:rsid w:val="002C6124"/>
    <w:rsid w:val="002D0E5E"/>
    <w:rsid w:val="002D1594"/>
    <w:rsid w:val="002D1C74"/>
    <w:rsid w:val="002D20F4"/>
    <w:rsid w:val="002D2D53"/>
    <w:rsid w:val="002D4A45"/>
    <w:rsid w:val="002D4D1C"/>
    <w:rsid w:val="002D4D85"/>
    <w:rsid w:val="002D4F5C"/>
    <w:rsid w:val="002E092B"/>
    <w:rsid w:val="002E0AA8"/>
    <w:rsid w:val="002E576C"/>
    <w:rsid w:val="002E607A"/>
    <w:rsid w:val="0030223C"/>
    <w:rsid w:val="0030289B"/>
    <w:rsid w:val="0030344E"/>
    <w:rsid w:val="003043AB"/>
    <w:rsid w:val="0030480A"/>
    <w:rsid w:val="003052F8"/>
    <w:rsid w:val="003102E0"/>
    <w:rsid w:val="00310FCC"/>
    <w:rsid w:val="00312C59"/>
    <w:rsid w:val="00317730"/>
    <w:rsid w:val="00322596"/>
    <w:rsid w:val="00324640"/>
    <w:rsid w:val="00330E20"/>
    <w:rsid w:val="00331004"/>
    <w:rsid w:val="00332D42"/>
    <w:rsid w:val="00342FE6"/>
    <w:rsid w:val="0034559A"/>
    <w:rsid w:val="00346252"/>
    <w:rsid w:val="00347783"/>
    <w:rsid w:val="00354E9C"/>
    <w:rsid w:val="00355E6F"/>
    <w:rsid w:val="00356188"/>
    <w:rsid w:val="00360072"/>
    <w:rsid w:val="00363194"/>
    <w:rsid w:val="0036618D"/>
    <w:rsid w:val="003729E1"/>
    <w:rsid w:val="00372F74"/>
    <w:rsid w:val="003741AC"/>
    <w:rsid w:val="00376B90"/>
    <w:rsid w:val="00380E8F"/>
    <w:rsid w:val="003815AC"/>
    <w:rsid w:val="00381A98"/>
    <w:rsid w:val="00382A6F"/>
    <w:rsid w:val="003836AC"/>
    <w:rsid w:val="003843DB"/>
    <w:rsid w:val="00384774"/>
    <w:rsid w:val="00385CA8"/>
    <w:rsid w:val="0039538B"/>
    <w:rsid w:val="003A2740"/>
    <w:rsid w:val="003A499E"/>
    <w:rsid w:val="003A6590"/>
    <w:rsid w:val="003B74CF"/>
    <w:rsid w:val="003C31FF"/>
    <w:rsid w:val="003C5220"/>
    <w:rsid w:val="003C677A"/>
    <w:rsid w:val="003C77CE"/>
    <w:rsid w:val="003C7F47"/>
    <w:rsid w:val="003D00CC"/>
    <w:rsid w:val="003D4D3F"/>
    <w:rsid w:val="003D5A49"/>
    <w:rsid w:val="003E6B6C"/>
    <w:rsid w:val="003E6BCE"/>
    <w:rsid w:val="003F1208"/>
    <w:rsid w:val="003F1E26"/>
    <w:rsid w:val="003F23D8"/>
    <w:rsid w:val="003F4975"/>
    <w:rsid w:val="003F4D48"/>
    <w:rsid w:val="003F69FA"/>
    <w:rsid w:val="003F6CCA"/>
    <w:rsid w:val="003F7224"/>
    <w:rsid w:val="0040465B"/>
    <w:rsid w:val="00405146"/>
    <w:rsid w:val="00405C6B"/>
    <w:rsid w:val="004076A9"/>
    <w:rsid w:val="00410237"/>
    <w:rsid w:val="004116FE"/>
    <w:rsid w:val="00414723"/>
    <w:rsid w:val="004165E4"/>
    <w:rsid w:val="004219B0"/>
    <w:rsid w:val="00421A4F"/>
    <w:rsid w:val="00421EA6"/>
    <w:rsid w:val="0042412C"/>
    <w:rsid w:val="00427D21"/>
    <w:rsid w:val="00432CD7"/>
    <w:rsid w:val="00433EEC"/>
    <w:rsid w:val="00441E47"/>
    <w:rsid w:val="0044235B"/>
    <w:rsid w:val="00442B82"/>
    <w:rsid w:val="004431DC"/>
    <w:rsid w:val="00445CB6"/>
    <w:rsid w:val="00451434"/>
    <w:rsid w:val="00452BCE"/>
    <w:rsid w:val="004569F2"/>
    <w:rsid w:val="004603E4"/>
    <w:rsid w:val="004618BB"/>
    <w:rsid w:val="0046406A"/>
    <w:rsid w:val="004644C2"/>
    <w:rsid w:val="0046789B"/>
    <w:rsid w:val="00467F9C"/>
    <w:rsid w:val="0047047C"/>
    <w:rsid w:val="00471003"/>
    <w:rsid w:val="00472F21"/>
    <w:rsid w:val="00472F8D"/>
    <w:rsid w:val="004778F7"/>
    <w:rsid w:val="004823D0"/>
    <w:rsid w:val="00484AE4"/>
    <w:rsid w:val="00492701"/>
    <w:rsid w:val="0049555B"/>
    <w:rsid w:val="004A3016"/>
    <w:rsid w:val="004A41E3"/>
    <w:rsid w:val="004A599A"/>
    <w:rsid w:val="004A59E9"/>
    <w:rsid w:val="004B2771"/>
    <w:rsid w:val="004B76F3"/>
    <w:rsid w:val="004C0E75"/>
    <w:rsid w:val="004C2114"/>
    <w:rsid w:val="004C2C0D"/>
    <w:rsid w:val="004C3F79"/>
    <w:rsid w:val="004C5070"/>
    <w:rsid w:val="004C56E4"/>
    <w:rsid w:val="004D1668"/>
    <w:rsid w:val="004D3E48"/>
    <w:rsid w:val="004E4474"/>
    <w:rsid w:val="004F1A1F"/>
    <w:rsid w:val="004F3E03"/>
    <w:rsid w:val="005049D7"/>
    <w:rsid w:val="005070AE"/>
    <w:rsid w:val="00507373"/>
    <w:rsid w:val="00510D9E"/>
    <w:rsid w:val="00512D97"/>
    <w:rsid w:val="00515D67"/>
    <w:rsid w:val="005161CA"/>
    <w:rsid w:val="005175B9"/>
    <w:rsid w:val="00522946"/>
    <w:rsid w:val="00522C9C"/>
    <w:rsid w:val="00522FE4"/>
    <w:rsid w:val="00523D52"/>
    <w:rsid w:val="0052450E"/>
    <w:rsid w:val="005256F9"/>
    <w:rsid w:val="00525E4C"/>
    <w:rsid w:val="0052794E"/>
    <w:rsid w:val="00530BF2"/>
    <w:rsid w:val="00534681"/>
    <w:rsid w:val="00536048"/>
    <w:rsid w:val="005507E4"/>
    <w:rsid w:val="0056007C"/>
    <w:rsid w:val="005671A7"/>
    <w:rsid w:val="00572AA9"/>
    <w:rsid w:val="005752B9"/>
    <w:rsid w:val="0057702C"/>
    <w:rsid w:val="0057704B"/>
    <w:rsid w:val="00580727"/>
    <w:rsid w:val="00583BBF"/>
    <w:rsid w:val="005915EC"/>
    <w:rsid w:val="00597A90"/>
    <w:rsid w:val="005A082B"/>
    <w:rsid w:val="005A28E8"/>
    <w:rsid w:val="005A6828"/>
    <w:rsid w:val="005A77BF"/>
    <w:rsid w:val="005B392B"/>
    <w:rsid w:val="005B5406"/>
    <w:rsid w:val="005B5A33"/>
    <w:rsid w:val="005C08BF"/>
    <w:rsid w:val="005D3B26"/>
    <w:rsid w:val="005D439C"/>
    <w:rsid w:val="005D6501"/>
    <w:rsid w:val="005E137F"/>
    <w:rsid w:val="005F4602"/>
    <w:rsid w:val="005F7E4B"/>
    <w:rsid w:val="0060654B"/>
    <w:rsid w:val="00607B4A"/>
    <w:rsid w:val="006122BA"/>
    <w:rsid w:val="00613F76"/>
    <w:rsid w:val="00616957"/>
    <w:rsid w:val="006202D5"/>
    <w:rsid w:val="0062219D"/>
    <w:rsid w:val="00622FE7"/>
    <w:rsid w:val="00623B96"/>
    <w:rsid w:val="00625393"/>
    <w:rsid w:val="0062550E"/>
    <w:rsid w:val="006307B7"/>
    <w:rsid w:val="0063440D"/>
    <w:rsid w:val="00636596"/>
    <w:rsid w:val="0063753C"/>
    <w:rsid w:val="00637644"/>
    <w:rsid w:val="00637FB6"/>
    <w:rsid w:val="00642664"/>
    <w:rsid w:val="00646ECB"/>
    <w:rsid w:val="0064780F"/>
    <w:rsid w:val="00655310"/>
    <w:rsid w:val="0065598C"/>
    <w:rsid w:val="00657939"/>
    <w:rsid w:val="00657B44"/>
    <w:rsid w:val="00664125"/>
    <w:rsid w:val="00664D41"/>
    <w:rsid w:val="00665E16"/>
    <w:rsid w:val="006670FB"/>
    <w:rsid w:val="00667F42"/>
    <w:rsid w:val="006737E6"/>
    <w:rsid w:val="00681C20"/>
    <w:rsid w:val="0069495C"/>
    <w:rsid w:val="006A0D80"/>
    <w:rsid w:val="006A1058"/>
    <w:rsid w:val="006A22D2"/>
    <w:rsid w:val="006A7DA0"/>
    <w:rsid w:val="006B172F"/>
    <w:rsid w:val="006B2290"/>
    <w:rsid w:val="006B724D"/>
    <w:rsid w:val="006C5E0E"/>
    <w:rsid w:val="006C602F"/>
    <w:rsid w:val="006D756A"/>
    <w:rsid w:val="006E007F"/>
    <w:rsid w:val="006E13C9"/>
    <w:rsid w:val="006E5497"/>
    <w:rsid w:val="006E5F8A"/>
    <w:rsid w:val="006F1D91"/>
    <w:rsid w:val="006F7FC5"/>
    <w:rsid w:val="00701CCD"/>
    <w:rsid w:val="00702232"/>
    <w:rsid w:val="0070508D"/>
    <w:rsid w:val="00705484"/>
    <w:rsid w:val="00705BE3"/>
    <w:rsid w:val="007065CA"/>
    <w:rsid w:val="00711682"/>
    <w:rsid w:val="0071635F"/>
    <w:rsid w:val="00717D88"/>
    <w:rsid w:val="007224D0"/>
    <w:rsid w:val="00725056"/>
    <w:rsid w:val="0073163E"/>
    <w:rsid w:val="007316AC"/>
    <w:rsid w:val="00732ECF"/>
    <w:rsid w:val="007347D8"/>
    <w:rsid w:val="0073617A"/>
    <w:rsid w:val="00736D63"/>
    <w:rsid w:val="00737CA5"/>
    <w:rsid w:val="00740CFC"/>
    <w:rsid w:val="0074400B"/>
    <w:rsid w:val="00751E4B"/>
    <w:rsid w:val="00755D99"/>
    <w:rsid w:val="00762038"/>
    <w:rsid w:val="00764404"/>
    <w:rsid w:val="007645DC"/>
    <w:rsid w:val="00770194"/>
    <w:rsid w:val="007736E9"/>
    <w:rsid w:val="007747C5"/>
    <w:rsid w:val="0077546B"/>
    <w:rsid w:val="00775CA9"/>
    <w:rsid w:val="00776000"/>
    <w:rsid w:val="007773EA"/>
    <w:rsid w:val="00777ABC"/>
    <w:rsid w:val="00783C1F"/>
    <w:rsid w:val="00783D7A"/>
    <w:rsid w:val="00787074"/>
    <w:rsid w:val="00791ACA"/>
    <w:rsid w:val="00792997"/>
    <w:rsid w:val="00792BE7"/>
    <w:rsid w:val="007942D3"/>
    <w:rsid w:val="00795DC3"/>
    <w:rsid w:val="0079737A"/>
    <w:rsid w:val="007A063B"/>
    <w:rsid w:val="007A08E8"/>
    <w:rsid w:val="007A3A67"/>
    <w:rsid w:val="007A5A4C"/>
    <w:rsid w:val="007B6C09"/>
    <w:rsid w:val="007B7315"/>
    <w:rsid w:val="007B7CEB"/>
    <w:rsid w:val="007C0786"/>
    <w:rsid w:val="007C1D4F"/>
    <w:rsid w:val="007C281F"/>
    <w:rsid w:val="007C2A12"/>
    <w:rsid w:val="007C693D"/>
    <w:rsid w:val="007D2421"/>
    <w:rsid w:val="007D3DF3"/>
    <w:rsid w:val="007D51AE"/>
    <w:rsid w:val="007E09DA"/>
    <w:rsid w:val="007E2066"/>
    <w:rsid w:val="007E2243"/>
    <w:rsid w:val="007E75E6"/>
    <w:rsid w:val="007F15E4"/>
    <w:rsid w:val="007F513E"/>
    <w:rsid w:val="0080030E"/>
    <w:rsid w:val="008008FE"/>
    <w:rsid w:val="008152D1"/>
    <w:rsid w:val="0081566A"/>
    <w:rsid w:val="008178B6"/>
    <w:rsid w:val="0082121C"/>
    <w:rsid w:val="00825521"/>
    <w:rsid w:val="00826853"/>
    <w:rsid w:val="00830ABB"/>
    <w:rsid w:val="00835BB5"/>
    <w:rsid w:val="00836384"/>
    <w:rsid w:val="008376F2"/>
    <w:rsid w:val="008433FA"/>
    <w:rsid w:val="00846360"/>
    <w:rsid w:val="00847F36"/>
    <w:rsid w:val="008573AD"/>
    <w:rsid w:val="00857408"/>
    <w:rsid w:val="00862C2E"/>
    <w:rsid w:val="00863AA1"/>
    <w:rsid w:val="00863B0B"/>
    <w:rsid w:val="00865B74"/>
    <w:rsid w:val="00866C10"/>
    <w:rsid w:val="008670A0"/>
    <w:rsid w:val="0087106C"/>
    <w:rsid w:val="008760B2"/>
    <w:rsid w:val="00880196"/>
    <w:rsid w:val="0088296C"/>
    <w:rsid w:val="008903B2"/>
    <w:rsid w:val="00893B41"/>
    <w:rsid w:val="00895761"/>
    <w:rsid w:val="008A4B9C"/>
    <w:rsid w:val="008A59EE"/>
    <w:rsid w:val="008A68A5"/>
    <w:rsid w:val="008B022B"/>
    <w:rsid w:val="008B245A"/>
    <w:rsid w:val="008B25EA"/>
    <w:rsid w:val="008B4246"/>
    <w:rsid w:val="008B6167"/>
    <w:rsid w:val="008C133F"/>
    <w:rsid w:val="008C1BD6"/>
    <w:rsid w:val="008C2A22"/>
    <w:rsid w:val="008C49F6"/>
    <w:rsid w:val="008C599B"/>
    <w:rsid w:val="008C5A88"/>
    <w:rsid w:val="008C7297"/>
    <w:rsid w:val="008C7C66"/>
    <w:rsid w:val="008D29DD"/>
    <w:rsid w:val="008E0159"/>
    <w:rsid w:val="008E0F2D"/>
    <w:rsid w:val="008E139B"/>
    <w:rsid w:val="008E356C"/>
    <w:rsid w:val="008E4799"/>
    <w:rsid w:val="008E566A"/>
    <w:rsid w:val="008E64D1"/>
    <w:rsid w:val="008F124B"/>
    <w:rsid w:val="008F464E"/>
    <w:rsid w:val="008F6A4C"/>
    <w:rsid w:val="0090175E"/>
    <w:rsid w:val="00901D0E"/>
    <w:rsid w:val="00910CA8"/>
    <w:rsid w:val="0091612D"/>
    <w:rsid w:val="00923A74"/>
    <w:rsid w:val="00925C21"/>
    <w:rsid w:val="00930379"/>
    <w:rsid w:val="00930BA1"/>
    <w:rsid w:val="0093169E"/>
    <w:rsid w:val="009330E9"/>
    <w:rsid w:val="00935230"/>
    <w:rsid w:val="009370C1"/>
    <w:rsid w:val="00937137"/>
    <w:rsid w:val="0094159F"/>
    <w:rsid w:val="0094332F"/>
    <w:rsid w:val="00945095"/>
    <w:rsid w:val="009505C9"/>
    <w:rsid w:val="0095215A"/>
    <w:rsid w:val="009578B7"/>
    <w:rsid w:val="00962440"/>
    <w:rsid w:val="0097097E"/>
    <w:rsid w:val="00971DEE"/>
    <w:rsid w:val="009745BC"/>
    <w:rsid w:val="00974CD0"/>
    <w:rsid w:val="00976ACA"/>
    <w:rsid w:val="00980693"/>
    <w:rsid w:val="0098148B"/>
    <w:rsid w:val="00981905"/>
    <w:rsid w:val="00982322"/>
    <w:rsid w:val="00985EFB"/>
    <w:rsid w:val="0098678E"/>
    <w:rsid w:val="0098762D"/>
    <w:rsid w:val="00993202"/>
    <w:rsid w:val="00994D58"/>
    <w:rsid w:val="0099739E"/>
    <w:rsid w:val="009A1714"/>
    <w:rsid w:val="009A2AFF"/>
    <w:rsid w:val="009A3E77"/>
    <w:rsid w:val="009A42C0"/>
    <w:rsid w:val="009A7AF2"/>
    <w:rsid w:val="009B1BE2"/>
    <w:rsid w:val="009B36D5"/>
    <w:rsid w:val="009B41A1"/>
    <w:rsid w:val="009B5F50"/>
    <w:rsid w:val="009B6BF2"/>
    <w:rsid w:val="009B7C20"/>
    <w:rsid w:val="009C0F25"/>
    <w:rsid w:val="009C1417"/>
    <w:rsid w:val="009C200D"/>
    <w:rsid w:val="009C2758"/>
    <w:rsid w:val="009C2C47"/>
    <w:rsid w:val="009D0236"/>
    <w:rsid w:val="009D03A4"/>
    <w:rsid w:val="009D0759"/>
    <w:rsid w:val="009D09FE"/>
    <w:rsid w:val="009D243B"/>
    <w:rsid w:val="009D32E3"/>
    <w:rsid w:val="009E044A"/>
    <w:rsid w:val="009E0834"/>
    <w:rsid w:val="009E0CD0"/>
    <w:rsid w:val="009E5267"/>
    <w:rsid w:val="009F6F0B"/>
    <w:rsid w:val="009F7E93"/>
    <w:rsid w:val="00A03A48"/>
    <w:rsid w:val="00A07A2A"/>
    <w:rsid w:val="00A11002"/>
    <w:rsid w:val="00A20C0F"/>
    <w:rsid w:val="00A212FC"/>
    <w:rsid w:val="00A2585E"/>
    <w:rsid w:val="00A349D5"/>
    <w:rsid w:val="00A440AF"/>
    <w:rsid w:val="00A4471F"/>
    <w:rsid w:val="00A45FDA"/>
    <w:rsid w:val="00A47B14"/>
    <w:rsid w:val="00A50B3A"/>
    <w:rsid w:val="00A51449"/>
    <w:rsid w:val="00A53BE3"/>
    <w:rsid w:val="00A60712"/>
    <w:rsid w:val="00A7214F"/>
    <w:rsid w:val="00A749CA"/>
    <w:rsid w:val="00A80B29"/>
    <w:rsid w:val="00A81908"/>
    <w:rsid w:val="00A86A65"/>
    <w:rsid w:val="00A92E6B"/>
    <w:rsid w:val="00A9526D"/>
    <w:rsid w:val="00A9707F"/>
    <w:rsid w:val="00AA15CE"/>
    <w:rsid w:val="00AA49EF"/>
    <w:rsid w:val="00AA4AA7"/>
    <w:rsid w:val="00AA4DD7"/>
    <w:rsid w:val="00AB0B14"/>
    <w:rsid w:val="00AB119D"/>
    <w:rsid w:val="00AB38C3"/>
    <w:rsid w:val="00AC1D5A"/>
    <w:rsid w:val="00AC626C"/>
    <w:rsid w:val="00AD1D1D"/>
    <w:rsid w:val="00AD4406"/>
    <w:rsid w:val="00AE2098"/>
    <w:rsid w:val="00AE405B"/>
    <w:rsid w:val="00AE614B"/>
    <w:rsid w:val="00AF2C67"/>
    <w:rsid w:val="00AF4375"/>
    <w:rsid w:val="00B0339B"/>
    <w:rsid w:val="00B0486B"/>
    <w:rsid w:val="00B07663"/>
    <w:rsid w:val="00B0793D"/>
    <w:rsid w:val="00B1234B"/>
    <w:rsid w:val="00B13842"/>
    <w:rsid w:val="00B14E83"/>
    <w:rsid w:val="00B15BD1"/>
    <w:rsid w:val="00B171B8"/>
    <w:rsid w:val="00B26503"/>
    <w:rsid w:val="00B3369F"/>
    <w:rsid w:val="00B337FE"/>
    <w:rsid w:val="00B35DCF"/>
    <w:rsid w:val="00B36CFB"/>
    <w:rsid w:val="00B36D78"/>
    <w:rsid w:val="00B414E6"/>
    <w:rsid w:val="00B41891"/>
    <w:rsid w:val="00B44C3A"/>
    <w:rsid w:val="00B46459"/>
    <w:rsid w:val="00B47431"/>
    <w:rsid w:val="00B5133C"/>
    <w:rsid w:val="00B51A67"/>
    <w:rsid w:val="00B53010"/>
    <w:rsid w:val="00B5418C"/>
    <w:rsid w:val="00B554A6"/>
    <w:rsid w:val="00B62B89"/>
    <w:rsid w:val="00B636AF"/>
    <w:rsid w:val="00B64B5A"/>
    <w:rsid w:val="00B67C54"/>
    <w:rsid w:val="00B7466B"/>
    <w:rsid w:val="00B74B3E"/>
    <w:rsid w:val="00B85B0B"/>
    <w:rsid w:val="00B8693A"/>
    <w:rsid w:val="00B90E91"/>
    <w:rsid w:val="00B91074"/>
    <w:rsid w:val="00B92A56"/>
    <w:rsid w:val="00B95C3E"/>
    <w:rsid w:val="00B962C1"/>
    <w:rsid w:val="00BA0D1F"/>
    <w:rsid w:val="00BA3A1D"/>
    <w:rsid w:val="00BA42D9"/>
    <w:rsid w:val="00BB080C"/>
    <w:rsid w:val="00BB24D4"/>
    <w:rsid w:val="00BB5093"/>
    <w:rsid w:val="00BB6DF2"/>
    <w:rsid w:val="00BC45AF"/>
    <w:rsid w:val="00BC5120"/>
    <w:rsid w:val="00BC530B"/>
    <w:rsid w:val="00BC76B1"/>
    <w:rsid w:val="00BD03CE"/>
    <w:rsid w:val="00BD1AC8"/>
    <w:rsid w:val="00BD3E1E"/>
    <w:rsid w:val="00BD7587"/>
    <w:rsid w:val="00BE1E3E"/>
    <w:rsid w:val="00BE3DB4"/>
    <w:rsid w:val="00BE7607"/>
    <w:rsid w:val="00BF254A"/>
    <w:rsid w:val="00BF30EC"/>
    <w:rsid w:val="00BF5020"/>
    <w:rsid w:val="00BF6BAD"/>
    <w:rsid w:val="00C0007A"/>
    <w:rsid w:val="00C07C07"/>
    <w:rsid w:val="00C111F1"/>
    <w:rsid w:val="00C14E6D"/>
    <w:rsid w:val="00C156A8"/>
    <w:rsid w:val="00C20258"/>
    <w:rsid w:val="00C222F7"/>
    <w:rsid w:val="00C23EBB"/>
    <w:rsid w:val="00C25596"/>
    <w:rsid w:val="00C25CDA"/>
    <w:rsid w:val="00C30D74"/>
    <w:rsid w:val="00C366F7"/>
    <w:rsid w:val="00C367AB"/>
    <w:rsid w:val="00C370F8"/>
    <w:rsid w:val="00C40D6D"/>
    <w:rsid w:val="00C41BF4"/>
    <w:rsid w:val="00C529F6"/>
    <w:rsid w:val="00C6628B"/>
    <w:rsid w:val="00C74F39"/>
    <w:rsid w:val="00C7633E"/>
    <w:rsid w:val="00C7650F"/>
    <w:rsid w:val="00C8347D"/>
    <w:rsid w:val="00C855A5"/>
    <w:rsid w:val="00C877A6"/>
    <w:rsid w:val="00C914E9"/>
    <w:rsid w:val="00C9161D"/>
    <w:rsid w:val="00C92297"/>
    <w:rsid w:val="00C92DF3"/>
    <w:rsid w:val="00C93140"/>
    <w:rsid w:val="00C932F6"/>
    <w:rsid w:val="00C958D8"/>
    <w:rsid w:val="00CA4BBF"/>
    <w:rsid w:val="00CA77E7"/>
    <w:rsid w:val="00CB709E"/>
    <w:rsid w:val="00CC0465"/>
    <w:rsid w:val="00CC16F7"/>
    <w:rsid w:val="00CC1801"/>
    <w:rsid w:val="00CC4F41"/>
    <w:rsid w:val="00CC5B62"/>
    <w:rsid w:val="00CD0D10"/>
    <w:rsid w:val="00CD2A59"/>
    <w:rsid w:val="00CD6939"/>
    <w:rsid w:val="00CD77FE"/>
    <w:rsid w:val="00CE18F1"/>
    <w:rsid w:val="00CE563D"/>
    <w:rsid w:val="00CE77E3"/>
    <w:rsid w:val="00CF1848"/>
    <w:rsid w:val="00CF27C6"/>
    <w:rsid w:val="00CF3971"/>
    <w:rsid w:val="00CF4D1D"/>
    <w:rsid w:val="00CF4F6F"/>
    <w:rsid w:val="00CF5687"/>
    <w:rsid w:val="00CF6861"/>
    <w:rsid w:val="00CF73D8"/>
    <w:rsid w:val="00D065A3"/>
    <w:rsid w:val="00D069DC"/>
    <w:rsid w:val="00D12044"/>
    <w:rsid w:val="00D14AF3"/>
    <w:rsid w:val="00D15FB5"/>
    <w:rsid w:val="00D21029"/>
    <w:rsid w:val="00D25367"/>
    <w:rsid w:val="00D348B2"/>
    <w:rsid w:val="00D42054"/>
    <w:rsid w:val="00D42952"/>
    <w:rsid w:val="00D47DE2"/>
    <w:rsid w:val="00D50474"/>
    <w:rsid w:val="00D538AE"/>
    <w:rsid w:val="00D566C8"/>
    <w:rsid w:val="00D57392"/>
    <w:rsid w:val="00D62C98"/>
    <w:rsid w:val="00D64FF1"/>
    <w:rsid w:val="00D65197"/>
    <w:rsid w:val="00D65A84"/>
    <w:rsid w:val="00D65F8E"/>
    <w:rsid w:val="00D67C28"/>
    <w:rsid w:val="00D726C9"/>
    <w:rsid w:val="00D730A3"/>
    <w:rsid w:val="00D76A18"/>
    <w:rsid w:val="00D8245F"/>
    <w:rsid w:val="00D85E4F"/>
    <w:rsid w:val="00D86E48"/>
    <w:rsid w:val="00D95536"/>
    <w:rsid w:val="00D97BAA"/>
    <w:rsid w:val="00DA00C3"/>
    <w:rsid w:val="00DA20C0"/>
    <w:rsid w:val="00DA3C6F"/>
    <w:rsid w:val="00DA4B3B"/>
    <w:rsid w:val="00DA6C1B"/>
    <w:rsid w:val="00DA6C46"/>
    <w:rsid w:val="00DB33E8"/>
    <w:rsid w:val="00DB4B1E"/>
    <w:rsid w:val="00DC4962"/>
    <w:rsid w:val="00DC5ECF"/>
    <w:rsid w:val="00DC664A"/>
    <w:rsid w:val="00DD118C"/>
    <w:rsid w:val="00DD32F9"/>
    <w:rsid w:val="00DD73CE"/>
    <w:rsid w:val="00DE1F1F"/>
    <w:rsid w:val="00DE22D8"/>
    <w:rsid w:val="00DE440C"/>
    <w:rsid w:val="00DE4489"/>
    <w:rsid w:val="00DE4D78"/>
    <w:rsid w:val="00DE6525"/>
    <w:rsid w:val="00DF232A"/>
    <w:rsid w:val="00DF2C5C"/>
    <w:rsid w:val="00DF6EA4"/>
    <w:rsid w:val="00E00272"/>
    <w:rsid w:val="00E04F1D"/>
    <w:rsid w:val="00E05130"/>
    <w:rsid w:val="00E055C9"/>
    <w:rsid w:val="00E0755D"/>
    <w:rsid w:val="00E11E45"/>
    <w:rsid w:val="00E14EC6"/>
    <w:rsid w:val="00E15FD7"/>
    <w:rsid w:val="00E25AB2"/>
    <w:rsid w:val="00E262BC"/>
    <w:rsid w:val="00E347B0"/>
    <w:rsid w:val="00E35CDE"/>
    <w:rsid w:val="00E40C77"/>
    <w:rsid w:val="00E418C1"/>
    <w:rsid w:val="00E47EF6"/>
    <w:rsid w:val="00E52C6D"/>
    <w:rsid w:val="00E60BD7"/>
    <w:rsid w:val="00E63EC0"/>
    <w:rsid w:val="00E661A3"/>
    <w:rsid w:val="00E66235"/>
    <w:rsid w:val="00E71A85"/>
    <w:rsid w:val="00E7669E"/>
    <w:rsid w:val="00E80C5D"/>
    <w:rsid w:val="00E8283E"/>
    <w:rsid w:val="00E83C24"/>
    <w:rsid w:val="00E9318D"/>
    <w:rsid w:val="00E9477C"/>
    <w:rsid w:val="00E96754"/>
    <w:rsid w:val="00EA5E23"/>
    <w:rsid w:val="00EA681B"/>
    <w:rsid w:val="00EB07A0"/>
    <w:rsid w:val="00EB2063"/>
    <w:rsid w:val="00EB3ACA"/>
    <w:rsid w:val="00EB40DD"/>
    <w:rsid w:val="00EB4CCD"/>
    <w:rsid w:val="00EB4F35"/>
    <w:rsid w:val="00EC127D"/>
    <w:rsid w:val="00EC489C"/>
    <w:rsid w:val="00EC7A70"/>
    <w:rsid w:val="00EC7AFF"/>
    <w:rsid w:val="00ED0736"/>
    <w:rsid w:val="00ED120F"/>
    <w:rsid w:val="00ED1F7B"/>
    <w:rsid w:val="00ED23AA"/>
    <w:rsid w:val="00EE0D75"/>
    <w:rsid w:val="00EE2388"/>
    <w:rsid w:val="00EE3123"/>
    <w:rsid w:val="00EE7DED"/>
    <w:rsid w:val="00EE7FD6"/>
    <w:rsid w:val="00EF1044"/>
    <w:rsid w:val="00EF483D"/>
    <w:rsid w:val="00F1109F"/>
    <w:rsid w:val="00F16649"/>
    <w:rsid w:val="00F17DEF"/>
    <w:rsid w:val="00F20281"/>
    <w:rsid w:val="00F27C98"/>
    <w:rsid w:val="00F32364"/>
    <w:rsid w:val="00F32C54"/>
    <w:rsid w:val="00F32E81"/>
    <w:rsid w:val="00F34F7D"/>
    <w:rsid w:val="00F52CCD"/>
    <w:rsid w:val="00F6067B"/>
    <w:rsid w:val="00F62F2D"/>
    <w:rsid w:val="00F67078"/>
    <w:rsid w:val="00F674C6"/>
    <w:rsid w:val="00F77B40"/>
    <w:rsid w:val="00F81C26"/>
    <w:rsid w:val="00F904B8"/>
    <w:rsid w:val="00F922DA"/>
    <w:rsid w:val="00F9265E"/>
    <w:rsid w:val="00F92F7E"/>
    <w:rsid w:val="00F933E9"/>
    <w:rsid w:val="00F94774"/>
    <w:rsid w:val="00FA628B"/>
    <w:rsid w:val="00FA6C4E"/>
    <w:rsid w:val="00FA7CA7"/>
    <w:rsid w:val="00FB0BBC"/>
    <w:rsid w:val="00FB189C"/>
    <w:rsid w:val="00FB18CB"/>
    <w:rsid w:val="00FB54F6"/>
    <w:rsid w:val="00FB65BA"/>
    <w:rsid w:val="00FB73EA"/>
    <w:rsid w:val="00FB7C40"/>
    <w:rsid w:val="00FC4B21"/>
    <w:rsid w:val="00FC53DB"/>
    <w:rsid w:val="00FC7A5D"/>
    <w:rsid w:val="00FD4441"/>
    <w:rsid w:val="00FD7120"/>
    <w:rsid w:val="00FE4F59"/>
    <w:rsid w:val="00FE5811"/>
    <w:rsid w:val="00FF3AAB"/>
    <w:rsid w:val="00FF4858"/>
    <w:rsid w:val="00FF5FDB"/>
    <w:rsid w:val="00FF6D3F"/>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567A0F0"/>
  <w15:docId w15:val="{4EBD22FD-DAE8-4327-B8BA-9538234E0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9DA"/>
    <w:pPr>
      <w:jc w:val="both"/>
    </w:pPr>
    <w:rPr>
      <w:rFonts w:ascii="Times New Roman" w:eastAsia="Times New Roman" w:hAnsi="Times New Roman" w:cs="Times New Roman"/>
      <w:sz w:val="22"/>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rsid w:val="007E09DA"/>
    <w:rPr>
      <w:rFonts w:ascii="Times New Roman" w:eastAsia="Times New Roman" w:hAnsi="Times New Roman" w:cs="Times New Roman"/>
      <w:sz w:val="18"/>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rPr>
  </w:style>
  <w:style w:type="character" w:customStyle="1" w:styleId="Heading7Char">
    <w:name w:val="Heading 7 Char"/>
    <w:basedOn w:val="DefaultParagraphFont"/>
    <w:link w:val="Heading7"/>
    <w:rsid w:val="007E09DA"/>
    <w:rPr>
      <w:rFonts w:ascii="Univers" w:eastAsia="Times New Roman" w:hAnsi="Univers" w:cs="Times New Roman"/>
      <w:b/>
      <w:sz w:val="28"/>
    </w:rPr>
  </w:style>
  <w:style w:type="character" w:customStyle="1" w:styleId="Heading8Char">
    <w:name w:val="Heading 8 Char"/>
    <w:basedOn w:val="DefaultParagraphFont"/>
    <w:link w:val="Heading8"/>
    <w:rsid w:val="007E09DA"/>
    <w:rPr>
      <w:rFonts w:ascii="Univers" w:eastAsia="Times New Roman" w:hAnsi="Univers" w:cs="Times New Roman"/>
      <w:b/>
      <w:sz w:val="32"/>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rPr>
  </w:style>
  <w:style w:type="character" w:styleId="PageNumber">
    <w:name w:val="page number"/>
    <w:rsid w:val="007E09DA"/>
    <w:rPr>
      <w:rFonts w:ascii="Times New Roman" w:hAnsi="Times New Roman"/>
      <w:sz w:val="22"/>
    </w:rPr>
  </w:style>
  <w:style w:type="paragraph" w:customStyle="1" w:styleId="Para10">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0"/>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0"/>
    <w:locked/>
    <w:rsid w:val="00427D21"/>
    <w:rPr>
      <w:rFonts w:ascii="Times New Roman" w:eastAsia="Times New Roman" w:hAnsi="Times New Roman" w:cs="Times New Roman"/>
      <w:snapToGrid w:val="0"/>
      <w:sz w:val="22"/>
      <w:szCs w:val="18"/>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Para1">
    <w:name w:val="Para 1"/>
    <w:basedOn w:val="BodyText"/>
    <w:rsid w:val="005A28E8"/>
    <w:pPr>
      <w:numPr>
        <w:numId w:val="19"/>
      </w:numPr>
    </w:pPr>
    <w:rPr>
      <w:rFonts w:eastAsia="MS Mincho" w:cs="Angsana New"/>
      <w:bCs/>
      <w:iCs w:val="0"/>
      <w:szCs w:val="22"/>
    </w:rPr>
  </w:style>
  <w:style w:type="paragraph" w:customStyle="1" w:styleId="BVIfnrChar">
    <w:name w:val="BVI fnr Char"/>
    <w:aliases w:val="BVI fnr Car Car Char,BVI fnr Car Char,BVI fnr Car Car Car Car Char Char,BVI fnr Car Car Car Car Char,BVI fnr Car Car Car Char,BVI fnr Car Car Car Car Car Char, BVI fnr Car Car Car Car Car Char, BVI fnr Car Car Car Car Char Char"/>
    <w:basedOn w:val="Normal"/>
    <w:link w:val="FootnoteReference"/>
    <w:uiPriority w:val="99"/>
    <w:rsid w:val="005671A7"/>
    <w:pPr>
      <w:spacing w:after="160" w:line="240" w:lineRule="exact"/>
      <w:jc w:val="left"/>
    </w:pPr>
    <w:rPr>
      <w:rFonts w:asciiTheme="minorHAnsi" w:eastAsiaTheme="minorEastAsia" w:hAnsiTheme="minorHAnsi" w:cstheme="minorBidi"/>
      <w:vertAlign w:val="superscript"/>
    </w:rPr>
  </w:style>
  <w:style w:type="paragraph" w:styleId="CommentSubject">
    <w:name w:val="annotation subject"/>
    <w:basedOn w:val="CommentText"/>
    <w:next w:val="CommentText"/>
    <w:link w:val="CommentSubjectChar"/>
    <w:uiPriority w:val="99"/>
    <w:semiHidden/>
    <w:unhideWhenUsed/>
    <w:rsid w:val="009D0236"/>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9D0236"/>
    <w:rPr>
      <w:rFonts w:ascii="Times New Roman" w:eastAsia="Times New Roman" w:hAnsi="Times New Roman" w:cs="Times New Roman"/>
      <w:b/>
      <w:bCs/>
      <w:sz w:val="20"/>
      <w:szCs w:val="20"/>
    </w:rPr>
  </w:style>
  <w:style w:type="paragraph" w:styleId="Revision">
    <w:name w:val="Revision"/>
    <w:hidden/>
    <w:uiPriority w:val="99"/>
    <w:semiHidden/>
    <w:rsid w:val="00FF3AAB"/>
    <w:rPr>
      <w:rFonts w:ascii="Times New Roman" w:eastAsia="Times New Roman" w:hAnsi="Times New Roman" w:cs="Times New Roman"/>
      <w:sz w:val="22"/>
    </w:rPr>
  </w:style>
  <w:style w:type="character" w:customStyle="1" w:styleId="UnresolvedMention1">
    <w:name w:val="Unresolved Mention1"/>
    <w:basedOn w:val="DefaultParagraphFont"/>
    <w:uiPriority w:val="99"/>
    <w:rsid w:val="008C59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3454949">
      <w:bodyDiv w:val="1"/>
      <w:marLeft w:val="0"/>
      <w:marRight w:val="0"/>
      <w:marTop w:val="0"/>
      <w:marBottom w:val="0"/>
      <w:divBdr>
        <w:top w:val="none" w:sz="0" w:space="0" w:color="auto"/>
        <w:left w:val="none" w:sz="0" w:space="0" w:color="auto"/>
        <w:bottom w:val="none" w:sz="0" w:space="0" w:color="auto"/>
        <w:right w:val="none" w:sz="0" w:space="0" w:color="auto"/>
      </w:divBdr>
    </w:div>
    <w:div w:id="7037954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https://www.cbd.int/doc/decisions/cop-13/cop-13-dec-04-fr.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https://www.cbd.int/doc/decisions/cop-10/cop-10-dec-33-fr.pdf" TargetMode="External"/><Relationship Id="rId2" Type="http://schemas.openxmlformats.org/officeDocument/2006/relationships/customXml" Target="../customXml/item2.xml"/><Relationship Id="rId16" Type="http://schemas.openxmlformats.org/officeDocument/2006/relationships/hyperlink" Target="https://www.cbd.int/doc/decisions/cop-09/cop-09-dec-16-fr.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cbd.int/doc/decisions/cop-07/cop-07-dec-15-fr.pdf"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yperlink" Target="https://www.cbd.int/doc/decisions/cop-14/cop-14-dec-05-fr.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ipcc.ch/report/srccl/" TargetMode="External"/><Relationship Id="rId2" Type="http://schemas.openxmlformats.org/officeDocument/2006/relationships/hyperlink" Target="https://www.ipcc.ch/sr15/" TargetMode="External"/><Relationship Id="rId1" Type="http://schemas.openxmlformats.org/officeDocument/2006/relationships/hyperlink" Target="https://ipbes.net/global-assessment" TargetMode="External"/><Relationship Id="rId4" Type="http://schemas.openxmlformats.org/officeDocument/2006/relationships/hyperlink" Target="https://www.ipcc.ch/srocc/hom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
      <w:docPartPr>
        <w:name w:val="C444DEE40D7C456B82AF1A09CD132ABF"/>
        <w:category>
          <w:name w:val="General"/>
          <w:gallery w:val="placeholder"/>
        </w:category>
        <w:types>
          <w:type w:val="bbPlcHdr"/>
        </w:types>
        <w:behaviors>
          <w:behavior w:val="content"/>
        </w:behaviors>
        <w:guid w:val="{20618E59-89A7-48DE-AEDB-A201645FEDD4}"/>
      </w:docPartPr>
      <w:docPartBody>
        <w:p w:rsidR="00C82269" w:rsidRDefault="00CE6602" w:rsidP="00CE6602">
          <w:pPr>
            <w:pStyle w:val="C444DEE40D7C456B82AF1A09CD132ABF"/>
          </w:pPr>
          <w:r>
            <w:rPr>
              <w:rStyle w:val="PlaceholderText"/>
            </w:rPr>
            <w:t>Click here to enter text.</w:t>
          </w:r>
        </w:p>
      </w:docPartBody>
    </w:docPart>
    <w:docPart>
      <w:docPartPr>
        <w:name w:val="614E89801A8B45F09D13C3BBA1795C03"/>
        <w:category>
          <w:name w:val="General"/>
          <w:gallery w:val="placeholder"/>
        </w:category>
        <w:types>
          <w:type w:val="bbPlcHdr"/>
        </w:types>
        <w:behaviors>
          <w:behavior w:val="content"/>
        </w:behaviors>
        <w:guid w:val="{268BF0D6-8A0A-4425-8C74-85C54479A0C3}"/>
      </w:docPartPr>
      <w:docPartBody>
        <w:p w:rsidR="00A32D8E" w:rsidRDefault="004167A8" w:rsidP="004167A8">
          <w:pPr>
            <w:pStyle w:val="614E89801A8B45F09D13C3BBA1795C03"/>
          </w:pPr>
          <w:r w:rsidRPr="00B903A7">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notTrueType/>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160DAC"/>
    <w:rsid w:val="002424F7"/>
    <w:rsid w:val="002A1AF8"/>
    <w:rsid w:val="003B0BDA"/>
    <w:rsid w:val="003D1622"/>
    <w:rsid w:val="00410F52"/>
    <w:rsid w:val="004167A8"/>
    <w:rsid w:val="0048302B"/>
    <w:rsid w:val="00500A2B"/>
    <w:rsid w:val="0058288D"/>
    <w:rsid w:val="00652B13"/>
    <w:rsid w:val="00673F5D"/>
    <w:rsid w:val="006801B3"/>
    <w:rsid w:val="00720F63"/>
    <w:rsid w:val="007233A0"/>
    <w:rsid w:val="007F1B76"/>
    <w:rsid w:val="00810A55"/>
    <w:rsid w:val="00892FFC"/>
    <w:rsid w:val="008C6619"/>
    <w:rsid w:val="008D420E"/>
    <w:rsid w:val="0098642F"/>
    <w:rsid w:val="00A32D8E"/>
    <w:rsid w:val="00A40853"/>
    <w:rsid w:val="00AC4024"/>
    <w:rsid w:val="00C1682B"/>
    <w:rsid w:val="00C55084"/>
    <w:rsid w:val="00C82269"/>
    <w:rsid w:val="00CE6602"/>
    <w:rsid w:val="00D91BC7"/>
    <w:rsid w:val="00DF0FF9"/>
    <w:rsid w:val="00EA1469"/>
    <w:rsid w:val="00F03B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67"/>
    <w:rsid w:val="004167A8"/>
    <w:rPr>
      <w:color w:val="808080"/>
    </w:rPr>
  </w:style>
  <w:style w:type="paragraph" w:customStyle="1" w:styleId="C444DEE40D7C456B82AF1A09CD132ABF">
    <w:name w:val="C444DEE40D7C456B82AF1A09CD132ABF"/>
    <w:rsid w:val="00CE6602"/>
    <w:pPr>
      <w:spacing w:after="160" w:line="259" w:lineRule="auto"/>
    </w:pPr>
  </w:style>
  <w:style w:type="paragraph" w:customStyle="1" w:styleId="614E89801A8B45F09D13C3BBA1795C03">
    <w:name w:val="614E89801A8B45F09D13C3BBA1795C03"/>
    <w:rsid w:val="004167A8"/>
    <w:pPr>
      <w:spacing w:after="160" w:line="259" w:lineRule="auto"/>
    </w:pPr>
    <w:rPr>
      <w:lang w:val="en-CA" w:eastAsia="en-CA"/>
    </w:rPr>
  </w:style>
  <w:style w:type="paragraph" w:customStyle="1" w:styleId="0DBA5F74873F459C8183A0FB1D328ED3">
    <w:name w:val="0DBA5F74873F459C8183A0FB1D328ED3"/>
    <w:rsid w:val="004167A8"/>
    <w:pPr>
      <w:spacing w:after="160" w:line="259" w:lineRule="auto"/>
    </w:pPr>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4" ma:contentTypeDescription="Create a new document." ma:contentTypeScope="" ma:versionID="9aeaef79ff781c77a42a539a0ded4807">
  <xsd:schema xmlns:xsd="http://www.w3.org/2001/XMLSchema" xmlns:xs="http://www.w3.org/2001/XMLSchema" xmlns:p="http://schemas.microsoft.com/office/2006/metadata/properties" xmlns:ns2="358298e0-1b7e-4ebe-8695-94439b74f0d1" xmlns:ns3="13ad741f-c0db-4e29-b5a6-03b4a1bc18ba" targetNamespace="http://schemas.microsoft.com/office/2006/metadata/properties" ma:root="true" ma:fieldsID="68ae42e93491dda93b54db77ba969fb9" ns2:_="" ns3:_="">
    <xsd:import namespace="358298e0-1b7e-4ebe-8695-94439b74f0d1"/>
    <xsd:import namespace="13ad741f-c0db-4e29-b5a6-03b4a1bc18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F409B4D-BA9F-414B-832F-0B23D3854C55}">
  <ds:schemaRefs>
    <ds:schemaRef ds:uri="http://schemas.microsoft.com/sharepoint/v3/contenttype/forms"/>
  </ds:schemaRefs>
</ds:datastoreItem>
</file>

<file path=customXml/itemProps3.xml><?xml version="1.0" encoding="utf-8"?>
<ds:datastoreItem xmlns:ds="http://schemas.openxmlformats.org/officeDocument/2006/customXml" ds:itemID="{FA309ED4-BAD2-4141-A795-647C306F4FB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0C09202-161D-47BA-AA7C-76961BC802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54BF66D-466E-4BEA-96B7-CFBF25893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2928</Words>
  <Characters>16691</Characters>
  <Application>Microsoft Office Word</Application>
  <DocSecurity>0</DocSecurity>
  <Lines>139</Lines>
  <Paragraphs>39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biodiversité et changements climatiques</vt:lpstr>
      <vt:lpstr>Biodiversity and climate change</vt:lpstr>
    </vt:vector>
  </TitlesOfParts>
  <Company>SCBD</Company>
  <LinksUpToDate>false</LinksUpToDate>
  <CharactersWithSpaces>19580</CharactersWithSpaces>
  <SharedDoc>false</SharedDoc>
  <HLinks>
    <vt:vector size="90" baseType="variant">
      <vt:variant>
        <vt:i4>655434</vt:i4>
      </vt:variant>
      <vt:variant>
        <vt:i4>12</vt:i4>
      </vt:variant>
      <vt:variant>
        <vt:i4>0</vt:i4>
      </vt:variant>
      <vt:variant>
        <vt:i4>5</vt:i4>
      </vt:variant>
      <vt:variant>
        <vt:lpwstr>https://www.cbd.int/doc/decisions/cop-14/cop-14-dec-05-en.pdf</vt:lpwstr>
      </vt:variant>
      <vt:variant>
        <vt:lpwstr/>
      </vt:variant>
      <vt:variant>
        <vt:i4>786509</vt:i4>
      </vt:variant>
      <vt:variant>
        <vt:i4>9</vt:i4>
      </vt:variant>
      <vt:variant>
        <vt:i4>0</vt:i4>
      </vt:variant>
      <vt:variant>
        <vt:i4>5</vt:i4>
      </vt:variant>
      <vt:variant>
        <vt:lpwstr>https://www.cbd.int/doc/decisions/cop-13/cop-13-dec-04-en.pdf</vt:lpwstr>
      </vt:variant>
      <vt:variant>
        <vt:lpwstr/>
      </vt:variant>
      <vt:variant>
        <vt:i4>524365</vt:i4>
      </vt:variant>
      <vt:variant>
        <vt:i4>6</vt:i4>
      </vt:variant>
      <vt:variant>
        <vt:i4>0</vt:i4>
      </vt:variant>
      <vt:variant>
        <vt:i4>5</vt:i4>
      </vt:variant>
      <vt:variant>
        <vt:lpwstr>https://www.cbd.int/doc/decisions/cop-10/cop-10-dec-33-en.pdf</vt:lpwstr>
      </vt:variant>
      <vt:variant>
        <vt:lpwstr/>
      </vt:variant>
      <vt:variant>
        <vt:i4>327751</vt:i4>
      </vt:variant>
      <vt:variant>
        <vt:i4>3</vt:i4>
      </vt:variant>
      <vt:variant>
        <vt:i4>0</vt:i4>
      </vt:variant>
      <vt:variant>
        <vt:i4>5</vt:i4>
      </vt:variant>
      <vt:variant>
        <vt:lpwstr>https://www.cbd.int/doc/decisions/cop-09/cop-09-dec-16-en.pdf</vt:lpwstr>
      </vt:variant>
      <vt:variant>
        <vt:lpwstr/>
      </vt:variant>
      <vt:variant>
        <vt:i4>524361</vt:i4>
      </vt:variant>
      <vt:variant>
        <vt:i4>0</vt:i4>
      </vt:variant>
      <vt:variant>
        <vt:i4>0</vt:i4>
      </vt:variant>
      <vt:variant>
        <vt:i4>5</vt:i4>
      </vt:variant>
      <vt:variant>
        <vt:lpwstr>https://www.cbd.int/doc/decisions/cop-07/cop-07-dec-15-en.pdf</vt:lpwstr>
      </vt:variant>
      <vt:variant>
        <vt:lpwstr/>
      </vt:variant>
      <vt:variant>
        <vt:i4>5898250</vt:i4>
      </vt:variant>
      <vt:variant>
        <vt:i4>27</vt:i4>
      </vt:variant>
      <vt:variant>
        <vt:i4>0</vt:i4>
      </vt:variant>
      <vt:variant>
        <vt:i4>5</vt:i4>
      </vt:variant>
      <vt:variant>
        <vt:lpwstr>https://documents-dds-ny.un.org/doc/UNDOC/GEN/N15/167/16/pdf/N1516716.pdf?OpenElement</vt:lpwstr>
      </vt:variant>
      <vt:variant>
        <vt:lpwstr/>
      </vt:variant>
      <vt:variant>
        <vt:i4>5570649</vt:i4>
      </vt:variant>
      <vt:variant>
        <vt:i4>24</vt:i4>
      </vt:variant>
      <vt:variant>
        <vt:i4>0</vt:i4>
      </vt:variant>
      <vt:variant>
        <vt:i4>5</vt:i4>
      </vt:variant>
      <vt:variant>
        <vt:lpwstr>https://www.cbd.int/doc/publications/cbd-ts-93-en.pdf</vt:lpwstr>
      </vt:variant>
      <vt:variant>
        <vt:lpwstr/>
      </vt:variant>
      <vt:variant>
        <vt:i4>5570649</vt:i4>
      </vt:variant>
      <vt:variant>
        <vt:i4>21</vt:i4>
      </vt:variant>
      <vt:variant>
        <vt:i4>0</vt:i4>
      </vt:variant>
      <vt:variant>
        <vt:i4>5</vt:i4>
      </vt:variant>
      <vt:variant>
        <vt:lpwstr>https://www.cbd.int/doc/publications/cbd-ts-93-en.pdf</vt:lpwstr>
      </vt:variant>
      <vt:variant>
        <vt:lpwstr/>
      </vt:variant>
      <vt:variant>
        <vt:i4>2293878</vt:i4>
      </vt:variant>
      <vt:variant>
        <vt:i4>18</vt:i4>
      </vt:variant>
      <vt:variant>
        <vt:i4>0</vt:i4>
      </vt:variant>
      <vt:variant>
        <vt:i4>5</vt:i4>
      </vt:variant>
      <vt:variant>
        <vt:lpwstr>https://www.ipcc.ch/srocc/home/</vt:lpwstr>
      </vt:variant>
      <vt:variant>
        <vt:lpwstr/>
      </vt:variant>
      <vt:variant>
        <vt:i4>1376322</vt:i4>
      </vt:variant>
      <vt:variant>
        <vt:i4>15</vt:i4>
      </vt:variant>
      <vt:variant>
        <vt:i4>0</vt:i4>
      </vt:variant>
      <vt:variant>
        <vt:i4>5</vt:i4>
      </vt:variant>
      <vt:variant>
        <vt:lpwstr>https://www.ipcc.ch/report/srccl/</vt:lpwstr>
      </vt:variant>
      <vt:variant>
        <vt:lpwstr/>
      </vt:variant>
      <vt:variant>
        <vt:i4>5242958</vt:i4>
      </vt:variant>
      <vt:variant>
        <vt:i4>12</vt:i4>
      </vt:variant>
      <vt:variant>
        <vt:i4>0</vt:i4>
      </vt:variant>
      <vt:variant>
        <vt:i4>5</vt:i4>
      </vt:variant>
      <vt:variant>
        <vt:lpwstr>https://www.ipcc.ch/sr15/</vt:lpwstr>
      </vt:variant>
      <vt:variant>
        <vt:lpwstr/>
      </vt:variant>
      <vt:variant>
        <vt:i4>2293878</vt:i4>
      </vt:variant>
      <vt:variant>
        <vt:i4>9</vt:i4>
      </vt:variant>
      <vt:variant>
        <vt:i4>0</vt:i4>
      </vt:variant>
      <vt:variant>
        <vt:i4>5</vt:i4>
      </vt:variant>
      <vt:variant>
        <vt:lpwstr>https://www.ipcc.ch/srocc/home/</vt:lpwstr>
      </vt:variant>
      <vt:variant>
        <vt:lpwstr/>
      </vt:variant>
      <vt:variant>
        <vt:i4>1376322</vt:i4>
      </vt:variant>
      <vt:variant>
        <vt:i4>6</vt:i4>
      </vt:variant>
      <vt:variant>
        <vt:i4>0</vt:i4>
      </vt:variant>
      <vt:variant>
        <vt:i4>5</vt:i4>
      </vt:variant>
      <vt:variant>
        <vt:lpwstr>https://www.ipcc.ch/report/srccl/</vt:lpwstr>
      </vt:variant>
      <vt:variant>
        <vt:lpwstr/>
      </vt:variant>
      <vt:variant>
        <vt:i4>5242958</vt:i4>
      </vt:variant>
      <vt:variant>
        <vt:i4>3</vt:i4>
      </vt:variant>
      <vt:variant>
        <vt:i4>0</vt:i4>
      </vt:variant>
      <vt:variant>
        <vt:i4>5</vt:i4>
      </vt:variant>
      <vt:variant>
        <vt:lpwstr>https://www.ipcc.ch/sr15/</vt:lpwstr>
      </vt:variant>
      <vt:variant>
        <vt:lpwstr/>
      </vt:variant>
      <vt:variant>
        <vt:i4>6291558</vt:i4>
      </vt:variant>
      <vt:variant>
        <vt:i4>0</vt:i4>
      </vt:variant>
      <vt:variant>
        <vt:i4>0</vt:i4>
      </vt:variant>
      <vt:variant>
        <vt:i4>5</vt:i4>
      </vt:variant>
      <vt:variant>
        <vt:lpwstr>https://ipbes.net/global-assessment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biodiversité et changements climatiques</dc:title>
  <dc:subject>CBD/SBSTTA/REC/23/02</dc:subject>
  <dc:creator>SBSTTA-23</dc:creator>
  <cp:keywords>Convention on Biological Diversity, Subsidiary Body on Scientific, Technical and Technological Advice, Twenty-third meeting, Montreal, Canada, 25-29 November 2019</cp:keywords>
  <cp:lastModifiedBy>Guyonne</cp:lastModifiedBy>
  <cp:revision>11</cp:revision>
  <cp:lastPrinted>2019-11-29T04:21:00Z</cp:lastPrinted>
  <dcterms:created xsi:type="dcterms:W3CDTF">2020-01-27T15:59:00Z</dcterms:created>
  <dcterms:modified xsi:type="dcterms:W3CDTF">2020-02-04T11:51:00Z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ies>
</file>