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272738" w:rsidRPr="00974A0B" w14:paraId="705E40EA" w14:textId="77777777" w:rsidTr="00342EFD">
        <w:trPr>
          <w:trHeight w:val="900"/>
        </w:trPr>
        <w:tc>
          <w:tcPr>
            <w:tcW w:w="993" w:type="dxa"/>
            <w:tcBorders>
              <w:top w:val="nil"/>
              <w:bottom w:val="single" w:sz="12" w:space="0" w:color="000000"/>
              <w:right w:val="nil"/>
            </w:tcBorders>
          </w:tcPr>
          <w:p w14:paraId="5135C213" w14:textId="77777777" w:rsidR="00272738" w:rsidRPr="00974A0B" w:rsidRDefault="00272738" w:rsidP="00342EFD">
            <w:pPr>
              <w:spacing w:line="240" w:lineRule="atLeast"/>
              <w:rPr>
                <w:rFonts w:eastAsia="黑体"/>
                <w:b/>
                <w:bCs/>
                <w:snapToGrid w:val="0"/>
                <w:kern w:val="22"/>
                <w:lang w:eastAsia="en-US"/>
              </w:rPr>
            </w:pPr>
            <w:bookmarkStart w:id="0" w:name="_Hlk34341079"/>
            <w:bookmarkStart w:id="1" w:name="_Hlk34341122"/>
            <w:bookmarkStart w:id="2" w:name="Meeting"/>
            <w:r w:rsidRPr="00974A0B">
              <w:rPr>
                <w:rFonts w:eastAsia="MS Mincho"/>
                <w:b/>
                <w:bCs/>
                <w:noProof/>
                <w:kern w:val="22"/>
              </w:rPr>
              <w:drawing>
                <wp:anchor distT="0" distB="0" distL="114300" distR="114300" simplePos="0" relativeHeight="251659264" behindDoc="0" locked="0" layoutInCell="1" allowOverlap="1" wp14:anchorId="2015B0A8" wp14:editId="7B26D4ED">
                  <wp:simplePos x="0" y="0"/>
                  <wp:positionH relativeFrom="column">
                    <wp:posOffset>49530</wp:posOffset>
                  </wp:positionH>
                  <wp:positionV relativeFrom="page">
                    <wp:posOffset>23132</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14" w:type="dxa"/>
            <w:tcBorders>
              <w:top w:val="nil"/>
              <w:left w:val="nil"/>
              <w:bottom w:val="single" w:sz="12" w:space="0" w:color="000000"/>
              <w:right w:val="nil"/>
            </w:tcBorders>
          </w:tcPr>
          <w:p w14:paraId="16634086" w14:textId="77777777" w:rsidR="00272738" w:rsidRPr="00FF208E" w:rsidRDefault="00272738" w:rsidP="00342EFD">
            <w:pPr>
              <w:spacing w:before="60" w:after="0" w:line="240" w:lineRule="auto"/>
              <w:rPr>
                <w:rFonts w:eastAsia="黑体"/>
                <w:bCs/>
                <w:sz w:val="20"/>
                <w:szCs w:val="20"/>
              </w:rPr>
            </w:pPr>
            <w:r w:rsidRPr="00974A0B">
              <w:rPr>
                <w:b/>
                <w:bCs/>
                <w:noProof/>
                <w:sz w:val="20"/>
                <w:szCs w:val="20"/>
              </w:rPr>
              <w:drawing>
                <wp:anchor distT="0" distB="0" distL="114300" distR="114300" simplePos="0" relativeHeight="251660288" behindDoc="0" locked="0" layoutInCell="1" allowOverlap="1" wp14:anchorId="1BC37545" wp14:editId="3476A492">
                  <wp:simplePos x="0" y="0"/>
                  <wp:positionH relativeFrom="column">
                    <wp:posOffset>407279</wp:posOffset>
                  </wp:positionH>
                  <wp:positionV relativeFrom="paragraph">
                    <wp:posOffset>22588</wp:posOffset>
                  </wp:positionV>
                  <wp:extent cx="181069" cy="191492"/>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FF208E">
              <w:rPr>
                <w:rFonts w:eastAsia="黑体"/>
                <w:bCs/>
                <w:sz w:val="20"/>
                <w:szCs w:val="20"/>
              </w:rPr>
              <w:t>联合国</w:t>
            </w:r>
          </w:p>
          <w:p w14:paraId="78AF248D" w14:textId="77777777" w:rsidR="00272738" w:rsidRPr="00974A0B" w:rsidRDefault="00272738" w:rsidP="00342EFD">
            <w:pPr>
              <w:spacing w:after="0" w:line="240" w:lineRule="auto"/>
              <w:rPr>
                <w:rFonts w:eastAsia="黑体"/>
                <w:b/>
                <w:bCs/>
                <w:sz w:val="20"/>
                <w:szCs w:val="20"/>
              </w:rPr>
            </w:pPr>
            <w:r w:rsidRPr="00FF208E">
              <w:rPr>
                <w:rFonts w:eastAsia="黑体"/>
                <w:bCs/>
                <w:sz w:val="20"/>
                <w:szCs w:val="20"/>
              </w:rPr>
              <w:t>环境规划署</w:t>
            </w:r>
          </w:p>
        </w:tc>
        <w:tc>
          <w:tcPr>
            <w:tcW w:w="6741" w:type="dxa"/>
            <w:gridSpan w:val="3"/>
            <w:tcBorders>
              <w:top w:val="nil"/>
              <w:left w:val="nil"/>
              <w:bottom w:val="single" w:sz="12" w:space="0" w:color="000000"/>
            </w:tcBorders>
          </w:tcPr>
          <w:p w14:paraId="721A2730" w14:textId="77777777" w:rsidR="00272738" w:rsidRPr="001D528C" w:rsidRDefault="00272738" w:rsidP="00342EFD">
            <w:pPr>
              <w:tabs>
                <w:tab w:val="right" w:pos="7611"/>
              </w:tabs>
              <w:spacing w:before="60" w:after="0" w:line="240" w:lineRule="auto"/>
              <w:ind w:left="360" w:right="461"/>
              <w:jc w:val="right"/>
              <w:rPr>
                <w:rFonts w:ascii="Arial" w:eastAsia="黑体" w:hAnsi="Arial" w:cs="Arial"/>
                <w:b/>
                <w:bCs/>
                <w:snapToGrid w:val="0"/>
                <w:kern w:val="22"/>
                <w:sz w:val="32"/>
              </w:rPr>
            </w:pPr>
            <w:r w:rsidRPr="00FF208E">
              <w:rPr>
                <w:rFonts w:eastAsia="黑体"/>
                <w:snapToGrid w:val="0"/>
                <w:kern w:val="22"/>
                <w:sz w:val="32"/>
              </w:rPr>
              <w:t xml:space="preserve">   </w:t>
            </w:r>
            <w:r w:rsidRPr="001D528C">
              <w:rPr>
                <w:rFonts w:ascii="Arial" w:eastAsia="黑体" w:hAnsi="Arial" w:cs="Arial"/>
                <w:b/>
                <w:bCs/>
                <w:snapToGrid w:val="0"/>
                <w:kern w:val="22"/>
                <w:sz w:val="32"/>
              </w:rPr>
              <w:t>CBD</w:t>
            </w:r>
          </w:p>
        </w:tc>
      </w:tr>
      <w:bookmarkEnd w:id="0"/>
      <w:tr w:rsidR="00272738" w:rsidRPr="00974A0B" w14:paraId="433D41E4" w14:textId="77777777" w:rsidTr="002234A2">
        <w:trPr>
          <w:trHeight w:val="2211"/>
        </w:trPr>
        <w:tc>
          <w:tcPr>
            <w:tcW w:w="6227" w:type="dxa"/>
            <w:gridSpan w:val="3"/>
            <w:tcBorders>
              <w:top w:val="nil"/>
              <w:bottom w:val="single" w:sz="36" w:space="0" w:color="000000"/>
            </w:tcBorders>
          </w:tcPr>
          <w:p w14:paraId="6AED412C" w14:textId="77777777" w:rsidR="00272738" w:rsidRPr="00974A0B" w:rsidRDefault="00272738" w:rsidP="00342EFD">
            <w:pPr>
              <w:spacing w:after="0" w:line="240" w:lineRule="auto"/>
              <w:rPr>
                <w:snapToGrid w:val="0"/>
                <w:kern w:val="22"/>
              </w:rPr>
            </w:pPr>
          </w:p>
          <w:p w14:paraId="2AEA320B" w14:textId="77777777" w:rsidR="00272738" w:rsidRPr="00974A0B" w:rsidRDefault="00272738" w:rsidP="00342EFD">
            <w:pPr>
              <w:spacing w:after="0" w:line="240" w:lineRule="auto"/>
              <w:rPr>
                <w:snapToGrid w:val="0"/>
                <w:kern w:val="22"/>
                <w:sz w:val="32"/>
              </w:rPr>
            </w:pPr>
            <w:r w:rsidRPr="00FF208E">
              <w:rPr>
                <w:rFonts w:eastAsia="黑体"/>
                <w:noProof/>
              </w:rPr>
              <w:drawing>
                <wp:inline distT="0" distB="0" distL="0" distR="0" wp14:anchorId="469439F9" wp14:editId="3F80E37E">
                  <wp:extent cx="3000375" cy="1077595"/>
                  <wp:effectExtent l="0" t="0" r="0" b="0"/>
                  <wp:docPr id="7"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0375" cy="1077595"/>
                          </a:xfrm>
                          <a:prstGeom prst="rect">
                            <a:avLst/>
                          </a:prstGeom>
                          <a:noFill/>
                          <a:ln>
                            <a:noFill/>
                          </a:ln>
                        </pic:spPr>
                      </pic:pic>
                    </a:graphicData>
                  </a:graphic>
                </wp:inline>
              </w:drawing>
            </w:r>
          </w:p>
          <w:p w14:paraId="758E899D" w14:textId="77777777" w:rsidR="00272738" w:rsidRPr="00974A0B" w:rsidRDefault="00272738" w:rsidP="00342EFD">
            <w:pPr>
              <w:spacing w:after="0" w:line="240" w:lineRule="auto"/>
              <w:ind w:firstLine="720"/>
              <w:rPr>
                <w:sz w:val="32"/>
              </w:rPr>
            </w:pPr>
            <w:r w:rsidRPr="00974A0B">
              <w:rPr>
                <w:sz w:val="32"/>
              </w:rPr>
              <w:t xml:space="preserve">   </w:t>
            </w:r>
          </w:p>
        </w:tc>
        <w:tc>
          <w:tcPr>
            <w:tcW w:w="1144" w:type="dxa"/>
            <w:tcBorders>
              <w:top w:val="nil"/>
              <w:bottom w:val="single" w:sz="36" w:space="0" w:color="000000"/>
            </w:tcBorders>
          </w:tcPr>
          <w:p w14:paraId="78424005" w14:textId="77777777" w:rsidR="00272738" w:rsidRPr="00974A0B" w:rsidRDefault="00272738" w:rsidP="00342EFD">
            <w:pPr>
              <w:widowControl w:val="0"/>
              <w:overflowPunct w:val="0"/>
              <w:autoSpaceDE w:val="0"/>
              <w:autoSpaceDN w:val="0"/>
              <w:adjustRightInd w:val="0"/>
              <w:spacing w:after="0" w:line="240" w:lineRule="atLeast"/>
              <w:jc w:val="left"/>
              <w:textAlignment w:val="baseline"/>
              <w:rPr>
                <w:bCs/>
                <w:snapToGrid w:val="0"/>
                <w:kern w:val="22"/>
                <w:sz w:val="32"/>
                <w:szCs w:val="32"/>
              </w:rPr>
            </w:pPr>
          </w:p>
        </w:tc>
        <w:tc>
          <w:tcPr>
            <w:tcW w:w="2977" w:type="dxa"/>
            <w:tcBorders>
              <w:top w:val="nil"/>
              <w:bottom w:val="single" w:sz="36" w:space="0" w:color="000000"/>
            </w:tcBorders>
          </w:tcPr>
          <w:p w14:paraId="7BA29D1D" w14:textId="77777777" w:rsidR="00724360" w:rsidRPr="00724360" w:rsidRDefault="00724360" w:rsidP="00724360">
            <w:pPr>
              <w:spacing w:after="0" w:line="240" w:lineRule="auto"/>
              <w:ind w:left="58"/>
              <w:rPr>
                <w:snapToGrid w:val="0"/>
                <w:kern w:val="22"/>
                <w:sz w:val="22"/>
                <w:szCs w:val="22"/>
                <w:lang w:val="it-IT"/>
              </w:rPr>
            </w:pPr>
            <w:r w:rsidRPr="00724360">
              <w:rPr>
                <w:snapToGrid w:val="0"/>
                <w:kern w:val="22"/>
                <w:sz w:val="22"/>
                <w:szCs w:val="22"/>
                <w:lang w:val="it-IT"/>
              </w:rPr>
              <w:t>Distr.</w:t>
            </w:r>
          </w:p>
          <w:p w14:paraId="28726CAE" w14:textId="77777777" w:rsidR="00724360" w:rsidRPr="00724360" w:rsidRDefault="00724360" w:rsidP="00724360">
            <w:pPr>
              <w:spacing w:after="0" w:line="240" w:lineRule="auto"/>
              <w:ind w:left="58"/>
              <w:rPr>
                <w:snapToGrid w:val="0"/>
                <w:kern w:val="22"/>
                <w:sz w:val="22"/>
                <w:szCs w:val="22"/>
                <w:lang w:val="it-IT"/>
              </w:rPr>
            </w:pPr>
            <w:r w:rsidRPr="00724360">
              <w:rPr>
                <w:snapToGrid w:val="0"/>
                <w:kern w:val="22"/>
                <w:sz w:val="22"/>
                <w:szCs w:val="22"/>
                <w:lang w:val="it-IT"/>
              </w:rPr>
              <w:t>GENERAL</w:t>
            </w:r>
          </w:p>
          <w:p w14:paraId="48C00E86" w14:textId="77777777" w:rsidR="00724360" w:rsidRPr="00724360" w:rsidRDefault="00724360" w:rsidP="00724360">
            <w:pPr>
              <w:spacing w:after="0" w:line="240" w:lineRule="auto"/>
              <w:ind w:left="58"/>
              <w:rPr>
                <w:snapToGrid w:val="0"/>
                <w:kern w:val="22"/>
                <w:sz w:val="22"/>
                <w:szCs w:val="22"/>
                <w:lang w:val="it-IT"/>
              </w:rPr>
            </w:pPr>
          </w:p>
          <w:p w14:paraId="0AFA172E" w14:textId="27DA9969" w:rsidR="00724360" w:rsidRPr="00724360" w:rsidRDefault="00724360" w:rsidP="00724360">
            <w:pPr>
              <w:spacing w:after="0" w:line="240" w:lineRule="auto"/>
              <w:ind w:left="58"/>
              <w:rPr>
                <w:snapToGrid w:val="0"/>
                <w:kern w:val="22"/>
                <w:sz w:val="22"/>
                <w:szCs w:val="22"/>
                <w:lang w:val="it-IT"/>
              </w:rPr>
            </w:pPr>
            <w:r w:rsidRPr="00724360">
              <w:rPr>
                <w:snapToGrid w:val="0"/>
                <w:kern w:val="22"/>
                <w:sz w:val="22"/>
                <w:szCs w:val="22"/>
                <w:lang w:val="it-IT"/>
              </w:rPr>
              <w:t>CBD/SBSTTA/</w:t>
            </w:r>
            <w:r w:rsidRPr="00724360">
              <w:rPr>
                <w:rFonts w:hint="eastAsia"/>
                <w:snapToGrid w:val="0"/>
                <w:kern w:val="22"/>
                <w:sz w:val="22"/>
                <w:szCs w:val="22"/>
                <w:lang w:val="it-IT"/>
              </w:rPr>
              <w:t>REC</w:t>
            </w:r>
            <w:r w:rsidRPr="00724360">
              <w:rPr>
                <w:snapToGrid w:val="0"/>
                <w:kern w:val="22"/>
                <w:sz w:val="22"/>
                <w:szCs w:val="22"/>
                <w:lang w:val="it-IT"/>
              </w:rPr>
              <w:t>/24/</w:t>
            </w:r>
            <w:r w:rsidR="00866FF4" w:rsidRPr="00866FF4">
              <w:rPr>
                <w:snapToGrid w:val="0"/>
                <w:kern w:val="22"/>
                <w:sz w:val="22"/>
                <w:szCs w:val="22"/>
                <w:lang w:val="it-IT"/>
              </w:rPr>
              <w:t>5</w:t>
            </w:r>
          </w:p>
          <w:p w14:paraId="3757F3C9" w14:textId="77777777" w:rsidR="00724360" w:rsidRPr="00724360" w:rsidRDefault="00724360" w:rsidP="00724360">
            <w:pPr>
              <w:spacing w:after="0" w:line="240" w:lineRule="auto"/>
              <w:ind w:left="58"/>
              <w:rPr>
                <w:snapToGrid w:val="0"/>
                <w:kern w:val="22"/>
                <w:sz w:val="22"/>
                <w:szCs w:val="22"/>
              </w:rPr>
            </w:pPr>
            <w:r w:rsidRPr="00724360">
              <w:rPr>
                <w:snapToGrid w:val="0"/>
                <w:kern w:val="22"/>
                <w:sz w:val="22"/>
                <w:szCs w:val="22"/>
              </w:rPr>
              <w:t>27 March 2022</w:t>
            </w:r>
          </w:p>
          <w:p w14:paraId="28598866" w14:textId="77777777" w:rsidR="00272738" w:rsidRPr="00866FF4" w:rsidRDefault="00272738" w:rsidP="00342EFD">
            <w:pPr>
              <w:spacing w:after="0" w:line="240" w:lineRule="auto"/>
              <w:ind w:left="58"/>
              <w:rPr>
                <w:snapToGrid w:val="0"/>
                <w:kern w:val="22"/>
                <w:sz w:val="22"/>
                <w:szCs w:val="22"/>
              </w:rPr>
            </w:pPr>
          </w:p>
          <w:p w14:paraId="0DD269DB" w14:textId="77777777" w:rsidR="00272738" w:rsidRPr="00866FF4" w:rsidRDefault="00272738" w:rsidP="00342EFD">
            <w:pPr>
              <w:spacing w:after="0" w:line="240" w:lineRule="auto"/>
              <w:ind w:left="58"/>
              <w:rPr>
                <w:snapToGrid w:val="0"/>
                <w:kern w:val="22"/>
                <w:sz w:val="22"/>
                <w:szCs w:val="22"/>
              </w:rPr>
            </w:pPr>
            <w:r w:rsidRPr="00866FF4">
              <w:rPr>
                <w:snapToGrid w:val="0"/>
                <w:kern w:val="22"/>
                <w:sz w:val="22"/>
                <w:szCs w:val="22"/>
              </w:rPr>
              <w:t>CHINESE</w:t>
            </w:r>
          </w:p>
          <w:p w14:paraId="5C339DE5" w14:textId="77777777" w:rsidR="00272738" w:rsidRPr="00974A0B" w:rsidRDefault="00272738" w:rsidP="00342EFD">
            <w:pPr>
              <w:spacing w:after="0" w:line="240" w:lineRule="auto"/>
              <w:ind w:left="58"/>
              <w:rPr>
                <w:snapToGrid w:val="0"/>
                <w:kern w:val="22"/>
                <w:szCs w:val="22"/>
                <w:u w:val="single"/>
              </w:rPr>
            </w:pPr>
            <w:r w:rsidRPr="00866FF4">
              <w:rPr>
                <w:snapToGrid w:val="0"/>
                <w:kern w:val="22"/>
                <w:sz w:val="22"/>
                <w:szCs w:val="22"/>
              </w:rPr>
              <w:t>ORIGINAL:  ENGLISH</w:t>
            </w:r>
          </w:p>
        </w:tc>
      </w:tr>
    </w:tbl>
    <w:bookmarkEnd w:id="1"/>
    <w:bookmarkEnd w:id="2"/>
    <w:p w14:paraId="17033704" w14:textId="77777777" w:rsidR="00724360" w:rsidRPr="00724360" w:rsidRDefault="00724360" w:rsidP="00724360">
      <w:pPr>
        <w:spacing w:after="0" w:line="240" w:lineRule="auto"/>
        <w:ind w:right="4542"/>
        <w:rPr>
          <w:caps/>
          <w:snapToGrid w:val="0"/>
          <w:sz w:val="24"/>
          <w:szCs w:val="24"/>
        </w:rPr>
      </w:pPr>
      <w:r w:rsidRPr="00724360">
        <w:rPr>
          <w:rFonts w:hint="eastAsia"/>
          <w:caps/>
          <w:snapToGrid w:val="0"/>
          <w:sz w:val="24"/>
          <w:szCs w:val="24"/>
          <w:lang w:val="zh-CN"/>
        </w:rPr>
        <w:t>科学、技术和工艺咨询附属机构</w:t>
      </w:r>
    </w:p>
    <w:p w14:paraId="71625856" w14:textId="77777777" w:rsidR="00724360" w:rsidRPr="00724360" w:rsidRDefault="00724360" w:rsidP="00724360">
      <w:pPr>
        <w:spacing w:after="0" w:line="240" w:lineRule="auto"/>
        <w:ind w:right="4542"/>
        <w:rPr>
          <w:caps/>
          <w:snapToGrid w:val="0"/>
          <w:sz w:val="24"/>
          <w:szCs w:val="24"/>
        </w:rPr>
      </w:pPr>
      <w:r w:rsidRPr="00724360">
        <w:rPr>
          <w:rFonts w:hint="eastAsia"/>
          <w:caps/>
          <w:snapToGrid w:val="0"/>
          <w:sz w:val="24"/>
          <w:szCs w:val="24"/>
          <w:lang w:val="zh-CN"/>
        </w:rPr>
        <w:t>第二十四次会议</w:t>
      </w:r>
    </w:p>
    <w:p w14:paraId="64E3CACF" w14:textId="77777777" w:rsidR="00724360" w:rsidRPr="00724360" w:rsidRDefault="00724360" w:rsidP="00724360">
      <w:pPr>
        <w:spacing w:after="0" w:line="240" w:lineRule="auto"/>
        <w:ind w:right="4542"/>
        <w:rPr>
          <w:caps/>
          <w:snapToGrid w:val="0"/>
          <w:sz w:val="24"/>
          <w:szCs w:val="24"/>
        </w:rPr>
      </w:pPr>
      <w:r w:rsidRPr="00724360">
        <w:rPr>
          <w:caps/>
          <w:snapToGrid w:val="0"/>
          <w:sz w:val="24"/>
          <w:szCs w:val="24"/>
        </w:rPr>
        <w:t>2021</w:t>
      </w:r>
      <w:r w:rsidRPr="00724360">
        <w:rPr>
          <w:rFonts w:hint="eastAsia"/>
          <w:caps/>
          <w:snapToGrid w:val="0"/>
          <w:sz w:val="24"/>
          <w:szCs w:val="24"/>
        </w:rPr>
        <w:t>年</w:t>
      </w:r>
      <w:r w:rsidRPr="00724360">
        <w:rPr>
          <w:caps/>
          <w:snapToGrid w:val="0"/>
          <w:sz w:val="24"/>
          <w:szCs w:val="24"/>
        </w:rPr>
        <w:t>5</w:t>
      </w:r>
      <w:r w:rsidRPr="00724360">
        <w:rPr>
          <w:rFonts w:hint="eastAsia"/>
          <w:caps/>
          <w:snapToGrid w:val="0"/>
          <w:sz w:val="24"/>
          <w:szCs w:val="24"/>
        </w:rPr>
        <w:t>月</w:t>
      </w:r>
      <w:r w:rsidRPr="00724360">
        <w:rPr>
          <w:caps/>
          <w:snapToGrid w:val="0"/>
          <w:sz w:val="24"/>
          <w:szCs w:val="24"/>
        </w:rPr>
        <w:t>3</w:t>
      </w:r>
      <w:r w:rsidRPr="00724360">
        <w:rPr>
          <w:rFonts w:hint="eastAsia"/>
          <w:caps/>
          <w:snapToGrid w:val="0"/>
          <w:sz w:val="24"/>
          <w:szCs w:val="24"/>
        </w:rPr>
        <w:t>日至</w:t>
      </w:r>
      <w:r w:rsidRPr="00724360">
        <w:rPr>
          <w:caps/>
          <w:snapToGrid w:val="0"/>
          <w:sz w:val="24"/>
          <w:szCs w:val="24"/>
        </w:rPr>
        <w:t>6</w:t>
      </w:r>
      <w:r w:rsidRPr="00724360">
        <w:rPr>
          <w:rFonts w:hint="eastAsia"/>
          <w:caps/>
          <w:snapToGrid w:val="0"/>
          <w:sz w:val="24"/>
          <w:szCs w:val="24"/>
        </w:rPr>
        <w:t>月</w:t>
      </w:r>
      <w:r w:rsidRPr="00724360">
        <w:rPr>
          <w:rFonts w:hint="eastAsia"/>
          <w:caps/>
          <w:snapToGrid w:val="0"/>
          <w:sz w:val="24"/>
          <w:szCs w:val="24"/>
        </w:rPr>
        <w:t>9</w:t>
      </w:r>
      <w:r w:rsidRPr="00724360">
        <w:rPr>
          <w:rFonts w:hint="eastAsia"/>
          <w:caps/>
          <w:snapToGrid w:val="0"/>
          <w:sz w:val="24"/>
          <w:szCs w:val="24"/>
        </w:rPr>
        <w:t>日，在线会议和</w:t>
      </w:r>
    </w:p>
    <w:p w14:paraId="09C88439" w14:textId="11E852E0" w:rsidR="00CA6B87" w:rsidRPr="008E33A9" w:rsidRDefault="00724360" w:rsidP="00724360">
      <w:pPr>
        <w:spacing w:after="0" w:line="240" w:lineRule="auto"/>
        <w:ind w:right="4542"/>
        <w:rPr>
          <w:snapToGrid w:val="0"/>
          <w:kern w:val="22"/>
          <w:sz w:val="24"/>
          <w:szCs w:val="24"/>
        </w:rPr>
      </w:pPr>
      <w:r w:rsidRPr="00724360">
        <w:rPr>
          <w:caps/>
          <w:snapToGrid w:val="0"/>
          <w:sz w:val="24"/>
          <w:szCs w:val="24"/>
        </w:rPr>
        <w:t>2022</w:t>
      </w:r>
      <w:r w:rsidRPr="00724360">
        <w:rPr>
          <w:rFonts w:hint="eastAsia"/>
          <w:caps/>
          <w:snapToGrid w:val="0"/>
          <w:sz w:val="24"/>
          <w:szCs w:val="24"/>
        </w:rPr>
        <w:t>年</w:t>
      </w:r>
      <w:r w:rsidRPr="00724360">
        <w:rPr>
          <w:caps/>
          <w:snapToGrid w:val="0"/>
          <w:sz w:val="24"/>
          <w:szCs w:val="24"/>
        </w:rPr>
        <w:t>3</w:t>
      </w:r>
      <w:r w:rsidRPr="00724360">
        <w:rPr>
          <w:rFonts w:hint="eastAsia"/>
          <w:caps/>
          <w:snapToGrid w:val="0"/>
          <w:sz w:val="24"/>
          <w:szCs w:val="24"/>
        </w:rPr>
        <w:t>月</w:t>
      </w:r>
      <w:r w:rsidRPr="00724360">
        <w:rPr>
          <w:rFonts w:hint="eastAsia"/>
          <w:caps/>
          <w:snapToGrid w:val="0"/>
          <w:sz w:val="24"/>
          <w:szCs w:val="24"/>
        </w:rPr>
        <w:t>1</w:t>
      </w:r>
      <w:r w:rsidRPr="00724360">
        <w:rPr>
          <w:caps/>
          <w:snapToGrid w:val="0"/>
          <w:sz w:val="24"/>
          <w:szCs w:val="24"/>
        </w:rPr>
        <w:t>4</w:t>
      </w:r>
      <w:r w:rsidRPr="00724360">
        <w:rPr>
          <w:rFonts w:hint="eastAsia"/>
          <w:caps/>
          <w:snapToGrid w:val="0"/>
          <w:sz w:val="24"/>
          <w:szCs w:val="24"/>
        </w:rPr>
        <w:t>日至</w:t>
      </w:r>
      <w:r w:rsidRPr="00724360">
        <w:rPr>
          <w:rFonts w:hint="eastAsia"/>
          <w:caps/>
          <w:snapToGrid w:val="0"/>
          <w:sz w:val="24"/>
          <w:szCs w:val="24"/>
        </w:rPr>
        <w:t>2</w:t>
      </w:r>
      <w:r w:rsidRPr="00724360">
        <w:rPr>
          <w:caps/>
          <w:snapToGrid w:val="0"/>
          <w:sz w:val="24"/>
          <w:szCs w:val="24"/>
        </w:rPr>
        <w:t>9</w:t>
      </w:r>
      <w:r w:rsidRPr="00724360">
        <w:rPr>
          <w:rFonts w:hint="eastAsia"/>
          <w:caps/>
          <w:snapToGrid w:val="0"/>
          <w:sz w:val="24"/>
          <w:szCs w:val="24"/>
        </w:rPr>
        <w:t>日，瑞士日内瓦</w:t>
      </w:r>
    </w:p>
    <w:p w14:paraId="58D81E51" w14:textId="55AE57C3" w:rsidR="000C37B2" w:rsidRPr="008E33A9" w:rsidRDefault="000C37B2" w:rsidP="00923CCC">
      <w:pPr>
        <w:spacing w:line="240" w:lineRule="auto"/>
        <w:ind w:right="4540"/>
        <w:rPr>
          <w:snapToGrid w:val="0"/>
          <w:kern w:val="22"/>
          <w:sz w:val="24"/>
          <w:szCs w:val="24"/>
        </w:rPr>
      </w:pPr>
      <w:r w:rsidRPr="008E33A9">
        <w:rPr>
          <w:sz w:val="24"/>
          <w:szCs w:val="24"/>
          <w:lang w:val="zh-CN"/>
        </w:rPr>
        <w:t>议程</w:t>
      </w:r>
      <w:r w:rsidR="00593B23" w:rsidRPr="008E33A9">
        <w:rPr>
          <w:rFonts w:hint="eastAsia"/>
          <w:sz w:val="24"/>
          <w:szCs w:val="24"/>
          <w:lang w:val="zh-CN"/>
        </w:rPr>
        <w:t>项目</w:t>
      </w:r>
      <w:r w:rsidR="00517C6E">
        <w:rPr>
          <w:sz w:val="24"/>
          <w:szCs w:val="24"/>
          <w:lang w:val="zh-CN"/>
        </w:rPr>
        <w:t>5</w:t>
      </w:r>
    </w:p>
    <w:p w14:paraId="24B942C4" w14:textId="7397C09A" w:rsidR="00866FF4" w:rsidRDefault="00866FF4" w:rsidP="00923CCC">
      <w:pPr>
        <w:pStyle w:val="Heading1"/>
        <w:tabs>
          <w:tab w:val="clear" w:pos="720"/>
        </w:tabs>
        <w:adjustRightInd w:val="0"/>
        <w:snapToGrid w:val="0"/>
        <w:spacing w:before="120" w:line="240" w:lineRule="atLeast"/>
        <w:rPr>
          <w:rFonts w:eastAsia="黑体"/>
          <w:b w:val="0"/>
          <w:bCs/>
          <w:sz w:val="28"/>
          <w:szCs w:val="28"/>
        </w:rPr>
      </w:pPr>
      <w:r w:rsidRPr="00776854">
        <w:rPr>
          <w:bCs/>
          <w:kern w:val="22"/>
          <w:sz w:val="28"/>
          <w:szCs w:val="28"/>
          <w:lang w:val="zh-CN"/>
        </w:rPr>
        <w:t>科学、技术和工艺咨询附属机构</w:t>
      </w:r>
      <w:r w:rsidRPr="00776854">
        <w:rPr>
          <w:rFonts w:hint="eastAsia"/>
          <w:bCs/>
          <w:kern w:val="22"/>
          <w:sz w:val="28"/>
          <w:szCs w:val="28"/>
          <w:lang w:val="zh-CN"/>
        </w:rPr>
        <w:t>通过的建议</w:t>
      </w:r>
    </w:p>
    <w:p w14:paraId="5BEB924F" w14:textId="195D1898" w:rsidR="00615F69" w:rsidRPr="00866FF4" w:rsidRDefault="00866FF4" w:rsidP="00923CCC">
      <w:pPr>
        <w:pStyle w:val="Heading1"/>
        <w:tabs>
          <w:tab w:val="clear" w:pos="720"/>
        </w:tabs>
        <w:adjustRightInd w:val="0"/>
        <w:snapToGrid w:val="0"/>
        <w:spacing w:before="120" w:line="240" w:lineRule="atLeast"/>
        <w:rPr>
          <w:sz w:val="24"/>
          <w:szCs w:val="24"/>
        </w:rPr>
      </w:pPr>
      <w:r w:rsidRPr="00866FF4">
        <w:rPr>
          <w:sz w:val="24"/>
          <w:szCs w:val="24"/>
        </w:rPr>
        <w:t xml:space="preserve">24/5.  </w:t>
      </w:r>
      <w:r w:rsidR="00AE5D22" w:rsidRPr="00866FF4">
        <w:rPr>
          <w:sz w:val="24"/>
          <w:szCs w:val="24"/>
        </w:rPr>
        <w:t>风险评估与风险管理</w:t>
      </w:r>
    </w:p>
    <w:p w14:paraId="573D8A19" w14:textId="4498F7C7" w:rsidR="00AE5D22" w:rsidRDefault="00AE5D22" w:rsidP="00923CCC">
      <w:pPr>
        <w:adjustRightInd w:val="0"/>
        <w:spacing w:before="120" w:line="240" w:lineRule="atLeast"/>
        <w:rPr>
          <w:snapToGrid w:val="0"/>
          <w:sz w:val="24"/>
          <w:szCs w:val="24"/>
          <w:lang w:val="en-GB"/>
        </w:rPr>
      </w:pPr>
      <w:r>
        <w:rPr>
          <w:sz w:val="24"/>
          <w:szCs w:val="24"/>
        </w:rPr>
        <w:tab/>
      </w:r>
      <w:r>
        <w:rPr>
          <w:rFonts w:hint="eastAsia"/>
          <w:sz w:val="24"/>
          <w:szCs w:val="24"/>
        </w:rPr>
        <w:t>科学、技术和工艺咨询附属机构</w:t>
      </w:r>
      <w:r w:rsidRPr="00AE5D22">
        <w:rPr>
          <w:rFonts w:ascii="楷体" w:eastAsia="楷体" w:hAnsi="楷体" w:hint="eastAsia"/>
          <w:sz w:val="24"/>
          <w:szCs w:val="24"/>
        </w:rPr>
        <w:t>建议</w:t>
      </w:r>
      <w:r w:rsidRPr="00AE5D22">
        <w:rPr>
          <w:snapToGrid w:val="0"/>
          <w:sz w:val="24"/>
          <w:szCs w:val="24"/>
          <w:lang w:val="en-GB"/>
        </w:rPr>
        <w:t>作为卡塔赫纳生物安全议定书缔约方会议的缔约方</w:t>
      </w:r>
      <w:r w:rsidRPr="00AE5D22">
        <w:rPr>
          <w:rFonts w:hint="eastAsia"/>
          <w:snapToGrid w:val="0"/>
          <w:sz w:val="24"/>
          <w:szCs w:val="24"/>
          <w:lang w:val="en-GB"/>
        </w:rPr>
        <w:t>大会</w:t>
      </w:r>
      <w:r>
        <w:rPr>
          <w:rFonts w:hint="eastAsia"/>
          <w:snapToGrid w:val="0"/>
          <w:sz w:val="24"/>
          <w:szCs w:val="24"/>
          <w:lang w:val="en-GB"/>
        </w:rPr>
        <w:t>在其第十次会议上通过一项内容大致如下的决定：</w:t>
      </w:r>
    </w:p>
    <w:p w14:paraId="3B665A52" w14:textId="05913815" w:rsidR="00AE5D22" w:rsidRDefault="00AE5D22" w:rsidP="00923CCC">
      <w:pPr>
        <w:adjustRightInd w:val="0"/>
        <w:spacing w:before="120" w:line="240" w:lineRule="atLeast"/>
        <w:rPr>
          <w:sz w:val="24"/>
          <w:szCs w:val="24"/>
        </w:rPr>
      </w:pPr>
      <w:r>
        <w:rPr>
          <w:snapToGrid w:val="0"/>
          <w:sz w:val="24"/>
          <w:szCs w:val="24"/>
          <w:lang w:val="en-GB"/>
        </w:rPr>
        <w:tab/>
      </w:r>
      <w:r w:rsidRPr="00AE5D22">
        <w:rPr>
          <w:rFonts w:ascii="楷体" w:eastAsia="楷体" w:hAnsi="楷体"/>
          <w:sz w:val="24"/>
          <w:szCs w:val="24"/>
        </w:rPr>
        <w:t>作为卡塔赫纳生物安全议定书缔约方会议的缔约方</w:t>
      </w:r>
      <w:r w:rsidRPr="00AE5D22">
        <w:rPr>
          <w:rFonts w:ascii="楷体" w:eastAsia="楷体" w:hAnsi="楷体" w:hint="eastAsia"/>
          <w:sz w:val="24"/>
          <w:szCs w:val="24"/>
        </w:rPr>
        <w:t>大会，</w:t>
      </w:r>
      <w:r w:rsidR="00E33080">
        <w:rPr>
          <w:rFonts w:ascii="楷体" w:eastAsia="楷体" w:hAnsi="楷体" w:hint="eastAsia"/>
          <w:sz w:val="24"/>
          <w:szCs w:val="24"/>
        </w:rPr>
        <w:t xml:space="preserve"> </w:t>
      </w:r>
    </w:p>
    <w:p w14:paraId="38741C4D" w14:textId="79F061BF" w:rsidR="00AE5D22" w:rsidRDefault="00AE5D22" w:rsidP="00923CCC">
      <w:pPr>
        <w:adjustRightInd w:val="0"/>
        <w:spacing w:before="120" w:line="240" w:lineRule="atLeast"/>
        <w:rPr>
          <w:sz w:val="24"/>
          <w:szCs w:val="24"/>
        </w:rPr>
      </w:pPr>
      <w:r>
        <w:rPr>
          <w:sz w:val="24"/>
          <w:szCs w:val="24"/>
        </w:rPr>
        <w:tab/>
      </w:r>
      <w:r w:rsidRPr="00AE5D22">
        <w:rPr>
          <w:rFonts w:ascii="楷体" w:eastAsia="楷体" w:hAnsi="楷体" w:hint="eastAsia"/>
          <w:sz w:val="24"/>
          <w:szCs w:val="24"/>
        </w:rPr>
        <w:t>回顾</w:t>
      </w:r>
      <w:r w:rsidRPr="00AE5D22">
        <w:rPr>
          <w:sz w:val="24"/>
          <w:szCs w:val="24"/>
        </w:rPr>
        <w:t>第</w:t>
      </w:r>
      <w:r w:rsidRPr="00AE5D22">
        <w:rPr>
          <w:sz w:val="24"/>
          <w:szCs w:val="24"/>
        </w:rPr>
        <w:t>CP-9/13</w:t>
      </w:r>
      <w:r w:rsidRPr="00AE5D22">
        <w:rPr>
          <w:sz w:val="24"/>
          <w:szCs w:val="24"/>
        </w:rPr>
        <w:t>号决定第</w:t>
      </w:r>
      <w:r w:rsidRPr="00AE5D22">
        <w:rPr>
          <w:sz w:val="24"/>
          <w:szCs w:val="24"/>
        </w:rPr>
        <w:t>7</w:t>
      </w:r>
      <w:r w:rsidRPr="00AE5D22">
        <w:rPr>
          <w:sz w:val="24"/>
          <w:szCs w:val="24"/>
        </w:rPr>
        <w:t>段，其中决定在</w:t>
      </w:r>
      <w:r w:rsidRPr="00AE5D22">
        <w:rPr>
          <w:rFonts w:hint="eastAsia"/>
          <w:sz w:val="24"/>
          <w:szCs w:val="24"/>
        </w:rPr>
        <w:t>第十次会议上审议</w:t>
      </w:r>
      <w:r w:rsidR="00AB4D14">
        <w:rPr>
          <w:rFonts w:hint="eastAsia"/>
          <w:sz w:val="24"/>
          <w:szCs w:val="24"/>
        </w:rPr>
        <w:t xml:space="preserve"> (a)</w:t>
      </w:r>
      <w:r w:rsidR="00AB4D14">
        <w:rPr>
          <w:sz w:val="24"/>
          <w:szCs w:val="24"/>
        </w:rPr>
        <w:t xml:space="preserve"> </w:t>
      </w:r>
      <w:r w:rsidRPr="00AE5D22">
        <w:rPr>
          <w:rFonts w:hint="eastAsia"/>
          <w:sz w:val="24"/>
          <w:szCs w:val="24"/>
        </w:rPr>
        <w:t>含有人工基因驱动的改性活生物体和</w:t>
      </w:r>
      <w:r w:rsidR="00AB4D14">
        <w:rPr>
          <w:rFonts w:hint="eastAsia"/>
          <w:sz w:val="24"/>
          <w:szCs w:val="24"/>
        </w:rPr>
        <w:t xml:space="preserve"> (b)</w:t>
      </w:r>
      <w:r w:rsidR="00AB4D14">
        <w:rPr>
          <w:sz w:val="24"/>
          <w:szCs w:val="24"/>
        </w:rPr>
        <w:t xml:space="preserve"> </w:t>
      </w:r>
      <w:r w:rsidRPr="00AE5D22">
        <w:rPr>
          <w:rFonts w:hint="eastAsia"/>
          <w:sz w:val="24"/>
          <w:szCs w:val="24"/>
        </w:rPr>
        <w:t>改性活鱼的风险评估是否需要进一步指导材料</w:t>
      </w:r>
      <w:r w:rsidRPr="00AE5D22">
        <w:rPr>
          <w:sz w:val="24"/>
          <w:szCs w:val="24"/>
        </w:rPr>
        <w:t>，</w:t>
      </w:r>
      <w:r w:rsidR="005E7FBE">
        <w:rPr>
          <w:rFonts w:hint="eastAsia"/>
          <w:sz w:val="24"/>
          <w:szCs w:val="24"/>
        </w:rPr>
        <w:t xml:space="preserve"> </w:t>
      </w:r>
    </w:p>
    <w:p w14:paraId="7318AA2F" w14:textId="61B80F71" w:rsidR="00AB4D14" w:rsidRDefault="00AB4D14" w:rsidP="00923CCC">
      <w:pPr>
        <w:adjustRightInd w:val="0"/>
        <w:spacing w:before="120" w:line="240" w:lineRule="atLeast"/>
        <w:rPr>
          <w:sz w:val="24"/>
          <w:szCs w:val="24"/>
        </w:rPr>
      </w:pPr>
      <w:r>
        <w:rPr>
          <w:sz w:val="24"/>
          <w:szCs w:val="24"/>
        </w:rPr>
        <w:tab/>
      </w:r>
      <w:r w:rsidRPr="00AB4D14">
        <w:rPr>
          <w:rFonts w:ascii="楷体" w:eastAsia="楷体" w:hAnsi="楷体" w:hint="eastAsia"/>
          <w:sz w:val="24"/>
          <w:szCs w:val="24"/>
        </w:rPr>
        <w:t>又回顾</w:t>
      </w:r>
      <w:r>
        <w:rPr>
          <w:rFonts w:hint="eastAsia"/>
          <w:sz w:val="24"/>
          <w:szCs w:val="24"/>
        </w:rPr>
        <w:t>第</w:t>
      </w:r>
      <w:r>
        <w:rPr>
          <w:rFonts w:hint="eastAsia"/>
          <w:sz w:val="24"/>
          <w:szCs w:val="24"/>
        </w:rPr>
        <w:t>B</w:t>
      </w:r>
      <w:r>
        <w:rPr>
          <w:sz w:val="24"/>
          <w:szCs w:val="24"/>
        </w:rPr>
        <w:t>S-VII</w:t>
      </w:r>
      <w:r>
        <w:rPr>
          <w:rFonts w:hint="eastAsia"/>
          <w:sz w:val="24"/>
          <w:szCs w:val="24"/>
        </w:rPr>
        <w:t>/</w:t>
      </w:r>
      <w:r>
        <w:rPr>
          <w:sz w:val="24"/>
          <w:szCs w:val="24"/>
        </w:rPr>
        <w:t>12</w:t>
      </w:r>
      <w:r>
        <w:rPr>
          <w:rFonts w:hint="eastAsia"/>
          <w:sz w:val="24"/>
          <w:szCs w:val="24"/>
        </w:rPr>
        <w:t>号决定第</w:t>
      </w:r>
      <w:r>
        <w:rPr>
          <w:rFonts w:hint="eastAsia"/>
          <w:sz w:val="24"/>
          <w:szCs w:val="24"/>
        </w:rPr>
        <w:t>1</w:t>
      </w:r>
      <w:r>
        <w:rPr>
          <w:sz w:val="24"/>
          <w:szCs w:val="24"/>
        </w:rPr>
        <w:t>7</w:t>
      </w:r>
      <w:r>
        <w:rPr>
          <w:rFonts w:hint="eastAsia"/>
          <w:sz w:val="24"/>
          <w:szCs w:val="24"/>
        </w:rPr>
        <w:t>段，其中建议生物多样性公约缔约方大会</w:t>
      </w:r>
      <w:r w:rsidRPr="00AB4D14">
        <w:rPr>
          <w:sz w:val="24"/>
          <w:szCs w:val="24"/>
        </w:rPr>
        <w:t>考虑到《卡塔赫纳议定书》条款也</w:t>
      </w:r>
      <w:r>
        <w:rPr>
          <w:rFonts w:hint="eastAsia"/>
          <w:sz w:val="24"/>
          <w:szCs w:val="24"/>
        </w:rPr>
        <w:t>有可能</w:t>
      </w:r>
      <w:r w:rsidRPr="00AB4D14">
        <w:rPr>
          <w:sz w:val="24"/>
          <w:szCs w:val="24"/>
        </w:rPr>
        <w:t>适用于合成生物学所产生的活生物体，</w:t>
      </w:r>
      <w:r>
        <w:rPr>
          <w:rFonts w:hint="eastAsia"/>
          <w:sz w:val="24"/>
          <w:szCs w:val="24"/>
        </w:rPr>
        <w:t>与</w:t>
      </w:r>
      <w:r w:rsidRPr="00AB4D14">
        <w:rPr>
          <w:sz w:val="24"/>
          <w:szCs w:val="24"/>
        </w:rPr>
        <w:t>作为卡塔赫纳生物安全议定书缔约方会议的缔约方大会</w:t>
      </w:r>
      <w:r>
        <w:rPr>
          <w:rFonts w:hint="eastAsia"/>
          <w:sz w:val="24"/>
          <w:szCs w:val="24"/>
        </w:rPr>
        <w:t>一道采取协调方式，处理</w:t>
      </w:r>
      <w:r w:rsidRPr="00AB4D14">
        <w:rPr>
          <w:sz w:val="24"/>
          <w:szCs w:val="24"/>
        </w:rPr>
        <w:t>合成生物学问题</w:t>
      </w:r>
      <w:r>
        <w:rPr>
          <w:rFonts w:hint="eastAsia"/>
          <w:sz w:val="24"/>
          <w:szCs w:val="24"/>
        </w:rPr>
        <w:t>，</w:t>
      </w:r>
    </w:p>
    <w:p w14:paraId="6D354DF2" w14:textId="759495F5" w:rsidR="00517C6E" w:rsidRDefault="00517C6E" w:rsidP="00517C6E">
      <w:pPr>
        <w:adjustRightInd w:val="0"/>
        <w:spacing w:before="120" w:line="240" w:lineRule="atLeast"/>
        <w:ind w:firstLine="490"/>
        <w:rPr>
          <w:sz w:val="24"/>
          <w:szCs w:val="24"/>
        </w:rPr>
      </w:pPr>
      <w:r w:rsidRPr="00517C6E">
        <w:rPr>
          <w:rFonts w:eastAsia="楷体" w:hint="eastAsia"/>
          <w:sz w:val="24"/>
          <w:szCs w:val="24"/>
        </w:rPr>
        <w:t>回顾</w:t>
      </w:r>
      <w:r w:rsidRPr="00517C6E">
        <w:rPr>
          <w:rFonts w:hint="eastAsia"/>
          <w:sz w:val="24"/>
          <w:szCs w:val="24"/>
        </w:rPr>
        <w:t>根据《卡塔赫纳生物安全议定书》采取预防办法的重要性，</w:t>
      </w:r>
    </w:p>
    <w:p w14:paraId="61FF69A6" w14:textId="345480C5" w:rsidR="00AB4D14" w:rsidRPr="00AE5D22" w:rsidRDefault="00AB4D14" w:rsidP="00923CCC">
      <w:pPr>
        <w:adjustRightInd w:val="0"/>
        <w:spacing w:before="120" w:line="240" w:lineRule="atLeast"/>
        <w:rPr>
          <w:sz w:val="24"/>
          <w:szCs w:val="24"/>
        </w:rPr>
      </w:pPr>
      <w:r>
        <w:rPr>
          <w:sz w:val="24"/>
          <w:szCs w:val="24"/>
        </w:rPr>
        <w:tab/>
      </w:r>
      <w:r w:rsidRPr="00426987">
        <w:rPr>
          <w:rFonts w:ascii="楷体" w:eastAsia="楷体" w:hAnsi="楷体" w:hint="eastAsia"/>
          <w:sz w:val="24"/>
          <w:szCs w:val="24"/>
        </w:rPr>
        <w:t>注意到</w:t>
      </w:r>
      <w:r>
        <w:rPr>
          <w:rFonts w:hint="eastAsia"/>
          <w:sz w:val="24"/>
          <w:szCs w:val="24"/>
        </w:rPr>
        <w:t>关于在《卡塔赫纳生物安全议定书》第</w:t>
      </w:r>
      <w:r>
        <w:rPr>
          <w:rFonts w:hint="eastAsia"/>
          <w:sz w:val="24"/>
          <w:szCs w:val="24"/>
        </w:rPr>
        <w:t>2</w:t>
      </w:r>
      <w:r>
        <w:rPr>
          <w:sz w:val="24"/>
          <w:szCs w:val="24"/>
        </w:rPr>
        <w:t>6</w:t>
      </w:r>
      <w:r>
        <w:rPr>
          <w:rFonts w:hint="eastAsia"/>
          <w:sz w:val="24"/>
          <w:szCs w:val="24"/>
        </w:rPr>
        <w:t>条范围内评估社会经济考虑因素的自愿</w:t>
      </w:r>
      <w:r w:rsidR="00426987">
        <w:rPr>
          <w:rFonts w:hint="eastAsia"/>
          <w:sz w:val="24"/>
          <w:szCs w:val="24"/>
        </w:rPr>
        <w:t>指导</w:t>
      </w:r>
      <w:r w:rsidR="00650CAA">
        <w:rPr>
          <w:rFonts w:hint="eastAsia"/>
          <w:sz w:val="24"/>
          <w:szCs w:val="24"/>
        </w:rPr>
        <w:t>材料</w:t>
      </w:r>
      <w:r>
        <w:rPr>
          <w:rFonts w:hint="eastAsia"/>
          <w:sz w:val="24"/>
          <w:szCs w:val="24"/>
        </w:rPr>
        <w:t>，</w:t>
      </w:r>
      <w:r w:rsidR="000138EE">
        <w:rPr>
          <w:rFonts w:hint="eastAsia"/>
          <w:sz w:val="24"/>
          <w:szCs w:val="24"/>
        </w:rPr>
        <w:t xml:space="preserve"> </w:t>
      </w:r>
    </w:p>
    <w:p w14:paraId="596E913C" w14:textId="77777777" w:rsidR="00AE5D22" w:rsidRPr="00AE5D22" w:rsidRDefault="00AE5D22" w:rsidP="00923CCC">
      <w:pPr>
        <w:pStyle w:val="Para1"/>
        <w:numPr>
          <w:ilvl w:val="0"/>
          <w:numId w:val="26"/>
        </w:numPr>
        <w:suppressLineNumbers/>
        <w:suppressAutoHyphens/>
        <w:overflowPunct w:val="0"/>
        <w:autoSpaceDE w:val="0"/>
        <w:autoSpaceDN w:val="0"/>
        <w:adjustRightInd w:val="0"/>
        <w:spacing w:line="240" w:lineRule="atLeast"/>
        <w:ind w:left="0" w:firstLine="490"/>
        <w:rPr>
          <w:snapToGrid/>
          <w:sz w:val="24"/>
          <w:szCs w:val="24"/>
        </w:rPr>
      </w:pPr>
      <w:r w:rsidRPr="00AE5D22">
        <w:rPr>
          <w:rFonts w:ascii="楷体" w:eastAsia="楷体" w:hAnsi="楷体"/>
          <w:snapToGrid/>
          <w:sz w:val="24"/>
          <w:szCs w:val="24"/>
        </w:rPr>
        <w:t>欢迎</w:t>
      </w:r>
      <w:r w:rsidRPr="00AE5D22">
        <w:rPr>
          <w:snapToGrid/>
          <w:sz w:val="24"/>
          <w:szCs w:val="24"/>
        </w:rPr>
        <w:t>风险评估问题特设技术专家组的讨论成果；</w:t>
      </w:r>
      <w:r w:rsidRPr="00AE5D22">
        <w:rPr>
          <w:snapToGrid/>
          <w:sz w:val="24"/>
          <w:szCs w:val="24"/>
          <w:vertAlign w:val="superscript"/>
        </w:rPr>
        <w:footnoteReference w:id="2"/>
      </w:r>
    </w:p>
    <w:p w14:paraId="01C68DC8" w14:textId="77777777" w:rsidR="00AE5D22" w:rsidRPr="00AE5D22" w:rsidRDefault="00AE5D22" w:rsidP="00923CCC">
      <w:pPr>
        <w:pStyle w:val="Para1"/>
        <w:numPr>
          <w:ilvl w:val="0"/>
          <w:numId w:val="26"/>
        </w:numPr>
        <w:suppressLineNumbers/>
        <w:suppressAutoHyphens/>
        <w:overflowPunct w:val="0"/>
        <w:autoSpaceDE w:val="0"/>
        <w:autoSpaceDN w:val="0"/>
        <w:adjustRightInd w:val="0"/>
        <w:spacing w:line="240" w:lineRule="atLeast"/>
        <w:ind w:left="0" w:firstLine="490"/>
        <w:rPr>
          <w:snapToGrid/>
          <w:sz w:val="24"/>
          <w:szCs w:val="24"/>
        </w:rPr>
      </w:pPr>
      <w:r w:rsidRPr="00AE5D22">
        <w:rPr>
          <w:rFonts w:ascii="楷体" w:eastAsia="楷体" w:hAnsi="楷体"/>
          <w:snapToGrid/>
          <w:sz w:val="24"/>
          <w:szCs w:val="24"/>
        </w:rPr>
        <w:t>表示注意到</w:t>
      </w:r>
      <w:r w:rsidRPr="00AE5D22">
        <w:rPr>
          <w:snapToGrid/>
          <w:sz w:val="24"/>
          <w:szCs w:val="24"/>
        </w:rPr>
        <w:t>特设技术专家组就第</w:t>
      </w:r>
      <w:r w:rsidRPr="00AE5D22">
        <w:rPr>
          <w:snapToGrid/>
          <w:sz w:val="24"/>
          <w:szCs w:val="24"/>
        </w:rPr>
        <w:t>CP-9/13</w:t>
      </w:r>
      <w:r w:rsidRPr="00AE5D22">
        <w:rPr>
          <w:snapToGrid/>
          <w:sz w:val="24"/>
          <w:szCs w:val="24"/>
        </w:rPr>
        <w:t>号决定附件一中可能值得考虑的改性活生物体风险评估具体问题的确定和排序程序所作的澄清；</w:t>
      </w:r>
      <w:r w:rsidRPr="00AE5D22">
        <w:rPr>
          <w:snapToGrid/>
          <w:sz w:val="24"/>
          <w:szCs w:val="24"/>
          <w:vertAlign w:val="superscript"/>
        </w:rPr>
        <w:footnoteReference w:id="3"/>
      </w:r>
    </w:p>
    <w:p w14:paraId="3939E31C" w14:textId="20331A63" w:rsidR="00AE5D22" w:rsidRPr="00AE5D22" w:rsidRDefault="00426987" w:rsidP="00923CCC">
      <w:pPr>
        <w:pStyle w:val="Para1"/>
        <w:numPr>
          <w:ilvl w:val="0"/>
          <w:numId w:val="26"/>
        </w:numPr>
        <w:suppressLineNumbers/>
        <w:suppressAutoHyphens/>
        <w:overflowPunct w:val="0"/>
        <w:autoSpaceDE w:val="0"/>
        <w:autoSpaceDN w:val="0"/>
        <w:adjustRightInd w:val="0"/>
        <w:spacing w:line="240" w:lineRule="atLeast"/>
        <w:ind w:left="0" w:firstLine="490"/>
        <w:rPr>
          <w:snapToGrid/>
          <w:sz w:val="24"/>
          <w:szCs w:val="24"/>
        </w:rPr>
      </w:pPr>
      <w:r w:rsidRPr="00426987">
        <w:rPr>
          <w:rFonts w:ascii="楷体" w:eastAsia="楷体" w:hAnsi="楷体" w:hint="eastAsia"/>
          <w:snapToGrid/>
          <w:sz w:val="24"/>
          <w:szCs w:val="24"/>
        </w:rPr>
        <w:t>欢迎</w:t>
      </w:r>
      <w:r w:rsidR="00AE5D22" w:rsidRPr="00AE5D22">
        <w:rPr>
          <w:snapToGrid/>
          <w:sz w:val="24"/>
          <w:szCs w:val="24"/>
        </w:rPr>
        <w:t>特设技术专家组根据第</w:t>
      </w:r>
      <w:r w:rsidR="00AE5D22" w:rsidRPr="00AE5D22">
        <w:rPr>
          <w:snapToGrid/>
          <w:sz w:val="24"/>
          <w:szCs w:val="24"/>
        </w:rPr>
        <w:t>CP-9/13</w:t>
      </w:r>
      <w:r w:rsidR="00AE5D22" w:rsidRPr="00AE5D22">
        <w:rPr>
          <w:snapToGrid/>
          <w:sz w:val="24"/>
          <w:szCs w:val="24"/>
        </w:rPr>
        <w:t>号决定附件一就以下专题所作的分析：</w:t>
      </w:r>
      <w:r w:rsidR="00AB4D14" w:rsidRPr="00426987">
        <w:rPr>
          <w:snapToGrid/>
          <w:sz w:val="24"/>
          <w:szCs w:val="24"/>
        </w:rPr>
        <w:t>(a)</w:t>
      </w:r>
      <w:r>
        <w:rPr>
          <w:snapToGrid/>
          <w:sz w:val="24"/>
          <w:szCs w:val="24"/>
        </w:rPr>
        <w:t xml:space="preserve"> </w:t>
      </w:r>
      <w:r w:rsidR="00AE5D22" w:rsidRPr="00AE5D22">
        <w:rPr>
          <w:snapToGrid/>
          <w:sz w:val="24"/>
          <w:szCs w:val="24"/>
        </w:rPr>
        <w:t>含有人工基因驱动的改性活生物体和</w:t>
      </w:r>
      <w:r>
        <w:rPr>
          <w:rFonts w:hint="eastAsia"/>
          <w:snapToGrid/>
          <w:sz w:val="24"/>
          <w:szCs w:val="24"/>
        </w:rPr>
        <w:t xml:space="preserve"> </w:t>
      </w:r>
      <w:r w:rsidR="00AB4D14" w:rsidRPr="00426987">
        <w:rPr>
          <w:snapToGrid/>
          <w:sz w:val="24"/>
          <w:szCs w:val="24"/>
        </w:rPr>
        <w:t>(b)</w:t>
      </w:r>
      <w:r>
        <w:rPr>
          <w:snapToGrid/>
          <w:sz w:val="24"/>
          <w:szCs w:val="24"/>
        </w:rPr>
        <w:t xml:space="preserve"> </w:t>
      </w:r>
      <w:r w:rsidR="00AE5D22" w:rsidRPr="00AE5D22">
        <w:rPr>
          <w:snapToGrid/>
          <w:sz w:val="24"/>
          <w:szCs w:val="24"/>
        </w:rPr>
        <w:t>改性活鱼；</w:t>
      </w:r>
    </w:p>
    <w:p w14:paraId="7CCA7E84" w14:textId="3F167AC7" w:rsidR="00AE5D22" w:rsidRPr="00AE5D22" w:rsidRDefault="00AE5D22" w:rsidP="00923CCC">
      <w:pPr>
        <w:pStyle w:val="Para1"/>
        <w:numPr>
          <w:ilvl w:val="0"/>
          <w:numId w:val="26"/>
        </w:numPr>
        <w:suppressLineNumbers/>
        <w:suppressAutoHyphens/>
        <w:overflowPunct w:val="0"/>
        <w:autoSpaceDE w:val="0"/>
        <w:autoSpaceDN w:val="0"/>
        <w:adjustRightInd w:val="0"/>
        <w:spacing w:line="240" w:lineRule="atLeast"/>
        <w:ind w:left="0" w:firstLine="490"/>
        <w:rPr>
          <w:snapToGrid/>
          <w:sz w:val="24"/>
          <w:szCs w:val="24"/>
        </w:rPr>
      </w:pPr>
      <w:r w:rsidRPr="00AE5D22">
        <w:rPr>
          <w:rFonts w:ascii="楷体" w:eastAsia="楷体" w:hAnsi="楷体"/>
          <w:snapToGrid/>
          <w:sz w:val="24"/>
          <w:szCs w:val="24"/>
        </w:rPr>
        <w:t>注意到</w:t>
      </w:r>
      <w:r w:rsidRPr="00AE5D22">
        <w:rPr>
          <w:snapToGrid/>
          <w:sz w:val="24"/>
          <w:szCs w:val="24"/>
        </w:rPr>
        <w:t>关于需要制定改性活鱼风险评估指导意见的各种观点，</w:t>
      </w:r>
      <w:r w:rsidRPr="002F725B">
        <w:rPr>
          <w:rFonts w:eastAsia="楷体"/>
          <w:snapToGrid/>
          <w:sz w:val="24"/>
          <w:szCs w:val="24"/>
        </w:rPr>
        <w:t>决定</w:t>
      </w:r>
      <w:r w:rsidRPr="00AE5D22">
        <w:rPr>
          <w:snapToGrid/>
          <w:sz w:val="24"/>
          <w:szCs w:val="24"/>
        </w:rPr>
        <w:t>在现阶段不</w:t>
      </w:r>
      <w:r w:rsidR="00426987">
        <w:rPr>
          <w:rFonts w:hint="eastAsia"/>
          <w:snapToGrid/>
          <w:sz w:val="24"/>
          <w:szCs w:val="24"/>
        </w:rPr>
        <w:t>着手制定</w:t>
      </w:r>
      <w:r w:rsidRPr="00AE5D22">
        <w:rPr>
          <w:snapToGrid/>
          <w:sz w:val="24"/>
          <w:szCs w:val="24"/>
        </w:rPr>
        <w:t>关于改性活鱼风险评估的更多</w:t>
      </w:r>
      <w:r w:rsidR="00426987">
        <w:rPr>
          <w:rFonts w:hint="eastAsia"/>
          <w:snapToGrid/>
          <w:sz w:val="24"/>
          <w:szCs w:val="24"/>
        </w:rPr>
        <w:t>自愿</w:t>
      </w:r>
      <w:r w:rsidRPr="00AE5D22">
        <w:rPr>
          <w:snapToGrid/>
          <w:sz w:val="24"/>
          <w:szCs w:val="24"/>
        </w:rPr>
        <w:t>指导材料</w:t>
      </w:r>
      <w:r w:rsidR="00426987">
        <w:rPr>
          <w:rFonts w:hint="eastAsia"/>
          <w:snapToGrid/>
          <w:sz w:val="24"/>
          <w:szCs w:val="24"/>
        </w:rPr>
        <w:t>，并</w:t>
      </w:r>
      <w:r w:rsidR="00426987" w:rsidRPr="00426987">
        <w:rPr>
          <w:rFonts w:ascii="楷体" w:eastAsia="楷体" w:hAnsi="楷体" w:hint="eastAsia"/>
          <w:snapToGrid/>
          <w:sz w:val="24"/>
          <w:szCs w:val="24"/>
        </w:rPr>
        <w:t>鼓励</w:t>
      </w:r>
      <w:r w:rsidR="00426987">
        <w:rPr>
          <w:rFonts w:hint="eastAsia"/>
          <w:snapToGrid/>
          <w:sz w:val="24"/>
          <w:szCs w:val="24"/>
        </w:rPr>
        <w:t>缔约方、</w:t>
      </w:r>
      <w:r w:rsidR="00426987" w:rsidRPr="00426987">
        <w:rPr>
          <w:rFonts w:ascii="楷体" w:eastAsia="楷体" w:hAnsi="楷体" w:hint="eastAsia"/>
          <w:snapToGrid/>
          <w:sz w:val="24"/>
          <w:szCs w:val="24"/>
        </w:rPr>
        <w:t>邀请</w:t>
      </w:r>
      <w:r w:rsidR="00426987">
        <w:rPr>
          <w:rFonts w:hint="eastAsia"/>
          <w:snapToGrid/>
          <w:sz w:val="24"/>
          <w:szCs w:val="24"/>
        </w:rPr>
        <w:t>其他国家政府</w:t>
      </w:r>
      <w:r w:rsidR="00426987">
        <w:rPr>
          <w:rFonts w:hint="eastAsia"/>
          <w:snapToGrid/>
          <w:sz w:val="24"/>
          <w:szCs w:val="24"/>
        </w:rPr>
        <w:lastRenderedPageBreak/>
        <w:t>和相关组织促进改性活鱼风险评估方面的国际合作、信息共享和能力建设以及利用现有的指导材料，</w:t>
      </w:r>
      <w:r w:rsidR="00426987">
        <w:rPr>
          <w:rFonts w:hint="eastAsia"/>
          <w:snapToGrid/>
          <w:sz w:val="24"/>
          <w:szCs w:val="24"/>
        </w:rPr>
        <w:t>[</w:t>
      </w:r>
      <w:r w:rsidR="00426987">
        <w:rPr>
          <w:rFonts w:hint="eastAsia"/>
          <w:snapToGrid/>
          <w:sz w:val="24"/>
          <w:szCs w:val="24"/>
        </w:rPr>
        <w:t>以期在其第十一次会议上审议关于改性活鱼的进一步指导意见；</w:t>
      </w:r>
      <w:r w:rsidR="00426987">
        <w:rPr>
          <w:snapToGrid/>
          <w:sz w:val="24"/>
          <w:szCs w:val="24"/>
        </w:rPr>
        <w:t>]</w:t>
      </w:r>
    </w:p>
    <w:p w14:paraId="7F647A85" w14:textId="6C01EBA3" w:rsidR="00AE5D22" w:rsidRDefault="00AE5D22" w:rsidP="00923CCC">
      <w:pPr>
        <w:pStyle w:val="Para1"/>
        <w:numPr>
          <w:ilvl w:val="0"/>
          <w:numId w:val="26"/>
        </w:numPr>
        <w:suppressLineNumbers/>
        <w:suppressAutoHyphens/>
        <w:overflowPunct w:val="0"/>
        <w:autoSpaceDE w:val="0"/>
        <w:autoSpaceDN w:val="0"/>
        <w:adjustRightInd w:val="0"/>
        <w:spacing w:line="240" w:lineRule="atLeast"/>
        <w:ind w:left="0" w:firstLine="490"/>
        <w:rPr>
          <w:snapToGrid/>
          <w:sz w:val="24"/>
          <w:szCs w:val="24"/>
        </w:rPr>
      </w:pPr>
      <w:r w:rsidRPr="00AE5D22">
        <w:rPr>
          <w:rFonts w:ascii="楷体" w:eastAsia="楷体" w:hAnsi="楷体"/>
          <w:snapToGrid/>
          <w:sz w:val="24"/>
          <w:szCs w:val="24"/>
        </w:rPr>
        <w:t>认可</w:t>
      </w:r>
      <w:r w:rsidRPr="00AE5D22">
        <w:rPr>
          <w:snapToGrid/>
          <w:sz w:val="24"/>
          <w:szCs w:val="24"/>
        </w:rPr>
        <w:t>特设技术专家组的建议，即应制定</w:t>
      </w:r>
      <w:r w:rsidR="00650CAA">
        <w:rPr>
          <w:rFonts w:hint="eastAsia"/>
          <w:snapToGrid/>
          <w:sz w:val="24"/>
          <w:szCs w:val="24"/>
        </w:rPr>
        <w:t>更多的自愿指导材料，支持对</w:t>
      </w:r>
      <w:r w:rsidRPr="00AE5D22">
        <w:rPr>
          <w:snapToGrid/>
          <w:sz w:val="24"/>
          <w:szCs w:val="24"/>
        </w:rPr>
        <w:t>含有人工基因驱动的改性活生物体风险</w:t>
      </w:r>
      <w:r w:rsidR="00650CAA">
        <w:rPr>
          <w:rFonts w:hint="eastAsia"/>
          <w:snapToGrid/>
          <w:sz w:val="24"/>
          <w:szCs w:val="24"/>
        </w:rPr>
        <w:t>进行个案风险</w:t>
      </w:r>
      <w:r w:rsidRPr="00AE5D22">
        <w:rPr>
          <w:snapToGrid/>
          <w:sz w:val="24"/>
          <w:szCs w:val="24"/>
        </w:rPr>
        <w:t>评估；</w:t>
      </w:r>
    </w:p>
    <w:p w14:paraId="20B9CC6B" w14:textId="16ACFDFB" w:rsidR="00650CAA" w:rsidRPr="00650CAA" w:rsidRDefault="00650CAA" w:rsidP="00923CCC">
      <w:pPr>
        <w:rPr>
          <w:snapToGrid w:val="0"/>
          <w:sz w:val="24"/>
          <w:szCs w:val="24"/>
        </w:rPr>
      </w:pPr>
      <w:r>
        <w:tab/>
      </w:r>
      <w:r w:rsidRPr="00650CAA">
        <w:rPr>
          <w:rFonts w:hint="eastAsia"/>
          <w:sz w:val="24"/>
          <w:szCs w:val="24"/>
        </w:rPr>
        <w:t>[</w:t>
      </w:r>
      <w:r w:rsidRPr="00650CAA">
        <w:rPr>
          <w:sz w:val="24"/>
          <w:szCs w:val="24"/>
        </w:rPr>
        <w:t>6.</w:t>
      </w:r>
      <w:r>
        <w:rPr>
          <w:sz w:val="24"/>
          <w:szCs w:val="24"/>
        </w:rPr>
        <w:tab/>
      </w:r>
      <w:r w:rsidRPr="00650CAA">
        <w:rPr>
          <w:rFonts w:ascii="楷体" w:eastAsia="楷体" w:hAnsi="楷体" w:hint="eastAsia"/>
          <w:sz w:val="24"/>
          <w:szCs w:val="24"/>
        </w:rPr>
        <w:t>请求</w:t>
      </w:r>
      <w:r>
        <w:rPr>
          <w:rFonts w:hint="eastAsia"/>
          <w:sz w:val="24"/>
          <w:szCs w:val="24"/>
        </w:rPr>
        <w:t>设立一个专家小组，挑选的专家应具备必要的</w:t>
      </w:r>
      <w:r w:rsidR="00256C9C">
        <w:rPr>
          <w:rFonts w:hint="eastAsia"/>
          <w:sz w:val="24"/>
          <w:szCs w:val="24"/>
        </w:rPr>
        <w:t>专门科学</w:t>
      </w:r>
      <w:r>
        <w:rPr>
          <w:rFonts w:hint="eastAsia"/>
          <w:sz w:val="24"/>
          <w:szCs w:val="24"/>
        </w:rPr>
        <w:t>知识，来为关于</w:t>
      </w:r>
      <w:r w:rsidRPr="00AE5D22">
        <w:rPr>
          <w:sz w:val="24"/>
          <w:szCs w:val="24"/>
        </w:rPr>
        <w:t>含有人工基因驱动的改性活生物体</w:t>
      </w:r>
      <w:r>
        <w:rPr>
          <w:rFonts w:hint="eastAsia"/>
          <w:sz w:val="24"/>
          <w:szCs w:val="24"/>
        </w:rPr>
        <w:t>风险评估的更多指导材料编写详细大纲和初稿，从而确保</w:t>
      </w:r>
      <w:r w:rsidR="00D24C8D">
        <w:rPr>
          <w:rFonts w:hint="eastAsia"/>
          <w:sz w:val="24"/>
          <w:szCs w:val="24"/>
        </w:rPr>
        <w:t>起草</w:t>
      </w:r>
      <w:r>
        <w:rPr>
          <w:rFonts w:hint="eastAsia"/>
          <w:sz w:val="24"/>
          <w:szCs w:val="24"/>
        </w:rPr>
        <w:t>过程的快速高效；</w:t>
      </w:r>
      <w:r>
        <w:rPr>
          <w:rFonts w:hint="eastAsia"/>
          <w:sz w:val="24"/>
          <w:szCs w:val="24"/>
        </w:rPr>
        <w:t>]</w:t>
      </w:r>
    </w:p>
    <w:p w14:paraId="4CBD4829" w14:textId="46C3B2E0" w:rsidR="00AE5D22" w:rsidRPr="00AE5D22" w:rsidRDefault="00AE5D22" w:rsidP="00923CCC">
      <w:pPr>
        <w:pStyle w:val="Para1"/>
        <w:numPr>
          <w:ilvl w:val="0"/>
          <w:numId w:val="28"/>
        </w:numPr>
        <w:suppressLineNumbers/>
        <w:suppressAutoHyphens/>
        <w:overflowPunct w:val="0"/>
        <w:autoSpaceDE w:val="0"/>
        <w:autoSpaceDN w:val="0"/>
        <w:adjustRightInd w:val="0"/>
        <w:spacing w:line="240" w:lineRule="atLeast"/>
        <w:ind w:left="0" w:firstLine="490"/>
        <w:rPr>
          <w:snapToGrid/>
          <w:sz w:val="24"/>
          <w:szCs w:val="24"/>
        </w:rPr>
      </w:pPr>
      <w:r w:rsidRPr="00AE5D22">
        <w:rPr>
          <w:rFonts w:ascii="楷体" w:eastAsia="楷体" w:hAnsi="楷体"/>
          <w:snapToGrid/>
          <w:sz w:val="24"/>
          <w:szCs w:val="24"/>
        </w:rPr>
        <w:t>决定</w:t>
      </w:r>
      <w:r w:rsidRPr="00AE5D22">
        <w:rPr>
          <w:snapToGrid/>
          <w:sz w:val="24"/>
          <w:szCs w:val="24"/>
        </w:rPr>
        <w:t>设立一个风险评估问题特设技术专家组，根据</w:t>
      </w:r>
      <w:r w:rsidR="00735BFF">
        <w:rPr>
          <w:rFonts w:hint="eastAsia"/>
          <w:snapToGrid/>
          <w:sz w:val="24"/>
          <w:szCs w:val="24"/>
        </w:rPr>
        <w:t>本文</w:t>
      </w:r>
      <w:r w:rsidRPr="00AE5D22">
        <w:rPr>
          <w:snapToGrid/>
          <w:sz w:val="24"/>
          <w:szCs w:val="24"/>
        </w:rPr>
        <w:t>所附职权范围</w:t>
      </w:r>
      <w:r w:rsidR="00735BFF">
        <w:rPr>
          <w:rFonts w:hint="eastAsia"/>
          <w:snapToGrid/>
          <w:sz w:val="24"/>
          <w:szCs w:val="24"/>
        </w:rPr>
        <w:t>开展工作</w:t>
      </w:r>
      <w:r w:rsidRPr="00AE5D22">
        <w:rPr>
          <w:snapToGrid/>
          <w:sz w:val="24"/>
          <w:szCs w:val="24"/>
        </w:rPr>
        <w:t>；</w:t>
      </w:r>
    </w:p>
    <w:p w14:paraId="148632E0" w14:textId="2D44C6EE" w:rsidR="00AE5D22" w:rsidRDefault="00AE5D22" w:rsidP="00923CCC">
      <w:pPr>
        <w:pStyle w:val="Para1"/>
        <w:numPr>
          <w:ilvl w:val="0"/>
          <w:numId w:val="28"/>
        </w:numPr>
        <w:suppressLineNumbers/>
        <w:suppressAutoHyphens/>
        <w:overflowPunct w:val="0"/>
        <w:autoSpaceDE w:val="0"/>
        <w:autoSpaceDN w:val="0"/>
        <w:adjustRightInd w:val="0"/>
        <w:spacing w:line="240" w:lineRule="atLeast"/>
        <w:ind w:left="0" w:firstLine="490"/>
        <w:rPr>
          <w:snapToGrid/>
          <w:sz w:val="24"/>
          <w:szCs w:val="24"/>
        </w:rPr>
      </w:pPr>
      <w:r w:rsidRPr="00AE5D22">
        <w:rPr>
          <w:rFonts w:ascii="楷体" w:eastAsia="楷体" w:hAnsi="楷体"/>
          <w:snapToGrid/>
          <w:sz w:val="24"/>
          <w:szCs w:val="24"/>
        </w:rPr>
        <w:t>邀请</w:t>
      </w:r>
      <w:r w:rsidRPr="00AE5D22">
        <w:rPr>
          <w:snapToGrid/>
          <w:sz w:val="24"/>
          <w:szCs w:val="24"/>
        </w:rPr>
        <w:t>缔约方、其他国家政府、土著人民和地方社区以及相关组织向执行秘书提交与</w:t>
      </w:r>
      <w:r w:rsidR="00735BFF" w:rsidRPr="00AE5D22">
        <w:rPr>
          <w:snapToGrid/>
          <w:sz w:val="24"/>
          <w:szCs w:val="24"/>
        </w:rPr>
        <w:t>特设技术专家组</w:t>
      </w:r>
      <w:r w:rsidR="00735BFF">
        <w:rPr>
          <w:rFonts w:hint="eastAsia"/>
          <w:snapToGrid/>
          <w:sz w:val="24"/>
          <w:szCs w:val="24"/>
        </w:rPr>
        <w:t>的</w:t>
      </w:r>
      <w:r w:rsidRPr="00AE5D22">
        <w:rPr>
          <w:snapToGrid/>
          <w:sz w:val="24"/>
          <w:szCs w:val="24"/>
        </w:rPr>
        <w:t>工作有关的信息；</w:t>
      </w:r>
    </w:p>
    <w:p w14:paraId="429052D5" w14:textId="1198939E" w:rsidR="00735BFF" w:rsidRDefault="002F725B" w:rsidP="00923CCC">
      <w:pPr>
        <w:pStyle w:val="Para1"/>
        <w:numPr>
          <w:ilvl w:val="0"/>
          <w:numId w:val="28"/>
        </w:numPr>
        <w:suppressLineNumbers/>
        <w:suppressAutoHyphens/>
        <w:overflowPunct w:val="0"/>
        <w:autoSpaceDE w:val="0"/>
        <w:autoSpaceDN w:val="0"/>
        <w:adjustRightInd w:val="0"/>
        <w:spacing w:line="240" w:lineRule="atLeast"/>
        <w:ind w:left="0" w:firstLine="490"/>
        <w:rPr>
          <w:snapToGrid/>
          <w:sz w:val="24"/>
          <w:szCs w:val="24"/>
        </w:rPr>
      </w:pPr>
      <w:r>
        <w:rPr>
          <w:rFonts w:ascii="楷体" w:eastAsia="楷体" w:hAnsi="楷体" w:hint="eastAsia"/>
          <w:snapToGrid/>
          <w:sz w:val="24"/>
          <w:szCs w:val="24"/>
        </w:rPr>
        <w:t>邀</w:t>
      </w:r>
      <w:r w:rsidR="00735BFF" w:rsidRPr="00735BFF">
        <w:rPr>
          <w:rFonts w:ascii="楷体" w:eastAsia="楷体" w:hAnsi="楷体" w:hint="eastAsia"/>
          <w:snapToGrid/>
          <w:sz w:val="24"/>
          <w:szCs w:val="24"/>
        </w:rPr>
        <w:t>请</w:t>
      </w:r>
      <w:r w:rsidR="00735BFF">
        <w:rPr>
          <w:rFonts w:hint="eastAsia"/>
          <w:snapToGrid/>
          <w:sz w:val="24"/>
          <w:szCs w:val="24"/>
        </w:rPr>
        <w:t>缔约方还提交信息，说明其在具体的改性活生物体风险评估专题上对于更多指导材料的需求和关于这些材料的</w:t>
      </w:r>
      <w:r w:rsidR="007A544E">
        <w:rPr>
          <w:rFonts w:hint="eastAsia"/>
          <w:snapToGrid/>
          <w:sz w:val="24"/>
          <w:szCs w:val="24"/>
        </w:rPr>
        <w:t>优先事项</w:t>
      </w:r>
      <w:r w:rsidR="00735BFF">
        <w:rPr>
          <w:rFonts w:hint="eastAsia"/>
          <w:snapToGrid/>
          <w:sz w:val="24"/>
          <w:szCs w:val="24"/>
        </w:rPr>
        <w:t>，包括</w:t>
      </w:r>
      <w:r w:rsidR="00735BFF">
        <w:rPr>
          <w:rFonts w:hint="eastAsia"/>
          <w:snapToGrid/>
          <w:sz w:val="24"/>
          <w:szCs w:val="24"/>
        </w:rPr>
        <w:t>[</w:t>
      </w:r>
      <w:r w:rsidR="00735BFF">
        <w:rPr>
          <w:rFonts w:hint="eastAsia"/>
          <w:snapToGrid/>
          <w:sz w:val="24"/>
          <w:szCs w:val="24"/>
        </w:rPr>
        <w:t>参照</w:t>
      </w:r>
      <w:r w:rsidR="00735BFF">
        <w:rPr>
          <w:snapToGrid/>
          <w:sz w:val="24"/>
          <w:szCs w:val="24"/>
        </w:rPr>
        <w:t>][</w:t>
      </w:r>
      <w:r w:rsidR="00735BFF">
        <w:rPr>
          <w:rFonts w:hint="eastAsia"/>
          <w:snapToGrid/>
          <w:sz w:val="24"/>
          <w:szCs w:val="24"/>
        </w:rPr>
        <w:t>根据</w:t>
      </w:r>
      <w:r w:rsidR="00735BFF">
        <w:rPr>
          <w:snapToGrid/>
          <w:sz w:val="24"/>
          <w:szCs w:val="24"/>
        </w:rPr>
        <w:t>]</w:t>
      </w:r>
      <w:r w:rsidR="00735BFF">
        <w:rPr>
          <w:rFonts w:hint="eastAsia"/>
          <w:snapToGrid/>
          <w:sz w:val="24"/>
          <w:szCs w:val="24"/>
        </w:rPr>
        <w:t>第</w:t>
      </w:r>
      <w:r w:rsidR="00735BFF">
        <w:rPr>
          <w:rFonts w:hint="eastAsia"/>
          <w:snapToGrid/>
          <w:sz w:val="24"/>
          <w:szCs w:val="24"/>
        </w:rPr>
        <w:t>C</w:t>
      </w:r>
      <w:r w:rsidR="00735BFF">
        <w:rPr>
          <w:snapToGrid/>
          <w:sz w:val="24"/>
          <w:szCs w:val="24"/>
        </w:rPr>
        <w:t>P-9/13</w:t>
      </w:r>
      <w:r w:rsidR="00735BFF">
        <w:rPr>
          <w:rFonts w:hint="eastAsia"/>
          <w:snapToGrid/>
          <w:sz w:val="24"/>
          <w:szCs w:val="24"/>
        </w:rPr>
        <w:t>号决定附件一所载标准说明理由；</w:t>
      </w:r>
    </w:p>
    <w:p w14:paraId="1B9D879A" w14:textId="433C11C8" w:rsidR="00735BFF" w:rsidRPr="00AE5D22" w:rsidRDefault="00735BFF" w:rsidP="00923CCC">
      <w:pPr>
        <w:pStyle w:val="Para1"/>
        <w:numPr>
          <w:ilvl w:val="0"/>
          <w:numId w:val="28"/>
        </w:numPr>
        <w:suppressLineNumbers/>
        <w:suppressAutoHyphens/>
        <w:overflowPunct w:val="0"/>
        <w:autoSpaceDE w:val="0"/>
        <w:autoSpaceDN w:val="0"/>
        <w:adjustRightInd w:val="0"/>
        <w:spacing w:line="240" w:lineRule="atLeast"/>
        <w:ind w:left="0" w:firstLine="490"/>
        <w:rPr>
          <w:snapToGrid/>
          <w:sz w:val="24"/>
          <w:szCs w:val="24"/>
        </w:rPr>
      </w:pPr>
      <w:r w:rsidRPr="008B6B2D">
        <w:rPr>
          <w:rFonts w:ascii="楷体" w:eastAsia="楷体" w:hAnsi="楷体" w:hint="eastAsia"/>
          <w:snapToGrid/>
          <w:sz w:val="24"/>
          <w:szCs w:val="24"/>
        </w:rPr>
        <w:t>吁请</w:t>
      </w:r>
      <w:r>
        <w:rPr>
          <w:rFonts w:hint="eastAsia"/>
          <w:snapToGrid/>
          <w:sz w:val="24"/>
          <w:szCs w:val="24"/>
        </w:rPr>
        <w:t>缔约方、其他国家政府和相关组织继续传播有助于改性</w:t>
      </w:r>
      <w:r w:rsidR="008B6B2D">
        <w:rPr>
          <w:rFonts w:hint="eastAsia"/>
          <w:snapToGrid/>
          <w:sz w:val="24"/>
          <w:szCs w:val="24"/>
        </w:rPr>
        <w:t>活生物体</w:t>
      </w:r>
      <w:r>
        <w:rPr>
          <w:rFonts w:hint="eastAsia"/>
          <w:snapToGrid/>
          <w:sz w:val="24"/>
          <w:szCs w:val="24"/>
        </w:rPr>
        <w:t>风险评估，包括对改性活鱼和</w:t>
      </w:r>
      <w:r w:rsidR="008B6B2D" w:rsidRPr="00AE5D22">
        <w:rPr>
          <w:snapToGrid/>
          <w:sz w:val="24"/>
          <w:szCs w:val="24"/>
        </w:rPr>
        <w:t>含有人工基因驱动的生物体</w:t>
      </w:r>
      <w:r w:rsidR="008B6B2D">
        <w:rPr>
          <w:rFonts w:hint="eastAsia"/>
          <w:snapToGrid/>
          <w:sz w:val="24"/>
          <w:szCs w:val="24"/>
        </w:rPr>
        <w:t>进行风险评估的</w:t>
      </w:r>
      <w:r>
        <w:rPr>
          <w:rFonts w:hint="eastAsia"/>
          <w:snapToGrid/>
          <w:sz w:val="24"/>
          <w:szCs w:val="24"/>
        </w:rPr>
        <w:t>信息</w:t>
      </w:r>
      <w:r w:rsidR="008B6B2D">
        <w:rPr>
          <w:rFonts w:hint="eastAsia"/>
          <w:snapToGrid/>
          <w:sz w:val="24"/>
          <w:szCs w:val="24"/>
        </w:rPr>
        <w:t>，</w:t>
      </w:r>
      <w:r>
        <w:rPr>
          <w:rFonts w:hint="eastAsia"/>
          <w:snapToGrid/>
          <w:sz w:val="24"/>
          <w:szCs w:val="24"/>
        </w:rPr>
        <w:t>分享经验，尤其是通过生物安全信息交换所这样做</w:t>
      </w:r>
      <w:r w:rsidR="008B6B2D">
        <w:rPr>
          <w:rFonts w:hint="eastAsia"/>
          <w:snapToGrid/>
          <w:sz w:val="24"/>
          <w:szCs w:val="24"/>
        </w:rPr>
        <w:t>；</w:t>
      </w:r>
    </w:p>
    <w:p w14:paraId="7B5A7704" w14:textId="77777777" w:rsidR="00AE5D22" w:rsidRPr="00AE5D22" w:rsidRDefault="00AE5D22" w:rsidP="00923CCC">
      <w:pPr>
        <w:pStyle w:val="Para1"/>
        <w:numPr>
          <w:ilvl w:val="0"/>
          <w:numId w:val="28"/>
        </w:numPr>
        <w:suppressLineNumbers/>
        <w:suppressAutoHyphens/>
        <w:overflowPunct w:val="0"/>
        <w:autoSpaceDE w:val="0"/>
        <w:autoSpaceDN w:val="0"/>
        <w:adjustRightInd w:val="0"/>
        <w:spacing w:line="240" w:lineRule="atLeast"/>
        <w:ind w:left="0" w:firstLine="490"/>
        <w:rPr>
          <w:snapToGrid/>
          <w:sz w:val="24"/>
          <w:szCs w:val="24"/>
        </w:rPr>
      </w:pPr>
      <w:r w:rsidRPr="00AE5D22">
        <w:rPr>
          <w:rFonts w:ascii="楷体" w:eastAsia="楷体" w:hAnsi="楷体"/>
          <w:snapToGrid/>
          <w:sz w:val="24"/>
          <w:szCs w:val="24"/>
        </w:rPr>
        <w:t>请</w:t>
      </w:r>
      <w:r w:rsidRPr="00AE5D22">
        <w:rPr>
          <w:snapToGrid/>
          <w:sz w:val="24"/>
          <w:szCs w:val="24"/>
        </w:rPr>
        <w:t>执行秘书：</w:t>
      </w:r>
    </w:p>
    <w:p w14:paraId="7C33373E" w14:textId="68005DF6" w:rsidR="008B6B2D" w:rsidRDefault="008B6B2D" w:rsidP="00923CCC">
      <w:pPr>
        <w:rPr>
          <w:sz w:val="24"/>
          <w:szCs w:val="24"/>
        </w:rPr>
      </w:pPr>
      <w:r>
        <w:rPr>
          <w:sz w:val="24"/>
          <w:szCs w:val="24"/>
        </w:rPr>
        <w:tab/>
        <w:t>[(a)</w:t>
      </w:r>
      <w:r>
        <w:rPr>
          <w:sz w:val="24"/>
          <w:szCs w:val="24"/>
        </w:rPr>
        <w:tab/>
      </w:r>
      <w:r w:rsidR="00D24C8D">
        <w:rPr>
          <w:rFonts w:hint="eastAsia"/>
          <w:sz w:val="24"/>
          <w:szCs w:val="24"/>
        </w:rPr>
        <w:t>如资源允许，</w:t>
      </w:r>
      <w:r>
        <w:rPr>
          <w:rFonts w:hint="eastAsia"/>
          <w:sz w:val="24"/>
          <w:szCs w:val="24"/>
        </w:rPr>
        <w:t>委托一个由</w:t>
      </w:r>
      <w:r>
        <w:rPr>
          <w:rFonts w:hint="eastAsia"/>
          <w:sz w:val="24"/>
          <w:szCs w:val="24"/>
        </w:rPr>
        <w:t>3</w:t>
      </w:r>
      <w:r>
        <w:rPr>
          <w:rFonts w:hint="eastAsia"/>
          <w:sz w:val="24"/>
          <w:szCs w:val="24"/>
        </w:rPr>
        <w:t>至</w:t>
      </w:r>
      <w:r>
        <w:rPr>
          <w:rFonts w:hint="eastAsia"/>
          <w:sz w:val="24"/>
          <w:szCs w:val="24"/>
        </w:rPr>
        <w:t>6</w:t>
      </w:r>
      <w:r>
        <w:rPr>
          <w:rFonts w:hint="eastAsia"/>
          <w:sz w:val="24"/>
          <w:szCs w:val="24"/>
        </w:rPr>
        <w:t>人组成</w:t>
      </w:r>
      <w:r w:rsidR="003C492E">
        <w:rPr>
          <w:rFonts w:hint="eastAsia"/>
          <w:sz w:val="24"/>
          <w:szCs w:val="24"/>
        </w:rPr>
        <w:t>的</w:t>
      </w:r>
      <w:r>
        <w:rPr>
          <w:rFonts w:hint="eastAsia"/>
          <w:sz w:val="24"/>
          <w:szCs w:val="24"/>
        </w:rPr>
        <w:t>专家小组</w:t>
      </w:r>
      <w:r w:rsidRPr="008B6B2D">
        <w:rPr>
          <w:rFonts w:hint="eastAsia"/>
          <w:sz w:val="24"/>
          <w:szCs w:val="24"/>
        </w:rPr>
        <w:t>来为关于</w:t>
      </w:r>
      <w:r w:rsidRPr="00AE5D22">
        <w:rPr>
          <w:sz w:val="24"/>
          <w:szCs w:val="24"/>
        </w:rPr>
        <w:t>含有人工基因驱动的改性活生物体</w:t>
      </w:r>
      <w:r w:rsidRPr="008B6B2D">
        <w:rPr>
          <w:sz w:val="24"/>
          <w:szCs w:val="24"/>
        </w:rPr>
        <w:t>风险评估</w:t>
      </w:r>
      <w:r w:rsidRPr="008B6B2D">
        <w:rPr>
          <w:rFonts w:hint="eastAsia"/>
          <w:sz w:val="24"/>
          <w:szCs w:val="24"/>
        </w:rPr>
        <w:t>的更多指导材料编写详细大纲和初稿</w:t>
      </w:r>
      <w:r w:rsidR="003C492E">
        <w:rPr>
          <w:rFonts w:hint="eastAsia"/>
          <w:sz w:val="24"/>
          <w:szCs w:val="24"/>
        </w:rPr>
        <w:t>，</w:t>
      </w:r>
      <w:r w:rsidR="003C492E" w:rsidRPr="008B6B2D">
        <w:rPr>
          <w:rFonts w:hint="eastAsia"/>
          <w:sz w:val="24"/>
          <w:szCs w:val="24"/>
        </w:rPr>
        <w:t>挑选的专家应</w:t>
      </w:r>
      <w:r w:rsidR="003C492E">
        <w:rPr>
          <w:rFonts w:hint="eastAsia"/>
          <w:sz w:val="24"/>
          <w:szCs w:val="24"/>
        </w:rPr>
        <w:t>为此</w:t>
      </w:r>
      <w:r w:rsidR="003C492E" w:rsidRPr="008B6B2D">
        <w:rPr>
          <w:rFonts w:hint="eastAsia"/>
          <w:sz w:val="24"/>
          <w:szCs w:val="24"/>
        </w:rPr>
        <w:t>具备必要的</w:t>
      </w:r>
      <w:r w:rsidR="003C492E">
        <w:rPr>
          <w:rFonts w:hint="eastAsia"/>
          <w:sz w:val="24"/>
          <w:szCs w:val="24"/>
        </w:rPr>
        <w:t>专门科学</w:t>
      </w:r>
      <w:r w:rsidR="003C492E" w:rsidRPr="008B6B2D">
        <w:rPr>
          <w:rFonts w:hint="eastAsia"/>
          <w:sz w:val="24"/>
          <w:szCs w:val="24"/>
        </w:rPr>
        <w:t>知识</w:t>
      </w:r>
      <w:r w:rsidRPr="008B6B2D">
        <w:rPr>
          <w:rFonts w:hint="eastAsia"/>
          <w:sz w:val="24"/>
          <w:szCs w:val="24"/>
        </w:rPr>
        <w:t>；</w:t>
      </w:r>
      <w:r>
        <w:rPr>
          <w:rFonts w:hint="eastAsia"/>
          <w:sz w:val="24"/>
          <w:szCs w:val="24"/>
        </w:rPr>
        <w:t>]</w:t>
      </w:r>
    </w:p>
    <w:p w14:paraId="5894C4C5" w14:textId="688AC6CC" w:rsidR="00AE5D22" w:rsidRPr="00AE5D22" w:rsidRDefault="00AE5D22" w:rsidP="00923CCC">
      <w:pPr>
        <w:pStyle w:val="Para1"/>
        <w:numPr>
          <w:ilvl w:val="0"/>
          <w:numId w:val="31"/>
        </w:numPr>
        <w:suppressLineNumbers/>
        <w:suppressAutoHyphens/>
        <w:overflowPunct w:val="0"/>
        <w:autoSpaceDE w:val="0"/>
        <w:autoSpaceDN w:val="0"/>
        <w:adjustRightInd w:val="0"/>
        <w:spacing w:line="240" w:lineRule="atLeast"/>
        <w:ind w:left="0" w:firstLine="490"/>
        <w:rPr>
          <w:kern w:val="22"/>
          <w:sz w:val="24"/>
          <w:szCs w:val="24"/>
          <w:lang w:val="en-GB"/>
        </w:rPr>
      </w:pPr>
      <w:r w:rsidRPr="00AE5D22">
        <w:rPr>
          <w:kern w:val="22"/>
          <w:sz w:val="24"/>
          <w:szCs w:val="24"/>
          <w:lang w:val="en-GB"/>
        </w:rPr>
        <w:t>召集风险评估和风险管理在线论坛</w:t>
      </w:r>
      <w:r w:rsidR="008B6B2D">
        <w:rPr>
          <w:rFonts w:hint="eastAsia"/>
          <w:kern w:val="22"/>
          <w:sz w:val="24"/>
          <w:szCs w:val="24"/>
          <w:lang w:val="en-GB"/>
        </w:rPr>
        <w:t>的</w:t>
      </w:r>
      <w:r w:rsidRPr="00AE5D22">
        <w:rPr>
          <w:kern w:val="22"/>
          <w:sz w:val="24"/>
          <w:szCs w:val="24"/>
          <w:lang w:val="en-GB"/>
        </w:rPr>
        <w:t>在线讨论，</w:t>
      </w:r>
      <w:r w:rsidR="008B6B2D">
        <w:rPr>
          <w:rFonts w:hint="eastAsia"/>
          <w:kern w:val="22"/>
          <w:sz w:val="24"/>
          <w:szCs w:val="24"/>
          <w:lang w:val="en-GB"/>
        </w:rPr>
        <w:t>以审查</w:t>
      </w:r>
      <w:r w:rsidR="008B6B2D">
        <w:rPr>
          <w:rFonts w:hint="eastAsia"/>
          <w:kern w:val="22"/>
          <w:sz w:val="24"/>
          <w:szCs w:val="24"/>
        </w:rPr>
        <w:t>更多自愿</w:t>
      </w:r>
      <w:r w:rsidR="008B6B2D" w:rsidRPr="008B6B2D">
        <w:rPr>
          <w:rFonts w:hint="eastAsia"/>
          <w:kern w:val="22"/>
          <w:sz w:val="24"/>
          <w:szCs w:val="24"/>
        </w:rPr>
        <w:t>指导材料</w:t>
      </w:r>
      <w:r w:rsidR="008B6B2D">
        <w:rPr>
          <w:rFonts w:hint="eastAsia"/>
          <w:kern w:val="22"/>
          <w:sz w:val="24"/>
          <w:szCs w:val="24"/>
        </w:rPr>
        <w:t>的</w:t>
      </w:r>
      <w:r w:rsidR="008B6B2D" w:rsidRPr="008B6B2D">
        <w:rPr>
          <w:rFonts w:hint="eastAsia"/>
          <w:kern w:val="22"/>
          <w:sz w:val="24"/>
          <w:szCs w:val="24"/>
        </w:rPr>
        <w:t>大纲和初稿</w:t>
      </w:r>
      <w:r w:rsidR="008B6B2D">
        <w:rPr>
          <w:rFonts w:hint="eastAsia"/>
          <w:kern w:val="22"/>
          <w:sz w:val="24"/>
          <w:szCs w:val="24"/>
        </w:rPr>
        <w:t>，并</w:t>
      </w:r>
      <w:r w:rsidRPr="00AE5D22">
        <w:rPr>
          <w:kern w:val="22"/>
          <w:sz w:val="24"/>
          <w:szCs w:val="24"/>
          <w:lang w:val="en-GB"/>
        </w:rPr>
        <w:t>支持特设技术专家组的工作；</w:t>
      </w:r>
    </w:p>
    <w:p w14:paraId="5E4D9E32" w14:textId="77777777" w:rsidR="00AE5D22" w:rsidRPr="00AE5D22" w:rsidRDefault="00AE5D22" w:rsidP="00923CCC">
      <w:pPr>
        <w:pStyle w:val="Para1"/>
        <w:numPr>
          <w:ilvl w:val="0"/>
          <w:numId w:val="31"/>
        </w:numPr>
        <w:suppressLineNumbers/>
        <w:suppressAutoHyphens/>
        <w:overflowPunct w:val="0"/>
        <w:autoSpaceDE w:val="0"/>
        <w:autoSpaceDN w:val="0"/>
        <w:adjustRightInd w:val="0"/>
        <w:spacing w:line="240" w:lineRule="atLeast"/>
        <w:ind w:left="0" w:firstLine="490"/>
        <w:rPr>
          <w:kern w:val="22"/>
          <w:sz w:val="24"/>
          <w:szCs w:val="24"/>
          <w:lang w:val="en-GB"/>
        </w:rPr>
      </w:pPr>
      <w:r w:rsidRPr="00AE5D22">
        <w:rPr>
          <w:kern w:val="22"/>
          <w:sz w:val="24"/>
          <w:szCs w:val="24"/>
          <w:lang w:val="en-GB"/>
        </w:rPr>
        <w:t>收集和综合相关信息，</w:t>
      </w:r>
      <w:r w:rsidRPr="00AE5D22">
        <w:rPr>
          <w:rFonts w:hint="eastAsia"/>
          <w:kern w:val="22"/>
          <w:sz w:val="24"/>
          <w:szCs w:val="24"/>
          <w:lang w:val="en-GB"/>
        </w:rPr>
        <w:t>便利</w:t>
      </w:r>
      <w:r w:rsidRPr="00AE5D22">
        <w:rPr>
          <w:kern w:val="22"/>
          <w:sz w:val="24"/>
          <w:szCs w:val="24"/>
          <w:lang w:val="en-GB"/>
        </w:rPr>
        <w:t>在线论坛和特设技术专家组的工作；</w:t>
      </w:r>
    </w:p>
    <w:p w14:paraId="62BABBD4" w14:textId="1ECDD4BB" w:rsidR="00AE5D22" w:rsidRPr="00AE5D22" w:rsidRDefault="00AE5D22" w:rsidP="00923CCC">
      <w:pPr>
        <w:pStyle w:val="Para1"/>
        <w:numPr>
          <w:ilvl w:val="0"/>
          <w:numId w:val="31"/>
        </w:numPr>
        <w:suppressLineNumbers/>
        <w:suppressAutoHyphens/>
        <w:overflowPunct w:val="0"/>
        <w:autoSpaceDE w:val="0"/>
        <w:autoSpaceDN w:val="0"/>
        <w:adjustRightInd w:val="0"/>
        <w:spacing w:line="240" w:lineRule="atLeast"/>
        <w:ind w:left="0" w:firstLine="490"/>
        <w:rPr>
          <w:kern w:val="22"/>
          <w:sz w:val="24"/>
          <w:szCs w:val="24"/>
          <w:lang w:val="en-GB"/>
        </w:rPr>
      </w:pPr>
      <w:r w:rsidRPr="00AE5D22">
        <w:rPr>
          <w:rFonts w:hint="eastAsia"/>
          <w:kern w:val="22"/>
          <w:sz w:val="24"/>
          <w:szCs w:val="24"/>
          <w:lang w:val="en-GB"/>
        </w:rPr>
        <w:t>综合</w:t>
      </w:r>
      <w:r w:rsidRPr="00AE5D22">
        <w:rPr>
          <w:kern w:val="22"/>
          <w:sz w:val="24"/>
          <w:szCs w:val="24"/>
          <w:lang w:val="en-GB"/>
        </w:rPr>
        <w:t>上文第</w:t>
      </w:r>
      <w:r w:rsidR="008B6B2D">
        <w:rPr>
          <w:kern w:val="22"/>
          <w:sz w:val="24"/>
          <w:szCs w:val="24"/>
          <w:lang w:val="en-GB"/>
        </w:rPr>
        <w:t>8</w:t>
      </w:r>
      <w:r w:rsidR="008B6B2D">
        <w:rPr>
          <w:rFonts w:hint="eastAsia"/>
          <w:kern w:val="22"/>
          <w:sz w:val="24"/>
          <w:szCs w:val="24"/>
          <w:lang w:val="en-GB"/>
        </w:rPr>
        <w:t>和第</w:t>
      </w:r>
      <w:r w:rsidR="008B6B2D">
        <w:rPr>
          <w:rFonts w:hint="eastAsia"/>
          <w:kern w:val="22"/>
          <w:sz w:val="24"/>
          <w:szCs w:val="24"/>
          <w:lang w:val="en-GB"/>
        </w:rPr>
        <w:t>9</w:t>
      </w:r>
      <w:r w:rsidRPr="00AE5D22">
        <w:rPr>
          <w:kern w:val="22"/>
          <w:sz w:val="24"/>
          <w:szCs w:val="24"/>
          <w:lang w:val="en-GB"/>
        </w:rPr>
        <w:t>段</w:t>
      </w:r>
      <w:r w:rsidRPr="00AE5D22">
        <w:rPr>
          <w:rFonts w:hint="eastAsia"/>
          <w:kern w:val="22"/>
          <w:sz w:val="24"/>
          <w:szCs w:val="24"/>
          <w:lang w:val="en-GB"/>
        </w:rPr>
        <w:t>所述</w:t>
      </w:r>
      <w:r w:rsidRPr="00AE5D22">
        <w:rPr>
          <w:kern w:val="22"/>
          <w:sz w:val="24"/>
          <w:szCs w:val="24"/>
          <w:lang w:val="en-GB"/>
        </w:rPr>
        <w:t>意见和在线论坛的讨论</w:t>
      </w:r>
      <w:r w:rsidRPr="00AE5D22">
        <w:rPr>
          <w:rFonts w:hint="eastAsia"/>
          <w:kern w:val="22"/>
          <w:sz w:val="24"/>
          <w:szCs w:val="24"/>
          <w:lang w:val="en-GB"/>
        </w:rPr>
        <w:t>情况</w:t>
      </w:r>
      <w:r w:rsidRPr="00AE5D22">
        <w:rPr>
          <w:kern w:val="22"/>
          <w:sz w:val="24"/>
          <w:szCs w:val="24"/>
          <w:lang w:val="en-GB"/>
        </w:rPr>
        <w:t>，</w:t>
      </w:r>
      <w:r w:rsidRPr="00AE5D22">
        <w:rPr>
          <w:rFonts w:hint="eastAsia"/>
          <w:kern w:val="22"/>
          <w:sz w:val="24"/>
          <w:szCs w:val="24"/>
          <w:lang w:val="en-GB"/>
        </w:rPr>
        <w:t>提交</w:t>
      </w:r>
      <w:r w:rsidRPr="00AE5D22">
        <w:rPr>
          <w:kern w:val="22"/>
          <w:sz w:val="24"/>
          <w:szCs w:val="24"/>
          <w:lang w:val="en-GB"/>
        </w:rPr>
        <w:t>特设技术专家组；</w:t>
      </w:r>
    </w:p>
    <w:p w14:paraId="30C4A1C9" w14:textId="04339480" w:rsidR="00AE5D22" w:rsidRDefault="00D24C8D" w:rsidP="00923CCC">
      <w:pPr>
        <w:pStyle w:val="Para1"/>
        <w:numPr>
          <w:ilvl w:val="0"/>
          <w:numId w:val="31"/>
        </w:numPr>
        <w:suppressLineNumbers/>
        <w:suppressAutoHyphens/>
        <w:overflowPunct w:val="0"/>
        <w:autoSpaceDE w:val="0"/>
        <w:autoSpaceDN w:val="0"/>
        <w:adjustRightInd w:val="0"/>
        <w:spacing w:line="240" w:lineRule="atLeast"/>
        <w:ind w:left="0" w:firstLine="490"/>
        <w:rPr>
          <w:kern w:val="22"/>
          <w:sz w:val="24"/>
          <w:szCs w:val="24"/>
          <w:lang w:val="en-GB"/>
        </w:rPr>
      </w:pPr>
      <w:r>
        <w:rPr>
          <w:rFonts w:hint="eastAsia"/>
          <w:kern w:val="22"/>
          <w:sz w:val="24"/>
          <w:szCs w:val="24"/>
          <w:lang w:val="en-GB"/>
        </w:rPr>
        <w:t>如</w:t>
      </w:r>
      <w:r w:rsidR="00AE5D22" w:rsidRPr="00AE5D22">
        <w:rPr>
          <w:kern w:val="22"/>
          <w:sz w:val="24"/>
          <w:szCs w:val="24"/>
          <w:lang w:val="en-GB"/>
        </w:rPr>
        <w:t>资源允许</w:t>
      </w:r>
      <w:r>
        <w:rPr>
          <w:rFonts w:hint="eastAsia"/>
          <w:kern w:val="22"/>
          <w:sz w:val="24"/>
          <w:szCs w:val="24"/>
          <w:lang w:val="en-GB"/>
        </w:rPr>
        <w:t>，</w:t>
      </w:r>
      <w:r w:rsidR="00AE5D22" w:rsidRPr="00AE5D22">
        <w:rPr>
          <w:kern w:val="22"/>
          <w:sz w:val="24"/>
          <w:szCs w:val="24"/>
          <w:lang w:val="en-GB"/>
        </w:rPr>
        <w:t>召开两次风险评估</w:t>
      </w:r>
      <w:r w:rsidR="00AE5D22" w:rsidRPr="00AE5D22">
        <w:rPr>
          <w:rFonts w:hint="eastAsia"/>
          <w:kern w:val="22"/>
          <w:sz w:val="24"/>
          <w:szCs w:val="24"/>
          <w:lang w:val="en-GB"/>
        </w:rPr>
        <w:t>问题</w:t>
      </w:r>
      <w:r w:rsidR="00AE5D22" w:rsidRPr="00AE5D22">
        <w:rPr>
          <w:kern w:val="22"/>
          <w:sz w:val="24"/>
          <w:szCs w:val="24"/>
          <w:lang w:val="en-GB"/>
        </w:rPr>
        <w:t>特设技术专家组会议</w:t>
      </w:r>
      <w:r w:rsidR="008B6B2D">
        <w:rPr>
          <w:rFonts w:hint="eastAsia"/>
          <w:kern w:val="22"/>
          <w:sz w:val="24"/>
          <w:szCs w:val="24"/>
          <w:lang w:val="en-GB"/>
        </w:rPr>
        <w:t>，其中至少一次是面对面会议</w:t>
      </w:r>
      <w:r w:rsidR="00AE5D22" w:rsidRPr="00AE5D22">
        <w:rPr>
          <w:kern w:val="22"/>
          <w:sz w:val="24"/>
          <w:szCs w:val="24"/>
          <w:lang w:val="en-GB"/>
        </w:rPr>
        <w:t>；</w:t>
      </w:r>
      <w:r w:rsidR="008B6B2D">
        <w:rPr>
          <w:rStyle w:val="FootnoteReference"/>
          <w:kern w:val="22"/>
          <w:szCs w:val="24"/>
          <w:lang w:val="en-GB"/>
        </w:rPr>
        <w:footnoteReference w:id="4"/>
      </w:r>
    </w:p>
    <w:p w14:paraId="67DE3C83" w14:textId="5CD78494" w:rsidR="003F12E5" w:rsidRDefault="003F12E5" w:rsidP="00923CCC">
      <w:pPr>
        <w:pStyle w:val="Para1"/>
        <w:numPr>
          <w:ilvl w:val="0"/>
          <w:numId w:val="31"/>
        </w:numPr>
        <w:suppressLineNumbers/>
        <w:suppressAutoHyphens/>
        <w:overflowPunct w:val="0"/>
        <w:autoSpaceDE w:val="0"/>
        <w:autoSpaceDN w:val="0"/>
        <w:adjustRightInd w:val="0"/>
        <w:spacing w:line="240" w:lineRule="atLeast"/>
        <w:ind w:left="0" w:firstLine="490"/>
        <w:rPr>
          <w:kern w:val="22"/>
          <w:sz w:val="24"/>
          <w:szCs w:val="24"/>
          <w:lang w:val="en-GB"/>
        </w:rPr>
      </w:pPr>
      <w:r w:rsidRPr="003F12E5">
        <w:rPr>
          <w:rFonts w:hint="eastAsia"/>
          <w:kern w:val="22"/>
          <w:sz w:val="24"/>
          <w:szCs w:val="24"/>
          <w:lang w:val="en-GB"/>
        </w:rPr>
        <w:t>按照第</w:t>
      </w:r>
      <w:r w:rsidRPr="003F12E5">
        <w:rPr>
          <w:rFonts w:hint="eastAsia"/>
          <w:kern w:val="22"/>
          <w:sz w:val="24"/>
          <w:szCs w:val="24"/>
          <w:lang w:val="en-GB"/>
        </w:rPr>
        <w:t xml:space="preserve"> CP-9/13 </w:t>
      </w:r>
      <w:r w:rsidRPr="003F12E5">
        <w:rPr>
          <w:rFonts w:hint="eastAsia"/>
          <w:kern w:val="22"/>
          <w:sz w:val="24"/>
          <w:szCs w:val="24"/>
          <w:lang w:val="en-GB"/>
        </w:rPr>
        <w:t>号决定第</w:t>
      </w:r>
      <w:r w:rsidRPr="003F12E5">
        <w:rPr>
          <w:rFonts w:hint="eastAsia"/>
          <w:kern w:val="22"/>
          <w:sz w:val="24"/>
          <w:szCs w:val="24"/>
          <w:lang w:val="en-GB"/>
        </w:rPr>
        <w:t xml:space="preserve"> 6 </w:t>
      </w:r>
      <w:r w:rsidRPr="003F12E5">
        <w:rPr>
          <w:rFonts w:hint="eastAsia"/>
          <w:kern w:val="22"/>
          <w:sz w:val="24"/>
          <w:szCs w:val="24"/>
          <w:lang w:val="en-GB"/>
        </w:rPr>
        <w:t>段的规定，</w:t>
      </w:r>
      <w:r>
        <w:rPr>
          <w:rFonts w:hint="eastAsia"/>
          <w:kern w:val="22"/>
          <w:sz w:val="24"/>
          <w:szCs w:val="24"/>
          <w:lang w:val="en-GB"/>
        </w:rPr>
        <w:t>协助确定</w:t>
      </w:r>
      <w:r w:rsidRPr="003F12E5">
        <w:rPr>
          <w:rFonts w:hint="eastAsia"/>
          <w:kern w:val="22"/>
          <w:sz w:val="24"/>
          <w:szCs w:val="24"/>
          <w:lang w:val="en-GB"/>
        </w:rPr>
        <w:t>改性活生物体风险评估</w:t>
      </w:r>
      <w:r>
        <w:rPr>
          <w:rFonts w:hint="eastAsia"/>
          <w:kern w:val="22"/>
          <w:sz w:val="24"/>
          <w:szCs w:val="24"/>
          <w:lang w:val="en-GB"/>
        </w:rPr>
        <w:t>方面可能应该</w:t>
      </w:r>
      <w:r w:rsidRPr="003F12E5">
        <w:rPr>
          <w:rFonts w:hint="eastAsia"/>
          <w:kern w:val="22"/>
          <w:sz w:val="24"/>
          <w:szCs w:val="24"/>
          <w:lang w:val="en-GB"/>
        </w:rPr>
        <w:t>考虑的具体问题并确定</w:t>
      </w:r>
      <w:r>
        <w:rPr>
          <w:rFonts w:hint="eastAsia"/>
          <w:kern w:val="22"/>
          <w:sz w:val="24"/>
          <w:szCs w:val="24"/>
          <w:lang w:val="en-GB"/>
        </w:rPr>
        <w:t>其</w:t>
      </w:r>
      <w:r w:rsidRPr="003F12E5">
        <w:rPr>
          <w:rFonts w:hint="eastAsia"/>
          <w:kern w:val="22"/>
          <w:sz w:val="24"/>
          <w:szCs w:val="24"/>
          <w:lang w:val="en-GB"/>
        </w:rPr>
        <w:t>优先顺序</w:t>
      </w:r>
      <w:r>
        <w:rPr>
          <w:rFonts w:hint="eastAsia"/>
          <w:kern w:val="22"/>
          <w:sz w:val="24"/>
          <w:szCs w:val="24"/>
          <w:lang w:val="en-GB"/>
        </w:rPr>
        <w:t>，为此</w:t>
      </w:r>
      <w:r w:rsidRPr="003F12E5">
        <w:rPr>
          <w:rFonts w:hint="eastAsia"/>
          <w:kern w:val="22"/>
          <w:sz w:val="24"/>
          <w:szCs w:val="24"/>
          <w:lang w:val="en-GB"/>
        </w:rPr>
        <w:t>通过生物安全信息交换所内的</w:t>
      </w:r>
      <w:r>
        <w:rPr>
          <w:rFonts w:hint="eastAsia"/>
          <w:kern w:val="22"/>
          <w:sz w:val="24"/>
          <w:szCs w:val="24"/>
          <w:lang w:val="en-GB"/>
        </w:rPr>
        <w:t>专门</w:t>
      </w:r>
      <w:r w:rsidRPr="003F12E5">
        <w:rPr>
          <w:rFonts w:hint="eastAsia"/>
          <w:kern w:val="22"/>
          <w:sz w:val="24"/>
          <w:szCs w:val="24"/>
          <w:lang w:val="en-GB"/>
        </w:rPr>
        <w:t>网页</w:t>
      </w:r>
      <w:r>
        <w:rPr>
          <w:rFonts w:hint="eastAsia"/>
          <w:kern w:val="22"/>
          <w:sz w:val="24"/>
          <w:szCs w:val="24"/>
          <w:lang w:val="en-GB"/>
        </w:rPr>
        <w:t>提供</w:t>
      </w:r>
      <w:r w:rsidRPr="003F12E5">
        <w:rPr>
          <w:rFonts w:hint="eastAsia"/>
          <w:kern w:val="22"/>
          <w:sz w:val="24"/>
          <w:szCs w:val="24"/>
          <w:lang w:val="en-GB"/>
        </w:rPr>
        <w:t>缔约方根据</w:t>
      </w:r>
      <w:r>
        <w:rPr>
          <w:rFonts w:hint="eastAsia"/>
          <w:kern w:val="22"/>
          <w:sz w:val="24"/>
          <w:szCs w:val="24"/>
          <w:lang w:val="en-GB"/>
        </w:rPr>
        <w:t>同项决定</w:t>
      </w:r>
      <w:r w:rsidRPr="003F12E5">
        <w:rPr>
          <w:rFonts w:hint="eastAsia"/>
          <w:kern w:val="22"/>
          <w:sz w:val="24"/>
          <w:szCs w:val="24"/>
          <w:lang w:val="en-GB"/>
        </w:rPr>
        <w:t>附件一</w:t>
      </w:r>
      <w:r>
        <w:rPr>
          <w:rFonts w:hint="eastAsia"/>
          <w:kern w:val="22"/>
          <w:sz w:val="24"/>
          <w:szCs w:val="24"/>
          <w:lang w:val="en-GB"/>
        </w:rPr>
        <w:t>中指明的问题提交的信息以及有助于对这些专题进行风险评估的信息；</w:t>
      </w:r>
    </w:p>
    <w:p w14:paraId="76066EBC" w14:textId="0345286D" w:rsidR="003F12E5" w:rsidRPr="003F12E5" w:rsidRDefault="003F12E5" w:rsidP="00923CCC">
      <w:pPr>
        <w:pStyle w:val="Para1"/>
        <w:numPr>
          <w:ilvl w:val="0"/>
          <w:numId w:val="31"/>
        </w:numPr>
        <w:suppressLineNumbers/>
        <w:suppressAutoHyphens/>
        <w:overflowPunct w:val="0"/>
        <w:autoSpaceDE w:val="0"/>
        <w:autoSpaceDN w:val="0"/>
        <w:adjustRightInd w:val="0"/>
        <w:spacing w:line="240" w:lineRule="atLeast"/>
        <w:ind w:left="0" w:firstLine="490"/>
        <w:rPr>
          <w:kern w:val="22"/>
          <w:sz w:val="24"/>
          <w:szCs w:val="24"/>
          <w:lang w:val="en-GB"/>
        </w:rPr>
      </w:pPr>
      <w:r w:rsidRPr="003F12E5">
        <w:rPr>
          <w:rFonts w:hint="eastAsia"/>
          <w:kern w:val="22"/>
          <w:sz w:val="24"/>
          <w:szCs w:val="24"/>
          <w:lang w:val="en-GB"/>
        </w:rPr>
        <w:t>确保土著人民和地方社区充分有效地参与《卡塔赫纳议定书》</w:t>
      </w:r>
      <w:r>
        <w:rPr>
          <w:rFonts w:hint="eastAsia"/>
          <w:kern w:val="22"/>
          <w:sz w:val="24"/>
          <w:szCs w:val="24"/>
          <w:lang w:val="en-GB"/>
        </w:rPr>
        <w:t>下的</w:t>
      </w:r>
      <w:r w:rsidRPr="003F12E5">
        <w:rPr>
          <w:rFonts w:hint="eastAsia"/>
          <w:kern w:val="22"/>
          <w:sz w:val="24"/>
          <w:szCs w:val="24"/>
          <w:lang w:val="en-GB"/>
        </w:rPr>
        <w:t>讨论和风险评估工作；</w:t>
      </w:r>
    </w:p>
    <w:p w14:paraId="6FD30952" w14:textId="33E2D9CE" w:rsidR="003F12E5" w:rsidRPr="003F12E5" w:rsidRDefault="003F12E5" w:rsidP="00923CCC">
      <w:pPr>
        <w:pStyle w:val="Para1"/>
        <w:numPr>
          <w:ilvl w:val="0"/>
          <w:numId w:val="31"/>
        </w:numPr>
        <w:suppressLineNumbers/>
        <w:suppressAutoHyphens/>
        <w:overflowPunct w:val="0"/>
        <w:autoSpaceDE w:val="0"/>
        <w:autoSpaceDN w:val="0"/>
        <w:adjustRightInd w:val="0"/>
        <w:spacing w:line="240" w:lineRule="atLeast"/>
        <w:ind w:left="0" w:firstLine="490"/>
        <w:rPr>
          <w:kern w:val="22"/>
          <w:sz w:val="24"/>
          <w:szCs w:val="24"/>
          <w:lang w:val="en-GB"/>
        </w:rPr>
      </w:pPr>
      <w:r w:rsidRPr="003F12E5">
        <w:rPr>
          <w:rFonts w:hint="eastAsia"/>
          <w:kern w:val="22"/>
          <w:sz w:val="24"/>
          <w:szCs w:val="24"/>
          <w:lang w:val="en-GB"/>
        </w:rPr>
        <w:t>探索</w:t>
      </w:r>
      <w:r>
        <w:rPr>
          <w:rFonts w:hint="eastAsia"/>
          <w:kern w:val="22"/>
          <w:sz w:val="24"/>
          <w:szCs w:val="24"/>
          <w:lang w:val="en-GB"/>
        </w:rPr>
        <w:t>协助</w:t>
      </w:r>
      <w:r w:rsidRPr="003F12E5">
        <w:rPr>
          <w:rFonts w:hint="eastAsia"/>
          <w:kern w:val="22"/>
          <w:sz w:val="24"/>
          <w:szCs w:val="24"/>
          <w:lang w:val="en-GB"/>
        </w:rPr>
        <w:t>和支持改性活生物体风险评估和风险管理方面的能力建设、知识共享和技术转让的方法；</w:t>
      </w:r>
    </w:p>
    <w:p w14:paraId="169F6695" w14:textId="2EB8E8FD" w:rsidR="003F12E5" w:rsidRPr="00AE5D22" w:rsidRDefault="003F12E5" w:rsidP="00923CCC">
      <w:pPr>
        <w:pStyle w:val="Para1"/>
        <w:numPr>
          <w:ilvl w:val="0"/>
          <w:numId w:val="31"/>
        </w:numPr>
        <w:suppressLineNumbers/>
        <w:suppressAutoHyphens/>
        <w:overflowPunct w:val="0"/>
        <w:autoSpaceDE w:val="0"/>
        <w:autoSpaceDN w:val="0"/>
        <w:adjustRightInd w:val="0"/>
        <w:spacing w:line="240" w:lineRule="atLeast"/>
        <w:ind w:left="0" w:firstLine="490"/>
        <w:rPr>
          <w:kern w:val="22"/>
          <w:sz w:val="24"/>
          <w:szCs w:val="24"/>
          <w:lang w:val="en-GB"/>
        </w:rPr>
      </w:pPr>
      <w:r w:rsidRPr="003F12E5">
        <w:rPr>
          <w:rFonts w:hint="eastAsia"/>
          <w:kern w:val="22"/>
          <w:sz w:val="24"/>
          <w:szCs w:val="24"/>
          <w:lang w:val="en-GB"/>
        </w:rPr>
        <w:lastRenderedPageBreak/>
        <w:t>在生物安全信息交换所提供</w:t>
      </w:r>
      <w:r>
        <w:rPr>
          <w:rFonts w:hint="eastAsia"/>
          <w:kern w:val="22"/>
          <w:sz w:val="24"/>
          <w:szCs w:val="24"/>
          <w:lang w:val="en-GB"/>
        </w:rPr>
        <w:t>专门</w:t>
      </w:r>
      <w:r w:rsidRPr="003F12E5">
        <w:rPr>
          <w:rFonts w:hint="eastAsia"/>
          <w:kern w:val="22"/>
          <w:sz w:val="24"/>
          <w:szCs w:val="24"/>
          <w:lang w:val="en-GB"/>
        </w:rPr>
        <w:t>网页，</w:t>
      </w:r>
      <w:r w:rsidR="007A544E">
        <w:rPr>
          <w:rFonts w:hint="eastAsia"/>
          <w:kern w:val="22"/>
          <w:sz w:val="24"/>
          <w:szCs w:val="24"/>
          <w:lang w:val="en-GB"/>
        </w:rPr>
        <w:t>协助人们方便地获得</w:t>
      </w:r>
      <w:r w:rsidRPr="003F12E5">
        <w:rPr>
          <w:rFonts w:hint="eastAsia"/>
          <w:kern w:val="22"/>
          <w:sz w:val="24"/>
          <w:szCs w:val="24"/>
          <w:lang w:val="en-GB"/>
        </w:rPr>
        <w:t>与改性活生物体</w:t>
      </w:r>
      <w:r w:rsidR="007A544E">
        <w:rPr>
          <w:rFonts w:hint="eastAsia"/>
          <w:kern w:val="22"/>
          <w:sz w:val="24"/>
          <w:szCs w:val="24"/>
          <w:lang w:val="en-GB"/>
        </w:rPr>
        <w:t>风险评估</w:t>
      </w:r>
      <w:r w:rsidR="003C492E">
        <w:rPr>
          <w:rFonts w:hint="eastAsia"/>
          <w:kern w:val="22"/>
          <w:sz w:val="24"/>
          <w:szCs w:val="24"/>
          <w:lang w:val="en-GB"/>
        </w:rPr>
        <w:t>、</w:t>
      </w:r>
      <w:r w:rsidRPr="003F12E5">
        <w:rPr>
          <w:rFonts w:hint="eastAsia"/>
          <w:kern w:val="22"/>
          <w:sz w:val="24"/>
          <w:szCs w:val="24"/>
          <w:lang w:val="en-GB"/>
        </w:rPr>
        <w:t>包括改性活鱼和</w:t>
      </w:r>
      <w:r w:rsidR="007A544E" w:rsidRPr="00AE5D22">
        <w:rPr>
          <w:kern w:val="22"/>
          <w:sz w:val="24"/>
          <w:szCs w:val="24"/>
        </w:rPr>
        <w:t>含有人工基因驱动的生物体</w:t>
      </w:r>
      <w:r w:rsidRPr="003F12E5">
        <w:rPr>
          <w:rFonts w:hint="eastAsia"/>
          <w:kern w:val="22"/>
          <w:sz w:val="24"/>
          <w:szCs w:val="24"/>
          <w:lang w:val="en-GB"/>
        </w:rPr>
        <w:t>风险评估</w:t>
      </w:r>
      <w:r w:rsidR="007A544E">
        <w:rPr>
          <w:rFonts w:hint="eastAsia"/>
          <w:kern w:val="22"/>
          <w:sz w:val="24"/>
          <w:szCs w:val="24"/>
          <w:lang w:val="en-GB"/>
        </w:rPr>
        <w:t>有关</w:t>
      </w:r>
      <w:r w:rsidRPr="003F12E5">
        <w:rPr>
          <w:rFonts w:hint="eastAsia"/>
          <w:kern w:val="22"/>
          <w:sz w:val="24"/>
          <w:szCs w:val="24"/>
          <w:lang w:val="en-GB"/>
        </w:rPr>
        <w:t>的现有信息</w:t>
      </w:r>
      <w:r w:rsidR="007A544E">
        <w:rPr>
          <w:rFonts w:hint="eastAsia"/>
          <w:kern w:val="22"/>
          <w:sz w:val="24"/>
          <w:szCs w:val="24"/>
          <w:lang w:val="en-GB"/>
        </w:rPr>
        <w:t>，并</w:t>
      </w:r>
      <w:r w:rsidRPr="003F12E5">
        <w:rPr>
          <w:rFonts w:hint="eastAsia"/>
          <w:kern w:val="22"/>
          <w:sz w:val="24"/>
          <w:szCs w:val="24"/>
          <w:lang w:val="en-GB"/>
        </w:rPr>
        <w:t>提高</w:t>
      </w:r>
      <w:r w:rsidR="007A544E">
        <w:rPr>
          <w:rFonts w:hint="eastAsia"/>
          <w:kern w:val="22"/>
          <w:sz w:val="24"/>
          <w:szCs w:val="24"/>
          <w:lang w:val="en-GB"/>
        </w:rPr>
        <w:t>对这些信息的</w:t>
      </w:r>
      <w:r w:rsidRPr="003F12E5">
        <w:rPr>
          <w:rFonts w:hint="eastAsia"/>
          <w:kern w:val="22"/>
          <w:sz w:val="24"/>
          <w:szCs w:val="24"/>
          <w:lang w:val="en-GB"/>
        </w:rPr>
        <w:t>认识；</w:t>
      </w:r>
    </w:p>
    <w:p w14:paraId="027F79D5" w14:textId="5DBBF0D8" w:rsidR="00AE5D22" w:rsidRPr="00AE5D22" w:rsidRDefault="00AE5D22" w:rsidP="00923CCC">
      <w:pPr>
        <w:pStyle w:val="Para1"/>
        <w:numPr>
          <w:ilvl w:val="0"/>
          <w:numId w:val="28"/>
        </w:numPr>
        <w:suppressLineNumbers/>
        <w:suppressAutoHyphens/>
        <w:overflowPunct w:val="0"/>
        <w:autoSpaceDE w:val="0"/>
        <w:autoSpaceDN w:val="0"/>
        <w:adjustRightInd w:val="0"/>
        <w:spacing w:line="240" w:lineRule="atLeast"/>
        <w:ind w:left="0" w:firstLine="490"/>
        <w:rPr>
          <w:kern w:val="22"/>
          <w:sz w:val="24"/>
          <w:szCs w:val="24"/>
          <w:lang w:val="en-GB"/>
        </w:rPr>
      </w:pPr>
      <w:r w:rsidRPr="00AE5D22">
        <w:rPr>
          <w:rFonts w:ascii="楷体" w:eastAsia="楷体" w:hAnsi="楷体"/>
          <w:snapToGrid/>
          <w:sz w:val="24"/>
          <w:szCs w:val="24"/>
        </w:rPr>
        <w:t>请</w:t>
      </w:r>
      <w:r w:rsidRPr="00AE5D22">
        <w:rPr>
          <w:kern w:val="22"/>
          <w:sz w:val="24"/>
          <w:szCs w:val="24"/>
          <w:lang w:val="en-GB"/>
        </w:rPr>
        <w:t>科学</w:t>
      </w:r>
      <w:r w:rsidRPr="00AE5D22">
        <w:rPr>
          <w:rFonts w:hint="eastAsia"/>
          <w:kern w:val="22"/>
          <w:sz w:val="24"/>
          <w:szCs w:val="24"/>
          <w:lang w:val="en-GB"/>
        </w:rPr>
        <w:t>、</w:t>
      </w:r>
      <w:r w:rsidRPr="00AE5D22">
        <w:rPr>
          <w:snapToGrid/>
          <w:sz w:val="24"/>
          <w:szCs w:val="24"/>
        </w:rPr>
        <w:t>技术</w:t>
      </w:r>
      <w:r w:rsidRPr="00AE5D22">
        <w:rPr>
          <w:rFonts w:hint="eastAsia"/>
          <w:snapToGrid/>
          <w:sz w:val="24"/>
          <w:szCs w:val="24"/>
        </w:rPr>
        <w:t>和工艺</w:t>
      </w:r>
      <w:r w:rsidRPr="00AE5D22">
        <w:rPr>
          <w:snapToGrid/>
          <w:sz w:val="24"/>
          <w:szCs w:val="24"/>
        </w:rPr>
        <w:t>咨询</w:t>
      </w:r>
      <w:r w:rsidRPr="00AE5D22">
        <w:rPr>
          <w:rFonts w:hint="eastAsia"/>
          <w:snapToGrid/>
          <w:sz w:val="24"/>
          <w:szCs w:val="24"/>
        </w:rPr>
        <w:t>附属</w:t>
      </w:r>
      <w:r w:rsidRPr="00AE5D22">
        <w:rPr>
          <w:snapToGrid/>
          <w:sz w:val="24"/>
          <w:szCs w:val="24"/>
        </w:rPr>
        <w:t>机构审议风险评估</w:t>
      </w:r>
      <w:r w:rsidRPr="00AE5D22">
        <w:rPr>
          <w:rFonts w:hint="eastAsia"/>
          <w:snapToGrid/>
          <w:sz w:val="24"/>
          <w:szCs w:val="24"/>
        </w:rPr>
        <w:t>问题</w:t>
      </w:r>
      <w:r w:rsidRPr="00AE5D22">
        <w:rPr>
          <w:snapToGrid/>
          <w:sz w:val="24"/>
          <w:szCs w:val="24"/>
        </w:rPr>
        <w:t>特设技术专家组的成果并</w:t>
      </w:r>
      <w:r w:rsidR="003C492E">
        <w:rPr>
          <w:rFonts w:hint="eastAsia"/>
          <w:snapToGrid/>
          <w:sz w:val="24"/>
          <w:szCs w:val="24"/>
        </w:rPr>
        <w:t>拟订</w:t>
      </w:r>
      <w:r w:rsidRPr="00AE5D22">
        <w:rPr>
          <w:snapToGrid/>
          <w:sz w:val="24"/>
          <w:szCs w:val="24"/>
        </w:rPr>
        <w:t>建议</w:t>
      </w:r>
      <w:r w:rsidRPr="00AE5D22">
        <w:rPr>
          <w:kern w:val="22"/>
          <w:sz w:val="24"/>
          <w:szCs w:val="24"/>
          <w:lang w:val="en-GB"/>
        </w:rPr>
        <w:t>，供作为卡塔赫纳议定书缔约方会议的缔约方</w:t>
      </w:r>
      <w:r w:rsidRPr="00AE5D22">
        <w:rPr>
          <w:rFonts w:hint="eastAsia"/>
          <w:kern w:val="22"/>
          <w:sz w:val="24"/>
          <w:szCs w:val="24"/>
          <w:lang w:val="en-GB"/>
        </w:rPr>
        <w:t>大会</w:t>
      </w:r>
      <w:r w:rsidRPr="00AE5D22">
        <w:rPr>
          <w:kern w:val="22"/>
          <w:sz w:val="24"/>
          <w:szCs w:val="24"/>
          <w:lang w:val="en-GB"/>
        </w:rPr>
        <w:t>第十一次会议审议；</w:t>
      </w:r>
    </w:p>
    <w:p w14:paraId="5F4C1597" w14:textId="7F3C1256" w:rsidR="003C492E" w:rsidRPr="003C492E" w:rsidRDefault="00AE5D22" w:rsidP="003C492E">
      <w:pPr>
        <w:pStyle w:val="Para1"/>
        <w:numPr>
          <w:ilvl w:val="0"/>
          <w:numId w:val="28"/>
        </w:numPr>
        <w:suppressLineNumbers/>
        <w:suppressAutoHyphens/>
        <w:overflowPunct w:val="0"/>
        <w:autoSpaceDE w:val="0"/>
        <w:autoSpaceDN w:val="0"/>
        <w:adjustRightInd w:val="0"/>
        <w:spacing w:line="240" w:lineRule="atLeast"/>
        <w:ind w:left="0" w:firstLine="490"/>
        <w:rPr>
          <w:kern w:val="22"/>
          <w:sz w:val="24"/>
          <w:szCs w:val="24"/>
          <w:lang w:val="en-GB"/>
        </w:rPr>
      </w:pPr>
      <w:r w:rsidRPr="00AE5D22">
        <w:rPr>
          <w:rFonts w:ascii="楷体" w:eastAsia="楷体" w:hAnsi="楷体"/>
          <w:snapToGrid/>
          <w:sz w:val="24"/>
          <w:szCs w:val="24"/>
        </w:rPr>
        <w:t>决定</w:t>
      </w:r>
      <w:r w:rsidRPr="00AE5D22">
        <w:rPr>
          <w:kern w:val="22"/>
          <w:sz w:val="24"/>
          <w:szCs w:val="24"/>
          <w:lang w:val="en-GB"/>
        </w:rPr>
        <w:t>在第十一次会议上</w:t>
      </w:r>
      <w:r w:rsidRPr="00AE5D22">
        <w:rPr>
          <w:rFonts w:hint="eastAsia"/>
          <w:kern w:val="22"/>
          <w:sz w:val="24"/>
          <w:szCs w:val="24"/>
          <w:lang w:val="en-GB"/>
        </w:rPr>
        <w:t>根据</w:t>
      </w:r>
      <w:r w:rsidRPr="00AE5D22">
        <w:rPr>
          <w:kern w:val="22"/>
          <w:sz w:val="24"/>
          <w:szCs w:val="24"/>
          <w:lang w:val="en-GB"/>
        </w:rPr>
        <w:t>第</w:t>
      </w:r>
      <w:r w:rsidRPr="00AE5D22">
        <w:rPr>
          <w:kern w:val="22"/>
          <w:sz w:val="24"/>
          <w:szCs w:val="24"/>
          <w:lang w:val="en-GB"/>
        </w:rPr>
        <w:t>CP-9/13</w:t>
      </w:r>
      <w:r w:rsidRPr="00AE5D22">
        <w:rPr>
          <w:kern w:val="22"/>
          <w:sz w:val="24"/>
          <w:szCs w:val="24"/>
          <w:lang w:val="en-GB"/>
        </w:rPr>
        <w:t>号决定</w:t>
      </w:r>
      <w:r w:rsidRPr="00AE5D22">
        <w:rPr>
          <w:rFonts w:hint="eastAsia"/>
          <w:kern w:val="22"/>
          <w:sz w:val="24"/>
          <w:szCs w:val="24"/>
          <w:lang w:val="en-GB"/>
        </w:rPr>
        <w:t>所设</w:t>
      </w:r>
      <w:r w:rsidRPr="00AE5D22">
        <w:rPr>
          <w:kern w:val="22"/>
          <w:sz w:val="24"/>
          <w:szCs w:val="24"/>
          <w:lang w:val="en-GB"/>
        </w:rPr>
        <w:t>改性活生物体风险评估具体问题的确定和</w:t>
      </w:r>
      <w:r w:rsidRPr="00AE5D22">
        <w:rPr>
          <w:rFonts w:hint="eastAsia"/>
          <w:kern w:val="22"/>
          <w:sz w:val="24"/>
          <w:szCs w:val="24"/>
          <w:lang w:val="en-GB"/>
        </w:rPr>
        <w:t>排序程序</w:t>
      </w:r>
      <w:r w:rsidRPr="00AE5D22">
        <w:rPr>
          <w:kern w:val="22"/>
          <w:sz w:val="24"/>
          <w:szCs w:val="24"/>
          <w:lang w:val="en-GB"/>
        </w:rPr>
        <w:t>，审议可能需要风险评估指导材料的其他问题</w:t>
      </w:r>
      <w:r w:rsidRPr="00AE5D22">
        <w:rPr>
          <w:rFonts w:hint="eastAsia"/>
          <w:kern w:val="22"/>
          <w:sz w:val="24"/>
          <w:szCs w:val="24"/>
          <w:lang w:val="en-GB"/>
        </w:rPr>
        <w:t>，同时</w:t>
      </w:r>
      <w:r w:rsidRPr="00AE5D22">
        <w:rPr>
          <w:kern w:val="22"/>
          <w:sz w:val="24"/>
          <w:szCs w:val="24"/>
          <w:lang w:val="en-GB"/>
        </w:rPr>
        <w:t>考虑到缔约方</w:t>
      </w:r>
      <w:r w:rsidR="007A544E">
        <w:rPr>
          <w:rFonts w:hint="eastAsia"/>
          <w:kern w:val="22"/>
          <w:sz w:val="24"/>
          <w:szCs w:val="24"/>
          <w:lang w:val="en-GB"/>
        </w:rPr>
        <w:t>通过上文第</w:t>
      </w:r>
      <w:r w:rsidR="007A544E">
        <w:rPr>
          <w:rFonts w:hint="eastAsia"/>
          <w:kern w:val="22"/>
          <w:sz w:val="24"/>
          <w:szCs w:val="24"/>
          <w:lang w:val="en-GB"/>
        </w:rPr>
        <w:t>9</w:t>
      </w:r>
      <w:r w:rsidR="007A544E">
        <w:rPr>
          <w:rFonts w:hint="eastAsia"/>
          <w:kern w:val="22"/>
          <w:sz w:val="24"/>
          <w:szCs w:val="24"/>
          <w:lang w:val="en-GB"/>
        </w:rPr>
        <w:t>段</w:t>
      </w:r>
      <w:r w:rsidRPr="00AE5D22">
        <w:rPr>
          <w:kern w:val="22"/>
          <w:sz w:val="24"/>
          <w:szCs w:val="24"/>
          <w:lang w:val="en-GB"/>
        </w:rPr>
        <w:t>确定的优先事项</w:t>
      </w:r>
      <w:r w:rsidR="007A544E">
        <w:rPr>
          <w:rFonts w:hint="eastAsia"/>
          <w:kern w:val="22"/>
          <w:sz w:val="24"/>
          <w:szCs w:val="24"/>
          <w:lang w:val="en-GB"/>
        </w:rPr>
        <w:t>以及特设技术专家组按照其职权范围第</w:t>
      </w:r>
      <w:r w:rsidR="007A544E">
        <w:rPr>
          <w:rFonts w:hint="eastAsia"/>
          <w:kern w:val="22"/>
          <w:sz w:val="24"/>
          <w:szCs w:val="24"/>
          <w:lang w:val="en-GB"/>
        </w:rPr>
        <w:t>1</w:t>
      </w:r>
      <w:r w:rsidR="007A544E">
        <w:rPr>
          <w:kern w:val="22"/>
          <w:sz w:val="24"/>
          <w:szCs w:val="24"/>
          <w:lang w:val="en-GB"/>
        </w:rPr>
        <w:t>(f)</w:t>
      </w:r>
      <w:r w:rsidR="007A544E">
        <w:rPr>
          <w:rFonts w:hint="eastAsia"/>
          <w:kern w:val="22"/>
          <w:sz w:val="24"/>
          <w:szCs w:val="24"/>
          <w:lang w:val="en-GB"/>
        </w:rPr>
        <w:t>段提交的报告</w:t>
      </w:r>
      <w:r w:rsidRPr="00AE5D22">
        <w:rPr>
          <w:kern w:val="22"/>
          <w:sz w:val="24"/>
          <w:szCs w:val="24"/>
          <w:lang w:val="en-GB"/>
        </w:rPr>
        <w:t>。</w:t>
      </w:r>
    </w:p>
    <w:p w14:paraId="453AC1E7" w14:textId="77777777" w:rsidR="002234A2" w:rsidRDefault="002234A2" w:rsidP="002234A2">
      <w:pPr>
        <w:tabs>
          <w:tab w:val="left" w:pos="5409"/>
        </w:tabs>
        <w:spacing w:after="0" w:line="240" w:lineRule="auto"/>
        <w:jc w:val="left"/>
        <w:rPr>
          <w:rFonts w:ascii="楷体" w:eastAsia="楷体" w:hAnsi="楷体"/>
          <w:sz w:val="24"/>
          <w:szCs w:val="24"/>
        </w:rPr>
      </w:pPr>
      <w:r>
        <w:rPr>
          <w:rFonts w:ascii="楷体" w:eastAsia="楷体" w:hAnsi="楷体"/>
          <w:sz w:val="24"/>
          <w:szCs w:val="24"/>
        </w:rPr>
        <w:tab/>
      </w:r>
    </w:p>
    <w:p w14:paraId="3FA38BBA" w14:textId="18AD2395" w:rsidR="007A544E" w:rsidRPr="007A544E" w:rsidRDefault="007A544E" w:rsidP="002234A2">
      <w:pPr>
        <w:tabs>
          <w:tab w:val="left" w:pos="5409"/>
        </w:tabs>
        <w:spacing w:after="0" w:line="240" w:lineRule="auto"/>
        <w:jc w:val="center"/>
        <w:rPr>
          <w:rFonts w:ascii="楷体" w:eastAsia="楷体" w:hAnsi="楷体"/>
          <w:sz w:val="24"/>
          <w:szCs w:val="24"/>
        </w:rPr>
      </w:pPr>
      <w:r w:rsidRPr="007A544E">
        <w:rPr>
          <w:rFonts w:ascii="楷体" w:eastAsia="楷体" w:hAnsi="楷体"/>
          <w:sz w:val="24"/>
          <w:szCs w:val="24"/>
        </w:rPr>
        <w:t>附件</w:t>
      </w:r>
    </w:p>
    <w:p w14:paraId="00342C93" w14:textId="77777777" w:rsidR="007A544E" w:rsidRPr="007A544E" w:rsidRDefault="007A544E" w:rsidP="00923CCC">
      <w:pPr>
        <w:spacing w:before="120" w:line="240" w:lineRule="atLeast"/>
        <w:jc w:val="center"/>
        <w:rPr>
          <w:b/>
          <w:bCs/>
          <w:snapToGrid w:val="0"/>
          <w:sz w:val="24"/>
          <w:szCs w:val="24"/>
          <w:lang w:val="en-GB"/>
        </w:rPr>
      </w:pPr>
      <w:r w:rsidRPr="007A544E">
        <w:rPr>
          <w:b/>
          <w:bCs/>
          <w:snapToGrid w:val="0"/>
          <w:sz w:val="24"/>
          <w:szCs w:val="24"/>
          <w:lang w:val="en-GB"/>
        </w:rPr>
        <w:t>风险评估</w:t>
      </w:r>
      <w:r w:rsidRPr="007A544E">
        <w:rPr>
          <w:rFonts w:hint="eastAsia"/>
          <w:b/>
          <w:bCs/>
          <w:snapToGrid w:val="0"/>
          <w:sz w:val="24"/>
          <w:szCs w:val="24"/>
          <w:lang w:val="en-GB"/>
        </w:rPr>
        <w:t>问题</w:t>
      </w:r>
      <w:r w:rsidRPr="007A544E">
        <w:rPr>
          <w:b/>
          <w:bCs/>
          <w:snapToGrid w:val="0"/>
          <w:sz w:val="24"/>
          <w:szCs w:val="24"/>
          <w:lang w:val="en-GB"/>
        </w:rPr>
        <w:t>特设技术专家组的职权范围</w:t>
      </w:r>
    </w:p>
    <w:p w14:paraId="6C9EBA3F" w14:textId="77777777" w:rsidR="007A544E" w:rsidRPr="007A544E" w:rsidRDefault="007A544E" w:rsidP="00923CCC">
      <w:pPr>
        <w:pStyle w:val="Para1"/>
        <w:numPr>
          <w:ilvl w:val="0"/>
          <w:numId w:val="39"/>
        </w:numPr>
        <w:suppressLineNumbers/>
        <w:suppressAutoHyphens/>
        <w:overflowPunct w:val="0"/>
        <w:autoSpaceDE w:val="0"/>
        <w:autoSpaceDN w:val="0"/>
        <w:adjustRightInd w:val="0"/>
        <w:spacing w:line="240" w:lineRule="atLeast"/>
        <w:ind w:left="0" w:firstLine="0"/>
        <w:rPr>
          <w:snapToGrid/>
          <w:sz w:val="24"/>
          <w:szCs w:val="24"/>
        </w:rPr>
      </w:pPr>
      <w:r w:rsidRPr="007A544E">
        <w:rPr>
          <w:snapToGrid/>
          <w:sz w:val="24"/>
          <w:szCs w:val="24"/>
        </w:rPr>
        <w:t>风险评估</w:t>
      </w:r>
      <w:r w:rsidRPr="007A544E">
        <w:rPr>
          <w:rFonts w:hint="eastAsia"/>
          <w:snapToGrid/>
          <w:sz w:val="24"/>
          <w:szCs w:val="24"/>
        </w:rPr>
        <w:t>问题</w:t>
      </w:r>
      <w:r w:rsidRPr="007A544E">
        <w:rPr>
          <w:snapToGrid/>
          <w:sz w:val="24"/>
          <w:szCs w:val="24"/>
        </w:rPr>
        <w:t>特设技术专家组应</w:t>
      </w:r>
      <w:r w:rsidRPr="007A544E">
        <w:rPr>
          <w:snapToGrid/>
          <w:sz w:val="24"/>
          <w:szCs w:val="24"/>
        </w:rPr>
        <w:t>:</w:t>
      </w:r>
    </w:p>
    <w:p w14:paraId="205C0198" w14:textId="21FFF291" w:rsidR="007A544E" w:rsidRDefault="007A544E" w:rsidP="00923CCC">
      <w:pPr>
        <w:pStyle w:val="Para1"/>
        <w:numPr>
          <w:ilvl w:val="0"/>
          <w:numId w:val="41"/>
        </w:numPr>
        <w:suppressLineNumbers/>
        <w:suppressAutoHyphens/>
        <w:overflowPunct w:val="0"/>
        <w:autoSpaceDE w:val="0"/>
        <w:autoSpaceDN w:val="0"/>
        <w:adjustRightInd w:val="0"/>
        <w:spacing w:line="240" w:lineRule="atLeast"/>
        <w:ind w:left="0" w:firstLine="490"/>
        <w:rPr>
          <w:kern w:val="22"/>
          <w:sz w:val="24"/>
          <w:szCs w:val="24"/>
          <w:lang w:val="en-GB"/>
        </w:rPr>
      </w:pPr>
      <w:r w:rsidRPr="007A544E">
        <w:rPr>
          <w:kern w:val="22"/>
          <w:sz w:val="24"/>
          <w:szCs w:val="24"/>
          <w:lang w:val="en-GB"/>
        </w:rPr>
        <w:t>由按照科学、技术和工艺咨询附属机构综合工作</w:t>
      </w:r>
      <w:r w:rsidRPr="007A544E">
        <w:rPr>
          <w:rFonts w:hint="eastAsia"/>
          <w:kern w:val="22"/>
          <w:sz w:val="24"/>
          <w:szCs w:val="24"/>
          <w:lang w:val="en-GB"/>
        </w:rPr>
        <w:t>方法</w:t>
      </w:r>
      <w:r>
        <w:rPr>
          <w:rFonts w:hint="eastAsia"/>
          <w:kern w:val="22"/>
          <w:sz w:val="24"/>
          <w:szCs w:val="24"/>
          <w:lang w:val="en-GB"/>
        </w:rPr>
        <w:t>H</w:t>
      </w:r>
      <w:r>
        <w:rPr>
          <w:rFonts w:hint="eastAsia"/>
          <w:kern w:val="22"/>
          <w:sz w:val="24"/>
          <w:szCs w:val="24"/>
          <w:lang w:val="en-GB"/>
        </w:rPr>
        <w:t>节挑选</w:t>
      </w:r>
      <w:r w:rsidRPr="007A544E">
        <w:rPr>
          <w:kern w:val="22"/>
          <w:sz w:val="24"/>
          <w:szCs w:val="24"/>
          <w:lang w:val="en-GB"/>
        </w:rPr>
        <w:t>的专家组成</w:t>
      </w:r>
      <w:r w:rsidR="00256C9C">
        <w:rPr>
          <w:rFonts w:hint="eastAsia"/>
          <w:kern w:val="22"/>
          <w:sz w:val="24"/>
          <w:szCs w:val="24"/>
          <w:lang w:val="en-GB"/>
        </w:rPr>
        <w:t>，确保具备专门</w:t>
      </w:r>
      <w:r w:rsidR="00256C9C">
        <w:rPr>
          <w:rFonts w:hint="eastAsia"/>
          <w:kern w:val="22"/>
          <w:sz w:val="24"/>
          <w:szCs w:val="24"/>
          <w:lang w:val="en-GB"/>
        </w:rPr>
        <w:t>[</w:t>
      </w:r>
      <w:r w:rsidR="00256C9C">
        <w:rPr>
          <w:rFonts w:hint="eastAsia"/>
          <w:kern w:val="22"/>
          <w:sz w:val="24"/>
          <w:szCs w:val="24"/>
          <w:lang w:val="en-GB"/>
        </w:rPr>
        <w:t>科学</w:t>
      </w:r>
      <w:r w:rsidR="00256C9C">
        <w:rPr>
          <w:rFonts w:hint="eastAsia"/>
          <w:kern w:val="22"/>
          <w:sz w:val="24"/>
          <w:szCs w:val="24"/>
          <w:lang w:val="en-GB"/>
        </w:rPr>
        <w:t>]</w:t>
      </w:r>
      <w:r w:rsidR="00256C9C">
        <w:rPr>
          <w:rFonts w:hint="eastAsia"/>
          <w:kern w:val="22"/>
          <w:sz w:val="24"/>
          <w:szCs w:val="24"/>
          <w:lang w:val="en-GB"/>
        </w:rPr>
        <w:t>知识，用于分析</w:t>
      </w:r>
      <w:r w:rsidR="00256C9C" w:rsidRPr="007A544E">
        <w:rPr>
          <w:kern w:val="22"/>
          <w:sz w:val="24"/>
          <w:szCs w:val="24"/>
          <w:lang w:val="en-GB"/>
        </w:rPr>
        <w:t>含有人工基因驱动的活生物体</w:t>
      </w:r>
      <w:r w:rsidR="00256C9C">
        <w:rPr>
          <w:rFonts w:hint="eastAsia"/>
          <w:kern w:val="22"/>
          <w:sz w:val="24"/>
          <w:szCs w:val="24"/>
          <w:lang w:val="en-GB"/>
        </w:rPr>
        <w:t>及其对生物多样性的潜在影响以及与专家组的任务规定有关的问题，</w:t>
      </w:r>
      <w:r w:rsidR="003C492E">
        <w:rPr>
          <w:rFonts w:hint="eastAsia"/>
          <w:kern w:val="22"/>
          <w:sz w:val="24"/>
          <w:szCs w:val="24"/>
          <w:lang w:val="en-GB"/>
        </w:rPr>
        <w:t>专家组</w:t>
      </w:r>
      <w:r w:rsidR="00256C9C">
        <w:rPr>
          <w:rFonts w:hint="eastAsia"/>
          <w:kern w:val="22"/>
          <w:sz w:val="24"/>
          <w:szCs w:val="24"/>
          <w:lang w:val="en-GB"/>
        </w:rPr>
        <w:t>还应包括有关国际组织</w:t>
      </w:r>
      <w:r w:rsidR="00256C9C">
        <w:rPr>
          <w:rStyle w:val="FootnoteReference"/>
          <w:kern w:val="22"/>
          <w:szCs w:val="24"/>
          <w:lang w:val="en-GB"/>
        </w:rPr>
        <w:footnoteReference w:id="5"/>
      </w:r>
      <w:r w:rsidR="00256C9C">
        <w:rPr>
          <w:rFonts w:hint="eastAsia"/>
          <w:kern w:val="22"/>
          <w:sz w:val="24"/>
          <w:szCs w:val="24"/>
          <w:lang w:val="en-GB"/>
        </w:rPr>
        <w:t xml:space="preserve"> </w:t>
      </w:r>
      <w:r w:rsidR="00256C9C">
        <w:rPr>
          <w:rFonts w:hint="eastAsia"/>
          <w:kern w:val="22"/>
          <w:sz w:val="24"/>
          <w:szCs w:val="24"/>
          <w:lang w:val="en-GB"/>
        </w:rPr>
        <w:t>以及土著人民和地方社区的专家，并适用关于</w:t>
      </w:r>
      <w:r w:rsidR="00D24C8D">
        <w:rPr>
          <w:rFonts w:hint="eastAsia"/>
          <w:kern w:val="22"/>
          <w:sz w:val="24"/>
          <w:szCs w:val="24"/>
          <w:lang w:val="en-GB"/>
        </w:rPr>
        <w:t>避免或管理</w:t>
      </w:r>
      <w:r w:rsidR="00256C9C">
        <w:rPr>
          <w:rFonts w:hint="eastAsia"/>
          <w:kern w:val="22"/>
          <w:sz w:val="24"/>
          <w:szCs w:val="24"/>
          <w:lang w:val="en-GB"/>
        </w:rPr>
        <w:t>专家组</w:t>
      </w:r>
      <w:r w:rsidR="00D24C8D">
        <w:rPr>
          <w:rFonts w:hint="eastAsia"/>
          <w:kern w:val="22"/>
          <w:sz w:val="24"/>
          <w:szCs w:val="24"/>
          <w:lang w:val="en-GB"/>
        </w:rPr>
        <w:t>内</w:t>
      </w:r>
      <w:r w:rsidR="00256C9C">
        <w:rPr>
          <w:rFonts w:hint="eastAsia"/>
          <w:kern w:val="22"/>
          <w:sz w:val="24"/>
          <w:szCs w:val="24"/>
          <w:lang w:val="en-GB"/>
        </w:rPr>
        <w:t>利益冲突的程序的第</w:t>
      </w:r>
      <w:r w:rsidR="00D24C8D">
        <w:rPr>
          <w:rFonts w:hint="eastAsia"/>
          <w:kern w:val="22"/>
          <w:sz w:val="24"/>
          <w:szCs w:val="24"/>
          <w:lang w:val="en-GB"/>
        </w:rPr>
        <w:t>1</w:t>
      </w:r>
      <w:r w:rsidR="00D24C8D">
        <w:rPr>
          <w:kern w:val="22"/>
          <w:sz w:val="24"/>
          <w:szCs w:val="24"/>
          <w:lang w:val="en-GB"/>
        </w:rPr>
        <w:t>4/33</w:t>
      </w:r>
      <w:r w:rsidR="00D24C8D">
        <w:rPr>
          <w:rFonts w:hint="eastAsia"/>
          <w:kern w:val="22"/>
          <w:sz w:val="24"/>
          <w:szCs w:val="24"/>
          <w:lang w:val="en-GB"/>
        </w:rPr>
        <w:t>号决定</w:t>
      </w:r>
      <w:r w:rsidRPr="007A544E">
        <w:rPr>
          <w:kern w:val="22"/>
          <w:sz w:val="24"/>
          <w:szCs w:val="24"/>
          <w:lang w:val="en-GB"/>
        </w:rPr>
        <w:t>；</w:t>
      </w:r>
    </w:p>
    <w:p w14:paraId="7F148943" w14:textId="3D929267" w:rsidR="00D24C8D" w:rsidRPr="007A544E" w:rsidRDefault="00D24C8D" w:rsidP="00923CCC">
      <w:pPr>
        <w:rPr>
          <w:snapToGrid w:val="0"/>
          <w:kern w:val="22"/>
          <w:sz w:val="24"/>
          <w:szCs w:val="24"/>
          <w:lang w:val="en-GB"/>
        </w:rPr>
      </w:pPr>
      <w:r>
        <w:rPr>
          <w:snapToGrid w:val="0"/>
          <w:kern w:val="22"/>
          <w:sz w:val="24"/>
          <w:szCs w:val="24"/>
          <w:lang w:val="en-GB"/>
        </w:rPr>
        <w:tab/>
        <w:t>[(b)</w:t>
      </w:r>
      <w:r>
        <w:rPr>
          <w:snapToGrid w:val="0"/>
          <w:kern w:val="22"/>
          <w:sz w:val="24"/>
          <w:szCs w:val="24"/>
          <w:lang w:val="en-GB"/>
        </w:rPr>
        <w:tab/>
      </w:r>
      <w:r>
        <w:rPr>
          <w:rFonts w:hint="eastAsia"/>
          <w:snapToGrid w:val="0"/>
          <w:kern w:val="22"/>
          <w:sz w:val="24"/>
          <w:szCs w:val="24"/>
          <w:lang w:val="en-GB"/>
        </w:rPr>
        <w:t>审议运作模式，确保起草过程的快速高效，</w:t>
      </w:r>
      <w:r>
        <w:rPr>
          <w:rFonts w:hint="eastAsia"/>
          <w:snapToGrid w:val="0"/>
          <w:kern w:val="22"/>
          <w:sz w:val="24"/>
          <w:szCs w:val="24"/>
          <w:lang w:val="en-GB"/>
        </w:rPr>
        <w:t>[</w:t>
      </w:r>
      <w:r>
        <w:rPr>
          <w:rFonts w:hint="eastAsia"/>
          <w:snapToGrid w:val="0"/>
          <w:kern w:val="22"/>
          <w:sz w:val="24"/>
          <w:szCs w:val="24"/>
          <w:lang w:val="en-GB"/>
        </w:rPr>
        <w:t>包括设立一个小型的起草小组，</w:t>
      </w:r>
      <w:r>
        <w:rPr>
          <w:snapToGrid w:val="0"/>
          <w:kern w:val="22"/>
          <w:sz w:val="24"/>
          <w:szCs w:val="24"/>
          <w:lang w:val="en-GB"/>
        </w:rPr>
        <w:t>]</w:t>
      </w:r>
      <w:r w:rsidRPr="00D24C8D">
        <w:rPr>
          <w:rFonts w:hint="eastAsia"/>
          <w:snapToGrid w:val="0"/>
          <w:kern w:val="22"/>
          <w:sz w:val="24"/>
          <w:szCs w:val="24"/>
          <w:lang w:val="en-GB"/>
        </w:rPr>
        <w:t xml:space="preserve"> </w:t>
      </w:r>
      <w:r w:rsidRPr="00D24C8D">
        <w:rPr>
          <w:rFonts w:hint="eastAsia"/>
          <w:snapToGrid w:val="0"/>
          <w:kern w:val="22"/>
          <w:sz w:val="24"/>
          <w:szCs w:val="24"/>
          <w:lang w:val="en-GB"/>
        </w:rPr>
        <w:t>酌情以经过在线论坛审查的初稿为基础</w:t>
      </w:r>
      <w:r>
        <w:rPr>
          <w:rFonts w:hint="eastAsia"/>
          <w:snapToGrid w:val="0"/>
          <w:kern w:val="22"/>
          <w:sz w:val="24"/>
          <w:szCs w:val="24"/>
          <w:lang w:val="en-GB"/>
        </w:rPr>
        <w:t>；</w:t>
      </w:r>
      <w:r>
        <w:rPr>
          <w:rFonts w:hint="eastAsia"/>
          <w:snapToGrid w:val="0"/>
          <w:kern w:val="22"/>
          <w:sz w:val="24"/>
          <w:szCs w:val="24"/>
          <w:lang w:val="en-GB"/>
        </w:rPr>
        <w:t>]</w:t>
      </w:r>
    </w:p>
    <w:p w14:paraId="04B5EC14" w14:textId="04B58DAA" w:rsidR="007A544E" w:rsidRDefault="007A544E" w:rsidP="00923CCC">
      <w:pPr>
        <w:pStyle w:val="Para1"/>
        <w:numPr>
          <w:ilvl w:val="0"/>
          <w:numId w:val="43"/>
        </w:numPr>
        <w:suppressLineNumbers/>
        <w:suppressAutoHyphens/>
        <w:overflowPunct w:val="0"/>
        <w:autoSpaceDE w:val="0"/>
        <w:autoSpaceDN w:val="0"/>
        <w:adjustRightInd w:val="0"/>
        <w:spacing w:line="240" w:lineRule="atLeast"/>
        <w:ind w:left="0" w:firstLine="490"/>
        <w:rPr>
          <w:kern w:val="22"/>
          <w:sz w:val="24"/>
          <w:szCs w:val="24"/>
          <w:lang w:val="en-GB"/>
        </w:rPr>
      </w:pPr>
      <w:r w:rsidRPr="007A544E">
        <w:rPr>
          <w:rFonts w:hint="eastAsia"/>
          <w:kern w:val="22"/>
          <w:sz w:val="24"/>
          <w:szCs w:val="24"/>
          <w:lang w:val="en-GB"/>
        </w:rPr>
        <w:t>如资金允许</w:t>
      </w:r>
      <w:r w:rsidRPr="007A544E">
        <w:rPr>
          <w:kern w:val="22"/>
          <w:sz w:val="24"/>
          <w:szCs w:val="24"/>
          <w:lang w:val="en-GB"/>
        </w:rPr>
        <w:t>，在作为卡塔赫纳生物安全议定书缔约方会议的缔约方</w:t>
      </w:r>
      <w:r w:rsidRPr="007A544E">
        <w:rPr>
          <w:rFonts w:hint="eastAsia"/>
          <w:kern w:val="22"/>
          <w:sz w:val="24"/>
          <w:szCs w:val="24"/>
          <w:lang w:val="en-GB"/>
        </w:rPr>
        <w:t>大会</w:t>
      </w:r>
      <w:r w:rsidRPr="007A544E">
        <w:rPr>
          <w:kern w:val="22"/>
          <w:sz w:val="24"/>
          <w:szCs w:val="24"/>
          <w:lang w:val="en-GB"/>
        </w:rPr>
        <w:t>第十一次会议之前举行两次会议，</w:t>
      </w:r>
      <w:r w:rsidR="00D24C8D">
        <w:rPr>
          <w:rFonts w:hint="eastAsia"/>
          <w:kern w:val="22"/>
          <w:sz w:val="24"/>
          <w:szCs w:val="24"/>
          <w:lang w:val="en-GB"/>
        </w:rPr>
        <w:t>其中至少一次是面对面会议，</w:t>
      </w:r>
      <w:r w:rsidRPr="007A544E">
        <w:rPr>
          <w:kern w:val="22"/>
          <w:sz w:val="24"/>
          <w:szCs w:val="24"/>
          <w:lang w:val="en-GB"/>
        </w:rPr>
        <w:t>并</w:t>
      </w:r>
      <w:r w:rsidR="00C27038">
        <w:rPr>
          <w:rFonts w:hint="eastAsia"/>
          <w:kern w:val="22"/>
          <w:sz w:val="24"/>
          <w:szCs w:val="24"/>
          <w:lang w:val="en-GB"/>
        </w:rPr>
        <w:t>利用</w:t>
      </w:r>
      <w:r w:rsidR="00D24C8D">
        <w:rPr>
          <w:rFonts w:hint="eastAsia"/>
          <w:kern w:val="22"/>
          <w:sz w:val="24"/>
          <w:szCs w:val="24"/>
          <w:lang w:val="en-GB"/>
        </w:rPr>
        <w:t>在线通讯和互动</w:t>
      </w:r>
      <w:r w:rsidR="00C27038">
        <w:rPr>
          <w:rFonts w:hint="eastAsia"/>
          <w:kern w:val="22"/>
          <w:sz w:val="24"/>
          <w:szCs w:val="24"/>
          <w:lang w:val="en-GB"/>
        </w:rPr>
        <w:t>手段提供的</w:t>
      </w:r>
      <w:r w:rsidR="00D24C8D">
        <w:rPr>
          <w:rFonts w:hint="eastAsia"/>
          <w:kern w:val="22"/>
          <w:sz w:val="24"/>
          <w:szCs w:val="24"/>
          <w:lang w:val="en-GB"/>
        </w:rPr>
        <w:t>支持，</w:t>
      </w:r>
      <w:r w:rsidRPr="007A544E">
        <w:rPr>
          <w:kern w:val="22"/>
          <w:sz w:val="24"/>
          <w:szCs w:val="24"/>
          <w:lang w:val="en-GB"/>
        </w:rPr>
        <w:t>在两次会议之间执行必要任务；</w:t>
      </w:r>
    </w:p>
    <w:p w14:paraId="21B065B5" w14:textId="1E3EECEF" w:rsidR="00C27038" w:rsidRDefault="00C27038" w:rsidP="00923CCC">
      <w:pPr>
        <w:rPr>
          <w:snapToGrid w:val="0"/>
          <w:kern w:val="22"/>
          <w:sz w:val="24"/>
          <w:szCs w:val="24"/>
        </w:rPr>
      </w:pPr>
      <w:r>
        <w:rPr>
          <w:snapToGrid w:val="0"/>
          <w:kern w:val="22"/>
          <w:sz w:val="24"/>
          <w:szCs w:val="24"/>
          <w:lang w:val="en-GB"/>
        </w:rPr>
        <w:tab/>
        <w:t>[(d)</w:t>
      </w:r>
      <w:r>
        <w:rPr>
          <w:snapToGrid w:val="0"/>
          <w:kern w:val="22"/>
          <w:sz w:val="24"/>
          <w:szCs w:val="24"/>
          <w:lang w:val="en-GB"/>
        </w:rPr>
        <w:tab/>
      </w:r>
      <w:r w:rsidRPr="00C27038">
        <w:rPr>
          <w:rFonts w:hint="eastAsia"/>
          <w:snapToGrid w:val="0"/>
          <w:kern w:val="22"/>
          <w:sz w:val="24"/>
          <w:szCs w:val="24"/>
        </w:rPr>
        <w:t>制定</w:t>
      </w:r>
      <w:r>
        <w:rPr>
          <w:rFonts w:hint="eastAsia"/>
          <w:snapToGrid w:val="0"/>
          <w:kern w:val="22"/>
          <w:sz w:val="24"/>
          <w:szCs w:val="24"/>
        </w:rPr>
        <w:t>更多</w:t>
      </w:r>
      <w:r w:rsidRPr="00C27038">
        <w:rPr>
          <w:rFonts w:hint="eastAsia"/>
          <w:snapToGrid w:val="0"/>
          <w:kern w:val="22"/>
          <w:sz w:val="24"/>
          <w:szCs w:val="24"/>
        </w:rPr>
        <w:t>自愿指导材料，根据</w:t>
      </w:r>
      <w:r>
        <w:rPr>
          <w:rFonts w:hint="eastAsia"/>
          <w:snapToGrid w:val="0"/>
          <w:kern w:val="22"/>
          <w:sz w:val="24"/>
          <w:szCs w:val="24"/>
        </w:rPr>
        <w:t>《</w:t>
      </w:r>
      <w:r w:rsidRPr="00C27038">
        <w:rPr>
          <w:rFonts w:hint="eastAsia"/>
          <w:snapToGrid w:val="0"/>
          <w:kern w:val="22"/>
          <w:sz w:val="24"/>
          <w:szCs w:val="24"/>
        </w:rPr>
        <w:t>议定书</w:t>
      </w:r>
      <w:r>
        <w:rPr>
          <w:rFonts w:hint="eastAsia"/>
          <w:snapToGrid w:val="0"/>
          <w:kern w:val="22"/>
          <w:sz w:val="24"/>
          <w:szCs w:val="24"/>
        </w:rPr>
        <w:t>》</w:t>
      </w:r>
      <w:r w:rsidRPr="00C27038">
        <w:rPr>
          <w:rFonts w:hint="eastAsia"/>
          <w:snapToGrid w:val="0"/>
          <w:kern w:val="22"/>
          <w:sz w:val="24"/>
          <w:szCs w:val="24"/>
        </w:rPr>
        <w:t>附件三对含有</w:t>
      </w:r>
      <w:r w:rsidRPr="007A544E">
        <w:rPr>
          <w:snapToGrid w:val="0"/>
          <w:kern w:val="22"/>
          <w:sz w:val="24"/>
          <w:szCs w:val="24"/>
          <w:lang w:val="en-GB"/>
        </w:rPr>
        <w:t>人工基因驱动</w:t>
      </w:r>
      <w:r w:rsidRPr="00C27038">
        <w:rPr>
          <w:rFonts w:hint="eastAsia"/>
          <w:snapToGrid w:val="0"/>
          <w:kern w:val="22"/>
          <w:sz w:val="24"/>
          <w:szCs w:val="24"/>
        </w:rPr>
        <w:t>的改性活生物体进行</w:t>
      </w:r>
      <w:r>
        <w:rPr>
          <w:rFonts w:hint="eastAsia"/>
          <w:snapToGrid w:val="0"/>
          <w:kern w:val="22"/>
          <w:sz w:val="24"/>
          <w:szCs w:val="24"/>
        </w:rPr>
        <w:t>个案</w:t>
      </w:r>
      <w:r w:rsidRPr="00C27038">
        <w:rPr>
          <w:rFonts w:hint="eastAsia"/>
          <w:snapToGrid w:val="0"/>
          <w:kern w:val="22"/>
          <w:sz w:val="24"/>
          <w:szCs w:val="24"/>
        </w:rPr>
        <w:t>风险评估</w:t>
      </w:r>
      <w:r>
        <w:rPr>
          <w:rFonts w:hint="eastAsia"/>
          <w:snapToGrid w:val="0"/>
          <w:kern w:val="22"/>
          <w:sz w:val="24"/>
          <w:szCs w:val="24"/>
        </w:rPr>
        <w:t>。这些指导</w:t>
      </w:r>
      <w:r w:rsidRPr="00C27038">
        <w:rPr>
          <w:rFonts w:hint="eastAsia"/>
          <w:snapToGrid w:val="0"/>
          <w:kern w:val="22"/>
          <w:sz w:val="24"/>
          <w:szCs w:val="24"/>
        </w:rPr>
        <w:t>材料的一个</w:t>
      </w:r>
      <w:r>
        <w:rPr>
          <w:rFonts w:hint="eastAsia"/>
          <w:snapToGrid w:val="0"/>
          <w:kern w:val="22"/>
          <w:sz w:val="24"/>
          <w:szCs w:val="24"/>
        </w:rPr>
        <w:t>专门</w:t>
      </w:r>
      <w:r w:rsidRPr="00C27038">
        <w:rPr>
          <w:rFonts w:hint="eastAsia"/>
          <w:snapToGrid w:val="0"/>
          <w:kern w:val="22"/>
          <w:sz w:val="24"/>
          <w:szCs w:val="24"/>
        </w:rPr>
        <w:t>重点</w:t>
      </w:r>
      <w:r>
        <w:rPr>
          <w:rFonts w:hint="eastAsia"/>
          <w:snapToGrid w:val="0"/>
          <w:kern w:val="22"/>
          <w:sz w:val="24"/>
          <w:szCs w:val="24"/>
        </w:rPr>
        <w:t>应该</w:t>
      </w:r>
      <w:r w:rsidRPr="00C27038">
        <w:rPr>
          <w:rFonts w:hint="eastAsia"/>
          <w:snapToGrid w:val="0"/>
          <w:kern w:val="22"/>
          <w:sz w:val="24"/>
          <w:szCs w:val="24"/>
        </w:rPr>
        <w:t>是</w:t>
      </w:r>
      <w:r>
        <w:rPr>
          <w:rFonts w:hint="eastAsia"/>
          <w:snapToGrid w:val="0"/>
          <w:kern w:val="22"/>
          <w:sz w:val="24"/>
          <w:szCs w:val="24"/>
        </w:rPr>
        <w:t>含有人工</w:t>
      </w:r>
      <w:r w:rsidRPr="00C27038">
        <w:rPr>
          <w:rFonts w:hint="eastAsia"/>
          <w:snapToGrid w:val="0"/>
          <w:kern w:val="22"/>
          <w:sz w:val="24"/>
          <w:szCs w:val="24"/>
        </w:rPr>
        <w:t>基因驱动</w:t>
      </w:r>
      <w:r>
        <w:rPr>
          <w:rFonts w:hint="eastAsia"/>
          <w:snapToGrid w:val="0"/>
          <w:kern w:val="22"/>
          <w:sz w:val="24"/>
          <w:szCs w:val="24"/>
        </w:rPr>
        <w:t>的</w:t>
      </w:r>
      <w:r w:rsidRPr="00C27038">
        <w:rPr>
          <w:rFonts w:hint="eastAsia"/>
          <w:snapToGrid w:val="0"/>
          <w:kern w:val="22"/>
          <w:sz w:val="24"/>
          <w:szCs w:val="24"/>
        </w:rPr>
        <w:t>蚊子</w:t>
      </w:r>
      <w:r w:rsidRPr="00C27038">
        <w:rPr>
          <w:rFonts w:hint="eastAsia"/>
          <w:snapToGrid w:val="0"/>
          <w:kern w:val="22"/>
          <w:sz w:val="24"/>
          <w:szCs w:val="24"/>
        </w:rPr>
        <w:t>[</w:t>
      </w:r>
      <w:r>
        <w:rPr>
          <w:rFonts w:hint="eastAsia"/>
          <w:snapToGrid w:val="0"/>
          <w:kern w:val="22"/>
          <w:sz w:val="24"/>
          <w:szCs w:val="24"/>
        </w:rPr>
        <w:t>同时顾及含有</w:t>
      </w:r>
      <w:r w:rsidRPr="00C27038">
        <w:rPr>
          <w:rFonts w:hint="eastAsia"/>
          <w:snapToGrid w:val="0"/>
          <w:kern w:val="22"/>
          <w:sz w:val="24"/>
          <w:szCs w:val="24"/>
        </w:rPr>
        <w:t>基因驱动的改性活生物体的一般考虑</w:t>
      </w:r>
      <w:r>
        <w:rPr>
          <w:rFonts w:hint="eastAsia"/>
          <w:snapToGrid w:val="0"/>
          <w:kern w:val="22"/>
          <w:sz w:val="24"/>
          <w:szCs w:val="24"/>
        </w:rPr>
        <w:t>因素</w:t>
      </w:r>
      <w:proofErr w:type="gramStart"/>
      <w:r w:rsidRPr="00C27038">
        <w:rPr>
          <w:rFonts w:hint="eastAsia"/>
          <w:snapToGrid w:val="0"/>
          <w:kern w:val="22"/>
          <w:sz w:val="24"/>
          <w:szCs w:val="24"/>
        </w:rPr>
        <w:t>，</w:t>
      </w:r>
      <w:r w:rsidRPr="00C27038">
        <w:rPr>
          <w:rFonts w:hint="eastAsia"/>
          <w:snapToGrid w:val="0"/>
          <w:kern w:val="22"/>
          <w:sz w:val="24"/>
          <w:szCs w:val="24"/>
        </w:rPr>
        <w:t>][</w:t>
      </w:r>
      <w:proofErr w:type="gramEnd"/>
      <w:r w:rsidRPr="00C27038">
        <w:rPr>
          <w:rFonts w:hint="eastAsia"/>
          <w:snapToGrid w:val="0"/>
          <w:kern w:val="22"/>
          <w:sz w:val="24"/>
          <w:szCs w:val="24"/>
        </w:rPr>
        <w:t>风险评估问题特设技术专家组确定的挑战</w:t>
      </w:r>
      <w:r>
        <w:rPr>
          <w:rStyle w:val="FootnoteReference"/>
          <w:snapToGrid w:val="0"/>
          <w:kern w:val="22"/>
          <w:szCs w:val="24"/>
        </w:rPr>
        <w:footnoteReference w:id="6"/>
      </w:r>
      <w:r w:rsidRPr="00C27038">
        <w:rPr>
          <w:rFonts w:hint="eastAsia"/>
          <w:snapToGrid w:val="0"/>
          <w:kern w:val="22"/>
          <w:sz w:val="24"/>
          <w:szCs w:val="24"/>
        </w:rPr>
        <w:t>和</w:t>
      </w:r>
      <w:r>
        <w:rPr>
          <w:rFonts w:hint="eastAsia"/>
          <w:snapToGrid w:val="0"/>
          <w:kern w:val="22"/>
          <w:sz w:val="24"/>
          <w:szCs w:val="24"/>
        </w:rPr>
        <w:t>第</w:t>
      </w:r>
      <w:r>
        <w:rPr>
          <w:rFonts w:hint="eastAsia"/>
          <w:snapToGrid w:val="0"/>
          <w:kern w:val="22"/>
          <w:sz w:val="24"/>
          <w:szCs w:val="24"/>
        </w:rPr>
        <w:t>C</w:t>
      </w:r>
      <w:r>
        <w:rPr>
          <w:snapToGrid w:val="0"/>
          <w:kern w:val="22"/>
          <w:sz w:val="24"/>
          <w:szCs w:val="24"/>
        </w:rPr>
        <w:t>P-9/13</w:t>
      </w:r>
      <w:r>
        <w:rPr>
          <w:rFonts w:hint="eastAsia"/>
          <w:snapToGrid w:val="0"/>
          <w:kern w:val="22"/>
          <w:sz w:val="24"/>
          <w:szCs w:val="24"/>
        </w:rPr>
        <w:t>号</w:t>
      </w:r>
      <w:r w:rsidRPr="00C27038">
        <w:rPr>
          <w:rFonts w:hint="eastAsia"/>
          <w:snapToGrid w:val="0"/>
          <w:kern w:val="22"/>
          <w:sz w:val="24"/>
          <w:szCs w:val="24"/>
        </w:rPr>
        <w:t>决</w:t>
      </w:r>
      <w:r w:rsidRPr="00C27038">
        <w:rPr>
          <w:rFonts w:ascii="宋体" w:hAnsi="宋体" w:cs="宋体" w:hint="eastAsia"/>
          <w:snapToGrid w:val="0"/>
          <w:kern w:val="22"/>
          <w:sz w:val="24"/>
          <w:szCs w:val="24"/>
        </w:rPr>
        <w:t>定</w:t>
      </w:r>
      <w:r w:rsidRPr="00C27038">
        <w:rPr>
          <w:rFonts w:hint="eastAsia"/>
          <w:snapToGrid w:val="0"/>
          <w:kern w:val="22"/>
          <w:sz w:val="24"/>
          <w:szCs w:val="24"/>
        </w:rPr>
        <w:t>附件</w:t>
      </w:r>
      <w:r w:rsidRPr="00C27038">
        <w:rPr>
          <w:rFonts w:hint="eastAsia"/>
          <w:snapToGrid w:val="0"/>
          <w:kern w:val="22"/>
          <w:sz w:val="24"/>
          <w:szCs w:val="24"/>
        </w:rPr>
        <w:t xml:space="preserve"> 1 </w:t>
      </w:r>
      <w:r w:rsidRPr="00C27038">
        <w:rPr>
          <w:rFonts w:hint="eastAsia"/>
          <w:snapToGrid w:val="0"/>
          <w:kern w:val="22"/>
          <w:sz w:val="24"/>
          <w:szCs w:val="24"/>
        </w:rPr>
        <w:t>中确定的</w:t>
      </w:r>
      <w:r>
        <w:rPr>
          <w:rFonts w:hint="eastAsia"/>
          <w:snapToGrid w:val="0"/>
          <w:kern w:val="22"/>
          <w:sz w:val="24"/>
          <w:szCs w:val="24"/>
        </w:rPr>
        <w:t>程序</w:t>
      </w:r>
      <w:r w:rsidRPr="00C27038">
        <w:rPr>
          <w:rFonts w:hint="eastAsia"/>
          <w:snapToGrid w:val="0"/>
          <w:kern w:val="22"/>
          <w:sz w:val="24"/>
          <w:szCs w:val="24"/>
        </w:rPr>
        <w:t xml:space="preserve">] </w:t>
      </w:r>
      <w:r w:rsidRPr="00C27038">
        <w:rPr>
          <w:rFonts w:hint="eastAsia"/>
          <w:snapToGrid w:val="0"/>
          <w:kern w:val="22"/>
          <w:sz w:val="24"/>
          <w:szCs w:val="24"/>
        </w:rPr>
        <w:t>以及现有的国家和区域风险评估经验。</w:t>
      </w:r>
      <w:r w:rsidRPr="00C27038">
        <w:rPr>
          <w:rFonts w:hint="eastAsia"/>
          <w:snapToGrid w:val="0"/>
          <w:kern w:val="22"/>
          <w:sz w:val="24"/>
          <w:szCs w:val="24"/>
        </w:rPr>
        <w:t xml:space="preserve"> [</w:t>
      </w:r>
      <w:r>
        <w:rPr>
          <w:rFonts w:hint="eastAsia"/>
          <w:snapToGrid w:val="0"/>
          <w:kern w:val="22"/>
          <w:sz w:val="24"/>
          <w:szCs w:val="24"/>
        </w:rPr>
        <w:t>同时</w:t>
      </w:r>
      <w:r w:rsidRPr="00C27038">
        <w:rPr>
          <w:rFonts w:hint="eastAsia"/>
          <w:snapToGrid w:val="0"/>
          <w:kern w:val="22"/>
          <w:sz w:val="24"/>
          <w:szCs w:val="24"/>
        </w:rPr>
        <w:t>考虑到人类健康、环境和社会经济影响以及传统知识和生物多样性对土著人民和当地社区的价值</w:t>
      </w:r>
      <w:r w:rsidRPr="00C27038">
        <w:rPr>
          <w:rFonts w:hint="eastAsia"/>
          <w:snapToGrid w:val="0"/>
          <w:kern w:val="22"/>
          <w:sz w:val="24"/>
          <w:szCs w:val="24"/>
        </w:rPr>
        <w:t xml:space="preserve">]] </w:t>
      </w:r>
    </w:p>
    <w:p w14:paraId="0B707CEB" w14:textId="081AAE1F" w:rsidR="00C27038" w:rsidRDefault="00C27038" w:rsidP="00923CCC">
      <w:pPr>
        <w:pStyle w:val="Para1"/>
        <w:numPr>
          <w:ilvl w:val="0"/>
          <w:numId w:val="46"/>
        </w:numPr>
        <w:suppressLineNumbers/>
        <w:suppressAutoHyphens/>
        <w:overflowPunct w:val="0"/>
        <w:autoSpaceDE w:val="0"/>
        <w:autoSpaceDN w:val="0"/>
        <w:adjustRightInd w:val="0"/>
        <w:spacing w:line="240" w:lineRule="atLeast"/>
        <w:ind w:left="0" w:firstLine="490"/>
        <w:rPr>
          <w:kern w:val="22"/>
          <w:sz w:val="24"/>
          <w:szCs w:val="24"/>
        </w:rPr>
      </w:pPr>
      <w:r w:rsidRPr="00C27038">
        <w:rPr>
          <w:rFonts w:hint="eastAsia"/>
          <w:kern w:val="22"/>
          <w:sz w:val="24"/>
          <w:szCs w:val="24"/>
          <w:lang w:val="en-GB"/>
        </w:rPr>
        <w:t>分析缔约方根据第</w:t>
      </w:r>
      <w:r w:rsidRPr="00C27038">
        <w:rPr>
          <w:rFonts w:hint="eastAsia"/>
          <w:kern w:val="22"/>
          <w:sz w:val="24"/>
          <w:szCs w:val="24"/>
        </w:rPr>
        <w:t xml:space="preserve"> 9 </w:t>
      </w:r>
      <w:r w:rsidRPr="00C27038">
        <w:rPr>
          <w:rFonts w:hint="eastAsia"/>
          <w:kern w:val="22"/>
          <w:sz w:val="24"/>
          <w:szCs w:val="24"/>
        </w:rPr>
        <w:t>段提交的信息，并</w:t>
      </w:r>
      <w:r w:rsidR="00923CCC">
        <w:rPr>
          <w:rFonts w:hint="eastAsia"/>
          <w:kern w:val="22"/>
          <w:sz w:val="24"/>
          <w:szCs w:val="24"/>
        </w:rPr>
        <w:t>以此为</w:t>
      </w:r>
      <w:r w:rsidRPr="00C27038">
        <w:rPr>
          <w:rFonts w:hint="eastAsia"/>
          <w:kern w:val="22"/>
          <w:sz w:val="24"/>
          <w:szCs w:val="24"/>
        </w:rPr>
        <w:t>基础</w:t>
      </w:r>
      <w:r w:rsidR="00923CCC">
        <w:rPr>
          <w:rFonts w:hint="eastAsia"/>
          <w:kern w:val="22"/>
          <w:sz w:val="24"/>
          <w:szCs w:val="24"/>
        </w:rPr>
        <w:t>，</w:t>
      </w:r>
      <w:r w:rsidRPr="00C27038">
        <w:rPr>
          <w:rFonts w:hint="eastAsia"/>
          <w:kern w:val="22"/>
          <w:sz w:val="24"/>
          <w:szCs w:val="24"/>
        </w:rPr>
        <w:t>根据第</w:t>
      </w:r>
      <w:r w:rsidRPr="00C27038">
        <w:rPr>
          <w:rFonts w:hint="eastAsia"/>
          <w:kern w:val="22"/>
          <w:sz w:val="24"/>
          <w:szCs w:val="24"/>
        </w:rPr>
        <w:t xml:space="preserve"> CP-9/13 </w:t>
      </w:r>
      <w:r w:rsidRPr="00C27038">
        <w:rPr>
          <w:rFonts w:hint="eastAsia"/>
          <w:kern w:val="22"/>
          <w:sz w:val="24"/>
          <w:szCs w:val="24"/>
        </w:rPr>
        <w:t>号决定附件</w:t>
      </w:r>
      <w:r>
        <w:rPr>
          <w:rFonts w:hint="eastAsia"/>
          <w:kern w:val="22"/>
          <w:sz w:val="24"/>
          <w:szCs w:val="24"/>
        </w:rPr>
        <w:t>一所载</w:t>
      </w:r>
      <w:r w:rsidRPr="00C27038">
        <w:rPr>
          <w:rFonts w:hint="eastAsia"/>
          <w:kern w:val="22"/>
          <w:sz w:val="24"/>
          <w:szCs w:val="24"/>
        </w:rPr>
        <w:t>标准编制一份</w:t>
      </w:r>
      <w:r>
        <w:rPr>
          <w:rFonts w:hint="eastAsia"/>
          <w:kern w:val="22"/>
          <w:sz w:val="24"/>
          <w:szCs w:val="24"/>
        </w:rPr>
        <w:t>排定优先次序的</w:t>
      </w:r>
      <w:r w:rsidRPr="00C27038">
        <w:rPr>
          <w:rFonts w:hint="eastAsia"/>
          <w:kern w:val="22"/>
          <w:sz w:val="24"/>
          <w:szCs w:val="24"/>
        </w:rPr>
        <w:t>可能需要</w:t>
      </w:r>
      <w:r>
        <w:rPr>
          <w:rFonts w:hint="eastAsia"/>
          <w:kern w:val="22"/>
          <w:sz w:val="24"/>
          <w:szCs w:val="24"/>
        </w:rPr>
        <w:t>就</w:t>
      </w:r>
      <w:r w:rsidRPr="00C27038">
        <w:rPr>
          <w:rFonts w:hint="eastAsia"/>
          <w:kern w:val="22"/>
          <w:sz w:val="24"/>
          <w:szCs w:val="24"/>
        </w:rPr>
        <w:t>风险评估</w:t>
      </w:r>
      <w:r>
        <w:rPr>
          <w:rFonts w:hint="eastAsia"/>
          <w:kern w:val="22"/>
          <w:sz w:val="24"/>
          <w:szCs w:val="24"/>
        </w:rPr>
        <w:t>提供</w:t>
      </w:r>
      <w:r w:rsidRPr="00C27038">
        <w:rPr>
          <w:rFonts w:hint="eastAsia"/>
          <w:kern w:val="22"/>
          <w:sz w:val="24"/>
          <w:szCs w:val="24"/>
        </w:rPr>
        <w:t>进一步指导材料</w:t>
      </w:r>
      <w:r>
        <w:rPr>
          <w:rFonts w:hint="eastAsia"/>
          <w:kern w:val="22"/>
          <w:sz w:val="24"/>
          <w:szCs w:val="24"/>
        </w:rPr>
        <w:t>的问题</w:t>
      </w:r>
      <w:r w:rsidRPr="00C27038">
        <w:rPr>
          <w:rFonts w:hint="eastAsia"/>
          <w:kern w:val="22"/>
          <w:sz w:val="24"/>
          <w:szCs w:val="24"/>
        </w:rPr>
        <w:t>清单</w:t>
      </w:r>
      <w:r w:rsidR="00923CCC">
        <w:rPr>
          <w:rFonts w:hint="eastAsia"/>
          <w:kern w:val="22"/>
          <w:sz w:val="24"/>
          <w:szCs w:val="24"/>
        </w:rPr>
        <w:t>；</w:t>
      </w:r>
      <w:r w:rsidRPr="00C27038">
        <w:rPr>
          <w:rFonts w:hint="eastAsia"/>
          <w:kern w:val="22"/>
          <w:sz w:val="24"/>
          <w:szCs w:val="24"/>
        </w:rPr>
        <w:t xml:space="preserve"> </w:t>
      </w:r>
    </w:p>
    <w:p w14:paraId="68213848" w14:textId="4BC37C98" w:rsidR="00923CCC" w:rsidRDefault="003C492E" w:rsidP="00923CCC">
      <w:pPr>
        <w:pStyle w:val="Para1"/>
        <w:numPr>
          <w:ilvl w:val="0"/>
          <w:numId w:val="46"/>
        </w:numPr>
        <w:suppressLineNumbers/>
        <w:suppressAutoHyphens/>
        <w:overflowPunct w:val="0"/>
        <w:autoSpaceDE w:val="0"/>
        <w:autoSpaceDN w:val="0"/>
        <w:adjustRightInd w:val="0"/>
        <w:spacing w:line="240" w:lineRule="atLeast"/>
        <w:ind w:left="0" w:firstLine="490"/>
        <w:rPr>
          <w:kern w:val="22"/>
          <w:sz w:val="24"/>
          <w:szCs w:val="24"/>
          <w:lang w:val="en-GB"/>
        </w:rPr>
      </w:pPr>
      <w:r>
        <w:rPr>
          <w:rFonts w:hint="eastAsia"/>
          <w:kern w:val="22"/>
          <w:sz w:val="24"/>
          <w:szCs w:val="24"/>
          <w:lang w:val="en-GB"/>
        </w:rPr>
        <w:t>拟订</w:t>
      </w:r>
      <w:r w:rsidR="00923CCC" w:rsidRPr="007A544E">
        <w:rPr>
          <w:kern w:val="22"/>
          <w:sz w:val="24"/>
          <w:szCs w:val="24"/>
          <w:lang w:val="en-GB"/>
        </w:rPr>
        <w:t>一份报告，</w:t>
      </w:r>
      <w:r w:rsidR="00923CCC" w:rsidRPr="007A544E">
        <w:rPr>
          <w:rFonts w:hint="eastAsia"/>
          <w:kern w:val="22"/>
          <w:sz w:val="24"/>
          <w:szCs w:val="24"/>
          <w:lang w:val="en-GB"/>
        </w:rPr>
        <w:t>内载</w:t>
      </w:r>
      <w:r w:rsidR="00923CCC">
        <w:rPr>
          <w:rFonts w:hint="eastAsia"/>
          <w:kern w:val="22"/>
          <w:sz w:val="24"/>
          <w:szCs w:val="24"/>
          <w:lang w:val="en-GB"/>
        </w:rPr>
        <w:t>关于</w:t>
      </w:r>
      <w:r w:rsidR="00923CCC" w:rsidRPr="00923CCC">
        <w:rPr>
          <w:rFonts w:hint="eastAsia"/>
          <w:kern w:val="22"/>
          <w:sz w:val="24"/>
          <w:szCs w:val="24"/>
          <w:lang w:val="en-GB"/>
        </w:rPr>
        <w:t>含有</w:t>
      </w:r>
      <w:r w:rsidR="00923CCC">
        <w:rPr>
          <w:rFonts w:hint="eastAsia"/>
          <w:kern w:val="22"/>
          <w:sz w:val="24"/>
          <w:szCs w:val="24"/>
          <w:lang w:val="en-GB"/>
        </w:rPr>
        <w:t>人工</w:t>
      </w:r>
      <w:r w:rsidR="00923CCC" w:rsidRPr="00923CCC">
        <w:rPr>
          <w:rFonts w:hint="eastAsia"/>
          <w:kern w:val="22"/>
          <w:sz w:val="24"/>
          <w:szCs w:val="24"/>
          <w:lang w:val="en-GB"/>
        </w:rPr>
        <w:t>基因驱动的改性活生物体的自愿指导材料草案</w:t>
      </w:r>
      <w:r w:rsidR="00923CCC">
        <w:rPr>
          <w:rFonts w:hint="eastAsia"/>
          <w:kern w:val="22"/>
          <w:sz w:val="24"/>
          <w:szCs w:val="24"/>
          <w:lang w:val="en-GB"/>
        </w:rPr>
        <w:t>，并载有上文</w:t>
      </w:r>
      <w:r w:rsidR="00923CCC">
        <w:rPr>
          <w:rFonts w:hint="eastAsia"/>
          <w:kern w:val="22"/>
          <w:sz w:val="24"/>
          <w:szCs w:val="24"/>
          <w:lang w:val="en-GB"/>
        </w:rPr>
        <w:t>(</w:t>
      </w:r>
      <w:r w:rsidR="00923CCC">
        <w:rPr>
          <w:kern w:val="22"/>
          <w:sz w:val="24"/>
          <w:szCs w:val="24"/>
          <w:lang w:val="en-GB"/>
        </w:rPr>
        <w:t>e)</w:t>
      </w:r>
      <w:r w:rsidR="00923CCC">
        <w:rPr>
          <w:rFonts w:hint="eastAsia"/>
          <w:kern w:val="22"/>
          <w:sz w:val="24"/>
          <w:szCs w:val="24"/>
          <w:lang w:val="en-GB"/>
        </w:rPr>
        <w:t>段规定的排定优先次序的</w:t>
      </w:r>
      <w:r w:rsidR="00923CCC" w:rsidRPr="00923CCC">
        <w:rPr>
          <w:rFonts w:hint="eastAsia"/>
          <w:kern w:val="22"/>
          <w:sz w:val="24"/>
          <w:szCs w:val="24"/>
        </w:rPr>
        <w:t>可能需要就风险评估提供进一步指导材料的</w:t>
      </w:r>
      <w:r w:rsidR="00923CCC">
        <w:rPr>
          <w:rFonts w:hint="eastAsia"/>
          <w:kern w:val="22"/>
          <w:sz w:val="24"/>
          <w:szCs w:val="24"/>
          <w:lang w:val="en-GB"/>
        </w:rPr>
        <w:t>问题清单，</w:t>
      </w:r>
      <w:r w:rsidR="00923CCC" w:rsidRPr="00923CCC">
        <w:rPr>
          <w:rFonts w:hint="eastAsia"/>
          <w:kern w:val="22"/>
          <w:sz w:val="24"/>
          <w:szCs w:val="24"/>
          <w:lang w:val="en-GB"/>
        </w:rPr>
        <w:t>供科学、技术和工艺咨询附属机构</w:t>
      </w:r>
      <w:r w:rsidR="00923CCC">
        <w:rPr>
          <w:rFonts w:hint="eastAsia"/>
          <w:kern w:val="22"/>
          <w:sz w:val="24"/>
          <w:szCs w:val="24"/>
          <w:lang w:val="en-GB"/>
        </w:rPr>
        <w:t>审议；</w:t>
      </w:r>
    </w:p>
    <w:p w14:paraId="260AE35D" w14:textId="7740EB4D" w:rsidR="00615F69" w:rsidRPr="00AE5D22" w:rsidRDefault="007A544E" w:rsidP="00923CCC">
      <w:pPr>
        <w:pStyle w:val="Para1"/>
        <w:numPr>
          <w:ilvl w:val="0"/>
          <w:numId w:val="39"/>
        </w:numPr>
        <w:suppressLineNumbers/>
        <w:suppressAutoHyphens/>
        <w:overflowPunct w:val="0"/>
        <w:autoSpaceDE w:val="0"/>
        <w:autoSpaceDN w:val="0"/>
        <w:adjustRightInd w:val="0"/>
        <w:spacing w:line="240" w:lineRule="atLeast"/>
        <w:ind w:left="0" w:firstLine="0"/>
        <w:rPr>
          <w:sz w:val="24"/>
          <w:szCs w:val="24"/>
          <w:lang w:val="en-GB"/>
        </w:rPr>
      </w:pPr>
      <w:r w:rsidRPr="007A544E">
        <w:rPr>
          <w:sz w:val="24"/>
          <w:szCs w:val="24"/>
          <w:lang w:val="en-GB"/>
        </w:rPr>
        <w:t>专家组</w:t>
      </w:r>
      <w:r w:rsidRPr="007A544E">
        <w:rPr>
          <w:rFonts w:hint="eastAsia"/>
          <w:sz w:val="24"/>
          <w:szCs w:val="24"/>
          <w:lang w:val="en-GB"/>
        </w:rPr>
        <w:t>在工作中</w:t>
      </w:r>
      <w:r w:rsidRPr="007A544E">
        <w:rPr>
          <w:sz w:val="24"/>
          <w:szCs w:val="24"/>
          <w:lang w:val="en-GB"/>
        </w:rPr>
        <w:t>应审议</w:t>
      </w:r>
      <w:r w:rsidRPr="007A544E">
        <w:rPr>
          <w:rFonts w:hint="eastAsia"/>
          <w:sz w:val="24"/>
          <w:szCs w:val="24"/>
          <w:lang w:val="en-GB"/>
        </w:rPr>
        <w:t>：</w:t>
      </w:r>
      <w:r w:rsidRPr="007A544E">
        <w:rPr>
          <w:sz w:val="24"/>
          <w:szCs w:val="24"/>
          <w:lang w:val="en-GB"/>
        </w:rPr>
        <w:t>执行秘书编写的</w:t>
      </w:r>
      <w:r w:rsidRPr="007A544E">
        <w:rPr>
          <w:rFonts w:hint="eastAsia"/>
          <w:sz w:val="24"/>
          <w:szCs w:val="24"/>
          <w:lang w:val="en-GB"/>
        </w:rPr>
        <w:t>呈件和</w:t>
      </w:r>
      <w:r w:rsidRPr="007A544E">
        <w:rPr>
          <w:sz w:val="24"/>
          <w:szCs w:val="24"/>
          <w:lang w:val="en-GB"/>
        </w:rPr>
        <w:t>在线论坛</w:t>
      </w:r>
      <w:r w:rsidRPr="007A544E">
        <w:rPr>
          <w:rFonts w:hint="eastAsia"/>
          <w:sz w:val="24"/>
          <w:szCs w:val="24"/>
          <w:lang w:val="en-GB"/>
        </w:rPr>
        <w:t>讨论意见综述</w:t>
      </w:r>
      <w:r w:rsidR="00923CCC">
        <w:rPr>
          <w:rFonts w:hint="eastAsia"/>
          <w:sz w:val="24"/>
          <w:szCs w:val="24"/>
          <w:lang w:val="en-GB"/>
        </w:rPr>
        <w:t>、现有参考材料，包括“</w:t>
      </w:r>
      <w:r w:rsidRPr="00923CCC">
        <w:rPr>
          <w:snapToGrid/>
          <w:sz w:val="24"/>
          <w:szCs w:val="24"/>
        </w:rPr>
        <w:t>风险评估研究</w:t>
      </w:r>
      <w:r w:rsidRPr="007A544E">
        <w:rPr>
          <w:rFonts w:hint="eastAsia"/>
          <w:sz w:val="24"/>
          <w:szCs w:val="24"/>
          <w:lang w:val="en-GB"/>
        </w:rPr>
        <w:t>：</w:t>
      </w:r>
      <w:r w:rsidRPr="007A544E">
        <w:rPr>
          <w:sz w:val="24"/>
          <w:szCs w:val="24"/>
          <w:lang w:val="en-GB"/>
        </w:rPr>
        <w:t>第</w:t>
      </w:r>
      <w:r w:rsidRPr="007A544E">
        <w:rPr>
          <w:sz w:val="24"/>
          <w:szCs w:val="24"/>
          <w:lang w:val="en-GB"/>
        </w:rPr>
        <w:t>CP-9/13</w:t>
      </w:r>
      <w:r w:rsidRPr="007A544E">
        <w:rPr>
          <w:sz w:val="24"/>
          <w:szCs w:val="24"/>
          <w:lang w:val="en-GB"/>
        </w:rPr>
        <w:t>号决定附件一适用于含有人工基因驱动的改性活</w:t>
      </w:r>
      <w:r w:rsidRPr="007A544E">
        <w:rPr>
          <w:sz w:val="24"/>
          <w:szCs w:val="24"/>
          <w:lang w:val="en-GB"/>
        </w:rPr>
        <w:lastRenderedPageBreak/>
        <w:t>生物体</w:t>
      </w:r>
      <w:r w:rsidRPr="007A544E">
        <w:rPr>
          <w:rFonts w:hint="eastAsia"/>
          <w:sz w:val="24"/>
          <w:szCs w:val="24"/>
          <w:lang w:val="en-GB"/>
        </w:rPr>
        <w:t>”</w:t>
      </w:r>
      <w:r w:rsidR="00923CCC">
        <w:rPr>
          <w:rFonts w:hint="eastAsia"/>
          <w:sz w:val="24"/>
          <w:szCs w:val="24"/>
          <w:lang w:val="en-GB"/>
        </w:rPr>
        <w:t>盘点</w:t>
      </w:r>
      <w:r w:rsidRPr="007A544E">
        <w:rPr>
          <w:sz w:val="24"/>
          <w:szCs w:val="24"/>
          <w:lang w:val="en-GB"/>
        </w:rPr>
        <w:t>工作中确定的</w:t>
      </w:r>
      <w:r w:rsidRPr="007A544E">
        <w:rPr>
          <w:rFonts w:hint="eastAsia"/>
          <w:sz w:val="24"/>
          <w:szCs w:val="24"/>
          <w:lang w:val="en-GB"/>
        </w:rPr>
        <w:t>资料</w:t>
      </w:r>
      <w:r w:rsidR="00923CCC">
        <w:rPr>
          <w:rFonts w:hint="eastAsia"/>
          <w:sz w:val="24"/>
          <w:szCs w:val="24"/>
          <w:lang w:val="en-GB"/>
        </w:rPr>
        <w:t>、</w:t>
      </w:r>
      <w:r w:rsidRPr="007A544E">
        <w:rPr>
          <w:sz w:val="24"/>
          <w:szCs w:val="24"/>
          <w:vertAlign w:val="superscript"/>
          <w:lang w:val="en-GB"/>
        </w:rPr>
        <w:footnoteReference w:id="7"/>
      </w:r>
      <w:r w:rsidRPr="007A544E">
        <w:rPr>
          <w:rFonts w:hint="eastAsia"/>
          <w:sz w:val="24"/>
          <w:szCs w:val="24"/>
          <w:lang w:val="en-GB"/>
        </w:rPr>
        <w:t xml:space="preserve"> </w:t>
      </w:r>
      <w:r w:rsidR="00923CCC">
        <w:rPr>
          <w:rFonts w:hint="eastAsia"/>
          <w:sz w:val="24"/>
          <w:szCs w:val="24"/>
          <w:lang w:val="en-GB"/>
        </w:rPr>
        <w:t>现有的指导材料、在《卡塔赫纳生物安全议定书》下就风险评估和风险管理做出的有关决定以及</w:t>
      </w:r>
      <w:r w:rsidRPr="007A544E">
        <w:rPr>
          <w:sz w:val="24"/>
          <w:szCs w:val="24"/>
          <w:lang w:val="en-GB"/>
        </w:rPr>
        <w:t>执行秘书根据第</w:t>
      </w:r>
      <w:r w:rsidRPr="007A544E">
        <w:rPr>
          <w:sz w:val="24"/>
          <w:szCs w:val="24"/>
          <w:lang w:val="en-GB"/>
        </w:rPr>
        <w:t>CP-10/</w:t>
      </w:r>
      <w:r w:rsidRPr="007A544E">
        <w:rPr>
          <w:rFonts w:hint="eastAsia"/>
          <w:sz w:val="24"/>
          <w:szCs w:val="24"/>
          <w:lang w:val="en-GB"/>
        </w:rPr>
        <w:t>-</w:t>
      </w:r>
      <w:r w:rsidRPr="007A544E">
        <w:rPr>
          <w:sz w:val="24"/>
          <w:szCs w:val="24"/>
          <w:lang w:val="en-GB"/>
        </w:rPr>
        <w:t>-</w:t>
      </w:r>
      <w:r w:rsidRPr="007A544E">
        <w:rPr>
          <w:sz w:val="24"/>
          <w:szCs w:val="24"/>
          <w:lang w:val="en-GB"/>
        </w:rPr>
        <w:t>号决定第</w:t>
      </w:r>
      <w:r w:rsidR="00923CCC">
        <w:rPr>
          <w:rFonts w:hint="eastAsia"/>
          <w:sz w:val="24"/>
          <w:szCs w:val="24"/>
          <w:lang w:val="en-GB"/>
        </w:rPr>
        <w:t>1</w:t>
      </w:r>
      <w:r w:rsidR="00923CCC">
        <w:rPr>
          <w:sz w:val="24"/>
          <w:szCs w:val="24"/>
          <w:lang w:val="en-GB"/>
        </w:rPr>
        <w:t>1(c)</w:t>
      </w:r>
      <w:r w:rsidRPr="007A544E">
        <w:rPr>
          <w:sz w:val="24"/>
          <w:szCs w:val="24"/>
          <w:lang w:val="en-GB"/>
        </w:rPr>
        <w:t>段收集的任何其他相关信息。</w:t>
      </w:r>
    </w:p>
    <w:p w14:paraId="0AC12102" w14:textId="77777777" w:rsidR="00615F69" w:rsidRPr="00A2612C" w:rsidRDefault="00615F69" w:rsidP="00923CCC">
      <w:pPr>
        <w:pStyle w:val="Para1"/>
        <w:numPr>
          <w:ilvl w:val="0"/>
          <w:numId w:val="0"/>
        </w:numPr>
        <w:suppressLineNumbers/>
        <w:suppressAutoHyphens/>
        <w:overflowPunct w:val="0"/>
        <w:autoSpaceDE w:val="0"/>
        <w:autoSpaceDN w:val="0"/>
        <w:adjustRightInd w:val="0"/>
        <w:spacing w:line="240" w:lineRule="atLeast"/>
        <w:jc w:val="center"/>
        <w:rPr>
          <w:sz w:val="24"/>
          <w:szCs w:val="24"/>
        </w:rPr>
      </w:pPr>
      <w:r w:rsidRPr="00784CDE">
        <w:rPr>
          <w:kern w:val="22"/>
          <w:sz w:val="24"/>
          <w:szCs w:val="24"/>
        </w:rPr>
        <w:t>__________</w:t>
      </w:r>
    </w:p>
    <w:p w14:paraId="61BCC666" w14:textId="77777777" w:rsidR="00615F69" w:rsidRPr="000B1999" w:rsidRDefault="00615F69" w:rsidP="00923CCC">
      <w:pPr>
        <w:adjustRightInd w:val="0"/>
        <w:spacing w:before="120" w:line="240" w:lineRule="atLeast"/>
        <w:rPr>
          <w:sz w:val="24"/>
        </w:rPr>
      </w:pPr>
    </w:p>
    <w:p w14:paraId="0EFAA9DF" w14:textId="77777777" w:rsidR="00E814DA" w:rsidRPr="00556021" w:rsidRDefault="00E814DA" w:rsidP="00923CCC">
      <w:pPr>
        <w:keepNext/>
        <w:spacing w:before="240"/>
        <w:jc w:val="center"/>
        <w:outlineLvl w:val="2"/>
        <w:rPr>
          <w:rFonts w:ascii="宋体" w:hAnsi="宋体"/>
          <w:kern w:val="22"/>
        </w:rPr>
      </w:pPr>
    </w:p>
    <w:sectPr w:rsidR="00E814DA" w:rsidRPr="00556021" w:rsidSect="002A520B">
      <w:headerReference w:type="even" r:id="rId12"/>
      <w:headerReference w:type="default" r:id="rId13"/>
      <w:pgSz w:w="12240" w:h="15840" w:code="1"/>
      <w:pgMar w:top="567" w:right="1440" w:bottom="1140" w:left="1440" w:header="56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EC074" w14:textId="77777777" w:rsidR="00321F49" w:rsidRDefault="00321F49">
      <w:r>
        <w:separator/>
      </w:r>
    </w:p>
  </w:endnote>
  <w:endnote w:type="continuationSeparator" w:id="0">
    <w:p w14:paraId="0E77B9CB" w14:textId="77777777" w:rsidR="00321F49" w:rsidRDefault="00321F49">
      <w:r>
        <w:continuationSeparator/>
      </w:r>
    </w:p>
  </w:endnote>
  <w:endnote w:type="continuationNotice" w:id="1">
    <w:p w14:paraId="280893B5" w14:textId="77777777" w:rsidR="00321F49" w:rsidRDefault="00321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PMingLiU">
    <w:altName w:val="新細明體"/>
    <w:panose1 w:val="02010601000101010101"/>
    <w:charset w:val="88"/>
    <w:family w:val="roman"/>
    <w:pitch w:val="variable"/>
    <w:sig w:usb0="A00002FF" w:usb1="28CFFCFA" w:usb2="00000016" w:usb3="00000000" w:csb0="00100001"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9EEA6" w14:textId="77777777" w:rsidR="00321F49" w:rsidRDefault="00321F49" w:rsidP="009A1362">
      <w:pPr>
        <w:spacing w:after="0" w:line="240" w:lineRule="auto"/>
      </w:pPr>
      <w:r>
        <w:separator/>
      </w:r>
    </w:p>
  </w:footnote>
  <w:footnote w:type="continuationSeparator" w:id="0">
    <w:p w14:paraId="3780A1DE" w14:textId="77777777" w:rsidR="00321F49" w:rsidRDefault="00321F49">
      <w:r>
        <w:continuationSeparator/>
      </w:r>
    </w:p>
  </w:footnote>
  <w:footnote w:type="continuationNotice" w:id="1">
    <w:p w14:paraId="7B9A8E50" w14:textId="77777777" w:rsidR="00321F49" w:rsidRDefault="00321F49"/>
  </w:footnote>
  <w:footnote w:id="2">
    <w:p w14:paraId="19DF1AB9" w14:textId="308833CE" w:rsidR="00AE5D22" w:rsidRPr="002234A2" w:rsidRDefault="00AE5D22" w:rsidP="002234A2">
      <w:pPr>
        <w:pStyle w:val="FootnoteText"/>
        <w:adjustRightInd w:val="0"/>
        <w:snapToGrid w:val="0"/>
        <w:spacing w:before="60" w:line="240" w:lineRule="auto"/>
        <w:ind w:left="0" w:firstLine="0"/>
        <w:rPr>
          <w:rFonts w:ascii="Times New Roman" w:hAnsi="Times New Roman"/>
          <w:lang w:eastAsia="zh-CN"/>
        </w:rPr>
      </w:pPr>
      <w:r w:rsidRPr="002234A2">
        <w:rPr>
          <w:rStyle w:val="FootnoteReference"/>
          <w:sz w:val="20"/>
        </w:rPr>
        <w:footnoteRef/>
      </w:r>
      <w:r w:rsidR="002234A2" w:rsidRPr="002234A2">
        <w:rPr>
          <w:rFonts w:ascii="Times New Roman" w:hAnsi="Times New Roman"/>
          <w:lang w:eastAsia="zh-CN"/>
        </w:rPr>
        <w:t xml:space="preserve">  </w:t>
      </w:r>
      <w:r w:rsidRPr="002234A2">
        <w:rPr>
          <w:rFonts w:ascii="Times New Roman" w:hAnsi="Times New Roman"/>
          <w:kern w:val="18"/>
          <w:lang w:eastAsia="zh-CN"/>
        </w:rPr>
        <w:t>CBD/CP/RA/AHTEG/2020/1/5</w:t>
      </w:r>
      <w:r w:rsidRPr="002234A2">
        <w:rPr>
          <w:rFonts w:ascii="Times New Roman" w:hAnsi="Times New Roman"/>
          <w:kern w:val="18"/>
          <w:lang w:eastAsia="zh-CN"/>
        </w:rPr>
        <w:t>。</w:t>
      </w:r>
    </w:p>
  </w:footnote>
  <w:footnote w:id="3">
    <w:p w14:paraId="1F10FA1C" w14:textId="743833FC" w:rsidR="00AE5D22" w:rsidRPr="008B6B2D" w:rsidRDefault="00AE5D22" w:rsidP="002234A2">
      <w:pPr>
        <w:pStyle w:val="FootnoteText"/>
        <w:adjustRightInd w:val="0"/>
        <w:snapToGrid w:val="0"/>
        <w:spacing w:before="60" w:line="240" w:lineRule="auto"/>
        <w:ind w:left="0" w:firstLine="0"/>
        <w:rPr>
          <w:rFonts w:ascii="Times New Roman" w:hAnsi="Times New Roman"/>
          <w:lang w:eastAsia="zh-CN"/>
        </w:rPr>
      </w:pPr>
      <w:r w:rsidRPr="002234A2">
        <w:rPr>
          <w:rStyle w:val="FootnoteReference"/>
          <w:sz w:val="20"/>
        </w:rPr>
        <w:footnoteRef/>
      </w:r>
      <w:r w:rsidRPr="002234A2">
        <w:rPr>
          <w:rFonts w:ascii="Times New Roman" w:hAnsi="Times New Roman"/>
          <w:lang w:eastAsia="zh-CN"/>
        </w:rPr>
        <w:t xml:space="preserve">  </w:t>
      </w:r>
      <w:r w:rsidRPr="002234A2">
        <w:rPr>
          <w:rFonts w:ascii="Times New Roman" w:hAnsi="Times New Roman"/>
          <w:lang w:eastAsia="zh-CN"/>
        </w:rPr>
        <w:t>见</w:t>
      </w:r>
      <w:r w:rsidRPr="002234A2">
        <w:rPr>
          <w:rFonts w:ascii="Times New Roman" w:hAnsi="Times New Roman"/>
          <w:kern w:val="18"/>
          <w:lang w:eastAsia="zh-CN"/>
        </w:rPr>
        <w:t>CBD/CP/RA/AHTEG/2020/1/5</w:t>
      </w:r>
      <w:r w:rsidRPr="002234A2">
        <w:rPr>
          <w:rFonts w:ascii="Times New Roman" w:hAnsi="Times New Roman"/>
          <w:kern w:val="18"/>
          <w:lang w:eastAsia="zh-CN"/>
        </w:rPr>
        <w:t>，附件一，第三节。</w:t>
      </w:r>
    </w:p>
  </w:footnote>
  <w:footnote w:id="4">
    <w:p w14:paraId="043AC906" w14:textId="01E86D29" w:rsidR="008B6B2D" w:rsidRPr="008B6B2D" w:rsidRDefault="008B6B2D" w:rsidP="002234A2">
      <w:pPr>
        <w:pStyle w:val="FootnoteText"/>
        <w:adjustRightInd w:val="0"/>
        <w:snapToGrid w:val="0"/>
        <w:spacing w:before="60" w:line="240" w:lineRule="auto"/>
        <w:ind w:left="0" w:firstLine="0"/>
        <w:rPr>
          <w:rFonts w:ascii="Times New Roman" w:hAnsi="Times New Roman"/>
          <w:lang w:eastAsia="zh-CN"/>
        </w:rPr>
      </w:pPr>
      <w:r w:rsidRPr="008B6B2D">
        <w:rPr>
          <w:rStyle w:val="FootnoteReference"/>
          <w:sz w:val="20"/>
        </w:rPr>
        <w:footnoteRef/>
      </w:r>
      <w:r w:rsidR="002234A2">
        <w:rPr>
          <w:rFonts w:ascii="Times New Roman" w:hAnsi="Times New Roman"/>
          <w:lang w:eastAsia="zh-CN"/>
        </w:rPr>
        <w:t xml:space="preserve">  </w:t>
      </w:r>
      <w:r w:rsidR="002234A2">
        <w:rPr>
          <w:rFonts w:ascii="Times New Roman" w:hAnsi="Times New Roman" w:hint="eastAsia"/>
          <w:lang w:eastAsia="zh-CN"/>
        </w:rPr>
        <w:t>视</w:t>
      </w:r>
      <w:r w:rsidR="003F12E5">
        <w:rPr>
          <w:rFonts w:ascii="Times New Roman" w:hAnsi="Times New Roman" w:hint="eastAsia"/>
          <w:lang w:eastAsia="zh-CN"/>
        </w:rPr>
        <w:t>疫情限制</w:t>
      </w:r>
      <w:r w:rsidR="002234A2">
        <w:rPr>
          <w:rFonts w:ascii="Times New Roman" w:hAnsi="Times New Roman" w:hint="eastAsia"/>
          <w:lang w:eastAsia="zh-CN"/>
        </w:rPr>
        <w:t>而定</w:t>
      </w:r>
      <w:r w:rsidR="003F12E5">
        <w:rPr>
          <w:rFonts w:ascii="Times New Roman" w:hAnsi="Times New Roman" w:hint="eastAsia"/>
          <w:lang w:eastAsia="zh-CN"/>
        </w:rPr>
        <w:t>。</w:t>
      </w:r>
    </w:p>
  </w:footnote>
  <w:footnote w:id="5">
    <w:p w14:paraId="02968D2E" w14:textId="4F7F6158" w:rsidR="00256C9C" w:rsidRPr="002234A2" w:rsidRDefault="00256C9C" w:rsidP="002234A2">
      <w:pPr>
        <w:pStyle w:val="FootnoteText"/>
        <w:adjustRightInd w:val="0"/>
        <w:snapToGrid w:val="0"/>
        <w:spacing w:before="60" w:line="240" w:lineRule="auto"/>
        <w:ind w:left="0" w:firstLine="0"/>
        <w:rPr>
          <w:rFonts w:ascii="Times New Roman" w:hAnsi="Times New Roman"/>
          <w:lang w:eastAsia="zh-CN"/>
        </w:rPr>
      </w:pPr>
      <w:r w:rsidRPr="002234A2">
        <w:rPr>
          <w:rStyle w:val="FootnoteReference"/>
          <w:sz w:val="20"/>
        </w:rPr>
        <w:footnoteRef/>
      </w:r>
      <w:r w:rsidR="002234A2">
        <w:rPr>
          <w:rFonts w:ascii="Times New Roman" w:hAnsi="Times New Roman" w:hint="eastAsia"/>
          <w:lang w:eastAsia="zh-CN"/>
        </w:rPr>
        <w:t xml:space="preserve"> </w:t>
      </w:r>
      <w:r w:rsidR="002234A2">
        <w:rPr>
          <w:rFonts w:ascii="Times New Roman" w:hAnsi="Times New Roman"/>
          <w:lang w:eastAsia="zh-CN"/>
        </w:rPr>
        <w:t xml:space="preserve"> </w:t>
      </w:r>
      <w:r w:rsidRPr="002234A2">
        <w:rPr>
          <w:rFonts w:ascii="Times New Roman" w:hAnsi="Times New Roman"/>
          <w:lang w:eastAsia="zh-CN"/>
        </w:rPr>
        <w:t>例如世界贸易组织、</w:t>
      </w:r>
      <w:r w:rsidRPr="002234A2">
        <w:rPr>
          <w:rFonts w:ascii="Times New Roman" w:hAnsi="Times New Roman"/>
          <w:lang w:val="en-US" w:eastAsia="zh-CN"/>
        </w:rPr>
        <w:t>生物多样性和生态系统服务政府间科学</w:t>
      </w:r>
      <w:r w:rsidR="002F725B" w:rsidRPr="002234A2">
        <w:rPr>
          <w:rFonts w:ascii="Times New Roman" w:hAnsi="Times New Roman"/>
          <w:lang w:val="en-US" w:eastAsia="zh-CN"/>
        </w:rPr>
        <w:t>-</w:t>
      </w:r>
      <w:r w:rsidRPr="002234A2">
        <w:rPr>
          <w:rFonts w:ascii="Times New Roman" w:hAnsi="Times New Roman"/>
          <w:lang w:val="en-US" w:eastAsia="zh-CN"/>
        </w:rPr>
        <w:t>政策平台、联合国粮食及农业组织。</w:t>
      </w:r>
    </w:p>
  </w:footnote>
  <w:footnote w:id="6">
    <w:p w14:paraId="19429590" w14:textId="1A7B0B1A" w:rsidR="00C27038" w:rsidRPr="002234A2" w:rsidRDefault="00C27038" w:rsidP="002234A2">
      <w:pPr>
        <w:pStyle w:val="FootnoteText"/>
        <w:adjustRightInd w:val="0"/>
        <w:snapToGrid w:val="0"/>
        <w:spacing w:before="60" w:line="240" w:lineRule="auto"/>
        <w:ind w:left="0" w:firstLine="0"/>
        <w:rPr>
          <w:rFonts w:ascii="Times New Roman" w:hAnsi="Times New Roman"/>
          <w:lang w:eastAsia="zh-CN"/>
        </w:rPr>
      </w:pPr>
      <w:r w:rsidRPr="002234A2">
        <w:rPr>
          <w:rStyle w:val="FootnoteReference"/>
          <w:sz w:val="20"/>
        </w:rPr>
        <w:footnoteRef/>
      </w:r>
      <w:r w:rsidR="002234A2">
        <w:rPr>
          <w:rFonts w:ascii="Times New Roman" w:hAnsi="Times New Roman"/>
        </w:rPr>
        <w:t xml:space="preserve">  </w:t>
      </w:r>
      <w:r w:rsidRPr="002234A2">
        <w:rPr>
          <w:rFonts w:ascii="Times New Roman" w:hAnsi="Times New Roman"/>
        </w:rPr>
        <w:t>CBD/SBSTTA/24/5</w:t>
      </w:r>
      <w:r w:rsidRPr="002234A2">
        <w:rPr>
          <w:rFonts w:ascii="Times New Roman" w:hAnsi="Times New Roman"/>
          <w:lang w:eastAsia="zh-CN"/>
        </w:rPr>
        <w:t>，附件，第</w:t>
      </w:r>
      <w:r w:rsidRPr="002234A2">
        <w:rPr>
          <w:rFonts w:ascii="Times New Roman" w:hAnsi="Times New Roman"/>
          <w:lang w:eastAsia="zh-CN"/>
        </w:rPr>
        <w:t>4-41</w:t>
      </w:r>
      <w:r w:rsidRPr="002234A2">
        <w:rPr>
          <w:rFonts w:ascii="Times New Roman" w:hAnsi="Times New Roman"/>
          <w:lang w:eastAsia="zh-CN"/>
        </w:rPr>
        <w:t>段。</w:t>
      </w:r>
    </w:p>
  </w:footnote>
  <w:footnote w:id="7">
    <w:p w14:paraId="2CB6D963" w14:textId="5A0C1A94" w:rsidR="007A544E" w:rsidRPr="00256C9C" w:rsidRDefault="007A544E" w:rsidP="002234A2">
      <w:pPr>
        <w:pStyle w:val="FootnoteText"/>
        <w:adjustRightInd w:val="0"/>
        <w:snapToGrid w:val="0"/>
        <w:spacing w:before="60" w:line="240" w:lineRule="auto"/>
        <w:ind w:left="0" w:firstLine="0"/>
        <w:rPr>
          <w:rStyle w:val="FootnoteReference"/>
          <w:sz w:val="20"/>
        </w:rPr>
      </w:pPr>
      <w:r w:rsidRPr="002234A2">
        <w:rPr>
          <w:rStyle w:val="FootnoteReference"/>
          <w:sz w:val="20"/>
        </w:rPr>
        <w:footnoteRef/>
      </w:r>
      <w:r w:rsidR="002234A2">
        <w:rPr>
          <w:rFonts w:ascii="Times New Roman" w:hAnsi="Times New Roman"/>
        </w:rPr>
        <w:t xml:space="preserve">  </w:t>
      </w:r>
      <w:r w:rsidRPr="002234A2">
        <w:rPr>
          <w:rStyle w:val="FootnoteReference"/>
          <w:sz w:val="20"/>
          <w:vertAlign w:val="baseline"/>
        </w:rPr>
        <w:t>CBD/CP/RA/AHTEG/2020/1/4</w:t>
      </w:r>
      <w:r w:rsidRPr="002234A2">
        <w:rPr>
          <w:rStyle w:val="FootnoteReference"/>
          <w:sz w:val="20"/>
          <w:vertAlign w:val="baseli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55B3" w14:textId="3A431EC2" w:rsidR="00436397" w:rsidRPr="00356FD8" w:rsidRDefault="00866FF4" w:rsidP="00EB5724">
    <w:pPr>
      <w:pStyle w:val="Header"/>
      <w:tabs>
        <w:tab w:val="clear" w:pos="4320"/>
        <w:tab w:val="clear" w:pos="8640"/>
      </w:tabs>
      <w:spacing w:after="0" w:line="240" w:lineRule="auto"/>
      <w:jc w:val="left"/>
      <w:rPr>
        <w:kern w:val="22"/>
        <w:sz w:val="24"/>
        <w:szCs w:val="22"/>
      </w:rPr>
    </w:pPr>
    <w:r w:rsidRPr="00724360">
      <w:rPr>
        <w:sz w:val="24"/>
        <w:szCs w:val="22"/>
        <w:lang w:val="it-IT"/>
      </w:rPr>
      <w:t>CBD/SBSTTA/</w:t>
    </w:r>
    <w:r w:rsidRPr="00724360">
      <w:rPr>
        <w:rFonts w:hint="eastAsia"/>
        <w:sz w:val="24"/>
        <w:szCs w:val="22"/>
        <w:lang w:val="it-IT"/>
      </w:rPr>
      <w:t>REC</w:t>
    </w:r>
    <w:r w:rsidRPr="00724360">
      <w:rPr>
        <w:sz w:val="24"/>
        <w:szCs w:val="22"/>
        <w:lang w:val="it-IT"/>
      </w:rPr>
      <w:t>/24/</w:t>
    </w:r>
    <w:r w:rsidRPr="00866FF4">
      <w:rPr>
        <w:sz w:val="24"/>
        <w:szCs w:val="22"/>
        <w:lang w:val="it-IT"/>
      </w:rPr>
      <w:t>5</w:t>
    </w:r>
  </w:p>
  <w:p w14:paraId="2E036C26" w14:textId="3DC9ADE4" w:rsidR="00436397" w:rsidRPr="00356FD8" w:rsidRDefault="00436397" w:rsidP="00EB5724">
    <w:pPr>
      <w:pStyle w:val="Header"/>
      <w:tabs>
        <w:tab w:val="clear" w:pos="4320"/>
        <w:tab w:val="clear" w:pos="8640"/>
      </w:tabs>
      <w:spacing w:after="0" w:line="240" w:lineRule="auto"/>
      <w:jc w:val="left"/>
      <w:rPr>
        <w:kern w:val="22"/>
        <w:sz w:val="24"/>
        <w:szCs w:val="22"/>
      </w:rPr>
    </w:pPr>
    <w:r w:rsidRPr="00356FD8">
      <w:rPr>
        <w:kern w:val="22"/>
        <w:sz w:val="24"/>
        <w:szCs w:val="22"/>
      </w:rPr>
      <w:t xml:space="preserve">Page </w:t>
    </w:r>
    <w:r w:rsidRPr="00356FD8">
      <w:rPr>
        <w:kern w:val="22"/>
        <w:sz w:val="24"/>
        <w:szCs w:val="22"/>
      </w:rPr>
      <w:fldChar w:fldCharType="begin"/>
    </w:r>
    <w:r w:rsidRPr="00356FD8">
      <w:rPr>
        <w:kern w:val="22"/>
        <w:sz w:val="24"/>
        <w:szCs w:val="22"/>
      </w:rPr>
      <w:instrText xml:space="preserve"> PAGE   \* MERGEFORMAT </w:instrText>
    </w:r>
    <w:r w:rsidRPr="00356FD8">
      <w:rPr>
        <w:kern w:val="22"/>
        <w:sz w:val="24"/>
        <w:szCs w:val="22"/>
      </w:rPr>
      <w:fldChar w:fldCharType="separate"/>
    </w:r>
    <w:r w:rsidR="00F759F8">
      <w:rPr>
        <w:kern w:val="22"/>
        <w:sz w:val="24"/>
        <w:szCs w:val="22"/>
      </w:rPr>
      <w:t>20</w:t>
    </w:r>
    <w:r w:rsidRPr="00356FD8">
      <w:rPr>
        <w:kern w:val="22"/>
        <w:sz w:val="24"/>
        <w:szCs w:val="22"/>
      </w:rPr>
      <w:fldChar w:fldCharType="end"/>
    </w:r>
  </w:p>
  <w:p w14:paraId="5458C984" w14:textId="77777777" w:rsidR="00436397" w:rsidRPr="00EB5724" w:rsidRDefault="00436397" w:rsidP="00EB5724">
    <w:pPr>
      <w:pStyle w:val="Header"/>
      <w:tabs>
        <w:tab w:val="clear" w:pos="4320"/>
        <w:tab w:val="clear" w:pos="8640"/>
      </w:tabs>
      <w:spacing w:after="0" w:line="240" w:lineRule="auto"/>
      <w:jc w:val="left"/>
      <w:rPr>
        <w:kern w:val="2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75B2" w14:textId="6D8152D1" w:rsidR="00436397" w:rsidRPr="00866FF4" w:rsidRDefault="00866FF4" w:rsidP="00EB5724">
    <w:pPr>
      <w:pStyle w:val="Header"/>
      <w:tabs>
        <w:tab w:val="clear" w:pos="4320"/>
        <w:tab w:val="clear" w:pos="8640"/>
      </w:tabs>
      <w:spacing w:after="0" w:line="240" w:lineRule="auto"/>
      <w:jc w:val="right"/>
      <w:rPr>
        <w:kern w:val="22"/>
        <w:sz w:val="24"/>
        <w:szCs w:val="24"/>
      </w:rPr>
    </w:pPr>
    <w:r w:rsidRPr="00724360">
      <w:rPr>
        <w:snapToGrid w:val="0"/>
        <w:kern w:val="22"/>
        <w:sz w:val="24"/>
        <w:szCs w:val="24"/>
        <w:lang w:val="it-IT"/>
      </w:rPr>
      <w:t>CBD/SBSTTA/</w:t>
    </w:r>
    <w:r w:rsidRPr="00724360">
      <w:rPr>
        <w:rFonts w:hint="eastAsia"/>
        <w:snapToGrid w:val="0"/>
        <w:kern w:val="22"/>
        <w:sz w:val="24"/>
        <w:szCs w:val="24"/>
        <w:lang w:val="it-IT"/>
      </w:rPr>
      <w:t>REC</w:t>
    </w:r>
    <w:r w:rsidRPr="00724360">
      <w:rPr>
        <w:snapToGrid w:val="0"/>
        <w:kern w:val="22"/>
        <w:sz w:val="24"/>
        <w:szCs w:val="24"/>
        <w:lang w:val="it-IT"/>
      </w:rPr>
      <w:t>/24/</w:t>
    </w:r>
    <w:r w:rsidRPr="00866FF4">
      <w:rPr>
        <w:snapToGrid w:val="0"/>
        <w:kern w:val="22"/>
        <w:sz w:val="24"/>
        <w:szCs w:val="24"/>
        <w:lang w:val="it-IT"/>
      </w:rPr>
      <w:t>5</w:t>
    </w:r>
  </w:p>
  <w:p w14:paraId="7354DF0A" w14:textId="70270353" w:rsidR="00436397" w:rsidRPr="00356FD8" w:rsidRDefault="00436397" w:rsidP="00EB5724">
    <w:pPr>
      <w:pStyle w:val="Header"/>
      <w:tabs>
        <w:tab w:val="clear" w:pos="4320"/>
        <w:tab w:val="clear" w:pos="8640"/>
      </w:tabs>
      <w:spacing w:after="0" w:line="240" w:lineRule="auto"/>
      <w:jc w:val="right"/>
      <w:rPr>
        <w:kern w:val="22"/>
        <w:sz w:val="24"/>
        <w:szCs w:val="22"/>
      </w:rPr>
    </w:pPr>
    <w:r w:rsidRPr="00866FF4">
      <w:rPr>
        <w:kern w:val="22"/>
        <w:sz w:val="24"/>
        <w:szCs w:val="24"/>
      </w:rPr>
      <w:t xml:space="preserve">Page </w:t>
    </w:r>
    <w:r w:rsidRPr="00866FF4">
      <w:rPr>
        <w:kern w:val="22"/>
        <w:sz w:val="24"/>
        <w:szCs w:val="24"/>
      </w:rPr>
      <w:fldChar w:fldCharType="begin"/>
    </w:r>
    <w:r w:rsidRPr="00866FF4">
      <w:rPr>
        <w:kern w:val="22"/>
        <w:sz w:val="24"/>
        <w:szCs w:val="24"/>
      </w:rPr>
      <w:instrText xml:space="preserve"> PAGE   \* MERGEFORMAT </w:instrText>
    </w:r>
    <w:r w:rsidRPr="00866FF4">
      <w:rPr>
        <w:kern w:val="22"/>
        <w:sz w:val="24"/>
        <w:szCs w:val="24"/>
      </w:rPr>
      <w:fldChar w:fldCharType="separate"/>
    </w:r>
    <w:r w:rsidR="00F759F8" w:rsidRPr="00866FF4">
      <w:rPr>
        <w:kern w:val="22"/>
        <w:sz w:val="24"/>
        <w:szCs w:val="24"/>
      </w:rPr>
      <w:t>21</w:t>
    </w:r>
    <w:r w:rsidRPr="00866FF4">
      <w:rPr>
        <w:kern w:val="22"/>
        <w:sz w:val="24"/>
        <w:szCs w:val="24"/>
      </w:rPr>
      <w:fldChar w:fldCharType="end"/>
    </w:r>
  </w:p>
  <w:p w14:paraId="19FD7760" w14:textId="77777777" w:rsidR="00436397" w:rsidRPr="00EB5724" w:rsidRDefault="00436397" w:rsidP="00EB5724">
    <w:pPr>
      <w:pStyle w:val="Header"/>
      <w:tabs>
        <w:tab w:val="clear" w:pos="4320"/>
        <w:tab w:val="clear" w:pos="8640"/>
      </w:tabs>
      <w:spacing w:after="0" w:line="240" w:lineRule="auto"/>
      <w:jc w:val="right"/>
      <w:rPr>
        <w:kern w:val="22"/>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4CB2"/>
    <w:multiLevelType w:val="hybridMultilevel"/>
    <w:tmpl w:val="18D6330A"/>
    <w:lvl w:ilvl="0" w:tplc="21AC33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14554"/>
    <w:multiLevelType w:val="hybridMultilevel"/>
    <w:tmpl w:val="F306DAD0"/>
    <w:lvl w:ilvl="0" w:tplc="C65899F0">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A3916"/>
    <w:multiLevelType w:val="hybridMultilevel"/>
    <w:tmpl w:val="D2C6823C"/>
    <w:lvl w:ilvl="0" w:tplc="D700938C">
      <w:start w:val="1"/>
      <w:numFmt w:val="japaneseCounting"/>
      <w:lvlText w:val="(%1)"/>
      <w:lvlJc w:val="left"/>
      <w:pPr>
        <w:ind w:left="1424" w:hanging="705"/>
      </w:pPr>
      <w:rPr>
        <w:rFonts w:hint="default"/>
        <w:sz w:val="20"/>
        <w:szCs w:val="20"/>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3" w15:restartNumberingAfterBreak="0">
    <w:nsid w:val="1F2F7562"/>
    <w:multiLevelType w:val="hybridMultilevel"/>
    <w:tmpl w:val="0C906D82"/>
    <w:lvl w:ilvl="0" w:tplc="1AF44E86">
      <w:start w:val="1"/>
      <w:numFmt w:val="lowerLetter"/>
      <w:lvlText w:val="(%1)"/>
      <w:lvlJc w:val="left"/>
      <w:pPr>
        <w:ind w:left="720" w:hanging="360"/>
      </w:pPr>
      <w:rPr>
        <w:rFonts w:ascii="Times New Roman" w:hAnsi="Times New Roman" w:hint="default"/>
        <w:b w:val="0"/>
        <w:bCs w:val="0"/>
        <w:i w:val="0"/>
        <w:caps w:val="0"/>
        <w:strike w:val="0"/>
        <w:dstrike w:val="0"/>
        <w:vanish w:val="0"/>
        <w:color w:val="auto"/>
        <w:sz w:val="24"/>
        <w:szCs w:val="28"/>
        <w:vertAlign w:val="baseline"/>
        <w:lang w:val="en-GB"/>
        <w14:shadow w14:blurRad="0" w14:dist="0" w14:dir="0" w14:sx="0" w14:sy="0" w14:kx="0" w14:ky="0" w14:algn="none">
          <w14:srgbClr w14:val="000000"/>
        </w14:shadow>
        <w14:textOutline w14:w="0" w14:cap="rnd" w14:cmpd="sng" w14:algn="ctr">
          <w14:noFill/>
          <w14:prstDash w14:val="solid"/>
          <w14:bevel/>
        </w14:textOutline>
      </w:rPr>
    </w:lvl>
    <w:lvl w:ilvl="1" w:tplc="1AF44E86">
      <w:start w:val="1"/>
      <w:numFmt w:val="lowerLetter"/>
      <w:lvlText w:val="(%2)"/>
      <w:lvlJc w:val="left"/>
      <w:pPr>
        <w:ind w:left="1440" w:hanging="360"/>
      </w:pPr>
      <w:rPr>
        <w:rFonts w:ascii="Times New Roman" w:hAnsi="Times New Roman" w:hint="default"/>
        <w:b w:val="0"/>
        <w:bCs w:val="0"/>
        <w:i w:val="0"/>
        <w:caps w:val="0"/>
        <w:strike w:val="0"/>
        <w:dstrike w:val="0"/>
        <w:vanish w:val="0"/>
        <w:color w:val="auto"/>
        <w:sz w:val="24"/>
        <w:szCs w:val="28"/>
        <w:vertAlign w:val="baseline"/>
        <w:lang w:val="en-GB"/>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9037F"/>
    <w:multiLevelType w:val="hybridMultilevel"/>
    <w:tmpl w:val="DDFCC806"/>
    <w:lvl w:ilvl="0" w:tplc="67D4B9DC">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9C5D0F"/>
    <w:multiLevelType w:val="hybridMultilevel"/>
    <w:tmpl w:val="91E8FDC0"/>
    <w:lvl w:ilvl="0" w:tplc="1AF44E86">
      <w:start w:val="1"/>
      <w:numFmt w:val="lowerLetter"/>
      <w:lvlText w:val="(%1)"/>
      <w:lvlJc w:val="left"/>
      <w:pPr>
        <w:ind w:left="720" w:hanging="360"/>
      </w:pPr>
      <w:rPr>
        <w:rFonts w:ascii="Times New Roman" w:hAnsi="Times New Roman" w:hint="default"/>
        <w:b w:val="0"/>
        <w:bCs w:val="0"/>
        <w:i w:val="0"/>
        <w:caps w:val="0"/>
        <w:strike w:val="0"/>
        <w:dstrike w:val="0"/>
        <w:vanish w:val="0"/>
        <w:color w:val="auto"/>
        <w:sz w:val="24"/>
        <w:szCs w:val="28"/>
        <w:vertAlign w:val="baseline"/>
        <w:lang w:val="en-GB"/>
        <w14:shadow w14:blurRad="0" w14:dist="0" w14:dir="0" w14:sx="0" w14:sy="0" w14:kx="0" w14:ky="0" w14:algn="none">
          <w14:srgbClr w14:val="000000"/>
        </w14:shadow>
        <w14:textOutline w14:w="0" w14:cap="rnd" w14:cmpd="sng" w14:algn="ctr">
          <w14:noFill/>
          <w14:prstDash w14:val="solid"/>
          <w14:bevel/>
        </w14:textOutline>
      </w:rPr>
    </w:lvl>
    <w:lvl w:ilvl="1" w:tplc="1AF44E86">
      <w:start w:val="1"/>
      <w:numFmt w:val="lowerLetter"/>
      <w:lvlText w:val="(%2)"/>
      <w:lvlJc w:val="left"/>
      <w:pPr>
        <w:ind w:left="1440" w:hanging="360"/>
      </w:pPr>
      <w:rPr>
        <w:rFonts w:ascii="Times New Roman" w:hAnsi="Times New Roman" w:hint="default"/>
        <w:b w:val="0"/>
        <w:bCs w:val="0"/>
        <w:i w:val="0"/>
        <w:caps w:val="0"/>
        <w:strike w:val="0"/>
        <w:dstrike w:val="0"/>
        <w:vanish w:val="0"/>
        <w:color w:val="auto"/>
        <w:sz w:val="24"/>
        <w:szCs w:val="28"/>
        <w:vertAlign w:val="baseline"/>
        <w:lang w:val="en-GB"/>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29C37DD"/>
    <w:multiLevelType w:val="hybridMultilevel"/>
    <w:tmpl w:val="C5528870"/>
    <w:lvl w:ilvl="0" w:tplc="1AF44E86">
      <w:start w:val="1"/>
      <w:numFmt w:val="lowerLetter"/>
      <w:lvlText w:val="(%1)"/>
      <w:lvlJc w:val="left"/>
      <w:pPr>
        <w:ind w:left="2700" w:hanging="360"/>
      </w:pPr>
      <w:rPr>
        <w:rFonts w:ascii="Times New Roman" w:hAnsi="Times New Roman" w:hint="default"/>
        <w:b w:val="0"/>
        <w:bCs w:val="0"/>
        <w:i w:val="0"/>
        <w:caps w:val="0"/>
        <w:strike w:val="0"/>
        <w:dstrike w:val="0"/>
        <w:vanish w:val="0"/>
        <w:color w:val="auto"/>
        <w:sz w:val="24"/>
        <w:szCs w:val="28"/>
        <w:vertAlign w:val="baseline"/>
        <w:lang w:val="en-GB"/>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2A0F1E"/>
    <w:multiLevelType w:val="hybridMultilevel"/>
    <w:tmpl w:val="6E5C4932"/>
    <w:lvl w:ilvl="0" w:tplc="CA40B0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821D38"/>
    <w:multiLevelType w:val="hybridMultilevel"/>
    <w:tmpl w:val="44C21BE2"/>
    <w:lvl w:ilvl="0" w:tplc="3F9CA75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053744"/>
    <w:multiLevelType w:val="hybridMultilevel"/>
    <w:tmpl w:val="C28E505A"/>
    <w:lvl w:ilvl="0" w:tplc="D7FA09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AD5C1D"/>
    <w:multiLevelType w:val="hybridMultilevel"/>
    <w:tmpl w:val="107E031A"/>
    <w:lvl w:ilvl="0" w:tplc="1AF44E86">
      <w:start w:val="1"/>
      <w:numFmt w:val="lowerLetter"/>
      <w:lvlText w:val="(%1)"/>
      <w:lvlJc w:val="left"/>
      <w:pPr>
        <w:ind w:left="720" w:hanging="360"/>
      </w:pPr>
      <w:rPr>
        <w:rFonts w:ascii="Times New Roman" w:hAnsi="Times New Roman" w:hint="default"/>
        <w:b w:val="0"/>
        <w:bCs w:val="0"/>
        <w:i w:val="0"/>
        <w:caps w:val="0"/>
        <w:strike w:val="0"/>
        <w:dstrike w:val="0"/>
        <w:vanish w:val="0"/>
        <w:color w:val="auto"/>
        <w:sz w:val="24"/>
        <w:szCs w:val="28"/>
        <w:vertAlign w:val="baseline"/>
        <w:lang w:val="en-GB"/>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D6EC5"/>
    <w:multiLevelType w:val="hybridMultilevel"/>
    <w:tmpl w:val="BC488CC0"/>
    <w:lvl w:ilvl="0" w:tplc="1AF44E86">
      <w:start w:val="1"/>
      <w:numFmt w:val="lowerLetter"/>
      <w:lvlText w:val="(%1)"/>
      <w:lvlJc w:val="left"/>
      <w:pPr>
        <w:ind w:left="720" w:hanging="360"/>
      </w:pPr>
      <w:rPr>
        <w:rFonts w:ascii="Times New Roman" w:hAnsi="Times New Roman" w:hint="default"/>
        <w:b w:val="0"/>
        <w:bCs w:val="0"/>
        <w:i w:val="0"/>
        <w:caps w:val="0"/>
        <w:strike w:val="0"/>
        <w:dstrike w:val="0"/>
        <w:vanish w:val="0"/>
        <w:color w:val="auto"/>
        <w:sz w:val="24"/>
        <w:szCs w:val="28"/>
        <w:vertAlign w:val="baseline"/>
        <w:lang w:val="en-GB"/>
        <w14:shadow w14:blurRad="0" w14:dist="0" w14:dir="0" w14:sx="0" w14:sy="0" w14:kx="0" w14:ky="0" w14:algn="none">
          <w14:srgbClr w14:val="000000"/>
        </w14:shadow>
        <w14:textOutline w14:w="0" w14:cap="rnd" w14:cmpd="sng" w14:algn="ctr">
          <w14:noFill/>
          <w14:prstDash w14:val="solid"/>
          <w14:bevel/>
        </w14:textOutline>
      </w:rPr>
    </w:lvl>
    <w:lvl w:ilvl="1" w:tplc="1AF44E86">
      <w:start w:val="1"/>
      <w:numFmt w:val="lowerLetter"/>
      <w:lvlText w:val="(%2)"/>
      <w:lvlJc w:val="left"/>
      <w:pPr>
        <w:ind w:left="1440" w:hanging="360"/>
      </w:pPr>
      <w:rPr>
        <w:rFonts w:ascii="Times New Roman" w:hAnsi="Times New Roman" w:hint="default"/>
        <w:b w:val="0"/>
        <w:bCs w:val="0"/>
        <w:i w:val="0"/>
        <w:caps w:val="0"/>
        <w:strike w:val="0"/>
        <w:dstrike w:val="0"/>
        <w:vanish w:val="0"/>
        <w:color w:val="auto"/>
        <w:sz w:val="24"/>
        <w:szCs w:val="28"/>
        <w:vertAlign w:val="baseline"/>
        <w:lang w:val="en-GB"/>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E39E9"/>
    <w:multiLevelType w:val="hybridMultilevel"/>
    <w:tmpl w:val="D2CC522E"/>
    <w:lvl w:ilvl="0" w:tplc="579C6FD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8F0694"/>
    <w:multiLevelType w:val="hybridMultilevel"/>
    <w:tmpl w:val="194E4BD2"/>
    <w:lvl w:ilvl="0" w:tplc="799CF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9964398"/>
    <w:multiLevelType w:val="hybridMultilevel"/>
    <w:tmpl w:val="B8900FF2"/>
    <w:lvl w:ilvl="0" w:tplc="1AF44E86">
      <w:start w:val="1"/>
      <w:numFmt w:val="lowerLetter"/>
      <w:lvlText w:val="(%1)"/>
      <w:lvlJc w:val="left"/>
      <w:pPr>
        <w:ind w:left="1210" w:hanging="360"/>
      </w:pPr>
      <w:rPr>
        <w:rFonts w:ascii="Times New Roman" w:hAnsi="Times New Roman" w:hint="default"/>
        <w:b w:val="0"/>
        <w:bCs w:val="0"/>
        <w:i w:val="0"/>
        <w:caps w:val="0"/>
        <w:strike w:val="0"/>
        <w:dstrike w:val="0"/>
        <w:vanish w:val="0"/>
        <w:color w:val="auto"/>
        <w:sz w:val="24"/>
        <w:szCs w:val="28"/>
        <w:vertAlign w:val="baseline"/>
        <w:lang w:val="en-GB"/>
        <w14:shadow w14:blurRad="0" w14:dist="0" w14:dir="0" w14:sx="0" w14:sy="0" w14:kx="0" w14:ky="0" w14:algn="none">
          <w14:srgbClr w14:val="000000"/>
        </w14:shadow>
        <w14:textOutline w14:w="0" w14:cap="rnd" w14:cmpd="sng" w14:algn="ctr">
          <w14:noFill/>
          <w14:prstDash w14:val="solid"/>
          <w14:bevel/>
        </w14:textOutline>
      </w:rPr>
    </w:lvl>
    <w:lvl w:ilvl="1" w:tplc="1AF44E86">
      <w:start w:val="1"/>
      <w:numFmt w:val="lowerLetter"/>
      <w:lvlText w:val="(%2)"/>
      <w:lvlJc w:val="left"/>
      <w:pPr>
        <w:ind w:left="1930" w:hanging="360"/>
      </w:pPr>
      <w:rPr>
        <w:rFonts w:ascii="Times New Roman" w:hAnsi="Times New Roman" w:hint="default"/>
        <w:b w:val="0"/>
        <w:bCs w:val="0"/>
        <w:i w:val="0"/>
        <w:caps w:val="0"/>
        <w:strike w:val="0"/>
        <w:dstrike w:val="0"/>
        <w:vanish w:val="0"/>
        <w:color w:val="auto"/>
        <w:sz w:val="24"/>
        <w:szCs w:val="28"/>
        <w:vertAlign w:val="baseline"/>
        <w:lang w:val="en-GB"/>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8" w15:restartNumberingAfterBreak="0">
    <w:nsid w:val="4E0442B4"/>
    <w:multiLevelType w:val="multilevel"/>
    <w:tmpl w:val="CB866A8A"/>
    <w:lvl w:ilvl="0">
      <w:start w:val="8"/>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2D33A4B"/>
    <w:multiLevelType w:val="hybridMultilevel"/>
    <w:tmpl w:val="0A7C7FA2"/>
    <w:lvl w:ilvl="0" w:tplc="1AF44E86">
      <w:start w:val="1"/>
      <w:numFmt w:val="lowerLetter"/>
      <w:lvlText w:val="(%1)"/>
      <w:lvlJc w:val="left"/>
      <w:pPr>
        <w:ind w:left="720" w:hanging="360"/>
      </w:pPr>
      <w:rPr>
        <w:rFonts w:ascii="Times New Roman" w:hAnsi="Times New Roman" w:hint="default"/>
        <w:b w:val="0"/>
        <w:bCs w:val="0"/>
        <w:i w:val="0"/>
        <w:caps w:val="0"/>
        <w:strike w:val="0"/>
        <w:dstrike w:val="0"/>
        <w:vanish w:val="0"/>
        <w:color w:val="auto"/>
        <w:sz w:val="24"/>
        <w:szCs w:val="28"/>
        <w:vertAlign w:val="baseline"/>
        <w:lang w:val="en-GB"/>
        <w14:shadow w14:blurRad="0" w14:dist="0" w14:dir="0" w14:sx="0" w14:sy="0" w14:kx="0" w14:ky="0" w14:algn="none">
          <w14:srgbClr w14:val="000000"/>
        </w14:shadow>
        <w14:textOutline w14:w="0" w14:cap="rnd" w14:cmpd="sng" w14:algn="ctr">
          <w14:noFill/>
          <w14:prstDash w14:val="solid"/>
          <w14:bevel/>
        </w14:textOutline>
      </w:rPr>
    </w:lvl>
    <w:lvl w:ilvl="1" w:tplc="1AF44E86">
      <w:start w:val="1"/>
      <w:numFmt w:val="lowerLetter"/>
      <w:lvlText w:val="(%2)"/>
      <w:lvlJc w:val="left"/>
      <w:pPr>
        <w:ind w:left="1440" w:hanging="360"/>
      </w:pPr>
      <w:rPr>
        <w:rFonts w:ascii="Times New Roman" w:hAnsi="Times New Roman" w:hint="default"/>
        <w:b w:val="0"/>
        <w:bCs w:val="0"/>
        <w:i w:val="0"/>
        <w:caps w:val="0"/>
        <w:strike w:val="0"/>
        <w:dstrike w:val="0"/>
        <w:vanish w:val="0"/>
        <w:color w:val="auto"/>
        <w:sz w:val="24"/>
        <w:szCs w:val="28"/>
        <w:vertAlign w:val="baseline"/>
        <w:lang w:val="en-GB"/>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FF7DB4"/>
    <w:multiLevelType w:val="hybridMultilevel"/>
    <w:tmpl w:val="8646B5FA"/>
    <w:lvl w:ilvl="0" w:tplc="67D4B9DC">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723862"/>
    <w:multiLevelType w:val="hybridMultilevel"/>
    <w:tmpl w:val="9864D734"/>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9F5C64"/>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23" w15:restartNumberingAfterBreak="0">
    <w:nsid w:val="56FA07A4"/>
    <w:multiLevelType w:val="hybridMultilevel"/>
    <w:tmpl w:val="0810C600"/>
    <w:lvl w:ilvl="0" w:tplc="6642829E">
      <w:start w:val="1"/>
      <w:numFmt w:val="japaneseCounting"/>
      <w:lvlText w:val="(%1)"/>
      <w:lvlJc w:val="left"/>
      <w:pPr>
        <w:ind w:left="1440" w:hanging="720"/>
      </w:pPr>
      <w:rPr>
        <w:rFonts w:hint="default"/>
        <w:sz w:val="20"/>
      </w:rPr>
    </w:lvl>
    <w:lvl w:ilvl="1" w:tplc="5F9C607A">
      <w:start w:val="1"/>
      <w:numFmt w:val="lowerLetter"/>
      <w:lvlText w:val="(%2)"/>
      <w:lvlJc w:val="left"/>
      <w:pPr>
        <w:ind w:left="2160" w:hanging="72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AFE0F05"/>
    <w:multiLevelType w:val="hybridMultilevel"/>
    <w:tmpl w:val="14509C66"/>
    <w:lvl w:ilvl="0" w:tplc="ABE86A90">
      <w:start w:val="1"/>
      <w:numFmt w:val="decimal"/>
      <w:lvlText w:val="%1."/>
      <w:lvlJc w:val="left"/>
      <w:pPr>
        <w:ind w:left="720" w:hanging="360"/>
      </w:pPr>
      <w:rPr>
        <w:rFonts w:hint="default"/>
      </w:rPr>
    </w:lvl>
    <w:lvl w:ilvl="1" w:tplc="17E4D780">
      <w:start w:val="1"/>
      <w:numFmt w:val="japaneseCounting"/>
      <w:lvlText w:val="%2."/>
      <w:lvlJc w:val="left"/>
      <w:pPr>
        <w:ind w:left="1440" w:hanging="360"/>
      </w:pPr>
      <w:rPr>
        <w:rFonts w:ascii="Times New Roman" w:eastAsia="宋体" w:hAnsi="Times New Roman" w:cs="Times New Roman"/>
      </w:rPr>
    </w:lvl>
    <w:lvl w:ilvl="2" w:tplc="0409001B">
      <w:start w:val="1"/>
      <w:numFmt w:val="lowerRoman"/>
      <w:lvlText w:val="%3."/>
      <w:lvlJc w:val="right"/>
      <w:pPr>
        <w:ind w:left="2160" w:hanging="180"/>
      </w:pPr>
    </w:lvl>
    <w:lvl w:ilvl="3" w:tplc="76CAC828">
      <w:start w:val="1"/>
      <w:numFmt w:val="upperLetter"/>
      <w:lvlText w:val="%4．"/>
      <w:lvlJc w:val="left"/>
      <w:pPr>
        <w:ind w:left="2940" w:hanging="4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D63C32"/>
    <w:multiLevelType w:val="hybridMultilevel"/>
    <w:tmpl w:val="7E6A4A42"/>
    <w:lvl w:ilvl="0" w:tplc="1AF44E86">
      <w:start w:val="1"/>
      <w:numFmt w:val="lowerLetter"/>
      <w:lvlText w:val="(%1)"/>
      <w:lvlJc w:val="left"/>
      <w:pPr>
        <w:ind w:left="1213" w:hanging="360"/>
      </w:pPr>
      <w:rPr>
        <w:rFonts w:ascii="Times New Roman" w:hAnsi="Times New Roman" w:hint="default"/>
        <w:b w:val="0"/>
        <w:bCs w:val="0"/>
        <w:i w:val="0"/>
        <w:caps w:val="0"/>
        <w:strike w:val="0"/>
        <w:dstrike w:val="0"/>
        <w:vanish w:val="0"/>
        <w:color w:val="auto"/>
        <w:sz w:val="24"/>
        <w:szCs w:val="28"/>
        <w:vertAlign w:val="baseline"/>
        <w:lang w:val="en-GB"/>
        <w14:shadow w14:blurRad="0" w14:dist="0" w14:dir="0" w14:sx="0" w14:sy="0" w14:kx="0" w14:ky="0" w14:algn="none">
          <w14:srgbClr w14:val="000000"/>
        </w14:shadow>
        <w14:textOutline w14:w="0" w14:cap="rnd" w14:cmpd="sng" w14:algn="ctr">
          <w14:noFill/>
          <w14:prstDash w14:val="solid"/>
          <w14:bevel/>
        </w14:textOutline>
      </w:rPr>
    </w:lvl>
    <w:lvl w:ilvl="1" w:tplc="01E897DE">
      <w:start w:val="1"/>
      <w:numFmt w:val="lowerLetter"/>
      <w:lvlText w:val="（%2）"/>
      <w:lvlJc w:val="left"/>
      <w:pPr>
        <w:ind w:left="2558" w:hanging="985"/>
      </w:pPr>
      <w:rPr>
        <w:rFonts w:hint="default"/>
      </w:rPr>
    </w:lvl>
    <w:lvl w:ilvl="2" w:tplc="185CD34E">
      <w:start w:val="1"/>
      <w:numFmt w:val="decimal"/>
      <w:lvlText w:val="%3."/>
      <w:lvlJc w:val="left"/>
      <w:pPr>
        <w:ind w:left="2962" w:hanging="489"/>
      </w:pPr>
      <w:rPr>
        <w:rFonts w:hint="default"/>
      </w:rPr>
    </w:lvl>
    <w:lvl w:ilvl="3" w:tplc="0409000F" w:tentative="1">
      <w:start w:val="1"/>
      <w:numFmt w:val="decimal"/>
      <w:lvlText w:val="%4."/>
      <w:lvlJc w:val="left"/>
      <w:pPr>
        <w:ind w:left="3373" w:hanging="360"/>
      </w:pPr>
    </w:lvl>
    <w:lvl w:ilvl="4" w:tplc="04090019" w:tentative="1">
      <w:start w:val="1"/>
      <w:numFmt w:val="lowerLetter"/>
      <w:lvlText w:val="%5."/>
      <w:lvlJc w:val="left"/>
      <w:pPr>
        <w:ind w:left="4093" w:hanging="360"/>
      </w:pPr>
    </w:lvl>
    <w:lvl w:ilvl="5" w:tplc="0409001B" w:tentative="1">
      <w:start w:val="1"/>
      <w:numFmt w:val="lowerRoman"/>
      <w:lvlText w:val="%6."/>
      <w:lvlJc w:val="right"/>
      <w:pPr>
        <w:ind w:left="4813" w:hanging="180"/>
      </w:pPr>
    </w:lvl>
    <w:lvl w:ilvl="6" w:tplc="0409000F" w:tentative="1">
      <w:start w:val="1"/>
      <w:numFmt w:val="decimal"/>
      <w:lvlText w:val="%7."/>
      <w:lvlJc w:val="left"/>
      <w:pPr>
        <w:ind w:left="5533" w:hanging="360"/>
      </w:pPr>
    </w:lvl>
    <w:lvl w:ilvl="7" w:tplc="04090019" w:tentative="1">
      <w:start w:val="1"/>
      <w:numFmt w:val="lowerLetter"/>
      <w:lvlText w:val="%8."/>
      <w:lvlJc w:val="left"/>
      <w:pPr>
        <w:ind w:left="6253" w:hanging="360"/>
      </w:pPr>
    </w:lvl>
    <w:lvl w:ilvl="8" w:tplc="0409001B" w:tentative="1">
      <w:start w:val="1"/>
      <w:numFmt w:val="lowerRoman"/>
      <w:lvlText w:val="%9."/>
      <w:lvlJc w:val="right"/>
      <w:pPr>
        <w:ind w:left="6973" w:hanging="180"/>
      </w:pPr>
    </w:lvl>
  </w:abstractNum>
  <w:abstractNum w:abstractNumId="26" w15:restartNumberingAfterBreak="0">
    <w:nsid w:val="61E00E6A"/>
    <w:multiLevelType w:val="hybridMultilevel"/>
    <w:tmpl w:val="E1F2969E"/>
    <w:lvl w:ilvl="0" w:tplc="AFCEF284">
      <w:start w:val="1"/>
      <w:numFmt w:val="japaneseCounting"/>
      <w:lvlText w:val="(%1)"/>
      <w:lvlJc w:val="left"/>
      <w:pPr>
        <w:ind w:left="1440" w:hanging="720"/>
      </w:pPr>
      <w:rPr>
        <w:rFonts w:hint="default"/>
        <w:sz w:val="20"/>
        <w:szCs w:val="20"/>
      </w:rPr>
    </w:lvl>
    <w:lvl w:ilvl="1" w:tplc="2E28129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C96A67"/>
    <w:multiLevelType w:val="hybridMultilevel"/>
    <w:tmpl w:val="7E38AF2A"/>
    <w:lvl w:ilvl="0" w:tplc="B05899A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A96B24"/>
    <w:multiLevelType w:val="hybridMultilevel"/>
    <w:tmpl w:val="992A8292"/>
    <w:lvl w:ilvl="0" w:tplc="A9BAF618">
      <w:start w:val="1"/>
      <w:numFmt w:val="japaneseCounting"/>
      <w:lvlText w:val="(%1)"/>
      <w:lvlJc w:val="left"/>
      <w:pPr>
        <w:ind w:left="1440" w:hanging="720"/>
      </w:pPr>
      <w:rPr>
        <w:rFonts w:ascii="宋体" w:eastAsia="宋体" w:hAnsi="宋体" w:cs="宋体"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662110"/>
    <w:multiLevelType w:val="hybridMultilevel"/>
    <w:tmpl w:val="12BC3B74"/>
    <w:lvl w:ilvl="0" w:tplc="16041B6E">
      <w:start w:val="1"/>
      <w:numFmt w:val="lowerLetter"/>
      <w:lvlText w:val="(%1)"/>
      <w:lvlJc w:val="left"/>
      <w:pPr>
        <w:ind w:left="720" w:hanging="360"/>
      </w:pPr>
      <w:rPr>
        <w:rFonts w:hint="default"/>
      </w:rPr>
    </w:lvl>
    <w:lvl w:ilvl="1" w:tplc="78CE1772">
      <w:start w:val="1"/>
      <w:numFmt w:val="japaneseCounting"/>
      <w:lvlText w:val="%2."/>
      <w:lvlJc w:val="left"/>
      <w:pPr>
        <w:ind w:left="1440" w:hanging="360"/>
      </w:pPr>
      <w:rPr>
        <w:rFonts w:hint="default"/>
      </w:rPr>
    </w:lvl>
    <w:lvl w:ilvl="2" w:tplc="F700596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E1677C"/>
    <w:multiLevelType w:val="hybridMultilevel"/>
    <w:tmpl w:val="9DB21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CB4436"/>
    <w:multiLevelType w:val="hybridMultilevel"/>
    <w:tmpl w:val="2F4E14AC"/>
    <w:lvl w:ilvl="0" w:tplc="90466FD0">
      <w:start w:val="6"/>
      <w:numFmt w:val="lowerLetter"/>
      <w:lvlText w:val="(%1)"/>
      <w:lvlJc w:val="left"/>
      <w:pPr>
        <w:ind w:left="2160" w:hanging="720"/>
      </w:pPr>
      <w:rPr>
        <w:rFonts w:ascii="Times New Roman" w:hAnsi="Times New Roman" w:cs="Times New Roman" w:hint="default"/>
      </w:rPr>
    </w:lvl>
    <w:lvl w:ilvl="1" w:tplc="88DE0C58">
      <w:start w:val="1"/>
      <w:numFmt w:val="lowerLetter"/>
      <w:lvlText w:val="(%2)"/>
      <w:lvlJc w:val="left"/>
      <w:pPr>
        <w:ind w:left="1800" w:hanging="72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1B2412"/>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33" w15:restartNumberingAfterBreak="0">
    <w:nsid w:val="7A0B470C"/>
    <w:multiLevelType w:val="hybridMultilevel"/>
    <w:tmpl w:val="3C6A173E"/>
    <w:lvl w:ilvl="0" w:tplc="1AF44E86">
      <w:start w:val="1"/>
      <w:numFmt w:val="lowerLetter"/>
      <w:lvlText w:val="(%1)"/>
      <w:lvlJc w:val="left"/>
      <w:pPr>
        <w:ind w:left="2700" w:hanging="360"/>
      </w:pPr>
      <w:rPr>
        <w:rFonts w:ascii="Times New Roman" w:hAnsi="Times New Roman" w:hint="default"/>
        <w:b w:val="0"/>
        <w:bCs w:val="0"/>
        <w:i w:val="0"/>
        <w:caps w:val="0"/>
        <w:strike w:val="0"/>
        <w:dstrike w:val="0"/>
        <w:vanish w:val="0"/>
        <w:color w:val="auto"/>
        <w:sz w:val="24"/>
        <w:szCs w:val="28"/>
        <w:vertAlign w:val="baseline"/>
        <w:lang w:val="en-GB"/>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9171365">
    <w:abstractNumId w:val="6"/>
  </w:num>
  <w:num w:numId="2" w16cid:durableId="1758821175">
    <w:abstractNumId w:val="18"/>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lowerRoman"/>
        <w:pStyle w:val="Para3"/>
        <w:lvlText w:val="(%3)"/>
        <w:lvlJc w:val="right"/>
        <w:pPr>
          <w:tabs>
            <w:tab w:val="num" w:pos="1440"/>
          </w:tabs>
          <w:ind w:left="1440" w:hanging="360"/>
        </w:pPr>
        <w:rPr>
          <w:rFonts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vertAlign w:val="baseline"/>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1678192276">
    <w:abstractNumId w:val="15"/>
  </w:num>
  <w:num w:numId="4" w16cid:durableId="1669868616">
    <w:abstractNumId w:val="16"/>
  </w:num>
  <w:num w:numId="5" w16cid:durableId="264268699">
    <w:abstractNumId w:val="18"/>
    <w:lvlOverride w:ilvl="0">
      <w:startOverride w:val="9"/>
      <w:lvl w:ilvl="0">
        <w:start w:val="9"/>
        <w:numFmt w:val="decimal"/>
        <w:pStyle w:val="Para1"/>
        <w:lvlText w:val=""/>
        <w:lvlJc w:val="left"/>
        <w:pPr>
          <w:ind w:left="0" w:firstLine="0"/>
        </w:pPr>
        <w:rPr>
          <w:rFonts w:ascii="Times New Roman" w:hAnsi="Times New Roman" w:cs="Times New Roman" w:hint="default"/>
          <w:b w:val="0"/>
          <w:i w:val="0"/>
          <w:sz w:val="22"/>
        </w:rPr>
      </w:lvl>
    </w:lvlOverride>
    <w:lvlOverride w:ilvl="1">
      <w:startOverride w:val="1"/>
      <w:lvl w:ilvl="1">
        <w:start w:val="1"/>
        <w:numFmt w:val="decimal"/>
        <w:lvlText w:val=""/>
        <w:lvlJc w:val="left"/>
      </w:lvl>
    </w:lvlOverride>
    <w:lvlOverride w:ilvl="2">
      <w:startOverride w:val="1"/>
      <w:lvl w:ilvl="2">
        <w:start w:val="1"/>
        <w:numFmt w:val="decimal"/>
        <w:pStyle w:val="Para3"/>
        <w:lvlText w:val=""/>
        <w:lvlJc w:val="left"/>
      </w:lvl>
    </w:lvlOverride>
    <w:lvlOverride w:ilvl="3">
      <w:lvl w:ilvl="3">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1.%2.%3.%4.%5.%6.%7."/>
        <w:lvlJc w:val="left"/>
        <w:pPr>
          <w:tabs>
            <w:tab w:val="num" w:pos="2520"/>
          </w:tabs>
          <w:ind w:left="2520" w:hanging="36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16cid:durableId="1226264175">
    <w:abstractNumId w:val="7"/>
  </w:num>
  <w:num w:numId="7" w16cid:durableId="1835296605">
    <w:abstractNumId w:val="30"/>
  </w:num>
  <w:num w:numId="8" w16cid:durableId="733896668">
    <w:abstractNumId w:val="20"/>
  </w:num>
  <w:num w:numId="9" w16cid:durableId="112673687">
    <w:abstractNumId w:val="23"/>
  </w:num>
  <w:num w:numId="10" w16cid:durableId="1928538013">
    <w:abstractNumId w:val="4"/>
  </w:num>
  <w:num w:numId="11" w16cid:durableId="1180924802">
    <w:abstractNumId w:val="26"/>
  </w:num>
  <w:num w:numId="12" w16cid:durableId="1260716938">
    <w:abstractNumId w:val="31"/>
  </w:num>
  <w:num w:numId="13" w16cid:durableId="549809558">
    <w:abstractNumId w:val="22"/>
    <w:lvlOverride w:ilvl="0">
      <w:lvl w:ilvl="0" w:tplc="CA40B0DC">
        <w:start w:val="1"/>
        <w:numFmt w:val="decimal"/>
        <w:lvlText w:val="%1."/>
        <w:lvlJc w:val="left"/>
        <w:pPr>
          <w:ind w:left="1632" w:hanging="360"/>
        </w:p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4" w16cid:durableId="254675788">
    <w:abstractNumId w:val="28"/>
  </w:num>
  <w:num w:numId="15" w16cid:durableId="1482582519">
    <w:abstractNumId w:val="32"/>
    <w:lvlOverride w:ilvl="0">
      <w:lvl w:ilvl="0" w:tplc="CA40B0DC">
        <w:start w:val="1"/>
        <w:numFmt w:val="decimal"/>
        <w:lvlText w:val="%1."/>
        <w:lvlJc w:val="left"/>
        <w:pPr>
          <w:ind w:left="1632" w:hanging="360"/>
        </w:p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6" w16cid:durableId="1339850325">
    <w:abstractNumId w:val="33"/>
  </w:num>
  <w:num w:numId="17" w16cid:durableId="290018399">
    <w:abstractNumId w:val="2"/>
  </w:num>
  <w:num w:numId="18" w16cid:durableId="1258828499">
    <w:abstractNumId w:val="11"/>
  </w:num>
  <w:num w:numId="19" w16cid:durableId="441732985">
    <w:abstractNumId w:val="25"/>
  </w:num>
  <w:num w:numId="20" w16cid:durableId="1932740662">
    <w:abstractNumId w:val="3"/>
  </w:num>
  <w:num w:numId="21" w16cid:durableId="95714442">
    <w:abstractNumId w:val="12"/>
  </w:num>
  <w:num w:numId="22" w16cid:durableId="673797952">
    <w:abstractNumId w:val="19"/>
  </w:num>
  <w:num w:numId="23" w16cid:durableId="1416239855">
    <w:abstractNumId w:val="8"/>
  </w:num>
  <w:num w:numId="24" w16cid:durableId="482551145">
    <w:abstractNumId w:val="5"/>
  </w:num>
  <w:num w:numId="25" w16cid:durableId="1192959519">
    <w:abstractNumId w:val="17"/>
  </w:num>
  <w:num w:numId="26" w16cid:durableId="751049784">
    <w:abstractNumId w:val="21"/>
  </w:num>
  <w:num w:numId="27" w16cid:durableId="1690834266">
    <w:abstractNumId w:val="29"/>
  </w:num>
  <w:num w:numId="28" w16cid:durableId="1598173061">
    <w:abstractNumId w:val="27"/>
  </w:num>
  <w:num w:numId="29" w16cid:durableId="778375905">
    <w:abstractNumId w:val="18"/>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lowerRoman"/>
        <w:pStyle w:val="Para3"/>
        <w:lvlText w:val="(%3)"/>
        <w:lvlJc w:val="right"/>
        <w:pPr>
          <w:tabs>
            <w:tab w:val="num" w:pos="1440"/>
          </w:tabs>
          <w:ind w:left="1440" w:hanging="360"/>
        </w:pPr>
        <w:rPr>
          <w:rFonts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vertAlign w:val="baseline"/>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0" w16cid:durableId="953250486">
    <w:abstractNumId w:val="18"/>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lowerRoman"/>
        <w:pStyle w:val="Para3"/>
        <w:lvlText w:val="(%3)"/>
        <w:lvlJc w:val="right"/>
        <w:pPr>
          <w:tabs>
            <w:tab w:val="num" w:pos="1440"/>
          </w:tabs>
          <w:ind w:left="1440" w:hanging="360"/>
        </w:pPr>
        <w:rPr>
          <w:rFonts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vertAlign w:val="baseline"/>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1" w16cid:durableId="1463771274">
    <w:abstractNumId w:val="0"/>
  </w:num>
  <w:num w:numId="32" w16cid:durableId="1941060924">
    <w:abstractNumId w:val="18"/>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lowerRoman"/>
        <w:pStyle w:val="Para3"/>
        <w:lvlText w:val="(%3)"/>
        <w:lvlJc w:val="right"/>
        <w:pPr>
          <w:tabs>
            <w:tab w:val="num" w:pos="1440"/>
          </w:tabs>
          <w:ind w:left="1440" w:hanging="360"/>
        </w:pPr>
        <w:rPr>
          <w:rFonts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vertAlign w:val="baseline"/>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3" w16cid:durableId="1164472775">
    <w:abstractNumId w:val="18"/>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lowerRoman"/>
        <w:pStyle w:val="Para3"/>
        <w:lvlText w:val="(%3)"/>
        <w:lvlJc w:val="right"/>
        <w:pPr>
          <w:tabs>
            <w:tab w:val="num" w:pos="1440"/>
          </w:tabs>
          <w:ind w:left="1440" w:hanging="360"/>
        </w:pPr>
        <w:rPr>
          <w:rFonts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vertAlign w:val="baseline"/>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4" w16cid:durableId="150755652">
    <w:abstractNumId w:val="18"/>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lowerRoman"/>
        <w:pStyle w:val="Para3"/>
        <w:lvlText w:val="(%3)"/>
        <w:lvlJc w:val="right"/>
        <w:pPr>
          <w:tabs>
            <w:tab w:val="num" w:pos="1440"/>
          </w:tabs>
          <w:ind w:left="1440" w:hanging="360"/>
        </w:pPr>
        <w:rPr>
          <w:rFonts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vertAlign w:val="baseline"/>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5" w16cid:durableId="552278448">
    <w:abstractNumId w:val="18"/>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lowerRoman"/>
        <w:pStyle w:val="Para3"/>
        <w:lvlText w:val="(%3)"/>
        <w:lvlJc w:val="right"/>
        <w:pPr>
          <w:tabs>
            <w:tab w:val="num" w:pos="1440"/>
          </w:tabs>
          <w:ind w:left="1440" w:hanging="360"/>
        </w:pPr>
        <w:rPr>
          <w:rFonts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vertAlign w:val="baseline"/>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6" w16cid:durableId="1794133993">
    <w:abstractNumId w:val="24"/>
  </w:num>
  <w:num w:numId="37" w16cid:durableId="556749425">
    <w:abstractNumId w:val="13"/>
  </w:num>
  <w:num w:numId="38" w16cid:durableId="1017930228">
    <w:abstractNumId w:val="18"/>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lowerRoman"/>
        <w:pStyle w:val="Para3"/>
        <w:lvlText w:val="(%3)"/>
        <w:lvlJc w:val="right"/>
        <w:pPr>
          <w:tabs>
            <w:tab w:val="num" w:pos="1440"/>
          </w:tabs>
          <w:ind w:left="1440" w:hanging="360"/>
        </w:pPr>
        <w:rPr>
          <w:rFonts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vertAlign w:val="baseline"/>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9" w16cid:durableId="512382632">
    <w:abstractNumId w:val="14"/>
  </w:num>
  <w:num w:numId="40" w16cid:durableId="580066041">
    <w:abstractNumId w:val="18"/>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lowerRoman"/>
        <w:pStyle w:val="Para3"/>
        <w:lvlText w:val="(%3)"/>
        <w:lvlJc w:val="right"/>
        <w:pPr>
          <w:tabs>
            <w:tab w:val="num" w:pos="1440"/>
          </w:tabs>
          <w:ind w:left="1440" w:hanging="360"/>
        </w:pPr>
        <w:rPr>
          <w:rFonts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vertAlign w:val="baseline"/>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1" w16cid:durableId="1493522626">
    <w:abstractNumId w:val="10"/>
  </w:num>
  <w:num w:numId="42" w16cid:durableId="946742773">
    <w:abstractNumId w:val="18"/>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lowerRoman"/>
        <w:pStyle w:val="Para3"/>
        <w:lvlText w:val="(%3)"/>
        <w:lvlJc w:val="right"/>
        <w:pPr>
          <w:tabs>
            <w:tab w:val="num" w:pos="1440"/>
          </w:tabs>
          <w:ind w:left="1440" w:hanging="360"/>
        </w:pPr>
        <w:rPr>
          <w:rFonts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vertAlign w:val="baseline"/>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3" w16cid:durableId="288324440">
    <w:abstractNumId w:val="9"/>
  </w:num>
  <w:num w:numId="44" w16cid:durableId="255670384">
    <w:abstractNumId w:val="18"/>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lowerRoman"/>
        <w:pStyle w:val="Para3"/>
        <w:lvlText w:val="(%3)"/>
        <w:lvlJc w:val="right"/>
        <w:pPr>
          <w:tabs>
            <w:tab w:val="num" w:pos="1440"/>
          </w:tabs>
          <w:ind w:left="1440" w:hanging="360"/>
        </w:pPr>
        <w:rPr>
          <w:rFonts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vertAlign w:val="baseline"/>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5" w16cid:durableId="277565377">
    <w:abstractNumId w:val="18"/>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lowerRoman"/>
        <w:pStyle w:val="Para3"/>
        <w:lvlText w:val="(%3)"/>
        <w:lvlJc w:val="right"/>
        <w:pPr>
          <w:tabs>
            <w:tab w:val="num" w:pos="1440"/>
          </w:tabs>
          <w:ind w:left="1440" w:hanging="360"/>
        </w:pPr>
        <w:rPr>
          <w:rFonts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vertAlign w:val="baseline"/>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6" w16cid:durableId="1718434126">
    <w:abstractNumId w:val="1"/>
  </w:num>
  <w:num w:numId="47" w16cid:durableId="2080243777">
    <w:abstractNumId w:val="18"/>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lowerRoman"/>
        <w:pStyle w:val="Para3"/>
        <w:lvlText w:val="(%3)"/>
        <w:lvlJc w:val="right"/>
        <w:pPr>
          <w:tabs>
            <w:tab w:val="num" w:pos="1440"/>
          </w:tabs>
          <w:ind w:left="1440" w:hanging="360"/>
        </w:pPr>
        <w:rPr>
          <w:rFonts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vertAlign w:val="baseline"/>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8" w16cid:durableId="1328363912">
    <w:abstractNumId w:val="18"/>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lowerRoman"/>
        <w:pStyle w:val="Para3"/>
        <w:lvlText w:val="(%3)"/>
        <w:lvlJc w:val="right"/>
        <w:pPr>
          <w:tabs>
            <w:tab w:val="num" w:pos="1440"/>
          </w:tabs>
          <w:ind w:left="1440" w:hanging="360"/>
        </w:pPr>
        <w:rPr>
          <w:rFonts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vertAlign w:val="baseline"/>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49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3B"/>
    <w:rsid w:val="000013EE"/>
    <w:rsid w:val="00001E9B"/>
    <w:rsid w:val="00002720"/>
    <w:rsid w:val="00005867"/>
    <w:rsid w:val="00005F5E"/>
    <w:rsid w:val="0000643C"/>
    <w:rsid w:val="00010705"/>
    <w:rsid w:val="00011DAB"/>
    <w:rsid w:val="00013557"/>
    <w:rsid w:val="00013678"/>
    <w:rsid w:val="000138EE"/>
    <w:rsid w:val="00017152"/>
    <w:rsid w:val="00020935"/>
    <w:rsid w:val="00020D62"/>
    <w:rsid w:val="000219AC"/>
    <w:rsid w:val="00023D9B"/>
    <w:rsid w:val="00026865"/>
    <w:rsid w:val="00031982"/>
    <w:rsid w:val="00031D24"/>
    <w:rsid w:val="000370ED"/>
    <w:rsid w:val="00037873"/>
    <w:rsid w:val="00041911"/>
    <w:rsid w:val="0004373B"/>
    <w:rsid w:val="00043EDC"/>
    <w:rsid w:val="0004575E"/>
    <w:rsid w:val="00045D2F"/>
    <w:rsid w:val="00045DE7"/>
    <w:rsid w:val="00051B7B"/>
    <w:rsid w:val="00054381"/>
    <w:rsid w:val="0005661D"/>
    <w:rsid w:val="000572CF"/>
    <w:rsid w:val="00057868"/>
    <w:rsid w:val="000610D0"/>
    <w:rsid w:val="00062CA7"/>
    <w:rsid w:val="000637EE"/>
    <w:rsid w:val="00065960"/>
    <w:rsid w:val="000664CC"/>
    <w:rsid w:val="000711E1"/>
    <w:rsid w:val="00071DD2"/>
    <w:rsid w:val="00073708"/>
    <w:rsid w:val="000742D2"/>
    <w:rsid w:val="00082F3F"/>
    <w:rsid w:val="0008364D"/>
    <w:rsid w:val="00085E79"/>
    <w:rsid w:val="000875A9"/>
    <w:rsid w:val="0009121B"/>
    <w:rsid w:val="00091E31"/>
    <w:rsid w:val="000923EB"/>
    <w:rsid w:val="00093B8D"/>
    <w:rsid w:val="0009799C"/>
    <w:rsid w:val="000A0A84"/>
    <w:rsid w:val="000A2448"/>
    <w:rsid w:val="000A317B"/>
    <w:rsid w:val="000B0595"/>
    <w:rsid w:val="000B0A66"/>
    <w:rsid w:val="000B2618"/>
    <w:rsid w:val="000B4DAB"/>
    <w:rsid w:val="000B603F"/>
    <w:rsid w:val="000B6C3F"/>
    <w:rsid w:val="000C0469"/>
    <w:rsid w:val="000C11C9"/>
    <w:rsid w:val="000C2F4E"/>
    <w:rsid w:val="000C33F6"/>
    <w:rsid w:val="000C37B2"/>
    <w:rsid w:val="000C39EC"/>
    <w:rsid w:val="000C5EBE"/>
    <w:rsid w:val="000D146A"/>
    <w:rsid w:val="000D4559"/>
    <w:rsid w:val="000E12D5"/>
    <w:rsid w:val="000E1D2D"/>
    <w:rsid w:val="000E235D"/>
    <w:rsid w:val="000E4188"/>
    <w:rsid w:val="000E637D"/>
    <w:rsid w:val="000E7C13"/>
    <w:rsid w:val="000E7E6A"/>
    <w:rsid w:val="000F0404"/>
    <w:rsid w:val="000F21A8"/>
    <w:rsid w:val="000F344A"/>
    <w:rsid w:val="000F367E"/>
    <w:rsid w:val="000F3AD4"/>
    <w:rsid w:val="000F4EFE"/>
    <w:rsid w:val="000F63AB"/>
    <w:rsid w:val="000F75F9"/>
    <w:rsid w:val="00103B8D"/>
    <w:rsid w:val="00104F98"/>
    <w:rsid w:val="0010557A"/>
    <w:rsid w:val="00107B25"/>
    <w:rsid w:val="00115171"/>
    <w:rsid w:val="001212DD"/>
    <w:rsid w:val="0012214B"/>
    <w:rsid w:val="00123D43"/>
    <w:rsid w:val="00124011"/>
    <w:rsid w:val="00130A14"/>
    <w:rsid w:val="00131311"/>
    <w:rsid w:val="00132089"/>
    <w:rsid w:val="00132818"/>
    <w:rsid w:val="00132E09"/>
    <w:rsid w:val="0013612B"/>
    <w:rsid w:val="00137A56"/>
    <w:rsid w:val="00141318"/>
    <w:rsid w:val="00143B01"/>
    <w:rsid w:val="00144B62"/>
    <w:rsid w:val="00144B80"/>
    <w:rsid w:val="00144EAF"/>
    <w:rsid w:val="00145190"/>
    <w:rsid w:val="001452ED"/>
    <w:rsid w:val="001560BA"/>
    <w:rsid w:val="00156AC5"/>
    <w:rsid w:val="00157A67"/>
    <w:rsid w:val="00165018"/>
    <w:rsid w:val="00166367"/>
    <w:rsid w:val="00166B3B"/>
    <w:rsid w:val="00170595"/>
    <w:rsid w:val="00170B17"/>
    <w:rsid w:val="0017211E"/>
    <w:rsid w:val="0017301A"/>
    <w:rsid w:val="00183FC9"/>
    <w:rsid w:val="001843FE"/>
    <w:rsid w:val="00187A77"/>
    <w:rsid w:val="00190430"/>
    <w:rsid w:val="001904CF"/>
    <w:rsid w:val="001920A1"/>
    <w:rsid w:val="00192566"/>
    <w:rsid w:val="00192A92"/>
    <w:rsid w:val="00192E06"/>
    <w:rsid w:val="001940F2"/>
    <w:rsid w:val="0019465C"/>
    <w:rsid w:val="00195A61"/>
    <w:rsid w:val="00196F64"/>
    <w:rsid w:val="0019720A"/>
    <w:rsid w:val="001A01B3"/>
    <w:rsid w:val="001A1966"/>
    <w:rsid w:val="001A25C3"/>
    <w:rsid w:val="001A5072"/>
    <w:rsid w:val="001B0AC8"/>
    <w:rsid w:val="001B0D84"/>
    <w:rsid w:val="001B121D"/>
    <w:rsid w:val="001B3B34"/>
    <w:rsid w:val="001B4575"/>
    <w:rsid w:val="001B6AF8"/>
    <w:rsid w:val="001C2B68"/>
    <w:rsid w:val="001C4286"/>
    <w:rsid w:val="001C4520"/>
    <w:rsid w:val="001C461F"/>
    <w:rsid w:val="001C6EAC"/>
    <w:rsid w:val="001D0B88"/>
    <w:rsid w:val="001D1241"/>
    <w:rsid w:val="001D2356"/>
    <w:rsid w:val="001D25CE"/>
    <w:rsid w:val="001D42AE"/>
    <w:rsid w:val="001E0516"/>
    <w:rsid w:val="001E1A32"/>
    <w:rsid w:val="001E2919"/>
    <w:rsid w:val="001E2952"/>
    <w:rsid w:val="001E2CBD"/>
    <w:rsid w:val="001E5725"/>
    <w:rsid w:val="001E58ED"/>
    <w:rsid w:val="001E5986"/>
    <w:rsid w:val="001E75B3"/>
    <w:rsid w:val="001F08AB"/>
    <w:rsid w:val="001F42B1"/>
    <w:rsid w:val="001F6379"/>
    <w:rsid w:val="00200073"/>
    <w:rsid w:val="002002C9"/>
    <w:rsid w:val="002013A3"/>
    <w:rsid w:val="00204415"/>
    <w:rsid w:val="00204C75"/>
    <w:rsid w:val="00206672"/>
    <w:rsid w:val="00210CFC"/>
    <w:rsid w:val="00216B17"/>
    <w:rsid w:val="0022093C"/>
    <w:rsid w:val="002234A2"/>
    <w:rsid w:val="00224221"/>
    <w:rsid w:val="00224535"/>
    <w:rsid w:val="00224AE7"/>
    <w:rsid w:val="00224B92"/>
    <w:rsid w:val="002253AB"/>
    <w:rsid w:val="00227E68"/>
    <w:rsid w:val="0023063F"/>
    <w:rsid w:val="00230B10"/>
    <w:rsid w:val="00232F0A"/>
    <w:rsid w:val="00233DFA"/>
    <w:rsid w:val="002357E1"/>
    <w:rsid w:val="002376DE"/>
    <w:rsid w:val="00241AB0"/>
    <w:rsid w:val="00243B3D"/>
    <w:rsid w:val="00246201"/>
    <w:rsid w:val="00247C90"/>
    <w:rsid w:val="00252897"/>
    <w:rsid w:val="00255836"/>
    <w:rsid w:val="00256C9C"/>
    <w:rsid w:val="00257555"/>
    <w:rsid w:val="002606BE"/>
    <w:rsid w:val="002609D0"/>
    <w:rsid w:val="002630FC"/>
    <w:rsid w:val="002649B3"/>
    <w:rsid w:val="00270C4B"/>
    <w:rsid w:val="002717A1"/>
    <w:rsid w:val="00271E07"/>
    <w:rsid w:val="00272738"/>
    <w:rsid w:val="00274AAE"/>
    <w:rsid w:val="00275FB2"/>
    <w:rsid w:val="00277B37"/>
    <w:rsid w:val="0028075B"/>
    <w:rsid w:val="00280855"/>
    <w:rsid w:val="0028094F"/>
    <w:rsid w:val="00282143"/>
    <w:rsid w:val="00284FC0"/>
    <w:rsid w:val="0028591A"/>
    <w:rsid w:val="00286FF8"/>
    <w:rsid w:val="00292D45"/>
    <w:rsid w:val="002957DF"/>
    <w:rsid w:val="002A0738"/>
    <w:rsid w:val="002A09E2"/>
    <w:rsid w:val="002A2773"/>
    <w:rsid w:val="002A29AA"/>
    <w:rsid w:val="002A46DC"/>
    <w:rsid w:val="002A520B"/>
    <w:rsid w:val="002A7DA1"/>
    <w:rsid w:val="002B0942"/>
    <w:rsid w:val="002B484E"/>
    <w:rsid w:val="002C48C8"/>
    <w:rsid w:val="002C4DA3"/>
    <w:rsid w:val="002C6375"/>
    <w:rsid w:val="002D3D45"/>
    <w:rsid w:val="002D7FCB"/>
    <w:rsid w:val="002E0017"/>
    <w:rsid w:val="002E0A6D"/>
    <w:rsid w:val="002E2463"/>
    <w:rsid w:val="002E723A"/>
    <w:rsid w:val="002F6791"/>
    <w:rsid w:val="002F725B"/>
    <w:rsid w:val="003043FA"/>
    <w:rsid w:val="00307084"/>
    <w:rsid w:val="003070D6"/>
    <w:rsid w:val="00310F24"/>
    <w:rsid w:val="00311F28"/>
    <w:rsid w:val="0031440C"/>
    <w:rsid w:val="0031643A"/>
    <w:rsid w:val="003168D7"/>
    <w:rsid w:val="00320374"/>
    <w:rsid w:val="003210FF"/>
    <w:rsid w:val="00321F49"/>
    <w:rsid w:val="003244F8"/>
    <w:rsid w:val="00325DE3"/>
    <w:rsid w:val="003316B1"/>
    <w:rsid w:val="00332106"/>
    <w:rsid w:val="003342B8"/>
    <w:rsid w:val="00334FF2"/>
    <w:rsid w:val="00335F0D"/>
    <w:rsid w:val="00336766"/>
    <w:rsid w:val="00337817"/>
    <w:rsid w:val="00340B27"/>
    <w:rsid w:val="00341304"/>
    <w:rsid w:val="00343C42"/>
    <w:rsid w:val="00344622"/>
    <w:rsid w:val="003464F8"/>
    <w:rsid w:val="00350CD0"/>
    <w:rsid w:val="00351A78"/>
    <w:rsid w:val="00351BC1"/>
    <w:rsid w:val="003526C4"/>
    <w:rsid w:val="003569A3"/>
    <w:rsid w:val="00356FD8"/>
    <w:rsid w:val="00361998"/>
    <w:rsid w:val="0036711F"/>
    <w:rsid w:val="00373684"/>
    <w:rsid w:val="00374DC6"/>
    <w:rsid w:val="00381D56"/>
    <w:rsid w:val="00383BC0"/>
    <w:rsid w:val="003843F6"/>
    <w:rsid w:val="0039037F"/>
    <w:rsid w:val="00390DB9"/>
    <w:rsid w:val="00391523"/>
    <w:rsid w:val="00391E04"/>
    <w:rsid w:val="00392FA8"/>
    <w:rsid w:val="003960BD"/>
    <w:rsid w:val="00397D91"/>
    <w:rsid w:val="003A0475"/>
    <w:rsid w:val="003A1AF9"/>
    <w:rsid w:val="003A2A75"/>
    <w:rsid w:val="003A6B6D"/>
    <w:rsid w:val="003A7680"/>
    <w:rsid w:val="003A79C4"/>
    <w:rsid w:val="003B0CDF"/>
    <w:rsid w:val="003B10B9"/>
    <w:rsid w:val="003B1D9C"/>
    <w:rsid w:val="003B1F31"/>
    <w:rsid w:val="003B27E3"/>
    <w:rsid w:val="003B3DE7"/>
    <w:rsid w:val="003B433F"/>
    <w:rsid w:val="003C113F"/>
    <w:rsid w:val="003C1635"/>
    <w:rsid w:val="003C3BD9"/>
    <w:rsid w:val="003C417E"/>
    <w:rsid w:val="003C4859"/>
    <w:rsid w:val="003C492E"/>
    <w:rsid w:val="003C4AF1"/>
    <w:rsid w:val="003D4408"/>
    <w:rsid w:val="003E2C7D"/>
    <w:rsid w:val="003E2DAE"/>
    <w:rsid w:val="003E483C"/>
    <w:rsid w:val="003E55F9"/>
    <w:rsid w:val="003E5934"/>
    <w:rsid w:val="003F0312"/>
    <w:rsid w:val="003F12E5"/>
    <w:rsid w:val="003F28AB"/>
    <w:rsid w:val="003F2D3B"/>
    <w:rsid w:val="003F2D9C"/>
    <w:rsid w:val="003F37FD"/>
    <w:rsid w:val="003F671F"/>
    <w:rsid w:val="003F6E44"/>
    <w:rsid w:val="003F7445"/>
    <w:rsid w:val="00401836"/>
    <w:rsid w:val="004018D8"/>
    <w:rsid w:val="004054C0"/>
    <w:rsid w:val="004054D4"/>
    <w:rsid w:val="00406BC6"/>
    <w:rsid w:val="00406DF9"/>
    <w:rsid w:val="00407174"/>
    <w:rsid w:val="004078FA"/>
    <w:rsid w:val="004103D0"/>
    <w:rsid w:val="00410798"/>
    <w:rsid w:val="0041108D"/>
    <w:rsid w:val="004157B3"/>
    <w:rsid w:val="00415CA0"/>
    <w:rsid w:val="004169BA"/>
    <w:rsid w:val="00416C32"/>
    <w:rsid w:val="00420503"/>
    <w:rsid w:val="00426987"/>
    <w:rsid w:val="00426A20"/>
    <w:rsid w:val="00434B3B"/>
    <w:rsid w:val="00434E9A"/>
    <w:rsid w:val="00435B76"/>
    <w:rsid w:val="00436397"/>
    <w:rsid w:val="004420C1"/>
    <w:rsid w:val="0044396B"/>
    <w:rsid w:val="00444161"/>
    <w:rsid w:val="0044424E"/>
    <w:rsid w:val="004458A6"/>
    <w:rsid w:val="00445FCF"/>
    <w:rsid w:val="00446236"/>
    <w:rsid w:val="00447127"/>
    <w:rsid w:val="00451271"/>
    <w:rsid w:val="004543E6"/>
    <w:rsid w:val="0045772C"/>
    <w:rsid w:val="00466441"/>
    <w:rsid w:val="00471224"/>
    <w:rsid w:val="00471EB0"/>
    <w:rsid w:val="00472421"/>
    <w:rsid w:val="00473E34"/>
    <w:rsid w:val="00476892"/>
    <w:rsid w:val="00477CCB"/>
    <w:rsid w:val="0048022E"/>
    <w:rsid w:val="00481D54"/>
    <w:rsid w:val="00482C33"/>
    <w:rsid w:val="0048315A"/>
    <w:rsid w:val="0048339E"/>
    <w:rsid w:val="00486312"/>
    <w:rsid w:val="00492C38"/>
    <w:rsid w:val="0049391A"/>
    <w:rsid w:val="00497427"/>
    <w:rsid w:val="004A04EA"/>
    <w:rsid w:val="004A12C3"/>
    <w:rsid w:val="004A1649"/>
    <w:rsid w:val="004A21AA"/>
    <w:rsid w:val="004A22C3"/>
    <w:rsid w:val="004A4F6C"/>
    <w:rsid w:val="004A4FA3"/>
    <w:rsid w:val="004A6ACC"/>
    <w:rsid w:val="004B597A"/>
    <w:rsid w:val="004B7E31"/>
    <w:rsid w:val="004C16E7"/>
    <w:rsid w:val="004C18F4"/>
    <w:rsid w:val="004C2E54"/>
    <w:rsid w:val="004C31E6"/>
    <w:rsid w:val="004C4DB6"/>
    <w:rsid w:val="004C61CD"/>
    <w:rsid w:val="004C7088"/>
    <w:rsid w:val="004D19C1"/>
    <w:rsid w:val="004D5CBE"/>
    <w:rsid w:val="004E2187"/>
    <w:rsid w:val="004E26C0"/>
    <w:rsid w:val="004E3F33"/>
    <w:rsid w:val="004E586D"/>
    <w:rsid w:val="004F03A9"/>
    <w:rsid w:val="004F22A5"/>
    <w:rsid w:val="004F318E"/>
    <w:rsid w:val="004F5E7A"/>
    <w:rsid w:val="00500530"/>
    <w:rsid w:val="0050244F"/>
    <w:rsid w:val="0050277B"/>
    <w:rsid w:val="005032C9"/>
    <w:rsid w:val="0050453C"/>
    <w:rsid w:val="00504604"/>
    <w:rsid w:val="00514A4B"/>
    <w:rsid w:val="00515EDC"/>
    <w:rsid w:val="005166F5"/>
    <w:rsid w:val="00516848"/>
    <w:rsid w:val="00516C26"/>
    <w:rsid w:val="0051703A"/>
    <w:rsid w:val="00517C6E"/>
    <w:rsid w:val="00523764"/>
    <w:rsid w:val="0052519F"/>
    <w:rsid w:val="00530692"/>
    <w:rsid w:val="005317B5"/>
    <w:rsid w:val="00533B9F"/>
    <w:rsid w:val="005421E3"/>
    <w:rsid w:val="00542A21"/>
    <w:rsid w:val="00543AA8"/>
    <w:rsid w:val="005440A6"/>
    <w:rsid w:val="00550572"/>
    <w:rsid w:val="00553685"/>
    <w:rsid w:val="00554A5F"/>
    <w:rsid w:val="00557993"/>
    <w:rsid w:val="00562D4E"/>
    <w:rsid w:val="00563086"/>
    <w:rsid w:val="00565E31"/>
    <w:rsid w:val="00566CD9"/>
    <w:rsid w:val="005703B4"/>
    <w:rsid w:val="00573244"/>
    <w:rsid w:val="00573EF3"/>
    <w:rsid w:val="00575717"/>
    <w:rsid w:val="00580C5C"/>
    <w:rsid w:val="005871CE"/>
    <w:rsid w:val="005878C2"/>
    <w:rsid w:val="00593B23"/>
    <w:rsid w:val="005955D2"/>
    <w:rsid w:val="00595BF6"/>
    <w:rsid w:val="00595E02"/>
    <w:rsid w:val="00596B95"/>
    <w:rsid w:val="005A11ED"/>
    <w:rsid w:val="005A260D"/>
    <w:rsid w:val="005A4284"/>
    <w:rsid w:val="005A42E5"/>
    <w:rsid w:val="005A5F96"/>
    <w:rsid w:val="005A6D19"/>
    <w:rsid w:val="005B22A7"/>
    <w:rsid w:val="005B25DD"/>
    <w:rsid w:val="005B2C17"/>
    <w:rsid w:val="005B2CEA"/>
    <w:rsid w:val="005B4A5E"/>
    <w:rsid w:val="005B4B67"/>
    <w:rsid w:val="005B57A2"/>
    <w:rsid w:val="005C391E"/>
    <w:rsid w:val="005C3A0B"/>
    <w:rsid w:val="005C3E49"/>
    <w:rsid w:val="005C52C5"/>
    <w:rsid w:val="005C7010"/>
    <w:rsid w:val="005D02BB"/>
    <w:rsid w:val="005D139C"/>
    <w:rsid w:val="005D2EDF"/>
    <w:rsid w:val="005D4442"/>
    <w:rsid w:val="005D4D0F"/>
    <w:rsid w:val="005E0489"/>
    <w:rsid w:val="005E7FBE"/>
    <w:rsid w:val="005F47C3"/>
    <w:rsid w:val="005F4C74"/>
    <w:rsid w:val="005F4F31"/>
    <w:rsid w:val="005F7864"/>
    <w:rsid w:val="00600EC4"/>
    <w:rsid w:val="00602362"/>
    <w:rsid w:val="00602824"/>
    <w:rsid w:val="0060521B"/>
    <w:rsid w:val="006100CF"/>
    <w:rsid w:val="00614353"/>
    <w:rsid w:val="00615F69"/>
    <w:rsid w:val="006175EB"/>
    <w:rsid w:val="006232D9"/>
    <w:rsid w:val="006260D5"/>
    <w:rsid w:val="00626C70"/>
    <w:rsid w:val="00627D89"/>
    <w:rsid w:val="00633308"/>
    <w:rsid w:val="00633F6A"/>
    <w:rsid w:val="006340A9"/>
    <w:rsid w:val="006357E1"/>
    <w:rsid w:val="006375F6"/>
    <w:rsid w:val="00644192"/>
    <w:rsid w:val="00646C8D"/>
    <w:rsid w:val="006507F2"/>
    <w:rsid w:val="00650CAA"/>
    <w:rsid w:val="00654F5C"/>
    <w:rsid w:val="00655B89"/>
    <w:rsid w:val="00662A84"/>
    <w:rsid w:val="00663E25"/>
    <w:rsid w:val="0066684C"/>
    <w:rsid w:val="006675B3"/>
    <w:rsid w:val="006744A3"/>
    <w:rsid w:val="00677812"/>
    <w:rsid w:val="00677DD4"/>
    <w:rsid w:val="006815F8"/>
    <w:rsid w:val="00681725"/>
    <w:rsid w:val="006819C8"/>
    <w:rsid w:val="00683109"/>
    <w:rsid w:val="00683593"/>
    <w:rsid w:val="00690847"/>
    <w:rsid w:val="0069413A"/>
    <w:rsid w:val="00696FA8"/>
    <w:rsid w:val="00697192"/>
    <w:rsid w:val="006A0BE3"/>
    <w:rsid w:val="006A140B"/>
    <w:rsid w:val="006A5C3F"/>
    <w:rsid w:val="006A7F7E"/>
    <w:rsid w:val="006B074E"/>
    <w:rsid w:val="006B2BD5"/>
    <w:rsid w:val="006B2F37"/>
    <w:rsid w:val="006B55E2"/>
    <w:rsid w:val="006C0C1D"/>
    <w:rsid w:val="006D06B6"/>
    <w:rsid w:val="006D0CFD"/>
    <w:rsid w:val="006D0E3D"/>
    <w:rsid w:val="006D1596"/>
    <w:rsid w:val="006E114E"/>
    <w:rsid w:val="006E1D79"/>
    <w:rsid w:val="006F0398"/>
    <w:rsid w:val="006F0F2D"/>
    <w:rsid w:val="006F202C"/>
    <w:rsid w:val="006F284C"/>
    <w:rsid w:val="006F36E5"/>
    <w:rsid w:val="006F581C"/>
    <w:rsid w:val="006F61E8"/>
    <w:rsid w:val="006F6769"/>
    <w:rsid w:val="006F7227"/>
    <w:rsid w:val="006F7552"/>
    <w:rsid w:val="006F7969"/>
    <w:rsid w:val="006F7AD9"/>
    <w:rsid w:val="007007CD"/>
    <w:rsid w:val="00702366"/>
    <w:rsid w:val="00702FD4"/>
    <w:rsid w:val="00703BC0"/>
    <w:rsid w:val="00706ABD"/>
    <w:rsid w:val="007076B0"/>
    <w:rsid w:val="00707844"/>
    <w:rsid w:val="00711A04"/>
    <w:rsid w:val="007136B3"/>
    <w:rsid w:val="007140C7"/>
    <w:rsid w:val="00714ABF"/>
    <w:rsid w:val="00716326"/>
    <w:rsid w:val="007163BC"/>
    <w:rsid w:val="00716B38"/>
    <w:rsid w:val="00722009"/>
    <w:rsid w:val="00724360"/>
    <w:rsid w:val="0072552F"/>
    <w:rsid w:val="00730AE3"/>
    <w:rsid w:val="00734AB0"/>
    <w:rsid w:val="00735BFF"/>
    <w:rsid w:val="00736BC2"/>
    <w:rsid w:val="00750FA9"/>
    <w:rsid w:val="00752987"/>
    <w:rsid w:val="007533F6"/>
    <w:rsid w:val="007542BD"/>
    <w:rsid w:val="007579CE"/>
    <w:rsid w:val="00760C27"/>
    <w:rsid w:val="00761D97"/>
    <w:rsid w:val="007655CF"/>
    <w:rsid w:val="00766F3C"/>
    <w:rsid w:val="0076758D"/>
    <w:rsid w:val="00767B7C"/>
    <w:rsid w:val="00767DCB"/>
    <w:rsid w:val="00771F17"/>
    <w:rsid w:val="007720A8"/>
    <w:rsid w:val="007739DB"/>
    <w:rsid w:val="00775FE8"/>
    <w:rsid w:val="00783339"/>
    <w:rsid w:val="00784386"/>
    <w:rsid w:val="0079325E"/>
    <w:rsid w:val="0079490C"/>
    <w:rsid w:val="00796443"/>
    <w:rsid w:val="00797CF0"/>
    <w:rsid w:val="007A544E"/>
    <w:rsid w:val="007A550E"/>
    <w:rsid w:val="007A5546"/>
    <w:rsid w:val="007A5B09"/>
    <w:rsid w:val="007A6C74"/>
    <w:rsid w:val="007A72A5"/>
    <w:rsid w:val="007B1587"/>
    <w:rsid w:val="007B7D93"/>
    <w:rsid w:val="007C179E"/>
    <w:rsid w:val="007C1A4D"/>
    <w:rsid w:val="007C1BD6"/>
    <w:rsid w:val="007C34FD"/>
    <w:rsid w:val="007C47A2"/>
    <w:rsid w:val="007C5285"/>
    <w:rsid w:val="007C633B"/>
    <w:rsid w:val="007D12B7"/>
    <w:rsid w:val="007D1797"/>
    <w:rsid w:val="007D1B3E"/>
    <w:rsid w:val="007D3182"/>
    <w:rsid w:val="007D34AD"/>
    <w:rsid w:val="007D6697"/>
    <w:rsid w:val="007D6CF2"/>
    <w:rsid w:val="007D7138"/>
    <w:rsid w:val="007D73FC"/>
    <w:rsid w:val="007E048A"/>
    <w:rsid w:val="007E0C53"/>
    <w:rsid w:val="007E2ADE"/>
    <w:rsid w:val="007E53A2"/>
    <w:rsid w:val="007E5D4B"/>
    <w:rsid w:val="007E6238"/>
    <w:rsid w:val="007E656E"/>
    <w:rsid w:val="007F022A"/>
    <w:rsid w:val="007F0E04"/>
    <w:rsid w:val="007F6258"/>
    <w:rsid w:val="007F77CD"/>
    <w:rsid w:val="008003E3"/>
    <w:rsid w:val="008014AD"/>
    <w:rsid w:val="00803872"/>
    <w:rsid w:val="00806ACF"/>
    <w:rsid w:val="00814290"/>
    <w:rsid w:val="0081602A"/>
    <w:rsid w:val="00816E3A"/>
    <w:rsid w:val="008246DC"/>
    <w:rsid w:val="00825524"/>
    <w:rsid w:val="00825A04"/>
    <w:rsid w:val="008274ED"/>
    <w:rsid w:val="00830293"/>
    <w:rsid w:val="0083211E"/>
    <w:rsid w:val="00832272"/>
    <w:rsid w:val="008338EB"/>
    <w:rsid w:val="00834BEC"/>
    <w:rsid w:val="008415DF"/>
    <w:rsid w:val="00843B6A"/>
    <w:rsid w:val="00843DB6"/>
    <w:rsid w:val="00844831"/>
    <w:rsid w:val="008505E9"/>
    <w:rsid w:val="00851F75"/>
    <w:rsid w:val="00853C19"/>
    <w:rsid w:val="00863ED9"/>
    <w:rsid w:val="0086619D"/>
    <w:rsid w:val="00866FF4"/>
    <w:rsid w:val="00867E87"/>
    <w:rsid w:val="00870D40"/>
    <w:rsid w:val="00870F6D"/>
    <w:rsid w:val="008716C9"/>
    <w:rsid w:val="008804F5"/>
    <w:rsid w:val="00881ED4"/>
    <w:rsid w:val="00884F3F"/>
    <w:rsid w:val="008875F8"/>
    <w:rsid w:val="0089066C"/>
    <w:rsid w:val="008938F4"/>
    <w:rsid w:val="0089439E"/>
    <w:rsid w:val="008944D3"/>
    <w:rsid w:val="00895B29"/>
    <w:rsid w:val="008A0D41"/>
    <w:rsid w:val="008A1F21"/>
    <w:rsid w:val="008A4044"/>
    <w:rsid w:val="008A4D26"/>
    <w:rsid w:val="008A693A"/>
    <w:rsid w:val="008A79FF"/>
    <w:rsid w:val="008B1B1A"/>
    <w:rsid w:val="008B2A12"/>
    <w:rsid w:val="008B3E81"/>
    <w:rsid w:val="008B5CF0"/>
    <w:rsid w:val="008B6B2D"/>
    <w:rsid w:val="008C013C"/>
    <w:rsid w:val="008C1E35"/>
    <w:rsid w:val="008C5E8E"/>
    <w:rsid w:val="008C615D"/>
    <w:rsid w:val="008C6F8C"/>
    <w:rsid w:val="008D1D4B"/>
    <w:rsid w:val="008D240A"/>
    <w:rsid w:val="008D368A"/>
    <w:rsid w:val="008D5AA2"/>
    <w:rsid w:val="008D5C03"/>
    <w:rsid w:val="008E0148"/>
    <w:rsid w:val="008E3226"/>
    <w:rsid w:val="008E33A9"/>
    <w:rsid w:val="008E3C06"/>
    <w:rsid w:val="008E55BF"/>
    <w:rsid w:val="008E56D5"/>
    <w:rsid w:val="008E5F84"/>
    <w:rsid w:val="008E7500"/>
    <w:rsid w:val="008F077B"/>
    <w:rsid w:val="008F335F"/>
    <w:rsid w:val="008F3D91"/>
    <w:rsid w:val="008F6CC7"/>
    <w:rsid w:val="008F71BE"/>
    <w:rsid w:val="00900C97"/>
    <w:rsid w:val="0090179E"/>
    <w:rsid w:val="009043B7"/>
    <w:rsid w:val="00904AC8"/>
    <w:rsid w:val="0090549C"/>
    <w:rsid w:val="009067F8"/>
    <w:rsid w:val="00910836"/>
    <w:rsid w:val="00915BFA"/>
    <w:rsid w:val="0092128A"/>
    <w:rsid w:val="00922EAD"/>
    <w:rsid w:val="00923203"/>
    <w:rsid w:val="00923CCC"/>
    <w:rsid w:val="00925A41"/>
    <w:rsid w:val="00926BA4"/>
    <w:rsid w:val="009275D4"/>
    <w:rsid w:val="0092794B"/>
    <w:rsid w:val="00931639"/>
    <w:rsid w:val="00942FA3"/>
    <w:rsid w:val="00944CBD"/>
    <w:rsid w:val="009507C0"/>
    <w:rsid w:val="00953856"/>
    <w:rsid w:val="009554D5"/>
    <w:rsid w:val="00955A9A"/>
    <w:rsid w:val="00955B3F"/>
    <w:rsid w:val="00962552"/>
    <w:rsid w:val="009643F2"/>
    <w:rsid w:val="00973608"/>
    <w:rsid w:val="0097536F"/>
    <w:rsid w:val="0097761E"/>
    <w:rsid w:val="00981F3E"/>
    <w:rsid w:val="00984116"/>
    <w:rsid w:val="00987EDC"/>
    <w:rsid w:val="00991CCB"/>
    <w:rsid w:val="009933D3"/>
    <w:rsid w:val="009948C3"/>
    <w:rsid w:val="00994E63"/>
    <w:rsid w:val="009979C9"/>
    <w:rsid w:val="009A1362"/>
    <w:rsid w:val="009A1FDE"/>
    <w:rsid w:val="009A24F5"/>
    <w:rsid w:val="009A4ED6"/>
    <w:rsid w:val="009A6574"/>
    <w:rsid w:val="009B02CB"/>
    <w:rsid w:val="009B0BFD"/>
    <w:rsid w:val="009B0E43"/>
    <w:rsid w:val="009B23C9"/>
    <w:rsid w:val="009B4447"/>
    <w:rsid w:val="009B5E1D"/>
    <w:rsid w:val="009B76F7"/>
    <w:rsid w:val="009C11EB"/>
    <w:rsid w:val="009C1510"/>
    <w:rsid w:val="009D0EF6"/>
    <w:rsid w:val="009D10F1"/>
    <w:rsid w:val="009D2853"/>
    <w:rsid w:val="009D2F92"/>
    <w:rsid w:val="009D3FEF"/>
    <w:rsid w:val="009D59AB"/>
    <w:rsid w:val="009E000A"/>
    <w:rsid w:val="009E03C9"/>
    <w:rsid w:val="009E1159"/>
    <w:rsid w:val="009E2B79"/>
    <w:rsid w:val="009E2FB1"/>
    <w:rsid w:val="009E4226"/>
    <w:rsid w:val="009E4284"/>
    <w:rsid w:val="009F02AC"/>
    <w:rsid w:val="009F16AD"/>
    <w:rsid w:val="009F396B"/>
    <w:rsid w:val="00A01E70"/>
    <w:rsid w:val="00A037C2"/>
    <w:rsid w:val="00A07623"/>
    <w:rsid w:val="00A10051"/>
    <w:rsid w:val="00A1125D"/>
    <w:rsid w:val="00A124D0"/>
    <w:rsid w:val="00A127A0"/>
    <w:rsid w:val="00A14C2D"/>
    <w:rsid w:val="00A16267"/>
    <w:rsid w:val="00A20F36"/>
    <w:rsid w:val="00A221E7"/>
    <w:rsid w:val="00A23BEE"/>
    <w:rsid w:val="00A306E7"/>
    <w:rsid w:val="00A30DAD"/>
    <w:rsid w:val="00A35C45"/>
    <w:rsid w:val="00A35D77"/>
    <w:rsid w:val="00A40BBC"/>
    <w:rsid w:val="00A40F2F"/>
    <w:rsid w:val="00A41F55"/>
    <w:rsid w:val="00A427A6"/>
    <w:rsid w:val="00A42EFD"/>
    <w:rsid w:val="00A44094"/>
    <w:rsid w:val="00A450E6"/>
    <w:rsid w:val="00A45C7A"/>
    <w:rsid w:val="00A47018"/>
    <w:rsid w:val="00A50BA1"/>
    <w:rsid w:val="00A511ED"/>
    <w:rsid w:val="00A52A47"/>
    <w:rsid w:val="00A561CE"/>
    <w:rsid w:val="00A63CAC"/>
    <w:rsid w:val="00A64784"/>
    <w:rsid w:val="00A675E3"/>
    <w:rsid w:val="00A73784"/>
    <w:rsid w:val="00A75B7F"/>
    <w:rsid w:val="00A7642E"/>
    <w:rsid w:val="00A77B40"/>
    <w:rsid w:val="00A856B3"/>
    <w:rsid w:val="00A86726"/>
    <w:rsid w:val="00A90F3A"/>
    <w:rsid w:val="00A914C1"/>
    <w:rsid w:val="00A91BDF"/>
    <w:rsid w:val="00A942AB"/>
    <w:rsid w:val="00A97126"/>
    <w:rsid w:val="00AA014E"/>
    <w:rsid w:val="00AA08CC"/>
    <w:rsid w:val="00AA1D4D"/>
    <w:rsid w:val="00AA4C1F"/>
    <w:rsid w:val="00AB309E"/>
    <w:rsid w:val="00AB3646"/>
    <w:rsid w:val="00AB45CF"/>
    <w:rsid w:val="00AB4D14"/>
    <w:rsid w:val="00AB65A5"/>
    <w:rsid w:val="00AB7075"/>
    <w:rsid w:val="00AC1E69"/>
    <w:rsid w:val="00AC2249"/>
    <w:rsid w:val="00AC6A4A"/>
    <w:rsid w:val="00AC756F"/>
    <w:rsid w:val="00AD1432"/>
    <w:rsid w:val="00AD1935"/>
    <w:rsid w:val="00AD305C"/>
    <w:rsid w:val="00AD3D90"/>
    <w:rsid w:val="00AE04A4"/>
    <w:rsid w:val="00AE392C"/>
    <w:rsid w:val="00AE581C"/>
    <w:rsid w:val="00AE5C45"/>
    <w:rsid w:val="00AE5D22"/>
    <w:rsid w:val="00AE64AD"/>
    <w:rsid w:val="00AE6B9E"/>
    <w:rsid w:val="00AE75F3"/>
    <w:rsid w:val="00AF0234"/>
    <w:rsid w:val="00AF3993"/>
    <w:rsid w:val="00AF5873"/>
    <w:rsid w:val="00AF75FD"/>
    <w:rsid w:val="00B03192"/>
    <w:rsid w:val="00B04E6C"/>
    <w:rsid w:val="00B05542"/>
    <w:rsid w:val="00B06399"/>
    <w:rsid w:val="00B06A66"/>
    <w:rsid w:val="00B12E58"/>
    <w:rsid w:val="00B12ED9"/>
    <w:rsid w:val="00B16EE9"/>
    <w:rsid w:val="00B17122"/>
    <w:rsid w:val="00B212C3"/>
    <w:rsid w:val="00B21B70"/>
    <w:rsid w:val="00B21F68"/>
    <w:rsid w:val="00B23D3E"/>
    <w:rsid w:val="00B24F57"/>
    <w:rsid w:val="00B271A0"/>
    <w:rsid w:val="00B31342"/>
    <w:rsid w:val="00B3235B"/>
    <w:rsid w:val="00B3299A"/>
    <w:rsid w:val="00B34140"/>
    <w:rsid w:val="00B34A8D"/>
    <w:rsid w:val="00B353EF"/>
    <w:rsid w:val="00B466D8"/>
    <w:rsid w:val="00B5281D"/>
    <w:rsid w:val="00B56B11"/>
    <w:rsid w:val="00B57BA9"/>
    <w:rsid w:val="00B57C6F"/>
    <w:rsid w:val="00B60156"/>
    <w:rsid w:val="00B61E6D"/>
    <w:rsid w:val="00B62F23"/>
    <w:rsid w:val="00B645BE"/>
    <w:rsid w:val="00B674EB"/>
    <w:rsid w:val="00B7140B"/>
    <w:rsid w:val="00B72A0C"/>
    <w:rsid w:val="00B738E5"/>
    <w:rsid w:val="00B745DA"/>
    <w:rsid w:val="00B75591"/>
    <w:rsid w:val="00B75758"/>
    <w:rsid w:val="00B77697"/>
    <w:rsid w:val="00B83484"/>
    <w:rsid w:val="00B83DEE"/>
    <w:rsid w:val="00B85D7D"/>
    <w:rsid w:val="00B85F9B"/>
    <w:rsid w:val="00B860E0"/>
    <w:rsid w:val="00B87A11"/>
    <w:rsid w:val="00B9604D"/>
    <w:rsid w:val="00B9673B"/>
    <w:rsid w:val="00B97B20"/>
    <w:rsid w:val="00BA1498"/>
    <w:rsid w:val="00BA3233"/>
    <w:rsid w:val="00BA326C"/>
    <w:rsid w:val="00BA4A85"/>
    <w:rsid w:val="00BA59D9"/>
    <w:rsid w:val="00BB1F75"/>
    <w:rsid w:val="00BB6713"/>
    <w:rsid w:val="00BC2BE4"/>
    <w:rsid w:val="00BC515E"/>
    <w:rsid w:val="00BC52CC"/>
    <w:rsid w:val="00BC572A"/>
    <w:rsid w:val="00BC5861"/>
    <w:rsid w:val="00BC5BDC"/>
    <w:rsid w:val="00BC62E8"/>
    <w:rsid w:val="00BD16EA"/>
    <w:rsid w:val="00BD20F4"/>
    <w:rsid w:val="00BD34AD"/>
    <w:rsid w:val="00BD4807"/>
    <w:rsid w:val="00BE09FB"/>
    <w:rsid w:val="00BE0DCB"/>
    <w:rsid w:val="00BE37A4"/>
    <w:rsid w:val="00BE45DE"/>
    <w:rsid w:val="00BE639D"/>
    <w:rsid w:val="00BF5279"/>
    <w:rsid w:val="00BF5C53"/>
    <w:rsid w:val="00BF604D"/>
    <w:rsid w:val="00C05456"/>
    <w:rsid w:val="00C076A9"/>
    <w:rsid w:val="00C12211"/>
    <w:rsid w:val="00C12D21"/>
    <w:rsid w:val="00C1436B"/>
    <w:rsid w:val="00C15BBB"/>
    <w:rsid w:val="00C16064"/>
    <w:rsid w:val="00C20201"/>
    <w:rsid w:val="00C221C8"/>
    <w:rsid w:val="00C27038"/>
    <w:rsid w:val="00C31687"/>
    <w:rsid w:val="00C31FC0"/>
    <w:rsid w:val="00C330A6"/>
    <w:rsid w:val="00C35048"/>
    <w:rsid w:val="00C37FF1"/>
    <w:rsid w:val="00C417E0"/>
    <w:rsid w:val="00C46D0D"/>
    <w:rsid w:val="00C4771B"/>
    <w:rsid w:val="00C507CD"/>
    <w:rsid w:val="00C539C8"/>
    <w:rsid w:val="00C54866"/>
    <w:rsid w:val="00C56052"/>
    <w:rsid w:val="00C65342"/>
    <w:rsid w:val="00C659EC"/>
    <w:rsid w:val="00C727E0"/>
    <w:rsid w:val="00C73C34"/>
    <w:rsid w:val="00C73FBD"/>
    <w:rsid w:val="00C7483F"/>
    <w:rsid w:val="00C762A3"/>
    <w:rsid w:val="00C800CD"/>
    <w:rsid w:val="00C8213D"/>
    <w:rsid w:val="00C8580B"/>
    <w:rsid w:val="00C85867"/>
    <w:rsid w:val="00C862DC"/>
    <w:rsid w:val="00C878DC"/>
    <w:rsid w:val="00C9036D"/>
    <w:rsid w:val="00C912FE"/>
    <w:rsid w:val="00C928AB"/>
    <w:rsid w:val="00C937CC"/>
    <w:rsid w:val="00C95819"/>
    <w:rsid w:val="00C9616D"/>
    <w:rsid w:val="00C96D7A"/>
    <w:rsid w:val="00C9730D"/>
    <w:rsid w:val="00C978EB"/>
    <w:rsid w:val="00C97E6C"/>
    <w:rsid w:val="00CA31EB"/>
    <w:rsid w:val="00CA3B00"/>
    <w:rsid w:val="00CA5C1F"/>
    <w:rsid w:val="00CA6B87"/>
    <w:rsid w:val="00CB2C31"/>
    <w:rsid w:val="00CB6137"/>
    <w:rsid w:val="00CB7A8D"/>
    <w:rsid w:val="00CC1B9E"/>
    <w:rsid w:val="00CC2031"/>
    <w:rsid w:val="00CC4568"/>
    <w:rsid w:val="00CD0B2A"/>
    <w:rsid w:val="00CD1171"/>
    <w:rsid w:val="00CD1852"/>
    <w:rsid w:val="00CD4612"/>
    <w:rsid w:val="00CE041E"/>
    <w:rsid w:val="00CE0A4C"/>
    <w:rsid w:val="00CE1C7F"/>
    <w:rsid w:val="00CE3D5B"/>
    <w:rsid w:val="00CE51C3"/>
    <w:rsid w:val="00CE75F6"/>
    <w:rsid w:val="00CF32C0"/>
    <w:rsid w:val="00CF3B46"/>
    <w:rsid w:val="00CF4F69"/>
    <w:rsid w:val="00D00045"/>
    <w:rsid w:val="00D00E4A"/>
    <w:rsid w:val="00D02FE1"/>
    <w:rsid w:val="00D0722D"/>
    <w:rsid w:val="00D10677"/>
    <w:rsid w:val="00D14589"/>
    <w:rsid w:val="00D154DB"/>
    <w:rsid w:val="00D16BE9"/>
    <w:rsid w:val="00D207D6"/>
    <w:rsid w:val="00D20A9C"/>
    <w:rsid w:val="00D228D0"/>
    <w:rsid w:val="00D22AE8"/>
    <w:rsid w:val="00D24A7A"/>
    <w:rsid w:val="00D24C8D"/>
    <w:rsid w:val="00D256F3"/>
    <w:rsid w:val="00D257C8"/>
    <w:rsid w:val="00D25E5F"/>
    <w:rsid w:val="00D25F7F"/>
    <w:rsid w:val="00D27843"/>
    <w:rsid w:val="00D36334"/>
    <w:rsid w:val="00D40D00"/>
    <w:rsid w:val="00D432AD"/>
    <w:rsid w:val="00D44818"/>
    <w:rsid w:val="00D4634E"/>
    <w:rsid w:val="00D47036"/>
    <w:rsid w:val="00D5077D"/>
    <w:rsid w:val="00D51069"/>
    <w:rsid w:val="00D523D3"/>
    <w:rsid w:val="00D53181"/>
    <w:rsid w:val="00D531ED"/>
    <w:rsid w:val="00D5336D"/>
    <w:rsid w:val="00D547BF"/>
    <w:rsid w:val="00D60FF2"/>
    <w:rsid w:val="00D6656A"/>
    <w:rsid w:val="00D6696B"/>
    <w:rsid w:val="00D6696E"/>
    <w:rsid w:val="00D75DE7"/>
    <w:rsid w:val="00D76C2E"/>
    <w:rsid w:val="00D77EC5"/>
    <w:rsid w:val="00D80989"/>
    <w:rsid w:val="00D83E59"/>
    <w:rsid w:val="00D84110"/>
    <w:rsid w:val="00D843E3"/>
    <w:rsid w:val="00D84C99"/>
    <w:rsid w:val="00D86581"/>
    <w:rsid w:val="00D86E76"/>
    <w:rsid w:val="00D93E85"/>
    <w:rsid w:val="00D94350"/>
    <w:rsid w:val="00D9537D"/>
    <w:rsid w:val="00DA44B8"/>
    <w:rsid w:val="00DA5525"/>
    <w:rsid w:val="00DA78A8"/>
    <w:rsid w:val="00DB295E"/>
    <w:rsid w:val="00DB6A2C"/>
    <w:rsid w:val="00DC320A"/>
    <w:rsid w:val="00DC5315"/>
    <w:rsid w:val="00DD130B"/>
    <w:rsid w:val="00DD3428"/>
    <w:rsid w:val="00DD348A"/>
    <w:rsid w:val="00DD5231"/>
    <w:rsid w:val="00DD52CC"/>
    <w:rsid w:val="00DD6010"/>
    <w:rsid w:val="00DE0C78"/>
    <w:rsid w:val="00DE133B"/>
    <w:rsid w:val="00DE308B"/>
    <w:rsid w:val="00DF0982"/>
    <w:rsid w:val="00DF2E0E"/>
    <w:rsid w:val="00DF43EC"/>
    <w:rsid w:val="00DF5E37"/>
    <w:rsid w:val="00DF69FE"/>
    <w:rsid w:val="00DF7489"/>
    <w:rsid w:val="00E00772"/>
    <w:rsid w:val="00E00B35"/>
    <w:rsid w:val="00E02C3B"/>
    <w:rsid w:val="00E02E61"/>
    <w:rsid w:val="00E11394"/>
    <w:rsid w:val="00E11723"/>
    <w:rsid w:val="00E13592"/>
    <w:rsid w:val="00E13F7F"/>
    <w:rsid w:val="00E14E45"/>
    <w:rsid w:val="00E22B51"/>
    <w:rsid w:val="00E22EA8"/>
    <w:rsid w:val="00E23068"/>
    <w:rsid w:val="00E24176"/>
    <w:rsid w:val="00E3120A"/>
    <w:rsid w:val="00E33080"/>
    <w:rsid w:val="00E35C97"/>
    <w:rsid w:val="00E362C9"/>
    <w:rsid w:val="00E36E0B"/>
    <w:rsid w:val="00E37A7A"/>
    <w:rsid w:val="00E37D36"/>
    <w:rsid w:val="00E44571"/>
    <w:rsid w:val="00E464F5"/>
    <w:rsid w:val="00E47630"/>
    <w:rsid w:val="00E55B3B"/>
    <w:rsid w:val="00E55E6A"/>
    <w:rsid w:val="00E55E91"/>
    <w:rsid w:val="00E56CEA"/>
    <w:rsid w:val="00E56E08"/>
    <w:rsid w:val="00E57DE3"/>
    <w:rsid w:val="00E57E51"/>
    <w:rsid w:val="00E651FF"/>
    <w:rsid w:val="00E65724"/>
    <w:rsid w:val="00E65D0F"/>
    <w:rsid w:val="00E67740"/>
    <w:rsid w:val="00E7044B"/>
    <w:rsid w:val="00E719DE"/>
    <w:rsid w:val="00E751E6"/>
    <w:rsid w:val="00E75EE9"/>
    <w:rsid w:val="00E76C71"/>
    <w:rsid w:val="00E77BA2"/>
    <w:rsid w:val="00E80F12"/>
    <w:rsid w:val="00E814DA"/>
    <w:rsid w:val="00E844E8"/>
    <w:rsid w:val="00E84847"/>
    <w:rsid w:val="00E861BC"/>
    <w:rsid w:val="00E8625D"/>
    <w:rsid w:val="00E86EDC"/>
    <w:rsid w:val="00E95BBB"/>
    <w:rsid w:val="00E96810"/>
    <w:rsid w:val="00EA23D0"/>
    <w:rsid w:val="00EA2557"/>
    <w:rsid w:val="00EA4BA5"/>
    <w:rsid w:val="00EA69F8"/>
    <w:rsid w:val="00EA7098"/>
    <w:rsid w:val="00EA7525"/>
    <w:rsid w:val="00EB097A"/>
    <w:rsid w:val="00EB1D44"/>
    <w:rsid w:val="00EB2FF8"/>
    <w:rsid w:val="00EB366E"/>
    <w:rsid w:val="00EB5724"/>
    <w:rsid w:val="00EB6EBA"/>
    <w:rsid w:val="00EC0891"/>
    <w:rsid w:val="00EC1BC4"/>
    <w:rsid w:val="00EC232D"/>
    <w:rsid w:val="00EC2720"/>
    <w:rsid w:val="00EC2ECD"/>
    <w:rsid w:val="00EC3B91"/>
    <w:rsid w:val="00EC5FD1"/>
    <w:rsid w:val="00EC60C2"/>
    <w:rsid w:val="00ED2325"/>
    <w:rsid w:val="00ED743E"/>
    <w:rsid w:val="00EE1BDB"/>
    <w:rsid w:val="00EE3AAF"/>
    <w:rsid w:val="00EE51DB"/>
    <w:rsid w:val="00EE7871"/>
    <w:rsid w:val="00EE7915"/>
    <w:rsid w:val="00EF65A5"/>
    <w:rsid w:val="00EF6AAF"/>
    <w:rsid w:val="00EF6C4D"/>
    <w:rsid w:val="00EF6CE0"/>
    <w:rsid w:val="00EF6F4B"/>
    <w:rsid w:val="00F00905"/>
    <w:rsid w:val="00F02169"/>
    <w:rsid w:val="00F03E95"/>
    <w:rsid w:val="00F043C2"/>
    <w:rsid w:val="00F05D98"/>
    <w:rsid w:val="00F06129"/>
    <w:rsid w:val="00F13863"/>
    <w:rsid w:val="00F13DC0"/>
    <w:rsid w:val="00F14485"/>
    <w:rsid w:val="00F1690C"/>
    <w:rsid w:val="00F16F02"/>
    <w:rsid w:val="00F17852"/>
    <w:rsid w:val="00F22BB2"/>
    <w:rsid w:val="00F23A2C"/>
    <w:rsid w:val="00F2577C"/>
    <w:rsid w:val="00F26504"/>
    <w:rsid w:val="00F26A60"/>
    <w:rsid w:val="00F31355"/>
    <w:rsid w:val="00F342F9"/>
    <w:rsid w:val="00F35D4B"/>
    <w:rsid w:val="00F362FE"/>
    <w:rsid w:val="00F40BCE"/>
    <w:rsid w:val="00F465B6"/>
    <w:rsid w:val="00F46634"/>
    <w:rsid w:val="00F47301"/>
    <w:rsid w:val="00F5040B"/>
    <w:rsid w:val="00F507D4"/>
    <w:rsid w:val="00F5213A"/>
    <w:rsid w:val="00F52D99"/>
    <w:rsid w:val="00F53787"/>
    <w:rsid w:val="00F55355"/>
    <w:rsid w:val="00F562FE"/>
    <w:rsid w:val="00F574FC"/>
    <w:rsid w:val="00F57A42"/>
    <w:rsid w:val="00F61957"/>
    <w:rsid w:val="00F63685"/>
    <w:rsid w:val="00F64CB9"/>
    <w:rsid w:val="00F67181"/>
    <w:rsid w:val="00F70600"/>
    <w:rsid w:val="00F72E8D"/>
    <w:rsid w:val="00F746E2"/>
    <w:rsid w:val="00F74851"/>
    <w:rsid w:val="00F759F8"/>
    <w:rsid w:val="00F760F1"/>
    <w:rsid w:val="00F77628"/>
    <w:rsid w:val="00F838DD"/>
    <w:rsid w:val="00F862BB"/>
    <w:rsid w:val="00F91F34"/>
    <w:rsid w:val="00F946F4"/>
    <w:rsid w:val="00F953FA"/>
    <w:rsid w:val="00FA0306"/>
    <w:rsid w:val="00FA1118"/>
    <w:rsid w:val="00FA170D"/>
    <w:rsid w:val="00FA20EA"/>
    <w:rsid w:val="00FA34BE"/>
    <w:rsid w:val="00FA38FA"/>
    <w:rsid w:val="00FA4156"/>
    <w:rsid w:val="00FA4766"/>
    <w:rsid w:val="00FA5DC0"/>
    <w:rsid w:val="00FA6B08"/>
    <w:rsid w:val="00FB365E"/>
    <w:rsid w:val="00FB7042"/>
    <w:rsid w:val="00FC3FA4"/>
    <w:rsid w:val="00FC6159"/>
    <w:rsid w:val="00FD061C"/>
    <w:rsid w:val="00FD0B96"/>
    <w:rsid w:val="00FD410E"/>
    <w:rsid w:val="00FD417E"/>
    <w:rsid w:val="00FD5506"/>
    <w:rsid w:val="00FD6EE8"/>
    <w:rsid w:val="00FE2515"/>
    <w:rsid w:val="00FF165D"/>
    <w:rsid w:val="00FF1BF6"/>
    <w:rsid w:val="00FF218B"/>
    <w:rsid w:val="00FF5003"/>
    <w:rsid w:val="00FF5BB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28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4AD"/>
    <w:pPr>
      <w:spacing w:after="120" w:line="280" w:lineRule="exact"/>
      <w:jc w:val="both"/>
    </w:pPr>
    <w:rPr>
      <w:sz w:val="21"/>
      <w:szCs w:val="10"/>
      <w:lang w:val="en-US" w:eastAsia="zh-CN"/>
    </w:rPr>
  </w:style>
  <w:style w:type="paragraph" w:styleId="Heading1">
    <w:name w:val="heading 1"/>
    <w:basedOn w:val="Normal"/>
    <w:next w:val="Heading2"/>
    <w:link w:val="Heading1Char"/>
    <w:qFormat/>
    <w:pPr>
      <w:keepNext/>
      <w:tabs>
        <w:tab w:val="left" w:pos="720"/>
      </w:tabs>
      <w:spacing w:before="240"/>
      <w:jc w:val="center"/>
      <w:outlineLvl w:val="0"/>
    </w:pPr>
    <w:rPr>
      <w:b/>
      <w:caps/>
    </w:rPr>
  </w:style>
  <w:style w:type="paragraph" w:styleId="Heading2">
    <w:name w:val="heading 2"/>
    <w:basedOn w:val="Normal"/>
    <w:next w:val="Normal"/>
    <w:link w:val="Heading2Char"/>
    <w:qFormat/>
    <w:rsid w:val="00E55B3B"/>
    <w:pPr>
      <w:keepNext/>
      <w:tabs>
        <w:tab w:val="left" w:pos="720"/>
      </w:tabs>
      <w:spacing w:before="120"/>
      <w:jc w:val="center"/>
      <w:outlineLvl w:val="1"/>
    </w:pPr>
    <w:rPr>
      <w:b/>
      <w:bCs/>
      <w:iCs/>
    </w:rPr>
  </w:style>
  <w:style w:type="paragraph" w:styleId="Heading3">
    <w:name w:val="heading 3"/>
    <w:basedOn w:val="Normal"/>
    <w:next w:val="Normal"/>
    <w:qFormat/>
    <w:pPr>
      <w:keepNext/>
      <w:tabs>
        <w:tab w:val="left" w:pos="567"/>
      </w:tabs>
      <w:spacing w:before="120"/>
      <w:jc w:val="center"/>
      <w:outlineLvl w:val="2"/>
    </w:pPr>
    <w:rPr>
      <w:i/>
      <w:iCs/>
    </w:rPr>
  </w:style>
  <w:style w:type="paragraph" w:styleId="Heading4">
    <w:name w:val="heading 4"/>
    <w:basedOn w:val="Normal"/>
    <w:qFormat/>
    <w:pPr>
      <w:keepNext/>
      <w:spacing w:before="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1"/>
      </w:numPr>
      <w:spacing w:before="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eastAsia="PMingLiU"/>
      <w:noProof/>
      <w:sz w:val="18"/>
    </w:rPr>
  </w:style>
  <w:style w:type="paragraph" w:styleId="Footer">
    <w:name w:val="footer"/>
    <w:basedOn w:val="Normal"/>
    <w:pPr>
      <w:tabs>
        <w:tab w:val="center" w:pos="4320"/>
        <w:tab w:val="right" w:pos="8640"/>
      </w:tabs>
      <w:ind w:firstLine="720"/>
      <w:jc w:val="right"/>
    </w:pPr>
    <w:rPr>
      <w:rFonts w:eastAsia="PMingLiU"/>
      <w:b/>
      <w:noProof/>
      <w:sz w:val="17"/>
    </w:rPr>
  </w:style>
  <w:style w:type="paragraph" w:customStyle="1" w:styleId="Para1">
    <w:name w:val="Para1"/>
    <w:basedOn w:val="Normal"/>
    <w:link w:val="Para1Char"/>
    <w:rsid w:val="00F13DC0"/>
    <w:pPr>
      <w:numPr>
        <w:numId w:val="2"/>
      </w:numPr>
      <w:spacing w:before="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link w:val="FootnoteTextChar"/>
    <w:qFormat/>
    <w:rsid w:val="00AE64AD"/>
    <w:pPr>
      <w:keepLines/>
      <w:spacing w:line="210" w:lineRule="exact"/>
      <w:ind w:left="475" w:hanging="475"/>
    </w:pPr>
    <w:rPr>
      <w:rFonts w:ascii="宋体" w:hAnsi="宋体"/>
      <w:noProof/>
      <w:spacing w:val="5"/>
      <w:w w:val="104"/>
      <w:kern w:val="14"/>
    </w:rPr>
  </w:style>
  <w:style w:type="paragraph" w:styleId="BodyText">
    <w:name w:val="Body Text"/>
    <w:basedOn w:val="Normal"/>
    <w:pPr>
      <w:spacing w:before="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Pr>
      <w:rFonts w:ascii="Times New Roman" w:eastAsia="宋体" w:hAnsi="Times New Roman"/>
      <w:sz w:val="6"/>
    </w:rPr>
  </w:style>
  <w:style w:type="paragraph" w:styleId="CommentText">
    <w:name w:val="annotation text"/>
    <w:basedOn w:val="Normal"/>
    <w:link w:val="CommentTextChar"/>
    <w:semiHidden/>
    <w:pPr>
      <w:spacing w:line="240" w:lineRule="exact"/>
    </w:pPr>
  </w:style>
  <w:style w:type="paragraph" w:styleId="BodyTextIndent">
    <w:name w:val="Body Text Indent"/>
    <w:basedOn w:val="Normal"/>
    <w:pPr>
      <w:spacing w:before="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jc w:val="center"/>
    </w:pPr>
    <w:rPr>
      <w:b/>
      <w:bCs/>
      <w:caps/>
    </w:rPr>
  </w:style>
  <w:style w:type="paragraph" w:customStyle="1" w:styleId="para4">
    <w:name w:val="para4"/>
    <w:basedOn w:val="Normal"/>
    <w:pPr>
      <w:numPr>
        <w:ilvl w:val="3"/>
        <w:numId w:val="4"/>
      </w:numPr>
      <w:overflowPunct w:val="0"/>
      <w:autoSpaceDE w:val="0"/>
      <w:autoSpaceDN w:val="0"/>
      <w:adjustRightInd w:val="0"/>
      <w:spacing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pPr>
      <w:ind w:left="170" w:right="3119" w:hanging="170"/>
      <w:jc w:val="left"/>
    </w:pPr>
  </w:style>
  <w:style w:type="paragraph" w:customStyle="1" w:styleId="Para3">
    <w:name w:val="Para3"/>
    <w:basedOn w:val="Normal"/>
    <w:pPr>
      <w:numPr>
        <w:ilvl w:val="2"/>
        <w:numId w:val="2"/>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uiPriority w:val="39"/>
    <w:semiHidden/>
    <w:pPr>
      <w:spacing w:before="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ind w:left="660"/>
      <w:jc w:val="left"/>
    </w:pPr>
  </w:style>
  <w:style w:type="paragraph" w:styleId="TOC5">
    <w:name w:val="toc 5"/>
    <w:basedOn w:val="Normal"/>
    <w:next w:val="Normal"/>
    <w:autoRedefine/>
    <w:semiHidden/>
    <w:pPr>
      <w:spacing w:before="120"/>
      <w:ind w:left="880"/>
      <w:jc w:val="left"/>
    </w:pPr>
  </w:style>
  <w:style w:type="paragraph" w:styleId="TOC6">
    <w:name w:val="toc 6"/>
    <w:basedOn w:val="Normal"/>
    <w:next w:val="Normal"/>
    <w:autoRedefine/>
    <w:semiHidden/>
    <w:pPr>
      <w:spacing w:before="120"/>
      <w:ind w:left="1100"/>
      <w:jc w:val="left"/>
    </w:pPr>
  </w:style>
  <w:style w:type="paragraph" w:styleId="TOC7">
    <w:name w:val="toc 7"/>
    <w:basedOn w:val="Normal"/>
    <w:next w:val="Normal"/>
    <w:autoRedefine/>
    <w:semiHidden/>
    <w:pPr>
      <w:spacing w:before="120"/>
      <w:ind w:left="1320"/>
      <w:jc w:val="left"/>
    </w:pPr>
  </w:style>
  <w:style w:type="paragraph" w:styleId="TOC8">
    <w:name w:val="toc 8"/>
    <w:basedOn w:val="Normal"/>
    <w:next w:val="Normal"/>
    <w:autoRedefine/>
    <w:semiHidden/>
    <w:pPr>
      <w:spacing w:before="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customStyle="1" w:styleId="Style1">
    <w:name w:val="Style1"/>
    <w:basedOn w:val="Heading2"/>
    <w:qFormat/>
    <w:rsid w:val="00CA6B87"/>
    <w:rPr>
      <w:i/>
    </w:rPr>
  </w:style>
  <w:style w:type="paragraph" w:customStyle="1" w:styleId="Para2">
    <w:name w:val="Para2"/>
    <w:basedOn w:val="Para1"/>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Pr>
      <w:rFonts w:ascii="Times New Roman" w:eastAsia="宋体" w:hAnsi="Times New Roman"/>
      <w:color w:val="000000"/>
      <w:spacing w:val="-7"/>
      <w:w w:val="130"/>
      <w:position w:val="-4"/>
      <w:vertAlign w:val="superscript"/>
    </w:rPr>
  </w:style>
  <w:style w:type="paragraph" w:styleId="EndnoteText">
    <w:name w:val="endnote text"/>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rsid w:val="00AE64AD"/>
    <w:rPr>
      <w:rFonts w:ascii="宋体" w:hAnsi="宋体"/>
      <w:noProof/>
      <w:spacing w:val="5"/>
      <w:w w:val="104"/>
      <w:kern w:val="14"/>
    </w:rPr>
  </w:style>
  <w:style w:type="paragraph" w:customStyle="1" w:styleId="decision">
    <w:name w:val="decision"/>
    <w:basedOn w:val="Normal"/>
    <w:qFormat/>
    <w:rsid w:val="00406BC6"/>
    <w:pPr>
      <w:keepNext/>
      <w:spacing w:before="24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eastAsia="en-US"/>
    </w:rPr>
  </w:style>
  <w:style w:type="character" w:styleId="PlaceholderText">
    <w:name w:val="Placeholder Text"/>
    <w:uiPriority w:val="67"/>
    <w:rsid w:val="00073708"/>
    <w:rPr>
      <w:color w:val="808080"/>
    </w:rPr>
  </w:style>
  <w:style w:type="paragraph" w:styleId="ListParagraph">
    <w:name w:val="List Paragraph"/>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paragraph" w:styleId="PlainText">
    <w:name w:val="Plain Text"/>
    <w:basedOn w:val="Normal"/>
    <w:link w:val="PlainTextChar"/>
    <w:uiPriority w:val="99"/>
    <w:unhideWhenUsed/>
    <w:rsid w:val="00AD3D90"/>
    <w:pPr>
      <w:jc w:val="left"/>
    </w:pPr>
    <w:rPr>
      <w:rFonts w:ascii="Calibri" w:eastAsia="Calibri" w:hAnsi="Calibri"/>
      <w:szCs w:val="21"/>
    </w:rPr>
  </w:style>
  <w:style w:type="character" w:customStyle="1" w:styleId="PlainTextChar">
    <w:name w:val="Plain Text Char"/>
    <w:link w:val="PlainText"/>
    <w:uiPriority w:val="99"/>
    <w:rsid w:val="00AD3D90"/>
    <w:rPr>
      <w:rFonts w:ascii="Calibri" w:eastAsia="Calibri" w:hAnsi="Calibri"/>
      <w:sz w:val="22"/>
      <w:szCs w:val="21"/>
      <w:lang w:val="en-US"/>
    </w:rPr>
  </w:style>
  <w:style w:type="paragraph" w:styleId="BodyText2">
    <w:name w:val="Body Text 2"/>
    <w:basedOn w:val="Normal"/>
    <w:link w:val="BodyText2Char"/>
    <w:uiPriority w:val="99"/>
    <w:semiHidden/>
    <w:unhideWhenUsed/>
    <w:rsid w:val="00A561CE"/>
    <w:pPr>
      <w:spacing w:line="480" w:lineRule="auto"/>
    </w:pPr>
  </w:style>
  <w:style w:type="character" w:customStyle="1" w:styleId="BodyText2Char">
    <w:name w:val="Body Text 2 Char"/>
    <w:link w:val="BodyText2"/>
    <w:uiPriority w:val="99"/>
    <w:semiHidden/>
    <w:rsid w:val="00A561CE"/>
    <w:rPr>
      <w:sz w:val="22"/>
      <w:szCs w:val="24"/>
      <w:lang w:val="en-GB"/>
    </w:rPr>
  </w:style>
  <w:style w:type="table" w:styleId="TableGrid">
    <w:name w:val="Table Grid"/>
    <w:basedOn w:val="TableNormal"/>
    <w:uiPriority w:val="59"/>
    <w:rsid w:val="00595E02"/>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9036D"/>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AE64AD"/>
    <w:rPr>
      <w:rFonts w:ascii="Times New Roman" w:eastAsia="宋体" w:hAnsi="Times New Roman"/>
      <w:caps w:val="0"/>
      <w:smallCaps w:val="0"/>
      <w:strike w:val="0"/>
      <w:dstrike w:val="0"/>
      <w:vanish w:val="0"/>
      <w:sz w:val="24"/>
      <w:u w:val="none"/>
      <w:vertAlign w:val="superscript"/>
    </w:rPr>
  </w:style>
  <w:style w:type="character" w:customStyle="1" w:styleId="Para1Char">
    <w:name w:val="Para1 Char"/>
    <w:link w:val="Para1"/>
    <w:locked/>
    <w:rsid w:val="000C37B2"/>
    <w:rPr>
      <w:snapToGrid w:val="0"/>
      <w:sz w:val="21"/>
      <w:szCs w:val="18"/>
      <w:lang w:val="en-US" w:eastAsia="zh-CN"/>
    </w:rPr>
  </w:style>
  <w:style w:type="character" w:styleId="Emphasis">
    <w:name w:val="Emphasis"/>
    <w:uiPriority w:val="20"/>
    <w:qFormat/>
    <w:rsid w:val="000C37B2"/>
    <w:rPr>
      <w:i/>
      <w:iCs/>
    </w:rPr>
  </w:style>
  <w:style w:type="paragraph" w:customStyle="1" w:styleId="Default">
    <w:name w:val="Default"/>
    <w:rsid w:val="000C37B2"/>
    <w:pPr>
      <w:widowControl w:val="0"/>
      <w:autoSpaceDE w:val="0"/>
      <w:autoSpaceDN w:val="0"/>
      <w:adjustRightInd w:val="0"/>
    </w:pPr>
    <w:rPr>
      <w:rFonts w:eastAsia="Malgun Gothic"/>
      <w:color w:val="000000"/>
      <w:sz w:val="24"/>
      <w:szCs w:val="24"/>
      <w:lang w:val="en-US" w:eastAsia="en-US"/>
    </w:rPr>
  </w:style>
  <w:style w:type="character" w:customStyle="1" w:styleId="ListParagraphChar">
    <w:name w:val="List Paragraph Char"/>
    <w:link w:val="ListParagraph"/>
    <w:uiPriority w:val="34"/>
    <w:rsid w:val="00716326"/>
    <w:rPr>
      <w:sz w:val="22"/>
      <w:szCs w:val="24"/>
      <w:lang w:val="en-GB" w:eastAsia="en-US"/>
    </w:rPr>
  </w:style>
  <w:style w:type="character" w:customStyle="1" w:styleId="StyleFootnoteReferencenumberFootnoteReferenceSuperscript-EF">
    <w:name w:val="Style Footnote ReferencenumberFootnote Reference Superscript-E F..."/>
    <w:rsid w:val="00716326"/>
    <w:rPr>
      <w:rFonts w:ascii="Times New Roman" w:hAnsi="Times New Roman"/>
      <w:sz w:val="22"/>
      <w:u w:val="none"/>
      <w:vertAlign w:val="superscript"/>
    </w:rPr>
  </w:style>
  <w:style w:type="character" w:styleId="Strong">
    <w:name w:val="Strong"/>
    <w:uiPriority w:val="22"/>
    <w:qFormat/>
    <w:rsid w:val="00716326"/>
    <w:rPr>
      <w:b/>
      <w:bCs/>
    </w:rPr>
  </w:style>
  <w:style w:type="character" w:customStyle="1" w:styleId="Heading2Char">
    <w:name w:val="Heading 2 Char"/>
    <w:link w:val="Heading2"/>
    <w:rsid w:val="00A942AB"/>
    <w:rPr>
      <w:b/>
      <w:bCs/>
      <w:iCs/>
      <w:sz w:val="22"/>
      <w:szCs w:val="24"/>
      <w:lang w:val="en-GB" w:eastAsia="en-US"/>
    </w:rPr>
  </w:style>
  <w:style w:type="character" w:customStyle="1" w:styleId="UnresolvedMention1">
    <w:name w:val="Unresolved Mention1"/>
    <w:basedOn w:val="DefaultParagraphFont"/>
    <w:uiPriority w:val="99"/>
    <w:semiHidden/>
    <w:unhideWhenUsed/>
    <w:rsid w:val="00DC320A"/>
    <w:rPr>
      <w:color w:val="605E5C"/>
      <w:shd w:val="clear" w:color="auto" w:fill="E1DFDD"/>
    </w:rPr>
  </w:style>
  <w:style w:type="table" w:customStyle="1" w:styleId="TableGrid2">
    <w:name w:val="Table Grid2"/>
    <w:basedOn w:val="TableNormal"/>
    <w:next w:val="TableGrid"/>
    <w:uiPriority w:val="59"/>
    <w:rsid w:val="00091E31"/>
    <w:rPr>
      <w:rFonts w:ascii="Cambria" w:eastAsia="MS Mincho" w:hAnsi="Cambria"/>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A12C3"/>
    <w:rPr>
      <w:b/>
      <w:caps/>
      <w:sz w:val="22"/>
      <w:szCs w:val="24"/>
      <w:lang w:val="en-GB" w:eastAsia="en-US"/>
    </w:rPr>
  </w:style>
  <w:style w:type="character" w:customStyle="1" w:styleId="UnresolvedMention2">
    <w:name w:val="Unresolved Mention2"/>
    <w:basedOn w:val="DefaultParagraphFont"/>
    <w:uiPriority w:val="99"/>
    <w:semiHidden/>
    <w:unhideWhenUsed/>
    <w:rsid w:val="00D53181"/>
    <w:rPr>
      <w:color w:val="605E5C"/>
      <w:shd w:val="clear" w:color="auto" w:fill="E1DFDD"/>
    </w:rPr>
  </w:style>
  <w:style w:type="character" w:customStyle="1" w:styleId="1">
    <w:name w:val="未处理的提及1"/>
    <w:basedOn w:val="DefaultParagraphFont"/>
    <w:uiPriority w:val="99"/>
    <w:semiHidden/>
    <w:unhideWhenUsed/>
    <w:rsid w:val="00206672"/>
    <w:rPr>
      <w:color w:val="605E5C"/>
      <w:shd w:val="clear" w:color="auto" w:fill="E1DFDD"/>
    </w:rPr>
  </w:style>
  <w:style w:type="character" w:customStyle="1" w:styleId="2">
    <w:name w:val="未处理的提及2"/>
    <w:basedOn w:val="DefaultParagraphFont"/>
    <w:uiPriority w:val="99"/>
    <w:rsid w:val="00E00772"/>
    <w:rPr>
      <w:color w:val="605E5C"/>
      <w:shd w:val="clear" w:color="auto" w:fill="E1DFDD"/>
    </w:rPr>
  </w:style>
  <w:style w:type="character" w:customStyle="1" w:styleId="qowt-font6-simsun">
    <w:name w:val="qowt-font6-simsun"/>
    <w:basedOn w:val="DefaultParagraphFont"/>
    <w:rsid w:val="00DE0C78"/>
  </w:style>
  <w:style w:type="character" w:customStyle="1" w:styleId="qowt-font7-simsun">
    <w:name w:val="qowt-font7-simsun"/>
    <w:basedOn w:val="DefaultParagraphFont"/>
    <w:rsid w:val="00257555"/>
  </w:style>
  <w:style w:type="character" w:customStyle="1" w:styleId="qowt-font8-kaiti">
    <w:name w:val="qowt-font8-kaiti"/>
    <w:basedOn w:val="DefaultParagraphFont"/>
    <w:rsid w:val="00275FB2"/>
  </w:style>
  <w:style w:type="character" w:customStyle="1" w:styleId="Para1Char1">
    <w:name w:val="Para1 Char1"/>
    <w:locked/>
    <w:rsid w:val="00CE75F6"/>
    <w:rPr>
      <w:snapToGrid w:val="0"/>
      <w:sz w:val="24"/>
      <w:szCs w:val="18"/>
    </w:rPr>
  </w:style>
  <w:style w:type="character" w:styleId="UnresolvedMention">
    <w:name w:val="Unresolved Mention"/>
    <w:basedOn w:val="DefaultParagraphFont"/>
    <w:uiPriority w:val="99"/>
    <w:semiHidden/>
    <w:unhideWhenUsed/>
    <w:rsid w:val="00FA20EA"/>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615F69"/>
    <w:pPr>
      <w:spacing w:after="160" w:line="240" w:lineRule="exact"/>
      <w:jc w:val="left"/>
    </w:pPr>
    <w:rPr>
      <w:sz w:val="24"/>
      <w:szCs w:val="20"/>
      <w:vertAlign w:val="superscript"/>
      <w:lang w:val="en-GB" w:eastAsia="en-GB"/>
    </w:rPr>
  </w:style>
  <w:style w:type="character" w:customStyle="1" w:styleId="style21">
    <w:name w:val="style21"/>
    <w:basedOn w:val="DefaultParagraphFont"/>
    <w:rsid w:val="00615F69"/>
    <w:rPr>
      <w:b w:val="0"/>
      <w:bCs w:val="0"/>
      <w:i w:val="0"/>
      <w:iCs w:val="0"/>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8223">
      <w:bodyDiv w:val="1"/>
      <w:marLeft w:val="0"/>
      <w:marRight w:val="0"/>
      <w:marTop w:val="0"/>
      <w:marBottom w:val="0"/>
      <w:divBdr>
        <w:top w:val="none" w:sz="0" w:space="0" w:color="auto"/>
        <w:left w:val="none" w:sz="0" w:space="0" w:color="auto"/>
        <w:bottom w:val="none" w:sz="0" w:space="0" w:color="auto"/>
        <w:right w:val="none" w:sz="0" w:space="0" w:color="auto"/>
      </w:divBdr>
    </w:div>
    <w:div w:id="135805531">
      <w:bodyDiv w:val="1"/>
      <w:marLeft w:val="0"/>
      <w:marRight w:val="0"/>
      <w:marTop w:val="0"/>
      <w:marBottom w:val="0"/>
      <w:divBdr>
        <w:top w:val="none" w:sz="0" w:space="0" w:color="auto"/>
        <w:left w:val="none" w:sz="0" w:space="0" w:color="auto"/>
        <w:bottom w:val="none" w:sz="0" w:space="0" w:color="auto"/>
        <w:right w:val="none" w:sz="0" w:space="0" w:color="auto"/>
      </w:divBdr>
    </w:div>
    <w:div w:id="153835685">
      <w:bodyDiv w:val="1"/>
      <w:marLeft w:val="0"/>
      <w:marRight w:val="0"/>
      <w:marTop w:val="0"/>
      <w:marBottom w:val="0"/>
      <w:divBdr>
        <w:top w:val="none" w:sz="0" w:space="0" w:color="auto"/>
        <w:left w:val="none" w:sz="0" w:space="0" w:color="auto"/>
        <w:bottom w:val="none" w:sz="0" w:space="0" w:color="auto"/>
        <w:right w:val="none" w:sz="0" w:space="0" w:color="auto"/>
      </w:divBdr>
    </w:div>
    <w:div w:id="178933207">
      <w:bodyDiv w:val="1"/>
      <w:marLeft w:val="0"/>
      <w:marRight w:val="0"/>
      <w:marTop w:val="0"/>
      <w:marBottom w:val="0"/>
      <w:divBdr>
        <w:top w:val="none" w:sz="0" w:space="0" w:color="auto"/>
        <w:left w:val="none" w:sz="0" w:space="0" w:color="auto"/>
        <w:bottom w:val="none" w:sz="0" w:space="0" w:color="auto"/>
        <w:right w:val="none" w:sz="0" w:space="0" w:color="auto"/>
      </w:divBdr>
    </w:div>
    <w:div w:id="191496624">
      <w:bodyDiv w:val="1"/>
      <w:marLeft w:val="0"/>
      <w:marRight w:val="0"/>
      <w:marTop w:val="0"/>
      <w:marBottom w:val="0"/>
      <w:divBdr>
        <w:top w:val="none" w:sz="0" w:space="0" w:color="auto"/>
        <w:left w:val="none" w:sz="0" w:space="0" w:color="auto"/>
        <w:bottom w:val="none" w:sz="0" w:space="0" w:color="auto"/>
        <w:right w:val="none" w:sz="0" w:space="0" w:color="auto"/>
      </w:divBdr>
    </w:div>
    <w:div w:id="299848022">
      <w:bodyDiv w:val="1"/>
      <w:marLeft w:val="0"/>
      <w:marRight w:val="0"/>
      <w:marTop w:val="0"/>
      <w:marBottom w:val="0"/>
      <w:divBdr>
        <w:top w:val="none" w:sz="0" w:space="0" w:color="auto"/>
        <w:left w:val="none" w:sz="0" w:space="0" w:color="auto"/>
        <w:bottom w:val="none" w:sz="0" w:space="0" w:color="auto"/>
        <w:right w:val="none" w:sz="0" w:space="0" w:color="auto"/>
      </w:divBdr>
    </w:div>
    <w:div w:id="399518567">
      <w:bodyDiv w:val="1"/>
      <w:marLeft w:val="0"/>
      <w:marRight w:val="0"/>
      <w:marTop w:val="0"/>
      <w:marBottom w:val="0"/>
      <w:divBdr>
        <w:top w:val="none" w:sz="0" w:space="0" w:color="auto"/>
        <w:left w:val="none" w:sz="0" w:space="0" w:color="auto"/>
        <w:bottom w:val="none" w:sz="0" w:space="0" w:color="auto"/>
        <w:right w:val="none" w:sz="0" w:space="0" w:color="auto"/>
      </w:divBdr>
    </w:div>
    <w:div w:id="848176962">
      <w:bodyDiv w:val="1"/>
      <w:marLeft w:val="0"/>
      <w:marRight w:val="0"/>
      <w:marTop w:val="0"/>
      <w:marBottom w:val="0"/>
      <w:divBdr>
        <w:top w:val="none" w:sz="0" w:space="0" w:color="auto"/>
        <w:left w:val="none" w:sz="0" w:space="0" w:color="auto"/>
        <w:bottom w:val="none" w:sz="0" w:space="0" w:color="auto"/>
        <w:right w:val="none" w:sz="0" w:space="0" w:color="auto"/>
      </w:divBdr>
    </w:div>
    <w:div w:id="852718996">
      <w:bodyDiv w:val="1"/>
      <w:marLeft w:val="0"/>
      <w:marRight w:val="0"/>
      <w:marTop w:val="0"/>
      <w:marBottom w:val="0"/>
      <w:divBdr>
        <w:top w:val="none" w:sz="0" w:space="0" w:color="auto"/>
        <w:left w:val="none" w:sz="0" w:space="0" w:color="auto"/>
        <w:bottom w:val="none" w:sz="0" w:space="0" w:color="auto"/>
        <w:right w:val="none" w:sz="0" w:space="0" w:color="auto"/>
      </w:divBdr>
    </w:div>
    <w:div w:id="916668427">
      <w:bodyDiv w:val="1"/>
      <w:marLeft w:val="0"/>
      <w:marRight w:val="0"/>
      <w:marTop w:val="0"/>
      <w:marBottom w:val="0"/>
      <w:divBdr>
        <w:top w:val="none" w:sz="0" w:space="0" w:color="auto"/>
        <w:left w:val="none" w:sz="0" w:space="0" w:color="auto"/>
        <w:bottom w:val="none" w:sz="0" w:space="0" w:color="auto"/>
        <w:right w:val="none" w:sz="0" w:space="0" w:color="auto"/>
      </w:divBdr>
    </w:div>
    <w:div w:id="1139110366">
      <w:bodyDiv w:val="1"/>
      <w:marLeft w:val="0"/>
      <w:marRight w:val="0"/>
      <w:marTop w:val="0"/>
      <w:marBottom w:val="0"/>
      <w:divBdr>
        <w:top w:val="none" w:sz="0" w:space="0" w:color="auto"/>
        <w:left w:val="none" w:sz="0" w:space="0" w:color="auto"/>
        <w:bottom w:val="none" w:sz="0" w:space="0" w:color="auto"/>
        <w:right w:val="none" w:sz="0" w:space="0" w:color="auto"/>
      </w:divBdr>
    </w:div>
    <w:div w:id="1160316862">
      <w:bodyDiv w:val="1"/>
      <w:marLeft w:val="0"/>
      <w:marRight w:val="0"/>
      <w:marTop w:val="0"/>
      <w:marBottom w:val="0"/>
      <w:divBdr>
        <w:top w:val="none" w:sz="0" w:space="0" w:color="auto"/>
        <w:left w:val="none" w:sz="0" w:space="0" w:color="auto"/>
        <w:bottom w:val="none" w:sz="0" w:space="0" w:color="auto"/>
        <w:right w:val="none" w:sz="0" w:space="0" w:color="auto"/>
      </w:divBdr>
    </w:div>
    <w:div w:id="1296253608">
      <w:bodyDiv w:val="1"/>
      <w:marLeft w:val="0"/>
      <w:marRight w:val="0"/>
      <w:marTop w:val="0"/>
      <w:marBottom w:val="0"/>
      <w:divBdr>
        <w:top w:val="none" w:sz="0" w:space="0" w:color="auto"/>
        <w:left w:val="none" w:sz="0" w:space="0" w:color="auto"/>
        <w:bottom w:val="none" w:sz="0" w:space="0" w:color="auto"/>
        <w:right w:val="none" w:sz="0" w:space="0" w:color="auto"/>
      </w:divBdr>
    </w:div>
    <w:div w:id="1301958158">
      <w:bodyDiv w:val="1"/>
      <w:marLeft w:val="0"/>
      <w:marRight w:val="0"/>
      <w:marTop w:val="0"/>
      <w:marBottom w:val="0"/>
      <w:divBdr>
        <w:top w:val="none" w:sz="0" w:space="0" w:color="auto"/>
        <w:left w:val="none" w:sz="0" w:space="0" w:color="auto"/>
        <w:bottom w:val="none" w:sz="0" w:space="0" w:color="auto"/>
        <w:right w:val="none" w:sz="0" w:space="0" w:color="auto"/>
      </w:divBdr>
    </w:div>
    <w:div w:id="1638097924">
      <w:bodyDiv w:val="1"/>
      <w:marLeft w:val="0"/>
      <w:marRight w:val="0"/>
      <w:marTop w:val="0"/>
      <w:marBottom w:val="0"/>
      <w:divBdr>
        <w:top w:val="none" w:sz="0" w:space="0" w:color="auto"/>
        <w:left w:val="none" w:sz="0" w:space="0" w:color="auto"/>
        <w:bottom w:val="none" w:sz="0" w:space="0" w:color="auto"/>
        <w:right w:val="none" w:sz="0" w:space="0" w:color="auto"/>
      </w:divBdr>
    </w:div>
    <w:div w:id="1739282090">
      <w:bodyDiv w:val="1"/>
      <w:marLeft w:val="0"/>
      <w:marRight w:val="0"/>
      <w:marTop w:val="0"/>
      <w:marBottom w:val="0"/>
      <w:divBdr>
        <w:top w:val="none" w:sz="0" w:space="0" w:color="auto"/>
        <w:left w:val="none" w:sz="0" w:space="0" w:color="auto"/>
        <w:bottom w:val="none" w:sz="0" w:space="0" w:color="auto"/>
        <w:right w:val="none" w:sz="0" w:space="0" w:color="auto"/>
      </w:divBdr>
    </w:div>
    <w:div w:id="1747342678">
      <w:bodyDiv w:val="1"/>
      <w:marLeft w:val="0"/>
      <w:marRight w:val="0"/>
      <w:marTop w:val="0"/>
      <w:marBottom w:val="0"/>
      <w:divBdr>
        <w:top w:val="none" w:sz="0" w:space="0" w:color="auto"/>
        <w:left w:val="none" w:sz="0" w:space="0" w:color="auto"/>
        <w:bottom w:val="none" w:sz="0" w:space="0" w:color="auto"/>
        <w:right w:val="none" w:sz="0" w:space="0" w:color="auto"/>
      </w:divBdr>
    </w:div>
    <w:div w:id="1800224461">
      <w:bodyDiv w:val="1"/>
      <w:marLeft w:val="0"/>
      <w:marRight w:val="0"/>
      <w:marTop w:val="0"/>
      <w:marBottom w:val="0"/>
      <w:divBdr>
        <w:top w:val="none" w:sz="0" w:space="0" w:color="auto"/>
        <w:left w:val="none" w:sz="0" w:space="0" w:color="auto"/>
        <w:bottom w:val="none" w:sz="0" w:space="0" w:color="auto"/>
        <w:right w:val="none" w:sz="0" w:space="0" w:color="auto"/>
      </w:divBdr>
    </w:div>
    <w:div w:id="1869639335">
      <w:bodyDiv w:val="1"/>
      <w:marLeft w:val="0"/>
      <w:marRight w:val="0"/>
      <w:marTop w:val="0"/>
      <w:marBottom w:val="0"/>
      <w:divBdr>
        <w:top w:val="none" w:sz="0" w:space="0" w:color="auto"/>
        <w:left w:val="none" w:sz="0" w:space="0" w:color="auto"/>
        <w:bottom w:val="none" w:sz="0" w:space="0" w:color="auto"/>
        <w:right w:val="none" w:sz="0" w:space="0" w:color="auto"/>
      </w:divBdr>
    </w:div>
    <w:div w:id="1875844295">
      <w:bodyDiv w:val="1"/>
      <w:marLeft w:val="0"/>
      <w:marRight w:val="0"/>
      <w:marTop w:val="0"/>
      <w:marBottom w:val="0"/>
      <w:divBdr>
        <w:top w:val="none" w:sz="0" w:space="0" w:color="auto"/>
        <w:left w:val="none" w:sz="0" w:space="0" w:color="auto"/>
        <w:bottom w:val="none" w:sz="0" w:space="0" w:color="auto"/>
        <w:right w:val="none" w:sz="0" w:space="0" w:color="auto"/>
      </w:divBdr>
    </w:div>
    <w:div w:id="1968199645">
      <w:bodyDiv w:val="1"/>
      <w:marLeft w:val="0"/>
      <w:marRight w:val="0"/>
      <w:marTop w:val="0"/>
      <w:marBottom w:val="0"/>
      <w:divBdr>
        <w:top w:val="none" w:sz="0" w:space="0" w:color="auto"/>
        <w:left w:val="none" w:sz="0" w:space="0" w:color="auto"/>
        <w:bottom w:val="none" w:sz="0" w:space="0" w:color="auto"/>
        <w:right w:val="none" w:sz="0" w:space="0" w:color="auto"/>
      </w:divBdr>
    </w:div>
    <w:div w:id="2003508935">
      <w:bodyDiv w:val="1"/>
      <w:marLeft w:val="0"/>
      <w:marRight w:val="0"/>
      <w:marTop w:val="0"/>
      <w:marBottom w:val="0"/>
      <w:divBdr>
        <w:top w:val="none" w:sz="0" w:space="0" w:color="auto"/>
        <w:left w:val="none" w:sz="0" w:space="0" w:color="auto"/>
        <w:bottom w:val="none" w:sz="0" w:space="0" w:color="auto"/>
        <w:right w:val="none" w:sz="0" w:space="0" w:color="auto"/>
      </w:divBdr>
    </w:div>
    <w:div w:id="2095857161">
      <w:bodyDiv w:val="1"/>
      <w:marLeft w:val="0"/>
      <w:marRight w:val="0"/>
      <w:marTop w:val="0"/>
      <w:marBottom w:val="0"/>
      <w:divBdr>
        <w:top w:val="none" w:sz="0" w:space="0" w:color="auto"/>
        <w:left w:val="none" w:sz="0" w:space="0" w:color="auto"/>
        <w:bottom w:val="none" w:sz="0" w:space="0" w:color="auto"/>
        <w:right w:val="none" w:sz="0" w:space="0" w:color="auto"/>
      </w:divBdr>
    </w:div>
    <w:div w:id="212777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8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04092A-ACFA-4339-85EA-AAE65F961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具有重要生态或生物意义的海洋区域</vt:lpstr>
    </vt:vector>
  </TitlesOfParts>
  <Manager/>
  <Company/>
  <LinksUpToDate>false</LinksUpToDate>
  <CharactersWithSpaces>2969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具有重要生态或生物意义的海洋区域</dc:title>
  <dc:subject>.9</dc:subject>
  <dc:creator/>
  <cp:keywords>科学、技术和工艺咨询附属机构</cp:keywords>
  <cp:lastModifiedBy/>
  <cp:revision>1</cp:revision>
  <dcterms:created xsi:type="dcterms:W3CDTF">2022-05-11T00:03:00Z</dcterms:created>
  <dcterms:modified xsi:type="dcterms:W3CDTF">2022-05-11T00:09:00Z</dcterms:modified>
  <cp:contentStatus/>
</cp:coreProperties>
</file>