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469"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6"/>
        <w:gridCol w:w="3887"/>
        <w:gridCol w:w="5477"/>
      </w:tblGrid>
      <w:tr w:rsidR="00A96B21" w:rsidRPr="00812DE7" w14:paraId="27DCE758" w14:textId="77777777" w:rsidTr="00C6050B">
        <w:trPr>
          <w:trHeight w:val="851"/>
        </w:trPr>
        <w:tc>
          <w:tcPr>
            <w:tcW w:w="476" w:type="pct"/>
            <w:tcBorders>
              <w:bottom w:val="single" w:sz="8" w:space="0" w:color="auto"/>
            </w:tcBorders>
            <w:vAlign w:val="bottom"/>
          </w:tcPr>
          <w:p w14:paraId="74BD89E1" w14:textId="77777777" w:rsidR="00A96B21" w:rsidRPr="00812DE7" w:rsidRDefault="00A96B21" w:rsidP="00232A53">
            <w:pPr>
              <w:spacing w:after="120"/>
              <w:jc w:val="left"/>
            </w:pPr>
            <w:bookmarkStart w:id="0" w:name="_Hlk137651738"/>
            <w:r>
              <w:rPr>
                <w:noProof/>
              </w:rPr>
              <w:drawing>
                <wp:inline distT="0" distB="0" distL="0" distR="0" wp14:anchorId="769D5D65" wp14:editId="0E14D11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77" w:type="pct"/>
            <w:tcBorders>
              <w:bottom w:val="single" w:sz="8" w:space="0" w:color="auto"/>
            </w:tcBorders>
            <w:shd w:val="clear" w:color="auto" w:fill="auto"/>
            <w:tcFitText/>
            <w:vAlign w:val="bottom"/>
          </w:tcPr>
          <w:p w14:paraId="265F79F2" w14:textId="348B442C" w:rsidR="00A96B21" w:rsidRPr="00812DE7" w:rsidRDefault="00E634E7" w:rsidP="00232A53">
            <w:pPr>
              <w:spacing w:after="120"/>
              <w:jc w:val="left"/>
            </w:pPr>
            <w:r w:rsidRPr="00E634E7">
              <w:rPr>
                <w:noProof/>
              </w:rPr>
              <w:drawing>
                <wp:inline distT="0" distB="0" distL="0" distR="0" wp14:anchorId="5DC315DD" wp14:editId="1DD0EBD5">
                  <wp:extent cx="611015" cy="349151"/>
                  <wp:effectExtent l="0" t="0" r="0" b="0"/>
                  <wp:docPr id="1519622504"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22504" name="Imagen 1" descr="Forma&#10;&#10;Descripción generada automáticamente con confianza media"/>
                          <pic:cNvPicPr/>
                        </pic:nvPicPr>
                        <pic:blipFill>
                          <a:blip r:embed="rId16"/>
                          <a:stretch>
                            <a:fillRect/>
                          </a:stretch>
                        </pic:blipFill>
                        <pic:spPr>
                          <a:xfrm>
                            <a:off x="0" y="0"/>
                            <a:ext cx="611015" cy="349151"/>
                          </a:xfrm>
                          <a:prstGeom prst="rect">
                            <a:avLst/>
                          </a:prstGeom>
                        </pic:spPr>
                      </pic:pic>
                    </a:graphicData>
                  </a:graphic>
                </wp:inline>
              </w:drawing>
            </w:r>
          </w:p>
        </w:tc>
        <w:tc>
          <w:tcPr>
            <w:tcW w:w="2646" w:type="pct"/>
            <w:tcBorders>
              <w:bottom w:val="single" w:sz="8" w:space="0" w:color="auto"/>
            </w:tcBorders>
            <w:vAlign w:val="bottom"/>
          </w:tcPr>
          <w:p w14:paraId="37D60079" w14:textId="66124450" w:rsidR="00A96B21" w:rsidRPr="00812DE7" w:rsidRDefault="00A96B21" w:rsidP="00184909">
            <w:pPr>
              <w:spacing w:after="120"/>
              <w:ind w:left="2021"/>
              <w:jc w:val="right"/>
              <w:rPr>
                <w:szCs w:val="22"/>
              </w:rPr>
            </w:pPr>
            <w:r>
              <w:rPr>
                <w:sz w:val="40"/>
              </w:rPr>
              <w:t>CBD</w:t>
            </w:r>
            <w:r>
              <w:t>/SBSTTA/REC/25/2</w:t>
            </w:r>
          </w:p>
        </w:tc>
      </w:tr>
      <w:tr w:rsidR="00A96B21" w:rsidRPr="00812DE7" w14:paraId="570D7823" w14:textId="77777777" w:rsidTr="00C6050B">
        <w:tc>
          <w:tcPr>
            <w:tcW w:w="2354" w:type="pct"/>
            <w:gridSpan w:val="2"/>
            <w:tcBorders>
              <w:top w:val="single" w:sz="8" w:space="0" w:color="auto"/>
              <w:bottom w:val="single" w:sz="12" w:space="0" w:color="auto"/>
            </w:tcBorders>
          </w:tcPr>
          <w:p w14:paraId="60A3D616" w14:textId="60A057E0" w:rsidR="00A96B21" w:rsidRPr="00812DE7" w:rsidRDefault="00E634E7" w:rsidP="00232A53">
            <w:pPr>
              <w:pStyle w:val="Cornernotation"/>
              <w:suppressLineNumbers/>
              <w:suppressAutoHyphens/>
              <w:spacing w:before="120" w:after="120"/>
              <w:ind w:right="0"/>
            </w:pPr>
            <w:r>
              <w:rPr>
                <w:noProof/>
              </w:rPr>
              <w:drawing>
                <wp:inline distT="0" distB="0" distL="0" distR="0" wp14:anchorId="02580398" wp14:editId="1A862CF9">
                  <wp:extent cx="2901948" cy="1066892"/>
                  <wp:effectExtent l="0" t="0" r="0" b="0"/>
                  <wp:docPr id="29420454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04542" name="Imagen 2" descr="Interfaz de usuario gráfica, Texto, Aplicación&#10;&#10;Descripción generada automáticamente"/>
                          <pic:cNvPicPr/>
                        </pic:nvPicPr>
                        <pic:blipFill>
                          <a:blip r:embed="rId17"/>
                          <a:stretch>
                            <a:fillRect/>
                          </a:stretch>
                        </pic:blipFill>
                        <pic:spPr>
                          <a:xfrm>
                            <a:off x="0" y="0"/>
                            <a:ext cx="2901948" cy="1066892"/>
                          </a:xfrm>
                          <a:prstGeom prst="rect">
                            <a:avLst/>
                          </a:prstGeom>
                        </pic:spPr>
                      </pic:pic>
                    </a:graphicData>
                  </a:graphic>
                </wp:inline>
              </w:drawing>
            </w:r>
          </w:p>
        </w:tc>
        <w:tc>
          <w:tcPr>
            <w:tcW w:w="2646" w:type="pct"/>
            <w:tcBorders>
              <w:top w:val="single" w:sz="8" w:space="0" w:color="auto"/>
              <w:bottom w:val="single" w:sz="12" w:space="0" w:color="auto"/>
            </w:tcBorders>
          </w:tcPr>
          <w:p w14:paraId="0858EFE6" w14:textId="65D398C3" w:rsidR="00A96B21" w:rsidRPr="00812DE7" w:rsidRDefault="00A96B21" w:rsidP="003C6F10">
            <w:pPr>
              <w:ind w:left="2584"/>
              <w:rPr>
                <w:szCs w:val="22"/>
              </w:rPr>
            </w:pPr>
            <w:r>
              <w:t xml:space="preserve">Distr. </w:t>
            </w:r>
            <w:r w:rsidRPr="000D4801">
              <w:rPr>
                <w:caps/>
              </w:rPr>
              <w:t>g</w:t>
            </w:r>
            <w:r>
              <w:t>eneral</w:t>
            </w:r>
          </w:p>
          <w:p w14:paraId="56F7FF3A" w14:textId="518C284A" w:rsidR="00A96B21" w:rsidRPr="00812DE7" w:rsidRDefault="00E96D26" w:rsidP="003C6F10">
            <w:pPr>
              <w:ind w:left="2584"/>
              <w:rPr>
                <w:szCs w:val="22"/>
              </w:rPr>
            </w:pPr>
            <w:r>
              <w:t>18 de octubre de 2023</w:t>
            </w:r>
          </w:p>
          <w:p w14:paraId="03074883" w14:textId="77777777" w:rsidR="00A96B21" w:rsidRPr="00812DE7" w:rsidRDefault="00A96B21" w:rsidP="003C6F10">
            <w:pPr>
              <w:ind w:left="2584"/>
              <w:rPr>
                <w:szCs w:val="22"/>
              </w:rPr>
            </w:pPr>
          </w:p>
          <w:p w14:paraId="7D4091E4" w14:textId="77777777" w:rsidR="00E634E7" w:rsidRDefault="00A96B21" w:rsidP="003C6F10">
            <w:pPr>
              <w:ind w:left="2584"/>
            </w:pPr>
            <w:r>
              <w:t>Español</w:t>
            </w:r>
          </w:p>
          <w:p w14:paraId="49758768" w14:textId="20F54ABA" w:rsidR="00A96B21" w:rsidRPr="00812DE7" w:rsidRDefault="00A96B21" w:rsidP="003C6F10">
            <w:pPr>
              <w:ind w:left="2584"/>
              <w:rPr>
                <w:szCs w:val="22"/>
              </w:rPr>
            </w:pPr>
            <w:r>
              <w:t>Original: inglés</w:t>
            </w:r>
          </w:p>
          <w:p w14:paraId="3CD87501" w14:textId="77777777" w:rsidR="00A96B21" w:rsidRPr="00812DE7" w:rsidRDefault="00A96B21" w:rsidP="00232A53"/>
        </w:tc>
      </w:tr>
    </w:tbl>
    <w:p w14:paraId="3AC6A936" w14:textId="77777777" w:rsidR="00874541" w:rsidRPr="00812DE7" w:rsidRDefault="00BF60B0" w:rsidP="00C6050B">
      <w:pPr>
        <w:pStyle w:val="Cornernotation"/>
        <w:ind w:right="5351"/>
        <w:rPr>
          <w:bCs/>
        </w:rPr>
      </w:pPr>
      <w:r>
        <w:t>Órgano Subsidiario de Asesoramiento Científico, Técnico y Tecnológico</w:t>
      </w:r>
    </w:p>
    <w:p w14:paraId="725655EE" w14:textId="77777777" w:rsidR="00A96B21" w:rsidRPr="00812DE7" w:rsidRDefault="00D163F5" w:rsidP="00A96B21">
      <w:pPr>
        <w:pStyle w:val="Cornernotation"/>
        <w:rPr>
          <w:bCs/>
          <w:sz w:val="22"/>
          <w:szCs w:val="22"/>
        </w:rPr>
      </w:pPr>
      <w:r>
        <w:rPr>
          <w:sz w:val="22"/>
        </w:rPr>
        <w:t xml:space="preserve">25ª reunión </w:t>
      </w:r>
    </w:p>
    <w:p w14:paraId="752B7914" w14:textId="1C556917" w:rsidR="00A96B21" w:rsidRPr="00812DE7" w:rsidRDefault="00435A96" w:rsidP="00A96B21">
      <w:pPr>
        <w:pStyle w:val="Venuedate"/>
      </w:pPr>
      <w:r>
        <w:t>Nairobi, 15 a 19</w:t>
      </w:r>
      <w:r w:rsidR="002E07B6">
        <w:t> </w:t>
      </w:r>
      <w:r>
        <w:t>de octubre de 2023</w:t>
      </w:r>
    </w:p>
    <w:p w14:paraId="1FD0EA94" w14:textId="1C1350E7" w:rsidR="00A96B21" w:rsidRPr="00812DE7" w:rsidRDefault="000E334A" w:rsidP="00A96B21">
      <w:pPr>
        <w:pStyle w:val="Cornernotation-Item"/>
        <w:rPr>
          <w:b w:val="0"/>
          <w:bCs w:val="0"/>
        </w:rPr>
      </w:pPr>
      <w:r>
        <w:rPr>
          <w:b w:val="0"/>
        </w:rPr>
        <w:t>Tema</w:t>
      </w:r>
      <w:r w:rsidR="00E634E7">
        <w:rPr>
          <w:b w:val="0"/>
        </w:rPr>
        <w:t> </w:t>
      </w:r>
      <w:r>
        <w:rPr>
          <w:b w:val="0"/>
        </w:rPr>
        <w:t>3 b) del programa</w:t>
      </w:r>
    </w:p>
    <w:p w14:paraId="2CC4026A" w14:textId="2BB38F47" w:rsidR="00A96B21" w:rsidRPr="00812DE7" w:rsidRDefault="00650772" w:rsidP="00C6050B">
      <w:pPr>
        <w:pStyle w:val="Cornernotation-Item"/>
        <w:ind w:left="0" w:right="3125" w:firstLine="0"/>
      </w:pPr>
      <w:r>
        <w:t>Facilitación de la implementación del Marco Mundial de Biodiversidad de Kunming</w:t>
      </w:r>
      <w:r w:rsidR="00E634E7">
        <w:noBreakHyphen/>
      </w:r>
      <w:r>
        <w:t>Montreal y seguimiento de los progresos realizados: mecanismos para la planificación, el seguimiento, la presentación de informes y la revisión</w:t>
      </w:r>
    </w:p>
    <w:p w14:paraId="0A14596A" w14:textId="230973FF" w:rsidR="00390C24" w:rsidRPr="00812DE7" w:rsidRDefault="00390C24" w:rsidP="00C6050B">
      <w:pPr>
        <w:pStyle w:val="Title"/>
        <w:jc w:val="left"/>
      </w:pPr>
      <w:r>
        <w:t>Recomendación adoptada por el Órgano Subsidiario de Asesoramiento Científico, Técnico y Tecnológico el 19 de octubre de 2023</w:t>
      </w:r>
    </w:p>
    <w:bookmarkEnd w:id="0"/>
    <w:p w14:paraId="3FF931E1" w14:textId="464A0941" w:rsidR="00021F15" w:rsidRPr="00812DE7" w:rsidRDefault="00BC0F23" w:rsidP="006913E8">
      <w:pPr>
        <w:pStyle w:val="CBD-title-recommendationdecision"/>
        <w:tabs>
          <w:tab w:val="left" w:pos="1985"/>
        </w:tabs>
        <w:ind w:left="1418" w:hanging="851"/>
      </w:pPr>
      <w:r>
        <w:t>25/2.</w:t>
      </w:r>
      <w:r>
        <w:tab/>
        <w:t>Aportaciones científicas, técnicas y tecnológicas pertinentes que deberían brindar información para la revisión mundial de los progresos colectivos en la implementación del Marco Mundial de Biodiversidad de Kunming</w:t>
      </w:r>
      <w:r w:rsidR="00E634E7">
        <w:noBreakHyphen/>
      </w:r>
      <w:r>
        <w:t>Montreal</w:t>
      </w:r>
    </w:p>
    <w:p w14:paraId="48AA20CE" w14:textId="48C8F8AB" w:rsidR="002E6BA2" w:rsidRPr="00812DE7" w:rsidRDefault="002E6BA2" w:rsidP="00792BE3">
      <w:pPr>
        <w:keepNext/>
        <w:suppressLineNumbers/>
        <w:suppressAutoHyphens/>
        <w:kinsoku w:val="0"/>
        <w:overflowPunct w:val="0"/>
        <w:autoSpaceDE w:val="0"/>
        <w:autoSpaceDN w:val="0"/>
        <w:adjustRightInd w:val="0"/>
        <w:snapToGrid w:val="0"/>
        <w:spacing w:before="120" w:after="120"/>
        <w:ind w:left="720" w:firstLine="450"/>
        <w:rPr>
          <w:i/>
          <w:snapToGrid w:val="0"/>
          <w:kern w:val="22"/>
          <w:szCs w:val="22"/>
        </w:rPr>
      </w:pPr>
      <w:r>
        <w:rPr>
          <w:i/>
          <w:snapToGrid w:val="0"/>
        </w:rPr>
        <w:t>El Órgano Subsidiario de Asesoramiento Científico, Técnico y Tecnológico</w:t>
      </w:r>
    </w:p>
    <w:p w14:paraId="6CBC2DBC" w14:textId="5A4CD94A" w:rsidR="007C2B57" w:rsidRPr="00812DE7" w:rsidRDefault="004F565C" w:rsidP="00D34184">
      <w:pPr>
        <w:suppressLineNumbers/>
        <w:tabs>
          <w:tab w:val="left" w:pos="1800"/>
        </w:tabs>
        <w:suppressAutoHyphens/>
        <w:kinsoku w:val="0"/>
        <w:overflowPunct w:val="0"/>
        <w:autoSpaceDE w:val="0"/>
        <w:autoSpaceDN w:val="0"/>
        <w:adjustRightInd w:val="0"/>
        <w:snapToGrid w:val="0"/>
        <w:spacing w:before="120" w:after="120"/>
        <w:ind w:left="540" w:firstLine="594"/>
      </w:pPr>
      <w:r>
        <w:t>1.</w:t>
      </w:r>
      <w:r>
        <w:rPr>
          <w:i/>
        </w:rPr>
        <w:tab/>
        <w:t xml:space="preserve">Decide </w:t>
      </w:r>
      <w:r>
        <w:t>facilitar al</w:t>
      </w:r>
      <w:r>
        <w:rPr>
          <w:i/>
        </w:rPr>
        <w:t xml:space="preserve"> </w:t>
      </w:r>
      <w:r>
        <w:t>Órgano Subsidiario sobre la Aplicación, para su oportuno examen, los elementos de un proyecto de decisión, que se expone a continuación, relativo a los procedimientos concretos para la revisión mundial de los progresos colectivos en la implementación del Marco Mundial de Biodiversidad de Kunming</w:t>
      </w:r>
      <w:r w:rsidR="00E634E7">
        <w:noBreakHyphen/>
      </w:r>
      <w:r>
        <w:t>Montreal, que se ha de presentar a la Conferencia de las Partes para que lo considere en su 16ª reunión;</w:t>
      </w:r>
    </w:p>
    <w:p w14:paraId="33593365" w14:textId="49F6AF24" w:rsidR="004F565C" w:rsidRPr="00812DE7" w:rsidRDefault="004F565C" w:rsidP="00D34184">
      <w:pPr>
        <w:suppressLineNumbers/>
        <w:tabs>
          <w:tab w:val="left" w:pos="1800"/>
        </w:tabs>
        <w:suppressAutoHyphens/>
        <w:kinsoku w:val="0"/>
        <w:overflowPunct w:val="0"/>
        <w:autoSpaceDE w:val="0"/>
        <w:autoSpaceDN w:val="0"/>
        <w:adjustRightInd w:val="0"/>
        <w:snapToGrid w:val="0"/>
        <w:spacing w:before="120" w:after="120"/>
        <w:ind w:left="540" w:firstLine="594"/>
      </w:pPr>
      <w:r>
        <w:t>2.</w:t>
      </w:r>
      <w:r>
        <w:rPr>
          <w:i/>
        </w:rPr>
        <w:tab/>
        <w:t>Pide</w:t>
      </w:r>
      <w:r>
        <w:t xml:space="preserve"> al Secretario Ejecutivo que tenga en cuenta las opiniones expresadas por las Partes durante el período entre reuniones, incluidas aquellas de la 25ª reunión del Órgano Subsidiario de Asesoramiento Científico, Técnico y Tecnológico, al preparar el documento anterior al período de sesiones relativo al proceso y los procedimientos concretos para la revisión mundial de los progresos colectivos en la implementación del Marco, para su consideración por el Órgano Subsidiario sobre la Aplicación en su 4ª reunión;</w:t>
      </w:r>
    </w:p>
    <w:p w14:paraId="0A33795D" w14:textId="77777777" w:rsidR="007C2B57" w:rsidRPr="00812DE7" w:rsidRDefault="007C2B57" w:rsidP="00D34184">
      <w:pPr>
        <w:suppressLineNumbers/>
        <w:suppressAutoHyphens/>
        <w:kinsoku w:val="0"/>
        <w:overflowPunct w:val="0"/>
        <w:autoSpaceDE w:val="0"/>
        <w:autoSpaceDN w:val="0"/>
        <w:adjustRightInd w:val="0"/>
        <w:snapToGrid w:val="0"/>
        <w:spacing w:before="120" w:after="120"/>
        <w:ind w:left="720" w:firstLine="630"/>
        <w:rPr>
          <w:i/>
          <w:snapToGrid w:val="0"/>
          <w:kern w:val="22"/>
          <w:szCs w:val="22"/>
        </w:rPr>
      </w:pPr>
      <w:r>
        <w:rPr>
          <w:i/>
          <w:snapToGrid w:val="0"/>
        </w:rPr>
        <w:t>La Conferencia de las Partes</w:t>
      </w:r>
      <w:r>
        <w:rPr>
          <w:snapToGrid w:val="0"/>
        </w:rPr>
        <w:t>,</w:t>
      </w:r>
    </w:p>
    <w:p w14:paraId="73C3A632" w14:textId="477F7397" w:rsidR="007C2B57" w:rsidRPr="00812DE7" w:rsidRDefault="007C2B57" w:rsidP="00D34184">
      <w:pPr>
        <w:suppressLineNumbers/>
        <w:suppressAutoHyphens/>
        <w:kinsoku w:val="0"/>
        <w:overflowPunct w:val="0"/>
        <w:autoSpaceDE w:val="0"/>
        <w:autoSpaceDN w:val="0"/>
        <w:adjustRightInd w:val="0"/>
        <w:snapToGrid w:val="0"/>
        <w:spacing w:before="120" w:after="120"/>
        <w:ind w:left="1134" w:firstLine="567"/>
      </w:pPr>
      <w:r>
        <w:rPr>
          <w:i/>
        </w:rPr>
        <w:t xml:space="preserve">Recordando </w:t>
      </w:r>
      <w:r>
        <w:t>sus decisiones </w:t>
      </w:r>
      <w:hyperlink r:id="rId18" w:history="1">
        <w:r>
          <w:rPr>
            <w:rStyle w:val="Hyperlink"/>
            <w:sz w:val="22"/>
          </w:rPr>
          <w:t>VI/25</w:t>
        </w:r>
      </w:hyperlink>
      <w:r>
        <w:t xml:space="preserve">, de 19 de abril de 2002, </w:t>
      </w:r>
      <w:hyperlink r:id="rId19" w:history="1">
        <w:r>
          <w:rPr>
            <w:rStyle w:val="Hyperlink"/>
            <w:sz w:val="22"/>
          </w:rPr>
          <w:t>VIII/7</w:t>
        </w:r>
      </w:hyperlink>
      <w:r>
        <w:t xml:space="preserve">, de 31 de marzo de 2006, </w:t>
      </w:r>
      <w:hyperlink r:id="rId20" w:history="1">
        <w:r>
          <w:rPr>
            <w:rStyle w:val="Hyperlink"/>
            <w:sz w:val="22"/>
          </w:rPr>
          <w:t>X/4</w:t>
        </w:r>
      </w:hyperlink>
      <w:r>
        <w:t xml:space="preserve">, de 29 de octubre de 2010, </w:t>
      </w:r>
      <w:hyperlink r:id="rId21" w:history="1">
        <w:r>
          <w:rPr>
            <w:rStyle w:val="Hyperlink"/>
            <w:sz w:val="22"/>
          </w:rPr>
          <w:t>XII/2</w:t>
        </w:r>
      </w:hyperlink>
      <w:r>
        <w:t xml:space="preserve">, de 17 de octubre de 2014, y </w:t>
      </w:r>
      <w:hyperlink r:id="rId22" w:history="1">
        <w:r>
          <w:rPr>
            <w:rStyle w:val="Hyperlink"/>
            <w:sz w:val="22"/>
          </w:rPr>
          <w:t>15/3</w:t>
        </w:r>
      </w:hyperlink>
      <w:r>
        <w:t xml:space="preserve">, de 10 de diciembre de 2022, relativas a las conclusiones de las cinco ediciones del informe </w:t>
      </w:r>
      <w:r>
        <w:rPr>
          <w:i/>
        </w:rPr>
        <w:t>Perspectiva Mundial sobre la Diversidad Biológica</w:t>
      </w:r>
      <w:r>
        <w:t xml:space="preserve"> y las dos ediciones del informe </w:t>
      </w:r>
      <w:r>
        <w:rPr>
          <w:i/>
        </w:rPr>
        <w:t>Perspectivas Locales sobre la Diversidad Biológica</w:t>
      </w:r>
      <w:r>
        <w:t>, así como el valor de esos informes como fuente de información para la Conferencia de las Partes en relación con los progresos realizados en la aplicación del Convenio sobre la Diversidad Biológica</w:t>
      </w:r>
      <w:r w:rsidR="00173120" w:rsidRPr="00C6050B">
        <w:rPr>
          <w:kern w:val="22"/>
          <w:szCs w:val="22"/>
          <w:vertAlign w:val="superscript"/>
        </w:rPr>
        <w:footnoteReference w:id="2"/>
      </w:r>
      <w:r>
        <w:t>,</w:t>
      </w:r>
    </w:p>
    <w:p w14:paraId="33CBBBF5" w14:textId="7770EC28" w:rsidR="007C2B57" w:rsidRPr="00812DE7" w:rsidRDefault="007C2B57" w:rsidP="00D34184">
      <w:pPr>
        <w:pStyle w:val="Para1"/>
        <w:numPr>
          <w:ilvl w:val="0"/>
          <w:numId w:val="0"/>
        </w:numPr>
        <w:suppressLineNumbers/>
        <w:tabs>
          <w:tab w:val="left" w:pos="720"/>
        </w:tabs>
        <w:suppressAutoHyphens/>
        <w:kinsoku w:val="0"/>
        <w:overflowPunct w:val="0"/>
        <w:autoSpaceDE w:val="0"/>
        <w:autoSpaceDN w:val="0"/>
        <w:adjustRightInd w:val="0"/>
        <w:ind w:left="1134" w:firstLine="567"/>
      </w:pPr>
      <w:r>
        <w:rPr>
          <w:i/>
        </w:rPr>
        <w:lastRenderedPageBreak/>
        <w:t xml:space="preserve">Recalcando </w:t>
      </w:r>
      <w:r>
        <w:t xml:space="preserve">la importancia crucial de las aportaciones científicas, técnicas y tecnológicas, incluidos los conocimientos tradicionales, para todos los elementos de la revisión mundial de los progresos en la implementación del </w:t>
      </w:r>
      <w:bookmarkStart w:id="1" w:name="_Hlk142822277"/>
      <w:r>
        <w:t>Marco Mundial de Biodiversidad de Kunming</w:t>
      </w:r>
      <w:r w:rsidR="00E634E7">
        <w:noBreakHyphen/>
      </w:r>
      <w:r>
        <w:t>Montreal</w:t>
      </w:r>
      <w:bookmarkEnd w:id="1"/>
      <w:r w:rsidR="00CD23B7" w:rsidRPr="00812DE7">
        <w:rPr>
          <w:rStyle w:val="FootnoteReference"/>
          <w:kern w:val="22"/>
          <w:szCs w:val="22"/>
        </w:rPr>
        <w:footnoteReference w:id="3"/>
      </w:r>
      <w:r>
        <w:t>,</w:t>
      </w:r>
    </w:p>
    <w:p w14:paraId="29F68025" w14:textId="2B0FF779" w:rsidR="007C2B57" w:rsidRPr="00812DE7" w:rsidRDefault="007C2B57" w:rsidP="00D34184">
      <w:pPr>
        <w:pStyle w:val="Para1"/>
        <w:numPr>
          <w:ilvl w:val="0"/>
          <w:numId w:val="0"/>
        </w:numPr>
        <w:suppressLineNumbers/>
        <w:tabs>
          <w:tab w:val="left" w:pos="720"/>
        </w:tabs>
        <w:suppressAutoHyphens/>
        <w:kinsoku w:val="0"/>
        <w:overflowPunct w:val="0"/>
        <w:autoSpaceDE w:val="0"/>
        <w:autoSpaceDN w:val="0"/>
        <w:adjustRightInd w:val="0"/>
        <w:ind w:left="1134" w:firstLine="567"/>
      </w:pPr>
      <w:r>
        <w:rPr>
          <w:i/>
        </w:rPr>
        <w:t xml:space="preserve">Reconociendo </w:t>
      </w:r>
      <w:r>
        <w:t xml:space="preserve">las contribuciones de la </w:t>
      </w:r>
      <w:bookmarkStart w:id="2" w:name="_Hlk144199315"/>
      <w:r>
        <w:t>Plataforma Intergubernamental Científico</w:t>
      </w:r>
      <w:r w:rsidR="00E634E7">
        <w:noBreakHyphen/>
      </w:r>
      <w:r>
        <w:t>Normativa sobre Diversidad Biológica y Servicios de los Ecosistemas</w:t>
      </w:r>
      <w:bookmarkEnd w:id="2"/>
      <w:r>
        <w:t xml:space="preserve"> y el Grupo Intergubernamental de Expertos sobre el Cambio Climático, así como la función del Órgano Subsidiario de Asesoramiento Científico, Técnico y Tecnológico en el examen de sus conclusiones, [y señalando la función del informe </w:t>
      </w:r>
      <w:r>
        <w:rPr>
          <w:i/>
        </w:rPr>
        <w:t xml:space="preserve">Perspectivas del Medio Ambiente Mundial </w:t>
      </w:r>
      <w:r>
        <w:t>y otras evaluaciones científicas técnicas internacionales importantes para mejorar los conocimientos y la información sobre la diversidad biológica mundial,]</w:t>
      </w:r>
    </w:p>
    <w:p w14:paraId="1B49B9E6" w14:textId="5B31912E" w:rsidR="00DF3DD0" w:rsidRPr="00812DE7" w:rsidRDefault="007C2B57" w:rsidP="00D34184">
      <w:pPr>
        <w:suppressLineNumbers/>
        <w:suppressAutoHyphens/>
        <w:adjustRightInd w:val="0"/>
        <w:snapToGrid w:val="0"/>
        <w:spacing w:before="120" w:after="120"/>
        <w:ind w:left="1134" w:firstLine="567"/>
        <w:rPr>
          <w:rFonts w:asciiTheme="majorBidi" w:hAnsiTheme="majorBidi"/>
          <w:color w:val="000000" w:themeColor="text1"/>
        </w:rPr>
      </w:pPr>
      <w:r>
        <w:rPr>
          <w:rFonts w:asciiTheme="majorBidi" w:hAnsiTheme="majorBidi"/>
          <w:i/>
          <w:color w:val="000000" w:themeColor="text1"/>
        </w:rPr>
        <w:t>Reconociendo asimismo</w:t>
      </w:r>
      <w:r>
        <w:rPr>
          <w:rFonts w:asciiTheme="majorBidi" w:hAnsiTheme="majorBidi"/>
          <w:color w:val="000000" w:themeColor="text1"/>
        </w:rPr>
        <w:t xml:space="preserve"> la función del Órgano Subsidiario de Asesoramiento Científico, Técnico y Tecnológico a la hora de proporcionar asesoramiento sobre cuestiones científicas, técnicas y tecnológicas pertinentes, incluidos conocimientos tradicionales, para la revisión mundial de los progresos colectivos en la implementación del Marco,</w:t>
      </w:r>
    </w:p>
    <w:p w14:paraId="08E16742" w14:textId="7B6D20FA" w:rsidR="007E0F63" w:rsidRPr="00812DE7" w:rsidRDefault="00DF3DD0" w:rsidP="00D34184">
      <w:pPr>
        <w:suppressLineNumbers/>
        <w:suppressAutoHyphens/>
        <w:adjustRightInd w:val="0"/>
        <w:snapToGrid w:val="0"/>
        <w:spacing w:before="120" w:after="120"/>
        <w:ind w:left="1134" w:firstLine="567"/>
      </w:pPr>
      <w:r>
        <w:rPr>
          <w:rFonts w:asciiTheme="majorBidi" w:hAnsiTheme="majorBidi"/>
          <w:i/>
          <w:color w:val="000000" w:themeColor="text1"/>
        </w:rPr>
        <w:t>Acogiendo con satisfacción</w:t>
      </w:r>
      <w:r>
        <w:rPr>
          <w:rFonts w:asciiTheme="majorBidi" w:hAnsiTheme="majorBidi"/>
          <w:color w:val="000000" w:themeColor="text1"/>
        </w:rPr>
        <w:t xml:space="preserve"> la decisión adoptada por el Plenario de la Plataforma Intergubernamental Científico</w:t>
      </w:r>
      <w:r w:rsidR="00E634E7">
        <w:rPr>
          <w:rFonts w:asciiTheme="majorBidi" w:hAnsiTheme="majorBidi"/>
          <w:color w:val="000000" w:themeColor="text1"/>
        </w:rPr>
        <w:noBreakHyphen/>
      </w:r>
      <w:r>
        <w:rPr>
          <w:rFonts w:asciiTheme="majorBidi" w:hAnsiTheme="majorBidi"/>
          <w:color w:val="000000" w:themeColor="text1"/>
        </w:rPr>
        <w:t>Normativa sobre Diversidad Biológica y Servicios de los Ecosistemas, en su décimo período de sesiones, de realizar una evaluación metodológica rápida de la vigilancia de la diversidad biológica y las contribuciones de la naturaleza a las personas, para 2026, una evaluación metodológica rápida de la planificación espacial y la conectividad ecológica integradas que tengan en cuenta la diversidad biológica, para 2027, y un proceso de análisis inicial de una segunda evaluación mundial de la diversidad biológica y los servicios de los ecosistemas, para 2024, con miras a producir la segunda evaluación mundial en 2028, como parte del programa de trabajo renovable hasta 2030 de la Plataforma</w:t>
      </w:r>
      <w:r w:rsidRPr="00C6050B">
        <w:rPr>
          <w:rFonts w:asciiTheme="majorBidi" w:eastAsiaTheme="majorEastAsia" w:hAnsiTheme="majorBidi"/>
          <w:snapToGrid w:val="0"/>
          <w:color w:val="000000" w:themeColor="text1"/>
          <w:kern w:val="22"/>
          <w:vertAlign w:val="superscript"/>
        </w:rPr>
        <w:footnoteReference w:id="4"/>
      </w:r>
      <w:r>
        <w:rPr>
          <w:rFonts w:asciiTheme="majorBidi" w:hAnsiTheme="majorBidi"/>
          <w:color w:val="000000" w:themeColor="text1"/>
        </w:rPr>
        <w:t>,</w:t>
      </w:r>
      <w:r>
        <w:rPr>
          <w:rFonts w:asciiTheme="majorBidi" w:hAnsiTheme="majorBidi"/>
          <w:snapToGrid w:val="0"/>
          <w:color w:val="000000" w:themeColor="text1"/>
        </w:rPr>
        <w:t xml:space="preserve"> </w:t>
      </w:r>
    </w:p>
    <w:p w14:paraId="00E839F9" w14:textId="517548DB" w:rsidR="00DF3DD0" w:rsidRPr="00812DE7" w:rsidRDefault="00DF3DD0" w:rsidP="00D34184">
      <w:pPr>
        <w:suppressLineNumbers/>
        <w:suppressAutoHyphens/>
        <w:adjustRightInd w:val="0"/>
        <w:snapToGrid w:val="0"/>
        <w:spacing w:before="120" w:after="120"/>
        <w:ind w:left="1134" w:firstLine="567"/>
        <w:rPr>
          <w:rFonts w:asciiTheme="majorBidi" w:hAnsiTheme="majorBidi" w:cstheme="majorBidi"/>
          <w:color w:val="000000" w:themeColor="text1"/>
        </w:rPr>
      </w:pPr>
      <w:r>
        <w:rPr>
          <w:i/>
        </w:rPr>
        <w:t>Destacando</w:t>
      </w:r>
      <w:r>
        <w:t xml:space="preserve"> la importancia del programa de trabajo renovable hasta 2030 de la Plataforma Intergubernamental Científico</w:t>
      </w:r>
      <w:r w:rsidR="00E634E7">
        <w:noBreakHyphen/>
      </w:r>
      <w:r>
        <w:t>Normativa sobre Diversidad Biológica y Servicios de los Ecosistemas, especialmente en lo que respecta a las evaluaciones publicadas y en curso, para la revisión mundial de los progresos colectivos en la implementación del Marco y, a este respecto, la importancia de la segunda evaluación mundial para la revisión mundial de los progresos colectivos en la implementación del Marco que la Conferencia de las Partes considerará en su 19ª reunión,</w:t>
      </w:r>
    </w:p>
    <w:p w14:paraId="2D74D468" w14:textId="083B403C" w:rsidR="007C2B57" w:rsidRPr="00812DE7" w:rsidRDefault="007E09BA" w:rsidP="00792BE3">
      <w:pPr>
        <w:tabs>
          <w:tab w:val="left" w:pos="1701"/>
        </w:tabs>
        <w:spacing w:before="120" w:after="120"/>
        <w:ind w:left="1134" w:firstLine="567"/>
      </w:pPr>
      <w:r>
        <w:t>1.</w:t>
      </w:r>
      <w:r>
        <w:tab/>
      </w:r>
      <w:r>
        <w:rPr>
          <w:i/>
        </w:rPr>
        <w:t>Decide</w:t>
      </w:r>
      <w:r>
        <w:t xml:space="preserve"> que la </w:t>
      </w:r>
      <w:r>
        <w:rPr>
          <w:snapToGrid w:val="0"/>
        </w:rPr>
        <w:t>revisión mundial de los progresos colectivos en la implementación del Marco Mundial de Biodiversidad de Kunming</w:t>
      </w:r>
      <w:r w:rsidR="00E634E7">
        <w:rPr>
          <w:snapToGrid w:val="0"/>
        </w:rPr>
        <w:noBreakHyphen/>
      </w:r>
      <w:r>
        <w:rPr>
          <w:snapToGrid w:val="0"/>
        </w:rPr>
        <w:t>Montreal será un proceso que comprende varios elementos,</w:t>
      </w:r>
      <w:r>
        <w:t xml:space="preserve"> incluido un</w:t>
      </w:r>
      <w:r>
        <w:rPr>
          <w:snapToGrid w:val="0"/>
        </w:rPr>
        <w:t xml:space="preserve"> informe mundial centrado principalmente en evaluar los progresos en la implementación del Marco, cuya estructura contiene los siguientes elementos</w:t>
      </w:r>
      <w:r>
        <w:t>:</w:t>
      </w:r>
    </w:p>
    <w:p w14:paraId="079C552A" w14:textId="2048F0B0" w:rsidR="007C2B57" w:rsidRPr="00812DE7" w:rsidRDefault="00F1572E" w:rsidP="00792BE3">
      <w:pPr>
        <w:pStyle w:val="ListParagraph"/>
        <w:tabs>
          <w:tab w:val="left" w:pos="2268"/>
        </w:tabs>
        <w:spacing w:before="120" w:after="120"/>
        <w:ind w:left="1080" w:firstLine="621"/>
        <w:contextualSpacing w:val="0"/>
        <w:rPr>
          <w:rFonts w:eastAsiaTheme="minorHAnsi"/>
          <w:iCs/>
          <w:snapToGrid w:val="0"/>
          <w:kern w:val="22"/>
          <w:szCs w:val="20"/>
        </w:rPr>
      </w:pPr>
      <w:r>
        <w:t>a)</w:t>
      </w:r>
      <w:r>
        <w:tab/>
        <w:t>Una introducción al informe y el Marco</w:t>
      </w:r>
      <w:r>
        <w:rPr>
          <w:snapToGrid w:val="0"/>
        </w:rPr>
        <w:t>;</w:t>
      </w:r>
    </w:p>
    <w:p w14:paraId="137BDD30" w14:textId="106759B5" w:rsidR="007C2B57" w:rsidRPr="00812DE7" w:rsidRDefault="00F1572E" w:rsidP="00792BE3">
      <w:pPr>
        <w:pStyle w:val="ListParagraph"/>
        <w:tabs>
          <w:tab w:val="left" w:pos="2268"/>
        </w:tabs>
        <w:spacing w:before="120" w:after="120"/>
        <w:ind w:left="1080" w:firstLine="621"/>
        <w:contextualSpacing w:val="0"/>
        <w:rPr>
          <w:snapToGrid w:val="0"/>
          <w:kern w:val="22"/>
        </w:rPr>
      </w:pPr>
      <w:r>
        <w:t>b)</w:t>
      </w:r>
      <w:r>
        <w:tab/>
        <w:t>Una síntesis científica y técnica concisa del estado y las tendencias de la diversidad biológica;</w:t>
      </w:r>
    </w:p>
    <w:p w14:paraId="11E1455E" w14:textId="625EA9BD" w:rsidR="007C2B57" w:rsidRPr="00812DE7" w:rsidRDefault="00F1572E" w:rsidP="00792BE3">
      <w:pPr>
        <w:pStyle w:val="ListParagraph"/>
        <w:tabs>
          <w:tab w:val="left" w:pos="2268"/>
        </w:tabs>
        <w:spacing w:before="120" w:after="120"/>
        <w:ind w:left="1080" w:firstLine="621"/>
        <w:contextualSpacing w:val="0"/>
        <w:rPr>
          <w:snapToGrid w:val="0"/>
          <w:kern w:val="22"/>
        </w:rPr>
      </w:pPr>
      <w:r>
        <w:t>c)</w:t>
      </w:r>
      <w:r>
        <w:tab/>
        <w:t>Una revisión de los progresos colectivos en la implementación del Marco, incluida una evaluación meta por meta de los progresos realizados hacia la consecución de las 23 metas, la Misión para 2030 y otros elementos del Marco, incluidas las secciones C, I, J y K;</w:t>
      </w:r>
    </w:p>
    <w:p w14:paraId="7D3FF036" w14:textId="4681E47D" w:rsidR="003B2A36" w:rsidRPr="00812DE7" w:rsidRDefault="00F1572E" w:rsidP="00792BE3">
      <w:pPr>
        <w:pStyle w:val="ListParagraph"/>
        <w:tabs>
          <w:tab w:val="left" w:pos="2268"/>
        </w:tabs>
        <w:spacing w:before="120" w:after="120"/>
        <w:ind w:left="1080" w:firstLine="621"/>
        <w:contextualSpacing w:val="0"/>
      </w:pPr>
      <w:r>
        <w:t>d)</w:t>
      </w:r>
      <w:r>
        <w:tab/>
        <w:t>Una sección específica sobre la provisión de medios de implementación coherentes con el Marco;</w:t>
      </w:r>
    </w:p>
    <w:p w14:paraId="0A2EF334" w14:textId="51F1DA6D" w:rsidR="007C2B57" w:rsidRPr="00812DE7" w:rsidRDefault="00823257" w:rsidP="00792BE3">
      <w:pPr>
        <w:pStyle w:val="ListParagraph"/>
        <w:tabs>
          <w:tab w:val="left" w:pos="2268"/>
        </w:tabs>
        <w:spacing w:before="120" w:after="120"/>
        <w:ind w:left="1080" w:firstLine="621"/>
        <w:contextualSpacing w:val="0"/>
        <w:rPr>
          <w:snapToGrid w:val="0"/>
          <w:kern w:val="22"/>
        </w:rPr>
      </w:pPr>
      <w:r>
        <w:t>e)</w:t>
      </w:r>
      <w:r>
        <w:tab/>
        <w:t>Un análisis de los progresos realizados hacia la consecución los objetivos del Marco y la Visión para 2050;</w:t>
      </w:r>
    </w:p>
    <w:p w14:paraId="3EC538E2" w14:textId="65448D36" w:rsidR="00A12080" w:rsidRPr="00812DE7" w:rsidRDefault="00A12080" w:rsidP="00A12080">
      <w:pPr>
        <w:pStyle w:val="ListParagraph"/>
        <w:tabs>
          <w:tab w:val="left" w:pos="2268"/>
        </w:tabs>
        <w:spacing w:before="120" w:after="120"/>
        <w:ind w:left="1080" w:firstLine="621"/>
        <w:contextualSpacing w:val="0"/>
      </w:pPr>
      <w:r>
        <w:lastRenderedPageBreak/>
        <w:t>[f)</w:t>
      </w:r>
      <w:r>
        <w:tab/>
        <w:t xml:space="preserve">Una recopilación concisa de las interrelaciones entre otros acuerdos ambientales multilaterales y el Marco y de las contribuciones de esos acuerdos a la consecución de los Objetivos de Desarrollo Sostenible y a la implementación del Marco; </w:t>
      </w:r>
    </w:p>
    <w:p w14:paraId="5EC7CDAF" w14:textId="13D7ED64" w:rsidR="00D35382" w:rsidRPr="00812DE7" w:rsidRDefault="00823257" w:rsidP="00FA7969">
      <w:pPr>
        <w:pStyle w:val="ListParagraph"/>
        <w:tabs>
          <w:tab w:val="left" w:pos="2268"/>
        </w:tabs>
        <w:spacing w:before="120" w:after="120"/>
        <w:ind w:left="1080" w:firstLine="621"/>
        <w:contextualSpacing w:val="0"/>
        <w:rPr>
          <w:snapToGrid w:val="0"/>
          <w:kern w:val="22"/>
        </w:rPr>
      </w:pPr>
      <w:r>
        <w:rPr>
          <w:snapToGrid w:val="0"/>
        </w:rPr>
        <w:t>g)</w:t>
      </w:r>
      <w:r>
        <w:rPr>
          <w:snapToGrid w:val="0"/>
        </w:rPr>
        <w:tab/>
        <w:t>Una breve recopilación de casos de éxito y mejores prácticas en la implementación del Marco que proporcionen beneficios secundarios para múltiples objetivos sociales, económicos y ambientales;]</w:t>
      </w:r>
    </w:p>
    <w:p w14:paraId="7D6FF9D7" w14:textId="61B8E1AA" w:rsidR="00FA7969" w:rsidRPr="00812DE7" w:rsidRDefault="00FA7969" w:rsidP="00FA7969">
      <w:pPr>
        <w:pStyle w:val="ListParagraph"/>
        <w:tabs>
          <w:tab w:val="left" w:pos="2268"/>
        </w:tabs>
        <w:spacing w:before="120" w:after="120"/>
        <w:ind w:left="1080" w:firstLine="621"/>
        <w:contextualSpacing w:val="0"/>
      </w:pPr>
      <w:r>
        <w:t>[f y g Alt.) Una recopilación de casos de éxito en la implementación del Marco que proporcionen beneficios secundarios para múltiples objetivos sociales, económicos y ambientales, así como para los acuerdos ambientales multilaterales pertinentes y la Agenda 2030 para el Desarrollo Sostenible y sus Objetivos de Desarrollo Sostenible, teniendo en cuenta las diversas circunstancias nacionales y en consonancia con los respectivos mandatos;]</w:t>
      </w:r>
    </w:p>
    <w:p w14:paraId="344A81C8" w14:textId="3512779F" w:rsidR="00AC1C04" w:rsidRPr="00812DE7" w:rsidRDefault="002C4B9C" w:rsidP="00792BE3">
      <w:pPr>
        <w:pStyle w:val="ListParagraph"/>
        <w:tabs>
          <w:tab w:val="left" w:pos="2268"/>
        </w:tabs>
        <w:spacing w:before="120" w:after="120"/>
        <w:ind w:left="1080" w:firstLine="621"/>
        <w:contextualSpacing w:val="0"/>
        <w:rPr>
          <w:iCs/>
          <w:snapToGrid w:val="0"/>
          <w:kern w:val="22"/>
          <w:szCs w:val="20"/>
        </w:rPr>
      </w:pPr>
      <w:r>
        <w:t>[h)</w:t>
      </w:r>
      <w:r>
        <w:tab/>
        <w:t xml:space="preserve">Una conclusión en la que se exploren opciones para subsanar las carencias y dificultades detectadas en la </w:t>
      </w:r>
      <w:proofErr w:type="gramStart"/>
      <w:r>
        <w:t>implementación[</w:t>
      </w:r>
      <w:proofErr w:type="gramEnd"/>
      <w:r>
        <w:t>[, de forma no prescriptiva] [, no intrusiva y no punitiva][, incluido un resumen de las carencias de datos y conocimientos y] [de intervenciones exitosas en materia de políticas para abordar los factores impulsores de pérdida de diversidad biológica]];]</w:t>
      </w:r>
      <w:r w:rsidR="0058624C" w:rsidRPr="00812DE7">
        <w:rPr>
          <w:rStyle w:val="FootnoteReference"/>
        </w:rPr>
        <w:footnoteReference w:id="5"/>
      </w:r>
      <w:r>
        <w:t xml:space="preserve"> </w:t>
      </w:r>
    </w:p>
    <w:p w14:paraId="7ED19A4E" w14:textId="11494005" w:rsidR="009D0ABE" w:rsidRPr="00812DE7" w:rsidRDefault="009D0ABE" w:rsidP="00131E71">
      <w:pPr>
        <w:tabs>
          <w:tab w:val="left" w:pos="1701"/>
        </w:tabs>
        <w:spacing w:before="120" w:after="120"/>
        <w:ind w:left="1134" w:firstLine="567"/>
        <w:rPr>
          <w:i/>
          <w:iCs/>
        </w:rPr>
      </w:pPr>
      <w:r>
        <w:t>2.</w:t>
      </w:r>
      <w:r>
        <w:tab/>
      </w:r>
      <w:r>
        <w:rPr>
          <w:i/>
        </w:rPr>
        <w:t>Decide asimismo</w:t>
      </w:r>
      <w:r>
        <w:t xml:space="preserve"> que los tres objetivos del Convenio deben considerarse en el informe mundial de forma equilibrada, como se indica en el Marco;</w:t>
      </w:r>
    </w:p>
    <w:p w14:paraId="2A9975E3" w14:textId="0CB60F54" w:rsidR="00AC1C04" w:rsidRPr="00812DE7" w:rsidRDefault="00564E3C" w:rsidP="00131E71">
      <w:pPr>
        <w:tabs>
          <w:tab w:val="left" w:pos="1701"/>
        </w:tabs>
        <w:spacing w:before="120" w:after="120"/>
        <w:ind w:left="1134" w:firstLine="567"/>
      </w:pPr>
      <w:r>
        <w:t>[3.</w:t>
      </w:r>
      <w:r>
        <w:tab/>
      </w:r>
      <w:r>
        <w:rPr>
          <w:i/>
        </w:rPr>
        <w:t>Decide además</w:t>
      </w:r>
      <w:r>
        <w:t xml:space="preserve"> que, en todo el informe mundial, se tendrán en cuenta los desafíos específicos que plantea la implementación del </w:t>
      </w:r>
      <w:proofErr w:type="gramStart"/>
      <w:r>
        <w:t>Marco[</w:t>
      </w:r>
      <w:proofErr w:type="gramEnd"/>
      <w:r>
        <w:t>, en particular para los países en desarrollo, los países menos adelantados y los pequeños Estados insulares en desarrollo entre ellos,] [para los países en desarrollo, en particular los países menos adelantados y los pequeños Estados insulares en desarrollo;]</w:t>
      </w:r>
    </w:p>
    <w:p w14:paraId="106C8F78" w14:textId="4C33A3A0" w:rsidR="00D17E98" w:rsidRPr="00812DE7" w:rsidRDefault="001F375E" w:rsidP="00131E71">
      <w:pPr>
        <w:tabs>
          <w:tab w:val="left" w:pos="1701"/>
        </w:tabs>
        <w:spacing w:before="120" w:after="120"/>
        <w:ind w:left="1134" w:firstLine="567"/>
      </w:pPr>
      <w:r>
        <w:rPr>
          <w:snapToGrid w:val="0"/>
        </w:rPr>
        <w:t>4.</w:t>
      </w:r>
      <w:r>
        <w:rPr>
          <w:snapToGrid w:val="0"/>
        </w:rPr>
        <w:tab/>
      </w:r>
      <w:r>
        <w:rPr>
          <w:i/>
        </w:rPr>
        <w:t>Pone de relieve</w:t>
      </w:r>
      <w:r>
        <w:t xml:space="preserve"> que el informe mundial debe basarse en datos e información proporcionada por las Partes y en la mejor información científica, técnica y tecnológica revisada por pares disponible, así como en conocimientos tradicionales a los que se haya tenido acceso con el consentimiento libre, previo e informado de los pueblos indígenas y las comunidades locales;</w:t>
      </w:r>
    </w:p>
    <w:p w14:paraId="7304DA16" w14:textId="61486A31" w:rsidR="00D17E98" w:rsidRPr="00812DE7" w:rsidRDefault="002F0AF4" w:rsidP="00131E71">
      <w:pPr>
        <w:tabs>
          <w:tab w:val="left" w:pos="1701"/>
        </w:tabs>
        <w:spacing w:before="120" w:after="120"/>
        <w:ind w:left="1134" w:firstLine="567"/>
      </w:pPr>
      <w:r>
        <w:t>5.</w:t>
      </w:r>
      <w:r>
        <w:tab/>
      </w:r>
      <w:r>
        <w:rPr>
          <w:i/>
        </w:rPr>
        <w:t>Pone de relieve también</w:t>
      </w:r>
      <w:r>
        <w:t xml:space="preserve"> la necesidad de garantizar el equilibrio, la transparencia y la inclusión en todas las fases de la preparación del informe mundial;</w:t>
      </w:r>
    </w:p>
    <w:p w14:paraId="03BE94B0" w14:textId="3BBEF635" w:rsidR="007C2B57" w:rsidRPr="00812DE7" w:rsidRDefault="002F0AF4" w:rsidP="00131E71">
      <w:pPr>
        <w:tabs>
          <w:tab w:val="left" w:pos="1701"/>
        </w:tabs>
        <w:spacing w:before="120" w:after="120"/>
        <w:ind w:left="1134" w:firstLine="567"/>
        <w:rPr>
          <w:snapToGrid w:val="0"/>
          <w:kern w:val="22"/>
        </w:rPr>
      </w:pPr>
      <w:r>
        <w:rPr>
          <w:snapToGrid w:val="0"/>
        </w:rPr>
        <w:t>6.</w:t>
      </w:r>
      <w:r>
        <w:rPr>
          <w:snapToGrid w:val="0"/>
        </w:rPr>
        <w:tab/>
      </w:r>
      <w:r>
        <w:rPr>
          <w:i/>
          <w:snapToGrid w:val="0"/>
        </w:rPr>
        <w:t>Decide</w:t>
      </w:r>
      <w:r>
        <w:rPr>
          <w:snapToGrid w:val="0"/>
        </w:rPr>
        <w:t xml:space="preserve"> que, en la elaboración del informe mundial, se deberá recurrir a las siguientes fuentes de información: </w:t>
      </w:r>
    </w:p>
    <w:p w14:paraId="18CD3DEE" w14:textId="74BCC323" w:rsidR="002F0AF4" w:rsidRPr="00812DE7" w:rsidRDefault="007C2B57" w:rsidP="00131E71">
      <w:pPr>
        <w:tabs>
          <w:tab w:val="left" w:pos="2268"/>
        </w:tabs>
        <w:spacing w:before="120" w:after="120"/>
        <w:ind w:left="1134" w:firstLine="567"/>
        <w:rPr>
          <w:snapToGrid w:val="0"/>
          <w:kern w:val="22"/>
        </w:rPr>
      </w:pPr>
      <w:r>
        <w:rPr>
          <w:snapToGrid w:val="0"/>
        </w:rPr>
        <w:t>a)</w:t>
      </w:r>
      <w:r>
        <w:rPr>
          <w:snapToGrid w:val="0"/>
        </w:rPr>
        <w:tab/>
        <w:t>Como fuente principal, los informes nacionales presentados de conformidad con lo dispuesto en el artículo 26 del Convenio y de conformidad con la decisión </w:t>
      </w:r>
      <w:r>
        <w:t xml:space="preserve">15/6, de 19 de diciembre de 2022, en particular sobre los </w:t>
      </w:r>
      <w:r>
        <w:rPr>
          <w:snapToGrid w:val="0"/>
        </w:rPr>
        <w:t>indicadores de cabecera, [indicadores de carácter mundial cotejados de respuestas binarias de los informes nacionales [y, si están disponibles y son pertinentes a nivel mundial, indicadores de componentes e indicadores complementarios</w:t>
      </w:r>
      <w:r>
        <w:t>, así como indicadores nacionales suplementarios]]</w:t>
      </w:r>
      <w:r>
        <w:rPr>
          <w:snapToGrid w:val="0"/>
        </w:rPr>
        <w:t>;</w:t>
      </w:r>
    </w:p>
    <w:p w14:paraId="0FE133FF" w14:textId="2349AFA6" w:rsidR="002F0AF4" w:rsidRPr="00812DE7" w:rsidRDefault="00177E4B" w:rsidP="00131E71">
      <w:pPr>
        <w:tabs>
          <w:tab w:val="left" w:pos="2268"/>
        </w:tabs>
        <w:spacing w:before="120" w:after="120"/>
        <w:ind w:left="1134" w:firstLine="567"/>
        <w:rPr>
          <w:snapToGrid w:val="0"/>
          <w:kern w:val="22"/>
        </w:rPr>
      </w:pPr>
      <w:r>
        <w:t>b)</w:t>
      </w:r>
      <w:r>
        <w:tab/>
        <w:t>El análisis mundial de la información presentada en las estrategias y planes de acción nacionales en materia de biodiversidad y las metas nacionales de conformidad con el párrafo 15 de la decisión 15/6;</w:t>
      </w:r>
    </w:p>
    <w:p w14:paraId="6DE4B123" w14:textId="2DF8D456" w:rsidR="007C2B57" w:rsidRPr="00812DE7" w:rsidRDefault="007C2B57" w:rsidP="00131E71">
      <w:pPr>
        <w:tabs>
          <w:tab w:val="left" w:pos="2268"/>
        </w:tabs>
        <w:spacing w:before="120" w:after="120"/>
        <w:ind w:left="1134" w:firstLine="567"/>
      </w:pPr>
      <w:r>
        <w:t>c)</w:t>
      </w:r>
      <w:r>
        <w:tab/>
        <w:t xml:space="preserve">Las cinco ediciones del informe </w:t>
      </w:r>
      <w:r>
        <w:rPr>
          <w:i/>
        </w:rPr>
        <w:t>Perspectiva Mundial sobre la Diversidad Biológica</w:t>
      </w:r>
      <w:r>
        <w:t xml:space="preserve"> y las dos ediciones del informe </w:t>
      </w:r>
      <w:r>
        <w:rPr>
          <w:i/>
        </w:rPr>
        <w:t>Perspectivas Locales sobre la Diversidad Biológica</w:t>
      </w:r>
      <w:r>
        <w:t>;</w:t>
      </w:r>
    </w:p>
    <w:p w14:paraId="54BF026D" w14:textId="1FF8311C" w:rsidR="007C2B57" w:rsidRPr="00812DE7" w:rsidRDefault="007C2B57" w:rsidP="00131E71">
      <w:pPr>
        <w:tabs>
          <w:tab w:val="left" w:pos="2268"/>
        </w:tabs>
        <w:spacing w:before="120" w:after="120"/>
        <w:ind w:left="1134" w:firstLine="567"/>
        <w:rPr>
          <w:kern w:val="22"/>
          <w:u w:val="single"/>
        </w:rPr>
      </w:pPr>
      <w:r>
        <w:rPr>
          <w:snapToGrid w:val="0"/>
        </w:rPr>
        <w:lastRenderedPageBreak/>
        <w:t>d)</w:t>
      </w:r>
      <w:r>
        <w:rPr>
          <w:snapToGrid w:val="0"/>
        </w:rPr>
        <w:tab/>
      </w:r>
      <w:r>
        <w:t>Evaluaciones[, informes y productos previstos] [revisados a nivel intergubernamental] de la Plataforma Intergubernamental Científico</w:t>
      </w:r>
      <w:r w:rsidR="00E634E7">
        <w:noBreakHyphen/>
      </w:r>
      <w:r>
        <w:t>Normativa sobre Diversidad Biológica y Servicios de los Ecosistemas[, con especial atención a los resúmenes para los encargados de la formulación de políticas aprobados,] y otras evaluaciones e informes científicos pertinentes revisados a nivel intergubernamental, incluidos aquellos del Grupo Intergubernamental de Expertos sobre el Cambio Climático[, con especial atención a los resúmenes para los encargados de la formulación de políticas aprobados], [y otras evaluaciones científicas y técnicas nacionales, regionales e internacionales importantes, incluidas evaluaciones regionales y subregionales] [, que hayan sido considerados por el Órgano Subsidiario de Asesoramiento Científico, Técnico y Tecnológico];</w:t>
      </w:r>
      <w:r>
        <w:rPr>
          <w:u w:val="single"/>
        </w:rPr>
        <w:t xml:space="preserve"> </w:t>
      </w:r>
    </w:p>
    <w:p w14:paraId="3ECCFA85" w14:textId="4C7B0BF6" w:rsidR="007C2B57" w:rsidRPr="00812DE7" w:rsidRDefault="007C2B57" w:rsidP="00131E71">
      <w:pPr>
        <w:tabs>
          <w:tab w:val="left" w:pos="2268"/>
        </w:tabs>
        <w:spacing w:before="120" w:after="120"/>
        <w:ind w:left="1134" w:firstLine="567"/>
      </w:pPr>
      <w:r>
        <w:rPr>
          <w:snapToGrid w:val="0"/>
        </w:rPr>
        <w:t>e)</w:t>
      </w:r>
      <w:r>
        <w:rPr>
          <w:snapToGrid w:val="0"/>
        </w:rPr>
        <w:tab/>
        <w:t xml:space="preserve">Informes sobre los medios de implementación, revisados por el Órgano Subsidiario sobre la Aplicación, incluidos aquellos del Consejo del Fondo para el Medio Ambiente Mundial sobre los progresos realizados en el Fondo Fiduciario del Fondo para el Medio Ambiente Mundial y el Fondo para el Marco Mundial de </w:t>
      </w:r>
      <w:proofErr w:type="gramStart"/>
      <w:r>
        <w:rPr>
          <w:snapToGrid w:val="0"/>
        </w:rPr>
        <w:t>Biodiversidad[</w:t>
      </w:r>
      <w:proofErr w:type="gramEnd"/>
      <w:r>
        <w:rPr>
          <w:snapToGrid w:val="0"/>
        </w:rPr>
        <w:t>, y aquellos de otras organizaciones pertinentes];</w:t>
      </w:r>
    </w:p>
    <w:p w14:paraId="7E55D4E1" w14:textId="2C5EC0EB" w:rsidR="007C2B57" w:rsidRPr="00812DE7" w:rsidRDefault="007C2B57" w:rsidP="00131E71">
      <w:pPr>
        <w:tabs>
          <w:tab w:val="left" w:pos="2268"/>
        </w:tabs>
        <w:spacing w:before="120" w:after="120"/>
        <w:ind w:left="1134" w:firstLine="567"/>
      </w:pPr>
      <w:r>
        <w:rPr>
          <w:snapToGrid w:val="0"/>
        </w:rPr>
        <w:t>f)</w:t>
      </w:r>
      <w:r>
        <w:rPr>
          <w:snapToGrid w:val="0"/>
        </w:rPr>
        <w:tab/>
        <w:t xml:space="preserve">Otras publicaciones científicas y técnicas revisadas por pares pertinentes, así como bases de </w:t>
      </w:r>
      <w:proofErr w:type="gramStart"/>
      <w:r>
        <w:rPr>
          <w:snapToGrid w:val="0"/>
        </w:rPr>
        <w:t>datos[</w:t>
      </w:r>
      <w:proofErr w:type="gramEnd"/>
      <w:r>
        <w:rPr>
          <w:snapToGrid w:val="0"/>
        </w:rPr>
        <w:t xml:space="preserve">, </w:t>
      </w:r>
      <w:r>
        <w:t xml:space="preserve">escenarios y modelos] pertinentes [que hayan sido revisados[as] por el Órgano Subsidiario de Asesoramiento Científico, Técnico y Tecnológico o el Órgano Subsidiario sobre la Aplicación]; </w:t>
      </w:r>
    </w:p>
    <w:p w14:paraId="3DD4B905" w14:textId="3638F44E" w:rsidR="007C2B57" w:rsidRPr="00812DE7" w:rsidRDefault="004D55F8" w:rsidP="00131E71">
      <w:pPr>
        <w:tabs>
          <w:tab w:val="left" w:pos="2268"/>
        </w:tabs>
        <w:spacing w:before="120" w:after="120"/>
        <w:ind w:left="1134" w:firstLine="567"/>
      </w:pPr>
      <w:r>
        <w:t>[g)</w:t>
      </w:r>
      <w:r>
        <w:tab/>
        <w:t xml:space="preserve">Informes de los exámenes voluntarios de los países;] </w:t>
      </w:r>
    </w:p>
    <w:p w14:paraId="11B1E85D" w14:textId="63AD8676" w:rsidR="007C2B57" w:rsidRPr="00812DE7" w:rsidRDefault="007C2B57" w:rsidP="00131E71">
      <w:pPr>
        <w:tabs>
          <w:tab w:val="left" w:pos="2268"/>
        </w:tabs>
        <w:spacing w:before="120" w:after="120"/>
        <w:ind w:left="1134" w:firstLine="567"/>
      </w:pPr>
      <w:r>
        <w:t>h)</w:t>
      </w:r>
      <w:r>
        <w:tab/>
        <w:t>Información sobre los compromisos de los agentes no estatales en relación con el Marco</w:t>
      </w:r>
      <w:r w:rsidRPr="00812DE7">
        <w:rPr>
          <w:vertAlign w:val="superscript"/>
        </w:rPr>
        <w:footnoteReference w:id="6"/>
      </w:r>
      <w:r>
        <w:t xml:space="preserve">, incluida información desglosada sobre las contribuciones de los pueblos indígenas y las comunidades locales, las mujeres y la juventud [considerada por el Grupo de Trabajo Especial de Composición Abierta entre Períodos de Sesiones sobre el Artículo 8 j) y Disposiciones Conexas del Convenio]; </w:t>
      </w:r>
    </w:p>
    <w:p w14:paraId="12F731FB" w14:textId="3F2AAA7D" w:rsidR="00413212" w:rsidRPr="00812DE7" w:rsidRDefault="007C2B57" w:rsidP="00131E71">
      <w:pPr>
        <w:tabs>
          <w:tab w:val="left" w:pos="2268"/>
        </w:tabs>
        <w:spacing w:before="120" w:after="120"/>
        <w:ind w:left="1134" w:firstLine="567"/>
      </w:pPr>
      <w:r>
        <w:t>i)</w:t>
      </w:r>
      <w:r>
        <w:tab/>
        <w:t>Información pertinente de los convenios relacionados con la diversidad biológica y otros acuerdos ambientales multilaterales, organizaciones internacionales y procesos pertinentes, incluidos informes [[revisados a nivel intergubernamental] presentados en los convenios conexos y sobre los Objetivos de Desarrollo Sostenible [en relación con la diversidad biológica]];</w:t>
      </w:r>
    </w:p>
    <w:p w14:paraId="529D158F" w14:textId="62DB6209" w:rsidR="00AC1C04" w:rsidRPr="00812DE7" w:rsidRDefault="007C2B57" w:rsidP="00131E71">
      <w:pPr>
        <w:tabs>
          <w:tab w:val="left" w:pos="2268"/>
        </w:tabs>
        <w:spacing w:before="120" w:after="120"/>
        <w:ind w:left="1134" w:firstLine="567"/>
      </w:pPr>
      <w:r>
        <w:t>j)</w:t>
      </w:r>
      <w:r>
        <w:tab/>
        <w:t>Conocimientos tradicionales, innovaciones, prácticas y tecnología pertinentes de los pueblos indígenas y las comunidades locales a los que se da acceso con su consentimiento libre, previo e informado [que hayan sido considerados por el Grupo de Trabajo Especial de Composición Abierta entre Períodos de Sesiones sobre el Artículo 8 j) y Disposiciones Conexas];</w:t>
      </w:r>
    </w:p>
    <w:p w14:paraId="4913D39C" w14:textId="43D1DE61" w:rsidR="00AC1C04" w:rsidRPr="00812DE7" w:rsidRDefault="004E7800" w:rsidP="00131E71">
      <w:pPr>
        <w:tabs>
          <w:tab w:val="left" w:pos="2268"/>
        </w:tabs>
        <w:spacing w:before="120" w:after="120"/>
        <w:ind w:left="1134" w:firstLine="567"/>
        <w:rPr>
          <w:rFonts w:eastAsia="Malgun Gothic"/>
        </w:rPr>
      </w:pPr>
      <w:r>
        <w:t>7.</w:t>
      </w:r>
      <w:r>
        <w:tab/>
      </w:r>
      <w:r>
        <w:rPr>
          <w:i/>
        </w:rPr>
        <w:t>Decide</w:t>
      </w:r>
      <w:r>
        <w:t xml:space="preserve"> </w:t>
      </w:r>
      <w:r>
        <w:rPr>
          <w:rFonts w:asciiTheme="majorBidi" w:hAnsiTheme="majorBidi"/>
          <w:i/>
          <w:snapToGrid w:val="0"/>
        </w:rPr>
        <w:t>también</w:t>
      </w:r>
      <w:r>
        <w:rPr>
          <w:rFonts w:asciiTheme="majorBidi" w:hAnsiTheme="majorBidi"/>
          <w:snapToGrid w:val="0"/>
        </w:rPr>
        <w:t xml:space="preserve"> </w:t>
      </w:r>
      <w:r>
        <w:t>establecer un grupo especial de asesoramiento científico y técnico para la preparación del informe mundial sobre los progresos colectivos en la implementación del Marco, con un mandato limitado en el tiempo, hasta la 17ª reunión de la Conferencia de las Partes, y el mandato que figura en el anexo de la presente decisión, que formulará recomendaciones científicas, técnicas y tecnológicas, entre otras cosas sobre los conocimientos tradicionales, para la preparación del informe mundial sobre los progresos colectivos en la implementación del Marco sobre la base de las fuentes señaladas en el párrafo 6;</w:t>
      </w:r>
    </w:p>
    <w:p w14:paraId="27E94C86" w14:textId="5C404333" w:rsidR="00AC1C04" w:rsidRPr="00812DE7" w:rsidRDefault="004E7800" w:rsidP="00131E71">
      <w:pPr>
        <w:tabs>
          <w:tab w:val="left" w:pos="2268"/>
        </w:tabs>
        <w:spacing w:before="120" w:after="120"/>
        <w:ind w:left="1134" w:firstLine="567"/>
      </w:pPr>
      <w:r>
        <w:t>8.</w:t>
      </w:r>
      <w:r>
        <w:tab/>
      </w:r>
      <w:r>
        <w:rPr>
          <w:i/>
        </w:rPr>
        <w:t>Decide asimismo</w:t>
      </w:r>
      <w:r>
        <w:t xml:space="preserve"> que el Grupo Especial de Asesoramiento Científico y Técnico para la Preparación del Informe Mundial sobre los Progresos Colectivos en la Implementación del Marco Mundial de Biodiversidad de Kunming</w:t>
      </w:r>
      <w:r w:rsidR="00E634E7">
        <w:noBreakHyphen/>
      </w:r>
      <w:r>
        <w:t xml:space="preserve">Montreal, establecido de conformidad con el párrafo 7, informará al Órgano Subsidiario de Asesoramiento Científico, Técnico y </w:t>
      </w:r>
      <w:r>
        <w:lastRenderedPageBreak/>
        <w:t xml:space="preserve">Tecnológico y apoyará su labor en la prestación del asesoramiento científico, técnico y tecnológico que proporciona al Órgano Subsidiario sobre la Aplicación, que guiará el proceso para la revisión mundial de los progresos colectivos en la implementación del Marco; </w:t>
      </w:r>
    </w:p>
    <w:p w14:paraId="2AAAF3AE" w14:textId="4C3DC369" w:rsidR="00AC1C04" w:rsidRPr="00812DE7" w:rsidRDefault="004E7800" w:rsidP="00131E71">
      <w:pPr>
        <w:tabs>
          <w:tab w:val="left" w:pos="2268"/>
        </w:tabs>
        <w:spacing w:before="120" w:after="120"/>
        <w:ind w:left="1134" w:firstLine="567"/>
      </w:pPr>
      <w:r>
        <w:t>9.</w:t>
      </w:r>
      <w:r>
        <w:tab/>
      </w:r>
      <w:r>
        <w:rPr>
          <w:i/>
        </w:rPr>
        <w:t>Decide</w:t>
      </w:r>
      <w:r>
        <w:t xml:space="preserve"> que el informe mundial sobre los progresos colectivos en la implementación del Marco se pondrá a disposición del Órgano Subsidiario de Asesoramiento Científico, Técnico y Tecnológico y del Órgano Subsidiario sobre la Aplicación para su revisión por pares y examen antes de su presentación a la Conferencia de las Partes;</w:t>
      </w:r>
    </w:p>
    <w:p w14:paraId="00B80B1A" w14:textId="431DF294" w:rsidR="00AC1C04" w:rsidRPr="00812DE7" w:rsidRDefault="004E7800" w:rsidP="00131E71">
      <w:pPr>
        <w:tabs>
          <w:tab w:val="left" w:pos="2268"/>
        </w:tabs>
        <w:spacing w:before="120" w:after="120"/>
        <w:ind w:left="1134" w:firstLine="567"/>
        <w:rPr>
          <w:rFonts w:eastAsia="Malgun Gothic"/>
        </w:rPr>
      </w:pPr>
      <w:r>
        <w:t>10.</w:t>
      </w:r>
      <w:r>
        <w:tab/>
      </w:r>
      <w:r>
        <w:rPr>
          <w:i/>
        </w:rPr>
        <w:t>Pide</w:t>
      </w:r>
      <w:r>
        <w:t xml:space="preserve"> al Secretario Ejecutivo que, con el apoyo del Grupo Especial de Asesoramiento Científico y Técnico, facilite un diálogo técnico oficioso entre las Partes, los pueblos indígenas y las comunidades locales, las mujeres, la juventud, el mundo académico, los sectores privado y financiero y otros interesados y expertos sobre los aspectos científicos, técnicos y tecnológicos del informe mundial y otras aportaciones pertinentes a la revisión mundial, incluido el intercambio de mejores prácticas, desafíos, carencias y formas de eliminar los obstáculos;</w:t>
      </w:r>
    </w:p>
    <w:p w14:paraId="3C8A1B78" w14:textId="5BF424E2" w:rsidR="008965F9" w:rsidRPr="00812DE7" w:rsidRDefault="004E7800" w:rsidP="00131E71">
      <w:pPr>
        <w:tabs>
          <w:tab w:val="left" w:pos="2268"/>
        </w:tabs>
        <w:spacing w:before="120" w:after="120"/>
        <w:ind w:left="1134" w:firstLine="567"/>
        <w:rPr>
          <w:rFonts w:eastAsia="Malgun Gothic"/>
        </w:rPr>
      </w:pPr>
      <w:r>
        <w:t>11.</w:t>
      </w:r>
      <w:r>
        <w:rPr>
          <w:i/>
        </w:rPr>
        <w:tab/>
        <w:t>Pide también</w:t>
      </w:r>
      <w:r>
        <w:t xml:space="preserve"> al </w:t>
      </w:r>
      <w:proofErr w:type="gramStart"/>
      <w:r>
        <w:t>Secretario Ejecutivo</w:t>
      </w:r>
      <w:proofErr w:type="gramEnd"/>
      <w:r>
        <w:t xml:space="preserve"> que presente a las Partes actualizaciones periódicas sobre la preparación del informe mundial;</w:t>
      </w:r>
    </w:p>
    <w:p w14:paraId="4780A634" w14:textId="5DF1F1DB" w:rsidR="00445706" w:rsidRPr="00812DE7" w:rsidRDefault="004E7800" w:rsidP="00131E71">
      <w:pPr>
        <w:tabs>
          <w:tab w:val="left" w:pos="2268"/>
        </w:tabs>
        <w:spacing w:before="120" w:after="120"/>
        <w:ind w:left="1134" w:firstLine="567"/>
        <w:rPr>
          <w:rFonts w:eastAsia="Malgun Gothic"/>
          <w:kern w:val="22"/>
        </w:rPr>
      </w:pPr>
      <w:r>
        <w:t>12.</w:t>
      </w:r>
      <w:r>
        <w:rPr>
          <w:rFonts w:asciiTheme="majorBidi" w:hAnsiTheme="majorBidi"/>
          <w:color w:val="000000" w:themeColor="text1"/>
        </w:rPr>
        <w:tab/>
      </w:r>
      <w:r>
        <w:rPr>
          <w:i/>
        </w:rPr>
        <w:t>Invita</w:t>
      </w:r>
      <w:r>
        <w:t xml:space="preserve"> a la Plataforma Intergubernamental Científico</w:t>
      </w:r>
      <w:r w:rsidR="00E634E7">
        <w:noBreakHyphen/>
      </w:r>
      <w:r>
        <w:t xml:space="preserve">Normativa sobre Diversidad Biológica y Servicios de los Ecosistemas a que contribuya a la revisión mundial de los progresos colectivos y, en particular, a la labor del Grupo Especial de Asesoramiento Científico y Técnico, respetando plenamente sus respectivos mandatos; </w:t>
      </w:r>
    </w:p>
    <w:p w14:paraId="23A9B809" w14:textId="54D6F66D" w:rsidR="00F828D3" w:rsidRPr="00812DE7" w:rsidRDefault="0050382B" w:rsidP="00131E71">
      <w:pPr>
        <w:tabs>
          <w:tab w:val="left" w:pos="2268"/>
        </w:tabs>
        <w:spacing w:before="120" w:after="120"/>
        <w:ind w:left="1134" w:firstLine="567"/>
      </w:pPr>
      <w:r>
        <w:t>[13.</w:t>
      </w:r>
      <w:r>
        <w:tab/>
      </w:r>
      <w:r>
        <w:rPr>
          <w:i/>
        </w:rPr>
        <w:t>Alienta</w:t>
      </w:r>
      <w:r>
        <w:t xml:space="preserve"> a las Partes e invita a otros Gobiernos y organizaciones pertinentes, entre ellas organizaciones de financiación, a apoyar la mejora de los datos y modelos de diversidad biológica para, entre otras cosas, subsanar las carencias de datos y las carencias de las metodologías de modelización relacionadas con los impactos de los impulsores de pérdida de diversidad biológica y de las intervenciones en materia de políticas en la diversidad biológica y los servicios de los ecosistemas].</w:t>
      </w:r>
      <w:bookmarkStart w:id="3" w:name="_Toc118354971"/>
    </w:p>
    <w:p w14:paraId="5BA831D2" w14:textId="4F7E50F8" w:rsidR="00F828D3" w:rsidRPr="00812DE7" w:rsidRDefault="00F828D3">
      <w:pPr>
        <w:jc w:val="left"/>
        <w:rPr>
          <w:kern w:val="22"/>
          <w:szCs w:val="22"/>
        </w:rPr>
      </w:pPr>
    </w:p>
    <w:p w14:paraId="0EB0278D" w14:textId="77777777" w:rsidR="00902776" w:rsidRPr="00812DE7" w:rsidRDefault="00902776" w:rsidP="00792BE3">
      <w:pPr>
        <w:pStyle w:val="Annex"/>
        <w:spacing w:after="160" w:line="256" w:lineRule="auto"/>
        <w:sectPr w:rsidR="00902776" w:rsidRPr="00812DE7" w:rsidSect="00C7096B">
          <w:headerReference w:type="even" r:id="rId23"/>
          <w:headerReference w:type="default" r:id="rId24"/>
          <w:footerReference w:type="even" r:id="rId25"/>
          <w:footerReference w:type="default" r:id="rId26"/>
          <w:type w:val="continuous"/>
          <w:pgSz w:w="12240" w:h="15840"/>
          <w:pgMar w:top="567" w:right="1389" w:bottom="1134" w:left="1389" w:header="709" w:footer="709" w:gutter="0"/>
          <w:cols w:space="708"/>
          <w:titlePg/>
          <w:docGrid w:linePitch="360"/>
        </w:sectPr>
      </w:pPr>
    </w:p>
    <w:p w14:paraId="64A68773" w14:textId="57FA6F15" w:rsidR="008A5A45" w:rsidRPr="00812DE7" w:rsidRDefault="00F828D3" w:rsidP="00792BE3">
      <w:pPr>
        <w:pStyle w:val="Annex"/>
        <w:spacing w:after="160" w:line="256" w:lineRule="auto"/>
      </w:pPr>
      <w:r>
        <w:lastRenderedPageBreak/>
        <w:t>Anexo</w:t>
      </w:r>
    </w:p>
    <w:p w14:paraId="38B14917" w14:textId="74E3FC9C" w:rsidR="00F828D3" w:rsidRPr="00812DE7" w:rsidRDefault="00F828D3" w:rsidP="00792BE3">
      <w:pPr>
        <w:pStyle w:val="Annex"/>
        <w:spacing w:before="120" w:after="120"/>
        <w:ind w:left="567"/>
        <w:jc w:val="left"/>
      </w:pPr>
      <w:r>
        <w:t>Mandato del Grupo Especial de Asesoramiento Científico y Técnico para la Preparación del Informe Mundial sobre los Progresos Colectivos en la Implementación del Marco Mundial de Biodiversidad de Kunming</w:t>
      </w:r>
      <w:r w:rsidR="00E634E7">
        <w:noBreakHyphen/>
      </w:r>
      <w:r>
        <w:t>Montreal</w:t>
      </w:r>
      <w:bookmarkEnd w:id="3"/>
    </w:p>
    <w:p w14:paraId="044DC7AF" w14:textId="5E897A2E" w:rsidR="00F828D3" w:rsidRPr="00812DE7" w:rsidRDefault="00402A41" w:rsidP="00C6050B">
      <w:pPr>
        <w:tabs>
          <w:tab w:val="left" w:pos="1134"/>
          <w:tab w:val="left" w:pos="2160"/>
        </w:tabs>
        <w:snapToGrid w:val="0"/>
        <w:spacing w:before="120" w:after="120"/>
        <w:ind w:left="562"/>
      </w:pPr>
      <w:r>
        <w:t>1.</w:t>
      </w:r>
      <w:r>
        <w:tab/>
        <w:t>El Grupo Especial de Asesoramiento Científico y Técnico para la Preparación del Informe Mundial sobre los Progresos Colectivos en la Implementación del Marco Mundial de Biodiversidad de Kunming</w:t>
      </w:r>
      <w:r w:rsidR="00E634E7">
        <w:noBreakHyphen/>
      </w:r>
      <w:r>
        <w:t>Montreal prestará apoyo al Órgano Subsidiario de Asesoramiento Científico, Técnico y Tecnológico a la hora de hacer aportaciones científicas, técnicas y tecnológicas para la preparación del informe mundial sobre los progresos colectivos en la implementación del Marco por parte del Órgano Subsidiario sobre la Aplicación, incluidos los medios de implementación, para que la Conferencia de las Partes las considere en sus reuniones 17ª y 19ª, respectivamente.</w:t>
      </w:r>
    </w:p>
    <w:p w14:paraId="36F22D43" w14:textId="6C439164" w:rsidR="00F828D3" w:rsidRPr="00812DE7" w:rsidRDefault="00402A41" w:rsidP="00C6050B">
      <w:pPr>
        <w:tabs>
          <w:tab w:val="left" w:pos="1134"/>
          <w:tab w:val="left" w:pos="2160"/>
        </w:tabs>
        <w:snapToGrid w:val="0"/>
        <w:spacing w:before="120" w:after="120"/>
        <w:ind w:left="562"/>
      </w:pPr>
      <w:r>
        <w:t>2.</w:t>
      </w:r>
      <w:r>
        <w:tab/>
        <w:t>El Grupo vigilará y guiará el proceso de recopilación, análisis y síntesis de la información científica, técnica y tecnológica pertinente que el Órgano Subsidiario de Asesoramiento Científico, Técnico y Tecnológico considerará en la preparación de los aspectos científicos y técnicos del informe mundial sobre la base de las fuentes enumeradas en el párrafo 6 de la presente decisión. Concretamente, tendrá las siguientes funciones:</w:t>
      </w:r>
    </w:p>
    <w:p w14:paraId="03BF2F05" w14:textId="772DA2B5" w:rsidR="00F828D3" w:rsidRPr="00812DE7" w:rsidRDefault="00402A41" w:rsidP="00C6050B">
      <w:pPr>
        <w:shd w:val="clear" w:color="auto" w:fill="FFFFFF" w:themeFill="background1"/>
        <w:tabs>
          <w:tab w:val="left" w:pos="1166"/>
          <w:tab w:val="left" w:pos="1530"/>
          <w:tab w:val="left" w:pos="3240"/>
        </w:tabs>
        <w:spacing w:before="120" w:after="120"/>
        <w:ind w:left="540" w:firstLine="540"/>
        <w:rPr>
          <w:rFonts w:eastAsia="Malgun Gothic"/>
          <w:kern w:val="22"/>
        </w:rPr>
      </w:pPr>
      <w:r>
        <w:t>a)</w:t>
      </w:r>
      <w:r>
        <w:tab/>
        <w:t xml:space="preserve">Ofrecer asesoramiento sobre las contribuciones científicas, técnicas y tecnológicas al proyecto de </w:t>
      </w:r>
      <w:proofErr w:type="gramStart"/>
      <w:r>
        <w:t>informe[</w:t>
      </w:r>
      <w:proofErr w:type="gramEnd"/>
      <w:r>
        <w:t>, incluido sobre la provisión de medios de implementación, en particular a los países en desarrollo];</w:t>
      </w:r>
    </w:p>
    <w:p w14:paraId="587B97D3" w14:textId="2022B046" w:rsidR="00F828D3" w:rsidRPr="00812DE7" w:rsidRDefault="00402A41" w:rsidP="00C6050B">
      <w:pPr>
        <w:shd w:val="clear" w:color="auto" w:fill="FFFFFF" w:themeFill="background1"/>
        <w:tabs>
          <w:tab w:val="left" w:pos="1166"/>
          <w:tab w:val="left" w:pos="1530"/>
          <w:tab w:val="left" w:pos="3240"/>
        </w:tabs>
        <w:snapToGrid w:val="0"/>
        <w:spacing w:before="40" w:after="120"/>
        <w:ind w:left="540" w:firstLine="540"/>
      </w:pPr>
      <w:r>
        <w:t>b)</w:t>
      </w:r>
      <w:r>
        <w:tab/>
        <w:t>Ofrecer asesoramiento sobre el uso en el informe mundial de los indicadores del marco de seguimiento para el Marco Mundial de Biodiversidad de Kunming</w:t>
      </w:r>
      <w:r w:rsidR="00E634E7">
        <w:noBreakHyphen/>
      </w:r>
      <w:r>
        <w:t>Montreal</w:t>
      </w:r>
      <w:r w:rsidR="00F51CAB" w:rsidRPr="00812DE7">
        <w:rPr>
          <w:rStyle w:val="FootnoteReference"/>
          <w:rFonts w:eastAsia="Malgun Gothic"/>
          <w:kern w:val="22"/>
        </w:rPr>
        <w:footnoteReference w:id="7"/>
      </w:r>
      <w:r>
        <w:t>;</w:t>
      </w:r>
    </w:p>
    <w:p w14:paraId="187C5EA9" w14:textId="4DD52413" w:rsidR="00F828D3" w:rsidRPr="00812DE7" w:rsidRDefault="00402A41" w:rsidP="00C6050B">
      <w:pPr>
        <w:shd w:val="clear" w:color="auto" w:fill="FFFFFF" w:themeFill="background1"/>
        <w:tabs>
          <w:tab w:val="left" w:pos="1166"/>
          <w:tab w:val="left" w:pos="1530"/>
          <w:tab w:val="left" w:pos="3240"/>
        </w:tabs>
        <w:snapToGrid w:val="0"/>
        <w:spacing w:before="40" w:after="120"/>
        <w:ind w:left="540" w:firstLine="540"/>
      </w:pPr>
      <w:r>
        <w:t>c)</w:t>
      </w:r>
      <w:r>
        <w:tab/>
        <w:t>Garantizar la solidez científica y técnica del proyecto de informe mundial y los productos relacionados.</w:t>
      </w:r>
    </w:p>
    <w:p w14:paraId="7648272C" w14:textId="2227041A" w:rsidR="00F828D3" w:rsidRPr="00812DE7" w:rsidRDefault="00402A41" w:rsidP="00C6050B">
      <w:pPr>
        <w:shd w:val="clear" w:color="auto" w:fill="FFFFFF" w:themeFill="background1"/>
        <w:tabs>
          <w:tab w:val="left" w:pos="1134"/>
          <w:tab w:val="left" w:pos="2160"/>
        </w:tabs>
        <w:snapToGrid w:val="0"/>
        <w:spacing w:before="120" w:after="120"/>
        <w:ind w:left="567"/>
      </w:pPr>
      <w:r>
        <w:t>3.</w:t>
      </w:r>
      <w:r>
        <w:tab/>
        <w:t>El Grupo se ocupará de lo siguiente:</w:t>
      </w:r>
    </w:p>
    <w:p w14:paraId="4913C283" w14:textId="48232DF0" w:rsidR="00F828D3" w:rsidRPr="00812DE7" w:rsidRDefault="00402A41" w:rsidP="00C6050B">
      <w:pPr>
        <w:shd w:val="clear" w:color="auto" w:fill="FFFFFF" w:themeFill="background1"/>
        <w:tabs>
          <w:tab w:val="left" w:pos="1701"/>
          <w:tab w:val="left" w:pos="3240"/>
        </w:tabs>
        <w:spacing w:before="120" w:after="120"/>
        <w:ind w:left="540" w:firstLine="594"/>
      </w:pPr>
      <w:r>
        <w:t>a)</w:t>
      </w:r>
      <w:r>
        <w:tab/>
        <w:t xml:space="preserve">Preparar y presentar al Órgano Subsidiario de Asesoramiento Científico, Técnico y Tecnológico un esquema del contenido y las cuestiones clave que estructurarán los aspectos científicos y técnicos del informe mundial, basándose en el párrafo 1 de la presente decisión; </w:t>
      </w:r>
    </w:p>
    <w:p w14:paraId="1619FB6D" w14:textId="29FC1E4D" w:rsidR="00F828D3" w:rsidRPr="00812DE7" w:rsidRDefault="00402A41" w:rsidP="00C6050B">
      <w:pPr>
        <w:shd w:val="clear" w:color="auto" w:fill="FFFFFF" w:themeFill="background1"/>
        <w:tabs>
          <w:tab w:val="left" w:pos="1701"/>
          <w:tab w:val="left" w:pos="3240"/>
        </w:tabs>
        <w:spacing w:before="120" w:after="120"/>
        <w:ind w:left="540" w:firstLine="594"/>
        <w:rPr>
          <w:rFonts w:eastAsia="Malgun Gothic"/>
          <w:kern w:val="22"/>
        </w:rPr>
      </w:pPr>
      <w:r>
        <w:t>b)</w:t>
      </w:r>
      <w:r>
        <w:tab/>
        <w:t>Apoyar la preparación del contenido de las secciones pertinentes del proyecto de informe mundial [a partir de las fuentes de información enumeradas en el párrafo 6 de la presente decisión] [y recurrir a colaboradores adicionales cuando sea necesario];</w:t>
      </w:r>
    </w:p>
    <w:p w14:paraId="137B8D7F" w14:textId="0DE4D38E" w:rsidR="00F828D3" w:rsidRPr="00812DE7" w:rsidRDefault="00402A41" w:rsidP="00C6050B">
      <w:pPr>
        <w:shd w:val="clear" w:color="auto" w:fill="FFFFFF" w:themeFill="background1"/>
        <w:tabs>
          <w:tab w:val="left" w:pos="1701"/>
          <w:tab w:val="left" w:pos="3240"/>
        </w:tabs>
        <w:spacing w:before="120" w:after="120"/>
        <w:ind w:left="540" w:firstLine="594"/>
      </w:pPr>
      <w:r>
        <w:t>[c)</w:t>
      </w:r>
      <w:r>
        <w:tab/>
        <w:t>Consultar con la[s] secretaría[s] de la Plataforma Intergubernamental Científico</w:t>
      </w:r>
      <w:r w:rsidR="00E634E7">
        <w:noBreakHyphen/>
      </w:r>
      <w:r>
        <w:t xml:space="preserve">Normativa sobre Diversidad Biológica y Servicios de los Ecosistemas [y de otros procesos, asociados y redes de evaluación pertinentes] en las diferentes fases de preparación del informe.] </w:t>
      </w:r>
    </w:p>
    <w:p w14:paraId="05F0070C" w14:textId="44844FA1" w:rsidR="00F828D3" w:rsidRPr="00812DE7" w:rsidRDefault="00402A41" w:rsidP="00C6050B">
      <w:pPr>
        <w:shd w:val="clear" w:color="auto" w:fill="FFFFFF" w:themeFill="background1"/>
        <w:tabs>
          <w:tab w:val="left" w:pos="1134"/>
          <w:tab w:val="left" w:pos="2160"/>
        </w:tabs>
        <w:snapToGrid w:val="0"/>
        <w:spacing w:before="120" w:after="120"/>
        <w:ind w:left="562"/>
      </w:pPr>
      <w:r>
        <w:t xml:space="preserve">[3 </w:t>
      </w:r>
      <w:r>
        <w:rPr>
          <w:i/>
          <w:iCs/>
        </w:rPr>
        <w:t>bis</w:t>
      </w:r>
      <w:r>
        <w:t>.</w:t>
      </w:r>
      <w:r>
        <w:tab/>
        <w:t>El Grupo también contribuirá al diálogo técnico mencionado en el párrafo 10 de la presente decisión.]</w:t>
      </w:r>
    </w:p>
    <w:p w14:paraId="67FC901E" w14:textId="4B39D48C" w:rsidR="00445706" w:rsidRPr="00812DE7" w:rsidRDefault="00402A41" w:rsidP="00C6050B">
      <w:pPr>
        <w:shd w:val="clear" w:color="auto" w:fill="FFFFFF" w:themeFill="background1"/>
        <w:tabs>
          <w:tab w:val="left" w:pos="1134"/>
          <w:tab w:val="left" w:pos="2160"/>
        </w:tabs>
        <w:snapToGrid w:val="0"/>
        <w:spacing w:before="120" w:after="120"/>
        <w:ind w:left="562"/>
      </w:pPr>
      <w:r>
        <w:t>4.</w:t>
      </w:r>
      <w:r>
        <w:tab/>
        <w:t>El Grupo estará integrado por 15 expertos que serán designados por las Partes, entre los que podrían incluirse expertos de instituciones académicas y de investigación pertinentes, teniendo debidamente en cuenta la representación regional equitativa y el equilibrio de género, y 10 representantes designados por observadores, entre ellos 5 de pueblos indígenas y comunidades locales y grupos de mujeres y la juventud, teniendo debidamente en cuenta la representación regional equitativa y el equilibrio de género.</w:t>
      </w:r>
      <w:r>
        <w:rPr>
          <w:rFonts w:asciiTheme="majorBidi" w:hAnsiTheme="majorBidi"/>
          <w:snapToGrid w:val="0"/>
        </w:rPr>
        <w:t xml:space="preserve"> </w:t>
      </w:r>
      <w:r>
        <w:t xml:space="preserve">La Mesa del Órgano Subsidiario de Asesoramiento Científico, Técnico y Tecnológico, con el apoyo de la Secretaría, seleccionará a los integrantes de entre los expertos nombrados por las Partes y los observadores, prestando la debida atención a que estén </w:t>
      </w:r>
      <w:r>
        <w:lastRenderedPageBreak/>
        <w:t>representadas diferentes áreas de especialidad técnica, garantizando un equilibrio entre las especializaciones en todos los aspectos de los objetivos y las metas del Marco.</w:t>
      </w:r>
    </w:p>
    <w:p w14:paraId="30A0463F" w14:textId="2791926A" w:rsidR="00F828D3" w:rsidRPr="00812DE7" w:rsidRDefault="00402A41" w:rsidP="00C6050B">
      <w:pPr>
        <w:shd w:val="clear" w:color="auto" w:fill="FFFFFF" w:themeFill="background1"/>
        <w:tabs>
          <w:tab w:val="left" w:pos="1134"/>
          <w:tab w:val="left" w:pos="2160"/>
        </w:tabs>
        <w:snapToGrid w:val="0"/>
        <w:spacing w:before="120" w:after="120"/>
        <w:ind w:left="567"/>
      </w:pPr>
      <w:r>
        <w:t>5.</w:t>
      </w:r>
      <w:r>
        <w:tab/>
        <w:t>Se podrán seleccionar expertos que tengan, por ejemplo:</w:t>
      </w:r>
    </w:p>
    <w:p w14:paraId="0FB3BC8D" w14:textId="1182CC99" w:rsidR="00F828D3" w:rsidRPr="00812DE7" w:rsidRDefault="00F828D3" w:rsidP="00792BE3">
      <w:pPr>
        <w:pStyle w:val="Para1"/>
        <w:numPr>
          <w:ilvl w:val="0"/>
          <w:numId w:val="0"/>
        </w:numPr>
        <w:suppressLineNumbers/>
        <w:tabs>
          <w:tab w:val="left" w:pos="1701"/>
        </w:tabs>
        <w:suppressAutoHyphens/>
        <w:kinsoku w:val="0"/>
        <w:overflowPunct w:val="0"/>
        <w:autoSpaceDE w:val="0"/>
        <w:autoSpaceDN w:val="0"/>
        <w:adjustRightInd w:val="0"/>
        <w:ind w:left="567" w:firstLine="567"/>
        <w:rPr>
          <w:rFonts w:asciiTheme="majorBidi" w:hAnsiTheme="majorBidi" w:cstheme="majorBidi"/>
          <w:snapToGrid/>
          <w:kern w:val="22"/>
        </w:rPr>
      </w:pPr>
      <w:r>
        <w:rPr>
          <w:rFonts w:asciiTheme="majorBidi" w:hAnsiTheme="majorBidi"/>
        </w:rPr>
        <w:t>a)</w:t>
      </w:r>
      <w:r>
        <w:rPr>
          <w:rFonts w:asciiTheme="majorBidi" w:hAnsiTheme="majorBidi"/>
        </w:rPr>
        <w:tab/>
        <w:t>Publicaciones científicas, técnicas y tecnológicas, o conocimientos especializados y prácticos relacionados con el análisis del estado y las tendencias de la diversidad biológica, los indicadores de la diversidad biológica, así como los aspectos sociales y culturales de la diversidad biológica;</w:t>
      </w:r>
    </w:p>
    <w:p w14:paraId="7D5522A5" w14:textId="77777777" w:rsidR="00F828D3" w:rsidRPr="00812DE7" w:rsidRDefault="00F828D3" w:rsidP="00792BE3">
      <w:pPr>
        <w:pStyle w:val="Para1"/>
        <w:numPr>
          <w:ilvl w:val="0"/>
          <w:numId w:val="0"/>
        </w:numPr>
        <w:suppressLineNumbers/>
        <w:tabs>
          <w:tab w:val="left" w:pos="1701"/>
        </w:tabs>
        <w:suppressAutoHyphens/>
        <w:kinsoku w:val="0"/>
        <w:overflowPunct w:val="0"/>
        <w:autoSpaceDE w:val="0"/>
        <w:autoSpaceDN w:val="0"/>
        <w:adjustRightInd w:val="0"/>
        <w:ind w:left="567" w:firstLine="567"/>
        <w:rPr>
          <w:rFonts w:asciiTheme="majorBidi" w:hAnsiTheme="majorBidi" w:cstheme="majorBidi"/>
          <w:kern w:val="22"/>
          <w:szCs w:val="22"/>
        </w:rPr>
      </w:pPr>
      <w:r>
        <w:rPr>
          <w:rFonts w:asciiTheme="majorBidi" w:hAnsiTheme="majorBidi"/>
        </w:rPr>
        <w:t>b)</w:t>
      </w:r>
      <w:r>
        <w:rPr>
          <w:rFonts w:asciiTheme="majorBidi" w:hAnsiTheme="majorBidi"/>
        </w:rPr>
        <w:tab/>
        <w:t>Conocimientos especializados y prácticos en algún campo relacionado con los objetivos y metas del Marco;</w:t>
      </w:r>
    </w:p>
    <w:p w14:paraId="461F0156" w14:textId="61EFB33E" w:rsidR="00F828D3" w:rsidRPr="00812DE7" w:rsidRDefault="00F828D3" w:rsidP="00792BE3">
      <w:pPr>
        <w:pStyle w:val="Para1"/>
        <w:numPr>
          <w:ilvl w:val="0"/>
          <w:numId w:val="0"/>
        </w:numPr>
        <w:suppressLineNumbers/>
        <w:tabs>
          <w:tab w:val="left" w:pos="1701"/>
        </w:tabs>
        <w:suppressAutoHyphens/>
        <w:kinsoku w:val="0"/>
        <w:overflowPunct w:val="0"/>
        <w:autoSpaceDE w:val="0"/>
        <w:autoSpaceDN w:val="0"/>
        <w:adjustRightInd w:val="0"/>
        <w:ind w:left="567" w:firstLine="567"/>
        <w:rPr>
          <w:rFonts w:asciiTheme="majorBidi" w:hAnsiTheme="majorBidi"/>
        </w:rPr>
      </w:pPr>
      <w:r>
        <w:rPr>
          <w:rFonts w:asciiTheme="majorBidi" w:hAnsiTheme="majorBidi"/>
        </w:rPr>
        <w:t>c)</w:t>
      </w:r>
      <w:r>
        <w:rPr>
          <w:rFonts w:asciiTheme="majorBidi" w:hAnsiTheme="majorBidi"/>
        </w:rPr>
        <w:tab/>
        <w:t>Conocimientos demostrados del Convenio sobre la Diversidad Biológica y otros procesos internacionales de evaluación científica y técnica relativos a la diversidad biológica;</w:t>
      </w:r>
    </w:p>
    <w:p w14:paraId="2E832193" w14:textId="43BC2B10" w:rsidR="00F828D3" w:rsidRPr="00812DE7" w:rsidRDefault="00F828D3" w:rsidP="00F828D3">
      <w:pPr>
        <w:pStyle w:val="Para1"/>
        <w:numPr>
          <w:ilvl w:val="0"/>
          <w:numId w:val="0"/>
        </w:numPr>
        <w:suppressLineNumbers/>
        <w:tabs>
          <w:tab w:val="left" w:pos="1701"/>
        </w:tabs>
        <w:suppressAutoHyphens/>
        <w:kinsoku w:val="0"/>
        <w:overflowPunct w:val="0"/>
        <w:autoSpaceDE w:val="0"/>
        <w:autoSpaceDN w:val="0"/>
        <w:adjustRightInd w:val="0"/>
        <w:ind w:left="567" w:firstLine="567"/>
        <w:rPr>
          <w:rFonts w:asciiTheme="majorBidi" w:hAnsiTheme="majorBidi" w:cstheme="majorBidi"/>
        </w:rPr>
      </w:pPr>
      <w:r>
        <w:rPr>
          <w:rFonts w:asciiTheme="majorBidi" w:hAnsiTheme="majorBidi"/>
        </w:rPr>
        <w:t>d)</w:t>
      </w:r>
      <w:r>
        <w:rPr>
          <w:rFonts w:asciiTheme="majorBidi" w:hAnsiTheme="majorBidi"/>
        </w:rPr>
        <w:tab/>
        <w:t>Conocimientos y perspectivas sobre los tres objetivos del Convenio, incluidos los conocimientos tradicionales, [en particular conocimientos especializados sobre los diversos métodos y enfoques para valorar la naturaleza,] como los que poseen los pueblos indígenas y las comunidades locales, las mujeres y la juventud.</w:t>
      </w:r>
    </w:p>
    <w:p w14:paraId="735F849C" w14:textId="67155F35" w:rsidR="002F19FC" w:rsidRPr="00812DE7" w:rsidRDefault="00402A41" w:rsidP="00C6050B">
      <w:pPr>
        <w:tabs>
          <w:tab w:val="left" w:pos="1134"/>
          <w:tab w:val="left" w:pos="2160"/>
        </w:tabs>
        <w:snapToGrid w:val="0"/>
        <w:spacing w:before="120" w:after="120"/>
        <w:ind w:left="567"/>
        <w:rPr>
          <w:rFonts w:asciiTheme="majorBidi" w:hAnsiTheme="majorBidi" w:cstheme="majorBidi"/>
          <w:snapToGrid w:val="0"/>
          <w:kern w:val="22"/>
        </w:rPr>
      </w:pPr>
      <w:r>
        <w:rPr>
          <w:rFonts w:asciiTheme="majorBidi" w:hAnsiTheme="majorBidi"/>
          <w:snapToGrid w:val="0"/>
        </w:rPr>
        <w:t>6.</w:t>
      </w:r>
      <w:r>
        <w:rPr>
          <w:rFonts w:asciiTheme="majorBidi" w:hAnsiTheme="majorBidi"/>
          <w:snapToGrid w:val="0"/>
        </w:rPr>
        <w:tab/>
      </w:r>
      <w:r>
        <w:t>El Grupo elegirá dos copresidentes de entre los expertos seleccionados, uno de un país desarrollado y otro de un país en desarrollo.</w:t>
      </w:r>
    </w:p>
    <w:p w14:paraId="29128749" w14:textId="351DB7B7" w:rsidR="004D0354" w:rsidRPr="00C6050B" w:rsidRDefault="00402A41" w:rsidP="00C6050B">
      <w:pPr>
        <w:tabs>
          <w:tab w:val="left" w:pos="1134"/>
          <w:tab w:val="left" w:pos="2160"/>
        </w:tabs>
        <w:snapToGrid w:val="0"/>
        <w:spacing w:before="120" w:after="120"/>
        <w:ind w:left="567"/>
        <w:rPr>
          <w:kern w:val="22"/>
        </w:rPr>
      </w:pPr>
      <w:r>
        <w:t>7.</w:t>
      </w:r>
      <w:r>
        <w:tab/>
      </w:r>
      <w:r>
        <w:rPr>
          <w:rFonts w:asciiTheme="majorBidi" w:hAnsiTheme="majorBidi"/>
          <w:snapToGrid w:val="0"/>
        </w:rPr>
        <w:t xml:space="preserve">Las </w:t>
      </w:r>
      <w:r>
        <w:t xml:space="preserve">presidencias </w:t>
      </w:r>
      <w:r>
        <w:rPr>
          <w:rFonts w:asciiTheme="majorBidi" w:hAnsiTheme="majorBidi"/>
          <w:snapToGrid w:val="0"/>
        </w:rPr>
        <w:t>del Órgano Subsidiario de Asesoramiento Científico, Técnico y Tecnológico, el Órgano Subsidiario sobre la Aplicación, el Grupo de Trabajo Especial de Composición Abierta entre Períodos de Sesiones sobre el Artículo 8 j) y Disposiciones Conexas del Convenio y de un comité para la revisión mundial de</w:t>
      </w:r>
      <w:r>
        <w:t xml:space="preserve"> los progresos colectivos en la implementación del Marco (si se establece bajo los auspicios del Órgano Subsidiario sobre la Aplicación) podrían participar, </w:t>
      </w:r>
      <w:r>
        <w:rPr>
          <w:i/>
          <w:iCs/>
        </w:rPr>
        <w:t>ex officio</w:t>
      </w:r>
      <w:r>
        <w:t>, en las reuniones del Grupo cuando proceda.</w:t>
      </w:r>
      <w:r>
        <w:rPr>
          <w:rFonts w:asciiTheme="majorBidi" w:hAnsiTheme="majorBidi"/>
          <w:snapToGrid w:val="0"/>
        </w:rPr>
        <w:t xml:space="preserve"> </w:t>
      </w:r>
      <w:r>
        <w:t>Según proceda, y teniendo debidamente en cuenta la representación regional equitativa, incluidos países en desarrollo, y el equilibrio de género, el Grupo podrá invitar a otros expertos a aportar sus conocimientos especializados y prácticos sobre cuestiones concretas relacionadas con su mandato.</w:t>
      </w:r>
    </w:p>
    <w:p w14:paraId="61E6933D" w14:textId="7C4B3117" w:rsidR="00445706" w:rsidRPr="00C6050B" w:rsidRDefault="00402A41" w:rsidP="00C6050B">
      <w:pPr>
        <w:tabs>
          <w:tab w:val="left" w:pos="1134"/>
          <w:tab w:val="left" w:pos="2160"/>
        </w:tabs>
        <w:snapToGrid w:val="0"/>
        <w:spacing w:before="120" w:after="120"/>
        <w:ind w:left="567"/>
        <w:rPr>
          <w:snapToGrid w:val="0"/>
          <w:kern w:val="22"/>
          <w:szCs w:val="22"/>
        </w:rPr>
      </w:pPr>
      <w:r>
        <w:rPr>
          <w:snapToGrid w:val="0"/>
        </w:rPr>
        <w:t>8.</w:t>
      </w:r>
      <w:r>
        <w:rPr>
          <w:snapToGrid w:val="0"/>
        </w:rPr>
        <w:tab/>
        <w:t xml:space="preserve">El </w:t>
      </w:r>
      <w:r>
        <w:t>Grupo</w:t>
      </w:r>
      <w:r>
        <w:rPr>
          <w:snapToGrid w:val="0"/>
        </w:rPr>
        <w:t xml:space="preserve"> llevará cabo su labor principalmente por medios electrónicos, con sujeción a la disponibilidad de recursos y, si es posible, también se reunirá de manera presencial al menos dos veces durante el período entre reuniones.</w:t>
      </w:r>
    </w:p>
    <w:p w14:paraId="061D7C6D" w14:textId="771385FC" w:rsidR="00403270" w:rsidRPr="00C6050B" w:rsidRDefault="00402A41" w:rsidP="00C6050B">
      <w:pPr>
        <w:tabs>
          <w:tab w:val="left" w:pos="1134"/>
          <w:tab w:val="left" w:pos="2160"/>
        </w:tabs>
        <w:snapToGrid w:val="0"/>
        <w:spacing w:before="120" w:after="120"/>
        <w:ind w:left="567"/>
        <w:rPr>
          <w:snapToGrid w:val="0"/>
          <w:color w:val="000000" w:themeColor="text1"/>
          <w:kern w:val="22"/>
        </w:rPr>
      </w:pPr>
      <w:r>
        <w:rPr>
          <w:snapToGrid w:val="0"/>
          <w:color w:val="000000" w:themeColor="text1"/>
        </w:rPr>
        <w:t>9.</w:t>
      </w:r>
      <w:r>
        <w:rPr>
          <w:snapToGrid w:val="0"/>
          <w:color w:val="000000" w:themeColor="text1"/>
        </w:rPr>
        <w:tab/>
      </w:r>
      <w:r>
        <w:rPr>
          <w:snapToGrid w:val="0"/>
        </w:rPr>
        <w:t xml:space="preserve">Una vez </w:t>
      </w:r>
      <w:r>
        <w:t>establecido</w:t>
      </w:r>
      <w:r>
        <w:rPr>
          <w:snapToGrid w:val="0"/>
        </w:rPr>
        <w:t>, el Grupo informará de su labor a la Mesa del Órgano Subsidiario de Asesoramiento Científico, Técnico y Tecnológico y la Mesa de la Conferencia de las Partes, e intercambiará información pertinente con el comité para la revisión mundial</w:t>
      </w:r>
      <w:r>
        <w:rPr>
          <w:rFonts w:asciiTheme="majorBidi" w:hAnsiTheme="majorBidi"/>
          <w:snapToGrid w:val="0"/>
        </w:rPr>
        <w:t xml:space="preserve"> bajo los auspicios del Órgano Subsidiario sobre la Aplicación, si se establece ese comité</w:t>
      </w:r>
      <w:r>
        <w:rPr>
          <w:snapToGrid w:val="0"/>
          <w:color w:val="000000" w:themeColor="text1"/>
        </w:rPr>
        <w:t>.</w:t>
      </w:r>
    </w:p>
    <w:p w14:paraId="796112FA" w14:textId="35FB1111" w:rsidR="00F828D3" w:rsidRPr="00C6050B" w:rsidRDefault="00402A41" w:rsidP="00C6050B">
      <w:pPr>
        <w:tabs>
          <w:tab w:val="left" w:pos="1134"/>
          <w:tab w:val="left" w:pos="2160"/>
        </w:tabs>
        <w:snapToGrid w:val="0"/>
        <w:spacing w:before="120" w:after="120"/>
        <w:ind w:left="567"/>
        <w:rPr>
          <w:snapToGrid w:val="0"/>
          <w:color w:val="000000" w:themeColor="text1"/>
          <w:kern w:val="22"/>
          <w:szCs w:val="22"/>
        </w:rPr>
      </w:pPr>
      <w:r>
        <w:rPr>
          <w:snapToGrid w:val="0"/>
          <w:color w:val="000000" w:themeColor="text1"/>
        </w:rPr>
        <w:t>10.</w:t>
      </w:r>
      <w:r>
        <w:rPr>
          <w:snapToGrid w:val="0"/>
          <w:color w:val="000000" w:themeColor="text1"/>
        </w:rPr>
        <w:tab/>
      </w:r>
      <w:r>
        <w:rPr>
          <w:snapToGrid w:val="0"/>
        </w:rPr>
        <w:t xml:space="preserve">El </w:t>
      </w:r>
      <w:r>
        <w:t>calendario</w:t>
      </w:r>
      <w:r>
        <w:rPr>
          <w:snapToGrid w:val="0"/>
        </w:rPr>
        <w:t xml:space="preserve"> </w:t>
      </w:r>
      <w:r>
        <w:rPr>
          <w:snapToGrid w:val="0"/>
          <w:color w:val="000000" w:themeColor="text1"/>
        </w:rPr>
        <w:t xml:space="preserve">del plan de trabajo del Grupo se establecerá en función de los procedimientos elaborados por el Órgano Subsidiario sobre la Aplicación para la revisión mundial, teniendo presente que los informes mundiales deberían finalizarse antes de las reuniones 17ª y 19ª de la Conferencia de las Partes, respectivamente, para que esta los considere en esas reuniones. </w:t>
      </w:r>
    </w:p>
    <w:p w14:paraId="32599C91" w14:textId="23243382" w:rsidR="004513BF" w:rsidRPr="00812DE7" w:rsidRDefault="00402A41" w:rsidP="00C6050B">
      <w:pPr>
        <w:tabs>
          <w:tab w:val="left" w:pos="1134"/>
          <w:tab w:val="left" w:pos="2160"/>
        </w:tabs>
        <w:snapToGrid w:val="0"/>
        <w:spacing w:before="120" w:after="120"/>
        <w:ind w:left="567"/>
        <w:rPr>
          <w:snapToGrid w:val="0"/>
          <w:color w:val="000000" w:themeColor="text1"/>
          <w:kern w:val="22"/>
          <w:szCs w:val="22"/>
        </w:rPr>
      </w:pPr>
      <w:r>
        <w:rPr>
          <w:snapToGrid w:val="0"/>
          <w:color w:val="000000" w:themeColor="text1"/>
        </w:rPr>
        <w:t>11.</w:t>
      </w:r>
      <w:r>
        <w:rPr>
          <w:snapToGrid w:val="0"/>
          <w:color w:val="000000" w:themeColor="text1"/>
        </w:rPr>
        <w:tab/>
      </w:r>
      <w:r>
        <w:t>El Grupo informará sobre su labor al Órgano Subsidiario de Asesoramiento Científico, Técnico y Tecnológico en las reuniones que se celebren antes de la 17ª reunión de la Conferencia de las Partes.</w:t>
      </w:r>
    </w:p>
    <w:p w14:paraId="1C2203F3" w14:textId="77777777" w:rsidR="00F828D3" w:rsidRPr="00812DE7" w:rsidRDefault="00F828D3" w:rsidP="00F828D3">
      <w:pPr>
        <w:suppressLineNumbers/>
        <w:suppressAutoHyphens/>
        <w:kinsoku w:val="0"/>
        <w:overflowPunct w:val="0"/>
        <w:autoSpaceDE w:val="0"/>
        <w:autoSpaceDN w:val="0"/>
        <w:adjustRightInd w:val="0"/>
        <w:snapToGrid w:val="0"/>
        <w:spacing w:before="120" w:after="120"/>
        <w:ind w:left="720"/>
        <w:jc w:val="center"/>
      </w:pPr>
      <w:r>
        <w:rPr>
          <w:snapToGrid w:val="0"/>
          <w:color w:val="000000" w:themeColor="text1"/>
        </w:rPr>
        <w:t>________________</w:t>
      </w:r>
    </w:p>
    <w:p w14:paraId="2B55FE00" w14:textId="77777777" w:rsidR="007C2B57" w:rsidRPr="00812DE7" w:rsidRDefault="007C2B57" w:rsidP="007C2B57">
      <w:pPr>
        <w:pStyle w:val="CBD-Para"/>
        <w:numPr>
          <w:ilvl w:val="0"/>
          <w:numId w:val="0"/>
        </w:numPr>
        <w:suppressLineNumbers/>
        <w:suppressAutoHyphens/>
        <w:adjustRightInd w:val="0"/>
        <w:snapToGrid w:val="0"/>
        <w:ind w:left="207"/>
        <w:rPr>
          <w:kern w:val="22"/>
          <w:lang w:val="en-GB"/>
        </w:rPr>
      </w:pPr>
    </w:p>
    <w:p w14:paraId="779CFF66" w14:textId="77777777" w:rsidR="007C2B57" w:rsidRPr="00812DE7" w:rsidRDefault="007C2B57" w:rsidP="00C6050B">
      <w:pPr>
        <w:suppressLineNumbers/>
        <w:suppressAutoHyphens/>
        <w:kinsoku w:val="0"/>
        <w:overflowPunct w:val="0"/>
        <w:autoSpaceDE w:val="0"/>
        <w:autoSpaceDN w:val="0"/>
        <w:adjustRightInd w:val="0"/>
        <w:snapToGrid w:val="0"/>
        <w:spacing w:before="120" w:after="120"/>
        <w:ind w:left="720"/>
        <w:jc w:val="center"/>
        <w:rPr>
          <w:i/>
          <w:kern w:val="22"/>
        </w:rPr>
      </w:pPr>
    </w:p>
    <w:sectPr w:rsidR="007C2B57" w:rsidRPr="00812DE7" w:rsidSect="00FA06AF">
      <w:pgSz w:w="12240" w:h="15840"/>
      <w:pgMar w:top="567" w:right="1389" w:bottom="1134"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6554" w14:textId="77777777" w:rsidR="00EF2526" w:rsidRDefault="00EF2526" w:rsidP="00CF1848">
      <w:r>
        <w:separator/>
      </w:r>
    </w:p>
  </w:endnote>
  <w:endnote w:type="continuationSeparator" w:id="0">
    <w:p w14:paraId="49B94E62" w14:textId="77777777" w:rsidR="00EF2526" w:rsidRDefault="00EF2526" w:rsidP="00CF1848">
      <w:r>
        <w:continuationSeparator/>
      </w:r>
    </w:p>
  </w:endnote>
  <w:endnote w:type="continuationNotice" w:id="1">
    <w:p w14:paraId="6FAAEB26" w14:textId="77777777" w:rsidR="00EF2526" w:rsidRDefault="00EF2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601986"/>
      <w:docPartObj>
        <w:docPartGallery w:val="Page Numbers (Top of Page)"/>
        <w:docPartUnique/>
      </w:docPartObj>
    </w:sdtPr>
    <w:sdtEndPr/>
    <w:sdtContent>
      <w:p w14:paraId="405347B1" w14:textId="03BFC015" w:rsidR="00231A68" w:rsidRDefault="00961607" w:rsidP="00F6651B">
        <w:pPr>
          <w:pStyle w:val="Footer"/>
          <w:jc w:val="left"/>
        </w:pPr>
        <w:r w:rsidRPr="002B559C">
          <w:rPr>
            <w:sz w:val="20"/>
          </w:rPr>
          <w:fldChar w:fldCharType="begin"/>
        </w:r>
        <w:r w:rsidRPr="002B559C">
          <w:rPr>
            <w:sz w:val="20"/>
          </w:rPr>
          <w:instrText xml:space="preserve"> PAGE </w:instrText>
        </w:r>
        <w:r w:rsidRPr="002B559C">
          <w:rPr>
            <w:sz w:val="20"/>
          </w:rPr>
          <w:fldChar w:fldCharType="separate"/>
        </w:r>
        <w:r>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Pr>
            <w:sz w:val="20"/>
          </w:rPr>
          <w:t>7</w:t>
        </w:r>
        <w:r w:rsidRPr="002B559C">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176647"/>
      <w:docPartObj>
        <w:docPartGallery w:val="Page Numbers (Top of Page)"/>
        <w:docPartUnique/>
      </w:docPartObj>
    </w:sdtPr>
    <w:sdtEndPr/>
    <w:sdtContent>
      <w:p w14:paraId="43FB31F1" w14:textId="10E1A897" w:rsidR="00231A68" w:rsidRDefault="00961607" w:rsidP="00FA06AF">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Pr>
            <w:sz w:val="20"/>
          </w:rPr>
          <w:t>7</w:t>
        </w:r>
        <w:r w:rsidRPr="002B559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0D97" w14:textId="77777777" w:rsidR="00EF2526" w:rsidRDefault="00EF2526" w:rsidP="00CF1848">
      <w:r>
        <w:separator/>
      </w:r>
    </w:p>
  </w:footnote>
  <w:footnote w:type="continuationSeparator" w:id="0">
    <w:p w14:paraId="23A432F9" w14:textId="77777777" w:rsidR="00EF2526" w:rsidRDefault="00EF2526" w:rsidP="00CF1848">
      <w:r>
        <w:continuationSeparator/>
      </w:r>
    </w:p>
  </w:footnote>
  <w:footnote w:type="continuationNotice" w:id="1">
    <w:p w14:paraId="6FDBCADE" w14:textId="77777777" w:rsidR="00EF2526" w:rsidRDefault="00EF2526"/>
  </w:footnote>
  <w:footnote w:id="2">
    <w:p w14:paraId="184A3227" w14:textId="3560159D" w:rsidR="00173120" w:rsidRPr="00C6050B" w:rsidRDefault="00173120">
      <w:pPr>
        <w:pStyle w:val="FootnoteText"/>
        <w:rPr>
          <w:sz w:val="18"/>
          <w:szCs w:val="18"/>
        </w:rPr>
      </w:pPr>
      <w:r>
        <w:rPr>
          <w:sz w:val="18"/>
          <w:szCs w:val="18"/>
          <w:vertAlign w:val="superscript"/>
        </w:rPr>
        <w:footnoteRef/>
      </w:r>
      <w:r>
        <w:t xml:space="preserve"> </w:t>
      </w:r>
      <w:r>
        <w:rPr>
          <w:sz w:val="18"/>
        </w:rPr>
        <w:t xml:space="preserve">Naciones Unidas, </w:t>
      </w:r>
      <w:r>
        <w:rPr>
          <w:i/>
          <w:sz w:val="18"/>
        </w:rPr>
        <w:t>Treaty Series</w:t>
      </w:r>
      <w:r>
        <w:rPr>
          <w:sz w:val="18"/>
        </w:rPr>
        <w:t>, vol. 1760, núm. 30619.</w:t>
      </w:r>
    </w:p>
  </w:footnote>
  <w:footnote w:id="3">
    <w:p w14:paraId="7812E445" w14:textId="6972DD9A" w:rsidR="00CD23B7" w:rsidRPr="00C6050B" w:rsidRDefault="00CD23B7">
      <w:pPr>
        <w:pStyle w:val="FootnoteText"/>
        <w:rPr>
          <w:sz w:val="18"/>
          <w:szCs w:val="18"/>
        </w:rPr>
      </w:pPr>
      <w:r>
        <w:rPr>
          <w:rStyle w:val="FootnoteReference"/>
          <w:sz w:val="18"/>
          <w:szCs w:val="18"/>
        </w:rPr>
        <w:footnoteRef/>
      </w:r>
      <w:r>
        <w:t xml:space="preserve"> </w:t>
      </w:r>
      <w:r>
        <w:rPr>
          <w:sz w:val="18"/>
        </w:rPr>
        <w:t>Decisión 15/4, anexo</w:t>
      </w:r>
      <w:r>
        <w:t>.</w:t>
      </w:r>
    </w:p>
  </w:footnote>
  <w:footnote w:id="4">
    <w:p w14:paraId="6804C73E" w14:textId="497B7611" w:rsidR="00DF3DD0" w:rsidRPr="00C6050B" w:rsidRDefault="00DF3DD0" w:rsidP="00DF3DD0">
      <w:pPr>
        <w:pStyle w:val="FootnoteText"/>
        <w:rPr>
          <w:sz w:val="18"/>
          <w:szCs w:val="18"/>
        </w:rPr>
      </w:pPr>
      <w:r>
        <w:rPr>
          <w:rFonts w:eastAsiaTheme="majorEastAsia"/>
          <w:sz w:val="18"/>
          <w:szCs w:val="18"/>
          <w:vertAlign w:val="superscript"/>
        </w:rPr>
        <w:footnoteRef/>
      </w:r>
      <w:r>
        <w:t xml:space="preserve"> </w:t>
      </w:r>
      <w:r>
        <w:rPr>
          <w:sz w:val="18"/>
        </w:rPr>
        <w:t>Decisión IPBES</w:t>
      </w:r>
      <w:r w:rsidR="00E634E7">
        <w:rPr>
          <w:sz w:val="18"/>
        </w:rPr>
        <w:noBreakHyphen/>
      </w:r>
      <w:r>
        <w:rPr>
          <w:sz w:val="18"/>
        </w:rPr>
        <w:t>10/1</w:t>
      </w:r>
      <w:r>
        <w:t>.</w:t>
      </w:r>
    </w:p>
  </w:footnote>
  <w:footnote w:id="5">
    <w:p w14:paraId="2083D280" w14:textId="745E40D6" w:rsidR="0058624C" w:rsidRPr="0058624C" w:rsidRDefault="0058624C">
      <w:pPr>
        <w:pStyle w:val="FootnoteText"/>
      </w:pPr>
      <w:r>
        <w:rPr>
          <w:rStyle w:val="FootnoteReference"/>
        </w:rPr>
        <w:footnoteRef/>
      </w:r>
      <w:r>
        <w:t xml:space="preserve"> </w:t>
      </w:r>
      <w:r>
        <w:rPr>
          <w:sz w:val="18"/>
        </w:rPr>
        <w:t xml:space="preserve">El párrafo 1 complementaría otros párrafos o se integraría en otros párrafos que determinen los procedimientos y los elementos correspondientes de la revisión mundial </w:t>
      </w:r>
      <w:r>
        <w:rPr>
          <w:snapToGrid w:val="0"/>
          <w:sz w:val="18"/>
        </w:rPr>
        <w:t>de los progresos colectivos en la implementación del Marco que serán elaborados por el Órgano Subsidiario sobre la Aplicación en su cuarta reunión.</w:t>
      </w:r>
    </w:p>
  </w:footnote>
  <w:footnote w:id="6">
    <w:p w14:paraId="2FCA0EF7" w14:textId="1D28FDDE" w:rsidR="007C2B57" w:rsidRPr="007C2B57" w:rsidRDefault="007C2B57" w:rsidP="007C2B57">
      <w:pPr>
        <w:rPr>
          <w:sz w:val="18"/>
          <w:szCs w:val="18"/>
        </w:rPr>
      </w:pPr>
      <w:r>
        <w:rPr>
          <w:sz w:val="18"/>
          <w:szCs w:val="18"/>
          <w:vertAlign w:val="superscript"/>
        </w:rPr>
        <w:footnoteRef/>
      </w:r>
      <w:r>
        <w:rPr>
          <w:sz w:val="18"/>
        </w:rPr>
        <w:t xml:space="preserve"> Tomando nota de que, en su cuarta reunión, el Órgano Subsidiario sobre la Aplicación estudiará un modelo para la presentación de compromisos por parte de los agentes no estatales en relación con el Marco.</w:t>
      </w:r>
    </w:p>
  </w:footnote>
  <w:footnote w:id="7">
    <w:p w14:paraId="2EFAC31F" w14:textId="108F5C24" w:rsidR="00F51CAB" w:rsidRPr="00C6050B" w:rsidRDefault="00F51CAB">
      <w:pPr>
        <w:pStyle w:val="FootnoteText"/>
      </w:pPr>
      <w:r>
        <w:rPr>
          <w:rStyle w:val="FootnoteReference"/>
        </w:rPr>
        <w:footnoteRef/>
      </w:r>
      <w:r>
        <w:t xml:space="preserve"> Decisión 15/5, anexo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1025475938"/>
      <w:dataBinding w:prefixMappings="xmlns:ns0='http://purl.org/dc/elements/1.1/' xmlns:ns1='http://schemas.openxmlformats.org/package/2006/metadata/core-properties' " w:xpath="/ns1:coreProperties[1]/ns0:subject[1]" w:storeItemID="{6C3C8BC8-F283-45AE-878A-BAB7291924A1}"/>
      <w:text/>
    </w:sdtPr>
    <w:sdtEndPr/>
    <w:sdtContent>
      <w:p w14:paraId="791FD985" w14:textId="69667B02" w:rsidR="003909F1" w:rsidRPr="00792BE3" w:rsidRDefault="00573D23" w:rsidP="00792BE3">
        <w:pPr>
          <w:pStyle w:val="Header"/>
          <w:pBdr>
            <w:bottom w:val="single" w:sz="4" w:space="1" w:color="auto"/>
          </w:pBdr>
          <w:spacing w:after="240"/>
          <w:rPr>
            <w:sz w:val="20"/>
            <w:lang w:val="fr-FR"/>
          </w:rPr>
        </w:pPr>
        <w:r w:rsidRPr="00792BE3">
          <w:rPr>
            <w:sz w:val="20"/>
            <w:szCs w:val="20"/>
            <w:lang w:val="fr-FR"/>
          </w:rPr>
          <w:t>CBD/SBSTTA/</w:t>
        </w:r>
        <w:r w:rsidR="005C339C">
          <w:rPr>
            <w:sz w:val="20"/>
            <w:szCs w:val="20"/>
            <w:lang w:val="fr-FR"/>
          </w:rPr>
          <w:t>REC/</w:t>
        </w:r>
        <w:r w:rsidRPr="00792BE3">
          <w:rPr>
            <w:sz w:val="20"/>
            <w:szCs w:val="20"/>
            <w:lang w:val="fr-FR"/>
          </w:rPr>
          <w:t>25/</w:t>
        </w:r>
        <w:r w:rsidR="005C339C">
          <w:rPr>
            <w:sz w:val="20"/>
            <w:szCs w:val="20"/>
            <w:lang w:val="fr-FR"/>
          </w:rPr>
          <w:t>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870071646"/>
      <w:dataBinding w:prefixMappings="xmlns:ns0='http://purl.org/dc/elements/1.1/' xmlns:ns1='http://schemas.openxmlformats.org/package/2006/metadata/core-properties' " w:xpath="/ns1:coreProperties[1]/ns0:subject[1]" w:storeItemID="{6C3C8BC8-F283-45AE-878A-BAB7291924A1}"/>
      <w:text/>
    </w:sdtPr>
    <w:sdtEndPr/>
    <w:sdtContent>
      <w:p w14:paraId="19D928B1" w14:textId="7C14C043" w:rsidR="00231A68" w:rsidRPr="00792BE3" w:rsidRDefault="00573D23" w:rsidP="00792BE3">
        <w:pPr>
          <w:pStyle w:val="Header"/>
          <w:pBdr>
            <w:bottom w:val="single" w:sz="4" w:space="1" w:color="auto"/>
          </w:pBdr>
          <w:spacing w:after="240"/>
          <w:jc w:val="right"/>
          <w:rPr>
            <w:sz w:val="20"/>
            <w:lang w:val="fr-FR"/>
          </w:rPr>
        </w:pPr>
        <w:r>
          <w:rPr>
            <w:sz w:val="20"/>
            <w:szCs w:val="20"/>
            <w:lang w:val="fr-FR"/>
          </w:rPr>
          <w:t>CBD/SBSTTA/REC/</w:t>
        </w:r>
        <w:r w:rsidR="005C339C">
          <w:rPr>
            <w:sz w:val="20"/>
            <w:szCs w:val="20"/>
            <w:lang w:val="fr-FR"/>
          </w:rPr>
          <w:t>2</w:t>
        </w:r>
        <w:r>
          <w:rPr>
            <w:sz w:val="20"/>
            <w:szCs w:val="20"/>
            <w:lang w:val="fr-FR"/>
          </w:rPr>
          <w:t>5/</w:t>
        </w:r>
        <w:r w:rsidR="005C339C">
          <w:rPr>
            <w:sz w:val="20"/>
            <w:szCs w:val="20"/>
            <w:lang w:val="fr-FR"/>
          </w:rPr>
          <w:t>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0FE"/>
    <w:multiLevelType w:val="hybridMultilevel"/>
    <w:tmpl w:val="AE42B670"/>
    <w:lvl w:ilvl="0" w:tplc="B07642CA">
      <w:start w:val="1"/>
      <w:numFmt w:val="lowerLetter"/>
      <w:lvlText w:val="(%1)"/>
      <w:lvlJc w:val="left"/>
      <w:pPr>
        <w:tabs>
          <w:tab w:val="num" w:pos="2160"/>
        </w:tabs>
        <w:ind w:left="2160" w:hanging="360"/>
      </w:pPr>
      <w:rPr>
        <w:rFonts w:hint="default"/>
        <w:b w:val="0"/>
      </w:rPr>
    </w:lvl>
    <w:lvl w:ilvl="1" w:tplc="DF4263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33F3E"/>
    <w:multiLevelType w:val="hybridMultilevel"/>
    <w:tmpl w:val="058888F8"/>
    <w:lvl w:ilvl="0" w:tplc="1C96EA68">
      <w:start w:val="1"/>
      <w:numFmt w:val="decimal"/>
      <w:lvlText w:val="%1."/>
      <w:lvlJc w:val="left"/>
      <w:pPr>
        <w:tabs>
          <w:tab w:val="num" w:pos="4500"/>
        </w:tabs>
        <w:ind w:left="4500" w:hanging="720"/>
      </w:pPr>
    </w:lvl>
    <w:lvl w:ilvl="1" w:tplc="069291EE">
      <w:start w:val="1"/>
      <w:numFmt w:val="lowerLetter"/>
      <w:lvlText w:val="(%2)"/>
      <w:lvlJc w:val="left"/>
      <w:pPr>
        <w:ind w:left="4860" w:hanging="360"/>
      </w:pPr>
      <w:rPr>
        <w:rFonts w:asciiTheme="majorBidi" w:eastAsia="Times New Roman" w:hAnsiTheme="majorBidi" w:cstheme="majorBidi" w:hint="default"/>
      </w:rPr>
    </w:lvl>
    <w:lvl w:ilvl="2" w:tplc="0409001B">
      <w:start w:val="1"/>
      <w:numFmt w:val="lowerRoman"/>
      <w:lvlText w:val="%3."/>
      <w:lvlJc w:val="right"/>
      <w:pPr>
        <w:tabs>
          <w:tab w:val="num" w:pos="5580"/>
        </w:tabs>
        <w:ind w:left="5580" w:hanging="180"/>
      </w:pPr>
    </w:lvl>
    <w:lvl w:ilvl="3" w:tplc="0409000F">
      <w:start w:val="1"/>
      <w:numFmt w:val="decimal"/>
      <w:lvlText w:val="%4."/>
      <w:lvlJc w:val="left"/>
      <w:pPr>
        <w:tabs>
          <w:tab w:val="num" w:pos="6300"/>
        </w:tabs>
        <w:ind w:left="6300" w:hanging="360"/>
      </w:pPr>
    </w:lvl>
    <w:lvl w:ilvl="4" w:tplc="04090019">
      <w:start w:val="1"/>
      <w:numFmt w:val="lowerLetter"/>
      <w:lvlText w:val="%5."/>
      <w:lvlJc w:val="left"/>
      <w:pPr>
        <w:tabs>
          <w:tab w:val="num" w:pos="7020"/>
        </w:tabs>
        <w:ind w:left="7020" w:hanging="360"/>
      </w:pPr>
    </w:lvl>
    <w:lvl w:ilvl="5" w:tplc="0409001B">
      <w:start w:val="1"/>
      <w:numFmt w:val="lowerRoman"/>
      <w:lvlText w:val="%6."/>
      <w:lvlJc w:val="right"/>
      <w:pPr>
        <w:tabs>
          <w:tab w:val="num" w:pos="7740"/>
        </w:tabs>
        <w:ind w:left="7740" w:hanging="180"/>
      </w:pPr>
    </w:lvl>
    <w:lvl w:ilvl="6" w:tplc="0409000F">
      <w:start w:val="1"/>
      <w:numFmt w:val="decimal"/>
      <w:lvlText w:val="%7."/>
      <w:lvlJc w:val="left"/>
      <w:pPr>
        <w:tabs>
          <w:tab w:val="num" w:pos="8460"/>
        </w:tabs>
        <w:ind w:left="8460" w:hanging="360"/>
      </w:pPr>
    </w:lvl>
    <w:lvl w:ilvl="7" w:tplc="04090019">
      <w:start w:val="1"/>
      <w:numFmt w:val="lowerLetter"/>
      <w:lvlText w:val="%8."/>
      <w:lvlJc w:val="left"/>
      <w:pPr>
        <w:tabs>
          <w:tab w:val="num" w:pos="9180"/>
        </w:tabs>
        <w:ind w:left="9180" w:hanging="360"/>
      </w:pPr>
    </w:lvl>
    <w:lvl w:ilvl="8" w:tplc="0409001B">
      <w:start w:val="1"/>
      <w:numFmt w:val="lowerRoman"/>
      <w:lvlText w:val="%9."/>
      <w:lvlJc w:val="right"/>
      <w:pPr>
        <w:tabs>
          <w:tab w:val="num" w:pos="9900"/>
        </w:tabs>
        <w:ind w:left="9900" w:hanging="180"/>
      </w:pPr>
    </w:lvl>
  </w:abstractNum>
  <w:abstractNum w:abstractNumId="2" w15:restartNumberingAfterBreak="0">
    <w:nsid w:val="055B1AE3"/>
    <w:multiLevelType w:val="hybridMultilevel"/>
    <w:tmpl w:val="7C3ECF5A"/>
    <w:lvl w:ilvl="0" w:tplc="CFB62B08">
      <w:start w:val="1"/>
      <w:numFmt w:val="decimal"/>
      <w:lvlText w:val="%1."/>
      <w:lvlJc w:val="left"/>
      <w:pPr>
        <w:tabs>
          <w:tab w:val="num" w:pos="1080"/>
        </w:tabs>
        <w:ind w:left="1080" w:hanging="360"/>
      </w:pPr>
      <w:rPr>
        <w:rFonts w:hint="default"/>
        <w:i w:val="0"/>
        <w:iCs/>
      </w:rPr>
    </w:lvl>
    <w:lvl w:ilvl="1" w:tplc="CAB40D4C">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68325B"/>
    <w:multiLevelType w:val="hybridMultilevel"/>
    <w:tmpl w:val="F138A28A"/>
    <w:lvl w:ilvl="0" w:tplc="FF2CD80A">
      <w:start w:val="1"/>
      <w:numFmt w:val="lowerLetter"/>
      <w:lvlText w:val="(%1)"/>
      <w:lvlJc w:val="left"/>
      <w:pPr>
        <w:tabs>
          <w:tab w:val="num" w:pos="2520"/>
        </w:tabs>
        <w:ind w:left="25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2A4857"/>
    <w:multiLevelType w:val="hybridMultilevel"/>
    <w:tmpl w:val="5030DB70"/>
    <w:lvl w:ilvl="0" w:tplc="4B50C0F0">
      <w:start w:val="17"/>
      <w:numFmt w:val="bullet"/>
      <w:lvlText w:val="-"/>
      <w:lvlJc w:val="left"/>
      <w:pPr>
        <w:ind w:left="720" w:hanging="360"/>
      </w:pPr>
      <w:rPr>
        <w:rFonts w:ascii="Times New Roman" w:eastAsia="DengXian" w:hAnsi="Times New Roman" w:cs="Times New Roman"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CA410CD"/>
    <w:multiLevelType w:val="hybridMultilevel"/>
    <w:tmpl w:val="5DAAB09E"/>
    <w:lvl w:ilvl="0" w:tplc="6E482212">
      <w:start w:val="1"/>
      <w:numFmt w:val="decimal"/>
      <w:pStyle w:val="CBD-Para"/>
      <w:lvlText w:val="%1."/>
      <w:lvlJc w:val="left"/>
      <w:pPr>
        <w:tabs>
          <w:tab w:val="num" w:pos="720"/>
        </w:tabs>
        <w:ind w:left="0" w:firstLine="0"/>
      </w:pPr>
      <w:rPr>
        <w:rFonts w:hint="default"/>
        <w:b w:val="0"/>
      </w:rPr>
    </w:lvl>
    <w:lvl w:ilvl="1" w:tplc="DF42636C">
      <w:start w:val="1"/>
      <w:numFmt w:val="lowerLetter"/>
      <w:lvlText w:val="(%2)"/>
      <w:lvlJc w:val="left"/>
      <w:pPr>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9521709"/>
    <w:multiLevelType w:val="hybridMultilevel"/>
    <w:tmpl w:val="FE22EEF0"/>
    <w:lvl w:ilvl="0" w:tplc="FFFFFFFF">
      <w:start w:val="1"/>
      <w:numFmt w:val="decimal"/>
      <w:lvlText w:val="%1."/>
      <w:lvlJc w:val="left"/>
      <w:pPr>
        <w:tabs>
          <w:tab w:val="num" w:pos="360"/>
        </w:tabs>
        <w:ind w:left="360" w:hanging="360"/>
      </w:pPr>
      <w:rPr>
        <w:rFonts w:hint="default"/>
        <w:i w:val="0"/>
        <w:iCs/>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EF139C4"/>
    <w:multiLevelType w:val="hybridMultilevel"/>
    <w:tmpl w:val="366A0DF0"/>
    <w:lvl w:ilvl="0" w:tplc="2D3CB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2F6646"/>
    <w:multiLevelType w:val="hybridMultilevel"/>
    <w:tmpl w:val="4E487CE4"/>
    <w:lvl w:ilvl="0" w:tplc="95C04E8A">
      <w:start w:val="1"/>
      <w:numFmt w:val="upperLetter"/>
      <w:lvlText w:val="%1."/>
      <w:lvlJc w:val="left"/>
      <w:pPr>
        <w:ind w:left="1710" w:hanging="360"/>
      </w:pPr>
      <w:rPr>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56362CB6"/>
    <w:multiLevelType w:val="hybridMultilevel"/>
    <w:tmpl w:val="F5DA555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15:restartNumberingAfterBreak="0">
    <w:nsid w:val="568C0C69"/>
    <w:multiLevelType w:val="hybridMultilevel"/>
    <w:tmpl w:val="7F569CA6"/>
    <w:lvl w:ilvl="0" w:tplc="FFFFFFFF">
      <w:start w:val="1"/>
      <w:numFmt w:val="lowerLetter"/>
      <w:lvlText w:val="(%1)"/>
      <w:lvlJc w:val="left"/>
      <w:pPr>
        <w:tabs>
          <w:tab w:val="num" w:pos="2160"/>
        </w:tabs>
        <w:ind w:left="21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6B35038"/>
    <w:multiLevelType w:val="hybridMultilevel"/>
    <w:tmpl w:val="A4EA432C"/>
    <w:lvl w:ilvl="0" w:tplc="CFB62B08">
      <w:start w:val="1"/>
      <w:numFmt w:val="decimal"/>
      <w:lvlText w:val="%1."/>
      <w:lvlJc w:val="left"/>
      <w:pPr>
        <w:tabs>
          <w:tab w:val="num" w:pos="1080"/>
        </w:tabs>
        <w:ind w:left="1080" w:hanging="360"/>
      </w:pPr>
      <w:rPr>
        <w:rFonts w:hint="default"/>
        <w:i w:val="0"/>
        <w:iCs/>
      </w:rPr>
    </w:lvl>
    <w:lvl w:ilvl="1" w:tplc="FF2CD80A">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C2958AE"/>
    <w:multiLevelType w:val="hybridMultilevel"/>
    <w:tmpl w:val="61C64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B430A"/>
    <w:multiLevelType w:val="hybridMultilevel"/>
    <w:tmpl w:val="5106ED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1" w15:restartNumberingAfterBreak="0">
    <w:nsid w:val="67FF7523"/>
    <w:multiLevelType w:val="hybridMultilevel"/>
    <w:tmpl w:val="A4EA432C"/>
    <w:lvl w:ilvl="0" w:tplc="FFFFFFFF">
      <w:start w:val="1"/>
      <w:numFmt w:val="decimal"/>
      <w:lvlText w:val="%1."/>
      <w:lvlJc w:val="left"/>
      <w:pPr>
        <w:tabs>
          <w:tab w:val="num" w:pos="2160"/>
        </w:tabs>
        <w:ind w:left="2160" w:hanging="360"/>
      </w:pPr>
      <w:rPr>
        <w:i w:val="0"/>
        <w:iCs/>
      </w:rPr>
    </w:lvl>
    <w:lvl w:ilvl="1" w:tplc="FFFFFFFF">
      <w:start w:val="1"/>
      <w:numFmt w:val="lowerLetter"/>
      <w:lvlText w:val="(%2)"/>
      <w:lvlJc w:val="left"/>
      <w:pPr>
        <w:tabs>
          <w:tab w:val="num" w:pos="3240"/>
        </w:tabs>
        <w:ind w:left="3240" w:hanging="360"/>
      </w:pPr>
      <w:rPr>
        <w:b w:val="0"/>
      </w:rPr>
    </w:lvl>
    <w:lvl w:ilvl="2" w:tplc="FFFFFFFF">
      <w:start w:val="1"/>
      <w:numFmt w:val="lowerRoman"/>
      <w:lvlText w:val="%3."/>
      <w:lvlJc w:val="right"/>
      <w:pPr>
        <w:tabs>
          <w:tab w:val="num" w:pos="3960"/>
        </w:tabs>
        <w:ind w:left="3960" w:hanging="180"/>
      </w:pPr>
    </w:lvl>
    <w:lvl w:ilvl="3" w:tplc="FFFFFFFF">
      <w:start w:val="1"/>
      <w:numFmt w:val="decimal"/>
      <w:lvlText w:val="%4."/>
      <w:lvlJc w:val="left"/>
      <w:pPr>
        <w:tabs>
          <w:tab w:val="num" w:pos="4680"/>
        </w:tabs>
        <w:ind w:left="4680" w:hanging="360"/>
      </w:pPr>
    </w:lvl>
    <w:lvl w:ilvl="4" w:tplc="FFFFFFFF">
      <w:start w:val="1"/>
      <w:numFmt w:val="lowerLetter"/>
      <w:lvlText w:val="%5."/>
      <w:lvlJc w:val="left"/>
      <w:pPr>
        <w:tabs>
          <w:tab w:val="num" w:pos="5400"/>
        </w:tabs>
        <w:ind w:left="5400" w:hanging="360"/>
      </w:pPr>
    </w:lvl>
    <w:lvl w:ilvl="5" w:tplc="FFFFFFFF">
      <w:start w:val="1"/>
      <w:numFmt w:val="lowerRoman"/>
      <w:lvlText w:val="%6."/>
      <w:lvlJc w:val="right"/>
      <w:pPr>
        <w:tabs>
          <w:tab w:val="num" w:pos="6120"/>
        </w:tabs>
        <w:ind w:left="6120" w:hanging="180"/>
      </w:pPr>
    </w:lvl>
    <w:lvl w:ilvl="6" w:tplc="FFFFFFFF">
      <w:start w:val="1"/>
      <w:numFmt w:val="decimal"/>
      <w:lvlText w:val="%7."/>
      <w:lvlJc w:val="left"/>
      <w:pPr>
        <w:tabs>
          <w:tab w:val="num" w:pos="6840"/>
        </w:tabs>
        <w:ind w:left="6840" w:hanging="360"/>
      </w:pPr>
    </w:lvl>
    <w:lvl w:ilvl="7" w:tplc="FFFFFFFF">
      <w:start w:val="1"/>
      <w:numFmt w:val="lowerLetter"/>
      <w:lvlText w:val="%8."/>
      <w:lvlJc w:val="left"/>
      <w:pPr>
        <w:tabs>
          <w:tab w:val="num" w:pos="7560"/>
        </w:tabs>
        <w:ind w:left="7560" w:hanging="360"/>
      </w:pPr>
    </w:lvl>
    <w:lvl w:ilvl="8" w:tplc="FFFFFFFF">
      <w:start w:val="1"/>
      <w:numFmt w:val="lowerRoman"/>
      <w:lvlText w:val="%9."/>
      <w:lvlJc w:val="right"/>
      <w:pPr>
        <w:tabs>
          <w:tab w:val="num" w:pos="8280"/>
        </w:tabs>
        <w:ind w:left="8280" w:hanging="180"/>
      </w:pPr>
    </w:lvl>
  </w:abstractNum>
  <w:abstractNum w:abstractNumId="22" w15:restartNumberingAfterBreak="0">
    <w:nsid w:val="68B70991"/>
    <w:multiLevelType w:val="hybridMultilevel"/>
    <w:tmpl w:val="900A58B2"/>
    <w:lvl w:ilvl="0" w:tplc="1EF4DB82">
      <w:start w:val="1"/>
      <w:numFmt w:val="decimal"/>
      <w:pStyle w:val="Para10"/>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CDC52F8"/>
    <w:multiLevelType w:val="hybridMultilevel"/>
    <w:tmpl w:val="8866473C"/>
    <w:lvl w:ilvl="0" w:tplc="DF42636C">
      <w:start w:val="1"/>
      <w:numFmt w:val="lowerLetter"/>
      <w:lvlText w:val="(%1)"/>
      <w:lvlJc w:val="left"/>
      <w:pPr>
        <w:ind w:left="164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7FDE2B7B"/>
    <w:multiLevelType w:val="hybridMultilevel"/>
    <w:tmpl w:val="82D2474C"/>
    <w:lvl w:ilvl="0" w:tplc="CAB40D4C">
      <w:start w:val="1"/>
      <w:numFmt w:val="lowerLetter"/>
      <w:lvlText w:val="(%1)"/>
      <w:lvlJc w:val="left"/>
      <w:pPr>
        <w:tabs>
          <w:tab w:val="num" w:pos="2160"/>
        </w:tabs>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546376">
    <w:abstractNumId w:val="6"/>
  </w:num>
  <w:num w:numId="2" w16cid:durableId="373770991">
    <w:abstractNumId w:val="11"/>
  </w:num>
  <w:num w:numId="3" w16cid:durableId="1007633505">
    <w:abstractNumId w:val="9"/>
  </w:num>
  <w:num w:numId="4" w16cid:durableId="1853227985">
    <w:abstractNumId w:val="23"/>
  </w:num>
  <w:num w:numId="5" w16cid:durableId="199249320">
    <w:abstractNumId w:val="18"/>
  </w:num>
  <w:num w:numId="6" w16cid:durableId="2076587684">
    <w:abstractNumId w:val="22"/>
  </w:num>
  <w:num w:numId="7" w16cid:durableId="878668255">
    <w:abstractNumId w:val="20"/>
  </w:num>
  <w:num w:numId="8" w16cid:durableId="779837553">
    <w:abstractNumId w:val="24"/>
  </w:num>
  <w:num w:numId="9" w16cid:durableId="882598492">
    <w:abstractNumId w:val="7"/>
  </w:num>
  <w:num w:numId="10" w16cid:durableId="262343977">
    <w:abstractNumId w:val="12"/>
  </w:num>
  <w:num w:numId="11" w16cid:durableId="152243048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2349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1486100">
    <w:abstractNumId w:val="21"/>
  </w:num>
  <w:num w:numId="14" w16cid:durableId="597447840">
    <w:abstractNumId w:val="8"/>
  </w:num>
  <w:num w:numId="15" w16cid:durableId="2139031208">
    <w:abstractNumId w:val="17"/>
  </w:num>
  <w:num w:numId="16" w16cid:durableId="218636984">
    <w:abstractNumId w:val="2"/>
  </w:num>
  <w:num w:numId="17" w16cid:durableId="549416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1942">
    <w:abstractNumId w:val="19"/>
  </w:num>
  <w:num w:numId="19" w16cid:durableId="1072197247">
    <w:abstractNumId w:val="5"/>
  </w:num>
  <w:num w:numId="20" w16cid:durableId="2038695187">
    <w:abstractNumId w:val="16"/>
  </w:num>
  <w:num w:numId="21" w16cid:durableId="756555761">
    <w:abstractNumId w:val="10"/>
  </w:num>
  <w:num w:numId="22" w16cid:durableId="1314915258">
    <w:abstractNumId w:val="13"/>
  </w:num>
  <w:num w:numId="23" w16cid:durableId="197938404">
    <w:abstractNumId w:val="26"/>
  </w:num>
  <w:num w:numId="24" w16cid:durableId="2048027196">
    <w:abstractNumId w:val="0"/>
  </w:num>
  <w:num w:numId="25" w16cid:durableId="202182463">
    <w:abstractNumId w:val="4"/>
  </w:num>
  <w:num w:numId="26" w16cid:durableId="144471141">
    <w:abstractNumId w:val="7"/>
    <w:lvlOverride w:ilvl="0">
      <w:startOverride w:val="1"/>
    </w:lvlOverride>
  </w:num>
  <w:num w:numId="27" w16cid:durableId="2025128474">
    <w:abstractNumId w:val="7"/>
    <w:lvlOverride w:ilvl="0">
      <w:startOverride w:val="1"/>
    </w:lvlOverride>
  </w:num>
  <w:num w:numId="28" w16cid:durableId="1330250581">
    <w:abstractNumId w:val="3"/>
  </w:num>
  <w:num w:numId="29" w16cid:durableId="1898276360">
    <w:abstractNumId w:val="15"/>
  </w:num>
  <w:num w:numId="30" w16cid:durableId="655649601">
    <w:abstractNumId w:val="25"/>
  </w:num>
  <w:num w:numId="31" w16cid:durableId="1464620550">
    <w:abstractNumId w:val="14"/>
  </w:num>
  <w:num w:numId="32" w16cid:durableId="493422483">
    <w:abstractNumId w:val="8"/>
  </w:num>
  <w:num w:numId="33" w16cid:durableId="419569879">
    <w:abstractNumId w:val="17"/>
  </w:num>
  <w:num w:numId="34" w16cid:durableId="712925930">
    <w:abstractNumId w:val="22"/>
  </w:num>
  <w:num w:numId="35" w16cid:durableId="2020229563">
    <w:abstractNumId w:val="20"/>
  </w:num>
  <w:num w:numId="36" w16cid:durableId="1609003001">
    <w:abstractNumId w:val="24"/>
  </w:num>
  <w:num w:numId="37" w16cid:durableId="1719359567">
    <w:abstractNumId w:val="8"/>
  </w:num>
  <w:num w:numId="38" w16cid:durableId="392124717">
    <w:abstractNumId w:val="17"/>
  </w:num>
  <w:num w:numId="39" w16cid:durableId="1406683726">
    <w:abstractNumId w:val="22"/>
  </w:num>
  <w:num w:numId="40" w16cid:durableId="1464036302">
    <w:abstractNumId w:val="20"/>
  </w:num>
  <w:num w:numId="41" w16cid:durableId="30254115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3B"/>
    <w:rsid w:val="000017C9"/>
    <w:rsid w:val="00001D74"/>
    <w:rsid w:val="00001E41"/>
    <w:rsid w:val="000033B5"/>
    <w:rsid w:val="00003425"/>
    <w:rsid w:val="000039DE"/>
    <w:rsid w:val="000049EF"/>
    <w:rsid w:val="00004C4F"/>
    <w:rsid w:val="00010C57"/>
    <w:rsid w:val="0001293F"/>
    <w:rsid w:val="00013793"/>
    <w:rsid w:val="00013EFB"/>
    <w:rsid w:val="00015321"/>
    <w:rsid w:val="00015C05"/>
    <w:rsid w:val="0001749D"/>
    <w:rsid w:val="00020D49"/>
    <w:rsid w:val="00021E45"/>
    <w:rsid w:val="00021F15"/>
    <w:rsid w:val="00022ACA"/>
    <w:rsid w:val="00022BBC"/>
    <w:rsid w:val="00026023"/>
    <w:rsid w:val="0002618B"/>
    <w:rsid w:val="000263FE"/>
    <w:rsid w:val="0002786E"/>
    <w:rsid w:val="0002796C"/>
    <w:rsid w:val="00034E1A"/>
    <w:rsid w:val="00036A83"/>
    <w:rsid w:val="00040598"/>
    <w:rsid w:val="00040C75"/>
    <w:rsid w:val="000412AE"/>
    <w:rsid w:val="00043EC3"/>
    <w:rsid w:val="00044495"/>
    <w:rsid w:val="00045669"/>
    <w:rsid w:val="00045A82"/>
    <w:rsid w:val="000500D3"/>
    <w:rsid w:val="00050CB4"/>
    <w:rsid w:val="000511FD"/>
    <w:rsid w:val="00051349"/>
    <w:rsid w:val="00051874"/>
    <w:rsid w:val="00052EC6"/>
    <w:rsid w:val="0005343F"/>
    <w:rsid w:val="0005592F"/>
    <w:rsid w:val="00055DD0"/>
    <w:rsid w:val="000566E4"/>
    <w:rsid w:val="00060898"/>
    <w:rsid w:val="0006144F"/>
    <w:rsid w:val="000627EA"/>
    <w:rsid w:val="00063428"/>
    <w:rsid w:val="00063849"/>
    <w:rsid w:val="00064AA6"/>
    <w:rsid w:val="00064DA4"/>
    <w:rsid w:val="00065B3D"/>
    <w:rsid w:val="00067734"/>
    <w:rsid w:val="00070E3A"/>
    <w:rsid w:val="0007212D"/>
    <w:rsid w:val="000722A1"/>
    <w:rsid w:val="0007240F"/>
    <w:rsid w:val="00073B83"/>
    <w:rsid w:val="00073FC4"/>
    <w:rsid w:val="00075D0A"/>
    <w:rsid w:val="00077155"/>
    <w:rsid w:val="0007761C"/>
    <w:rsid w:val="00077F07"/>
    <w:rsid w:val="0008174C"/>
    <w:rsid w:val="00081DBD"/>
    <w:rsid w:val="000827CE"/>
    <w:rsid w:val="00082CB2"/>
    <w:rsid w:val="0008363A"/>
    <w:rsid w:val="00084374"/>
    <w:rsid w:val="00085127"/>
    <w:rsid w:val="00086020"/>
    <w:rsid w:val="00087613"/>
    <w:rsid w:val="000905FA"/>
    <w:rsid w:val="00090956"/>
    <w:rsid w:val="00091A91"/>
    <w:rsid w:val="00092777"/>
    <w:rsid w:val="00094335"/>
    <w:rsid w:val="000948D6"/>
    <w:rsid w:val="00094B3F"/>
    <w:rsid w:val="00094F56"/>
    <w:rsid w:val="00097376"/>
    <w:rsid w:val="00097388"/>
    <w:rsid w:val="00097727"/>
    <w:rsid w:val="000A0574"/>
    <w:rsid w:val="000A281B"/>
    <w:rsid w:val="000A2B42"/>
    <w:rsid w:val="000A2D77"/>
    <w:rsid w:val="000A3156"/>
    <w:rsid w:val="000A45E1"/>
    <w:rsid w:val="000A6020"/>
    <w:rsid w:val="000A6E26"/>
    <w:rsid w:val="000A6E43"/>
    <w:rsid w:val="000A7248"/>
    <w:rsid w:val="000B00ED"/>
    <w:rsid w:val="000B08C3"/>
    <w:rsid w:val="000B294B"/>
    <w:rsid w:val="000B4463"/>
    <w:rsid w:val="000B4A2C"/>
    <w:rsid w:val="000C2A97"/>
    <w:rsid w:val="000C3C80"/>
    <w:rsid w:val="000C55DC"/>
    <w:rsid w:val="000C5BF2"/>
    <w:rsid w:val="000C73EA"/>
    <w:rsid w:val="000D3514"/>
    <w:rsid w:val="000D4801"/>
    <w:rsid w:val="000D533C"/>
    <w:rsid w:val="000E0B61"/>
    <w:rsid w:val="000E0C46"/>
    <w:rsid w:val="000E12C2"/>
    <w:rsid w:val="000E1503"/>
    <w:rsid w:val="000E17D3"/>
    <w:rsid w:val="000E2FB0"/>
    <w:rsid w:val="000E334A"/>
    <w:rsid w:val="000E3ECB"/>
    <w:rsid w:val="000E57BA"/>
    <w:rsid w:val="000E5E11"/>
    <w:rsid w:val="000E62D8"/>
    <w:rsid w:val="000E673A"/>
    <w:rsid w:val="000E69FE"/>
    <w:rsid w:val="000E7E38"/>
    <w:rsid w:val="000F0147"/>
    <w:rsid w:val="000F020C"/>
    <w:rsid w:val="000F0706"/>
    <w:rsid w:val="000F2508"/>
    <w:rsid w:val="000F2CB3"/>
    <w:rsid w:val="000F2E23"/>
    <w:rsid w:val="000F3F74"/>
    <w:rsid w:val="000F43B9"/>
    <w:rsid w:val="000F5482"/>
    <w:rsid w:val="000F5E29"/>
    <w:rsid w:val="000F6FB6"/>
    <w:rsid w:val="000F74F5"/>
    <w:rsid w:val="000F7987"/>
    <w:rsid w:val="001006F1"/>
    <w:rsid w:val="00103A10"/>
    <w:rsid w:val="0010457C"/>
    <w:rsid w:val="00104767"/>
    <w:rsid w:val="00105045"/>
    <w:rsid w:val="00105372"/>
    <w:rsid w:val="001055E8"/>
    <w:rsid w:val="00105FCD"/>
    <w:rsid w:val="00106366"/>
    <w:rsid w:val="00110954"/>
    <w:rsid w:val="00110AFD"/>
    <w:rsid w:val="001136A1"/>
    <w:rsid w:val="001137A4"/>
    <w:rsid w:val="00113B08"/>
    <w:rsid w:val="00113D5C"/>
    <w:rsid w:val="00113F6D"/>
    <w:rsid w:val="00115348"/>
    <w:rsid w:val="00116938"/>
    <w:rsid w:val="00116FB7"/>
    <w:rsid w:val="00123915"/>
    <w:rsid w:val="00123CC8"/>
    <w:rsid w:val="00123F46"/>
    <w:rsid w:val="00124A18"/>
    <w:rsid w:val="00124B59"/>
    <w:rsid w:val="00126222"/>
    <w:rsid w:val="00126F52"/>
    <w:rsid w:val="00130145"/>
    <w:rsid w:val="001303A2"/>
    <w:rsid w:val="001304BD"/>
    <w:rsid w:val="00131E71"/>
    <w:rsid w:val="00131E7A"/>
    <w:rsid w:val="00132155"/>
    <w:rsid w:val="00132581"/>
    <w:rsid w:val="00140381"/>
    <w:rsid w:val="001406A8"/>
    <w:rsid w:val="00140843"/>
    <w:rsid w:val="001409A3"/>
    <w:rsid w:val="00142EDE"/>
    <w:rsid w:val="00142F0C"/>
    <w:rsid w:val="0014305C"/>
    <w:rsid w:val="00144D25"/>
    <w:rsid w:val="00146CA9"/>
    <w:rsid w:val="001478E0"/>
    <w:rsid w:val="00151637"/>
    <w:rsid w:val="00152193"/>
    <w:rsid w:val="0015260F"/>
    <w:rsid w:val="001537CA"/>
    <w:rsid w:val="00154059"/>
    <w:rsid w:val="00155228"/>
    <w:rsid w:val="00155626"/>
    <w:rsid w:val="001569D9"/>
    <w:rsid w:val="00157294"/>
    <w:rsid w:val="00157F6E"/>
    <w:rsid w:val="00161C75"/>
    <w:rsid w:val="00163287"/>
    <w:rsid w:val="001644E8"/>
    <w:rsid w:val="0016580D"/>
    <w:rsid w:val="0016612B"/>
    <w:rsid w:val="00167BCC"/>
    <w:rsid w:val="00171C60"/>
    <w:rsid w:val="001725AB"/>
    <w:rsid w:val="00172A43"/>
    <w:rsid w:val="00172AF6"/>
    <w:rsid w:val="00173120"/>
    <w:rsid w:val="00173438"/>
    <w:rsid w:val="00173F35"/>
    <w:rsid w:val="0017422A"/>
    <w:rsid w:val="00175348"/>
    <w:rsid w:val="00175A82"/>
    <w:rsid w:val="00175FC8"/>
    <w:rsid w:val="00176CEE"/>
    <w:rsid w:val="00177918"/>
    <w:rsid w:val="00177E4B"/>
    <w:rsid w:val="00181B80"/>
    <w:rsid w:val="00181CA8"/>
    <w:rsid w:val="00184909"/>
    <w:rsid w:val="00185878"/>
    <w:rsid w:val="00185A76"/>
    <w:rsid w:val="00185ED2"/>
    <w:rsid w:val="0018777D"/>
    <w:rsid w:val="00187E73"/>
    <w:rsid w:val="00190081"/>
    <w:rsid w:val="001915CF"/>
    <w:rsid w:val="001918FD"/>
    <w:rsid w:val="00192B7F"/>
    <w:rsid w:val="0019598E"/>
    <w:rsid w:val="00195BBE"/>
    <w:rsid w:val="00196177"/>
    <w:rsid w:val="00196362"/>
    <w:rsid w:val="00197DD4"/>
    <w:rsid w:val="00197F69"/>
    <w:rsid w:val="001A0584"/>
    <w:rsid w:val="001A05BF"/>
    <w:rsid w:val="001A06D3"/>
    <w:rsid w:val="001A074B"/>
    <w:rsid w:val="001A0E43"/>
    <w:rsid w:val="001A1FC3"/>
    <w:rsid w:val="001A3F26"/>
    <w:rsid w:val="001B1672"/>
    <w:rsid w:val="001B29E3"/>
    <w:rsid w:val="001B3432"/>
    <w:rsid w:val="001B4FB6"/>
    <w:rsid w:val="001B5D07"/>
    <w:rsid w:val="001B67A8"/>
    <w:rsid w:val="001B7A45"/>
    <w:rsid w:val="001C18A5"/>
    <w:rsid w:val="001C3931"/>
    <w:rsid w:val="001C4532"/>
    <w:rsid w:val="001C474A"/>
    <w:rsid w:val="001C481E"/>
    <w:rsid w:val="001C4936"/>
    <w:rsid w:val="001C6D00"/>
    <w:rsid w:val="001C7558"/>
    <w:rsid w:val="001D1382"/>
    <w:rsid w:val="001D5A48"/>
    <w:rsid w:val="001D5B49"/>
    <w:rsid w:val="001D6167"/>
    <w:rsid w:val="001D6A82"/>
    <w:rsid w:val="001D7353"/>
    <w:rsid w:val="001D7806"/>
    <w:rsid w:val="001D7B82"/>
    <w:rsid w:val="001E1A4E"/>
    <w:rsid w:val="001E2A63"/>
    <w:rsid w:val="001E391E"/>
    <w:rsid w:val="001E437C"/>
    <w:rsid w:val="001E445C"/>
    <w:rsid w:val="001E56F6"/>
    <w:rsid w:val="001E5C9A"/>
    <w:rsid w:val="001E6C9E"/>
    <w:rsid w:val="001F027F"/>
    <w:rsid w:val="001F0E20"/>
    <w:rsid w:val="001F10A4"/>
    <w:rsid w:val="001F1B87"/>
    <w:rsid w:val="001F22AF"/>
    <w:rsid w:val="001F239C"/>
    <w:rsid w:val="001F304A"/>
    <w:rsid w:val="001F375E"/>
    <w:rsid w:val="001F3A10"/>
    <w:rsid w:val="001F3C2A"/>
    <w:rsid w:val="001F5641"/>
    <w:rsid w:val="002004BD"/>
    <w:rsid w:val="00200E7F"/>
    <w:rsid w:val="00201A16"/>
    <w:rsid w:val="0020225C"/>
    <w:rsid w:val="00202BFD"/>
    <w:rsid w:val="00202CBA"/>
    <w:rsid w:val="00203498"/>
    <w:rsid w:val="002047A2"/>
    <w:rsid w:val="0020584B"/>
    <w:rsid w:val="002062B4"/>
    <w:rsid w:val="00207302"/>
    <w:rsid w:val="002100CE"/>
    <w:rsid w:val="00211932"/>
    <w:rsid w:val="00212E31"/>
    <w:rsid w:val="00214161"/>
    <w:rsid w:val="00220518"/>
    <w:rsid w:val="00222EC4"/>
    <w:rsid w:val="00222EF0"/>
    <w:rsid w:val="00223146"/>
    <w:rsid w:val="002234D6"/>
    <w:rsid w:val="0022400F"/>
    <w:rsid w:val="0022473B"/>
    <w:rsid w:val="00224923"/>
    <w:rsid w:val="002265B2"/>
    <w:rsid w:val="00226C57"/>
    <w:rsid w:val="00227EC7"/>
    <w:rsid w:val="002312DA"/>
    <w:rsid w:val="00231A68"/>
    <w:rsid w:val="00232A53"/>
    <w:rsid w:val="00233878"/>
    <w:rsid w:val="00233A25"/>
    <w:rsid w:val="002353CA"/>
    <w:rsid w:val="00235457"/>
    <w:rsid w:val="002418FF"/>
    <w:rsid w:val="002422E2"/>
    <w:rsid w:val="00243B3D"/>
    <w:rsid w:val="002474A3"/>
    <w:rsid w:val="002503ED"/>
    <w:rsid w:val="00250A06"/>
    <w:rsid w:val="00250A07"/>
    <w:rsid w:val="00250D71"/>
    <w:rsid w:val="00251BAC"/>
    <w:rsid w:val="00251C7A"/>
    <w:rsid w:val="00252093"/>
    <w:rsid w:val="00252C5C"/>
    <w:rsid w:val="00255822"/>
    <w:rsid w:val="00260579"/>
    <w:rsid w:val="00261EC7"/>
    <w:rsid w:val="00262C5E"/>
    <w:rsid w:val="002631EC"/>
    <w:rsid w:val="002633F5"/>
    <w:rsid w:val="002639E1"/>
    <w:rsid w:val="00265FB1"/>
    <w:rsid w:val="00266AAE"/>
    <w:rsid w:val="00266C54"/>
    <w:rsid w:val="00270870"/>
    <w:rsid w:val="002712A5"/>
    <w:rsid w:val="00273356"/>
    <w:rsid w:val="0027361D"/>
    <w:rsid w:val="002740BC"/>
    <w:rsid w:val="00274AC1"/>
    <w:rsid w:val="00274ACC"/>
    <w:rsid w:val="00274FB3"/>
    <w:rsid w:val="00275706"/>
    <w:rsid w:val="0027650D"/>
    <w:rsid w:val="00282C55"/>
    <w:rsid w:val="002832B6"/>
    <w:rsid w:val="00284C09"/>
    <w:rsid w:val="002858EA"/>
    <w:rsid w:val="002872EC"/>
    <w:rsid w:val="00287A59"/>
    <w:rsid w:val="00287BA1"/>
    <w:rsid w:val="00294924"/>
    <w:rsid w:val="00294B6A"/>
    <w:rsid w:val="00294DCC"/>
    <w:rsid w:val="002950BA"/>
    <w:rsid w:val="00295BF8"/>
    <w:rsid w:val="00295D83"/>
    <w:rsid w:val="002960E2"/>
    <w:rsid w:val="002A12DC"/>
    <w:rsid w:val="002A19B0"/>
    <w:rsid w:val="002A56D8"/>
    <w:rsid w:val="002A6AC1"/>
    <w:rsid w:val="002A75C0"/>
    <w:rsid w:val="002B00CA"/>
    <w:rsid w:val="002B058A"/>
    <w:rsid w:val="002B0EA1"/>
    <w:rsid w:val="002B17BB"/>
    <w:rsid w:val="002B1DD5"/>
    <w:rsid w:val="002B26C7"/>
    <w:rsid w:val="002B2855"/>
    <w:rsid w:val="002B3030"/>
    <w:rsid w:val="002B30F6"/>
    <w:rsid w:val="002B42FC"/>
    <w:rsid w:val="002B47E1"/>
    <w:rsid w:val="002B559C"/>
    <w:rsid w:val="002B5B46"/>
    <w:rsid w:val="002B726B"/>
    <w:rsid w:val="002B77A8"/>
    <w:rsid w:val="002C0764"/>
    <w:rsid w:val="002C07BA"/>
    <w:rsid w:val="002C0F24"/>
    <w:rsid w:val="002C0FC5"/>
    <w:rsid w:val="002C29D4"/>
    <w:rsid w:val="002C4B9C"/>
    <w:rsid w:val="002C63BD"/>
    <w:rsid w:val="002D0444"/>
    <w:rsid w:val="002D0C45"/>
    <w:rsid w:val="002D1222"/>
    <w:rsid w:val="002D1E68"/>
    <w:rsid w:val="002D4F67"/>
    <w:rsid w:val="002D5743"/>
    <w:rsid w:val="002D6012"/>
    <w:rsid w:val="002D66B3"/>
    <w:rsid w:val="002D66C3"/>
    <w:rsid w:val="002D7151"/>
    <w:rsid w:val="002D7407"/>
    <w:rsid w:val="002E04BC"/>
    <w:rsid w:val="002E04FF"/>
    <w:rsid w:val="002E07B6"/>
    <w:rsid w:val="002E2DC1"/>
    <w:rsid w:val="002E301D"/>
    <w:rsid w:val="002E3DF5"/>
    <w:rsid w:val="002E49BA"/>
    <w:rsid w:val="002E5E4C"/>
    <w:rsid w:val="002E6BA2"/>
    <w:rsid w:val="002E7775"/>
    <w:rsid w:val="002F06BA"/>
    <w:rsid w:val="002F0AF4"/>
    <w:rsid w:val="002F135E"/>
    <w:rsid w:val="002F19FC"/>
    <w:rsid w:val="002F3CD9"/>
    <w:rsid w:val="002F4D05"/>
    <w:rsid w:val="002F578E"/>
    <w:rsid w:val="002F6227"/>
    <w:rsid w:val="002F7377"/>
    <w:rsid w:val="00300224"/>
    <w:rsid w:val="0030107A"/>
    <w:rsid w:val="00303362"/>
    <w:rsid w:val="00304342"/>
    <w:rsid w:val="00304E8C"/>
    <w:rsid w:val="003058E1"/>
    <w:rsid w:val="00305EF9"/>
    <w:rsid w:val="0030668A"/>
    <w:rsid w:val="003077CC"/>
    <w:rsid w:val="00310608"/>
    <w:rsid w:val="003115E7"/>
    <w:rsid w:val="0031181B"/>
    <w:rsid w:val="00313B8A"/>
    <w:rsid w:val="003143B0"/>
    <w:rsid w:val="00314B35"/>
    <w:rsid w:val="00315A21"/>
    <w:rsid w:val="00315EA5"/>
    <w:rsid w:val="00316B1C"/>
    <w:rsid w:val="00317A97"/>
    <w:rsid w:val="00317B73"/>
    <w:rsid w:val="00320AED"/>
    <w:rsid w:val="00321DEE"/>
    <w:rsid w:val="00323A62"/>
    <w:rsid w:val="00323F22"/>
    <w:rsid w:val="00325281"/>
    <w:rsid w:val="003259F5"/>
    <w:rsid w:val="0032669C"/>
    <w:rsid w:val="0032686E"/>
    <w:rsid w:val="00326E63"/>
    <w:rsid w:val="00327BC2"/>
    <w:rsid w:val="00327D89"/>
    <w:rsid w:val="00331493"/>
    <w:rsid w:val="00331D36"/>
    <w:rsid w:val="003326AC"/>
    <w:rsid w:val="00333A47"/>
    <w:rsid w:val="00334AEE"/>
    <w:rsid w:val="00334E9F"/>
    <w:rsid w:val="00336200"/>
    <w:rsid w:val="00337844"/>
    <w:rsid w:val="003379BF"/>
    <w:rsid w:val="00337ECA"/>
    <w:rsid w:val="003408A5"/>
    <w:rsid w:val="00340ABB"/>
    <w:rsid w:val="003417C1"/>
    <w:rsid w:val="00342E9C"/>
    <w:rsid w:val="00344A1A"/>
    <w:rsid w:val="00347378"/>
    <w:rsid w:val="003476A9"/>
    <w:rsid w:val="00347944"/>
    <w:rsid w:val="00350512"/>
    <w:rsid w:val="00350D10"/>
    <w:rsid w:val="00353BE8"/>
    <w:rsid w:val="00354FA1"/>
    <w:rsid w:val="00355A10"/>
    <w:rsid w:val="00355E38"/>
    <w:rsid w:val="003566D4"/>
    <w:rsid w:val="0035788B"/>
    <w:rsid w:val="00357A68"/>
    <w:rsid w:val="00362A2D"/>
    <w:rsid w:val="00364C36"/>
    <w:rsid w:val="00365112"/>
    <w:rsid w:val="0036604B"/>
    <w:rsid w:val="0036663F"/>
    <w:rsid w:val="00366AC4"/>
    <w:rsid w:val="00366C7F"/>
    <w:rsid w:val="003674A3"/>
    <w:rsid w:val="003674DF"/>
    <w:rsid w:val="00371229"/>
    <w:rsid w:val="003713E6"/>
    <w:rsid w:val="00371639"/>
    <w:rsid w:val="00372C96"/>
    <w:rsid w:val="00372F74"/>
    <w:rsid w:val="0037319F"/>
    <w:rsid w:val="0037323B"/>
    <w:rsid w:val="003743A3"/>
    <w:rsid w:val="0037582C"/>
    <w:rsid w:val="00375B6B"/>
    <w:rsid w:val="00375DBE"/>
    <w:rsid w:val="00375F25"/>
    <w:rsid w:val="00376FD7"/>
    <w:rsid w:val="00377540"/>
    <w:rsid w:val="00381FCA"/>
    <w:rsid w:val="003844F9"/>
    <w:rsid w:val="00384810"/>
    <w:rsid w:val="00385CD3"/>
    <w:rsid w:val="003864CC"/>
    <w:rsid w:val="00386D3D"/>
    <w:rsid w:val="00387165"/>
    <w:rsid w:val="00387DC7"/>
    <w:rsid w:val="003909F1"/>
    <w:rsid w:val="00390C24"/>
    <w:rsid w:val="003910ED"/>
    <w:rsid w:val="00391B58"/>
    <w:rsid w:val="00394741"/>
    <w:rsid w:val="00394B24"/>
    <w:rsid w:val="00395101"/>
    <w:rsid w:val="00395C8A"/>
    <w:rsid w:val="003A13B9"/>
    <w:rsid w:val="003A44AC"/>
    <w:rsid w:val="003A46B4"/>
    <w:rsid w:val="003A4ADA"/>
    <w:rsid w:val="003B193F"/>
    <w:rsid w:val="003B1FA3"/>
    <w:rsid w:val="003B2A36"/>
    <w:rsid w:val="003B37B7"/>
    <w:rsid w:val="003B53CD"/>
    <w:rsid w:val="003B6439"/>
    <w:rsid w:val="003C17BA"/>
    <w:rsid w:val="003C234C"/>
    <w:rsid w:val="003C2C22"/>
    <w:rsid w:val="003C4274"/>
    <w:rsid w:val="003C6F10"/>
    <w:rsid w:val="003D0BBC"/>
    <w:rsid w:val="003D22AF"/>
    <w:rsid w:val="003D2D41"/>
    <w:rsid w:val="003D32A5"/>
    <w:rsid w:val="003D34DB"/>
    <w:rsid w:val="003D3B51"/>
    <w:rsid w:val="003D71FD"/>
    <w:rsid w:val="003D7281"/>
    <w:rsid w:val="003D77BB"/>
    <w:rsid w:val="003E03FC"/>
    <w:rsid w:val="003E1B8C"/>
    <w:rsid w:val="003E489B"/>
    <w:rsid w:val="003E6866"/>
    <w:rsid w:val="003E6C42"/>
    <w:rsid w:val="003E6C57"/>
    <w:rsid w:val="003E70F8"/>
    <w:rsid w:val="003F5E9B"/>
    <w:rsid w:val="003F7224"/>
    <w:rsid w:val="003F7E45"/>
    <w:rsid w:val="00402933"/>
    <w:rsid w:val="00402A41"/>
    <w:rsid w:val="00403270"/>
    <w:rsid w:val="00403BAA"/>
    <w:rsid w:val="00403CFD"/>
    <w:rsid w:val="0040445E"/>
    <w:rsid w:val="00404D84"/>
    <w:rsid w:val="004060E3"/>
    <w:rsid w:val="004067C4"/>
    <w:rsid w:val="00407A57"/>
    <w:rsid w:val="00407F11"/>
    <w:rsid w:val="0041154B"/>
    <w:rsid w:val="0041189B"/>
    <w:rsid w:val="00411B10"/>
    <w:rsid w:val="00413212"/>
    <w:rsid w:val="00413602"/>
    <w:rsid w:val="004146E8"/>
    <w:rsid w:val="00414C2F"/>
    <w:rsid w:val="00417451"/>
    <w:rsid w:val="00417884"/>
    <w:rsid w:val="00417FF1"/>
    <w:rsid w:val="00420BE6"/>
    <w:rsid w:val="00421058"/>
    <w:rsid w:val="00421869"/>
    <w:rsid w:val="00421E1C"/>
    <w:rsid w:val="00422A2B"/>
    <w:rsid w:val="00423C49"/>
    <w:rsid w:val="0042415D"/>
    <w:rsid w:val="00424C0D"/>
    <w:rsid w:val="0042591F"/>
    <w:rsid w:val="00427D21"/>
    <w:rsid w:val="004304BD"/>
    <w:rsid w:val="00430E98"/>
    <w:rsid w:val="0043258E"/>
    <w:rsid w:val="004335E2"/>
    <w:rsid w:val="004345FB"/>
    <w:rsid w:val="004346B5"/>
    <w:rsid w:val="0043596C"/>
    <w:rsid w:val="00435A96"/>
    <w:rsid w:val="00436791"/>
    <w:rsid w:val="00436F56"/>
    <w:rsid w:val="00437C92"/>
    <w:rsid w:val="00441432"/>
    <w:rsid w:val="004422C9"/>
    <w:rsid w:val="0044463B"/>
    <w:rsid w:val="004446BF"/>
    <w:rsid w:val="00445706"/>
    <w:rsid w:val="00445DBC"/>
    <w:rsid w:val="00446409"/>
    <w:rsid w:val="0044652F"/>
    <w:rsid w:val="0044688C"/>
    <w:rsid w:val="00447F10"/>
    <w:rsid w:val="00447FD3"/>
    <w:rsid w:val="004513BF"/>
    <w:rsid w:val="00452C33"/>
    <w:rsid w:val="004551AD"/>
    <w:rsid w:val="0045585E"/>
    <w:rsid w:val="004563F3"/>
    <w:rsid w:val="0045673E"/>
    <w:rsid w:val="00456858"/>
    <w:rsid w:val="00457272"/>
    <w:rsid w:val="00457F10"/>
    <w:rsid w:val="0046055A"/>
    <w:rsid w:val="00460655"/>
    <w:rsid w:val="004608BD"/>
    <w:rsid w:val="00460C5B"/>
    <w:rsid w:val="0046195E"/>
    <w:rsid w:val="00461B71"/>
    <w:rsid w:val="004620E0"/>
    <w:rsid w:val="00462628"/>
    <w:rsid w:val="004632A6"/>
    <w:rsid w:val="004633B9"/>
    <w:rsid w:val="00464303"/>
    <w:rsid w:val="004644C2"/>
    <w:rsid w:val="00464CF2"/>
    <w:rsid w:val="00464FC1"/>
    <w:rsid w:val="00465A9F"/>
    <w:rsid w:val="00466F3A"/>
    <w:rsid w:val="00467834"/>
    <w:rsid w:val="004679FF"/>
    <w:rsid w:val="00467F9C"/>
    <w:rsid w:val="00467FC4"/>
    <w:rsid w:val="004701EE"/>
    <w:rsid w:val="00470B26"/>
    <w:rsid w:val="00471E17"/>
    <w:rsid w:val="00471E75"/>
    <w:rsid w:val="0047215B"/>
    <w:rsid w:val="00472A76"/>
    <w:rsid w:val="00474568"/>
    <w:rsid w:val="00475FD8"/>
    <w:rsid w:val="00476A91"/>
    <w:rsid w:val="00476B33"/>
    <w:rsid w:val="0048058A"/>
    <w:rsid w:val="0048070F"/>
    <w:rsid w:val="00480D2A"/>
    <w:rsid w:val="00481C39"/>
    <w:rsid w:val="0048366B"/>
    <w:rsid w:val="00483C4C"/>
    <w:rsid w:val="0048540F"/>
    <w:rsid w:val="004870F4"/>
    <w:rsid w:val="00493161"/>
    <w:rsid w:val="0049564E"/>
    <w:rsid w:val="004972D1"/>
    <w:rsid w:val="004A0F7C"/>
    <w:rsid w:val="004A2A2D"/>
    <w:rsid w:val="004A3D08"/>
    <w:rsid w:val="004A44BB"/>
    <w:rsid w:val="004A5C87"/>
    <w:rsid w:val="004A6548"/>
    <w:rsid w:val="004A696C"/>
    <w:rsid w:val="004A7781"/>
    <w:rsid w:val="004B10ED"/>
    <w:rsid w:val="004B3057"/>
    <w:rsid w:val="004B728E"/>
    <w:rsid w:val="004B72C0"/>
    <w:rsid w:val="004C00AF"/>
    <w:rsid w:val="004C10DF"/>
    <w:rsid w:val="004C1BCC"/>
    <w:rsid w:val="004C3D92"/>
    <w:rsid w:val="004C4429"/>
    <w:rsid w:val="004C5CA4"/>
    <w:rsid w:val="004C6808"/>
    <w:rsid w:val="004C7E92"/>
    <w:rsid w:val="004D00A0"/>
    <w:rsid w:val="004D0354"/>
    <w:rsid w:val="004D1400"/>
    <w:rsid w:val="004D1A7D"/>
    <w:rsid w:val="004D2B9A"/>
    <w:rsid w:val="004D32B5"/>
    <w:rsid w:val="004D3CEB"/>
    <w:rsid w:val="004D4602"/>
    <w:rsid w:val="004D4E46"/>
    <w:rsid w:val="004D550D"/>
    <w:rsid w:val="004D55F8"/>
    <w:rsid w:val="004D5803"/>
    <w:rsid w:val="004D6630"/>
    <w:rsid w:val="004D6C94"/>
    <w:rsid w:val="004E0B81"/>
    <w:rsid w:val="004E1973"/>
    <w:rsid w:val="004E1A04"/>
    <w:rsid w:val="004E1C51"/>
    <w:rsid w:val="004E2224"/>
    <w:rsid w:val="004E315F"/>
    <w:rsid w:val="004E48DB"/>
    <w:rsid w:val="004E6473"/>
    <w:rsid w:val="004E6E81"/>
    <w:rsid w:val="004E7800"/>
    <w:rsid w:val="004E7C46"/>
    <w:rsid w:val="004F26B3"/>
    <w:rsid w:val="004F3F5C"/>
    <w:rsid w:val="004F565C"/>
    <w:rsid w:val="004F7FC1"/>
    <w:rsid w:val="005017A3"/>
    <w:rsid w:val="0050228C"/>
    <w:rsid w:val="00502DE9"/>
    <w:rsid w:val="0050382B"/>
    <w:rsid w:val="00504682"/>
    <w:rsid w:val="00505177"/>
    <w:rsid w:val="00507A0B"/>
    <w:rsid w:val="00510326"/>
    <w:rsid w:val="00511687"/>
    <w:rsid w:val="0051217D"/>
    <w:rsid w:val="00512470"/>
    <w:rsid w:val="0051505D"/>
    <w:rsid w:val="00515CF3"/>
    <w:rsid w:val="00515E32"/>
    <w:rsid w:val="00517081"/>
    <w:rsid w:val="00520A91"/>
    <w:rsid w:val="005217BC"/>
    <w:rsid w:val="00521E38"/>
    <w:rsid w:val="005237CB"/>
    <w:rsid w:val="0052767C"/>
    <w:rsid w:val="0052774E"/>
    <w:rsid w:val="005278EF"/>
    <w:rsid w:val="005308B8"/>
    <w:rsid w:val="00530A54"/>
    <w:rsid w:val="00530B55"/>
    <w:rsid w:val="00532DDC"/>
    <w:rsid w:val="00534681"/>
    <w:rsid w:val="00535366"/>
    <w:rsid w:val="00535562"/>
    <w:rsid w:val="00537074"/>
    <w:rsid w:val="00537248"/>
    <w:rsid w:val="00541205"/>
    <w:rsid w:val="00541279"/>
    <w:rsid w:val="00541BAA"/>
    <w:rsid w:val="00541ED6"/>
    <w:rsid w:val="00542A4E"/>
    <w:rsid w:val="005433F4"/>
    <w:rsid w:val="00544103"/>
    <w:rsid w:val="00544A75"/>
    <w:rsid w:val="0054562A"/>
    <w:rsid w:val="005463BE"/>
    <w:rsid w:val="005469A1"/>
    <w:rsid w:val="00546A33"/>
    <w:rsid w:val="0054766F"/>
    <w:rsid w:val="00550032"/>
    <w:rsid w:val="00551B33"/>
    <w:rsid w:val="0055303D"/>
    <w:rsid w:val="0055320B"/>
    <w:rsid w:val="00553B16"/>
    <w:rsid w:val="00553F2B"/>
    <w:rsid w:val="0055440D"/>
    <w:rsid w:val="00561718"/>
    <w:rsid w:val="00562E3B"/>
    <w:rsid w:val="00563EFC"/>
    <w:rsid w:val="00564BAE"/>
    <w:rsid w:val="00564E3C"/>
    <w:rsid w:val="00565389"/>
    <w:rsid w:val="00565925"/>
    <w:rsid w:val="005667A9"/>
    <w:rsid w:val="005678A2"/>
    <w:rsid w:val="00570A12"/>
    <w:rsid w:val="00571E49"/>
    <w:rsid w:val="0057203B"/>
    <w:rsid w:val="00573D23"/>
    <w:rsid w:val="00573E7C"/>
    <w:rsid w:val="0057415E"/>
    <w:rsid w:val="00574C96"/>
    <w:rsid w:val="00580246"/>
    <w:rsid w:val="00582152"/>
    <w:rsid w:val="00582C25"/>
    <w:rsid w:val="00582DA4"/>
    <w:rsid w:val="00584785"/>
    <w:rsid w:val="00584ACD"/>
    <w:rsid w:val="00585967"/>
    <w:rsid w:val="0058624C"/>
    <w:rsid w:val="0058626D"/>
    <w:rsid w:val="00586294"/>
    <w:rsid w:val="0058631C"/>
    <w:rsid w:val="00587893"/>
    <w:rsid w:val="00587D7D"/>
    <w:rsid w:val="005905C6"/>
    <w:rsid w:val="0059184E"/>
    <w:rsid w:val="00591F8E"/>
    <w:rsid w:val="005930A4"/>
    <w:rsid w:val="00593EC1"/>
    <w:rsid w:val="0059700B"/>
    <w:rsid w:val="00597ABF"/>
    <w:rsid w:val="005A06AF"/>
    <w:rsid w:val="005A099E"/>
    <w:rsid w:val="005A0F64"/>
    <w:rsid w:val="005A1546"/>
    <w:rsid w:val="005A206E"/>
    <w:rsid w:val="005A29FA"/>
    <w:rsid w:val="005A2ACA"/>
    <w:rsid w:val="005A31F5"/>
    <w:rsid w:val="005A36BF"/>
    <w:rsid w:val="005A3B21"/>
    <w:rsid w:val="005A4686"/>
    <w:rsid w:val="005A4B00"/>
    <w:rsid w:val="005A4B39"/>
    <w:rsid w:val="005A57BD"/>
    <w:rsid w:val="005A6DEE"/>
    <w:rsid w:val="005A745A"/>
    <w:rsid w:val="005B06CE"/>
    <w:rsid w:val="005B4EFB"/>
    <w:rsid w:val="005B4FD1"/>
    <w:rsid w:val="005B53AD"/>
    <w:rsid w:val="005C100F"/>
    <w:rsid w:val="005C131E"/>
    <w:rsid w:val="005C2321"/>
    <w:rsid w:val="005C339C"/>
    <w:rsid w:val="005C3B8B"/>
    <w:rsid w:val="005C4DB2"/>
    <w:rsid w:val="005C5761"/>
    <w:rsid w:val="005C58F8"/>
    <w:rsid w:val="005C6193"/>
    <w:rsid w:val="005D0D86"/>
    <w:rsid w:val="005D198F"/>
    <w:rsid w:val="005D20B3"/>
    <w:rsid w:val="005D246C"/>
    <w:rsid w:val="005D2E71"/>
    <w:rsid w:val="005D4149"/>
    <w:rsid w:val="005D466E"/>
    <w:rsid w:val="005D60AE"/>
    <w:rsid w:val="005D6B00"/>
    <w:rsid w:val="005D6B03"/>
    <w:rsid w:val="005D6E33"/>
    <w:rsid w:val="005E0A21"/>
    <w:rsid w:val="005E19E0"/>
    <w:rsid w:val="005E21B3"/>
    <w:rsid w:val="005E2341"/>
    <w:rsid w:val="005E2605"/>
    <w:rsid w:val="005E2D25"/>
    <w:rsid w:val="005E3278"/>
    <w:rsid w:val="005E3464"/>
    <w:rsid w:val="005E36CF"/>
    <w:rsid w:val="005E5ED4"/>
    <w:rsid w:val="005E6996"/>
    <w:rsid w:val="005F1313"/>
    <w:rsid w:val="005F31E1"/>
    <w:rsid w:val="005F3339"/>
    <w:rsid w:val="005F3BAD"/>
    <w:rsid w:val="005F4060"/>
    <w:rsid w:val="005F53E0"/>
    <w:rsid w:val="005F5897"/>
    <w:rsid w:val="005F5918"/>
    <w:rsid w:val="005F5B10"/>
    <w:rsid w:val="005F6539"/>
    <w:rsid w:val="005F681C"/>
    <w:rsid w:val="005F701A"/>
    <w:rsid w:val="005F7E92"/>
    <w:rsid w:val="005F7FD2"/>
    <w:rsid w:val="0060002C"/>
    <w:rsid w:val="006018CC"/>
    <w:rsid w:val="00601D88"/>
    <w:rsid w:val="006029F9"/>
    <w:rsid w:val="0060309F"/>
    <w:rsid w:val="00605CA3"/>
    <w:rsid w:val="0060725E"/>
    <w:rsid w:val="0060798C"/>
    <w:rsid w:val="006102B3"/>
    <w:rsid w:val="0061036D"/>
    <w:rsid w:val="006111B1"/>
    <w:rsid w:val="0061135C"/>
    <w:rsid w:val="00611A3E"/>
    <w:rsid w:val="006121DE"/>
    <w:rsid w:val="006122BA"/>
    <w:rsid w:val="00612997"/>
    <w:rsid w:val="00612AAB"/>
    <w:rsid w:val="006130F9"/>
    <w:rsid w:val="006154DE"/>
    <w:rsid w:val="00616518"/>
    <w:rsid w:val="00616F82"/>
    <w:rsid w:val="00617C76"/>
    <w:rsid w:val="0062126B"/>
    <w:rsid w:val="006223AE"/>
    <w:rsid w:val="00622B3C"/>
    <w:rsid w:val="00623294"/>
    <w:rsid w:val="006235DB"/>
    <w:rsid w:val="006240FF"/>
    <w:rsid w:val="00624B21"/>
    <w:rsid w:val="006263F8"/>
    <w:rsid w:val="00626F6A"/>
    <w:rsid w:val="0062732E"/>
    <w:rsid w:val="0063028A"/>
    <w:rsid w:val="006316E0"/>
    <w:rsid w:val="00633541"/>
    <w:rsid w:val="00633955"/>
    <w:rsid w:val="006344FC"/>
    <w:rsid w:val="00634970"/>
    <w:rsid w:val="0063513B"/>
    <w:rsid w:val="006373C4"/>
    <w:rsid w:val="0064023C"/>
    <w:rsid w:val="006405E7"/>
    <w:rsid w:val="0064061A"/>
    <w:rsid w:val="006449C3"/>
    <w:rsid w:val="00644DDC"/>
    <w:rsid w:val="00646C24"/>
    <w:rsid w:val="00650772"/>
    <w:rsid w:val="00651287"/>
    <w:rsid w:val="00654593"/>
    <w:rsid w:val="006547D5"/>
    <w:rsid w:val="006552A2"/>
    <w:rsid w:val="00657258"/>
    <w:rsid w:val="00657A61"/>
    <w:rsid w:val="00657CC2"/>
    <w:rsid w:val="00657ED6"/>
    <w:rsid w:val="006602A8"/>
    <w:rsid w:val="00660B86"/>
    <w:rsid w:val="0066143D"/>
    <w:rsid w:val="00662A11"/>
    <w:rsid w:val="00664155"/>
    <w:rsid w:val="00664BD3"/>
    <w:rsid w:val="00665189"/>
    <w:rsid w:val="006658EA"/>
    <w:rsid w:val="00666522"/>
    <w:rsid w:val="0067397F"/>
    <w:rsid w:val="00673FF7"/>
    <w:rsid w:val="00674975"/>
    <w:rsid w:val="00674B94"/>
    <w:rsid w:val="00674F93"/>
    <w:rsid w:val="006760A2"/>
    <w:rsid w:val="0067631D"/>
    <w:rsid w:val="006773EA"/>
    <w:rsid w:val="006806B3"/>
    <w:rsid w:val="00681863"/>
    <w:rsid w:val="00681DF6"/>
    <w:rsid w:val="00682292"/>
    <w:rsid w:val="00682E81"/>
    <w:rsid w:val="00683024"/>
    <w:rsid w:val="00683B8E"/>
    <w:rsid w:val="00684FE1"/>
    <w:rsid w:val="006850A8"/>
    <w:rsid w:val="0068586A"/>
    <w:rsid w:val="0068696B"/>
    <w:rsid w:val="00687202"/>
    <w:rsid w:val="00690227"/>
    <w:rsid w:val="006913E8"/>
    <w:rsid w:val="00691ABD"/>
    <w:rsid w:val="00692588"/>
    <w:rsid w:val="00692B61"/>
    <w:rsid w:val="00692BB1"/>
    <w:rsid w:val="006946DC"/>
    <w:rsid w:val="0069472B"/>
    <w:rsid w:val="006949B7"/>
    <w:rsid w:val="00695240"/>
    <w:rsid w:val="0069609E"/>
    <w:rsid w:val="00697105"/>
    <w:rsid w:val="006A026C"/>
    <w:rsid w:val="006A182F"/>
    <w:rsid w:val="006A2B57"/>
    <w:rsid w:val="006A2E35"/>
    <w:rsid w:val="006A30F1"/>
    <w:rsid w:val="006A3BC7"/>
    <w:rsid w:val="006A682A"/>
    <w:rsid w:val="006B07EC"/>
    <w:rsid w:val="006B0C88"/>
    <w:rsid w:val="006B15AA"/>
    <w:rsid w:val="006B20C6"/>
    <w:rsid w:val="006B2290"/>
    <w:rsid w:val="006B28AB"/>
    <w:rsid w:val="006B293D"/>
    <w:rsid w:val="006B41AC"/>
    <w:rsid w:val="006B530A"/>
    <w:rsid w:val="006B543C"/>
    <w:rsid w:val="006B5FB2"/>
    <w:rsid w:val="006C012B"/>
    <w:rsid w:val="006C074B"/>
    <w:rsid w:val="006C281B"/>
    <w:rsid w:val="006C3AE1"/>
    <w:rsid w:val="006C4E28"/>
    <w:rsid w:val="006C5319"/>
    <w:rsid w:val="006C5A8C"/>
    <w:rsid w:val="006C7F67"/>
    <w:rsid w:val="006D0823"/>
    <w:rsid w:val="006D1749"/>
    <w:rsid w:val="006D23DC"/>
    <w:rsid w:val="006D307D"/>
    <w:rsid w:val="006D4C9C"/>
    <w:rsid w:val="006D5390"/>
    <w:rsid w:val="006D5C55"/>
    <w:rsid w:val="006E0096"/>
    <w:rsid w:val="006E0263"/>
    <w:rsid w:val="006E178E"/>
    <w:rsid w:val="006E203B"/>
    <w:rsid w:val="006E4CE1"/>
    <w:rsid w:val="006E4E67"/>
    <w:rsid w:val="006E50EA"/>
    <w:rsid w:val="006E5873"/>
    <w:rsid w:val="006E5E48"/>
    <w:rsid w:val="006F037F"/>
    <w:rsid w:val="006F07E4"/>
    <w:rsid w:val="006F0BDD"/>
    <w:rsid w:val="006F0D02"/>
    <w:rsid w:val="006F3960"/>
    <w:rsid w:val="006F472E"/>
    <w:rsid w:val="006F49B0"/>
    <w:rsid w:val="006F6044"/>
    <w:rsid w:val="006F768A"/>
    <w:rsid w:val="006F7A9C"/>
    <w:rsid w:val="006F7CF8"/>
    <w:rsid w:val="00701185"/>
    <w:rsid w:val="00701EFB"/>
    <w:rsid w:val="00702223"/>
    <w:rsid w:val="007029B1"/>
    <w:rsid w:val="0070564C"/>
    <w:rsid w:val="00705EAE"/>
    <w:rsid w:val="00707280"/>
    <w:rsid w:val="00710B2D"/>
    <w:rsid w:val="00710F69"/>
    <w:rsid w:val="0071254E"/>
    <w:rsid w:val="0071274D"/>
    <w:rsid w:val="00712F51"/>
    <w:rsid w:val="0071492E"/>
    <w:rsid w:val="007151F6"/>
    <w:rsid w:val="00715729"/>
    <w:rsid w:val="00716D61"/>
    <w:rsid w:val="00717D88"/>
    <w:rsid w:val="00721016"/>
    <w:rsid w:val="00721221"/>
    <w:rsid w:val="00721FDA"/>
    <w:rsid w:val="007233EA"/>
    <w:rsid w:val="007239DD"/>
    <w:rsid w:val="00723F8C"/>
    <w:rsid w:val="00724A5D"/>
    <w:rsid w:val="00725A9E"/>
    <w:rsid w:val="00726BB9"/>
    <w:rsid w:val="00727A5D"/>
    <w:rsid w:val="00730052"/>
    <w:rsid w:val="007305A7"/>
    <w:rsid w:val="00730C8D"/>
    <w:rsid w:val="0073123E"/>
    <w:rsid w:val="0073153B"/>
    <w:rsid w:val="00731D8F"/>
    <w:rsid w:val="00732912"/>
    <w:rsid w:val="00732BC6"/>
    <w:rsid w:val="00732C38"/>
    <w:rsid w:val="0073440C"/>
    <w:rsid w:val="00734808"/>
    <w:rsid w:val="00736915"/>
    <w:rsid w:val="00736C23"/>
    <w:rsid w:val="00737608"/>
    <w:rsid w:val="0074023D"/>
    <w:rsid w:val="007407B5"/>
    <w:rsid w:val="007418F6"/>
    <w:rsid w:val="00744044"/>
    <w:rsid w:val="00745B2B"/>
    <w:rsid w:val="00747222"/>
    <w:rsid w:val="00747BC6"/>
    <w:rsid w:val="00750326"/>
    <w:rsid w:val="00750985"/>
    <w:rsid w:val="00750E1B"/>
    <w:rsid w:val="007516D6"/>
    <w:rsid w:val="00751C83"/>
    <w:rsid w:val="00752613"/>
    <w:rsid w:val="00752C54"/>
    <w:rsid w:val="007534CF"/>
    <w:rsid w:val="007545FC"/>
    <w:rsid w:val="00754649"/>
    <w:rsid w:val="00754721"/>
    <w:rsid w:val="00754FE5"/>
    <w:rsid w:val="00755A85"/>
    <w:rsid w:val="00755DFA"/>
    <w:rsid w:val="00756843"/>
    <w:rsid w:val="00756ACD"/>
    <w:rsid w:val="0076085C"/>
    <w:rsid w:val="007620B3"/>
    <w:rsid w:val="00762962"/>
    <w:rsid w:val="00771576"/>
    <w:rsid w:val="00771D13"/>
    <w:rsid w:val="00772B47"/>
    <w:rsid w:val="00772FCC"/>
    <w:rsid w:val="00774CA4"/>
    <w:rsid w:val="00774FA7"/>
    <w:rsid w:val="00775CE8"/>
    <w:rsid w:val="007763FB"/>
    <w:rsid w:val="0078025F"/>
    <w:rsid w:val="00780F6B"/>
    <w:rsid w:val="007816D7"/>
    <w:rsid w:val="00782141"/>
    <w:rsid w:val="00782A16"/>
    <w:rsid w:val="00783592"/>
    <w:rsid w:val="00784BF0"/>
    <w:rsid w:val="007916A1"/>
    <w:rsid w:val="0079173C"/>
    <w:rsid w:val="00791766"/>
    <w:rsid w:val="00792782"/>
    <w:rsid w:val="00792A28"/>
    <w:rsid w:val="00792BE3"/>
    <w:rsid w:val="00793EE2"/>
    <w:rsid w:val="007942D3"/>
    <w:rsid w:val="00794482"/>
    <w:rsid w:val="00794593"/>
    <w:rsid w:val="007967B3"/>
    <w:rsid w:val="00797BFC"/>
    <w:rsid w:val="007A0452"/>
    <w:rsid w:val="007A1C80"/>
    <w:rsid w:val="007A28EB"/>
    <w:rsid w:val="007A5456"/>
    <w:rsid w:val="007A6027"/>
    <w:rsid w:val="007A653F"/>
    <w:rsid w:val="007A6567"/>
    <w:rsid w:val="007A68C5"/>
    <w:rsid w:val="007B0147"/>
    <w:rsid w:val="007B0228"/>
    <w:rsid w:val="007B126F"/>
    <w:rsid w:val="007B14DF"/>
    <w:rsid w:val="007B2969"/>
    <w:rsid w:val="007B4C13"/>
    <w:rsid w:val="007B6C09"/>
    <w:rsid w:val="007B6E6E"/>
    <w:rsid w:val="007B7141"/>
    <w:rsid w:val="007B7288"/>
    <w:rsid w:val="007C0952"/>
    <w:rsid w:val="007C2B57"/>
    <w:rsid w:val="007C38CB"/>
    <w:rsid w:val="007C43CC"/>
    <w:rsid w:val="007C46DC"/>
    <w:rsid w:val="007C5F3A"/>
    <w:rsid w:val="007C77BC"/>
    <w:rsid w:val="007C7A25"/>
    <w:rsid w:val="007D1FF3"/>
    <w:rsid w:val="007D2670"/>
    <w:rsid w:val="007D2871"/>
    <w:rsid w:val="007D4687"/>
    <w:rsid w:val="007D4743"/>
    <w:rsid w:val="007D5890"/>
    <w:rsid w:val="007E09BA"/>
    <w:rsid w:val="007E09DA"/>
    <w:rsid w:val="007E0F63"/>
    <w:rsid w:val="007E1EB6"/>
    <w:rsid w:val="007E2FE8"/>
    <w:rsid w:val="007E3C94"/>
    <w:rsid w:val="007E50E3"/>
    <w:rsid w:val="007E5A97"/>
    <w:rsid w:val="007E62C8"/>
    <w:rsid w:val="007E7482"/>
    <w:rsid w:val="007E761E"/>
    <w:rsid w:val="007F0842"/>
    <w:rsid w:val="007F18BF"/>
    <w:rsid w:val="007F22E3"/>
    <w:rsid w:val="007F4138"/>
    <w:rsid w:val="007F4511"/>
    <w:rsid w:val="007F46E2"/>
    <w:rsid w:val="007F4973"/>
    <w:rsid w:val="007F538F"/>
    <w:rsid w:val="007F5BE1"/>
    <w:rsid w:val="007F6BED"/>
    <w:rsid w:val="008006B4"/>
    <w:rsid w:val="00800C98"/>
    <w:rsid w:val="0080117D"/>
    <w:rsid w:val="00802085"/>
    <w:rsid w:val="00803E4F"/>
    <w:rsid w:val="0080411A"/>
    <w:rsid w:val="0080569A"/>
    <w:rsid w:val="008056A9"/>
    <w:rsid w:val="0080693D"/>
    <w:rsid w:val="00806E12"/>
    <w:rsid w:val="0081237C"/>
    <w:rsid w:val="00812B43"/>
    <w:rsid w:val="00812BDB"/>
    <w:rsid w:val="00812DE7"/>
    <w:rsid w:val="00813483"/>
    <w:rsid w:val="00813EF3"/>
    <w:rsid w:val="008140D4"/>
    <w:rsid w:val="00814F75"/>
    <w:rsid w:val="00815C5F"/>
    <w:rsid w:val="008162CC"/>
    <w:rsid w:val="008178B6"/>
    <w:rsid w:val="00817907"/>
    <w:rsid w:val="00817CC5"/>
    <w:rsid w:val="00821092"/>
    <w:rsid w:val="008212B5"/>
    <w:rsid w:val="00822AB5"/>
    <w:rsid w:val="00823257"/>
    <w:rsid w:val="008248C5"/>
    <w:rsid w:val="008251D7"/>
    <w:rsid w:val="0082657A"/>
    <w:rsid w:val="00826971"/>
    <w:rsid w:val="00827C34"/>
    <w:rsid w:val="00830767"/>
    <w:rsid w:val="00833546"/>
    <w:rsid w:val="00833A2D"/>
    <w:rsid w:val="0083441E"/>
    <w:rsid w:val="00835E5D"/>
    <w:rsid w:val="008376C5"/>
    <w:rsid w:val="00837E64"/>
    <w:rsid w:val="00843151"/>
    <w:rsid w:val="00845628"/>
    <w:rsid w:val="00847474"/>
    <w:rsid w:val="00847C33"/>
    <w:rsid w:val="00847E4D"/>
    <w:rsid w:val="0085192A"/>
    <w:rsid w:val="00852076"/>
    <w:rsid w:val="0085257A"/>
    <w:rsid w:val="00854A0E"/>
    <w:rsid w:val="00854BA2"/>
    <w:rsid w:val="00855277"/>
    <w:rsid w:val="00855479"/>
    <w:rsid w:val="008555AE"/>
    <w:rsid w:val="00856B2E"/>
    <w:rsid w:val="008571F9"/>
    <w:rsid w:val="0085737E"/>
    <w:rsid w:val="008602C4"/>
    <w:rsid w:val="00861B48"/>
    <w:rsid w:val="00862944"/>
    <w:rsid w:val="00863B2C"/>
    <w:rsid w:val="00864565"/>
    <w:rsid w:val="00864582"/>
    <w:rsid w:val="00865B74"/>
    <w:rsid w:val="008662EE"/>
    <w:rsid w:val="008668EE"/>
    <w:rsid w:val="00866BEA"/>
    <w:rsid w:val="008671DC"/>
    <w:rsid w:val="00871330"/>
    <w:rsid w:val="00871BA8"/>
    <w:rsid w:val="00873800"/>
    <w:rsid w:val="00874541"/>
    <w:rsid w:val="008748BB"/>
    <w:rsid w:val="00874A73"/>
    <w:rsid w:val="008773FE"/>
    <w:rsid w:val="008774CC"/>
    <w:rsid w:val="00883FC7"/>
    <w:rsid w:val="008845F8"/>
    <w:rsid w:val="0088724A"/>
    <w:rsid w:val="008900B5"/>
    <w:rsid w:val="008922D8"/>
    <w:rsid w:val="00893481"/>
    <w:rsid w:val="008934D6"/>
    <w:rsid w:val="0089356E"/>
    <w:rsid w:val="0089514B"/>
    <w:rsid w:val="00895F96"/>
    <w:rsid w:val="008965F9"/>
    <w:rsid w:val="0089790F"/>
    <w:rsid w:val="008A015F"/>
    <w:rsid w:val="008A1D75"/>
    <w:rsid w:val="008A3CF0"/>
    <w:rsid w:val="008A43CD"/>
    <w:rsid w:val="008A52C4"/>
    <w:rsid w:val="008A59D5"/>
    <w:rsid w:val="008A5A45"/>
    <w:rsid w:val="008A60BF"/>
    <w:rsid w:val="008A6EAA"/>
    <w:rsid w:val="008A774C"/>
    <w:rsid w:val="008A7BDA"/>
    <w:rsid w:val="008A7FA5"/>
    <w:rsid w:val="008B0823"/>
    <w:rsid w:val="008B3A15"/>
    <w:rsid w:val="008B604B"/>
    <w:rsid w:val="008C1E53"/>
    <w:rsid w:val="008C2593"/>
    <w:rsid w:val="008C315B"/>
    <w:rsid w:val="008C42B7"/>
    <w:rsid w:val="008C4BB8"/>
    <w:rsid w:val="008C7A28"/>
    <w:rsid w:val="008C7B3A"/>
    <w:rsid w:val="008D14C4"/>
    <w:rsid w:val="008D1B8D"/>
    <w:rsid w:val="008D28F9"/>
    <w:rsid w:val="008D47C3"/>
    <w:rsid w:val="008D5561"/>
    <w:rsid w:val="008D5AC6"/>
    <w:rsid w:val="008D5D4F"/>
    <w:rsid w:val="008D6CC7"/>
    <w:rsid w:val="008E0581"/>
    <w:rsid w:val="008E1C6F"/>
    <w:rsid w:val="008E1F72"/>
    <w:rsid w:val="008E2056"/>
    <w:rsid w:val="008E24E0"/>
    <w:rsid w:val="008E3FDB"/>
    <w:rsid w:val="008E6039"/>
    <w:rsid w:val="008E699D"/>
    <w:rsid w:val="008E7434"/>
    <w:rsid w:val="008E7D0B"/>
    <w:rsid w:val="008F02A0"/>
    <w:rsid w:val="008F0AC3"/>
    <w:rsid w:val="008F0BFB"/>
    <w:rsid w:val="008F125D"/>
    <w:rsid w:val="008F172A"/>
    <w:rsid w:val="008F2025"/>
    <w:rsid w:val="008F3C06"/>
    <w:rsid w:val="008F5C84"/>
    <w:rsid w:val="008F5F1C"/>
    <w:rsid w:val="008F6DBA"/>
    <w:rsid w:val="008F7D84"/>
    <w:rsid w:val="008F7FAA"/>
    <w:rsid w:val="00900250"/>
    <w:rsid w:val="00902776"/>
    <w:rsid w:val="00902BF7"/>
    <w:rsid w:val="009035A1"/>
    <w:rsid w:val="009035DA"/>
    <w:rsid w:val="00903A47"/>
    <w:rsid w:val="00903C36"/>
    <w:rsid w:val="009045C7"/>
    <w:rsid w:val="00905321"/>
    <w:rsid w:val="00907178"/>
    <w:rsid w:val="009072BB"/>
    <w:rsid w:val="00907E17"/>
    <w:rsid w:val="00910251"/>
    <w:rsid w:val="00911724"/>
    <w:rsid w:val="009133B2"/>
    <w:rsid w:val="00913E16"/>
    <w:rsid w:val="00914314"/>
    <w:rsid w:val="009151DE"/>
    <w:rsid w:val="00915BD1"/>
    <w:rsid w:val="00915F1B"/>
    <w:rsid w:val="00920B20"/>
    <w:rsid w:val="00920D81"/>
    <w:rsid w:val="009218BF"/>
    <w:rsid w:val="0092342A"/>
    <w:rsid w:val="00925733"/>
    <w:rsid w:val="009258E0"/>
    <w:rsid w:val="00925971"/>
    <w:rsid w:val="0092666F"/>
    <w:rsid w:val="00926E08"/>
    <w:rsid w:val="0092724E"/>
    <w:rsid w:val="00930167"/>
    <w:rsid w:val="009305F9"/>
    <w:rsid w:val="00930BA1"/>
    <w:rsid w:val="0093169E"/>
    <w:rsid w:val="009351D1"/>
    <w:rsid w:val="00935251"/>
    <w:rsid w:val="00935461"/>
    <w:rsid w:val="00940EB4"/>
    <w:rsid w:val="00942DEB"/>
    <w:rsid w:val="00943B75"/>
    <w:rsid w:val="00943E9D"/>
    <w:rsid w:val="00945450"/>
    <w:rsid w:val="00946E70"/>
    <w:rsid w:val="009505C9"/>
    <w:rsid w:val="00950AF5"/>
    <w:rsid w:val="0095211B"/>
    <w:rsid w:val="009521E9"/>
    <w:rsid w:val="009528C9"/>
    <w:rsid w:val="00953C8A"/>
    <w:rsid w:val="009540F9"/>
    <w:rsid w:val="009558A6"/>
    <w:rsid w:val="00956422"/>
    <w:rsid w:val="00956519"/>
    <w:rsid w:val="00956B6B"/>
    <w:rsid w:val="00961242"/>
    <w:rsid w:val="00961607"/>
    <w:rsid w:val="00961CE9"/>
    <w:rsid w:val="00965523"/>
    <w:rsid w:val="009660E9"/>
    <w:rsid w:val="0096658E"/>
    <w:rsid w:val="00966FE9"/>
    <w:rsid w:val="00967003"/>
    <w:rsid w:val="00967D73"/>
    <w:rsid w:val="0097150D"/>
    <w:rsid w:val="009719BC"/>
    <w:rsid w:val="0097259E"/>
    <w:rsid w:val="009732BA"/>
    <w:rsid w:val="0097352B"/>
    <w:rsid w:val="009745AD"/>
    <w:rsid w:val="009750D7"/>
    <w:rsid w:val="00980D23"/>
    <w:rsid w:val="009816B8"/>
    <w:rsid w:val="0098263F"/>
    <w:rsid w:val="009847F7"/>
    <w:rsid w:val="009848C0"/>
    <w:rsid w:val="00984C86"/>
    <w:rsid w:val="00986854"/>
    <w:rsid w:val="00987513"/>
    <w:rsid w:val="0098751E"/>
    <w:rsid w:val="0099035B"/>
    <w:rsid w:val="00992435"/>
    <w:rsid w:val="00993E9F"/>
    <w:rsid w:val="00995742"/>
    <w:rsid w:val="00995DDC"/>
    <w:rsid w:val="009A0AD4"/>
    <w:rsid w:val="009A0BDC"/>
    <w:rsid w:val="009A3332"/>
    <w:rsid w:val="009A4652"/>
    <w:rsid w:val="009A51DD"/>
    <w:rsid w:val="009A60FB"/>
    <w:rsid w:val="009A7E7F"/>
    <w:rsid w:val="009B143E"/>
    <w:rsid w:val="009B21C3"/>
    <w:rsid w:val="009B3397"/>
    <w:rsid w:val="009B38CA"/>
    <w:rsid w:val="009B4C2E"/>
    <w:rsid w:val="009B4D03"/>
    <w:rsid w:val="009B55CE"/>
    <w:rsid w:val="009B744A"/>
    <w:rsid w:val="009C0814"/>
    <w:rsid w:val="009C1114"/>
    <w:rsid w:val="009C1DD1"/>
    <w:rsid w:val="009C244D"/>
    <w:rsid w:val="009C34F4"/>
    <w:rsid w:val="009C3936"/>
    <w:rsid w:val="009C4064"/>
    <w:rsid w:val="009C588D"/>
    <w:rsid w:val="009C6641"/>
    <w:rsid w:val="009C7958"/>
    <w:rsid w:val="009D0ABE"/>
    <w:rsid w:val="009D1BA6"/>
    <w:rsid w:val="009D2943"/>
    <w:rsid w:val="009D2DDB"/>
    <w:rsid w:val="009D3E2F"/>
    <w:rsid w:val="009D5747"/>
    <w:rsid w:val="009D6DDE"/>
    <w:rsid w:val="009D7691"/>
    <w:rsid w:val="009D7A13"/>
    <w:rsid w:val="009D7B24"/>
    <w:rsid w:val="009E2556"/>
    <w:rsid w:val="009E3562"/>
    <w:rsid w:val="009E44A2"/>
    <w:rsid w:val="009E5E53"/>
    <w:rsid w:val="009F045F"/>
    <w:rsid w:val="009F10D6"/>
    <w:rsid w:val="009F1CE6"/>
    <w:rsid w:val="009F4137"/>
    <w:rsid w:val="009F42C1"/>
    <w:rsid w:val="009F450D"/>
    <w:rsid w:val="009F5ECF"/>
    <w:rsid w:val="009F5F76"/>
    <w:rsid w:val="009F5FD8"/>
    <w:rsid w:val="009F6603"/>
    <w:rsid w:val="009F6ED5"/>
    <w:rsid w:val="009F6F3E"/>
    <w:rsid w:val="009F71BB"/>
    <w:rsid w:val="00A01163"/>
    <w:rsid w:val="00A012CF"/>
    <w:rsid w:val="00A01821"/>
    <w:rsid w:val="00A03994"/>
    <w:rsid w:val="00A03A23"/>
    <w:rsid w:val="00A04205"/>
    <w:rsid w:val="00A045C2"/>
    <w:rsid w:val="00A045CF"/>
    <w:rsid w:val="00A05FD4"/>
    <w:rsid w:val="00A07F47"/>
    <w:rsid w:val="00A10E8E"/>
    <w:rsid w:val="00A1157F"/>
    <w:rsid w:val="00A11909"/>
    <w:rsid w:val="00A12080"/>
    <w:rsid w:val="00A122AB"/>
    <w:rsid w:val="00A13239"/>
    <w:rsid w:val="00A13353"/>
    <w:rsid w:val="00A14481"/>
    <w:rsid w:val="00A15C38"/>
    <w:rsid w:val="00A178B0"/>
    <w:rsid w:val="00A17B43"/>
    <w:rsid w:val="00A17CE1"/>
    <w:rsid w:val="00A22609"/>
    <w:rsid w:val="00A22B04"/>
    <w:rsid w:val="00A231B8"/>
    <w:rsid w:val="00A250C9"/>
    <w:rsid w:val="00A2518E"/>
    <w:rsid w:val="00A261B5"/>
    <w:rsid w:val="00A2658B"/>
    <w:rsid w:val="00A2709D"/>
    <w:rsid w:val="00A27E11"/>
    <w:rsid w:val="00A30844"/>
    <w:rsid w:val="00A30CAE"/>
    <w:rsid w:val="00A32ED6"/>
    <w:rsid w:val="00A366D8"/>
    <w:rsid w:val="00A36C31"/>
    <w:rsid w:val="00A37443"/>
    <w:rsid w:val="00A37DD9"/>
    <w:rsid w:val="00A411E6"/>
    <w:rsid w:val="00A415BB"/>
    <w:rsid w:val="00A41C83"/>
    <w:rsid w:val="00A438D8"/>
    <w:rsid w:val="00A43A94"/>
    <w:rsid w:val="00A445A6"/>
    <w:rsid w:val="00A46685"/>
    <w:rsid w:val="00A4679F"/>
    <w:rsid w:val="00A468EC"/>
    <w:rsid w:val="00A46E79"/>
    <w:rsid w:val="00A47BBD"/>
    <w:rsid w:val="00A50188"/>
    <w:rsid w:val="00A5079E"/>
    <w:rsid w:val="00A51FA0"/>
    <w:rsid w:val="00A52B46"/>
    <w:rsid w:val="00A53E9C"/>
    <w:rsid w:val="00A54152"/>
    <w:rsid w:val="00A54FA0"/>
    <w:rsid w:val="00A55265"/>
    <w:rsid w:val="00A5595D"/>
    <w:rsid w:val="00A56494"/>
    <w:rsid w:val="00A570BE"/>
    <w:rsid w:val="00A612AC"/>
    <w:rsid w:val="00A6357A"/>
    <w:rsid w:val="00A63B69"/>
    <w:rsid w:val="00A654D8"/>
    <w:rsid w:val="00A65518"/>
    <w:rsid w:val="00A66609"/>
    <w:rsid w:val="00A67159"/>
    <w:rsid w:val="00A671BE"/>
    <w:rsid w:val="00A72F47"/>
    <w:rsid w:val="00A734B2"/>
    <w:rsid w:val="00A73CCE"/>
    <w:rsid w:val="00A74C1B"/>
    <w:rsid w:val="00A76247"/>
    <w:rsid w:val="00A7643B"/>
    <w:rsid w:val="00A81504"/>
    <w:rsid w:val="00A8245E"/>
    <w:rsid w:val="00A837A2"/>
    <w:rsid w:val="00A8464D"/>
    <w:rsid w:val="00A84892"/>
    <w:rsid w:val="00A84E9B"/>
    <w:rsid w:val="00A9042E"/>
    <w:rsid w:val="00A927FE"/>
    <w:rsid w:val="00A92FB6"/>
    <w:rsid w:val="00A9407B"/>
    <w:rsid w:val="00A94782"/>
    <w:rsid w:val="00A9507F"/>
    <w:rsid w:val="00A967E5"/>
    <w:rsid w:val="00A96B21"/>
    <w:rsid w:val="00A97BEC"/>
    <w:rsid w:val="00AA0C2E"/>
    <w:rsid w:val="00AA0E32"/>
    <w:rsid w:val="00AA2A9A"/>
    <w:rsid w:val="00AA2F96"/>
    <w:rsid w:val="00AA4D57"/>
    <w:rsid w:val="00AA7EF2"/>
    <w:rsid w:val="00AB02DB"/>
    <w:rsid w:val="00AB0696"/>
    <w:rsid w:val="00AB0784"/>
    <w:rsid w:val="00AB15AD"/>
    <w:rsid w:val="00AB1FEC"/>
    <w:rsid w:val="00AB371A"/>
    <w:rsid w:val="00AB47A3"/>
    <w:rsid w:val="00AB4A67"/>
    <w:rsid w:val="00AB5A17"/>
    <w:rsid w:val="00AB6A06"/>
    <w:rsid w:val="00AC070E"/>
    <w:rsid w:val="00AC175F"/>
    <w:rsid w:val="00AC1C04"/>
    <w:rsid w:val="00AC1D86"/>
    <w:rsid w:val="00AC30F0"/>
    <w:rsid w:val="00AC36EC"/>
    <w:rsid w:val="00AC634B"/>
    <w:rsid w:val="00AC7356"/>
    <w:rsid w:val="00AD1D0B"/>
    <w:rsid w:val="00AD2A15"/>
    <w:rsid w:val="00AD3382"/>
    <w:rsid w:val="00AD3632"/>
    <w:rsid w:val="00AD45C0"/>
    <w:rsid w:val="00AD4DA8"/>
    <w:rsid w:val="00AD60D1"/>
    <w:rsid w:val="00AE00DE"/>
    <w:rsid w:val="00AE0717"/>
    <w:rsid w:val="00AE1713"/>
    <w:rsid w:val="00AE1A95"/>
    <w:rsid w:val="00AE1CA2"/>
    <w:rsid w:val="00AE280F"/>
    <w:rsid w:val="00AE3343"/>
    <w:rsid w:val="00AE541A"/>
    <w:rsid w:val="00AE5631"/>
    <w:rsid w:val="00AE756A"/>
    <w:rsid w:val="00AE7998"/>
    <w:rsid w:val="00AF1B20"/>
    <w:rsid w:val="00AF204D"/>
    <w:rsid w:val="00AF3A2D"/>
    <w:rsid w:val="00AF559E"/>
    <w:rsid w:val="00AF5D73"/>
    <w:rsid w:val="00AF628C"/>
    <w:rsid w:val="00AF6B54"/>
    <w:rsid w:val="00B004C5"/>
    <w:rsid w:val="00B0386D"/>
    <w:rsid w:val="00B05282"/>
    <w:rsid w:val="00B07793"/>
    <w:rsid w:val="00B15EBE"/>
    <w:rsid w:val="00B16765"/>
    <w:rsid w:val="00B16767"/>
    <w:rsid w:val="00B207B5"/>
    <w:rsid w:val="00B24E69"/>
    <w:rsid w:val="00B24EB3"/>
    <w:rsid w:val="00B251EC"/>
    <w:rsid w:val="00B2582B"/>
    <w:rsid w:val="00B259ED"/>
    <w:rsid w:val="00B278B2"/>
    <w:rsid w:val="00B302AF"/>
    <w:rsid w:val="00B30A24"/>
    <w:rsid w:val="00B3138F"/>
    <w:rsid w:val="00B31CDD"/>
    <w:rsid w:val="00B326AD"/>
    <w:rsid w:val="00B32840"/>
    <w:rsid w:val="00B3369F"/>
    <w:rsid w:val="00B3656C"/>
    <w:rsid w:val="00B36839"/>
    <w:rsid w:val="00B36BC0"/>
    <w:rsid w:val="00B36CF5"/>
    <w:rsid w:val="00B36CFA"/>
    <w:rsid w:val="00B36EA9"/>
    <w:rsid w:val="00B37917"/>
    <w:rsid w:val="00B4003A"/>
    <w:rsid w:val="00B403BE"/>
    <w:rsid w:val="00B406A7"/>
    <w:rsid w:val="00B41741"/>
    <w:rsid w:val="00B41E7B"/>
    <w:rsid w:val="00B432D7"/>
    <w:rsid w:val="00B435BA"/>
    <w:rsid w:val="00B44CF1"/>
    <w:rsid w:val="00B45C7A"/>
    <w:rsid w:val="00B45D2F"/>
    <w:rsid w:val="00B47B5C"/>
    <w:rsid w:val="00B50A08"/>
    <w:rsid w:val="00B520CF"/>
    <w:rsid w:val="00B544C2"/>
    <w:rsid w:val="00B55B29"/>
    <w:rsid w:val="00B56DAE"/>
    <w:rsid w:val="00B60232"/>
    <w:rsid w:val="00B603A3"/>
    <w:rsid w:val="00B609EC"/>
    <w:rsid w:val="00B60DE4"/>
    <w:rsid w:val="00B63239"/>
    <w:rsid w:val="00B6545C"/>
    <w:rsid w:val="00B65C90"/>
    <w:rsid w:val="00B6668F"/>
    <w:rsid w:val="00B67077"/>
    <w:rsid w:val="00B6758B"/>
    <w:rsid w:val="00B7039D"/>
    <w:rsid w:val="00B709BC"/>
    <w:rsid w:val="00B70E68"/>
    <w:rsid w:val="00B73ADF"/>
    <w:rsid w:val="00B74B1C"/>
    <w:rsid w:val="00B76E2A"/>
    <w:rsid w:val="00B77E51"/>
    <w:rsid w:val="00B80CDD"/>
    <w:rsid w:val="00B8120C"/>
    <w:rsid w:val="00B81AF4"/>
    <w:rsid w:val="00B824A8"/>
    <w:rsid w:val="00B82B5E"/>
    <w:rsid w:val="00B874E6"/>
    <w:rsid w:val="00B879EF"/>
    <w:rsid w:val="00B90E39"/>
    <w:rsid w:val="00B91633"/>
    <w:rsid w:val="00B918EB"/>
    <w:rsid w:val="00B91C78"/>
    <w:rsid w:val="00B924AF"/>
    <w:rsid w:val="00B92C9C"/>
    <w:rsid w:val="00B93729"/>
    <w:rsid w:val="00B95662"/>
    <w:rsid w:val="00B95A69"/>
    <w:rsid w:val="00B95AE7"/>
    <w:rsid w:val="00B968AF"/>
    <w:rsid w:val="00B96A31"/>
    <w:rsid w:val="00B96C23"/>
    <w:rsid w:val="00B97E13"/>
    <w:rsid w:val="00BA103E"/>
    <w:rsid w:val="00BA2558"/>
    <w:rsid w:val="00BA2656"/>
    <w:rsid w:val="00BA290A"/>
    <w:rsid w:val="00BA2D88"/>
    <w:rsid w:val="00BA37D8"/>
    <w:rsid w:val="00BA3CED"/>
    <w:rsid w:val="00BA626D"/>
    <w:rsid w:val="00BB0F73"/>
    <w:rsid w:val="00BB505C"/>
    <w:rsid w:val="00BB5180"/>
    <w:rsid w:val="00BC0207"/>
    <w:rsid w:val="00BC0BBF"/>
    <w:rsid w:val="00BC0F23"/>
    <w:rsid w:val="00BC1390"/>
    <w:rsid w:val="00BC1641"/>
    <w:rsid w:val="00BC2140"/>
    <w:rsid w:val="00BC2F80"/>
    <w:rsid w:val="00BC397E"/>
    <w:rsid w:val="00BC446A"/>
    <w:rsid w:val="00BC4661"/>
    <w:rsid w:val="00BC6AB8"/>
    <w:rsid w:val="00BC784F"/>
    <w:rsid w:val="00BC7D7D"/>
    <w:rsid w:val="00BC7FA2"/>
    <w:rsid w:val="00BD1EB8"/>
    <w:rsid w:val="00BD22D1"/>
    <w:rsid w:val="00BD436A"/>
    <w:rsid w:val="00BD47DD"/>
    <w:rsid w:val="00BD54D6"/>
    <w:rsid w:val="00BD7150"/>
    <w:rsid w:val="00BE0866"/>
    <w:rsid w:val="00BE1F84"/>
    <w:rsid w:val="00BE213A"/>
    <w:rsid w:val="00BE2B39"/>
    <w:rsid w:val="00BF06DD"/>
    <w:rsid w:val="00BF0F60"/>
    <w:rsid w:val="00BF60B0"/>
    <w:rsid w:val="00BF71D6"/>
    <w:rsid w:val="00BF7FD1"/>
    <w:rsid w:val="00C003CD"/>
    <w:rsid w:val="00C00EA2"/>
    <w:rsid w:val="00C00FBD"/>
    <w:rsid w:val="00C03344"/>
    <w:rsid w:val="00C043FC"/>
    <w:rsid w:val="00C05104"/>
    <w:rsid w:val="00C065C8"/>
    <w:rsid w:val="00C06AB4"/>
    <w:rsid w:val="00C1348A"/>
    <w:rsid w:val="00C138FE"/>
    <w:rsid w:val="00C13F2C"/>
    <w:rsid w:val="00C14011"/>
    <w:rsid w:val="00C1658A"/>
    <w:rsid w:val="00C16839"/>
    <w:rsid w:val="00C16D7C"/>
    <w:rsid w:val="00C17C33"/>
    <w:rsid w:val="00C209B6"/>
    <w:rsid w:val="00C2354A"/>
    <w:rsid w:val="00C23599"/>
    <w:rsid w:val="00C23F42"/>
    <w:rsid w:val="00C24781"/>
    <w:rsid w:val="00C25238"/>
    <w:rsid w:val="00C27406"/>
    <w:rsid w:val="00C27B00"/>
    <w:rsid w:val="00C305EF"/>
    <w:rsid w:val="00C319C8"/>
    <w:rsid w:val="00C31CA2"/>
    <w:rsid w:val="00C31EFD"/>
    <w:rsid w:val="00C35C8B"/>
    <w:rsid w:val="00C3728A"/>
    <w:rsid w:val="00C41964"/>
    <w:rsid w:val="00C44CE0"/>
    <w:rsid w:val="00C4556E"/>
    <w:rsid w:val="00C47C7B"/>
    <w:rsid w:val="00C51347"/>
    <w:rsid w:val="00C55E86"/>
    <w:rsid w:val="00C6050B"/>
    <w:rsid w:val="00C60C82"/>
    <w:rsid w:val="00C61AEF"/>
    <w:rsid w:val="00C6270B"/>
    <w:rsid w:val="00C63E7D"/>
    <w:rsid w:val="00C64B49"/>
    <w:rsid w:val="00C67FE8"/>
    <w:rsid w:val="00C7081A"/>
    <w:rsid w:val="00C7096B"/>
    <w:rsid w:val="00C71396"/>
    <w:rsid w:val="00C7201D"/>
    <w:rsid w:val="00C722FF"/>
    <w:rsid w:val="00C729F2"/>
    <w:rsid w:val="00C75029"/>
    <w:rsid w:val="00C8047D"/>
    <w:rsid w:val="00C80953"/>
    <w:rsid w:val="00C81317"/>
    <w:rsid w:val="00C81BA0"/>
    <w:rsid w:val="00C83EF0"/>
    <w:rsid w:val="00C84590"/>
    <w:rsid w:val="00C858E3"/>
    <w:rsid w:val="00C86DD3"/>
    <w:rsid w:val="00C87857"/>
    <w:rsid w:val="00C90780"/>
    <w:rsid w:val="00C9161D"/>
    <w:rsid w:val="00C93526"/>
    <w:rsid w:val="00C94080"/>
    <w:rsid w:val="00C96448"/>
    <w:rsid w:val="00C9667F"/>
    <w:rsid w:val="00C96B17"/>
    <w:rsid w:val="00C97850"/>
    <w:rsid w:val="00C97AB9"/>
    <w:rsid w:val="00CA2414"/>
    <w:rsid w:val="00CA2603"/>
    <w:rsid w:val="00CA3550"/>
    <w:rsid w:val="00CA4AC6"/>
    <w:rsid w:val="00CA6724"/>
    <w:rsid w:val="00CB02D5"/>
    <w:rsid w:val="00CB11FA"/>
    <w:rsid w:val="00CB1B85"/>
    <w:rsid w:val="00CB216C"/>
    <w:rsid w:val="00CB2D20"/>
    <w:rsid w:val="00CB2EA7"/>
    <w:rsid w:val="00CB606F"/>
    <w:rsid w:val="00CB6751"/>
    <w:rsid w:val="00CB7522"/>
    <w:rsid w:val="00CC0ACD"/>
    <w:rsid w:val="00CC2BF6"/>
    <w:rsid w:val="00CC3540"/>
    <w:rsid w:val="00CC4EA6"/>
    <w:rsid w:val="00CC5438"/>
    <w:rsid w:val="00CC5CF6"/>
    <w:rsid w:val="00CC7937"/>
    <w:rsid w:val="00CC7D2A"/>
    <w:rsid w:val="00CD02C4"/>
    <w:rsid w:val="00CD1A1A"/>
    <w:rsid w:val="00CD20D9"/>
    <w:rsid w:val="00CD23B7"/>
    <w:rsid w:val="00CD2A26"/>
    <w:rsid w:val="00CD2BF9"/>
    <w:rsid w:val="00CD4BAF"/>
    <w:rsid w:val="00CD5850"/>
    <w:rsid w:val="00CD644A"/>
    <w:rsid w:val="00CD66D5"/>
    <w:rsid w:val="00CE1231"/>
    <w:rsid w:val="00CE1442"/>
    <w:rsid w:val="00CE1F76"/>
    <w:rsid w:val="00CE202C"/>
    <w:rsid w:val="00CE2767"/>
    <w:rsid w:val="00CE27DC"/>
    <w:rsid w:val="00CE2D6A"/>
    <w:rsid w:val="00CE312F"/>
    <w:rsid w:val="00CE3A94"/>
    <w:rsid w:val="00CE4726"/>
    <w:rsid w:val="00CE533B"/>
    <w:rsid w:val="00CE6143"/>
    <w:rsid w:val="00CE636E"/>
    <w:rsid w:val="00CE7527"/>
    <w:rsid w:val="00CF00D0"/>
    <w:rsid w:val="00CF06C9"/>
    <w:rsid w:val="00CF1848"/>
    <w:rsid w:val="00CF38B4"/>
    <w:rsid w:val="00CF6D90"/>
    <w:rsid w:val="00CF70AB"/>
    <w:rsid w:val="00D0122F"/>
    <w:rsid w:val="00D0178B"/>
    <w:rsid w:val="00D01C4A"/>
    <w:rsid w:val="00D0224A"/>
    <w:rsid w:val="00D02C7C"/>
    <w:rsid w:val="00D03A96"/>
    <w:rsid w:val="00D041B9"/>
    <w:rsid w:val="00D0655B"/>
    <w:rsid w:val="00D06E52"/>
    <w:rsid w:val="00D102C3"/>
    <w:rsid w:val="00D1180F"/>
    <w:rsid w:val="00D11ED6"/>
    <w:rsid w:val="00D12044"/>
    <w:rsid w:val="00D14274"/>
    <w:rsid w:val="00D146D0"/>
    <w:rsid w:val="00D15FC3"/>
    <w:rsid w:val="00D16354"/>
    <w:rsid w:val="00D163F5"/>
    <w:rsid w:val="00D16936"/>
    <w:rsid w:val="00D1736D"/>
    <w:rsid w:val="00D174B9"/>
    <w:rsid w:val="00D17B8C"/>
    <w:rsid w:val="00D17E98"/>
    <w:rsid w:val="00D243EB"/>
    <w:rsid w:val="00D2470C"/>
    <w:rsid w:val="00D247BD"/>
    <w:rsid w:val="00D25D51"/>
    <w:rsid w:val="00D27B99"/>
    <w:rsid w:val="00D3059B"/>
    <w:rsid w:val="00D305B3"/>
    <w:rsid w:val="00D317E7"/>
    <w:rsid w:val="00D32585"/>
    <w:rsid w:val="00D32CB1"/>
    <w:rsid w:val="00D332E1"/>
    <w:rsid w:val="00D33A35"/>
    <w:rsid w:val="00D34184"/>
    <w:rsid w:val="00D348D3"/>
    <w:rsid w:val="00D35382"/>
    <w:rsid w:val="00D37214"/>
    <w:rsid w:val="00D41339"/>
    <w:rsid w:val="00D41C8B"/>
    <w:rsid w:val="00D437BD"/>
    <w:rsid w:val="00D43AAD"/>
    <w:rsid w:val="00D46C5B"/>
    <w:rsid w:val="00D522CB"/>
    <w:rsid w:val="00D523C1"/>
    <w:rsid w:val="00D5647D"/>
    <w:rsid w:val="00D60046"/>
    <w:rsid w:val="00D63687"/>
    <w:rsid w:val="00D63F62"/>
    <w:rsid w:val="00D6626E"/>
    <w:rsid w:val="00D66772"/>
    <w:rsid w:val="00D670D6"/>
    <w:rsid w:val="00D71374"/>
    <w:rsid w:val="00D71FFB"/>
    <w:rsid w:val="00D722FD"/>
    <w:rsid w:val="00D723F7"/>
    <w:rsid w:val="00D72812"/>
    <w:rsid w:val="00D73B08"/>
    <w:rsid w:val="00D73FB0"/>
    <w:rsid w:val="00D74629"/>
    <w:rsid w:val="00D74D55"/>
    <w:rsid w:val="00D752D2"/>
    <w:rsid w:val="00D7584A"/>
    <w:rsid w:val="00D75DEE"/>
    <w:rsid w:val="00D76A18"/>
    <w:rsid w:val="00D76C9C"/>
    <w:rsid w:val="00D77426"/>
    <w:rsid w:val="00D778C5"/>
    <w:rsid w:val="00D80761"/>
    <w:rsid w:val="00D80C09"/>
    <w:rsid w:val="00D80C40"/>
    <w:rsid w:val="00D80C98"/>
    <w:rsid w:val="00D80E78"/>
    <w:rsid w:val="00D81306"/>
    <w:rsid w:val="00D866F6"/>
    <w:rsid w:val="00D87B82"/>
    <w:rsid w:val="00D91A04"/>
    <w:rsid w:val="00D92A71"/>
    <w:rsid w:val="00D937DA"/>
    <w:rsid w:val="00D95B49"/>
    <w:rsid w:val="00D97A7B"/>
    <w:rsid w:val="00DA075A"/>
    <w:rsid w:val="00DA245A"/>
    <w:rsid w:val="00DA2664"/>
    <w:rsid w:val="00DA4176"/>
    <w:rsid w:val="00DA52B7"/>
    <w:rsid w:val="00DA5EAF"/>
    <w:rsid w:val="00DA780E"/>
    <w:rsid w:val="00DA7F65"/>
    <w:rsid w:val="00DB0715"/>
    <w:rsid w:val="00DB2115"/>
    <w:rsid w:val="00DB2F85"/>
    <w:rsid w:val="00DB3918"/>
    <w:rsid w:val="00DB436B"/>
    <w:rsid w:val="00DB4A65"/>
    <w:rsid w:val="00DB632D"/>
    <w:rsid w:val="00DB6930"/>
    <w:rsid w:val="00DB719F"/>
    <w:rsid w:val="00DB75A8"/>
    <w:rsid w:val="00DB76D6"/>
    <w:rsid w:val="00DB7E2A"/>
    <w:rsid w:val="00DC016E"/>
    <w:rsid w:val="00DC0F7D"/>
    <w:rsid w:val="00DC3A6D"/>
    <w:rsid w:val="00DC5A20"/>
    <w:rsid w:val="00DC61E1"/>
    <w:rsid w:val="00DC6870"/>
    <w:rsid w:val="00DC716F"/>
    <w:rsid w:val="00DD118C"/>
    <w:rsid w:val="00DD22AA"/>
    <w:rsid w:val="00DD35D4"/>
    <w:rsid w:val="00DD45F1"/>
    <w:rsid w:val="00DD4E15"/>
    <w:rsid w:val="00DD5F7D"/>
    <w:rsid w:val="00DD6CC4"/>
    <w:rsid w:val="00DD7530"/>
    <w:rsid w:val="00DE091C"/>
    <w:rsid w:val="00DE184C"/>
    <w:rsid w:val="00DE26F0"/>
    <w:rsid w:val="00DE291A"/>
    <w:rsid w:val="00DE2D28"/>
    <w:rsid w:val="00DE2F24"/>
    <w:rsid w:val="00DE33E8"/>
    <w:rsid w:val="00DE3C4C"/>
    <w:rsid w:val="00DE4E5D"/>
    <w:rsid w:val="00DE61B9"/>
    <w:rsid w:val="00DE637A"/>
    <w:rsid w:val="00DE6A3A"/>
    <w:rsid w:val="00DE6C02"/>
    <w:rsid w:val="00DF0C47"/>
    <w:rsid w:val="00DF3523"/>
    <w:rsid w:val="00DF37DB"/>
    <w:rsid w:val="00DF3DD0"/>
    <w:rsid w:val="00DF5C8F"/>
    <w:rsid w:val="00E0199A"/>
    <w:rsid w:val="00E024D2"/>
    <w:rsid w:val="00E0267D"/>
    <w:rsid w:val="00E028DD"/>
    <w:rsid w:val="00E02A5B"/>
    <w:rsid w:val="00E0394C"/>
    <w:rsid w:val="00E03C30"/>
    <w:rsid w:val="00E04813"/>
    <w:rsid w:val="00E0636C"/>
    <w:rsid w:val="00E064D3"/>
    <w:rsid w:val="00E06E49"/>
    <w:rsid w:val="00E07CF9"/>
    <w:rsid w:val="00E107F3"/>
    <w:rsid w:val="00E11D53"/>
    <w:rsid w:val="00E123E5"/>
    <w:rsid w:val="00E12E45"/>
    <w:rsid w:val="00E13B45"/>
    <w:rsid w:val="00E13F8C"/>
    <w:rsid w:val="00E1576F"/>
    <w:rsid w:val="00E1597C"/>
    <w:rsid w:val="00E179DF"/>
    <w:rsid w:val="00E202CA"/>
    <w:rsid w:val="00E223DD"/>
    <w:rsid w:val="00E22C16"/>
    <w:rsid w:val="00E24C0A"/>
    <w:rsid w:val="00E24D54"/>
    <w:rsid w:val="00E24EC5"/>
    <w:rsid w:val="00E25681"/>
    <w:rsid w:val="00E25882"/>
    <w:rsid w:val="00E25CCB"/>
    <w:rsid w:val="00E26179"/>
    <w:rsid w:val="00E2664F"/>
    <w:rsid w:val="00E27BAB"/>
    <w:rsid w:val="00E27F28"/>
    <w:rsid w:val="00E3068E"/>
    <w:rsid w:val="00E30A18"/>
    <w:rsid w:val="00E31618"/>
    <w:rsid w:val="00E31CD7"/>
    <w:rsid w:val="00E33616"/>
    <w:rsid w:val="00E33B99"/>
    <w:rsid w:val="00E33D64"/>
    <w:rsid w:val="00E35706"/>
    <w:rsid w:val="00E35B4E"/>
    <w:rsid w:val="00E35F9F"/>
    <w:rsid w:val="00E36B1B"/>
    <w:rsid w:val="00E37F96"/>
    <w:rsid w:val="00E40731"/>
    <w:rsid w:val="00E42807"/>
    <w:rsid w:val="00E42BC1"/>
    <w:rsid w:val="00E4306B"/>
    <w:rsid w:val="00E44C05"/>
    <w:rsid w:val="00E510E0"/>
    <w:rsid w:val="00E51B5E"/>
    <w:rsid w:val="00E51CFF"/>
    <w:rsid w:val="00E542DC"/>
    <w:rsid w:val="00E561D3"/>
    <w:rsid w:val="00E564C5"/>
    <w:rsid w:val="00E60D57"/>
    <w:rsid w:val="00E6227B"/>
    <w:rsid w:val="00E623EE"/>
    <w:rsid w:val="00E634E7"/>
    <w:rsid w:val="00E63787"/>
    <w:rsid w:val="00E6462F"/>
    <w:rsid w:val="00E66235"/>
    <w:rsid w:val="00E6691D"/>
    <w:rsid w:val="00E6719C"/>
    <w:rsid w:val="00E70A48"/>
    <w:rsid w:val="00E71006"/>
    <w:rsid w:val="00E75B4A"/>
    <w:rsid w:val="00E76FC5"/>
    <w:rsid w:val="00E77622"/>
    <w:rsid w:val="00E776FF"/>
    <w:rsid w:val="00E81156"/>
    <w:rsid w:val="00E81FCA"/>
    <w:rsid w:val="00E821D6"/>
    <w:rsid w:val="00E83C24"/>
    <w:rsid w:val="00E854BC"/>
    <w:rsid w:val="00E85E9F"/>
    <w:rsid w:val="00E8637E"/>
    <w:rsid w:val="00E86A9F"/>
    <w:rsid w:val="00E87AAE"/>
    <w:rsid w:val="00E9318D"/>
    <w:rsid w:val="00E941FF"/>
    <w:rsid w:val="00E94920"/>
    <w:rsid w:val="00E94D5A"/>
    <w:rsid w:val="00E96D26"/>
    <w:rsid w:val="00E978D7"/>
    <w:rsid w:val="00EA032D"/>
    <w:rsid w:val="00EA26F5"/>
    <w:rsid w:val="00EA29A4"/>
    <w:rsid w:val="00EB0341"/>
    <w:rsid w:val="00EB057C"/>
    <w:rsid w:val="00EB137C"/>
    <w:rsid w:val="00EB1939"/>
    <w:rsid w:val="00EB2294"/>
    <w:rsid w:val="00EB3F3B"/>
    <w:rsid w:val="00EB5817"/>
    <w:rsid w:val="00EB626A"/>
    <w:rsid w:val="00EC07EA"/>
    <w:rsid w:val="00EC0F16"/>
    <w:rsid w:val="00EC2254"/>
    <w:rsid w:val="00EC2A2D"/>
    <w:rsid w:val="00EC2F82"/>
    <w:rsid w:val="00EC594A"/>
    <w:rsid w:val="00EC6218"/>
    <w:rsid w:val="00EC6BCC"/>
    <w:rsid w:val="00EC78B7"/>
    <w:rsid w:val="00ED0F0E"/>
    <w:rsid w:val="00ED257D"/>
    <w:rsid w:val="00ED2DE2"/>
    <w:rsid w:val="00ED3672"/>
    <w:rsid w:val="00ED3849"/>
    <w:rsid w:val="00ED3F4E"/>
    <w:rsid w:val="00ED4F91"/>
    <w:rsid w:val="00ED616F"/>
    <w:rsid w:val="00ED6483"/>
    <w:rsid w:val="00ED6AA3"/>
    <w:rsid w:val="00EE1799"/>
    <w:rsid w:val="00EE17AD"/>
    <w:rsid w:val="00EE786F"/>
    <w:rsid w:val="00EF05DB"/>
    <w:rsid w:val="00EF0F34"/>
    <w:rsid w:val="00EF146A"/>
    <w:rsid w:val="00EF2526"/>
    <w:rsid w:val="00EF32C6"/>
    <w:rsid w:val="00EF3734"/>
    <w:rsid w:val="00EF4B49"/>
    <w:rsid w:val="00EF7935"/>
    <w:rsid w:val="00F0093F"/>
    <w:rsid w:val="00F00A45"/>
    <w:rsid w:val="00F01341"/>
    <w:rsid w:val="00F01A27"/>
    <w:rsid w:val="00F01CD0"/>
    <w:rsid w:val="00F01DBB"/>
    <w:rsid w:val="00F01F89"/>
    <w:rsid w:val="00F0236D"/>
    <w:rsid w:val="00F024F8"/>
    <w:rsid w:val="00F02865"/>
    <w:rsid w:val="00F03536"/>
    <w:rsid w:val="00F04292"/>
    <w:rsid w:val="00F042A1"/>
    <w:rsid w:val="00F04AF7"/>
    <w:rsid w:val="00F07BA5"/>
    <w:rsid w:val="00F07E90"/>
    <w:rsid w:val="00F1068C"/>
    <w:rsid w:val="00F12566"/>
    <w:rsid w:val="00F12830"/>
    <w:rsid w:val="00F129C4"/>
    <w:rsid w:val="00F12B95"/>
    <w:rsid w:val="00F13387"/>
    <w:rsid w:val="00F1351F"/>
    <w:rsid w:val="00F136F0"/>
    <w:rsid w:val="00F1464F"/>
    <w:rsid w:val="00F1572E"/>
    <w:rsid w:val="00F16823"/>
    <w:rsid w:val="00F178CE"/>
    <w:rsid w:val="00F212F6"/>
    <w:rsid w:val="00F21C15"/>
    <w:rsid w:val="00F258FB"/>
    <w:rsid w:val="00F31657"/>
    <w:rsid w:val="00F32176"/>
    <w:rsid w:val="00F32F4A"/>
    <w:rsid w:val="00F32F99"/>
    <w:rsid w:val="00F33B40"/>
    <w:rsid w:val="00F34B43"/>
    <w:rsid w:val="00F36E99"/>
    <w:rsid w:val="00F37934"/>
    <w:rsid w:val="00F41F58"/>
    <w:rsid w:val="00F43EC2"/>
    <w:rsid w:val="00F458C8"/>
    <w:rsid w:val="00F46662"/>
    <w:rsid w:val="00F46A40"/>
    <w:rsid w:val="00F5089F"/>
    <w:rsid w:val="00F51674"/>
    <w:rsid w:val="00F5195F"/>
    <w:rsid w:val="00F51CAB"/>
    <w:rsid w:val="00F53844"/>
    <w:rsid w:val="00F543D7"/>
    <w:rsid w:val="00F54500"/>
    <w:rsid w:val="00F5476E"/>
    <w:rsid w:val="00F55DD5"/>
    <w:rsid w:val="00F5702F"/>
    <w:rsid w:val="00F571F9"/>
    <w:rsid w:val="00F60CFE"/>
    <w:rsid w:val="00F613A8"/>
    <w:rsid w:val="00F624A2"/>
    <w:rsid w:val="00F62C96"/>
    <w:rsid w:val="00F62CC9"/>
    <w:rsid w:val="00F632CC"/>
    <w:rsid w:val="00F64C9B"/>
    <w:rsid w:val="00F65775"/>
    <w:rsid w:val="00F66415"/>
    <w:rsid w:val="00F6651B"/>
    <w:rsid w:val="00F66B44"/>
    <w:rsid w:val="00F67AE7"/>
    <w:rsid w:val="00F70BD4"/>
    <w:rsid w:val="00F713C9"/>
    <w:rsid w:val="00F71AF9"/>
    <w:rsid w:val="00F71DB3"/>
    <w:rsid w:val="00F72170"/>
    <w:rsid w:val="00F7384F"/>
    <w:rsid w:val="00F73BFC"/>
    <w:rsid w:val="00F74570"/>
    <w:rsid w:val="00F75804"/>
    <w:rsid w:val="00F760E8"/>
    <w:rsid w:val="00F763D1"/>
    <w:rsid w:val="00F77519"/>
    <w:rsid w:val="00F8003C"/>
    <w:rsid w:val="00F8121D"/>
    <w:rsid w:val="00F828D3"/>
    <w:rsid w:val="00F829CE"/>
    <w:rsid w:val="00F82F01"/>
    <w:rsid w:val="00F84B6D"/>
    <w:rsid w:val="00F85E7D"/>
    <w:rsid w:val="00F8747B"/>
    <w:rsid w:val="00F876F4"/>
    <w:rsid w:val="00F9041F"/>
    <w:rsid w:val="00F90915"/>
    <w:rsid w:val="00F913B4"/>
    <w:rsid w:val="00F916BA"/>
    <w:rsid w:val="00F9177D"/>
    <w:rsid w:val="00F91D96"/>
    <w:rsid w:val="00F92A0E"/>
    <w:rsid w:val="00F94774"/>
    <w:rsid w:val="00F960C6"/>
    <w:rsid w:val="00F97D75"/>
    <w:rsid w:val="00FA06AF"/>
    <w:rsid w:val="00FA1758"/>
    <w:rsid w:val="00FA18C7"/>
    <w:rsid w:val="00FA18C9"/>
    <w:rsid w:val="00FA1E12"/>
    <w:rsid w:val="00FA1E8A"/>
    <w:rsid w:val="00FA2CF7"/>
    <w:rsid w:val="00FA3F12"/>
    <w:rsid w:val="00FA7969"/>
    <w:rsid w:val="00FB0699"/>
    <w:rsid w:val="00FB1242"/>
    <w:rsid w:val="00FB2BB0"/>
    <w:rsid w:val="00FB2CDB"/>
    <w:rsid w:val="00FB4963"/>
    <w:rsid w:val="00FB4F2E"/>
    <w:rsid w:val="00FB734C"/>
    <w:rsid w:val="00FB74D0"/>
    <w:rsid w:val="00FB7C48"/>
    <w:rsid w:val="00FC09B3"/>
    <w:rsid w:val="00FC1229"/>
    <w:rsid w:val="00FC1793"/>
    <w:rsid w:val="00FC3499"/>
    <w:rsid w:val="00FC53DB"/>
    <w:rsid w:val="00FC7C7A"/>
    <w:rsid w:val="00FD0482"/>
    <w:rsid w:val="00FD08C2"/>
    <w:rsid w:val="00FD174A"/>
    <w:rsid w:val="00FD1A06"/>
    <w:rsid w:val="00FD2DE8"/>
    <w:rsid w:val="00FD42F0"/>
    <w:rsid w:val="00FD73A7"/>
    <w:rsid w:val="00FD7B47"/>
    <w:rsid w:val="00FD7FD7"/>
    <w:rsid w:val="00FE0031"/>
    <w:rsid w:val="00FE0C04"/>
    <w:rsid w:val="00FE0CB4"/>
    <w:rsid w:val="00FE122D"/>
    <w:rsid w:val="00FE27DF"/>
    <w:rsid w:val="00FE324D"/>
    <w:rsid w:val="00FE3E74"/>
    <w:rsid w:val="00FE5692"/>
    <w:rsid w:val="00FE6473"/>
    <w:rsid w:val="00FF08FB"/>
    <w:rsid w:val="00FF0B9D"/>
    <w:rsid w:val="00FF1975"/>
    <w:rsid w:val="00FF2506"/>
    <w:rsid w:val="00FF25C7"/>
    <w:rsid w:val="00FF3180"/>
    <w:rsid w:val="00FF3368"/>
    <w:rsid w:val="00FF3C65"/>
    <w:rsid w:val="00FF3E6C"/>
    <w:rsid w:val="00FF50E0"/>
    <w:rsid w:val="00FF5A37"/>
    <w:rsid w:val="00FF5C1C"/>
    <w:rsid w:val="00FF73C5"/>
    <w:rsid w:val="00FF7F9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965A1"/>
  <w15:docId w15:val="{38EB25C8-A562-4647-B653-0131AED3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637"/>
    <w:pPr>
      <w:jc w:val="both"/>
    </w:pPr>
    <w:rPr>
      <w:rFonts w:ascii="Times New Roman" w:eastAsia="Times New Roman" w:hAnsi="Times New Roman" w:cs="Times New Roman"/>
      <w:sz w:val="22"/>
    </w:rPr>
  </w:style>
  <w:style w:type="paragraph" w:styleId="Heading1">
    <w:name w:val="heading 1"/>
    <w:basedOn w:val="Normal"/>
    <w:next w:val="Normal"/>
    <w:link w:val="Heading1Char"/>
    <w:uiPriority w:val="9"/>
    <w:qFormat/>
    <w:rsid w:val="00151637"/>
    <w:pPr>
      <w:keepNext/>
      <w:keepLines/>
      <w:numPr>
        <w:numId w:val="37"/>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151637"/>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151637"/>
    <w:pPr>
      <w:keepNext/>
      <w:keepLines/>
      <w:numPr>
        <w:numId w:val="38"/>
      </w:numPr>
      <w:spacing w:before="120" w:after="120"/>
      <w:outlineLvl w:val="2"/>
    </w:pPr>
    <w:rPr>
      <w:rFonts w:eastAsiaTheme="majorEastAsia"/>
      <w:b/>
      <w:bCs/>
      <w:szCs w:val="22"/>
    </w:rPr>
  </w:style>
  <w:style w:type="paragraph" w:styleId="Heading4">
    <w:name w:val="heading 4"/>
    <w:basedOn w:val="Normal"/>
    <w:next w:val="Normal"/>
    <w:link w:val="Heading4Char"/>
    <w:uiPriority w:val="9"/>
    <w:unhideWhenUsed/>
    <w:qFormat/>
    <w:rsid w:val="00151637"/>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151637"/>
    <w:pPr>
      <w:keepNext/>
      <w:spacing w:before="120" w:after="120"/>
      <w:ind w:left="567" w:hanging="567"/>
      <w:outlineLvl w:val="4"/>
    </w:pPr>
    <w:rPr>
      <w:rFonts w:eastAsiaTheme="majorEastAsia"/>
      <w:i/>
      <w:iCs/>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1637"/>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F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Times New Roman" w:hAnsi="Lucida Grande" w:cs="Lucida Grande"/>
      <w:sz w:val="18"/>
      <w:szCs w:val="18"/>
      <w:lang w:val="es-ES"/>
    </w:rPr>
  </w:style>
  <w:style w:type="character" w:styleId="PlaceholderText">
    <w:name w:val="Placeholder Text"/>
    <w:basedOn w:val="DefaultParagraphFont"/>
    <w:uiPriority w:val="99"/>
    <w:semiHidden/>
    <w:rsid w:val="00151637"/>
    <w:rPr>
      <w:color w:val="808080"/>
    </w:rPr>
  </w:style>
  <w:style w:type="paragraph" w:styleId="Header">
    <w:name w:val="header"/>
    <w:basedOn w:val="Normal"/>
    <w:link w:val="HeaderChar"/>
    <w:unhideWhenUsed/>
    <w:rsid w:val="00151637"/>
    <w:pPr>
      <w:tabs>
        <w:tab w:val="center" w:pos="4680"/>
        <w:tab w:val="right" w:pos="9360"/>
      </w:tabs>
    </w:pPr>
    <w:rPr>
      <w:caps/>
    </w:rPr>
  </w:style>
  <w:style w:type="character" w:customStyle="1" w:styleId="HeaderChar">
    <w:name w:val="Header Char"/>
    <w:basedOn w:val="DefaultParagraphFont"/>
    <w:link w:val="Header"/>
    <w:rsid w:val="00151637"/>
    <w:rPr>
      <w:rFonts w:ascii="Times New Roman" w:eastAsia="Times New Roman" w:hAnsi="Times New Roman" w:cs="Times New Roman"/>
      <w:caps/>
      <w:sz w:val="22"/>
      <w:lang w:val="es-ES"/>
    </w:rPr>
  </w:style>
  <w:style w:type="paragraph" w:styleId="Footer">
    <w:name w:val="footer"/>
    <w:basedOn w:val="Normal"/>
    <w:link w:val="FooterChar"/>
    <w:uiPriority w:val="99"/>
    <w:unhideWhenUsed/>
    <w:rsid w:val="00151637"/>
    <w:pPr>
      <w:tabs>
        <w:tab w:val="center" w:pos="4680"/>
        <w:tab w:val="right" w:pos="9360"/>
      </w:tabs>
    </w:pPr>
  </w:style>
  <w:style w:type="character" w:customStyle="1" w:styleId="FooterChar">
    <w:name w:val="Footer Char"/>
    <w:basedOn w:val="DefaultParagraphFont"/>
    <w:link w:val="Footer"/>
    <w:uiPriority w:val="99"/>
    <w:rsid w:val="00151637"/>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151637"/>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151637"/>
    <w:rPr>
      <w:rFonts w:ascii="Times New Roman Bold" w:eastAsiaTheme="majorEastAsia" w:hAnsi="Times New Roman Bold" w:cs="Times New Roman"/>
      <w:b/>
      <w:bCs/>
      <w:spacing w:val="5"/>
      <w:kern w:val="28"/>
      <w:sz w:val="28"/>
      <w:szCs w:val="28"/>
      <w:lang w:val="es-ES"/>
      <w14:ligatures w14:val="standardContextual"/>
    </w:rPr>
  </w:style>
  <w:style w:type="paragraph" w:styleId="Subtitle">
    <w:name w:val="Subtitle"/>
    <w:basedOn w:val="Normal"/>
    <w:next w:val="Normal"/>
    <w:link w:val="SubtitleChar"/>
    <w:uiPriority w:val="11"/>
    <w:qFormat/>
    <w:rsid w:val="00151637"/>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151637"/>
    <w:rPr>
      <w:rFonts w:ascii="Times New Roman Bold" w:hAnsi="Times New Roman Bold"/>
      <w:b/>
      <w:color w:val="5A5A5A" w:themeColor="text1" w:themeTint="A5"/>
      <w:sz w:val="22"/>
      <w:szCs w:val="22"/>
      <w:lang w:val="es-ES"/>
    </w:rPr>
  </w:style>
  <w:style w:type="character" w:customStyle="1" w:styleId="Heading1Char">
    <w:name w:val="Heading 1 Char"/>
    <w:basedOn w:val="DefaultParagraphFont"/>
    <w:link w:val="Heading1"/>
    <w:uiPriority w:val="9"/>
    <w:rsid w:val="00151637"/>
    <w:rPr>
      <w:rFonts w:ascii="Times New Roman" w:eastAsiaTheme="majorEastAsia" w:hAnsi="Times New Roman" w:cstheme="majorBidi"/>
      <w:b/>
      <w:bCs/>
      <w:kern w:val="2"/>
      <w:sz w:val="28"/>
      <w:szCs w:val="32"/>
      <w:lang w:val="es-ES"/>
      <w14:ligatures w14:val="standardContextual"/>
    </w:rPr>
  </w:style>
  <w:style w:type="paragraph" w:styleId="BodyText">
    <w:name w:val="Body Text"/>
    <w:basedOn w:val="Normal"/>
    <w:link w:val="BodyTextChar"/>
    <w:uiPriority w:val="99"/>
    <w:unhideWhenUsed/>
    <w:rsid w:val="00151637"/>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rsid w:val="00151637"/>
    <w:rPr>
      <w:rFonts w:eastAsiaTheme="minorHAnsi"/>
      <w:kern w:val="2"/>
      <w:sz w:val="22"/>
      <w:szCs w:val="22"/>
      <w:lang w:val="es-ES"/>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basedOn w:val="DefaultParagraphFont"/>
    <w:uiPriority w:val="99"/>
    <w:semiHidden/>
    <w:unhideWhenUsed/>
    <w:rsid w:val="00151637"/>
    <w:rPr>
      <w:sz w:val="16"/>
      <w:szCs w:val="16"/>
    </w:rPr>
  </w:style>
  <w:style w:type="paragraph" w:styleId="CommentText">
    <w:name w:val="annotation text"/>
    <w:basedOn w:val="Normal"/>
    <w:link w:val="CommentTextChar"/>
    <w:uiPriority w:val="99"/>
    <w:unhideWhenUsed/>
    <w:rsid w:val="00151637"/>
    <w:rPr>
      <w:sz w:val="20"/>
      <w:szCs w:val="20"/>
    </w:rPr>
  </w:style>
  <w:style w:type="character" w:customStyle="1" w:styleId="CommentTextChar">
    <w:name w:val="Comment Text Char"/>
    <w:basedOn w:val="DefaultParagraphFont"/>
    <w:link w:val="CommentText"/>
    <w:uiPriority w:val="99"/>
    <w:rsid w:val="00151637"/>
    <w:rPr>
      <w:rFonts w:ascii="Times New Roman" w:eastAsia="Times New Roman" w:hAnsi="Times New Roman" w:cs="Times New Roman"/>
      <w:sz w:val="20"/>
      <w:szCs w:val="20"/>
      <w:lang w:val="es-ES"/>
    </w:rPr>
  </w:style>
  <w:style w:type="paragraph" w:customStyle="1" w:styleId="Cornernotation">
    <w:name w:val="Corner notation"/>
    <w:basedOn w:val="Normal"/>
    <w:rsid w:val="00151637"/>
    <w:pPr>
      <w:ind w:left="170" w:right="3119" w:hanging="170"/>
      <w:jc w:val="left"/>
    </w:pPr>
    <w:rPr>
      <w:b/>
      <w:sz w:val="24"/>
    </w:r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uiPriority w:val="99"/>
    <w:rsid w:val="003B1FA3"/>
    <w:rPr>
      <w:color w:val="800080"/>
      <w:u w:val="single"/>
    </w:rPr>
  </w:style>
  <w:style w:type="paragraph" w:customStyle="1" w:styleId="CBD-title-recommendationdecision">
    <w:name w:val="CBD-title-recommendation/decision"/>
    <w:basedOn w:val="Title"/>
    <w:qFormat/>
    <w:rsid w:val="0071274D"/>
    <w:pPr>
      <w:ind w:left="630"/>
      <w:jc w:val="left"/>
    </w:pPr>
  </w:style>
  <w:style w:type="paragraph" w:styleId="FootnoteText">
    <w:name w:val="footnote text"/>
    <w:basedOn w:val="Normal"/>
    <w:link w:val="FootnoteTextChar"/>
    <w:uiPriority w:val="99"/>
    <w:unhideWhenUsed/>
    <w:rsid w:val="00151637"/>
    <w:rPr>
      <w:sz w:val="20"/>
      <w:szCs w:val="20"/>
    </w:rPr>
  </w:style>
  <w:style w:type="character" w:customStyle="1" w:styleId="FootnoteTextChar">
    <w:name w:val="Footnote Text Char"/>
    <w:basedOn w:val="DefaultParagraphFont"/>
    <w:link w:val="FootnoteText"/>
    <w:uiPriority w:val="99"/>
    <w:rsid w:val="00151637"/>
    <w:rPr>
      <w:rFonts w:ascii="Times New Roman" w:eastAsia="Times New Roman" w:hAnsi="Times New Roman" w:cs="Times New Roman"/>
      <w:sz w:val="20"/>
      <w:szCs w:val="20"/>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151637"/>
    <w:rPr>
      <w:rFonts w:ascii="Times New Roman" w:eastAsiaTheme="majorEastAsia" w:hAnsi="Times New Roman" w:cstheme="majorBidi"/>
      <w:b/>
      <w:szCs w:val="26"/>
      <w:lang w:val="es-ES"/>
    </w:rPr>
  </w:style>
  <w:style w:type="paragraph" w:customStyle="1" w:styleId="HEADINGNOTFORTOC">
    <w:name w:val="HEADING (NOT FOR TOC)"/>
    <w:basedOn w:val="Heading1"/>
    <w:next w:val="Heading2"/>
    <w:rsid w:val="003B1FA3"/>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hanging="567"/>
    </w:pPr>
  </w:style>
  <w:style w:type="paragraph" w:customStyle="1" w:styleId="Heading2multiline">
    <w:name w:val="Heading 2 (multiline)"/>
    <w:basedOn w:val="Heading1"/>
    <w:next w:val="Normal"/>
    <w:rsid w:val="007E09DA"/>
    <w:pPr>
      <w:spacing w:before="120"/>
      <w:ind w:left="1843" w:right="998" w:hanging="567"/>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151637"/>
    <w:rPr>
      <w:rFonts w:ascii="Times New Roman" w:eastAsiaTheme="majorEastAsia" w:hAnsi="Times New Roman" w:cs="Times New Roman"/>
      <w:b/>
      <w:bCs/>
      <w:sz w:val="22"/>
      <w:szCs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151637"/>
    <w:rPr>
      <w:rFonts w:ascii="Times New Roman" w:eastAsiaTheme="majorEastAsia" w:hAnsi="Times New Roman" w:cs="Times New Roman"/>
      <w:b/>
      <w:bCs/>
      <w:sz w:val="22"/>
      <w:lang w:val="es-ES"/>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151637"/>
    <w:rPr>
      <w:rFonts w:ascii="Times New Roman" w:eastAsiaTheme="majorEastAsia" w:hAnsi="Times New Roman" w:cs="Times New Roman"/>
      <w:i/>
      <w:iCs/>
      <w:sz w:val="22"/>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3B1FA3"/>
    <w:pPr>
      <w:numPr>
        <w:numId w:val="2"/>
      </w:numPr>
      <w:tabs>
        <w:tab w:val="clear" w:pos="360"/>
      </w:tabs>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Revision">
    <w:name w:val="Revision"/>
    <w:hidden/>
    <w:uiPriority w:val="99"/>
    <w:semiHidden/>
    <w:rsid w:val="003B1FA3"/>
    <w:rPr>
      <w:rFonts w:ascii="Times New Roman" w:eastAsia="Times New Roman" w:hAnsi="Times New Roman" w:cs="Times New Roman"/>
      <w:sz w:val="22"/>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43596C"/>
    <w:rPr>
      <w:rFonts w:ascii="Times New Roman" w:eastAsia="Times New Roman" w:hAnsi="Times New Roman" w:cs="Times New Roman"/>
      <w:sz w:val="22"/>
      <w:lang w:val="es-ES"/>
    </w:rPr>
  </w:style>
  <w:style w:type="paragraph" w:customStyle="1" w:styleId="Style1">
    <w:name w:val="Style1"/>
    <w:basedOn w:val="Heading2"/>
    <w:qFormat/>
    <w:rsid w:val="00530A54"/>
    <w:rPr>
      <w:i/>
    </w:rPr>
  </w:style>
  <w:style w:type="character" w:customStyle="1" w:styleId="UnresolvedMention1">
    <w:name w:val="Unresolved Mention1"/>
    <w:basedOn w:val="DefaultParagraphFont"/>
    <w:uiPriority w:val="99"/>
    <w:semiHidden/>
    <w:unhideWhenUsed/>
    <w:rsid w:val="00530A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51637"/>
    <w:rPr>
      <w:b/>
      <w:bCs/>
    </w:rPr>
  </w:style>
  <w:style w:type="character" w:customStyle="1" w:styleId="CommentSubjectChar">
    <w:name w:val="Comment Subject Char"/>
    <w:basedOn w:val="CommentTextChar"/>
    <w:link w:val="CommentSubject"/>
    <w:uiPriority w:val="99"/>
    <w:semiHidden/>
    <w:rsid w:val="00151637"/>
    <w:rPr>
      <w:rFonts w:ascii="Times New Roman" w:eastAsia="Times New Roman" w:hAnsi="Times New Roman" w:cs="Times New Roman"/>
      <w:b/>
      <w:bCs/>
      <w:sz w:val="20"/>
      <w:szCs w:val="20"/>
      <w:lang w:val="es-ES"/>
    </w:rPr>
  </w:style>
  <w:style w:type="character" w:customStyle="1" w:styleId="UnresolvedMention2">
    <w:name w:val="Unresolved Mention2"/>
    <w:basedOn w:val="DefaultParagraphFont"/>
    <w:uiPriority w:val="99"/>
    <w:semiHidden/>
    <w:unhideWhenUsed/>
    <w:rsid w:val="00530A54"/>
    <w:rPr>
      <w:color w:val="605E5C"/>
      <w:shd w:val="clear" w:color="auto" w:fill="E1DFDD"/>
    </w:rPr>
  </w:style>
  <w:style w:type="character" w:customStyle="1" w:styleId="normaltextrun">
    <w:name w:val="normaltextrun"/>
    <w:basedOn w:val="DefaultParagraphFont"/>
    <w:rsid w:val="00530A54"/>
  </w:style>
  <w:style w:type="character" w:customStyle="1" w:styleId="ng-binding">
    <w:name w:val="ng-binding"/>
    <w:basedOn w:val="DefaultParagraphFont"/>
    <w:rsid w:val="00530A54"/>
  </w:style>
  <w:style w:type="character" w:styleId="Strong">
    <w:name w:val="Strong"/>
    <w:basedOn w:val="DefaultParagraphFont"/>
    <w:uiPriority w:val="22"/>
    <w:qFormat/>
    <w:rsid w:val="00530A54"/>
    <w:rPr>
      <w:b/>
      <w:bCs/>
    </w:rPr>
  </w:style>
  <w:style w:type="character" w:customStyle="1" w:styleId="preferred">
    <w:name w:val="preferred"/>
    <w:basedOn w:val="DefaultParagraphFont"/>
    <w:rsid w:val="00530A54"/>
  </w:style>
  <w:style w:type="paragraph" w:customStyle="1" w:styleId="Default">
    <w:name w:val="Default"/>
    <w:rsid w:val="00530A54"/>
    <w:pPr>
      <w:autoSpaceDE w:val="0"/>
      <w:autoSpaceDN w:val="0"/>
      <w:adjustRightInd w:val="0"/>
    </w:pPr>
    <w:rPr>
      <w:rFonts w:ascii="Times New Roman" w:eastAsiaTheme="minorHAnsi" w:hAnsi="Times New Roman" w:cs="Times New Roman"/>
      <w:color w:val="000000"/>
    </w:rPr>
  </w:style>
  <w:style w:type="character" w:customStyle="1" w:styleId="UnresolvedMention3">
    <w:name w:val="Unresolved Mention3"/>
    <w:basedOn w:val="DefaultParagraphFont"/>
    <w:uiPriority w:val="99"/>
    <w:semiHidden/>
    <w:unhideWhenUsed/>
    <w:rsid w:val="00530A54"/>
    <w:rPr>
      <w:color w:val="605E5C"/>
      <w:shd w:val="clear" w:color="auto" w:fill="E1DFDD"/>
    </w:rPr>
  </w:style>
  <w:style w:type="numbering" w:customStyle="1" w:styleId="NoList1">
    <w:name w:val="No List1"/>
    <w:next w:val="NoList"/>
    <w:uiPriority w:val="99"/>
    <w:semiHidden/>
    <w:unhideWhenUsed/>
    <w:rsid w:val="00530A54"/>
  </w:style>
  <w:style w:type="paragraph" w:customStyle="1" w:styleId="Title1">
    <w:name w:val="Title1"/>
    <w:basedOn w:val="Normal"/>
    <w:next w:val="Normal"/>
    <w:uiPriority w:val="10"/>
    <w:qFormat/>
    <w:rsid w:val="00530A54"/>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530A54"/>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530A54"/>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530A54"/>
    <w:rPr>
      <w:rFonts w:eastAsiaTheme="minorEastAsia"/>
      <w:color w:val="5A5A5A" w:themeColor="text1" w:themeTint="A5"/>
      <w:spacing w:val="15"/>
    </w:rPr>
  </w:style>
  <w:style w:type="paragraph" w:customStyle="1" w:styleId="Para10">
    <w:name w:val="Para 1"/>
    <w:basedOn w:val="Normal"/>
    <w:qFormat/>
    <w:rsid w:val="00151637"/>
    <w:pPr>
      <w:numPr>
        <w:numId w:val="39"/>
      </w:numPr>
      <w:tabs>
        <w:tab w:val="left" w:pos="1134"/>
      </w:tabs>
      <w:spacing w:before="120" w:after="120"/>
    </w:pPr>
  </w:style>
  <w:style w:type="paragraph" w:customStyle="1" w:styleId="Para2">
    <w:name w:val="Para 2"/>
    <w:qFormat/>
    <w:rsid w:val="00151637"/>
    <w:pPr>
      <w:numPr>
        <w:numId w:val="40"/>
      </w:numPr>
      <w:tabs>
        <w:tab w:val="left" w:pos="1701"/>
      </w:tabs>
      <w:spacing w:before="120" w:after="120"/>
      <w:jc w:val="both"/>
    </w:pPr>
    <w:rPr>
      <w:rFonts w:ascii="Times New Roman" w:eastAsia="Times New Roman" w:hAnsi="Times New Roman" w:cs="Times New Roman"/>
      <w:sz w:val="22"/>
    </w:rPr>
  </w:style>
  <w:style w:type="paragraph" w:customStyle="1" w:styleId="Annex">
    <w:name w:val="Annex"/>
    <w:basedOn w:val="Normal"/>
    <w:qFormat/>
    <w:rsid w:val="00151637"/>
    <w:rPr>
      <w:b/>
      <w:sz w:val="28"/>
    </w:rPr>
  </w:style>
  <w:style w:type="paragraph" w:customStyle="1" w:styleId="Item">
    <w:name w:val="Item"/>
    <w:basedOn w:val="BodyText"/>
    <w:qFormat/>
    <w:rsid w:val="00151637"/>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table" w:customStyle="1" w:styleId="TableGrid1">
    <w:name w:val="Table Grid1"/>
    <w:basedOn w:val="TableNormal"/>
    <w:next w:val="TableGrid"/>
    <w:uiPriority w:val="59"/>
    <w:rsid w:val="00151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151637"/>
    <w:rPr>
      <w:b w:val="0"/>
      <w:bCs/>
      <w:sz w:val="22"/>
      <w:szCs w:val="22"/>
    </w:rPr>
  </w:style>
  <w:style w:type="paragraph" w:customStyle="1" w:styleId="Footnote">
    <w:name w:val="Footnote"/>
    <w:basedOn w:val="FootnoteText"/>
    <w:qFormat/>
    <w:rsid w:val="00151637"/>
    <w:rPr>
      <w:sz w:val="18"/>
      <w:szCs w:val="18"/>
    </w:rPr>
  </w:style>
  <w:style w:type="paragraph" w:customStyle="1" w:styleId="Cornernotation-Item">
    <w:name w:val="Corner notation - Item"/>
    <w:basedOn w:val="Venuedate"/>
    <w:qFormat/>
    <w:rsid w:val="00151637"/>
    <w:rPr>
      <w:b/>
    </w:rPr>
  </w:style>
  <w:style w:type="paragraph" w:customStyle="1" w:styleId="Para30">
    <w:name w:val="Para 3"/>
    <w:basedOn w:val="Normal"/>
    <w:qFormat/>
    <w:rsid w:val="00151637"/>
    <w:pPr>
      <w:numPr>
        <w:numId w:val="41"/>
      </w:numPr>
      <w:tabs>
        <w:tab w:val="left" w:pos="1701"/>
      </w:tabs>
      <w:spacing w:before="120" w:after="120"/>
    </w:pPr>
  </w:style>
  <w:style w:type="paragraph" w:customStyle="1" w:styleId="CBD-Para">
    <w:name w:val="CBD-Para"/>
    <w:basedOn w:val="Normal"/>
    <w:link w:val="CBD-ParaCharChar"/>
    <w:rsid w:val="003B1FA3"/>
    <w:pPr>
      <w:keepLines/>
      <w:numPr>
        <w:numId w:val="9"/>
      </w:numPr>
      <w:spacing w:before="120" w:after="120"/>
    </w:pPr>
    <w:rPr>
      <w:szCs w:val="22"/>
    </w:rPr>
  </w:style>
  <w:style w:type="character" w:customStyle="1" w:styleId="CBD-ParaCharChar">
    <w:name w:val="CBD-Para Char Char"/>
    <w:link w:val="CBD-Para"/>
    <w:rsid w:val="00747BC6"/>
    <w:rPr>
      <w:rFonts w:ascii="Times New Roman" w:eastAsia="Times New Roman" w:hAnsi="Times New Roman" w:cs="Times New Roman"/>
      <w:sz w:val="22"/>
      <w:szCs w:val="22"/>
      <w:lang w:val="es-ES"/>
    </w:rPr>
  </w:style>
  <w:style w:type="paragraph" w:customStyle="1" w:styleId="CBD-Sub-Item">
    <w:name w:val="CBD-Sub-Item"/>
    <w:basedOn w:val="Normal"/>
    <w:uiPriority w:val="99"/>
    <w:rsid w:val="00747BC6"/>
    <w:pPr>
      <w:keepNext/>
      <w:spacing w:before="240" w:after="120"/>
      <w:ind w:left="1134" w:hanging="1134"/>
      <w:jc w:val="center"/>
    </w:pPr>
    <w:rPr>
      <w:b/>
      <w:i/>
      <w:szCs w:val="22"/>
    </w:rPr>
  </w:style>
  <w:style w:type="table" w:customStyle="1" w:styleId="TableGrid2">
    <w:name w:val="Table Grid2"/>
    <w:basedOn w:val="TableNormal"/>
    <w:next w:val="TableGrid"/>
    <w:uiPriority w:val="59"/>
    <w:qFormat/>
    <w:rsid w:val="00747BC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7BC6"/>
    <w:rPr>
      <w:color w:val="605E5C"/>
      <w:shd w:val="clear" w:color="auto" w:fill="E1DFDD"/>
    </w:rPr>
  </w:style>
  <w:style w:type="paragraph" w:customStyle="1" w:styleId="paragraph">
    <w:name w:val="paragraph"/>
    <w:basedOn w:val="Normal"/>
    <w:rsid w:val="00747BC6"/>
    <w:pPr>
      <w:spacing w:before="100" w:beforeAutospacing="1" w:after="100" w:afterAutospacing="1"/>
      <w:jc w:val="left"/>
    </w:pPr>
    <w:rPr>
      <w:sz w:val="24"/>
    </w:rPr>
  </w:style>
  <w:style w:type="numbering" w:customStyle="1" w:styleId="Style2">
    <w:name w:val="Style2"/>
    <w:rsid w:val="003B1FA3"/>
  </w:style>
  <w:style w:type="character" w:customStyle="1" w:styleId="StyleFootnoteReferencenumberFootnoteReferenceSuperscript-EF">
    <w:name w:val="Style Footnote ReferencenumberFootnote Reference Superscript-E F..."/>
    <w:basedOn w:val="DefaultParagraphFont"/>
    <w:rsid w:val="00151637"/>
    <w:rPr>
      <w:kern w:val="22"/>
      <w:sz w:val="18"/>
      <w:vertAlign w:val="superscript"/>
    </w:rPr>
  </w:style>
  <w:style w:type="character" w:styleId="FootnoteReference">
    <w:name w:val="footnote reference"/>
    <w:basedOn w:val="DefaultParagraphFont"/>
    <w:uiPriority w:val="99"/>
    <w:semiHidden/>
    <w:unhideWhenUsed/>
    <w:qFormat/>
    <w:rsid w:val="00CD2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7811">
      <w:bodyDiv w:val="1"/>
      <w:marLeft w:val="0"/>
      <w:marRight w:val="0"/>
      <w:marTop w:val="0"/>
      <w:marBottom w:val="0"/>
      <w:divBdr>
        <w:top w:val="none" w:sz="0" w:space="0" w:color="auto"/>
        <w:left w:val="none" w:sz="0" w:space="0" w:color="auto"/>
        <w:bottom w:val="none" w:sz="0" w:space="0" w:color="auto"/>
        <w:right w:val="none" w:sz="0" w:space="0" w:color="auto"/>
      </w:divBdr>
    </w:div>
    <w:div w:id="335302953">
      <w:bodyDiv w:val="1"/>
      <w:marLeft w:val="0"/>
      <w:marRight w:val="0"/>
      <w:marTop w:val="0"/>
      <w:marBottom w:val="0"/>
      <w:divBdr>
        <w:top w:val="none" w:sz="0" w:space="0" w:color="auto"/>
        <w:left w:val="none" w:sz="0" w:space="0" w:color="auto"/>
        <w:bottom w:val="none" w:sz="0" w:space="0" w:color="auto"/>
        <w:right w:val="none" w:sz="0" w:space="0" w:color="auto"/>
      </w:divBdr>
    </w:div>
    <w:div w:id="973947530">
      <w:bodyDiv w:val="1"/>
      <w:marLeft w:val="0"/>
      <w:marRight w:val="0"/>
      <w:marTop w:val="0"/>
      <w:marBottom w:val="0"/>
      <w:divBdr>
        <w:top w:val="none" w:sz="0" w:space="0" w:color="auto"/>
        <w:left w:val="none" w:sz="0" w:space="0" w:color="auto"/>
        <w:bottom w:val="none" w:sz="0" w:space="0" w:color="auto"/>
        <w:right w:val="none" w:sz="0" w:space="0" w:color="auto"/>
      </w:divBdr>
    </w:div>
    <w:div w:id="1040131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cbd.int/decision/cop/?id=7199"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2/cop-12-dec-02-es.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cbd.int/doc/decisions/cop-10/cop-10-dec-04-e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cbd.int/doc/decisions/cop-08/full/cop-08-dec-es.pdf"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cbd.int/doc/decisions/cop-15/cop-15-dec-03-e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4DF5E4-50E8-4EF7-BBA1-863D0A3E546D}">
  <ds:schemaRefs>
    <ds:schemaRef ds:uri="http://schemas.openxmlformats.org/officeDocument/2006/bibliography"/>
  </ds:schemaRefs>
</ds:datastoreItem>
</file>

<file path=customXml/itemProps3.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70E6D7BF-1D48-42EB-B60A-9BB5C8C5F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C457AA-D6AE-46DE-A9D1-7520F912D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7.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8.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3320</Words>
  <Characters>18929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25/2.	Scientific, technical and technological inputs that should inform the global review of collective progress in the implementation of the Kunming-Montreal Global Biodiversity Framework</vt:lpstr>
    </vt:vector>
  </TitlesOfParts>
  <Company>SCBD</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	Scientific, technical and technological inputs that should inform the global review of collective progress in the implementation of the Kunming-Montreal Global Biodiversity Framework</dc:title>
  <dc:subject>CBD/SBSTTA/REC/25/2</dc:subject>
  <dc:creator>SCBD</dc:creator>
  <cp:keywords/>
  <cp:lastModifiedBy>Nada Al-Saheb</cp:lastModifiedBy>
  <cp:revision>5</cp:revision>
  <dcterms:created xsi:type="dcterms:W3CDTF">2023-11-17T18:06:00Z</dcterms:created>
  <dcterms:modified xsi:type="dcterms:W3CDTF">2023-11-20T13:37:00Z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