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C4ADF" w:rsidRPr="00FD69CC" w14:paraId="2B36CECC" w14:textId="77777777" w:rsidTr="00B22516">
        <w:trPr>
          <w:trHeight w:val="621"/>
        </w:trPr>
        <w:tc>
          <w:tcPr>
            <w:tcW w:w="465" w:type="pct"/>
            <w:tcBorders>
              <w:bottom w:val="single" w:sz="8" w:space="0" w:color="auto"/>
            </w:tcBorders>
            <w:vAlign w:val="bottom"/>
          </w:tcPr>
          <w:p w14:paraId="3F2D92DC" w14:textId="77777777" w:rsidR="00AC4ADF" w:rsidRPr="00FD69CC" w:rsidRDefault="00AC4ADF" w:rsidP="00AC4ADF">
            <w:pPr>
              <w:spacing w:after="120"/>
              <w:jc w:val="left"/>
              <w:rPr>
                <w:lang w:val="fr-FR"/>
              </w:rPr>
            </w:pPr>
            <w:bookmarkStart w:id="0" w:name="_Hlk137651738"/>
            <w:r w:rsidRPr="00FD69CC">
              <w:rPr>
                <w:noProof/>
                <w:lang w:val="fr-CA" w:eastAsia="fr-CA"/>
              </w:rPr>
              <w:drawing>
                <wp:inline distT="0" distB="0" distL="0" distR="0" wp14:anchorId="2B70495D" wp14:editId="0DBB4CD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267E20E" w14:textId="77777777" w:rsidR="00AC4ADF" w:rsidRPr="00FD69CC" w:rsidRDefault="00AC4ADF" w:rsidP="00AC4ADF">
            <w:pPr>
              <w:spacing w:after="120"/>
              <w:jc w:val="left"/>
              <w:rPr>
                <w:lang w:val="fr-FR"/>
              </w:rPr>
            </w:pPr>
            <w:r w:rsidRPr="00FD69CC">
              <w:rPr>
                <w:noProof/>
                <w:lang w:val="fr-CA" w:eastAsia="fr-CA"/>
              </w:rPr>
              <w:drawing>
                <wp:inline distT="0" distB="0" distL="0" distR="0" wp14:anchorId="657F24E6" wp14:editId="59B77B1F">
                  <wp:extent cx="593725" cy="340995"/>
                  <wp:effectExtent l="0" t="0" r="0" b="1905"/>
                  <wp:docPr id="5" name="Image 5"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noir, obscurité&#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76580EA5" w14:textId="6DF8CC99" w:rsidR="00AC4ADF" w:rsidRPr="00FD69CC" w:rsidRDefault="00AC4ADF" w:rsidP="00AC4ADF">
            <w:pPr>
              <w:spacing w:after="120"/>
              <w:ind w:left="2021"/>
              <w:jc w:val="right"/>
              <w:rPr>
                <w:szCs w:val="22"/>
                <w:lang w:val="fr-FR"/>
              </w:rPr>
            </w:pPr>
            <w:r w:rsidRPr="00147CE1">
              <w:rPr>
                <w:sz w:val="40"/>
                <w:szCs w:val="40"/>
              </w:rPr>
              <w:t>CBD</w:t>
            </w:r>
            <w:r w:rsidRPr="00147CE1">
              <w:rPr>
                <w:szCs w:val="22"/>
              </w:rPr>
              <w:t>/SBSTTA/</w:t>
            </w:r>
            <w:r w:rsidRPr="004D4153">
              <w:rPr>
                <w:szCs w:val="22"/>
              </w:rPr>
              <w:t>REC/</w:t>
            </w:r>
            <w:r w:rsidRPr="00147CE1">
              <w:rPr>
                <w:szCs w:val="22"/>
              </w:rPr>
              <w:t>25/8</w:t>
            </w:r>
          </w:p>
        </w:tc>
      </w:tr>
      <w:tr w:rsidR="00052C39" w:rsidRPr="009C680B" w14:paraId="517A4F92" w14:textId="77777777" w:rsidTr="00B22516">
        <w:tc>
          <w:tcPr>
            <w:tcW w:w="2297" w:type="pct"/>
            <w:gridSpan w:val="2"/>
            <w:tcBorders>
              <w:top w:val="single" w:sz="8" w:space="0" w:color="auto"/>
              <w:bottom w:val="single" w:sz="12" w:space="0" w:color="auto"/>
            </w:tcBorders>
          </w:tcPr>
          <w:p w14:paraId="70A82F83" w14:textId="77777777" w:rsidR="00052C39" w:rsidRPr="00FD69CC" w:rsidRDefault="00052C39" w:rsidP="00B22516">
            <w:pPr>
              <w:pStyle w:val="Cornernotation"/>
              <w:suppressLineNumbers/>
              <w:suppressAutoHyphens/>
              <w:spacing w:before="120" w:after="120"/>
              <w:ind w:right="0"/>
              <w:rPr>
                <w:lang w:val="fr-FR"/>
              </w:rPr>
            </w:pPr>
            <w:r w:rsidRPr="00FD69CC">
              <w:rPr>
                <w:noProof/>
                <w:kern w:val="22"/>
                <w:lang w:val="fr-CA" w:eastAsia="fr-CA"/>
              </w:rPr>
              <w:drawing>
                <wp:inline distT="0" distB="0" distL="0" distR="0" wp14:anchorId="6EFB3FDB" wp14:editId="37CDAE78">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7F33B8C3" w14:textId="501E7193" w:rsidR="00052C39" w:rsidRPr="00FD69CC" w:rsidRDefault="00052C39" w:rsidP="00B22516">
            <w:pPr>
              <w:ind w:left="2584"/>
              <w:rPr>
                <w:sz w:val="22"/>
                <w:szCs w:val="22"/>
                <w:lang w:val="fr-FR"/>
              </w:rPr>
            </w:pPr>
            <w:r w:rsidRPr="00FD69CC">
              <w:rPr>
                <w:sz w:val="22"/>
                <w:szCs w:val="22"/>
                <w:lang w:val="fr-FR"/>
              </w:rPr>
              <w:t xml:space="preserve">Distr. : </w:t>
            </w:r>
            <w:r w:rsidR="00C96358">
              <w:rPr>
                <w:sz w:val="22"/>
                <w:szCs w:val="22"/>
                <w:lang w:val="fr-FR"/>
              </w:rPr>
              <w:t>Générale</w:t>
            </w:r>
          </w:p>
          <w:p w14:paraId="7E43FA8F" w14:textId="60C9780B" w:rsidR="00052C39" w:rsidRPr="00FD69CC" w:rsidRDefault="00052C39" w:rsidP="00B22516">
            <w:pPr>
              <w:ind w:left="2584"/>
              <w:rPr>
                <w:sz w:val="22"/>
                <w:szCs w:val="22"/>
                <w:lang w:val="fr-FR"/>
              </w:rPr>
            </w:pPr>
            <w:r w:rsidRPr="00FD69CC">
              <w:rPr>
                <w:sz w:val="22"/>
                <w:szCs w:val="22"/>
                <w:lang w:val="fr-FR"/>
              </w:rPr>
              <w:t>1</w:t>
            </w:r>
            <w:r w:rsidR="009C680B">
              <w:rPr>
                <w:sz w:val="22"/>
                <w:szCs w:val="22"/>
                <w:lang w:val="fr-FR"/>
              </w:rPr>
              <w:t>9</w:t>
            </w:r>
            <w:r w:rsidRPr="00FD69CC">
              <w:rPr>
                <w:sz w:val="22"/>
                <w:szCs w:val="22"/>
                <w:lang w:val="fr-FR"/>
              </w:rPr>
              <w:t xml:space="preserve"> octobre 2023</w:t>
            </w:r>
          </w:p>
          <w:p w14:paraId="10F04B8B" w14:textId="77777777" w:rsidR="00052C39" w:rsidRPr="00FD69CC" w:rsidRDefault="00052C39" w:rsidP="00B22516">
            <w:pPr>
              <w:ind w:left="2584"/>
              <w:rPr>
                <w:sz w:val="22"/>
                <w:szCs w:val="22"/>
                <w:lang w:val="fr-FR"/>
              </w:rPr>
            </w:pPr>
          </w:p>
          <w:p w14:paraId="6D8ED641" w14:textId="77777777" w:rsidR="00052C39" w:rsidRPr="00FD69CC" w:rsidRDefault="00052C39" w:rsidP="00B22516">
            <w:pPr>
              <w:ind w:left="2584"/>
              <w:rPr>
                <w:sz w:val="22"/>
                <w:szCs w:val="22"/>
                <w:lang w:val="fr-FR"/>
              </w:rPr>
            </w:pPr>
            <w:r w:rsidRPr="00FD69CC">
              <w:rPr>
                <w:sz w:val="22"/>
                <w:szCs w:val="22"/>
                <w:lang w:val="fr-FR"/>
              </w:rPr>
              <w:t>Français</w:t>
            </w:r>
          </w:p>
          <w:p w14:paraId="1BBE75C0" w14:textId="77777777" w:rsidR="00052C39" w:rsidRPr="00FD69CC" w:rsidRDefault="00052C39" w:rsidP="00B22516">
            <w:pPr>
              <w:ind w:left="2584"/>
              <w:rPr>
                <w:sz w:val="22"/>
                <w:szCs w:val="22"/>
                <w:lang w:val="fr-FR"/>
              </w:rPr>
            </w:pPr>
            <w:r w:rsidRPr="00FD69CC">
              <w:rPr>
                <w:sz w:val="22"/>
                <w:szCs w:val="22"/>
                <w:lang w:val="fr-FR"/>
              </w:rPr>
              <w:t>Original : Anglais</w:t>
            </w:r>
          </w:p>
          <w:p w14:paraId="74B7FD38" w14:textId="77777777" w:rsidR="00052C39" w:rsidRPr="00FD69CC" w:rsidRDefault="00052C39" w:rsidP="00B22516">
            <w:pPr>
              <w:rPr>
                <w:lang w:val="fr-FR"/>
              </w:rPr>
            </w:pPr>
          </w:p>
        </w:tc>
      </w:tr>
    </w:tbl>
    <w:p w14:paraId="5C4B6230" w14:textId="77777777" w:rsidR="00052C39" w:rsidRPr="00FD69CC" w:rsidRDefault="00052C39" w:rsidP="00052C39">
      <w:pPr>
        <w:pStyle w:val="Cornernotation"/>
        <w:suppressLineNumbers/>
        <w:suppressAutoHyphens/>
        <w:ind w:right="4682"/>
        <w:rPr>
          <w:b w:val="0"/>
          <w:bCs/>
          <w:snapToGrid w:val="0"/>
          <w:kern w:val="22"/>
          <w:lang w:val="fr-FR"/>
        </w:rPr>
      </w:pPr>
      <w:bookmarkStart w:id="1" w:name="_Hlk144977812"/>
      <w:r w:rsidRPr="00FD69CC">
        <w:rPr>
          <w:bCs/>
          <w:lang w:val="fr-FR"/>
        </w:rPr>
        <w:t>Organe subsidiaire chargé de fournir des avis scientifiques, techniques et technologiques</w:t>
      </w:r>
    </w:p>
    <w:bookmarkEnd w:id="1"/>
    <w:p w14:paraId="5302B696" w14:textId="77777777" w:rsidR="00052C39" w:rsidRPr="00FD69CC" w:rsidRDefault="00052C39" w:rsidP="00052C39">
      <w:pPr>
        <w:pStyle w:val="Cornernotation"/>
        <w:suppressLineNumbers/>
        <w:suppressAutoHyphens/>
        <w:ind w:right="4682"/>
        <w:rPr>
          <w:b w:val="0"/>
          <w:bCs/>
          <w:snapToGrid w:val="0"/>
          <w:kern w:val="22"/>
          <w:sz w:val="22"/>
          <w:szCs w:val="22"/>
          <w:lang w:val="fr-FR"/>
        </w:rPr>
      </w:pPr>
      <w:r w:rsidRPr="00FD69CC">
        <w:rPr>
          <w:bCs/>
          <w:snapToGrid w:val="0"/>
          <w:kern w:val="22"/>
          <w:sz w:val="22"/>
          <w:szCs w:val="22"/>
          <w:lang w:val="fr-FR"/>
        </w:rPr>
        <w:t>Vingt-cinquième réunion</w:t>
      </w:r>
    </w:p>
    <w:p w14:paraId="2A236898" w14:textId="77777777" w:rsidR="00052C39" w:rsidRPr="00FD69CC" w:rsidRDefault="00052C39" w:rsidP="00052C39">
      <w:pPr>
        <w:pStyle w:val="Venuedate"/>
        <w:rPr>
          <w:lang w:val="fr-FR"/>
        </w:rPr>
      </w:pPr>
      <w:r w:rsidRPr="00FD69CC">
        <w:rPr>
          <w:lang w:val="fr-FR"/>
        </w:rPr>
        <w:t>Nairobi, 15–19 octobre 2023</w:t>
      </w:r>
    </w:p>
    <w:p w14:paraId="1BD1E983" w14:textId="78011414" w:rsidR="00A96B21" w:rsidRPr="00FD69CC" w:rsidRDefault="00052C39" w:rsidP="0041355D">
      <w:pPr>
        <w:pStyle w:val="Cornernotation-Item"/>
        <w:rPr>
          <w:b w:val="0"/>
          <w:bCs w:val="0"/>
          <w:lang w:val="fr-FR"/>
        </w:rPr>
      </w:pPr>
      <w:r w:rsidRPr="00FD69CC">
        <w:rPr>
          <w:b w:val="0"/>
          <w:bCs w:val="0"/>
          <w:lang w:val="fr-FR"/>
        </w:rPr>
        <w:t>Points 4 et 7 de l</w:t>
      </w:r>
      <w:r w:rsidR="001B2859" w:rsidRPr="00FD69CC">
        <w:rPr>
          <w:b w:val="0"/>
          <w:bCs w:val="0"/>
          <w:lang w:val="fr-FR"/>
        </w:rPr>
        <w:t>’</w:t>
      </w:r>
      <w:r w:rsidRPr="00FD69CC">
        <w:rPr>
          <w:b w:val="0"/>
          <w:bCs w:val="0"/>
          <w:lang w:val="fr-FR"/>
        </w:rPr>
        <w:t>ordre du jour</w:t>
      </w:r>
    </w:p>
    <w:p w14:paraId="4932D1E5" w14:textId="1FF802F7" w:rsidR="00275E1D" w:rsidRPr="00FD69CC" w:rsidRDefault="00AF1769" w:rsidP="00781EC7">
      <w:pPr>
        <w:pStyle w:val="Cornernotation-Item"/>
        <w:spacing w:before="120" w:after="120"/>
        <w:ind w:right="3264"/>
        <w:rPr>
          <w:lang w:val="fr-FR"/>
        </w:rPr>
      </w:pPr>
      <w:r w:rsidRPr="00FD69CC">
        <w:rPr>
          <w:lang w:val="fr-FR"/>
        </w:rPr>
        <w:t>Résultats des évaluations de la Plateforme intergouvernementale scientifique et politique sur la biodiversité et les services écosystémiques et du Groupe d</w:t>
      </w:r>
      <w:r w:rsidR="001B2859" w:rsidRPr="00FD69CC">
        <w:rPr>
          <w:lang w:val="fr-FR"/>
        </w:rPr>
        <w:t>’</w:t>
      </w:r>
      <w:r w:rsidRPr="00FD69CC">
        <w:rPr>
          <w:lang w:val="fr-FR"/>
        </w:rPr>
        <w:t>experts intergouvernemental sur l</w:t>
      </w:r>
      <w:r w:rsidR="001B2859" w:rsidRPr="00FD69CC">
        <w:rPr>
          <w:lang w:val="fr-FR"/>
        </w:rPr>
        <w:t>’</w:t>
      </w:r>
      <w:r w:rsidRPr="00FD69CC">
        <w:rPr>
          <w:lang w:val="fr-FR"/>
        </w:rPr>
        <w:t>évolution du climat et leurs incidences sur les travaux menés dans le cadre de la Convention</w:t>
      </w:r>
    </w:p>
    <w:bookmarkEnd w:id="0"/>
    <w:p w14:paraId="246EAE9A" w14:textId="5E432AC0" w:rsidR="00FD69CC" w:rsidRDefault="00FD69CC" w:rsidP="00FD69CC">
      <w:pPr>
        <w:pStyle w:val="Cornernotation-Item"/>
        <w:tabs>
          <w:tab w:val="left" w:pos="6237"/>
        </w:tabs>
        <w:spacing w:before="120" w:after="120"/>
        <w:rPr>
          <w:lang w:val="fr-FR"/>
        </w:rPr>
      </w:pPr>
      <w:r w:rsidRPr="00FD69CC">
        <w:rPr>
          <w:lang w:val="fr-FR"/>
        </w:rPr>
        <w:t>Biodiversité et changements climatiques</w:t>
      </w:r>
    </w:p>
    <w:p w14:paraId="51CBE662" w14:textId="58F63CB8" w:rsidR="00C96358" w:rsidRPr="00C96358" w:rsidRDefault="00C96358" w:rsidP="00C96358">
      <w:pPr>
        <w:pStyle w:val="Title"/>
        <w:jc w:val="left"/>
      </w:pPr>
      <w:proofErr w:type="spellStart"/>
      <w:r w:rsidRPr="00C96358">
        <w:t>Recommandation</w:t>
      </w:r>
      <w:proofErr w:type="spellEnd"/>
      <w:r w:rsidRPr="00C96358">
        <w:t xml:space="preserve"> </w:t>
      </w:r>
      <w:proofErr w:type="spellStart"/>
      <w:r w:rsidRPr="00C96358">
        <w:t>adoptée</w:t>
      </w:r>
      <w:proofErr w:type="spellEnd"/>
      <w:r w:rsidRPr="00C96358">
        <w:t xml:space="preserve"> par </w:t>
      </w:r>
      <w:proofErr w:type="spellStart"/>
      <w:r w:rsidRPr="00C96358">
        <w:t>l'Organe</w:t>
      </w:r>
      <w:proofErr w:type="spellEnd"/>
      <w:r w:rsidRPr="00C96358">
        <w:t xml:space="preserve"> </w:t>
      </w:r>
      <w:proofErr w:type="spellStart"/>
      <w:r w:rsidRPr="00C96358">
        <w:t>subsidiaire</w:t>
      </w:r>
      <w:proofErr w:type="spellEnd"/>
      <w:r w:rsidRPr="00C96358">
        <w:t xml:space="preserve"> chargé de </w:t>
      </w:r>
      <w:proofErr w:type="spellStart"/>
      <w:r w:rsidRPr="00C96358">
        <w:t>fournir</w:t>
      </w:r>
      <w:proofErr w:type="spellEnd"/>
      <w:r w:rsidRPr="00C96358">
        <w:t xml:space="preserve"> des </w:t>
      </w:r>
      <w:proofErr w:type="spellStart"/>
      <w:r w:rsidRPr="00C96358">
        <w:t>avis</w:t>
      </w:r>
      <w:proofErr w:type="spellEnd"/>
      <w:r w:rsidRPr="00C96358">
        <w:t xml:space="preserve"> </w:t>
      </w:r>
      <w:proofErr w:type="spellStart"/>
      <w:r w:rsidRPr="00C96358">
        <w:t>scientifiques</w:t>
      </w:r>
      <w:proofErr w:type="spellEnd"/>
      <w:r w:rsidRPr="00C96358">
        <w:t xml:space="preserve">, techniques et </w:t>
      </w:r>
      <w:proofErr w:type="spellStart"/>
      <w:r w:rsidRPr="00C96358">
        <w:t>technologiques</w:t>
      </w:r>
      <w:proofErr w:type="spellEnd"/>
      <w:r w:rsidR="00702AF3">
        <w:t xml:space="preserve"> </w:t>
      </w:r>
      <w:r w:rsidR="00702AF3" w:rsidRPr="00FE5096">
        <w:rPr>
          <w:lang w:val="fr-FR"/>
        </w:rPr>
        <w:t>le 19 octobre 202</w:t>
      </w:r>
      <w:r w:rsidR="00702AF3" w:rsidRPr="003D0A88">
        <w:rPr>
          <w:lang w:val="fr-FR"/>
        </w:rPr>
        <w:t>3</w:t>
      </w:r>
    </w:p>
    <w:p w14:paraId="0398798D" w14:textId="53DC8F54" w:rsidR="00FD69CC" w:rsidRPr="00FD69CC" w:rsidRDefault="00702AF3" w:rsidP="00FD69CC">
      <w:pPr>
        <w:pStyle w:val="Title"/>
        <w:rPr>
          <w:lang w:val="fr-FR"/>
        </w:rPr>
      </w:pPr>
      <w:sdt>
        <w:sdtPr>
          <w:alias w:val="Titre"/>
          <w:tag w:val=""/>
          <w:id w:val="-1975355689"/>
          <w:placeholder>
            <w:docPart w:val="1D755665070B4A5989844B451188583E"/>
          </w:placeholder>
          <w:dataBinding w:prefixMappings="xmlns:ns0='http://purl.org/dc/elements/1.1/' xmlns:ns1='http://schemas.openxmlformats.org/package/2006/metadata/core-properties' " w:xpath="/ns1:coreProperties[1]/ns0:title[1]" w:storeItemID="{6C3C8BC8-F283-45AE-878A-BAB7291924A1}"/>
          <w:text/>
        </w:sdtPr>
        <w:sdtEndPr/>
        <w:sdtContent>
          <w:r w:rsidR="00C96358" w:rsidRPr="00C96358">
            <w:t>25/8.</w:t>
          </w:r>
          <w:r w:rsidR="00C96358" w:rsidRPr="00C96358">
            <w:tab/>
            <w:t>Biodiversité et changements climatiques</w:t>
          </w:r>
        </w:sdtContent>
      </w:sdt>
    </w:p>
    <w:p w14:paraId="4E28FEE8" w14:textId="77777777" w:rsidR="00FD69CC" w:rsidRPr="00FD69CC" w:rsidRDefault="00FD69CC" w:rsidP="00FD69CC">
      <w:pPr>
        <w:pStyle w:val="Para1"/>
        <w:numPr>
          <w:ilvl w:val="0"/>
          <w:numId w:val="0"/>
        </w:numPr>
        <w:suppressLineNumbers/>
        <w:suppressAutoHyphens/>
        <w:kinsoku w:val="0"/>
        <w:overflowPunct w:val="0"/>
        <w:autoSpaceDE w:val="0"/>
        <w:autoSpaceDN w:val="0"/>
        <w:adjustRightInd w:val="0"/>
        <w:ind w:left="567" w:firstLine="567"/>
        <w:rPr>
          <w:i/>
          <w:kern w:val="22"/>
          <w:szCs w:val="22"/>
          <w:lang w:val="fr-FR"/>
        </w:rPr>
      </w:pPr>
      <w:r w:rsidRPr="00FD69CC">
        <w:rPr>
          <w:i/>
          <w:szCs w:val="22"/>
          <w:lang w:val="fr-FR"/>
        </w:rPr>
        <w:t xml:space="preserve">L’Organe subsidiaire </w:t>
      </w:r>
      <w:bookmarkStart w:id="2" w:name="_Hlk143864472"/>
      <w:r w:rsidRPr="00FD69CC">
        <w:rPr>
          <w:i/>
          <w:szCs w:val="22"/>
          <w:lang w:val="fr-FR"/>
        </w:rPr>
        <w:t>chargé de fournir des avis scientifiques, techniques et technologiques</w:t>
      </w:r>
      <w:bookmarkEnd w:id="2"/>
      <w:r w:rsidRPr="00FD69CC">
        <w:rPr>
          <w:i/>
          <w:szCs w:val="22"/>
          <w:lang w:val="fr-FR"/>
        </w:rPr>
        <w:t>,</w:t>
      </w:r>
    </w:p>
    <w:p w14:paraId="15C7E612" w14:textId="0DBCCA63" w:rsidR="00FD69CC" w:rsidRPr="00FD69CC" w:rsidRDefault="00FD69CC" w:rsidP="00FD69CC">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kern w:val="22"/>
          <w:szCs w:val="22"/>
          <w:lang w:val="fr-FR"/>
        </w:rPr>
      </w:pPr>
      <w:r w:rsidRPr="00FD69CC">
        <w:rPr>
          <w:i/>
          <w:lang w:val="fr-FR"/>
        </w:rPr>
        <w:t xml:space="preserve">Rappelant </w:t>
      </w:r>
      <w:r w:rsidRPr="00FD69CC">
        <w:rPr>
          <w:lang w:val="fr-FR"/>
        </w:rPr>
        <w:t>les décisions </w:t>
      </w:r>
      <w:hyperlink r:id="rId14" w:history="1">
        <w:r w:rsidRPr="00FD69CC">
          <w:rPr>
            <w:rStyle w:val="Hyperlink"/>
            <w:sz w:val="22"/>
            <w:szCs w:val="22"/>
            <w:lang w:val="fr-FR"/>
          </w:rPr>
          <w:t>VII/15</w:t>
        </w:r>
      </w:hyperlink>
      <w:r w:rsidRPr="00FD69CC">
        <w:rPr>
          <w:rStyle w:val="Hyperlink"/>
          <w:color w:val="auto"/>
          <w:sz w:val="22"/>
          <w:szCs w:val="22"/>
          <w:u w:val="none"/>
          <w:lang w:val="fr-FR"/>
        </w:rPr>
        <w:t xml:space="preserve"> du </w:t>
      </w:r>
      <w:r w:rsidR="00C96358">
        <w:rPr>
          <w:lang w:val="fr-FR"/>
        </w:rPr>
        <w:t xml:space="preserve">20 </w:t>
      </w:r>
      <w:r w:rsidR="009861F2">
        <w:rPr>
          <w:lang w:val="fr-FR"/>
        </w:rPr>
        <w:t>f</w:t>
      </w:r>
      <w:r w:rsidR="00C96358">
        <w:rPr>
          <w:lang w:val="fr-FR"/>
        </w:rPr>
        <w:t>évrier</w:t>
      </w:r>
      <w:r w:rsidRPr="00FD69CC">
        <w:rPr>
          <w:lang w:val="fr-FR"/>
        </w:rPr>
        <w:t xml:space="preserve"> 2004, </w:t>
      </w:r>
      <w:hyperlink r:id="rId15" w:history="1">
        <w:r w:rsidRPr="00FD69CC">
          <w:rPr>
            <w:rStyle w:val="Hyperlink"/>
            <w:sz w:val="22"/>
            <w:szCs w:val="22"/>
            <w:lang w:val="fr-FR"/>
          </w:rPr>
          <w:t>IX/16</w:t>
        </w:r>
      </w:hyperlink>
      <w:r w:rsidRPr="00FD69CC">
        <w:rPr>
          <w:rStyle w:val="Hyperlink"/>
          <w:color w:val="auto"/>
          <w:sz w:val="22"/>
          <w:szCs w:val="22"/>
          <w:u w:val="none"/>
          <w:lang w:val="fr-FR"/>
        </w:rPr>
        <w:t xml:space="preserve"> </w:t>
      </w:r>
      <w:r w:rsidR="00C96358">
        <w:rPr>
          <w:rStyle w:val="Hyperlink"/>
          <w:color w:val="auto"/>
          <w:sz w:val="22"/>
          <w:szCs w:val="22"/>
          <w:u w:val="none"/>
          <w:lang w:val="fr-FR"/>
        </w:rPr>
        <w:t xml:space="preserve">A à D </w:t>
      </w:r>
      <w:r w:rsidRPr="00FD69CC">
        <w:rPr>
          <w:rStyle w:val="Hyperlink"/>
          <w:color w:val="auto"/>
          <w:sz w:val="22"/>
          <w:szCs w:val="22"/>
          <w:u w:val="none"/>
          <w:lang w:val="fr-FR"/>
        </w:rPr>
        <w:t xml:space="preserve">du </w:t>
      </w:r>
      <w:r w:rsidR="00C96358">
        <w:rPr>
          <w:lang w:val="fr-FR"/>
        </w:rPr>
        <w:t>30 mai</w:t>
      </w:r>
      <w:r w:rsidRPr="00FD69CC">
        <w:rPr>
          <w:lang w:val="fr-FR"/>
        </w:rPr>
        <w:t xml:space="preserve"> 2008, </w:t>
      </w:r>
      <w:hyperlink r:id="rId16" w:history="1">
        <w:r w:rsidRPr="00FD69CC">
          <w:rPr>
            <w:rStyle w:val="Hyperlink"/>
            <w:sz w:val="22"/>
            <w:szCs w:val="22"/>
            <w:lang w:val="fr-FR"/>
          </w:rPr>
          <w:t>X/33</w:t>
        </w:r>
      </w:hyperlink>
      <w:r w:rsidRPr="00FD69CC">
        <w:rPr>
          <w:rStyle w:val="Hyperlink"/>
          <w:color w:val="auto"/>
          <w:sz w:val="22"/>
          <w:szCs w:val="22"/>
          <w:u w:val="none"/>
          <w:lang w:val="fr-FR"/>
        </w:rPr>
        <w:t xml:space="preserve"> du</w:t>
      </w:r>
      <w:r w:rsidRPr="00FD69CC">
        <w:rPr>
          <w:lang w:val="fr-FR"/>
        </w:rPr>
        <w:t xml:space="preserve"> 29 octobre 2010,</w:t>
      </w:r>
      <w:r w:rsidR="00316BFE" w:rsidRPr="00316BFE">
        <w:rPr>
          <w:sz w:val="18"/>
          <w:lang w:val="fr-FR"/>
        </w:rPr>
        <w:t xml:space="preserve"> </w:t>
      </w:r>
      <w:hyperlink r:id="rId17" w:history="1">
        <w:r w:rsidR="00316BFE" w:rsidRPr="009C680B">
          <w:rPr>
            <w:rStyle w:val="Hyperlink"/>
            <w:kern w:val="22"/>
            <w:sz w:val="22"/>
            <w:szCs w:val="22"/>
            <w:lang w:val="fr-CA"/>
          </w:rPr>
          <w:t>XI/19</w:t>
        </w:r>
      </w:hyperlink>
      <w:r w:rsidR="00316BFE" w:rsidRPr="009C680B">
        <w:rPr>
          <w:rStyle w:val="Hyperlink"/>
          <w:color w:val="auto"/>
          <w:kern w:val="22"/>
          <w:sz w:val="22"/>
          <w:szCs w:val="22"/>
          <w:u w:val="none"/>
          <w:lang w:val="fr-CA"/>
        </w:rPr>
        <w:t>,</w:t>
      </w:r>
      <w:r w:rsidRPr="007F4F9C">
        <w:rPr>
          <w:rStyle w:val="Hyperlink"/>
          <w:color w:val="auto"/>
          <w:sz w:val="22"/>
          <w:szCs w:val="22"/>
          <w:u w:val="none"/>
          <w:lang w:val="fr-FR"/>
        </w:rPr>
        <w:t xml:space="preserve"> </w:t>
      </w:r>
      <w:hyperlink r:id="rId18" w:history="1">
        <w:r w:rsidR="00316BFE" w:rsidRPr="009C680B">
          <w:rPr>
            <w:rStyle w:val="Hyperlink"/>
            <w:sz w:val="22"/>
            <w:szCs w:val="22"/>
            <w:lang w:val="fr-CA"/>
          </w:rPr>
          <w:t>XI/20</w:t>
        </w:r>
      </w:hyperlink>
      <w:r w:rsidR="00316BFE">
        <w:rPr>
          <w:szCs w:val="22"/>
          <w:lang w:val="fr-FR"/>
        </w:rPr>
        <w:t xml:space="preserve"> et </w:t>
      </w:r>
      <w:hyperlink r:id="rId19" w:history="1">
        <w:r w:rsidR="00316BFE" w:rsidRPr="009C680B">
          <w:rPr>
            <w:rStyle w:val="Hyperlink"/>
            <w:sz w:val="22"/>
            <w:szCs w:val="22"/>
            <w:lang w:val="fr-CA"/>
          </w:rPr>
          <w:t>XI/21</w:t>
        </w:r>
      </w:hyperlink>
      <w:r w:rsidR="00316BFE">
        <w:rPr>
          <w:szCs w:val="22"/>
          <w:lang w:val="fr-FR"/>
        </w:rPr>
        <w:t xml:space="preserve"> </w:t>
      </w:r>
      <w:r w:rsidR="00316BFE" w:rsidRPr="007F4F9C">
        <w:rPr>
          <w:rStyle w:val="Hyperlink"/>
          <w:color w:val="auto"/>
          <w:sz w:val="22"/>
          <w:szCs w:val="22"/>
          <w:u w:val="none"/>
          <w:lang w:val="fr-FR"/>
        </w:rPr>
        <w:t xml:space="preserve">du </w:t>
      </w:r>
      <w:r w:rsidR="00C96358">
        <w:rPr>
          <w:rStyle w:val="Hyperlink"/>
          <w:color w:val="auto"/>
          <w:sz w:val="22"/>
          <w:szCs w:val="22"/>
          <w:u w:val="none"/>
          <w:lang w:val="fr-FR"/>
        </w:rPr>
        <w:t>19 octobre</w:t>
      </w:r>
      <w:r w:rsidR="00316BFE" w:rsidRPr="00FD69CC">
        <w:rPr>
          <w:lang w:val="fr-FR"/>
        </w:rPr>
        <w:t xml:space="preserve"> </w:t>
      </w:r>
      <w:r w:rsidR="00316BFE">
        <w:rPr>
          <w:lang w:val="fr-FR"/>
        </w:rPr>
        <w:t xml:space="preserve">2012, </w:t>
      </w:r>
      <w:hyperlink r:id="rId20" w:history="1">
        <w:r w:rsidR="00316BFE" w:rsidRPr="009C680B">
          <w:rPr>
            <w:rStyle w:val="Hyperlink"/>
            <w:sz w:val="22"/>
            <w:lang w:val="fr-CA"/>
          </w:rPr>
          <w:t>XII/20</w:t>
        </w:r>
      </w:hyperlink>
      <w:r w:rsidR="00316BFE">
        <w:rPr>
          <w:lang w:val="fr-FR"/>
        </w:rPr>
        <w:t xml:space="preserve"> du 17 octobre 2014, </w:t>
      </w:r>
      <w:bookmarkStart w:id="3" w:name="_Hlk148620729"/>
      <w:r w:rsidR="005F5F61">
        <w:rPr>
          <w:lang w:val="fr-FR"/>
        </w:rPr>
        <w:fldChar w:fldCharType="begin"/>
      </w:r>
      <w:r w:rsidR="005F5F61">
        <w:rPr>
          <w:lang w:val="fr-FR"/>
        </w:rPr>
        <w:instrText>HYPERLINK "https://www.cbd.int/doc/decisions/cop-13/cop-13-dec-04-fr.pdf"</w:instrText>
      </w:r>
      <w:r w:rsidR="005F5F61">
        <w:rPr>
          <w:lang w:val="fr-FR"/>
        </w:rPr>
      </w:r>
      <w:r w:rsidR="005F5F61">
        <w:rPr>
          <w:lang w:val="fr-FR"/>
        </w:rPr>
        <w:fldChar w:fldCharType="separate"/>
      </w:r>
      <w:r w:rsidR="00316BFE" w:rsidRPr="005F5F61">
        <w:rPr>
          <w:rStyle w:val="Hyperlink"/>
          <w:sz w:val="22"/>
          <w:lang w:val="fr-FR"/>
        </w:rPr>
        <w:t>XIII/4</w:t>
      </w:r>
      <w:bookmarkEnd w:id="3"/>
      <w:r w:rsidR="005F5F61">
        <w:rPr>
          <w:lang w:val="fr-FR"/>
        </w:rPr>
        <w:fldChar w:fldCharType="end"/>
      </w:r>
      <w:r w:rsidR="00316BFE">
        <w:rPr>
          <w:lang w:val="fr-FR"/>
        </w:rPr>
        <w:t xml:space="preserve"> </w:t>
      </w:r>
      <w:r w:rsidRPr="007F4F9C">
        <w:rPr>
          <w:rStyle w:val="Hyperlink"/>
          <w:color w:val="auto"/>
          <w:sz w:val="22"/>
          <w:szCs w:val="22"/>
          <w:u w:val="none"/>
          <w:lang w:val="fr-FR"/>
        </w:rPr>
        <w:t xml:space="preserve">du </w:t>
      </w:r>
      <w:r w:rsidRPr="007F4F9C">
        <w:rPr>
          <w:szCs w:val="22"/>
          <w:lang w:val="fr-FR"/>
        </w:rPr>
        <w:t>1</w:t>
      </w:r>
      <w:r w:rsidR="00C96358">
        <w:rPr>
          <w:szCs w:val="22"/>
          <w:lang w:val="fr-FR"/>
        </w:rPr>
        <w:t>3</w:t>
      </w:r>
      <w:r w:rsidRPr="007F4F9C">
        <w:rPr>
          <w:szCs w:val="22"/>
          <w:lang w:val="fr-FR"/>
        </w:rPr>
        <w:t> </w:t>
      </w:r>
      <w:r w:rsidRPr="00FD69CC">
        <w:rPr>
          <w:lang w:val="fr-FR"/>
        </w:rPr>
        <w:t xml:space="preserve">décembre 2016, </w:t>
      </w:r>
      <w:hyperlink r:id="rId21" w:history="1">
        <w:r w:rsidRPr="00FD69CC">
          <w:rPr>
            <w:rStyle w:val="Hyperlink"/>
            <w:sz w:val="22"/>
            <w:szCs w:val="22"/>
            <w:lang w:val="fr-FR"/>
          </w:rPr>
          <w:t>14/5</w:t>
        </w:r>
      </w:hyperlink>
      <w:r w:rsidRPr="00FD69CC">
        <w:rPr>
          <w:rStyle w:val="Hyperlink"/>
          <w:color w:val="auto"/>
          <w:sz w:val="22"/>
          <w:szCs w:val="22"/>
          <w:u w:val="none"/>
          <w:lang w:val="fr-FR"/>
        </w:rPr>
        <w:t xml:space="preserve"> du </w:t>
      </w:r>
      <w:r w:rsidR="00C96358">
        <w:rPr>
          <w:lang w:val="fr-FR"/>
        </w:rPr>
        <w:t>29</w:t>
      </w:r>
      <w:r w:rsidRPr="00FD69CC">
        <w:rPr>
          <w:lang w:val="fr-FR"/>
        </w:rPr>
        <w:t xml:space="preserve"> novembre 2018 et </w:t>
      </w:r>
      <w:hyperlink r:id="rId22" w:history="1">
        <w:r w:rsidRPr="00FD69CC">
          <w:rPr>
            <w:rStyle w:val="Hyperlink"/>
            <w:sz w:val="22"/>
            <w:lang w:val="fr-FR"/>
          </w:rPr>
          <w:t>15/24</w:t>
        </w:r>
      </w:hyperlink>
      <w:r w:rsidRPr="00FD69CC">
        <w:rPr>
          <w:lang w:val="fr-FR"/>
        </w:rPr>
        <w:t xml:space="preserve"> et </w:t>
      </w:r>
      <w:hyperlink r:id="rId23" w:history="1">
        <w:r w:rsidRPr="00FD69CC">
          <w:rPr>
            <w:rStyle w:val="Hyperlink"/>
            <w:sz w:val="22"/>
            <w:szCs w:val="22"/>
            <w:lang w:val="fr-FR"/>
          </w:rPr>
          <w:t>15/30</w:t>
        </w:r>
      </w:hyperlink>
      <w:r w:rsidRPr="00FD69CC">
        <w:rPr>
          <w:lang w:val="fr-FR"/>
        </w:rPr>
        <w:t xml:space="preserve"> du 19 décembre 2022 de la Conférence des Parties à la Convention sur la diversité biologique et, en particulier, le rôle critique de la biodiversité et des fonctions et des services écosystémiques dans l’atténuation des changements </w:t>
      </w:r>
      <w:proofErr w:type="gramStart"/>
      <w:r w:rsidRPr="00FD69CC">
        <w:rPr>
          <w:lang w:val="fr-FR"/>
        </w:rPr>
        <w:t>climatiques</w:t>
      </w:r>
      <w:proofErr w:type="gramEnd"/>
      <w:r w:rsidRPr="00FD69CC">
        <w:rPr>
          <w:lang w:val="fr-FR"/>
        </w:rPr>
        <w:t>, l’adaptation à leurs effets et la réduction des risques de catastrophe,</w:t>
      </w:r>
    </w:p>
    <w:p w14:paraId="30D20793" w14:textId="1F62F03B" w:rsidR="00FD69CC" w:rsidRPr="00FD69CC" w:rsidRDefault="00FD69CC" w:rsidP="00FD69CC">
      <w:pPr>
        <w:suppressLineNumbers/>
        <w:tabs>
          <w:tab w:val="left" w:pos="1701"/>
        </w:tabs>
        <w:suppressAutoHyphens/>
        <w:kinsoku w:val="0"/>
        <w:overflowPunct w:val="0"/>
        <w:autoSpaceDE w:val="0"/>
        <w:autoSpaceDN w:val="0"/>
        <w:adjustRightInd w:val="0"/>
        <w:snapToGrid w:val="0"/>
        <w:spacing w:before="120" w:after="120"/>
        <w:ind w:left="567" w:firstLine="567"/>
        <w:rPr>
          <w:noProof/>
          <w:snapToGrid w:val="0"/>
          <w:kern w:val="22"/>
          <w:lang w:val="fr-FR"/>
        </w:rPr>
      </w:pPr>
      <w:r w:rsidRPr="00FD69CC">
        <w:rPr>
          <w:i/>
          <w:iCs/>
          <w:snapToGrid w:val="0"/>
          <w:lang w:val="fr-FR"/>
        </w:rPr>
        <w:t>Rappelant également</w:t>
      </w:r>
      <w:r w:rsidRPr="00FD69CC">
        <w:rPr>
          <w:snapToGrid w:val="0"/>
          <w:lang w:val="fr-FR"/>
        </w:rPr>
        <w:t xml:space="preserve"> </w:t>
      </w:r>
      <w:r w:rsidRPr="00FD69CC">
        <w:rPr>
          <w:lang w:val="fr-FR"/>
        </w:rPr>
        <w:t>la décision </w:t>
      </w:r>
      <w:hyperlink r:id="rId24" w:history="1">
        <w:r w:rsidRPr="00FD69CC">
          <w:rPr>
            <w:rStyle w:val="Hyperlink"/>
            <w:sz w:val="22"/>
            <w:lang w:val="fr-FR"/>
          </w:rPr>
          <w:t>15/2</w:t>
        </w:r>
      </w:hyperlink>
      <w:r w:rsidRPr="00FD69CC">
        <w:rPr>
          <w:lang w:val="fr-FR"/>
        </w:rPr>
        <w:t xml:space="preserve"> du </w:t>
      </w:r>
      <w:r w:rsidR="00C96358">
        <w:rPr>
          <w:lang w:val="fr-FR"/>
        </w:rPr>
        <w:t xml:space="preserve">10 </w:t>
      </w:r>
      <w:r w:rsidRPr="00FD69CC">
        <w:rPr>
          <w:lang w:val="fr-FR"/>
        </w:rPr>
        <w:t xml:space="preserve">décembre 2022, dans laquelle la Conférence des Parties </w:t>
      </w:r>
      <w:r w:rsidRPr="00FD69CC">
        <w:rPr>
          <w:rStyle w:val="ui-provider"/>
          <w:lang w:val="fr-FR"/>
        </w:rPr>
        <w:t xml:space="preserve">a accueilli le rapport sur l’Évaluation mondiale de la biodiversité et des services écosystémiques publié par la Plateforme intergouvernementale scientifique et politique sur la biodiversité et les services écosystémiques et les examens régionaux et thématiques connexes, ainsi que </w:t>
      </w:r>
      <w:r w:rsidRPr="00FD69CC">
        <w:rPr>
          <w:lang w:val="fr-FR"/>
        </w:rPr>
        <w:t xml:space="preserve">la décision </w:t>
      </w:r>
      <w:hyperlink r:id="rId25" w:history="1">
        <w:r w:rsidRPr="00FD69CC">
          <w:rPr>
            <w:rStyle w:val="Hyperlink"/>
            <w:sz w:val="22"/>
            <w:lang w:val="fr-FR"/>
          </w:rPr>
          <w:t>15/19</w:t>
        </w:r>
      </w:hyperlink>
      <w:r w:rsidRPr="00FD69CC">
        <w:rPr>
          <w:lang w:val="fr-FR"/>
        </w:rPr>
        <w:t xml:space="preserve"> du 19 décembre 2022, dans laquelle la Conférence des Parties a pris note du rapport de l’atelier sur la biodiversité et les changements climatiques co-parrainé par la Plateforme intergouvernementale scientifique et politique sur la biodiversité et les services écosystémiques et par le Groupe d’experts intergouvernemental sur l’évolution du climat</w:t>
      </w:r>
      <w:r w:rsidRPr="00FD69CC">
        <w:rPr>
          <w:rStyle w:val="FootnoteReference"/>
          <w:iCs/>
          <w:kern w:val="22"/>
          <w:szCs w:val="22"/>
          <w:lang w:val="fr-FR"/>
        </w:rPr>
        <w:footnoteReference w:id="1"/>
      </w:r>
      <w:r w:rsidR="009C680B">
        <w:rPr>
          <w:snapToGrid w:val="0"/>
          <w:lang w:val="fr-FR"/>
        </w:rPr>
        <w:t xml:space="preserve"> </w:t>
      </w:r>
      <w:r w:rsidRPr="00FD69CC">
        <w:rPr>
          <w:lang w:val="fr-FR"/>
        </w:rPr>
        <w:t>;</w:t>
      </w:r>
      <w:r w:rsidRPr="00FD69CC">
        <w:rPr>
          <w:snapToGrid w:val="0"/>
          <w:lang w:val="fr-FR"/>
        </w:rPr>
        <w:t xml:space="preserve"> </w:t>
      </w:r>
    </w:p>
    <w:p w14:paraId="04794D60" w14:textId="2B3E9712"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lang w:val="fr-FR"/>
        </w:rPr>
        <w:t>1.</w:t>
      </w:r>
      <w:r w:rsidRPr="00FD69CC">
        <w:rPr>
          <w:lang w:val="fr-FR"/>
        </w:rPr>
        <w:tab/>
      </w:r>
      <w:r w:rsidRPr="00FD69CC">
        <w:rPr>
          <w:i/>
          <w:szCs w:val="22"/>
          <w:lang w:val="fr-FR"/>
        </w:rPr>
        <w:t xml:space="preserve">Se félicite </w:t>
      </w:r>
      <w:r w:rsidRPr="00FD69CC">
        <w:rPr>
          <w:snapToGrid w:val="0"/>
          <w:lang w:val="fr-FR"/>
        </w:rPr>
        <w:t xml:space="preserve">de la publication du </w:t>
      </w:r>
      <w:r w:rsidRPr="00FD69CC">
        <w:rPr>
          <w:i/>
          <w:iCs/>
          <w:snapToGrid w:val="0"/>
          <w:lang w:val="fr-FR"/>
        </w:rPr>
        <w:t>sixième rapport d’évaluation</w:t>
      </w:r>
      <w:r w:rsidRPr="00FD69CC">
        <w:rPr>
          <w:snapToGrid w:val="0"/>
          <w:lang w:val="fr-FR"/>
        </w:rPr>
        <w:t xml:space="preserve"> du Groupe d’experts intergouvernemental sur l’évolution du climat, et </w:t>
      </w:r>
      <w:r w:rsidRPr="00FD69CC">
        <w:rPr>
          <w:i/>
          <w:iCs/>
          <w:snapToGrid w:val="0"/>
          <w:lang w:val="fr-FR"/>
        </w:rPr>
        <w:t>prend note</w:t>
      </w:r>
      <w:r w:rsidRPr="00FD69CC">
        <w:rPr>
          <w:snapToGrid w:val="0"/>
          <w:lang w:val="fr-FR"/>
        </w:rPr>
        <w:t xml:space="preserve"> de ses conclusions </w:t>
      </w:r>
      <w:r w:rsidRPr="00FD69CC">
        <w:rPr>
          <w:rStyle w:val="normaltextrun"/>
          <w:shd w:val="clear" w:color="auto" w:fill="FFFFFF"/>
          <w:lang w:val="fr-FR"/>
        </w:rPr>
        <w:t>et leurs implications pour les travaux entrepris au titre de la Convention </w:t>
      </w:r>
      <w:r w:rsidRPr="00FD69CC">
        <w:rPr>
          <w:snapToGrid w:val="0"/>
          <w:lang w:val="fr-FR"/>
        </w:rPr>
        <w:t>;</w:t>
      </w:r>
    </w:p>
    <w:p w14:paraId="3C9A0D7A" w14:textId="205590BF"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414"/>
        <w:rPr>
          <w:kern w:val="22"/>
          <w:szCs w:val="22"/>
          <w:lang w:val="fr-FR"/>
        </w:rPr>
      </w:pPr>
      <w:r w:rsidRPr="00FD69CC">
        <w:rPr>
          <w:lang w:val="fr-FR"/>
        </w:rPr>
        <w:lastRenderedPageBreak/>
        <w:t xml:space="preserve">2. </w:t>
      </w:r>
      <w:r w:rsidRPr="00FD69CC">
        <w:rPr>
          <w:lang w:val="fr-FR"/>
        </w:rPr>
        <w:tab/>
      </w:r>
      <w:r w:rsidRPr="00FD69CC">
        <w:rPr>
          <w:i/>
          <w:iCs/>
          <w:szCs w:val="22"/>
          <w:lang w:val="fr-FR"/>
        </w:rPr>
        <w:t>Se dit alarmé</w:t>
      </w:r>
      <w:r w:rsidRPr="00FD69CC">
        <w:rPr>
          <w:lang w:val="fr-FR"/>
        </w:rPr>
        <w:t xml:space="preserve"> et extrêmement préoccupée par l’accélération des impacts défavorables des changements climatiques sur la biodiversité et la capacité de la nature à offrir aux personnes ses contributions, et la capacité des écosystèmes à fournir ses fonctions et services, notamment en ce qui a trait à l’adaptation aux effets climatiques, à la résilience climatique, à l’atténuation des effets des changements climatiques et à la réduction des risques de catastrophe, tout particulièrement l’impact sur les personnes vulnérables, y compris les peuples autochtones et les communautés locales, les femmes et les jeunes, ainsi que dans les écosystèmes les plus vulnérables ;</w:t>
      </w:r>
    </w:p>
    <w:p w14:paraId="7D03E499" w14:textId="144BB340" w:rsidR="00FD69CC" w:rsidRPr="00FD69CC" w:rsidRDefault="00FD69CC" w:rsidP="00FD69CC">
      <w:pPr>
        <w:pStyle w:val="Para1"/>
        <w:numPr>
          <w:ilvl w:val="0"/>
          <w:numId w:val="0"/>
        </w:numPr>
        <w:tabs>
          <w:tab w:val="left" w:pos="1701"/>
        </w:tabs>
        <w:ind w:left="567" w:firstLine="567"/>
        <w:rPr>
          <w:kern w:val="22"/>
          <w:u w:val="single"/>
          <w:lang w:val="fr-FR"/>
        </w:rPr>
      </w:pPr>
      <w:r w:rsidRPr="00FD69CC">
        <w:rPr>
          <w:color w:val="000000" w:themeColor="text1"/>
          <w:lang w:val="fr-FR"/>
        </w:rPr>
        <w:t xml:space="preserve">3. </w:t>
      </w:r>
      <w:r w:rsidRPr="00FD69CC">
        <w:rPr>
          <w:color w:val="000000" w:themeColor="text1"/>
          <w:lang w:val="fr-FR"/>
        </w:rPr>
        <w:tab/>
      </w:r>
      <w:r w:rsidRPr="00FD69CC">
        <w:rPr>
          <w:i/>
          <w:iCs/>
          <w:color w:val="000000" w:themeColor="text1"/>
          <w:lang w:val="fr-FR"/>
        </w:rPr>
        <w:t xml:space="preserve">Accueille favorablement </w:t>
      </w:r>
      <w:r w:rsidRPr="00FD69CC">
        <w:rPr>
          <w:lang w:val="fr-FR"/>
        </w:rPr>
        <w:t xml:space="preserve">la décision de la </w:t>
      </w:r>
      <w:r w:rsidR="00C96358">
        <w:rPr>
          <w:lang w:val="fr-FR"/>
        </w:rPr>
        <w:t>P</w:t>
      </w:r>
      <w:r w:rsidRPr="00FD69CC">
        <w:rPr>
          <w:lang w:val="fr-FR"/>
        </w:rPr>
        <w:t xml:space="preserve">lénière de la </w:t>
      </w:r>
      <w:r w:rsidRPr="00FD69CC">
        <w:rPr>
          <w:rStyle w:val="ui-provider"/>
          <w:lang w:val="fr-FR"/>
        </w:rPr>
        <w:t>Plateforme intergouvernementale scientifique et politique sur la biodiversité et les services écosystémiques</w:t>
      </w:r>
      <w:r w:rsidRPr="00FD69CC">
        <w:rPr>
          <w:color w:val="000000" w:themeColor="text1"/>
          <w:lang w:val="fr-FR"/>
        </w:rPr>
        <w:t xml:space="preserve"> lors de sa dixième session, à savoir d’entreprendre une deuxième évaluation mondiale, une évaluation </w:t>
      </w:r>
      <w:r w:rsidR="0009725E">
        <w:rPr>
          <w:color w:val="000000" w:themeColor="text1"/>
          <w:lang w:val="fr-FR"/>
        </w:rPr>
        <w:t>méthodologique</w:t>
      </w:r>
      <w:r w:rsidRPr="00FD69CC">
        <w:rPr>
          <w:color w:val="000000" w:themeColor="text1"/>
          <w:lang w:val="fr-FR"/>
        </w:rPr>
        <w:t xml:space="preserve"> de l’aménagement du territoire et de la connectivité, ainsi qu’une évaluation méthodologique de la surveillance, en insistant également sur l’importance de se pencher sur ces conclusions lors d’une rencontre ultérieure de l’Organe subsidiaire chargé de fournir des avis scientifiques, techniques et technologiques, et encourage les Parties à la </w:t>
      </w:r>
      <w:r w:rsidR="00C96358" w:rsidRPr="00C96358">
        <w:rPr>
          <w:color w:val="000000" w:themeColor="text1"/>
          <w:lang w:val="fr-FR"/>
        </w:rPr>
        <w:t xml:space="preserve">Convention-cadre des Nations Unies sur les changements climatiques </w:t>
      </w:r>
      <w:r w:rsidRPr="00FD69CC">
        <w:rPr>
          <w:color w:val="000000" w:themeColor="text1"/>
          <w:lang w:val="fr-FR"/>
        </w:rPr>
        <w:t xml:space="preserve">de tenir compte de ces conclusions, lorsqu’approprié, dans l’examen de ses travaux ; </w:t>
      </w:r>
    </w:p>
    <w:p w14:paraId="1965B546" w14:textId="77777777"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lang w:val="fr-FR"/>
        </w:rPr>
        <w:t xml:space="preserve">4. </w:t>
      </w:r>
      <w:r w:rsidRPr="00FD69CC">
        <w:rPr>
          <w:lang w:val="fr-FR"/>
        </w:rPr>
        <w:tab/>
      </w:r>
      <w:r w:rsidRPr="00FD69CC">
        <w:rPr>
          <w:i/>
          <w:iCs/>
          <w:lang w:val="fr-FR"/>
        </w:rPr>
        <w:t xml:space="preserve">Encourage </w:t>
      </w:r>
      <w:r w:rsidRPr="00FD69CC">
        <w:rPr>
          <w:lang w:val="fr-FR"/>
        </w:rPr>
        <w:t>une collaboration accrue entre la Plateforme intergouvernementale scientifique et politique sur la biodiversité et les services écosystémiques et le Groupe d’experts intergouvernemental sur l’évolution du climat, en réaffirmant le besoin de transparence pour toute activité conforme aux décisions du Groupe et de la Plateforme et à leurs politiques et procédures respectives ;</w:t>
      </w:r>
    </w:p>
    <w:p w14:paraId="6DE80349" w14:textId="693C928E"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lang w:val="fr-FR"/>
        </w:rPr>
        <w:t>5.</w:t>
      </w:r>
      <w:r w:rsidRPr="00FD69CC">
        <w:rPr>
          <w:lang w:val="fr-FR"/>
        </w:rPr>
        <w:tab/>
      </w:r>
      <w:r w:rsidRPr="00FD69CC">
        <w:rPr>
          <w:i/>
          <w:szCs w:val="22"/>
          <w:lang w:val="fr-FR"/>
        </w:rPr>
        <w:t xml:space="preserve">Prend note </w:t>
      </w:r>
      <w:r w:rsidRPr="00FD69CC">
        <w:rPr>
          <w:lang w:val="fr-FR"/>
        </w:rPr>
        <w:t xml:space="preserve">de la synthèse des points de vue et des informations sur la biodiversité et les changements climatiques mise à disposition </w:t>
      </w:r>
      <w:r w:rsidR="00C96358">
        <w:rPr>
          <w:lang w:val="fr-FR"/>
        </w:rPr>
        <w:t xml:space="preserve">par le secrétariat </w:t>
      </w:r>
      <w:r w:rsidRPr="00FD69CC">
        <w:rPr>
          <w:lang w:val="fr-FR"/>
        </w:rPr>
        <w:t>en vue d’informer l’Organe subsidiaire chargé de fournir des avis scientifiques, techniques et technologiques</w:t>
      </w:r>
      <w:r w:rsidRPr="00FD69CC">
        <w:rPr>
          <w:rStyle w:val="FootnoteReference"/>
          <w:kern w:val="22"/>
          <w:szCs w:val="22"/>
          <w:lang w:val="fr-FR"/>
        </w:rPr>
        <w:footnoteReference w:id="2"/>
      </w:r>
      <w:r w:rsidRPr="00FD69CC">
        <w:rPr>
          <w:lang w:val="fr-FR"/>
        </w:rPr>
        <w:t> ;</w:t>
      </w:r>
    </w:p>
    <w:p w14:paraId="78D304F2" w14:textId="1E3A6B69"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lang w:val="fr-FR"/>
        </w:rPr>
        <w:t xml:space="preserve">6. </w:t>
      </w:r>
      <w:r w:rsidRPr="00FD69CC">
        <w:rPr>
          <w:lang w:val="fr-FR"/>
        </w:rPr>
        <w:tab/>
      </w:r>
      <w:r w:rsidRPr="0009725E">
        <w:rPr>
          <w:i/>
          <w:lang w:val="fr-FR"/>
        </w:rPr>
        <w:t>Souligne</w:t>
      </w:r>
      <w:r w:rsidRPr="00FD69CC">
        <w:rPr>
          <w:lang w:val="fr-FR"/>
        </w:rPr>
        <w:t xml:space="preserve"> l’importance l’interaction des correspondants nationaux de la </w:t>
      </w:r>
      <w:r w:rsidR="00C96358">
        <w:rPr>
          <w:lang w:val="fr-FR"/>
        </w:rPr>
        <w:t>Convention sur la diversité biologique</w:t>
      </w:r>
      <w:r w:rsidRPr="00FD69CC">
        <w:rPr>
          <w:lang w:val="fr-FR"/>
        </w:rPr>
        <w:t xml:space="preserve"> avec leurs homologues de la </w:t>
      </w:r>
      <w:r w:rsidR="00C96358" w:rsidRPr="00C96358">
        <w:rPr>
          <w:lang w:val="fr-FR"/>
        </w:rPr>
        <w:t xml:space="preserve">Convention-cadre des Nations Unies sur les changements climatiques </w:t>
      </w:r>
      <w:r w:rsidR="00EF506D">
        <w:rPr>
          <w:lang w:val="fr-FR"/>
        </w:rPr>
        <w:t>et du renforcement de</w:t>
      </w:r>
      <w:r w:rsidRPr="00FD69CC">
        <w:rPr>
          <w:lang w:val="fr-FR"/>
        </w:rPr>
        <w:t xml:space="preserve"> </w:t>
      </w:r>
      <w:r w:rsidR="0009725E">
        <w:rPr>
          <w:lang w:val="fr-FR"/>
        </w:rPr>
        <w:t xml:space="preserve">la collaboration entre les Parties à </w:t>
      </w:r>
      <w:r w:rsidR="00C96358">
        <w:rPr>
          <w:lang w:val="fr-FR"/>
        </w:rPr>
        <w:t>ces instruments</w:t>
      </w:r>
      <w:r w:rsidR="00B51AB1">
        <w:rPr>
          <w:lang w:val="fr-FR"/>
        </w:rPr>
        <w:t xml:space="preserve">, </w:t>
      </w:r>
      <w:r w:rsidR="00EF506D">
        <w:rPr>
          <w:lang w:val="fr-FR"/>
        </w:rPr>
        <w:t>afin de</w:t>
      </w:r>
      <w:r w:rsidR="00B51AB1">
        <w:rPr>
          <w:lang w:val="fr-FR"/>
        </w:rPr>
        <w:t xml:space="preserve"> hausser le niveau de sensibilisation aux liens d’interdépendance pertinents entre la biodiversité et les changements climatiques, en appui aux processus de planification nationale pertinents, conformément aux engagements, circonstances et priorités du pays, selon qu’il convient ;</w:t>
      </w:r>
    </w:p>
    <w:p w14:paraId="7018A3FD" w14:textId="7DE432FA" w:rsidR="00FD69CC" w:rsidRPr="00C96358"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lang w:val="fr-FR"/>
        </w:rPr>
      </w:pPr>
      <w:r w:rsidRPr="00FD69CC">
        <w:rPr>
          <w:lang w:val="fr-FR"/>
        </w:rPr>
        <w:t>7.</w:t>
      </w:r>
      <w:r w:rsidRPr="00FD69CC">
        <w:rPr>
          <w:lang w:val="fr-FR"/>
        </w:rPr>
        <w:tab/>
      </w:r>
      <w:r w:rsidR="00C96358" w:rsidRPr="00C96358">
        <w:rPr>
          <w:i/>
          <w:iCs/>
          <w:lang w:val="fr-FR"/>
        </w:rPr>
        <w:t>Demande</w:t>
      </w:r>
      <w:r w:rsidR="00C96358" w:rsidRPr="00C96358">
        <w:rPr>
          <w:lang w:val="fr-FR"/>
        </w:rPr>
        <w:t xml:space="preserve"> au Secrétaire exécutif, lorsqu'il entreprendra l'examen et l'analyse détaillés des outils et des orientations existants qui peuvent appuyer les éléments des cibles 8 et 11 et d'autres aspects du Cadre mondial de biodiversité de Kunming-Montréal, conformément à la recommandation 25/3 de l'Organe subsidiaire chargé de fournir des avis scientifiques, techniques et technologiques, d'inclure ceux élaborés dans le cadre de la Convention sur la diversité biologique et les rapports d'évaluation de la Plateforme intergouvernementale scientifique et politique sur la biodiversité et les services écosystémiques et du Groupe d'experts intergouvernemental sur l'évolution du climat, en prenant note de la résolution 5/5 de l'Assemblée des Nations Unies pour l'environnement du 2 mars 2022 sur les solutions fondées sur la nature à l'appui du développement durable</w:t>
      </w:r>
      <w:r w:rsidRPr="00C96358">
        <w:rPr>
          <w:lang w:val="fr-FR"/>
        </w:rPr>
        <w:t> ;</w:t>
      </w:r>
    </w:p>
    <w:p w14:paraId="04F00A7F" w14:textId="77777777" w:rsidR="00FD69CC" w:rsidRPr="00FD69CC" w:rsidRDefault="00FD69CC" w:rsidP="00FD69C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lang w:val="fr-FR"/>
        </w:rPr>
        <w:t>8.</w:t>
      </w:r>
      <w:r w:rsidRPr="00FD69CC">
        <w:rPr>
          <w:lang w:val="fr-FR"/>
        </w:rPr>
        <w:tab/>
      </w:r>
      <w:r w:rsidRPr="00FD69CC">
        <w:rPr>
          <w:i/>
          <w:szCs w:val="22"/>
          <w:lang w:val="fr-FR"/>
        </w:rPr>
        <w:t xml:space="preserve">Recommande </w:t>
      </w:r>
      <w:r w:rsidRPr="00FD69CC">
        <w:rPr>
          <w:lang w:val="fr-FR"/>
        </w:rPr>
        <w:t>qu’à sa seizième réunion, la Conférence des Parties adopte une décision s’alignant sur ce qui suit :</w:t>
      </w:r>
    </w:p>
    <w:p w14:paraId="07CF646F" w14:textId="77777777" w:rsidR="00FD69CC" w:rsidRPr="00FD69CC" w:rsidRDefault="00FD69CC" w:rsidP="00FD69CC">
      <w:pPr>
        <w:pStyle w:val="Para1"/>
        <w:numPr>
          <w:ilvl w:val="0"/>
          <w:numId w:val="0"/>
        </w:numPr>
        <w:ind w:firstLine="1701"/>
        <w:rPr>
          <w:i/>
          <w:snapToGrid w:val="0"/>
          <w:kern w:val="22"/>
          <w:szCs w:val="22"/>
          <w:lang w:val="fr-FR"/>
        </w:rPr>
      </w:pPr>
      <w:r w:rsidRPr="002F7985">
        <w:rPr>
          <w:iCs/>
          <w:snapToGrid w:val="0"/>
          <w:lang w:val="fr-FR"/>
        </w:rPr>
        <w:t>[</w:t>
      </w:r>
      <w:r w:rsidRPr="00FD69CC">
        <w:rPr>
          <w:i/>
          <w:snapToGrid w:val="0"/>
          <w:lang w:val="fr-FR"/>
        </w:rPr>
        <w:t>La Conférence des Parties,</w:t>
      </w:r>
    </w:p>
    <w:p w14:paraId="3A4CB5F0" w14:textId="5503C14E" w:rsidR="00FD69CC" w:rsidRPr="00FD69CC" w:rsidRDefault="00FD69CC" w:rsidP="00FD69CC">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kern w:val="22"/>
          <w:lang w:val="fr-FR"/>
        </w:rPr>
      </w:pPr>
      <w:r w:rsidRPr="00FD69CC">
        <w:rPr>
          <w:i/>
          <w:iCs/>
          <w:lang w:val="fr-FR"/>
        </w:rPr>
        <w:t>Rappelant</w:t>
      </w:r>
      <w:r w:rsidRPr="00FD69CC">
        <w:rPr>
          <w:lang w:val="fr-FR"/>
        </w:rPr>
        <w:t xml:space="preserve"> les décisions </w:t>
      </w:r>
      <w:hyperlink r:id="rId26" w:history="1">
        <w:r w:rsidRPr="00FD69CC">
          <w:rPr>
            <w:rStyle w:val="Hyperlink"/>
            <w:sz w:val="22"/>
            <w:szCs w:val="22"/>
            <w:lang w:val="fr-FR"/>
          </w:rPr>
          <w:t>VII/15</w:t>
        </w:r>
      </w:hyperlink>
      <w:r w:rsidRPr="00FD69CC">
        <w:rPr>
          <w:rStyle w:val="Hyperlink"/>
          <w:color w:val="auto"/>
          <w:sz w:val="22"/>
          <w:szCs w:val="22"/>
          <w:u w:val="none"/>
          <w:lang w:val="fr-FR"/>
        </w:rPr>
        <w:t xml:space="preserve"> du </w:t>
      </w:r>
      <w:r w:rsidR="00C96358">
        <w:rPr>
          <w:lang w:val="fr-FR"/>
        </w:rPr>
        <w:t>20 février</w:t>
      </w:r>
      <w:r w:rsidRPr="00FD69CC">
        <w:rPr>
          <w:lang w:val="fr-FR"/>
        </w:rPr>
        <w:t xml:space="preserve"> 2004, </w:t>
      </w:r>
      <w:hyperlink r:id="rId27" w:history="1">
        <w:r w:rsidRPr="00FD69CC">
          <w:rPr>
            <w:rStyle w:val="Hyperlink"/>
            <w:sz w:val="22"/>
            <w:szCs w:val="22"/>
            <w:lang w:val="fr-FR"/>
          </w:rPr>
          <w:t>IX/16</w:t>
        </w:r>
      </w:hyperlink>
      <w:r w:rsidRPr="00FD69CC">
        <w:rPr>
          <w:rStyle w:val="Hyperlink"/>
          <w:color w:val="auto"/>
          <w:sz w:val="22"/>
          <w:szCs w:val="22"/>
          <w:u w:val="none"/>
          <w:lang w:val="fr-FR"/>
        </w:rPr>
        <w:t xml:space="preserve"> </w:t>
      </w:r>
      <w:r w:rsidR="00C96358">
        <w:rPr>
          <w:rStyle w:val="Hyperlink"/>
          <w:color w:val="auto"/>
          <w:sz w:val="22"/>
          <w:szCs w:val="22"/>
          <w:u w:val="none"/>
          <w:lang w:val="fr-FR"/>
        </w:rPr>
        <w:t xml:space="preserve">A à D </w:t>
      </w:r>
      <w:r w:rsidRPr="00FD69CC">
        <w:rPr>
          <w:rStyle w:val="Hyperlink"/>
          <w:color w:val="auto"/>
          <w:sz w:val="22"/>
          <w:szCs w:val="22"/>
          <w:u w:val="none"/>
          <w:lang w:val="fr-FR"/>
        </w:rPr>
        <w:t xml:space="preserve">du </w:t>
      </w:r>
      <w:r w:rsidR="00C96358">
        <w:rPr>
          <w:lang w:val="fr-FR"/>
        </w:rPr>
        <w:t>30 mai</w:t>
      </w:r>
      <w:r w:rsidRPr="00FD69CC">
        <w:rPr>
          <w:lang w:val="fr-FR"/>
        </w:rPr>
        <w:t xml:space="preserve"> 2008, </w:t>
      </w:r>
      <w:hyperlink r:id="rId28" w:history="1">
        <w:r w:rsidRPr="00FD69CC">
          <w:rPr>
            <w:rStyle w:val="Hyperlink"/>
            <w:sz w:val="22"/>
            <w:szCs w:val="22"/>
            <w:lang w:val="fr-FR"/>
          </w:rPr>
          <w:t>X/33</w:t>
        </w:r>
      </w:hyperlink>
      <w:r w:rsidRPr="00FD69CC">
        <w:rPr>
          <w:rStyle w:val="Hyperlink"/>
          <w:color w:val="auto"/>
          <w:sz w:val="22"/>
          <w:szCs w:val="22"/>
          <w:u w:val="none"/>
          <w:lang w:val="fr-FR"/>
        </w:rPr>
        <w:t xml:space="preserve"> du</w:t>
      </w:r>
      <w:r w:rsidRPr="00FD69CC">
        <w:rPr>
          <w:lang w:val="fr-FR"/>
        </w:rPr>
        <w:t xml:space="preserve"> 29 octobre 2010, </w:t>
      </w:r>
      <w:hyperlink r:id="rId29" w:history="1">
        <w:r w:rsidRPr="00FD69CC">
          <w:rPr>
            <w:rStyle w:val="Hyperlink"/>
            <w:sz w:val="22"/>
            <w:szCs w:val="22"/>
            <w:lang w:val="fr-FR"/>
          </w:rPr>
          <w:t>XI/19</w:t>
        </w:r>
      </w:hyperlink>
      <w:r w:rsidRPr="00FD69CC">
        <w:rPr>
          <w:lang w:val="fr-FR"/>
        </w:rPr>
        <w:t xml:space="preserve">, </w:t>
      </w:r>
      <w:hyperlink r:id="rId30" w:history="1">
        <w:r w:rsidRPr="00FD69CC">
          <w:rPr>
            <w:rStyle w:val="Hyperlink"/>
            <w:sz w:val="22"/>
            <w:szCs w:val="22"/>
            <w:lang w:val="fr-FR"/>
          </w:rPr>
          <w:t>XI/20</w:t>
        </w:r>
      </w:hyperlink>
      <w:r w:rsidRPr="00FD69CC">
        <w:rPr>
          <w:lang w:val="fr-FR"/>
        </w:rPr>
        <w:t xml:space="preserve"> et </w:t>
      </w:r>
      <w:hyperlink r:id="rId31" w:history="1">
        <w:r w:rsidRPr="00FD69CC">
          <w:rPr>
            <w:rStyle w:val="Hyperlink"/>
            <w:sz w:val="22"/>
            <w:szCs w:val="22"/>
            <w:lang w:val="fr-FR"/>
          </w:rPr>
          <w:t>XI/21</w:t>
        </w:r>
      </w:hyperlink>
      <w:r w:rsidRPr="00FD69CC">
        <w:rPr>
          <w:lang w:val="fr-FR"/>
        </w:rPr>
        <w:t xml:space="preserve"> du </w:t>
      </w:r>
      <w:r w:rsidR="00C96358">
        <w:rPr>
          <w:lang w:val="fr-FR"/>
        </w:rPr>
        <w:t>19 octobre</w:t>
      </w:r>
      <w:r w:rsidRPr="00FD69CC">
        <w:rPr>
          <w:lang w:val="fr-FR"/>
        </w:rPr>
        <w:t xml:space="preserve"> 2012, </w:t>
      </w:r>
      <w:hyperlink r:id="rId32" w:history="1">
        <w:r w:rsidRPr="00FD69CC">
          <w:rPr>
            <w:rStyle w:val="Hyperlink"/>
            <w:sz w:val="22"/>
            <w:szCs w:val="22"/>
            <w:lang w:val="fr-FR"/>
          </w:rPr>
          <w:t>XII/20</w:t>
        </w:r>
      </w:hyperlink>
      <w:r w:rsidRPr="00FD69CC">
        <w:rPr>
          <w:lang w:val="fr-FR"/>
        </w:rPr>
        <w:t xml:space="preserve"> du 17 octobre 2014,</w:t>
      </w:r>
      <w:hyperlink r:id="rId33" w:history="1">
        <w:r w:rsidRPr="00FD69CC">
          <w:rPr>
            <w:rStyle w:val="Hyperlink"/>
            <w:sz w:val="22"/>
            <w:szCs w:val="22"/>
            <w:lang w:val="fr-FR"/>
          </w:rPr>
          <w:t xml:space="preserve"> XIII/4</w:t>
        </w:r>
      </w:hyperlink>
      <w:r w:rsidRPr="00FD69CC">
        <w:rPr>
          <w:rStyle w:val="Hyperlink"/>
          <w:color w:val="auto"/>
          <w:sz w:val="22"/>
          <w:szCs w:val="22"/>
          <w:u w:val="none"/>
          <w:lang w:val="fr-FR"/>
        </w:rPr>
        <w:t xml:space="preserve"> du </w:t>
      </w:r>
      <w:r w:rsidRPr="00FD69CC">
        <w:rPr>
          <w:lang w:val="fr-FR"/>
        </w:rPr>
        <w:t>1</w:t>
      </w:r>
      <w:r w:rsidR="00C96358">
        <w:rPr>
          <w:lang w:val="fr-FR"/>
        </w:rPr>
        <w:t>3</w:t>
      </w:r>
      <w:r w:rsidRPr="00FD69CC">
        <w:rPr>
          <w:lang w:val="fr-FR"/>
        </w:rPr>
        <w:t xml:space="preserve"> décembre 2016, </w:t>
      </w:r>
      <w:hyperlink r:id="rId34" w:history="1">
        <w:r w:rsidRPr="00FD69CC">
          <w:rPr>
            <w:rStyle w:val="Hyperlink"/>
            <w:sz w:val="22"/>
            <w:szCs w:val="22"/>
            <w:lang w:val="fr-FR"/>
          </w:rPr>
          <w:t>14/5</w:t>
        </w:r>
      </w:hyperlink>
      <w:r w:rsidRPr="00FD69CC">
        <w:rPr>
          <w:rStyle w:val="Hyperlink"/>
          <w:color w:val="auto"/>
          <w:sz w:val="22"/>
          <w:szCs w:val="22"/>
          <w:u w:val="none"/>
          <w:lang w:val="fr-FR"/>
        </w:rPr>
        <w:t xml:space="preserve"> du </w:t>
      </w:r>
      <w:r w:rsidR="00C96358">
        <w:rPr>
          <w:lang w:val="fr-FR"/>
        </w:rPr>
        <w:t>29</w:t>
      </w:r>
      <w:r w:rsidRPr="00FD69CC">
        <w:rPr>
          <w:lang w:val="fr-FR"/>
        </w:rPr>
        <w:t xml:space="preserve"> novembre 2018 et </w:t>
      </w:r>
      <w:hyperlink r:id="rId35" w:history="1">
        <w:r w:rsidRPr="00FD69CC">
          <w:rPr>
            <w:rStyle w:val="Hyperlink"/>
            <w:sz w:val="22"/>
            <w:lang w:val="fr-FR"/>
          </w:rPr>
          <w:t>15/24</w:t>
        </w:r>
      </w:hyperlink>
      <w:r w:rsidRPr="00FD69CC">
        <w:rPr>
          <w:lang w:val="fr-FR"/>
        </w:rPr>
        <w:t xml:space="preserve"> et </w:t>
      </w:r>
      <w:hyperlink r:id="rId36" w:history="1">
        <w:r w:rsidRPr="00FD69CC">
          <w:rPr>
            <w:rStyle w:val="Hyperlink"/>
            <w:sz w:val="22"/>
            <w:szCs w:val="22"/>
            <w:lang w:val="fr-FR"/>
          </w:rPr>
          <w:t>15/30</w:t>
        </w:r>
      </w:hyperlink>
      <w:r w:rsidRPr="00FD69CC">
        <w:rPr>
          <w:lang w:val="fr-FR"/>
        </w:rPr>
        <w:t xml:space="preserve"> du 19 décembre 2022 de la Conférence des Parties à la Convention sur la diversité biologique</w:t>
      </w:r>
      <w:r w:rsidR="00C96358" w:rsidRPr="00147CE1">
        <w:rPr>
          <w:rStyle w:val="FootnoteReference"/>
          <w:kern w:val="22"/>
          <w:lang w:val="en-GB"/>
        </w:rPr>
        <w:footnoteReference w:id="3"/>
      </w:r>
      <w:r w:rsidRPr="00FD69CC">
        <w:rPr>
          <w:lang w:val="fr-FR"/>
        </w:rPr>
        <w:t xml:space="preserve"> et, en particulier, la menace </w:t>
      </w:r>
      <w:r w:rsidRPr="00FD69CC">
        <w:rPr>
          <w:lang w:val="fr-FR"/>
        </w:rPr>
        <w:lastRenderedPageBreak/>
        <w:t>critique des changements climatiques envers la biodiversité et son rôle en matière d’adaptation à leurs effets, d’atténuation de ces changements et de réduction des risques de catastrophe, tout en insistant sur l’importance de tenir compte des changements climatiques au-delà des cibles 8 et 11 du Cadre mondial de la biodiversité de Kunming-Montréal</w:t>
      </w:r>
      <w:r w:rsidR="009861F2" w:rsidRPr="00147CE1">
        <w:rPr>
          <w:rStyle w:val="FootnoteReference"/>
          <w:kern w:val="22"/>
          <w:lang w:val="en-GB"/>
        </w:rPr>
        <w:footnoteReference w:id="4"/>
      </w:r>
      <w:r w:rsidR="00C96358">
        <w:rPr>
          <w:lang w:val="fr-FR"/>
        </w:rPr>
        <w:t xml:space="preserve"> </w:t>
      </w:r>
      <w:r w:rsidR="00C96358" w:rsidRPr="00FD69CC">
        <w:rPr>
          <w:lang w:val="fr-FR"/>
        </w:rPr>
        <w:t xml:space="preserve">lors de la mise en œuvre </w:t>
      </w:r>
      <w:r w:rsidR="00C96358">
        <w:rPr>
          <w:lang w:val="fr-FR"/>
        </w:rPr>
        <w:t>de celui-ci</w:t>
      </w:r>
      <w:r w:rsidRPr="00FD69CC">
        <w:rPr>
          <w:lang w:val="fr-FR"/>
        </w:rPr>
        <w:t> ;</w:t>
      </w:r>
    </w:p>
    <w:p w14:paraId="2BEC9A32" w14:textId="58661DF9" w:rsidR="00FD69CC" w:rsidRPr="00FD69CC" w:rsidRDefault="00FD69CC" w:rsidP="00FD69CC">
      <w:pPr>
        <w:pStyle w:val="Para10"/>
        <w:numPr>
          <w:ilvl w:val="0"/>
          <w:numId w:val="0"/>
        </w:numPr>
        <w:suppressLineNumbers/>
        <w:tabs>
          <w:tab w:val="clear" w:pos="1134"/>
        </w:tabs>
        <w:suppressAutoHyphens/>
        <w:kinsoku w:val="0"/>
        <w:overflowPunct w:val="0"/>
        <w:autoSpaceDE w:val="0"/>
        <w:autoSpaceDN w:val="0"/>
        <w:adjustRightInd w:val="0"/>
        <w:snapToGrid w:val="0"/>
        <w:ind w:left="567" w:firstLine="567"/>
        <w:rPr>
          <w:lang w:val="fr-FR"/>
        </w:rPr>
      </w:pPr>
      <w:r w:rsidRPr="00FD69CC">
        <w:rPr>
          <w:i/>
          <w:iCs/>
          <w:snapToGrid w:val="0"/>
          <w:lang w:val="fr-FR"/>
        </w:rPr>
        <w:t xml:space="preserve">Reconnaissant </w:t>
      </w:r>
      <w:r w:rsidRPr="00FD69CC">
        <w:rPr>
          <w:snapToGrid w:val="0"/>
          <w:lang w:val="fr-FR"/>
        </w:rPr>
        <w:t xml:space="preserve">que l’appauvrissement de la biodiversité, les changements climatiques, </w:t>
      </w:r>
      <w:r w:rsidRPr="00FD69CC">
        <w:rPr>
          <w:lang w:val="fr-FR"/>
        </w:rPr>
        <w:t xml:space="preserve">l’acidification des océans, </w:t>
      </w:r>
      <w:r w:rsidRPr="00FD69CC">
        <w:rPr>
          <w:snapToGrid w:val="0"/>
          <w:lang w:val="fr-FR"/>
        </w:rPr>
        <w:t>la désertification</w:t>
      </w:r>
      <w:r w:rsidRPr="00FD69CC">
        <w:rPr>
          <w:lang w:val="fr-FR"/>
        </w:rPr>
        <w:t>,</w:t>
      </w:r>
      <w:r w:rsidRPr="00FD69CC">
        <w:rPr>
          <w:snapToGrid w:val="0"/>
          <w:lang w:val="fr-FR"/>
        </w:rPr>
        <w:t xml:space="preserve"> la dégradation des terres</w:t>
      </w:r>
      <w:r w:rsidRPr="00FD69CC">
        <w:rPr>
          <w:lang w:val="fr-FR"/>
        </w:rPr>
        <w:t>, les espèces exotiques envahissantes et la pollution, entre autres,</w:t>
      </w:r>
      <w:r w:rsidRPr="00FD69CC">
        <w:rPr>
          <w:snapToGrid w:val="0"/>
          <w:lang w:val="fr-FR"/>
        </w:rPr>
        <w:t xml:space="preserve"> sont des crises </w:t>
      </w:r>
      <w:r w:rsidRPr="00FD69CC">
        <w:rPr>
          <w:lang w:val="fr-FR"/>
        </w:rPr>
        <w:t>interdépendantes</w:t>
      </w:r>
      <w:r w:rsidRPr="00FD69CC">
        <w:rPr>
          <w:snapToGrid w:val="0"/>
          <w:lang w:val="fr-FR"/>
        </w:rPr>
        <w:t xml:space="preserve"> qui </w:t>
      </w:r>
      <w:r w:rsidRPr="00FD69CC">
        <w:rPr>
          <w:lang w:val="fr-FR"/>
        </w:rPr>
        <w:t xml:space="preserve">doivent être </w:t>
      </w:r>
      <w:r w:rsidRPr="00FD69CC">
        <w:rPr>
          <w:snapToGrid w:val="0"/>
          <w:lang w:val="fr-FR"/>
        </w:rPr>
        <w:t xml:space="preserve">gérées de </w:t>
      </w:r>
      <w:r w:rsidRPr="00FD69CC">
        <w:rPr>
          <w:lang w:val="fr-FR"/>
        </w:rPr>
        <w:t xml:space="preserve">manière cohérente et équilibrée </w:t>
      </w:r>
      <w:r w:rsidRPr="00FD69CC">
        <w:rPr>
          <w:snapToGrid w:val="0"/>
          <w:lang w:val="fr-FR"/>
        </w:rPr>
        <w:t>pour atteindre les objectifs de la</w:t>
      </w:r>
      <w:r w:rsidRPr="00FD69CC">
        <w:rPr>
          <w:lang w:val="fr-FR"/>
        </w:rPr>
        <w:t xml:space="preserve"> Convention</w:t>
      </w:r>
      <w:r w:rsidR="00C40DAD">
        <w:rPr>
          <w:lang w:val="fr-FR"/>
        </w:rPr>
        <w:t xml:space="preserve"> et</w:t>
      </w:r>
      <w:r w:rsidRPr="00FD69CC">
        <w:rPr>
          <w:lang w:val="fr-FR"/>
        </w:rPr>
        <w:t xml:space="preserve"> du Cadre mondial de la biodiversité de Kunming-Montréal</w:t>
      </w:r>
      <w:r w:rsidRPr="00FD69CC">
        <w:rPr>
          <w:snapToGrid w:val="0"/>
          <w:lang w:val="fr-FR"/>
        </w:rPr>
        <w:t xml:space="preserve"> </w:t>
      </w:r>
      <w:r w:rsidR="00C40DAD">
        <w:rPr>
          <w:snapToGrid w:val="0"/>
          <w:lang w:val="fr-FR"/>
        </w:rPr>
        <w:t>ainsi que</w:t>
      </w:r>
      <w:r w:rsidRPr="00FD69CC">
        <w:rPr>
          <w:snapToGrid w:val="0"/>
          <w:lang w:val="fr-FR"/>
        </w:rPr>
        <w:t xml:space="preserve"> de la </w:t>
      </w:r>
      <w:r w:rsidRPr="00FD69CC">
        <w:rPr>
          <w:lang w:val="fr-FR"/>
        </w:rPr>
        <w:t>Convention‑cadre des Nations Unies sur les changements climatiques</w:t>
      </w:r>
      <w:r w:rsidR="00C40DAD" w:rsidRPr="00147CE1">
        <w:rPr>
          <w:rStyle w:val="FootnoteReference"/>
          <w:lang w:val="en-GB"/>
        </w:rPr>
        <w:footnoteReference w:id="5"/>
      </w:r>
      <w:r w:rsidRPr="00FD69CC">
        <w:rPr>
          <w:lang w:val="fr-FR"/>
        </w:rPr>
        <w:t xml:space="preserve"> et </w:t>
      </w:r>
      <w:r w:rsidR="00C40DAD">
        <w:rPr>
          <w:lang w:val="fr-FR"/>
        </w:rPr>
        <w:t>de l’</w:t>
      </w:r>
      <w:r w:rsidRPr="00FD69CC">
        <w:rPr>
          <w:snapToGrid w:val="0"/>
          <w:lang w:val="fr-FR"/>
        </w:rPr>
        <w:t>Accord de Paris</w:t>
      </w:r>
      <w:r w:rsidRPr="00FD69CC">
        <w:rPr>
          <w:rStyle w:val="FootnoteReference"/>
          <w:snapToGrid w:val="0"/>
          <w:kern w:val="22"/>
          <w:lang w:val="fr-FR"/>
        </w:rPr>
        <w:footnoteReference w:id="6"/>
      </w:r>
      <w:r w:rsidRPr="00FD69CC">
        <w:rPr>
          <w:snapToGrid w:val="0"/>
          <w:lang w:val="fr-FR"/>
        </w:rPr>
        <w:t xml:space="preserve">, la </w:t>
      </w:r>
      <w:r w:rsidRPr="00FD69CC">
        <w:rPr>
          <w:lang w:val="fr-FR"/>
        </w:rPr>
        <w:t xml:space="preserve">cible </w:t>
      </w:r>
      <w:r w:rsidR="00C40DAD">
        <w:rPr>
          <w:lang w:val="fr-FR"/>
        </w:rPr>
        <w:t>15.3 sur</w:t>
      </w:r>
      <w:r w:rsidRPr="00FD69CC">
        <w:rPr>
          <w:lang w:val="fr-FR"/>
        </w:rPr>
        <w:t xml:space="preserve"> la dégradation des terres </w:t>
      </w:r>
      <w:r w:rsidR="00C40DAD">
        <w:rPr>
          <w:lang w:val="fr-FR"/>
        </w:rPr>
        <w:t>du</w:t>
      </w:r>
      <w:r w:rsidRPr="00FD69CC">
        <w:rPr>
          <w:lang w:val="fr-FR"/>
        </w:rPr>
        <w:t xml:space="preserve"> Programme de développement durable à l’horizon 2030</w:t>
      </w:r>
      <w:r w:rsidR="00C40DAD" w:rsidRPr="00147CE1">
        <w:rPr>
          <w:rStyle w:val="FootnoteReference"/>
          <w:lang w:val="en-GB"/>
        </w:rPr>
        <w:footnoteReference w:id="7"/>
      </w:r>
      <w:r w:rsidRPr="00FD69CC">
        <w:rPr>
          <w:lang w:val="fr-FR"/>
        </w:rPr>
        <w:t xml:space="preserve">, ainsi que les </w:t>
      </w:r>
      <w:r w:rsidRPr="00FD69CC">
        <w:rPr>
          <w:snapToGrid w:val="0"/>
          <w:lang w:val="fr-FR"/>
        </w:rPr>
        <w:t>cibles de la Convention des Nations Unies sur la lutte contre la désertification dans les pays gravement touchés par la sécheresse et/ou la désertification, en particulier en Afrique</w:t>
      </w:r>
      <w:r w:rsidRPr="00FD69CC">
        <w:rPr>
          <w:rStyle w:val="FootnoteReference"/>
          <w:snapToGrid w:val="0"/>
          <w:kern w:val="22"/>
          <w:lang w:val="fr-FR"/>
        </w:rPr>
        <w:footnoteReference w:id="8"/>
      </w:r>
      <w:r w:rsidRPr="00FD69CC">
        <w:rPr>
          <w:lang w:val="fr-FR"/>
        </w:rPr>
        <w:t xml:space="preserve"> conformément aux mandats des accords multilatéraux relatifs à l’environnement et aux principes de la Déclaration de Rio</w:t>
      </w:r>
      <w:r w:rsidR="00C40DAD" w:rsidRPr="00C40DAD">
        <w:t xml:space="preserve"> </w:t>
      </w:r>
      <w:r w:rsidR="00C40DAD" w:rsidRPr="00C40DAD">
        <w:rPr>
          <w:lang w:val="fr-FR"/>
        </w:rPr>
        <w:t>sur l'environnement et le développement</w:t>
      </w:r>
      <w:r w:rsidR="00C40DAD" w:rsidRPr="00147CE1">
        <w:rPr>
          <w:rStyle w:val="FootnoteReference"/>
          <w:lang w:val="en-GB"/>
        </w:rPr>
        <w:footnoteReference w:id="9"/>
      </w:r>
      <w:r w:rsidRPr="00FD69CC">
        <w:rPr>
          <w:lang w:val="fr-FR"/>
        </w:rPr>
        <w:t>,</w:t>
      </w:r>
    </w:p>
    <w:p w14:paraId="2EE43A1F" w14:textId="6C3D3373" w:rsidR="00FD69CC" w:rsidRPr="00FD69CC" w:rsidRDefault="00FD69CC" w:rsidP="00FD69CC">
      <w:pPr>
        <w:pStyle w:val="Para10"/>
        <w:numPr>
          <w:ilvl w:val="0"/>
          <w:numId w:val="0"/>
        </w:numPr>
        <w:suppressLineNumbers/>
        <w:tabs>
          <w:tab w:val="clear" w:pos="1134"/>
          <w:tab w:val="left" w:pos="993"/>
        </w:tabs>
        <w:suppressAutoHyphens/>
        <w:kinsoku w:val="0"/>
        <w:overflowPunct w:val="0"/>
        <w:autoSpaceDE w:val="0"/>
        <w:autoSpaceDN w:val="0"/>
        <w:adjustRightInd w:val="0"/>
        <w:snapToGrid w:val="0"/>
        <w:ind w:left="567" w:hanging="283"/>
        <w:rPr>
          <w:i/>
          <w:snapToGrid w:val="0"/>
          <w:kern w:val="22"/>
          <w:lang w:val="fr-FR"/>
        </w:rPr>
      </w:pPr>
      <w:r w:rsidRPr="00FD69CC">
        <w:rPr>
          <w:i/>
          <w:snapToGrid w:val="0"/>
          <w:lang w:val="fr-FR"/>
        </w:rPr>
        <w:tab/>
      </w:r>
      <w:r w:rsidRPr="00FD69CC">
        <w:rPr>
          <w:snapToGrid w:val="0"/>
          <w:lang w:val="fr-FR"/>
        </w:rPr>
        <w:tab/>
      </w:r>
      <w:r w:rsidRPr="00FD69CC">
        <w:rPr>
          <w:i/>
          <w:iCs/>
          <w:snapToGrid w:val="0"/>
          <w:lang w:val="fr-FR"/>
        </w:rPr>
        <w:t>Soulignant</w:t>
      </w:r>
      <w:r w:rsidRPr="00FD69CC">
        <w:rPr>
          <w:iCs/>
          <w:snapToGrid w:val="0"/>
          <w:lang w:val="fr-FR"/>
        </w:rPr>
        <w:t xml:space="preserve"> que, selon </w:t>
      </w:r>
      <w:r w:rsidRPr="00FD69CC">
        <w:rPr>
          <w:lang w:val="fr-FR"/>
        </w:rPr>
        <w:t xml:space="preserve">l’Évaluation mondiale de la biodiversité et des services écosystémiques </w:t>
      </w:r>
      <w:r w:rsidRPr="00FD69CC">
        <w:rPr>
          <w:iCs/>
          <w:snapToGrid w:val="0"/>
          <w:lang w:val="fr-FR"/>
        </w:rPr>
        <w:t>de la Plateforme intergouvernementale scientifique et politique sur la biodiversité et les services écosystémiques</w:t>
      </w:r>
      <w:r w:rsidR="00C40DAD" w:rsidRPr="00147CE1">
        <w:rPr>
          <w:rStyle w:val="FootnoteReference"/>
          <w:iCs/>
          <w:snapToGrid w:val="0"/>
          <w:kern w:val="22"/>
          <w:lang w:val="en-GB"/>
        </w:rPr>
        <w:footnoteReference w:id="10"/>
      </w:r>
      <w:r w:rsidRPr="00FD69CC">
        <w:rPr>
          <w:iCs/>
          <w:snapToGrid w:val="0"/>
          <w:lang w:val="fr-FR"/>
        </w:rPr>
        <w:t>, les subventions accordées en faveur des combustibles fossiles, évaluées à 345 milliards de dollars</w:t>
      </w:r>
      <w:r w:rsidR="00C40DAD">
        <w:rPr>
          <w:iCs/>
          <w:snapToGrid w:val="0"/>
          <w:lang w:val="fr-FR"/>
        </w:rPr>
        <w:t xml:space="preserve"> des États-Unis annuellement</w:t>
      </w:r>
      <w:r w:rsidRPr="00FD69CC">
        <w:rPr>
          <w:iCs/>
          <w:snapToGrid w:val="0"/>
          <w:lang w:val="fr-FR"/>
        </w:rPr>
        <w:t xml:space="preserve">, entraînent des coûts de 5 billions de </w:t>
      </w:r>
      <w:r w:rsidR="00C40DAD" w:rsidRPr="00FD69CC">
        <w:rPr>
          <w:iCs/>
          <w:snapToGrid w:val="0"/>
          <w:lang w:val="fr-FR"/>
        </w:rPr>
        <w:t>dollars</w:t>
      </w:r>
      <w:r w:rsidR="00C40DAD">
        <w:rPr>
          <w:iCs/>
          <w:snapToGrid w:val="0"/>
          <w:lang w:val="fr-FR"/>
        </w:rPr>
        <w:t xml:space="preserve"> des États-Unis </w:t>
      </w:r>
      <w:r w:rsidRPr="00FD69CC">
        <w:rPr>
          <w:iCs/>
          <w:snapToGrid w:val="0"/>
          <w:lang w:val="fr-FR"/>
        </w:rPr>
        <w:t>à l’échelle mondiale lorsqu’on inclut la réduction des contributions de la nature,</w:t>
      </w:r>
    </w:p>
    <w:p w14:paraId="04967575" w14:textId="395C2D0D"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rPr>
          <w:snapToGrid w:val="0"/>
          <w:kern w:val="22"/>
          <w:lang w:val="fr-FR"/>
        </w:rPr>
      </w:pPr>
      <w:r w:rsidRPr="00FD69CC">
        <w:rPr>
          <w:i/>
          <w:iCs/>
          <w:lang w:val="fr-FR"/>
        </w:rPr>
        <w:tab/>
        <w:t xml:space="preserve">Rappelant </w:t>
      </w:r>
      <w:r w:rsidRPr="00FD69CC">
        <w:rPr>
          <w:lang w:val="fr-FR"/>
        </w:rPr>
        <w:t>la résolution 76/300 de l’Assemblée générale sur le droit de l’homme à un environnement propre, sain et durable, ainsi que le rapport du Rapporteur spécial sur la question des obligations relatives aux droits de l’homme se rapportant aux moyens de bénéficier d’un environnement sûr, propre, sain et durable</w:t>
      </w:r>
      <w:r w:rsidR="00C40DAD">
        <w:rPr>
          <w:rStyle w:val="FootnoteReference"/>
          <w:lang w:val="en-GB"/>
        </w:rPr>
        <w:footnoteReference w:id="11"/>
      </w:r>
      <w:r w:rsidRPr="00FD69CC">
        <w:rPr>
          <w:lang w:val="fr-FR"/>
        </w:rPr>
        <w:t>,</w:t>
      </w:r>
    </w:p>
    <w:p w14:paraId="1B24B3D7" w14:textId="77777777"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hanging="141"/>
        <w:rPr>
          <w:rFonts w:asciiTheme="majorBidi" w:hAnsiTheme="majorBidi" w:cstheme="majorBidi"/>
          <w:snapToGrid w:val="0"/>
          <w:kern w:val="22"/>
          <w:szCs w:val="22"/>
          <w:lang w:val="fr-FR"/>
        </w:rPr>
      </w:pPr>
      <w:r w:rsidRPr="00FD69CC">
        <w:rPr>
          <w:i/>
          <w:iCs/>
          <w:snapToGrid w:val="0"/>
          <w:lang w:val="fr-FR"/>
        </w:rPr>
        <w:tab/>
      </w:r>
      <w:r w:rsidRPr="00FD69CC">
        <w:rPr>
          <w:i/>
          <w:iCs/>
          <w:snapToGrid w:val="0"/>
          <w:lang w:val="fr-FR"/>
        </w:rPr>
        <w:tab/>
      </w:r>
      <w:r w:rsidRPr="00FD69CC">
        <w:rPr>
          <w:rFonts w:asciiTheme="majorBidi" w:hAnsiTheme="majorBidi"/>
          <w:i/>
          <w:iCs/>
          <w:snapToGrid w:val="0"/>
          <w:szCs w:val="22"/>
          <w:lang w:val="fr-FR"/>
        </w:rPr>
        <w:t>Soulignant</w:t>
      </w:r>
      <w:r w:rsidRPr="00FD69CC">
        <w:rPr>
          <w:snapToGrid w:val="0"/>
          <w:lang w:val="fr-FR"/>
        </w:rPr>
        <w:t xml:space="preserve"> que le maintien de l’augmentation de la température mondiale moyenne en deçà de 1,5 °C au-dessus des niveaux préindustriels constitue une condition préalable pour éviter de nouvelles pertes de biodiversité et la dégradation des terres et des mers et pour réaliser la Vision 2050 de vivre en harmonie avec la nature, et qu’elle nécessitera des changements transformateurs,</w:t>
      </w:r>
    </w:p>
    <w:p w14:paraId="6A140AA2" w14:textId="7054E9A8"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firstLine="567"/>
        <w:rPr>
          <w:rFonts w:asciiTheme="majorBidi" w:eastAsiaTheme="minorHAnsi" w:hAnsiTheme="majorBidi" w:cstheme="majorBidi"/>
          <w:szCs w:val="22"/>
          <w:lang w:val="fr-FR"/>
          <w14:ligatures w14:val="standardContextual"/>
        </w:rPr>
      </w:pPr>
      <w:r w:rsidRPr="00FD69CC">
        <w:rPr>
          <w:rFonts w:asciiTheme="majorBidi" w:hAnsiTheme="majorBidi"/>
          <w:i/>
          <w:iCs/>
          <w:snapToGrid w:val="0"/>
          <w:lang w:val="fr-FR"/>
        </w:rPr>
        <w:t xml:space="preserve">Rappelant </w:t>
      </w:r>
      <w:r w:rsidRPr="00FD69CC">
        <w:rPr>
          <w:rFonts w:asciiTheme="majorBidi" w:hAnsiTheme="majorBidi"/>
          <w:snapToGrid w:val="0"/>
          <w:lang w:val="fr-FR"/>
        </w:rPr>
        <w:t>la décision 15/13</w:t>
      </w:r>
      <w:r w:rsidR="00C40DAD">
        <w:rPr>
          <w:rFonts w:asciiTheme="majorBidi" w:hAnsiTheme="majorBidi"/>
          <w:snapToGrid w:val="0"/>
          <w:lang w:val="fr-FR"/>
        </w:rPr>
        <w:t xml:space="preserve"> du 19 décembre 2022</w:t>
      </w:r>
      <w:r w:rsidRPr="00FD69CC">
        <w:rPr>
          <w:rFonts w:asciiTheme="majorBidi" w:hAnsiTheme="majorBidi"/>
          <w:snapToGrid w:val="0"/>
          <w:lang w:val="fr-FR"/>
        </w:rPr>
        <w:t xml:space="preserve">, </w:t>
      </w:r>
      <w:r w:rsidR="00C40DAD">
        <w:rPr>
          <w:rFonts w:asciiTheme="majorBidi" w:hAnsiTheme="majorBidi"/>
          <w:snapToGrid w:val="0"/>
          <w:lang w:val="fr-FR"/>
        </w:rPr>
        <w:t>dans laquelle la Conférence des Parties</w:t>
      </w:r>
      <w:r w:rsidRPr="00FD69CC">
        <w:rPr>
          <w:rFonts w:asciiTheme="majorBidi" w:hAnsiTheme="majorBidi"/>
          <w:snapToGrid w:val="0"/>
          <w:lang w:val="fr-FR"/>
        </w:rPr>
        <w:t xml:space="preserve"> </w:t>
      </w:r>
      <w:r w:rsidR="00C40DAD">
        <w:rPr>
          <w:rFonts w:asciiTheme="majorBidi" w:hAnsiTheme="majorBidi"/>
          <w:snapToGrid w:val="0"/>
          <w:lang w:val="fr-FR"/>
        </w:rPr>
        <w:t xml:space="preserve">prend </w:t>
      </w:r>
      <w:r w:rsidRPr="00FD69CC">
        <w:rPr>
          <w:rFonts w:asciiTheme="majorBidi" w:hAnsiTheme="majorBidi"/>
          <w:snapToGrid w:val="0"/>
          <w:lang w:val="fr-FR"/>
        </w:rPr>
        <w:t>note</w:t>
      </w:r>
      <w:r w:rsidR="00C40DAD">
        <w:rPr>
          <w:rFonts w:asciiTheme="majorBidi" w:hAnsiTheme="majorBidi"/>
          <w:snapToGrid w:val="0"/>
          <w:lang w:val="fr-FR"/>
        </w:rPr>
        <w:t xml:space="preserve"> de</w:t>
      </w:r>
      <w:r w:rsidRPr="00FD69CC">
        <w:rPr>
          <w:rFonts w:asciiTheme="majorBidi" w:hAnsiTheme="majorBidi"/>
          <w:snapToGrid w:val="0"/>
          <w:lang w:val="fr-FR"/>
        </w:rPr>
        <w:t xml:space="preserve"> la </w:t>
      </w:r>
      <w:r w:rsidRPr="00FD69CC">
        <w:rPr>
          <w:rFonts w:asciiTheme="majorBidi" w:hAnsiTheme="majorBidi"/>
          <w:lang w:val="fr-FR"/>
        </w:rPr>
        <w:t>résolution 5/5</w:t>
      </w:r>
      <w:r w:rsidR="00C40DAD">
        <w:rPr>
          <w:rFonts w:asciiTheme="majorBidi" w:hAnsiTheme="majorBidi"/>
          <w:lang w:val="fr-FR"/>
        </w:rPr>
        <w:t xml:space="preserve"> </w:t>
      </w:r>
      <w:r w:rsidRPr="00FD69CC">
        <w:rPr>
          <w:rFonts w:asciiTheme="majorBidi" w:hAnsiTheme="majorBidi"/>
          <w:lang w:val="fr-FR"/>
        </w:rPr>
        <w:t xml:space="preserve">de l’Assemblée des Nations Unies pour l’environnement </w:t>
      </w:r>
      <w:r w:rsidR="00C40DAD" w:rsidRPr="00C40DAD">
        <w:rPr>
          <w:rFonts w:asciiTheme="majorBidi" w:hAnsiTheme="majorBidi"/>
          <w:lang w:val="fr-FR"/>
        </w:rPr>
        <w:t>du 2 mars 2022 sur les solutions fondées sur la nature à l'appui du développement durable</w:t>
      </w:r>
      <w:r w:rsidR="00C40DAD" w:rsidRPr="009861F2">
        <w:rPr>
          <w:rStyle w:val="FootnoteReference"/>
          <w:rFonts w:asciiTheme="majorBidi" w:eastAsiaTheme="minorHAnsi" w:hAnsiTheme="majorBidi" w:cstheme="majorBidi"/>
          <w:szCs w:val="22"/>
          <w:lang w:val="en-GB"/>
          <w14:ligatures w14:val="standardContextual"/>
        </w:rPr>
        <w:footnoteReference w:id="12"/>
      </w:r>
      <w:r w:rsidR="00C40DAD">
        <w:rPr>
          <w:rFonts w:asciiTheme="majorBidi" w:hAnsiTheme="majorBidi"/>
          <w:lang w:val="fr-FR"/>
        </w:rPr>
        <w:t xml:space="preserve">, dans laquelle l’Assemblée </w:t>
      </w:r>
      <w:r w:rsidRPr="00FD69CC">
        <w:rPr>
          <w:rFonts w:asciiTheme="majorBidi" w:hAnsiTheme="majorBidi"/>
          <w:snapToGrid w:val="0"/>
          <w:lang w:val="fr-FR"/>
        </w:rPr>
        <w:t>reconnai</w:t>
      </w:r>
      <w:r w:rsidR="00C40DAD">
        <w:rPr>
          <w:rFonts w:asciiTheme="majorBidi" w:hAnsiTheme="majorBidi"/>
          <w:snapToGrid w:val="0"/>
          <w:lang w:val="fr-FR"/>
        </w:rPr>
        <w:t xml:space="preserve">t </w:t>
      </w:r>
      <w:r w:rsidRPr="00FD69CC">
        <w:rPr>
          <w:rFonts w:asciiTheme="majorBidi" w:hAnsiTheme="majorBidi"/>
          <w:snapToGrid w:val="0"/>
          <w:lang w:val="fr-FR"/>
        </w:rPr>
        <w:t>que</w:t>
      </w:r>
      <w:r w:rsidRPr="00FD69CC">
        <w:rPr>
          <w:rFonts w:asciiTheme="majorBidi" w:hAnsiTheme="majorBidi"/>
          <w:lang w:val="fr-FR"/>
        </w:rPr>
        <w:t xml:space="preserve"> les solutions basées sur la nature </w:t>
      </w:r>
      <w:r w:rsidR="00C40DAD">
        <w:rPr>
          <w:rFonts w:asciiTheme="majorBidi" w:hAnsiTheme="majorBidi"/>
          <w:lang w:val="fr-FR"/>
        </w:rPr>
        <w:t>pourraient</w:t>
      </w:r>
      <w:r w:rsidRPr="00FD69CC">
        <w:rPr>
          <w:rFonts w:asciiTheme="majorBidi" w:hAnsiTheme="majorBidi"/>
          <w:lang w:val="fr-FR"/>
        </w:rPr>
        <w:t xml:space="preserve"> contribuer de façon considérable aux </w:t>
      </w:r>
      <w:r w:rsidRPr="00FD69CC">
        <w:rPr>
          <w:rFonts w:asciiTheme="majorBidi" w:hAnsiTheme="majorBidi"/>
          <w:snapToGrid w:val="0"/>
          <w:lang w:val="fr-FR"/>
        </w:rPr>
        <w:t>actions relatives au climat</w:t>
      </w:r>
      <w:r w:rsidRPr="00FD69CC">
        <w:rPr>
          <w:rFonts w:asciiTheme="majorBidi" w:hAnsiTheme="majorBidi"/>
          <w:lang w:val="fr-FR"/>
        </w:rPr>
        <w:t xml:space="preserve">, tout en signalant la nécessité d’analyser leurs effets, y compris à long terme, et en reconnaissant qu’elles ne remplacent pas la nécessité de mettre en œuvre des réductions rapides, profondes et soutenues des émissions gaz à effet de serre, </w:t>
      </w:r>
      <w:r w:rsidRPr="00FD69CC">
        <w:rPr>
          <w:rFonts w:asciiTheme="majorBidi" w:hAnsiTheme="majorBidi"/>
          <w:snapToGrid w:val="0"/>
          <w:lang w:val="fr-FR"/>
        </w:rPr>
        <w:t xml:space="preserve">mais </w:t>
      </w:r>
      <w:r w:rsidR="00C40DAD">
        <w:rPr>
          <w:rFonts w:asciiTheme="majorBidi" w:hAnsiTheme="majorBidi"/>
          <w:lang w:val="fr-FR"/>
        </w:rPr>
        <w:t>pourraient</w:t>
      </w:r>
      <w:r w:rsidRPr="00FD69CC">
        <w:rPr>
          <w:rFonts w:asciiTheme="majorBidi" w:hAnsiTheme="majorBidi"/>
          <w:lang w:val="fr-FR"/>
        </w:rPr>
        <w:t xml:space="preserve"> améliorer les mesures favorisant l’adaptation et la résilience pour </w:t>
      </w:r>
      <w:r w:rsidRPr="00FD69CC">
        <w:rPr>
          <w:rFonts w:asciiTheme="majorBidi" w:hAnsiTheme="majorBidi"/>
          <w:snapToGrid w:val="0"/>
          <w:lang w:val="fr-FR"/>
        </w:rPr>
        <w:t>atténuer les changements climatiques et leur impact</w:t>
      </w:r>
      <w:r w:rsidRPr="00FD69CC">
        <w:rPr>
          <w:rFonts w:asciiTheme="majorBidi" w:hAnsiTheme="majorBidi"/>
          <w:lang w:val="fr-FR"/>
        </w:rPr>
        <w:t>,</w:t>
      </w:r>
    </w:p>
    <w:p w14:paraId="1DE8C64A" w14:textId="77777777" w:rsidR="00FD69CC" w:rsidRPr="00FD69CC" w:rsidRDefault="00FD69CC" w:rsidP="00FD69CC">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lang w:val="fr-FR"/>
        </w:rPr>
      </w:pPr>
      <w:r w:rsidRPr="00FD69CC">
        <w:rPr>
          <w:rFonts w:asciiTheme="majorBidi" w:hAnsiTheme="majorBidi"/>
          <w:i/>
          <w:iCs/>
          <w:snapToGrid w:val="0"/>
          <w:lang w:val="fr-FR"/>
        </w:rPr>
        <w:lastRenderedPageBreak/>
        <w:t xml:space="preserve">Insistant </w:t>
      </w:r>
      <w:r w:rsidRPr="00FD69CC">
        <w:rPr>
          <w:rFonts w:asciiTheme="majorBidi" w:hAnsiTheme="majorBidi"/>
          <w:snapToGrid w:val="0"/>
          <w:lang w:val="fr-FR"/>
        </w:rPr>
        <w:t>sur le fait que la biodiversité joue un rôle crucial dans la lutte contre les changements climatiques, et que la conservation et la restauration d’écosystèmes sont des options d’atténuation et d’adaptation réalisables, efficaces et peu coûteuses,</w:t>
      </w:r>
    </w:p>
    <w:p w14:paraId="060BCBC5" w14:textId="11D1A5DF"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firstLine="426"/>
        <w:rPr>
          <w:snapToGrid w:val="0"/>
          <w:kern w:val="22"/>
          <w:lang w:val="fr-FR"/>
        </w:rPr>
      </w:pPr>
      <w:r w:rsidRPr="00FD69CC">
        <w:rPr>
          <w:i/>
          <w:snapToGrid w:val="0"/>
          <w:lang w:val="fr-FR"/>
        </w:rPr>
        <w:tab/>
      </w:r>
      <w:r w:rsidRPr="00FD69CC">
        <w:rPr>
          <w:i/>
          <w:iCs/>
          <w:snapToGrid w:val="0"/>
          <w:lang w:val="fr-FR"/>
        </w:rPr>
        <w:t>Profondément préoccupée</w:t>
      </w:r>
      <w:r w:rsidRPr="00FD69CC">
        <w:rPr>
          <w:snapToGrid w:val="0"/>
          <w:lang w:val="fr-FR"/>
        </w:rPr>
        <w:t xml:space="preserve"> par l’augmentation rapide des effets des changements climatiques, qui aggravent la perte de biodiversité et nuisent à la prestation de fonctions et de services écosystémiques cruciaux, amplifient les menaces existantes envers les </w:t>
      </w:r>
      <w:r w:rsidR="00C40DAD">
        <w:rPr>
          <w:snapToGrid w:val="0"/>
          <w:lang w:val="fr-FR"/>
        </w:rPr>
        <w:t>espèces</w:t>
      </w:r>
      <w:r w:rsidRPr="00FD69CC">
        <w:rPr>
          <w:snapToGrid w:val="0"/>
          <w:lang w:val="fr-FR"/>
        </w:rPr>
        <w:t xml:space="preserve"> et peuvent pousser les populations vulnérables au-delà de leur point de bascule, ce qui accroît leur risque de disparition,</w:t>
      </w:r>
    </w:p>
    <w:p w14:paraId="0D94F19A" w14:textId="77777777"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firstLine="567"/>
        <w:rPr>
          <w:rFonts w:asciiTheme="majorBidi" w:eastAsiaTheme="minorHAnsi" w:hAnsiTheme="majorBidi" w:cstheme="majorBidi"/>
          <w:szCs w:val="22"/>
          <w:lang w:val="fr-FR"/>
          <w14:ligatures w14:val="standardContextual"/>
        </w:rPr>
      </w:pPr>
      <w:r w:rsidRPr="00FD69CC">
        <w:rPr>
          <w:rFonts w:asciiTheme="majorBidi" w:hAnsiTheme="majorBidi"/>
          <w:i/>
          <w:iCs/>
          <w:snapToGrid w:val="0"/>
          <w:szCs w:val="22"/>
          <w:lang w:val="fr-FR"/>
        </w:rPr>
        <w:t xml:space="preserve">Soulignant </w:t>
      </w:r>
      <w:r w:rsidRPr="00FD69CC">
        <w:rPr>
          <w:rFonts w:asciiTheme="majorBidi" w:hAnsiTheme="majorBidi"/>
          <w:szCs w:val="22"/>
          <w:lang w:val="fr-FR"/>
        </w:rPr>
        <w:t xml:space="preserve">que la préservation des couloirs écologiques et la promotion de </w:t>
      </w:r>
      <w:r w:rsidRPr="00FD69CC">
        <w:rPr>
          <w:rFonts w:asciiTheme="majorBidi" w:hAnsiTheme="majorBidi"/>
          <w:snapToGrid w:val="0"/>
          <w:szCs w:val="22"/>
          <w:lang w:val="fr-FR"/>
        </w:rPr>
        <w:t xml:space="preserve">la connectivité entre les paysages sont essentielles pour permettre aux espèces </w:t>
      </w:r>
      <w:r w:rsidRPr="00FD69CC">
        <w:rPr>
          <w:rFonts w:asciiTheme="majorBidi" w:hAnsiTheme="majorBidi"/>
          <w:szCs w:val="22"/>
          <w:lang w:val="fr-FR"/>
        </w:rPr>
        <w:t xml:space="preserve">de migrer et </w:t>
      </w:r>
      <w:r w:rsidRPr="00FD69CC">
        <w:rPr>
          <w:rFonts w:asciiTheme="majorBidi" w:hAnsiTheme="majorBidi"/>
          <w:snapToGrid w:val="0"/>
          <w:szCs w:val="22"/>
          <w:lang w:val="fr-FR"/>
        </w:rPr>
        <w:t xml:space="preserve">de s’adapter aux nouvelles conditions, ce qui est particulièrement urgent </w:t>
      </w:r>
      <w:r w:rsidRPr="00FD69CC">
        <w:rPr>
          <w:rFonts w:asciiTheme="majorBidi" w:hAnsiTheme="majorBidi"/>
          <w:szCs w:val="22"/>
          <w:lang w:val="fr-FR"/>
        </w:rPr>
        <w:t>dans le contexte des</w:t>
      </w:r>
      <w:r w:rsidRPr="00FD69CC">
        <w:rPr>
          <w:rFonts w:asciiTheme="majorBidi" w:hAnsiTheme="majorBidi"/>
          <w:snapToGrid w:val="0"/>
          <w:szCs w:val="22"/>
          <w:lang w:val="fr-FR"/>
        </w:rPr>
        <w:t xml:space="preserve"> changements climatiques et de leurs effets sur les habitats,</w:t>
      </w:r>
    </w:p>
    <w:p w14:paraId="26055ACB" w14:textId="77777777" w:rsidR="00FD69CC" w:rsidRPr="00FD69CC" w:rsidRDefault="00FD69CC" w:rsidP="00FD69CC">
      <w:pPr>
        <w:pStyle w:val="Para10"/>
        <w:numPr>
          <w:ilvl w:val="0"/>
          <w:numId w:val="0"/>
        </w:numPr>
        <w:suppressLineNumbers/>
        <w:suppressAutoHyphens/>
        <w:kinsoku w:val="0"/>
        <w:overflowPunct w:val="0"/>
        <w:autoSpaceDE w:val="0"/>
        <w:autoSpaceDN w:val="0"/>
        <w:adjustRightInd w:val="0"/>
        <w:snapToGrid w:val="0"/>
        <w:ind w:left="567" w:firstLine="567"/>
        <w:rPr>
          <w:rFonts w:asciiTheme="majorBidi" w:eastAsiaTheme="minorEastAsia" w:hAnsiTheme="majorBidi" w:cstheme="majorBidi"/>
          <w:snapToGrid w:val="0"/>
          <w:kern w:val="22"/>
          <w:lang w:val="fr-FR"/>
        </w:rPr>
      </w:pPr>
      <w:r w:rsidRPr="00FD69CC">
        <w:rPr>
          <w:rFonts w:asciiTheme="majorBidi" w:hAnsiTheme="majorBidi"/>
          <w:i/>
          <w:iCs/>
          <w:lang w:val="fr-FR"/>
        </w:rPr>
        <w:t>Profondément préoccupée</w:t>
      </w:r>
      <w:r w:rsidRPr="00FD69CC">
        <w:rPr>
          <w:rFonts w:asciiTheme="majorBidi" w:hAnsiTheme="majorBidi"/>
          <w:lang w:val="fr-FR"/>
        </w:rPr>
        <w:t xml:space="preserve"> par la hausse des émissions de dioxyde de carbone, qui entraîne une absorption accrue de ce gaz par les océans, augmentant ainsi leur température et conduisant à leur acidification et leur désoxygénation, ce qui se traduit par de graves conséquences sur la flore et la faune marines, en particulier les récifs de corail,</w:t>
      </w:r>
    </w:p>
    <w:p w14:paraId="3678D9EA" w14:textId="1AB85B16" w:rsidR="00FD69CC" w:rsidRPr="00FD69CC" w:rsidRDefault="00FD69CC" w:rsidP="00FD69CC">
      <w:pPr>
        <w:ind w:left="567" w:firstLine="567"/>
        <w:textAlignment w:val="baseline"/>
        <w:rPr>
          <w:rFonts w:asciiTheme="majorBidi" w:eastAsiaTheme="minorHAnsi" w:hAnsiTheme="majorBidi" w:cstheme="majorBidi"/>
          <w:snapToGrid w:val="0"/>
          <w:kern w:val="22"/>
          <w:szCs w:val="22"/>
          <w:lang w:val="fr-FR"/>
        </w:rPr>
      </w:pPr>
      <w:r w:rsidRPr="00FD69CC">
        <w:rPr>
          <w:rFonts w:asciiTheme="majorBidi" w:hAnsiTheme="majorBidi"/>
          <w:i/>
          <w:iCs/>
          <w:snapToGrid w:val="0"/>
          <w:szCs w:val="22"/>
          <w:lang w:val="fr-FR"/>
        </w:rPr>
        <w:t>Reconnaissant</w:t>
      </w:r>
      <w:r w:rsidRPr="00FD69CC">
        <w:rPr>
          <w:rFonts w:asciiTheme="majorBidi" w:hAnsiTheme="majorBidi"/>
          <w:snapToGrid w:val="0"/>
          <w:szCs w:val="22"/>
          <w:lang w:val="fr-FR"/>
        </w:rPr>
        <w:t xml:space="preserve"> le rôle et la capacité cruciaux des océans à réguler le climat et prenant note des conclusions du Dialogue consacré à l’océan et aux changements climatiques</w:t>
      </w:r>
      <w:r w:rsidR="00C40DAD">
        <w:rPr>
          <w:rFonts w:asciiTheme="majorBidi" w:hAnsiTheme="majorBidi"/>
          <w:snapToGrid w:val="0"/>
          <w:szCs w:val="22"/>
          <w:lang w:val="fr-FR"/>
        </w:rPr>
        <w:t xml:space="preserve"> 2023</w:t>
      </w:r>
      <w:r w:rsidRPr="00FD69CC">
        <w:rPr>
          <w:rFonts w:asciiTheme="majorBidi" w:hAnsiTheme="majorBidi"/>
          <w:snapToGrid w:val="0"/>
          <w:szCs w:val="22"/>
          <w:lang w:val="fr-FR"/>
        </w:rPr>
        <w:t xml:space="preserve">, </w:t>
      </w:r>
      <w:r w:rsidR="00C40DAD">
        <w:rPr>
          <w:rFonts w:asciiTheme="majorBidi" w:hAnsiTheme="majorBidi"/>
          <w:snapToGrid w:val="0"/>
          <w:szCs w:val="22"/>
          <w:lang w:val="fr-FR"/>
        </w:rPr>
        <w:t>dans lesquelles il est fait</w:t>
      </w:r>
      <w:r w:rsidRPr="00FD69CC">
        <w:rPr>
          <w:rFonts w:asciiTheme="majorBidi" w:hAnsiTheme="majorBidi"/>
          <w:snapToGrid w:val="0"/>
          <w:szCs w:val="22"/>
          <w:lang w:val="fr-FR"/>
        </w:rPr>
        <w:t xml:space="preserve"> mention de la nécessité de mettre en place des liens institutionnels plus étroits entre les mandats et processus des Nations Unies, notamment le Cadre mondial de la biodiversité de Kunming-Montréal, afin de renforcer les ambitions et les actions mondiales pour la résilience climatique des océans,</w:t>
      </w:r>
    </w:p>
    <w:p w14:paraId="554CBA60" w14:textId="77777777" w:rsidR="00FD69CC" w:rsidRPr="00FD69CC" w:rsidRDefault="00FD69CC" w:rsidP="00FD69CC">
      <w:pPr>
        <w:suppressLineNumber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snapToGrid w:val="0"/>
          <w:kern w:val="22"/>
          <w:lang w:val="fr-FR"/>
        </w:rPr>
      </w:pPr>
      <w:r w:rsidRPr="00FD69CC">
        <w:rPr>
          <w:rFonts w:asciiTheme="majorBidi" w:hAnsiTheme="majorBidi"/>
          <w:i/>
          <w:iCs/>
          <w:lang w:val="fr-FR"/>
        </w:rPr>
        <w:t>Profondément inquiète</w:t>
      </w:r>
      <w:r w:rsidRPr="00FD69CC">
        <w:rPr>
          <w:rFonts w:asciiTheme="majorBidi" w:hAnsiTheme="majorBidi"/>
          <w:lang w:val="fr-FR"/>
        </w:rPr>
        <w:t xml:space="preserve"> que la perte de biodiversité nuise à la capacité des écosystèmes à soutenir les efforts d’adaptation aux changements climatiques et d’atténuation de leurs effets,</w:t>
      </w:r>
    </w:p>
    <w:p w14:paraId="7B96E2F1" w14:textId="77777777" w:rsidR="00FD69CC" w:rsidRPr="00FD69CC" w:rsidRDefault="00FD69CC" w:rsidP="00FD69CC">
      <w:pPr>
        <w:suppressLineNumbers/>
        <w:suppressAutoHyphens/>
        <w:kinsoku w:val="0"/>
        <w:overflowPunct w:val="0"/>
        <w:autoSpaceDE w:val="0"/>
        <w:autoSpaceDN w:val="0"/>
        <w:adjustRightInd w:val="0"/>
        <w:snapToGrid w:val="0"/>
        <w:spacing w:before="120" w:after="120"/>
        <w:ind w:left="567" w:firstLine="567"/>
        <w:rPr>
          <w:rFonts w:eastAsiaTheme="minorHAnsi"/>
          <w:snapToGrid w:val="0"/>
          <w:kern w:val="22"/>
          <w:u w:val="single"/>
          <w:lang w:val="fr-FR"/>
        </w:rPr>
      </w:pPr>
      <w:r w:rsidRPr="00FD69CC">
        <w:rPr>
          <w:i/>
          <w:iCs/>
          <w:lang w:val="fr-FR"/>
        </w:rPr>
        <w:t>Reconnaissant</w:t>
      </w:r>
      <w:r w:rsidRPr="00FD69CC">
        <w:rPr>
          <w:lang w:val="fr-FR"/>
        </w:rPr>
        <w:t xml:space="preserve"> que la résilience de la biodiversité et des écosystèmes envers les changements climatiques est diminuée par les mesures mésadaptées, qui peuvent avoir des effets défavorables sur la biodiversité, la résilience des écosystèmes et les groupes marginalisés et vulnérables, et qui détériorent les résultats généraux de l’atténuation et de l’adaptation,</w:t>
      </w:r>
    </w:p>
    <w:p w14:paraId="668D313B" w14:textId="77777777" w:rsidR="00FD69CC" w:rsidRPr="00FD69CC" w:rsidRDefault="00FD69CC" w:rsidP="00FD69CC">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lang w:val="fr-FR"/>
        </w:rPr>
      </w:pPr>
      <w:r w:rsidRPr="00FD69CC">
        <w:rPr>
          <w:rFonts w:asciiTheme="majorBidi" w:hAnsiTheme="majorBidi"/>
          <w:i/>
          <w:iCs/>
          <w:snapToGrid w:val="0"/>
          <w:lang w:val="fr-FR"/>
        </w:rPr>
        <w:t xml:space="preserve">Soulignant </w:t>
      </w:r>
      <w:r w:rsidRPr="00FD69CC">
        <w:rPr>
          <w:rFonts w:asciiTheme="majorBidi" w:hAnsiTheme="majorBidi"/>
          <w:snapToGrid w:val="0"/>
          <w:lang w:val="fr-FR"/>
        </w:rPr>
        <w:t xml:space="preserve">que le déploiement à grande échelle de plantations bioénergétiques intensives, y compris des monocultures, qui remplacent les forêts naturelles et les terres agricoles de subsistance, aura probablement des répercussions défavorables sur la biodiversité et peut être une menace à la sécurité alimentaire et la sécurité de l’approvisionnement en eau, ainsi qu’aux moyens de subsistance locaux, y compris par l’intensification des conflits sociaux, </w:t>
      </w:r>
    </w:p>
    <w:p w14:paraId="51A6A409" w14:textId="2AABE2AB" w:rsidR="00FD69CC" w:rsidRPr="00FD69CC" w:rsidRDefault="00C40DAD" w:rsidP="00FD69CC">
      <w:pPr>
        <w:pStyle w:val="Para1"/>
        <w:numPr>
          <w:ilvl w:val="0"/>
          <w:numId w:val="0"/>
        </w:numPr>
        <w:suppressLineNumbers/>
        <w:tabs>
          <w:tab w:val="left" w:pos="2268"/>
        </w:tabs>
        <w:suppressAutoHyphens/>
        <w:kinsoku w:val="0"/>
        <w:overflowPunct w:val="0"/>
        <w:autoSpaceDE w:val="0"/>
        <w:autoSpaceDN w:val="0"/>
        <w:adjustRightInd w:val="0"/>
        <w:ind w:left="567" w:firstLine="562"/>
        <w:rPr>
          <w:lang w:val="fr-FR"/>
        </w:rPr>
      </w:pPr>
      <w:r>
        <w:rPr>
          <w:i/>
          <w:iCs/>
          <w:lang w:val="fr-FR"/>
        </w:rPr>
        <w:t>Soulignant également</w:t>
      </w:r>
      <w:r w:rsidR="00FD69CC" w:rsidRPr="00FD69CC">
        <w:rPr>
          <w:i/>
          <w:iCs/>
          <w:lang w:val="fr-FR"/>
        </w:rPr>
        <w:t xml:space="preserve"> </w:t>
      </w:r>
      <w:r w:rsidR="00FD69CC" w:rsidRPr="00FD69CC">
        <w:rPr>
          <w:lang w:val="fr-FR"/>
        </w:rPr>
        <w:t xml:space="preserve">que la réalisation du Cadre mondial de la biodiversité de Kunming-Montréal n’est pas possible sans la prise de mesures urgentes et efficaces en matière de changements climatiques conformément à la Convention-cadre des Nations Unies sur les changements climatiques et </w:t>
      </w:r>
      <w:r>
        <w:rPr>
          <w:lang w:val="fr-FR"/>
        </w:rPr>
        <w:t>à l’</w:t>
      </w:r>
      <w:r w:rsidR="00FD69CC" w:rsidRPr="00FD69CC">
        <w:rPr>
          <w:lang w:val="fr-FR"/>
        </w:rPr>
        <w:t>Accord de Paris, et vice-versa, en particulier au moyen d’une réduction urgente et soutenue des émissions de gaz à effet de serre provenant des combustibles fossiles, et sur le fait que les niveaux croissants du réchauffement entraînent des risques de perte irréversible de biodiversité ;</w:t>
      </w:r>
    </w:p>
    <w:p w14:paraId="00EFD3ED" w14:textId="68BCB88E" w:rsidR="00FD69CC" w:rsidRPr="00FD69CC" w:rsidRDefault="00FD69CC" w:rsidP="00FD69CC">
      <w:pPr>
        <w:suppressLineNumbers/>
        <w:tabs>
          <w:tab w:val="left" w:pos="2268"/>
        </w:tabs>
        <w:suppressAutoHyphens/>
        <w:kinsoku w:val="0"/>
        <w:overflowPunct w:val="0"/>
        <w:autoSpaceDE w:val="0"/>
        <w:autoSpaceDN w:val="0"/>
        <w:adjustRightInd w:val="0"/>
        <w:snapToGrid w:val="0"/>
        <w:spacing w:before="120" w:after="120"/>
        <w:ind w:left="567" w:firstLine="562"/>
        <w:rPr>
          <w:rFonts w:eastAsiaTheme="minorHAnsi"/>
          <w:kern w:val="22"/>
          <w:lang w:val="fr-FR"/>
        </w:rPr>
      </w:pPr>
      <w:r w:rsidRPr="00FD69CC">
        <w:rPr>
          <w:i/>
          <w:iCs/>
          <w:lang w:val="fr-FR"/>
        </w:rPr>
        <w:t>Met</w:t>
      </w:r>
      <w:r w:rsidR="00C40DAD">
        <w:rPr>
          <w:i/>
          <w:iCs/>
          <w:lang w:val="fr-FR"/>
        </w:rPr>
        <w:t>tant</w:t>
      </w:r>
      <w:r w:rsidRPr="00FD69CC">
        <w:rPr>
          <w:i/>
          <w:iCs/>
          <w:lang w:val="fr-FR"/>
        </w:rPr>
        <w:t xml:space="preserve"> l’accent</w:t>
      </w:r>
      <w:r w:rsidRPr="00FD69CC">
        <w:rPr>
          <w:lang w:val="fr-FR"/>
        </w:rPr>
        <w:t xml:space="preserve"> sur la nécessité d’une coopération et de synergies internationales renforcées, y compris par l’entremise du renforcement des capacités, de la coopération scientifique et technique et </w:t>
      </w:r>
      <w:r w:rsidR="00C40DAD">
        <w:rPr>
          <w:lang w:val="fr-FR"/>
        </w:rPr>
        <w:t>du partage des</w:t>
      </w:r>
      <w:r w:rsidRPr="00FD69CC">
        <w:rPr>
          <w:lang w:val="fr-FR"/>
        </w:rPr>
        <w:t xml:space="preserve"> ressources technologiques, afin d’améliorer les capacités nationales d’anticipation et de surveillance des effets des changements climatiques sur la biodiversité et les communautés tributaires de la biodiversité ;</w:t>
      </w:r>
    </w:p>
    <w:p w14:paraId="649E8580" w14:textId="421AA017" w:rsidR="00855BA1" w:rsidRPr="00FD69CC" w:rsidRDefault="00FD69CC" w:rsidP="00FD69CC">
      <w:pPr>
        <w:ind w:left="567" w:firstLine="567"/>
        <w:textAlignment w:val="baseline"/>
        <w:rPr>
          <w:rFonts w:asciiTheme="majorBidi" w:eastAsiaTheme="minorHAnsi" w:hAnsiTheme="majorBidi" w:cstheme="majorBidi"/>
          <w:snapToGrid w:val="0"/>
          <w:kern w:val="22"/>
          <w:szCs w:val="22"/>
          <w:lang w:val="fr-FR"/>
        </w:rPr>
      </w:pPr>
      <w:r w:rsidRPr="00FD69CC">
        <w:rPr>
          <w:rFonts w:asciiTheme="majorBidi" w:hAnsiTheme="majorBidi"/>
          <w:i/>
          <w:iCs/>
          <w:snapToGrid w:val="0"/>
          <w:szCs w:val="22"/>
          <w:lang w:val="fr-FR"/>
        </w:rPr>
        <w:t>Rappelant</w:t>
      </w:r>
      <w:r w:rsidRPr="00FD69CC">
        <w:rPr>
          <w:rFonts w:asciiTheme="majorBidi" w:hAnsiTheme="majorBidi"/>
          <w:snapToGrid w:val="0"/>
          <w:szCs w:val="22"/>
          <w:lang w:val="fr-FR"/>
        </w:rPr>
        <w:t xml:space="preserve"> la décision 15/8</w:t>
      </w:r>
      <w:r w:rsidR="00C40DAD">
        <w:rPr>
          <w:rFonts w:asciiTheme="majorBidi" w:hAnsiTheme="majorBidi"/>
          <w:snapToGrid w:val="0"/>
          <w:szCs w:val="22"/>
          <w:lang w:val="fr-FR"/>
        </w:rPr>
        <w:t xml:space="preserve"> du 19 décembre 2022</w:t>
      </w:r>
      <w:r w:rsidRPr="00FD69CC">
        <w:rPr>
          <w:rFonts w:asciiTheme="majorBidi" w:hAnsiTheme="majorBidi"/>
          <w:snapToGrid w:val="0"/>
          <w:szCs w:val="22"/>
          <w:lang w:val="fr-FR"/>
        </w:rPr>
        <w:t xml:space="preserve">, </w:t>
      </w:r>
      <w:r w:rsidR="00C40DAD">
        <w:rPr>
          <w:rFonts w:asciiTheme="majorBidi" w:hAnsiTheme="majorBidi"/>
          <w:snapToGrid w:val="0"/>
          <w:szCs w:val="22"/>
          <w:lang w:val="fr-FR"/>
        </w:rPr>
        <w:t xml:space="preserve">dans laquelle la Conférence des Parties </w:t>
      </w:r>
      <w:r w:rsidRPr="00FD69CC">
        <w:rPr>
          <w:rFonts w:asciiTheme="majorBidi" w:hAnsiTheme="majorBidi"/>
          <w:snapToGrid w:val="0"/>
          <w:szCs w:val="22"/>
          <w:lang w:val="fr-FR"/>
        </w:rPr>
        <w:t>a reconnu que bon nombre de Parties, en particulier les pays en développement Parties, ne disposent peut-être pas encore des capacités nécessaires pour mettre entièrement en application le Cadre mondial de la biodiversité de Kunming-Montréal</w:t>
      </w:r>
      <w:r w:rsidR="00C40DAD">
        <w:rPr>
          <w:rFonts w:asciiTheme="majorBidi" w:hAnsiTheme="majorBidi"/>
          <w:snapToGrid w:val="0"/>
          <w:szCs w:val="22"/>
          <w:lang w:val="fr-FR"/>
        </w:rPr>
        <w:t xml:space="preserve"> et la</w:t>
      </w:r>
      <w:r w:rsidRPr="00FD69CC">
        <w:rPr>
          <w:rFonts w:asciiTheme="majorBidi" w:hAnsiTheme="majorBidi"/>
          <w:snapToGrid w:val="0"/>
          <w:szCs w:val="22"/>
          <w:lang w:val="fr-FR"/>
        </w:rPr>
        <w:t xml:space="preserve"> demande </w:t>
      </w:r>
      <w:r w:rsidR="00C40DAD">
        <w:rPr>
          <w:rFonts w:asciiTheme="majorBidi" w:hAnsiTheme="majorBidi"/>
          <w:snapToGrid w:val="0"/>
          <w:szCs w:val="22"/>
          <w:lang w:val="fr-FR"/>
        </w:rPr>
        <w:t>faite</w:t>
      </w:r>
      <w:r w:rsidRPr="00FD69CC">
        <w:rPr>
          <w:rFonts w:asciiTheme="majorBidi" w:hAnsiTheme="majorBidi"/>
          <w:snapToGrid w:val="0"/>
          <w:szCs w:val="22"/>
          <w:lang w:val="fr-FR"/>
        </w:rPr>
        <w:t xml:space="preserve"> à la Secrétaire exécutive, sous réserve de la disponibilité des fonds ;</w:t>
      </w:r>
    </w:p>
    <w:p w14:paraId="30746B9F" w14:textId="22F70E4B" w:rsidR="00855BA1" w:rsidRPr="00FD69CC" w:rsidRDefault="00ED0B92" w:rsidP="004A45E7">
      <w:pPr>
        <w:pStyle w:val="Para1"/>
        <w:numPr>
          <w:ilvl w:val="0"/>
          <w:numId w:val="7"/>
        </w:numPr>
        <w:suppressLineNumbers/>
        <w:tabs>
          <w:tab w:val="left" w:pos="1701"/>
        </w:tabs>
        <w:suppressAutoHyphens/>
        <w:kinsoku w:val="0"/>
        <w:overflowPunct w:val="0"/>
        <w:autoSpaceDE w:val="0"/>
        <w:autoSpaceDN w:val="0"/>
        <w:adjustRightInd w:val="0"/>
        <w:ind w:left="567" w:firstLine="567"/>
        <w:rPr>
          <w:rStyle w:val="normaltextrun"/>
          <w:kern w:val="0"/>
          <w:szCs w:val="24"/>
          <w:shd w:val="clear" w:color="auto" w:fill="FFFFFF"/>
          <w:lang w:val="fr-FR"/>
          <w14:ligatures w14:val="none"/>
        </w:rPr>
      </w:pPr>
      <w:r w:rsidRPr="00FD69CC">
        <w:rPr>
          <w:i/>
          <w:kern w:val="22"/>
          <w:lang w:val="fr-FR"/>
        </w:rPr>
        <w:lastRenderedPageBreak/>
        <w:t>Accueille avec satisfaction</w:t>
      </w:r>
      <w:r w:rsidR="00855BA1" w:rsidRPr="00FD69CC">
        <w:rPr>
          <w:kern w:val="22"/>
          <w:lang w:val="fr-FR"/>
        </w:rPr>
        <w:t xml:space="preserve"> </w:t>
      </w:r>
      <w:r w:rsidR="009A5EA8" w:rsidRPr="00FD69CC">
        <w:rPr>
          <w:kern w:val="22"/>
          <w:lang w:val="fr-FR"/>
        </w:rPr>
        <w:t>le</w:t>
      </w:r>
      <w:r w:rsidR="00855BA1" w:rsidRPr="00FD69CC">
        <w:rPr>
          <w:kern w:val="22"/>
          <w:lang w:val="fr-FR"/>
        </w:rPr>
        <w:t xml:space="preserve"> </w:t>
      </w:r>
      <w:r w:rsidR="00855BA1" w:rsidRPr="00FD69CC">
        <w:rPr>
          <w:i/>
          <w:iCs/>
          <w:kern w:val="22"/>
          <w:lang w:val="fr-FR"/>
        </w:rPr>
        <w:t>Six</w:t>
      </w:r>
      <w:r w:rsidR="009A5EA8" w:rsidRPr="00FD69CC">
        <w:rPr>
          <w:i/>
          <w:iCs/>
          <w:kern w:val="22"/>
          <w:lang w:val="fr-FR"/>
        </w:rPr>
        <w:t>ième rapport d</w:t>
      </w:r>
      <w:r w:rsidR="001B2859" w:rsidRPr="00FD69CC">
        <w:rPr>
          <w:i/>
          <w:iCs/>
          <w:kern w:val="22"/>
          <w:lang w:val="fr-FR"/>
        </w:rPr>
        <w:t>’</w:t>
      </w:r>
      <w:r w:rsidR="009A5EA8" w:rsidRPr="00FD69CC">
        <w:rPr>
          <w:i/>
          <w:iCs/>
          <w:kern w:val="22"/>
          <w:lang w:val="fr-FR"/>
        </w:rPr>
        <w:t xml:space="preserve">évaluation </w:t>
      </w:r>
      <w:r w:rsidR="009A5EA8" w:rsidRPr="00FD69CC">
        <w:rPr>
          <w:kern w:val="22"/>
          <w:lang w:val="fr-FR"/>
        </w:rPr>
        <w:t>du Groupe d</w:t>
      </w:r>
      <w:r w:rsidR="001B2859" w:rsidRPr="00FD69CC">
        <w:rPr>
          <w:kern w:val="22"/>
          <w:lang w:val="fr-FR"/>
        </w:rPr>
        <w:t>’</w:t>
      </w:r>
      <w:r w:rsidR="009A5EA8" w:rsidRPr="00FD69CC">
        <w:rPr>
          <w:kern w:val="22"/>
          <w:lang w:val="fr-FR"/>
        </w:rPr>
        <w:t>experts intergouvernemental sur l</w:t>
      </w:r>
      <w:r w:rsidR="001B2859" w:rsidRPr="00FD69CC">
        <w:rPr>
          <w:kern w:val="22"/>
          <w:lang w:val="fr-FR"/>
        </w:rPr>
        <w:t>’</w:t>
      </w:r>
      <w:r w:rsidR="009A5EA8" w:rsidRPr="00FD69CC">
        <w:rPr>
          <w:kern w:val="22"/>
          <w:lang w:val="fr-FR"/>
        </w:rPr>
        <w:t>évolution du climat</w:t>
      </w:r>
      <w:r w:rsidR="00855BA1" w:rsidRPr="00FD69CC">
        <w:rPr>
          <w:kern w:val="22"/>
          <w:lang w:val="fr-FR"/>
        </w:rPr>
        <w:t>,</w:t>
      </w:r>
      <w:r w:rsidR="00855BA1" w:rsidRPr="00FD69CC">
        <w:rPr>
          <w:rStyle w:val="FootnoteReference"/>
          <w:kern w:val="22"/>
          <w:lang w:val="fr-FR"/>
        </w:rPr>
        <w:footnoteReference w:id="13"/>
      </w:r>
      <w:r w:rsidR="00855BA1" w:rsidRPr="00FD69CC">
        <w:rPr>
          <w:kern w:val="22"/>
          <w:lang w:val="fr-FR"/>
        </w:rPr>
        <w:t xml:space="preserve"> </w:t>
      </w:r>
      <w:r w:rsidR="009A5EA8" w:rsidRPr="00FD69CC">
        <w:rPr>
          <w:kern w:val="22"/>
          <w:lang w:val="fr-FR"/>
        </w:rPr>
        <w:t>et</w:t>
      </w:r>
      <w:r w:rsidR="00855BA1" w:rsidRPr="00FD69CC">
        <w:rPr>
          <w:kern w:val="22"/>
          <w:lang w:val="fr-FR"/>
        </w:rPr>
        <w:t xml:space="preserve"> </w:t>
      </w:r>
      <w:r w:rsidR="009A5EA8" w:rsidRPr="00FD69CC">
        <w:rPr>
          <w:i/>
          <w:iCs/>
          <w:kern w:val="22"/>
          <w:lang w:val="fr-FR"/>
        </w:rPr>
        <w:t>prend</w:t>
      </w:r>
      <w:r w:rsidR="00855BA1" w:rsidRPr="00FD69CC">
        <w:rPr>
          <w:i/>
          <w:iCs/>
          <w:kern w:val="22"/>
          <w:lang w:val="fr-FR"/>
        </w:rPr>
        <w:t xml:space="preserve"> note</w:t>
      </w:r>
      <w:r w:rsidR="00855BA1" w:rsidRPr="00FD69CC">
        <w:rPr>
          <w:kern w:val="22"/>
          <w:lang w:val="fr-FR"/>
        </w:rPr>
        <w:t xml:space="preserve"> </w:t>
      </w:r>
      <w:r w:rsidR="009A5EA8" w:rsidRPr="00FD69CC">
        <w:rPr>
          <w:kern w:val="22"/>
          <w:lang w:val="fr-FR"/>
        </w:rPr>
        <w:t>de ses conclusions </w:t>
      </w:r>
      <w:r w:rsidR="00223100" w:rsidRPr="00FD69CC">
        <w:rPr>
          <w:kern w:val="22"/>
          <w:lang w:val="fr-FR"/>
        </w:rPr>
        <w:t>;</w:t>
      </w:r>
    </w:p>
    <w:p w14:paraId="7D5190B8" w14:textId="5D1EB4D4" w:rsidR="00855BA1" w:rsidRPr="00FD69CC" w:rsidRDefault="00C40DAD" w:rsidP="004A45E7">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rPr>
          <w:kern w:val="22"/>
          <w:lang w:val="fr-FR"/>
        </w:rPr>
      </w:pPr>
      <w:r>
        <w:rPr>
          <w:kern w:val="22"/>
          <w:lang w:val="fr-FR"/>
        </w:rPr>
        <w:t>2.</w:t>
      </w:r>
      <w:r w:rsidR="00855BA1" w:rsidRPr="00FD69CC">
        <w:rPr>
          <w:kern w:val="22"/>
          <w:lang w:val="fr-FR"/>
        </w:rPr>
        <w:t xml:space="preserve"> </w:t>
      </w:r>
      <w:r w:rsidRPr="00FD69CC">
        <w:rPr>
          <w:kern w:val="22"/>
          <w:szCs w:val="22"/>
          <w:lang w:val="fr-FR"/>
        </w:rPr>
        <w:tab/>
      </w:r>
      <w:r w:rsidR="00B0558F" w:rsidRPr="00FD69CC">
        <w:rPr>
          <w:i/>
          <w:kern w:val="22"/>
          <w:lang w:val="fr-FR"/>
        </w:rPr>
        <w:t xml:space="preserve">Accueille </w:t>
      </w:r>
      <w:r>
        <w:rPr>
          <w:i/>
          <w:kern w:val="22"/>
          <w:lang w:val="fr-FR"/>
        </w:rPr>
        <w:t xml:space="preserve">également </w:t>
      </w:r>
      <w:r w:rsidR="00B0558F" w:rsidRPr="00FD69CC">
        <w:rPr>
          <w:i/>
          <w:kern w:val="22"/>
          <w:lang w:val="fr-FR"/>
        </w:rPr>
        <w:t>avec satisfaction</w:t>
      </w:r>
      <w:r w:rsidR="00855BA1" w:rsidRPr="00FD69CC">
        <w:rPr>
          <w:kern w:val="22"/>
          <w:lang w:val="fr-FR"/>
        </w:rPr>
        <w:t xml:space="preserve"> </w:t>
      </w:r>
      <w:r w:rsidR="00B0558F" w:rsidRPr="00FD69CC">
        <w:rPr>
          <w:kern w:val="22"/>
          <w:lang w:val="fr-FR"/>
        </w:rPr>
        <w:t>la décision 10/1</w:t>
      </w:r>
      <w:r>
        <w:rPr>
          <w:kern w:val="22"/>
          <w:lang w:val="fr-FR"/>
        </w:rPr>
        <w:t xml:space="preserve"> du 2 septembre 2023</w:t>
      </w:r>
      <w:r w:rsidR="00B0558F" w:rsidRPr="00FD69CC">
        <w:rPr>
          <w:kern w:val="22"/>
          <w:lang w:val="fr-FR"/>
        </w:rPr>
        <w:t xml:space="preserve"> de la </w:t>
      </w:r>
      <w:r>
        <w:rPr>
          <w:kern w:val="22"/>
          <w:lang w:val="fr-FR"/>
        </w:rPr>
        <w:t xml:space="preserve">Plénière de la </w:t>
      </w:r>
      <w:r w:rsidR="00B0558F" w:rsidRPr="00FD69CC">
        <w:rPr>
          <w:kern w:val="22"/>
          <w:lang w:val="fr-FR"/>
        </w:rPr>
        <w:t>Plateforme intergouvernementale scientifique et politique sur la biodiversité et les services écosystémiques</w:t>
      </w:r>
      <w:r>
        <w:rPr>
          <w:kern w:val="22"/>
          <w:lang w:val="fr-FR"/>
        </w:rPr>
        <w:t>,</w:t>
      </w:r>
      <w:r w:rsidR="00B0558F" w:rsidRPr="00FD69CC">
        <w:rPr>
          <w:kern w:val="22"/>
          <w:lang w:val="fr-FR"/>
        </w:rPr>
        <w:t xml:space="preserve"> visant à encourager la poursuite de la collaboration entre la Plateforme intergouvernementale scientifique et politique et le Groupe d</w:t>
      </w:r>
      <w:r w:rsidR="001B2859" w:rsidRPr="00FD69CC">
        <w:rPr>
          <w:kern w:val="22"/>
          <w:lang w:val="fr-FR"/>
        </w:rPr>
        <w:t>’</w:t>
      </w:r>
      <w:r w:rsidR="00B0558F" w:rsidRPr="00FD69CC">
        <w:rPr>
          <w:kern w:val="22"/>
          <w:lang w:val="fr-FR"/>
        </w:rPr>
        <w:t>experts intergouvernemental sur l</w:t>
      </w:r>
      <w:r w:rsidR="001B2859" w:rsidRPr="00FD69CC">
        <w:rPr>
          <w:kern w:val="22"/>
          <w:lang w:val="fr-FR"/>
        </w:rPr>
        <w:t>’</w:t>
      </w:r>
      <w:r w:rsidR="00B0558F" w:rsidRPr="00FD69CC">
        <w:rPr>
          <w:kern w:val="22"/>
          <w:lang w:val="fr-FR"/>
        </w:rPr>
        <w:t>évolution du climat</w:t>
      </w:r>
      <w:r w:rsidR="00B0558F" w:rsidRPr="00FD69CC">
        <w:rPr>
          <w:lang w:val="fr-FR"/>
        </w:rPr>
        <w:t> </w:t>
      </w:r>
      <w:r w:rsidR="00223100" w:rsidRPr="00FD69CC">
        <w:rPr>
          <w:kern w:val="22"/>
          <w:lang w:val="fr-FR"/>
        </w:rPr>
        <w:t>;</w:t>
      </w:r>
    </w:p>
    <w:p w14:paraId="3D29DA81" w14:textId="5DD6D729" w:rsidR="00855BA1" w:rsidRPr="00FD69CC" w:rsidRDefault="00C40DAD" w:rsidP="004A45E7">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Pr>
          <w:kern w:val="22"/>
          <w:szCs w:val="22"/>
          <w:lang w:val="fr-FR"/>
        </w:rPr>
        <w:t>3</w:t>
      </w:r>
      <w:r w:rsidR="00855BA1" w:rsidRPr="00FD69CC">
        <w:rPr>
          <w:kern w:val="22"/>
          <w:szCs w:val="22"/>
          <w:lang w:val="fr-FR"/>
        </w:rPr>
        <w:t>.</w:t>
      </w:r>
      <w:r w:rsidR="00855BA1" w:rsidRPr="00FD69CC">
        <w:rPr>
          <w:kern w:val="22"/>
          <w:szCs w:val="22"/>
          <w:lang w:val="fr-FR"/>
        </w:rPr>
        <w:tab/>
      </w:r>
      <w:r w:rsidR="00855BA1" w:rsidRPr="00FD69CC">
        <w:rPr>
          <w:i/>
          <w:iCs/>
          <w:kern w:val="22"/>
          <w:szCs w:val="22"/>
          <w:lang w:val="fr-FR"/>
        </w:rPr>
        <w:t>Encourage</w:t>
      </w:r>
      <w:r w:rsidR="00855BA1" w:rsidRPr="00FD69CC">
        <w:rPr>
          <w:kern w:val="22"/>
          <w:szCs w:val="22"/>
          <w:lang w:val="fr-FR"/>
        </w:rPr>
        <w:t xml:space="preserve"> </w:t>
      </w:r>
      <w:r w:rsidR="005F0773" w:rsidRPr="00FD69CC">
        <w:rPr>
          <w:kern w:val="22"/>
          <w:szCs w:val="22"/>
          <w:lang w:val="fr-FR"/>
        </w:rPr>
        <w:t>les Parties, lorsqu</w:t>
      </w:r>
      <w:r w:rsidR="001B2859" w:rsidRPr="00FD69CC">
        <w:rPr>
          <w:kern w:val="22"/>
          <w:szCs w:val="22"/>
          <w:lang w:val="fr-FR"/>
        </w:rPr>
        <w:t>’</w:t>
      </w:r>
      <w:r w:rsidR="005F0773" w:rsidRPr="00FD69CC">
        <w:rPr>
          <w:kern w:val="22"/>
          <w:szCs w:val="22"/>
          <w:lang w:val="fr-FR"/>
        </w:rPr>
        <w:t xml:space="preserve">elles entreprennent des actions visant à assurer la réalisation des objectifs 8 et 11, ainsi que </w:t>
      </w:r>
      <w:r w:rsidR="002F7985">
        <w:rPr>
          <w:kern w:val="22"/>
          <w:szCs w:val="22"/>
          <w:lang w:val="fr-FR"/>
        </w:rPr>
        <w:t>des</w:t>
      </w:r>
      <w:r w:rsidR="005F0773" w:rsidRPr="00FD69CC">
        <w:rPr>
          <w:kern w:val="22"/>
          <w:szCs w:val="22"/>
          <w:lang w:val="fr-FR"/>
        </w:rPr>
        <w:t xml:space="preserve"> objectifs connexes du Cadre mondial biodiversité de Kunming-Montréal, conformément aux circonstances et priorités nationales et aux obligations et principes des accords multilatéraux sur l</w:t>
      </w:r>
      <w:r w:rsidR="001B2859" w:rsidRPr="00FD69CC">
        <w:rPr>
          <w:kern w:val="22"/>
          <w:szCs w:val="22"/>
          <w:lang w:val="fr-FR"/>
        </w:rPr>
        <w:t>’</w:t>
      </w:r>
      <w:r w:rsidR="005F0773" w:rsidRPr="00FD69CC">
        <w:rPr>
          <w:kern w:val="22"/>
          <w:szCs w:val="22"/>
          <w:lang w:val="fr-FR"/>
        </w:rPr>
        <w:t>environnement, à mettre en œuvre de solides sauvegardes sociales et environnementales, afin de </w:t>
      </w:r>
      <w:r w:rsidR="00855BA1" w:rsidRPr="00FD69CC">
        <w:rPr>
          <w:kern w:val="22"/>
          <w:szCs w:val="22"/>
          <w:lang w:val="fr-FR"/>
        </w:rPr>
        <w:t>:</w:t>
      </w:r>
    </w:p>
    <w:p w14:paraId="09B063DA" w14:textId="1041D98D" w:rsidR="00855BA1" w:rsidRPr="00FD69CC" w:rsidRDefault="00855BA1" w:rsidP="004A45E7">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kern w:val="22"/>
          <w:szCs w:val="22"/>
          <w:lang w:val="fr-FR"/>
        </w:rPr>
        <w:t xml:space="preserve">a) </w:t>
      </w:r>
      <w:r w:rsidR="00223100" w:rsidRPr="00FD69CC">
        <w:rPr>
          <w:kern w:val="22"/>
          <w:szCs w:val="22"/>
          <w:lang w:val="fr-FR"/>
        </w:rPr>
        <w:tab/>
      </w:r>
      <w:r w:rsidR="00B31EDE" w:rsidRPr="00FD69CC">
        <w:rPr>
          <w:kern w:val="22"/>
          <w:szCs w:val="22"/>
          <w:lang w:val="fr-FR"/>
        </w:rPr>
        <w:t>Garantir une approche fondée sur les droits de l</w:t>
      </w:r>
      <w:r w:rsidR="001B2859" w:rsidRPr="00FD69CC">
        <w:rPr>
          <w:kern w:val="22"/>
          <w:szCs w:val="22"/>
          <w:lang w:val="fr-FR"/>
        </w:rPr>
        <w:t>’</w:t>
      </w:r>
      <w:r w:rsidR="00B31EDE" w:rsidRPr="00FD69CC">
        <w:rPr>
          <w:kern w:val="22"/>
          <w:szCs w:val="22"/>
          <w:lang w:val="fr-FR"/>
        </w:rPr>
        <w:t xml:space="preserve">homme et la participation pleine et effective des détenteurs de droits, y compris les peuples autochtones et les communautés locales, les femmes et les filles, les enfants et les jeunes, ainsi que les personnes </w:t>
      </w:r>
      <w:r w:rsidR="001B2859" w:rsidRPr="00FD69CC">
        <w:rPr>
          <w:kern w:val="22"/>
          <w:szCs w:val="22"/>
          <w:lang w:val="fr-FR"/>
        </w:rPr>
        <w:t>atteintes d’un handicap</w:t>
      </w:r>
      <w:r w:rsidR="00B31EDE" w:rsidRPr="00FD69CC">
        <w:rPr>
          <w:kern w:val="22"/>
          <w:szCs w:val="22"/>
          <w:lang w:val="fr-FR"/>
        </w:rPr>
        <w:t> </w:t>
      </w:r>
      <w:r w:rsidRPr="00FD69CC">
        <w:rPr>
          <w:kern w:val="22"/>
          <w:szCs w:val="22"/>
          <w:lang w:val="fr-FR"/>
        </w:rPr>
        <w:t>;</w:t>
      </w:r>
    </w:p>
    <w:p w14:paraId="4EF365A1" w14:textId="33D6B71B" w:rsidR="00855BA1" w:rsidRPr="00FD69CC" w:rsidRDefault="00855BA1" w:rsidP="004A45E7">
      <w:pPr>
        <w:pStyle w:val="Para3"/>
        <w:numPr>
          <w:ilvl w:val="0"/>
          <w:numId w:val="0"/>
        </w:numPr>
        <w:ind w:left="567" w:firstLine="567"/>
        <w:rPr>
          <w:kern w:val="22"/>
          <w:szCs w:val="22"/>
          <w:lang w:val="fr-FR"/>
        </w:rPr>
      </w:pPr>
      <w:r w:rsidRPr="00FD69CC">
        <w:rPr>
          <w:kern w:val="22"/>
          <w:lang w:val="fr-FR"/>
        </w:rPr>
        <w:t>b)</w:t>
      </w:r>
      <w:r w:rsidRPr="00FD69CC">
        <w:rPr>
          <w:kern w:val="22"/>
          <w:lang w:val="fr-FR"/>
        </w:rPr>
        <w:tab/>
      </w:r>
      <w:r w:rsidR="0090584B" w:rsidRPr="00FD69CC">
        <w:rPr>
          <w:kern w:val="22"/>
          <w:szCs w:val="22"/>
          <w:lang w:val="fr-FR"/>
        </w:rPr>
        <w:t xml:space="preserve">Identifier et maximiser les synergies potentielles entre les actions en faveur de la biodiversité et celles portant sur le climat, </w:t>
      </w:r>
      <w:r w:rsidR="002F7985" w:rsidRPr="002F7985">
        <w:rPr>
          <w:kern w:val="22"/>
          <w:szCs w:val="22"/>
          <w:lang w:val="fr-FR"/>
        </w:rPr>
        <w:t>promouvoir les effets positifs, et éviter et, si ce n'est pas possible, minimiser les effets négatifs des mesures climatiques sur la biodiversité</w:t>
      </w:r>
      <w:r w:rsidR="0090584B" w:rsidRPr="00FD69CC">
        <w:rPr>
          <w:kern w:val="22"/>
          <w:szCs w:val="22"/>
          <w:lang w:val="fr-FR"/>
        </w:rPr>
        <w:t xml:space="preserve">, en particulier pour les espèces vulnérables, les écosystèmes de grande importance pour la biodiversité ou sur lesquels les dommages sont irréversibles, et les fonctions et services écosystémiques, en particulier pour les peuples autochtones, les communautés locales et </w:t>
      </w:r>
      <w:r w:rsidR="002F7985">
        <w:rPr>
          <w:kern w:val="22"/>
          <w:szCs w:val="22"/>
          <w:lang w:val="fr-FR"/>
        </w:rPr>
        <w:t xml:space="preserve">toutes </w:t>
      </w:r>
      <w:r w:rsidR="0090584B" w:rsidRPr="00FD69CC">
        <w:rPr>
          <w:kern w:val="22"/>
          <w:szCs w:val="22"/>
          <w:lang w:val="fr-FR"/>
        </w:rPr>
        <w:t>les parties prenantes qui dépendent directement de la biodiversité </w:t>
      </w:r>
      <w:r w:rsidRPr="00FD69CC">
        <w:rPr>
          <w:kern w:val="22"/>
          <w:szCs w:val="22"/>
          <w:lang w:val="fr-FR"/>
        </w:rPr>
        <w:t>;</w:t>
      </w:r>
    </w:p>
    <w:p w14:paraId="6A8EBD9C" w14:textId="22DB3323" w:rsidR="00855BA1" w:rsidRPr="00FD69CC" w:rsidRDefault="00855BA1" w:rsidP="004A45E7">
      <w:pPr>
        <w:pStyle w:val="Para3"/>
        <w:numPr>
          <w:ilvl w:val="0"/>
          <w:numId w:val="0"/>
        </w:numPr>
        <w:ind w:left="567" w:firstLine="567"/>
        <w:rPr>
          <w:kern w:val="22"/>
          <w:lang w:val="fr-FR"/>
        </w:rPr>
      </w:pPr>
      <w:r w:rsidRPr="00FD69CC">
        <w:rPr>
          <w:kern w:val="22"/>
          <w:lang w:val="fr-FR"/>
        </w:rPr>
        <w:t>c)</w:t>
      </w:r>
      <w:r w:rsidRPr="00FD69CC">
        <w:rPr>
          <w:kern w:val="22"/>
          <w:lang w:val="fr-FR"/>
        </w:rPr>
        <w:tab/>
      </w:r>
      <w:r w:rsidR="00FA229E" w:rsidRPr="00FD69CC">
        <w:rPr>
          <w:kern w:val="22"/>
          <w:szCs w:val="22"/>
          <w:lang w:val="fr-FR"/>
        </w:rPr>
        <w:t>Intégrer et promouvoir, le cas échéant, des solutions basées sur la nature et/ou des approches écosystémiques de l</w:t>
      </w:r>
      <w:r w:rsidR="001B2859" w:rsidRPr="00FD69CC">
        <w:rPr>
          <w:kern w:val="22"/>
          <w:szCs w:val="22"/>
          <w:lang w:val="fr-FR"/>
        </w:rPr>
        <w:t>’</w:t>
      </w:r>
      <w:r w:rsidR="00FA229E" w:rsidRPr="00FD69CC">
        <w:rPr>
          <w:kern w:val="22"/>
          <w:szCs w:val="22"/>
          <w:lang w:val="fr-FR"/>
        </w:rPr>
        <w:t>adaptation au changement climatique, de l</w:t>
      </w:r>
      <w:r w:rsidR="001B2859" w:rsidRPr="00FD69CC">
        <w:rPr>
          <w:kern w:val="22"/>
          <w:szCs w:val="22"/>
          <w:lang w:val="fr-FR"/>
        </w:rPr>
        <w:t>’</w:t>
      </w:r>
      <w:r w:rsidR="00FA229E" w:rsidRPr="00FD69CC">
        <w:rPr>
          <w:kern w:val="22"/>
          <w:szCs w:val="22"/>
          <w:lang w:val="fr-FR"/>
        </w:rPr>
        <w:t>atténuation de ses effets et de la réduction des risques de catastrophe dans leurs stratégies et plans d</w:t>
      </w:r>
      <w:r w:rsidR="001B2859" w:rsidRPr="00FD69CC">
        <w:rPr>
          <w:kern w:val="22"/>
          <w:szCs w:val="22"/>
          <w:lang w:val="fr-FR"/>
        </w:rPr>
        <w:t>’</w:t>
      </w:r>
      <w:r w:rsidR="00FA229E" w:rsidRPr="00FD69CC">
        <w:rPr>
          <w:kern w:val="22"/>
          <w:szCs w:val="22"/>
          <w:lang w:val="fr-FR"/>
        </w:rPr>
        <w:t>action nationaux révisés en matière de biodiversité et dans leurs objectifs nationaux pertinents, s</w:t>
      </w:r>
      <w:r w:rsidR="001B2859" w:rsidRPr="00FD69CC">
        <w:rPr>
          <w:kern w:val="22"/>
          <w:szCs w:val="22"/>
          <w:lang w:val="fr-FR"/>
        </w:rPr>
        <w:t>’</w:t>
      </w:r>
      <w:r w:rsidR="00FA229E" w:rsidRPr="00FD69CC">
        <w:rPr>
          <w:kern w:val="22"/>
          <w:szCs w:val="22"/>
          <w:lang w:val="fr-FR"/>
        </w:rPr>
        <w:t>il y a lieu, et promouvoir des synergies avec d</w:t>
      </w:r>
      <w:r w:rsidR="001B2859" w:rsidRPr="00FD69CC">
        <w:rPr>
          <w:kern w:val="22"/>
          <w:szCs w:val="22"/>
          <w:lang w:val="fr-FR"/>
        </w:rPr>
        <w:t>’</w:t>
      </w:r>
      <w:r w:rsidR="00FA229E" w:rsidRPr="00FD69CC">
        <w:rPr>
          <w:kern w:val="22"/>
          <w:szCs w:val="22"/>
          <w:lang w:val="fr-FR"/>
        </w:rPr>
        <w:t xml:space="preserve">autres processus de planification nationaux, </w:t>
      </w:r>
      <w:r w:rsidR="002F7985">
        <w:rPr>
          <w:kern w:val="22"/>
          <w:szCs w:val="22"/>
          <w:lang w:val="fr-FR"/>
        </w:rPr>
        <w:t xml:space="preserve">établis </w:t>
      </w:r>
      <w:r w:rsidR="00FA229E" w:rsidRPr="00FD69CC">
        <w:rPr>
          <w:kern w:val="22"/>
          <w:szCs w:val="22"/>
          <w:lang w:val="fr-FR"/>
        </w:rPr>
        <w:t>au titre de la Convention-cadre des Nations unies sur les changements climatiques et d</w:t>
      </w:r>
      <w:r w:rsidR="001B2859" w:rsidRPr="00FD69CC">
        <w:rPr>
          <w:kern w:val="22"/>
          <w:szCs w:val="22"/>
          <w:lang w:val="fr-FR"/>
        </w:rPr>
        <w:t>’</w:t>
      </w:r>
      <w:r w:rsidR="00FA229E" w:rsidRPr="00FD69CC">
        <w:rPr>
          <w:kern w:val="22"/>
          <w:szCs w:val="22"/>
          <w:lang w:val="fr-FR"/>
        </w:rPr>
        <w:t>autres accords multilatéraux sur l</w:t>
      </w:r>
      <w:r w:rsidR="001B2859" w:rsidRPr="00FD69CC">
        <w:rPr>
          <w:kern w:val="22"/>
          <w:szCs w:val="22"/>
          <w:lang w:val="fr-FR"/>
        </w:rPr>
        <w:t>’</w:t>
      </w:r>
      <w:r w:rsidR="00FA229E" w:rsidRPr="00FD69CC">
        <w:rPr>
          <w:kern w:val="22"/>
          <w:szCs w:val="22"/>
          <w:lang w:val="fr-FR"/>
        </w:rPr>
        <w:t>environnement liés à la biodiversité, en coordination avec les correspondants d</w:t>
      </w:r>
      <w:r w:rsidR="001B2859" w:rsidRPr="00FD69CC">
        <w:rPr>
          <w:kern w:val="22"/>
          <w:szCs w:val="22"/>
          <w:lang w:val="fr-FR"/>
        </w:rPr>
        <w:t>’</w:t>
      </w:r>
      <w:r w:rsidR="00FA229E" w:rsidRPr="00FD69CC">
        <w:rPr>
          <w:kern w:val="22"/>
          <w:szCs w:val="22"/>
          <w:lang w:val="fr-FR"/>
        </w:rPr>
        <w:t>autres accords multilatéraux sur l</w:t>
      </w:r>
      <w:r w:rsidR="001B2859" w:rsidRPr="00FD69CC">
        <w:rPr>
          <w:kern w:val="22"/>
          <w:szCs w:val="22"/>
          <w:lang w:val="fr-FR"/>
        </w:rPr>
        <w:t>’</w:t>
      </w:r>
      <w:r w:rsidR="00FA229E" w:rsidRPr="00FD69CC">
        <w:rPr>
          <w:kern w:val="22"/>
          <w:szCs w:val="22"/>
          <w:lang w:val="fr-FR"/>
        </w:rPr>
        <w:t>environnement, s</w:t>
      </w:r>
      <w:r w:rsidR="001B2859" w:rsidRPr="00FD69CC">
        <w:rPr>
          <w:kern w:val="22"/>
          <w:szCs w:val="22"/>
          <w:lang w:val="fr-FR"/>
        </w:rPr>
        <w:t>’</w:t>
      </w:r>
      <w:r w:rsidR="00FA229E" w:rsidRPr="00FD69CC">
        <w:rPr>
          <w:kern w:val="22"/>
          <w:szCs w:val="22"/>
          <w:lang w:val="fr-FR"/>
        </w:rPr>
        <w:t>il y a lieu, notamment par le biais de processus nationaux de coordination, de planification, d</w:t>
      </w:r>
      <w:r w:rsidR="001B2859" w:rsidRPr="00FD69CC">
        <w:rPr>
          <w:kern w:val="22"/>
          <w:szCs w:val="22"/>
          <w:lang w:val="fr-FR"/>
        </w:rPr>
        <w:t>’</w:t>
      </w:r>
      <w:r w:rsidR="00FA229E" w:rsidRPr="00FD69CC">
        <w:rPr>
          <w:kern w:val="22"/>
          <w:szCs w:val="22"/>
          <w:lang w:val="fr-FR"/>
        </w:rPr>
        <w:t>examen et de rapports, de manière complémentaire et synergique </w:t>
      </w:r>
      <w:r w:rsidRPr="00FD69CC">
        <w:rPr>
          <w:kern w:val="22"/>
          <w:szCs w:val="22"/>
          <w:lang w:val="fr-FR"/>
        </w:rPr>
        <w:t>;</w:t>
      </w:r>
    </w:p>
    <w:p w14:paraId="010CE7A3" w14:textId="5E2C1E8E" w:rsidR="00855BA1" w:rsidRPr="00FD69CC" w:rsidRDefault="00855BA1" w:rsidP="004A45E7">
      <w:pPr>
        <w:pStyle w:val="Para3"/>
        <w:numPr>
          <w:ilvl w:val="0"/>
          <w:numId w:val="0"/>
        </w:numPr>
        <w:ind w:left="567" w:firstLine="567"/>
        <w:rPr>
          <w:kern w:val="22"/>
          <w:lang w:val="fr-FR"/>
        </w:rPr>
      </w:pPr>
      <w:r w:rsidRPr="00FD69CC">
        <w:rPr>
          <w:kern w:val="22"/>
          <w:lang w:val="fr-FR"/>
        </w:rPr>
        <w:t>d)</w:t>
      </w:r>
      <w:r w:rsidRPr="00FD69CC">
        <w:rPr>
          <w:kern w:val="22"/>
          <w:lang w:val="fr-FR"/>
        </w:rPr>
        <w:tab/>
      </w:r>
      <w:r w:rsidR="00595A9B" w:rsidRPr="00FD69CC">
        <w:rPr>
          <w:kern w:val="22"/>
          <w:lang w:val="fr-FR"/>
        </w:rPr>
        <w:t>Utiliser les outils et les informations disponibles au titre de la Convention sur la diversité biologique</w:t>
      </w:r>
      <w:r w:rsidR="00027957" w:rsidRPr="00FD69CC">
        <w:rPr>
          <w:kern w:val="22"/>
          <w:lang w:val="fr-FR"/>
        </w:rPr>
        <w:t>,</w:t>
      </w:r>
      <w:r w:rsidRPr="00FD69CC">
        <w:rPr>
          <w:kern w:val="22"/>
          <w:lang w:val="fr-FR"/>
        </w:rPr>
        <w:t xml:space="preserve"> </w:t>
      </w:r>
      <w:r w:rsidR="00595A9B" w:rsidRPr="00FD69CC">
        <w:rPr>
          <w:kern w:val="22"/>
          <w:lang w:val="fr-FR"/>
        </w:rPr>
        <w:t>y compris les Lignes directrices volontaires pour la conception et la mise en œuvre effective d</w:t>
      </w:r>
      <w:r w:rsidR="001B2859" w:rsidRPr="00FD69CC">
        <w:rPr>
          <w:kern w:val="22"/>
          <w:lang w:val="fr-FR"/>
        </w:rPr>
        <w:t>’</w:t>
      </w:r>
      <w:r w:rsidR="00595A9B" w:rsidRPr="00FD69CC">
        <w:rPr>
          <w:kern w:val="22"/>
          <w:lang w:val="fr-FR"/>
        </w:rPr>
        <w:t>approches écosystémiques de l</w:t>
      </w:r>
      <w:r w:rsidR="001B2859" w:rsidRPr="00FD69CC">
        <w:rPr>
          <w:kern w:val="22"/>
          <w:lang w:val="fr-FR"/>
        </w:rPr>
        <w:t>’</w:t>
      </w:r>
      <w:r w:rsidR="00595A9B" w:rsidRPr="00FD69CC">
        <w:rPr>
          <w:kern w:val="22"/>
          <w:lang w:val="fr-FR"/>
        </w:rPr>
        <w:t>adaptation au changement climatique et de la réduction des risques de catastrophes</w:t>
      </w:r>
      <w:r w:rsidR="00837793">
        <w:rPr>
          <w:rStyle w:val="FootnoteReference"/>
          <w:kern w:val="22"/>
          <w:lang w:val="fr-FR"/>
        </w:rPr>
        <w:footnoteReference w:id="14"/>
      </w:r>
      <w:r w:rsidR="00595A9B" w:rsidRPr="00FD69CC">
        <w:rPr>
          <w:kern w:val="22"/>
          <w:lang w:val="fr-FR"/>
        </w:rPr>
        <w:t xml:space="preserve">, le cas échéant, ainsi que les outils et orientations pertinents </w:t>
      </w:r>
      <w:r w:rsidR="002F7985">
        <w:rPr>
          <w:kern w:val="22"/>
          <w:lang w:val="fr-FR"/>
        </w:rPr>
        <w:t xml:space="preserve">élaborés au titre </w:t>
      </w:r>
      <w:r w:rsidR="00595A9B" w:rsidRPr="00FD69CC">
        <w:rPr>
          <w:kern w:val="22"/>
          <w:lang w:val="fr-FR"/>
        </w:rPr>
        <w:t>d</w:t>
      </w:r>
      <w:r w:rsidR="001B2859" w:rsidRPr="00FD69CC">
        <w:rPr>
          <w:kern w:val="22"/>
          <w:lang w:val="fr-FR"/>
        </w:rPr>
        <w:t>’</w:t>
      </w:r>
      <w:r w:rsidR="00595A9B" w:rsidRPr="00FD69CC">
        <w:rPr>
          <w:kern w:val="22"/>
          <w:lang w:val="fr-FR"/>
        </w:rPr>
        <w:t xml:space="preserve">autres conventions relatives à la biodiversité, telles que la </w:t>
      </w:r>
      <w:r w:rsidR="002F7985" w:rsidRPr="002F7985">
        <w:rPr>
          <w:kern w:val="22"/>
          <w:lang w:val="fr-FR"/>
        </w:rPr>
        <w:t>Convention relative aux zones humides d'importance internationale, particulièrement comme habitats des oiseaux d'eau</w:t>
      </w:r>
      <w:r w:rsidR="002F7985" w:rsidRPr="00147CE1">
        <w:rPr>
          <w:rStyle w:val="FootnoteReference"/>
          <w:kern w:val="22"/>
        </w:rPr>
        <w:footnoteReference w:id="15"/>
      </w:r>
      <w:r w:rsidR="002F7985">
        <w:rPr>
          <w:kern w:val="22"/>
          <w:lang w:val="fr-FR"/>
        </w:rPr>
        <w:t xml:space="preserve"> </w:t>
      </w:r>
      <w:r w:rsidRPr="00FD69CC">
        <w:rPr>
          <w:kern w:val="22"/>
          <w:lang w:val="fr-FR"/>
        </w:rPr>
        <w:t>;</w:t>
      </w:r>
    </w:p>
    <w:p w14:paraId="671F0326" w14:textId="328AF18B" w:rsidR="00855BA1" w:rsidRPr="00FD69CC" w:rsidRDefault="00855BA1" w:rsidP="004A45E7">
      <w:pPr>
        <w:pStyle w:val="Para3"/>
        <w:numPr>
          <w:ilvl w:val="0"/>
          <w:numId w:val="0"/>
        </w:numPr>
        <w:ind w:left="567" w:firstLine="567"/>
        <w:rPr>
          <w:kern w:val="22"/>
          <w:szCs w:val="22"/>
          <w:lang w:val="fr-FR"/>
        </w:rPr>
      </w:pPr>
      <w:r w:rsidRPr="00FD69CC">
        <w:rPr>
          <w:kern w:val="22"/>
          <w:szCs w:val="22"/>
          <w:lang w:val="fr-FR"/>
        </w:rPr>
        <w:t xml:space="preserve">e) </w:t>
      </w:r>
      <w:r w:rsidR="000A06C9" w:rsidRPr="00FD69CC">
        <w:rPr>
          <w:kern w:val="22"/>
          <w:szCs w:val="22"/>
          <w:lang w:val="fr-FR"/>
        </w:rPr>
        <w:tab/>
      </w:r>
      <w:r w:rsidR="0068764A" w:rsidRPr="00FD69CC">
        <w:rPr>
          <w:kern w:val="22"/>
          <w:szCs w:val="22"/>
          <w:lang w:val="fr-FR"/>
        </w:rPr>
        <w:t>Prendre en compte la diversité des valeurs et des systèmes de connaissances, ainsi que les approches intersectionnelles, afin de garantir des actions adaptées au contexte en vue de consolider les droits de l</w:t>
      </w:r>
      <w:r w:rsidR="001B2859" w:rsidRPr="00FD69CC">
        <w:rPr>
          <w:kern w:val="22"/>
          <w:szCs w:val="22"/>
          <w:lang w:val="fr-FR"/>
        </w:rPr>
        <w:t>’</w:t>
      </w:r>
      <w:r w:rsidR="0068764A" w:rsidRPr="00FD69CC">
        <w:rPr>
          <w:kern w:val="22"/>
          <w:szCs w:val="22"/>
          <w:lang w:val="fr-FR"/>
        </w:rPr>
        <w:t>homme, l</w:t>
      </w:r>
      <w:r w:rsidR="001B2859" w:rsidRPr="00FD69CC">
        <w:rPr>
          <w:kern w:val="22"/>
          <w:szCs w:val="22"/>
          <w:lang w:val="fr-FR"/>
        </w:rPr>
        <w:t>’</w:t>
      </w:r>
      <w:r w:rsidR="0068764A" w:rsidRPr="00FD69CC">
        <w:rPr>
          <w:kern w:val="22"/>
          <w:szCs w:val="22"/>
          <w:lang w:val="fr-FR"/>
        </w:rPr>
        <w:t>autonomisation, l</w:t>
      </w:r>
      <w:r w:rsidR="001B2859" w:rsidRPr="00FD69CC">
        <w:rPr>
          <w:kern w:val="22"/>
          <w:szCs w:val="22"/>
          <w:lang w:val="fr-FR"/>
        </w:rPr>
        <w:t>’</w:t>
      </w:r>
      <w:r w:rsidR="0068764A" w:rsidRPr="00FD69CC">
        <w:rPr>
          <w:kern w:val="22"/>
          <w:szCs w:val="22"/>
          <w:lang w:val="fr-FR"/>
        </w:rPr>
        <w:t>action et l</w:t>
      </w:r>
      <w:r w:rsidR="001B2859" w:rsidRPr="00FD69CC">
        <w:rPr>
          <w:kern w:val="22"/>
          <w:szCs w:val="22"/>
          <w:lang w:val="fr-FR"/>
        </w:rPr>
        <w:t>’</w:t>
      </w:r>
      <w:r w:rsidR="0068764A" w:rsidRPr="00FD69CC">
        <w:rPr>
          <w:kern w:val="22"/>
          <w:szCs w:val="22"/>
          <w:lang w:val="fr-FR"/>
        </w:rPr>
        <w:t>équité intergénérationnelle</w:t>
      </w:r>
      <w:r w:rsidRPr="00FD69CC">
        <w:rPr>
          <w:kern w:val="22"/>
          <w:szCs w:val="22"/>
          <w:lang w:val="fr-FR"/>
        </w:rPr>
        <w:t>.</w:t>
      </w:r>
    </w:p>
    <w:p w14:paraId="2BC8A5B8" w14:textId="03680ED3" w:rsidR="00855BA1" w:rsidRPr="00FD69CC" w:rsidRDefault="00C40DAD" w:rsidP="004A45E7">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Pr>
          <w:kern w:val="22"/>
          <w:szCs w:val="22"/>
          <w:lang w:val="fr-FR"/>
        </w:rPr>
        <w:t>4</w:t>
      </w:r>
      <w:r w:rsidR="00855BA1" w:rsidRPr="00FD69CC">
        <w:rPr>
          <w:i/>
          <w:iCs/>
          <w:kern w:val="22"/>
          <w:szCs w:val="22"/>
          <w:lang w:val="fr-FR"/>
        </w:rPr>
        <w:t>.</w:t>
      </w:r>
      <w:r w:rsidR="00855BA1" w:rsidRPr="00FD69CC">
        <w:rPr>
          <w:i/>
          <w:iCs/>
          <w:kern w:val="22"/>
          <w:szCs w:val="22"/>
          <w:lang w:val="fr-FR"/>
        </w:rPr>
        <w:tab/>
      </w:r>
      <w:r w:rsidR="00855BA1" w:rsidRPr="00FD69CC">
        <w:rPr>
          <w:i/>
          <w:iCs/>
          <w:lang w:val="fr-FR"/>
        </w:rPr>
        <w:t>Encourage</w:t>
      </w:r>
      <w:r w:rsidR="00855BA1" w:rsidRPr="00FD69CC">
        <w:rPr>
          <w:lang w:val="fr-FR"/>
        </w:rPr>
        <w:t xml:space="preserve"> </w:t>
      </w:r>
      <w:r w:rsidR="0068764A" w:rsidRPr="00FD69CC">
        <w:rPr>
          <w:lang w:val="fr-FR"/>
        </w:rPr>
        <w:t xml:space="preserve">les Parties, les autres gouvernements à tous les niveaux, les peuples autochtones et les communautés locales ainsi que les organisations compétentes, avec la participation pleine et effective des peuples autochtones et des communautés locales, des femmes et des jeunes, à </w:t>
      </w:r>
      <w:r w:rsidR="0068764A" w:rsidRPr="00FD69CC">
        <w:rPr>
          <w:lang w:val="fr-FR"/>
        </w:rPr>
        <w:lastRenderedPageBreak/>
        <w:t>tenir compte des incidences existantes et prévues des changements climatiques et des politiques liées au climat sur la diversité biologique lors de la mise en œuvre du Cadre </w:t>
      </w:r>
      <w:r w:rsidR="002F7985" w:rsidRPr="00FD69CC">
        <w:rPr>
          <w:kern w:val="22"/>
          <w:szCs w:val="22"/>
          <w:lang w:val="fr-FR"/>
        </w:rPr>
        <w:t>mondial de la biodiversité de Kunming-Montréal</w:t>
      </w:r>
      <w:r w:rsidR="002F7985">
        <w:rPr>
          <w:kern w:val="22"/>
          <w:szCs w:val="22"/>
          <w:lang w:val="fr-FR"/>
        </w:rPr>
        <w:t xml:space="preserve"> </w:t>
      </w:r>
      <w:r w:rsidR="001247BB" w:rsidRPr="00FD69CC">
        <w:rPr>
          <w:lang w:val="fr-FR"/>
        </w:rPr>
        <w:t>;</w:t>
      </w:r>
    </w:p>
    <w:p w14:paraId="4B8A4BC6" w14:textId="7F384D78" w:rsidR="00855BA1" w:rsidRPr="00FD69CC" w:rsidRDefault="00C40DAD" w:rsidP="004A45E7">
      <w:pPr>
        <w:pStyle w:val="Para1"/>
        <w:numPr>
          <w:ilvl w:val="0"/>
          <w:numId w:val="0"/>
        </w:numPr>
        <w:suppressLineNumbers/>
        <w:tabs>
          <w:tab w:val="left" w:pos="1170"/>
          <w:tab w:val="left" w:pos="1701"/>
        </w:tabs>
        <w:suppressAutoHyphens/>
        <w:kinsoku w:val="0"/>
        <w:overflowPunct w:val="0"/>
        <w:autoSpaceDE w:val="0"/>
        <w:autoSpaceDN w:val="0"/>
        <w:adjustRightInd w:val="0"/>
        <w:ind w:left="567" w:firstLine="567"/>
        <w:rPr>
          <w:kern w:val="22"/>
          <w:szCs w:val="22"/>
          <w:lang w:val="fr-FR"/>
        </w:rPr>
      </w:pPr>
      <w:r>
        <w:rPr>
          <w:kern w:val="22"/>
          <w:szCs w:val="22"/>
          <w:lang w:val="fr-FR"/>
        </w:rPr>
        <w:t>5</w:t>
      </w:r>
      <w:r w:rsidR="00855BA1" w:rsidRPr="00FD69CC">
        <w:rPr>
          <w:kern w:val="22"/>
          <w:szCs w:val="22"/>
          <w:lang w:val="fr-FR"/>
        </w:rPr>
        <w:t>.</w:t>
      </w:r>
      <w:r w:rsidR="00855BA1" w:rsidRPr="00FD69CC">
        <w:rPr>
          <w:kern w:val="22"/>
          <w:szCs w:val="22"/>
          <w:lang w:val="fr-FR"/>
        </w:rPr>
        <w:tab/>
      </w:r>
      <w:r w:rsidR="00855BA1" w:rsidRPr="00FD69CC">
        <w:rPr>
          <w:i/>
          <w:kern w:val="22"/>
          <w:szCs w:val="22"/>
          <w:lang w:val="fr-FR"/>
        </w:rPr>
        <w:t xml:space="preserve">Encourage </w:t>
      </w:r>
      <w:r w:rsidR="00716280" w:rsidRPr="00FD69CC">
        <w:rPr>
          <w:kern w:val="22"/>
          <w:szCs w:val="22"/>
          <w:lang w:val="fr-FR"/>
        </w:rPr>
        <w:t>les Parties à la Convention, et invite les autres gouvernements à tous les échelons, les institutions financières, les organisations compétentes et les parties prenantes, y compris le secteur privé, en cohérence avec le Cadre mondial de la biodiversité de Kunming-Montréal, à fournir des ressources nouvelles et supplémentaires afin d</w:t>
      </w:r>
      <w:r w:rsidR="001B2859" w:rsidRPr="00FD69CC">
        <w:rPr>
          <w:kern w:val="22"/>
          <w:szCs w:val="22"/>
          <w:lang w:val="fr-FR"/>
        </w:rPr>
        <w:t>’</w:t>
      </w:r>
      <w:r w:rsidR="00716280" w:rsidRPr="00FD69CC">
        <w:rPr>
          <w:kern w:val="22"/>
          <w:szCs w:val="22"/>
          <w:lang w:val="fr-FR"/>
        </w:rPr>
        <w:t>accroître collectivement les investissements en faveur de la conservation et de l</w:t>
      </w:r>
      <w:r w:rsidR="001B2859" w:rsidRPr="00FD69CC">
        <w:rPr>
          <w:kern w:val="22"/>
          <w:szCs w:val="22"/>
          <w:lang w:val="fr-FR"/>
        </w:rPr>
        <w:t>’</w:t>
      </w:r>
      <w:r w:rsidR="00716280" w:rsidRPr="00FD69CC">
        <w:rPr>
          <w:kern w:val="22"/>
          <w:szCs w:val="22"/>
          <w:lang w:val="fr-FR"/>
        </w:rPr>
        <w:t>utilisation durable de la biodiversité, de la restauration des écosystèmes et des infrastructures durables, qui contribuent également à l</w:t>
      </w:r>
      <w:r w:rsidR="001B2859" w:rsidRPr="00FD69CC">
        <w:rPr>
          <w:kern w:val="22"/>
          <w:szCs w:val="22"/>
          <w:lang w:val="fr-FR"/>
        </w:rPr>
        <w:t>’</w:t>
      </w:r>
      <w:r w:rsidR="00716280" w:rsidRPr="00FD69CC">
        <w:rPr>
          <w:kern w:val="22"/>
          <w:szCs w:val="22"/>
          <w:lang w:val="fr-FR"/>
        </w:rPr>
        <w:t>adaptation au changement climatique, à l</w:t>
      </w:r>
      <w:r w:rsidR="001B2859" w:rsidRPr="00FD69CC">
        <w:rPr>
          <w:kern w:val="22"/>
          <w:szCs w:val="22"/>
          <w:lang w:val="fr-FR"/>
        </w:rPr>
        <w:t>’</w:t>
      </w:r>
      <w:r w:rsidR="00716280" w:rsidRPr="00FD69CC">
        <w:rPr>
          <w:kern w:val="22"/>
          <w:szCs w:val="22"/>
          <w:lang w:val="fr-FR"/>
        </w:rPr>
        <w:t>atténuation de ses incidences et à la réduction des risques de catastrophe, conformément à l</w:t>
      </w:r>
      <w:r w:rsidR="001B2859" w:rsidRPr="00FD69CC">
        <w:rPr>
          <w:kern w:val="22"/>
          <w:szCs w:val="22"/>
          <w:lang w:val="fr-FR"/>
        </w:rPr>
        <w:t>’</w:t>
      </w:r>
      <w:r w:rsidR="00716280" w:rsidRPr="00FD69CC">
        <w:rPr>
          <w:kern w:val="22"/>
          <w:szCs w:val="22"/>
          <w:lang w:val="fr-FR"/>
        </w:rPr>
        <w:t>article 20 de la Convention et au Cadre mondial, et d</w:t>
      </w:r>
      <w:r w:rsidR="001B2859" w:rsidRPr="00FD69CC">
        <w:rPr>
          <w:kern w:val="22"/>
          <w:szCs w:val="22"/>
          <w:lang w:val="fr-FR"/>
        </w:rPr>
        <w:t>’</w:t>
      </w:r>
      <w:r w:rsidR="00716280" w:rsidRPr="00FD69CC">
        <w:rPr>
          <w:kern w:val="22"/>
          <w:szCs w:val="22"/>
          <w:lang w:val="fr-FR"/>
        </w:rPr>
        <w:t>optimiser les co</w:t>
      </w:r>
      <w:r w:rsidR="00C32B5E" w:rsidRPr="00FD69CC">
        <w:rPr>
          <w:kern w:val="22"/>
          <w:szCs w:val="22"/>
          <w:lang w:val="fr-FR"/>
        </w:rPr>
        <w:t>-</w:t>
      </w:r>
      <w:r w:rsidR="00716280" w:rsidRPr="00FD69CC">
        <w:rPr>
          <w:kern w:val="22"/>
          <w:szCs w:val="22"/>
          <w:lang w:val="fr-FR"/>
        </w:rPr>
        <w:t>bénéfices et les synergies entre les financements de toutes les sources afin de répondre conjointement à l</w:t>
      </w:r>
      <w:r w:rsidR="001B2859" w:rsidRPr="00FD69CC">
        <w:rPr>
          <w:kern w:val="22"/>
          <w:szCs w:val="22"/>
          <w:lang w:val="fr-FR"/>
        </w:rPr>
        <w:t>’</w:t>
      </w:r>
      <w:r w:rsidR="00716280" w:rsidRPr="00FD69CC">
        <w:rPr>
          <w:kern w:val="22"/>
          <w:szCs w:val="22"/>
          <w:lang w:val="fr-FR"/>
        </w:rPr>
        <w:t>adaptation au changement climatique, à l</w:t>
      </w:r>
      <w:r w:rsidR="001B2859" w:rsidRPr="00FD69CC">
        <w:rPr>
          <w:kern w:val="22"/>
          <w:szCs w:val="22"/>
          <w:lang w:val="fr-FR"/>
        </w:rPr>
        <w:t>’</w:t>
      </w:r>
      <w:r w:rsidR="00716280" w:rsidRPr="00FD69CC">
        <w:rPr>
          <w:kern w:val="22"/>
          <w:szCs w:val="22"/>
          <w:lang w:val="fr-FR"/>
        </w:rPr>
        <w:t>atténuation de ses incidences et à la réduction des risques de catastrophe, ainsi que d</w:t>
      </w:r>
      <w:r w:rsidR="001B2859" w:rsidRPr="00FD69CC">
        <w:rPr>
          <w:kern w:val="22"/>
          <w:szCs w:val="22"/>
          <w:lang w:val="fr-FR"/>
        </w:rPr>
        <w:t>’</w:t>
      </w:r>
      <w:r w:rsidR="00716280" w:rsidRPr="00FD69CC">
        <w:rPr>
          <w:kern w:val="22"/>
          <w:szCs w:val="22"/>
          <w:lang w:val="fr-FR"/>
        </w:rPr>
        <w:t>arrêter et d</w:t>
      </w:r>
      <w:r w:rsidR="001B2859" w:rsidRPr="00FD69CC">
        <w:rPr>
          <w:kern w:val="22"/>
          <w:szCs w:val="22"/>
          <w:lang w:val="fr-FR"/>
        </w:rPr>
        <w:t>’</w:t>
      </w:r>
      <w:r w:rsidR="00716280" w:rsidRPr="00FD69CC">
        <w:rPr>
          <w:kern w:val="22"/>
          <w:szCs w:val="22"/>
          <w:lang w:val="fr-FR"/>
        </w:rPr>
        <w:t>inverser la perte de biodiversité conformément à l</w:t>
      </w:r>
      <w:r w:rsidR="001B2859" w:rsidRPr="00FD69CC">
        <w:rPr>
          <w:kern w:val="22"/>
          <w:szCs w:val="22"/>
          <w:lang w:val="fr-FR"/>
        </w:rPr>
        <w:t>’</w:t>
      </w:r>
      <w:r w:rsidR="00716280" w:rsidRPr="00FD69CC">
        <w:rPr>
          <w:kern w:val="22"/>
          <w:szCs w:val="22"/>
          <w:lang w:val="fr-FR"/>
        </w:rPr>
        <w:t>objectif 19 e) du Cadre mondial, tout en évitant le double comptage et en renforçant la transparence </w:t>
      </w:r>
      <w:r w:rsidR="00855BA1" w:rsidRPr="00FD69CC">
        <w:rPr>
          <w:kern w:val="22"/>
          <w:szCs w:val="22"/>
          <w:lang w:val="fr-FR"/>
        </w:rPr>
        <w:t xml:space="preserve">; </w:t>
      </w:r>
    </w:p>
    <w:p w14:paraId="1389D328" w14:textId="35FAE8E6" w:rsidR="00855BA1" w:rsidRPr="00FD69CC" w:rsidRDefault="00C40DAD" w:rsidP="00B1101C">
      <w:pPr>
        <w:pStyle w:val="Para1"/>
        <w:numPr>
          <w:ilvl w:val="0"/>
          <w:numId w:val="0"/>
        </w:numPr>
        <w:suppressLineNumbers/>
        <w:tabs>
          <w:tab w:val="left" w:pos="1701"/>
          <w:tab w:val="left" w:pos="1843"/>
        </w:tabs>
        <w:suppressAutoHyphens/>
        <w:kinsoku w:val="0"/>
        <w:overflowPunct w:val="0"/>
        <w:autoSpaceDE w:val="0"/>
        <w:autoSpaceDN w:val="0"/>
        <w:adjustRightInd w:val="0"/>
        <w:ind w:left="567" w:firstLine="567"/>
        <w:rPr>
          <w:snapToGrid w:val="0"/>
          <w:kern w:val="22"/>
          <w:lang w:val="fr-FR"/>
        </w:rPr>
      </w:pPr>
      <w:r>
        <w:rPr>
          <w:snapToGrid w:val="0"/>
          <w:kern w:val="22"/>
          <w:lang w:val="fr-FR"/>
        </w:rPr>
        <w:t>6</w:t>
      </w:r>
      <w:r w:rsidR="00855BA1" w:rsidRPr="00FD69CC">
        <w:rPr>
          <w:snapToGrid w:val="0"/>
          <w:kern w:val="22"/>
          <w:lang w:val="fr-FR"/>
        </w:rPr>
        <w:t xml:space="preserve">. </w:t>
      </w:r>
      <w:r w:rsidR="00B1101C" w:rsidRPr="00FD69CC">
        <w:rPr>
          <w:snapToGrid w:val="0"/>
          <w:kern w:val="22"/>
          <w:lang w:val="fr-FR"/>
        </w:rPr>
        <w:tab/>
      </w:r>
      <w:r w:rsidR="00855BA1" w:rsidRPr="00FD69CC">
        <w:rPr>
          <w:i/>
          <w:iCs/>
          <w:snapToGrid w:val="0"/>
          <w:kern w:val="22"/>
          <w:lang w:val="fr-FR"/>
        </w:rPr>
        <w:t>Encourage</w:t>
      </w:r>
      <w:r w:rsidR="00855BA1" w:rsidRPr="00FD69CC">
        <w:rPr>
          <w:snapToGrid w:val="0"/>
          <w:kern w:val="22"/>
          <w:lang w:val="fr-FR"/>
        </w:rPr>
        <w:t xml:space="preserve"> </w:t>
      </w:r>
      <w:r w:rsidR="002A03C9" w:rsidRPr="00FD69CC">
        <w:rPr>
          <w:snapToGrid w:val="0"/>
          <w:kern w:val="22"/>
          <w:lang w:val="fr-FR"/>
        </w:rPr>
        <w:t>les Parties, les autres gouvernements et les organisations compétentes à évaluer, gérer et éviter les effets négatifs potentiels sur la diversité biologique qui pourraient résulter des transitions économiques et sectorielles entreprises en réponse aux changements climatiques, dans l</w:t>
      </w:r>
      <w:r w:rsidR="002F7985">
        <w:rPr>
          <w:snapToGrid w:val="0"/>
          <w:kern w:val="22"/>
          <w:lang w:val="fr-FR"/>
        </w:rPr>
        <w:t xml:space="preserve">’utilisation </w:t>
      </w:r>
      <w:r w:rsidR="002A03C9" w:rsidRPr="00FD69CC">
        <w:rPr>
          <w:snapToGrid w:val="0"/>
          <w:kern w:val="22"/>
          <w:lang w:val="fr-FR"/>
        </w:rPr>
        <w:t xml:space="preserve">des sols, </w:t>
      </w:r>
      <w:r w:rsidR="002F7985">
        <w:rPr>
          <w:snapToGrid w:val="0"/>
          <w:kern w:val="22"/>
          <w:lang w:val="fr-FR"/>
        </w:rPr>
        <w:t xml:space="preserve">dans </w:t>
      </w:r>
      <w:r w:rsidR="002A03C9" w:rsidRPr="00FD69CC">
        <w:rPr>
          <w:snapToGrid w:val="0"/>
          <w:kern w:val="22"/>
          <w:lang w:val="fr-FR"/>
        </w:rPr>
        <w:t>l</w:t>
      </w:r>
      <w:r w:rsidR="001B2859" w:rsidRPr="00FD69CC">
        <w:rPr>
          <w:snapToGrid w:val="0"/>
          <w:kern w:val="22"/>
          <w:lang w:val="fr-FR"/>
        </w:rPr>
        <w:t>’</w:t>
      </w:r>
      <w:r w:rsidR="002A03C9" w:rsidRPr="00FD69CC">
        <w:rPr>
          <w:snapToGrid w:val="0"/>
          <w:kern w:val="22"/>
          <w:lang w:val="fr-FR"/>
        </w:rPr>
        <w:t xml:space="preserve">énergie, </w:t>
      </w:r>
      <w:r w:rsidR="002F7985">
        <w:rPr>
          <w:snapToGrid w:val="0"/>
          <w:kern w:val="22"/>
          <w:lang w:val="fr-FR"/>
        </w:rPr>
        <w:t xml:space="preserve">les </w:t>
      </w:r>
      <w:r w:rsidR="002A03C9" w:rsidRPr="00FD69CC">
        <w:rPr>
          <w:snapToGrid w:val="0"/>
          <w:kern w:val="22"/>
          <w:lang w:val="fr-FR"/>
        </w:rPr>
        <w:t xml:space="preserve">villes et </w:t>
      </w:r>
      <w:r w:rsidR="002F7985">
        <w:rPr>
          <w:snapToGrid w:val="0"/>
          <w:kern w:val="22"/>
          <w:lang w:val="fr-FR"/>
        </w:rPr>
        <w:t>l</w:t>
      </w:r>
      <w:r w:rsidR="002A03C9" w:rsidRPr="00FD69CC">
        <w:rPr>
          <w:snapToGrid w:val="0"/>
          <w:kern w:val="22"/>
          <w:lang w:val="fr-FR"/>
        </w:rPr>
        <w:t xml:space="preserve">es infrastructures, ainsi que </w:t>
      </w:r>
      <w:r w:rsidR="002F7985">
        <w:rPr>
          <w:snapToGrid w:val="0"/>
          <w:kern w:val="22"/>
          <w:lang w:val="fr-FR"/>
        </w:rPr>
        <w:t>l</w:t>
      </w:r>
      <w:r w:rsidR="002A03C9" w:rsidRPr="00FD69CC">
        <w:rPr>
          <w:snapToGrid w:val="0"/>
          <w:kern w:val="22"/>
          <w:lang w:val="fr-FR"/>
        </w:rPr>
        <w:t>es systèmes industriels </w:t>
      </w:r>
      <w:r w:rsidR="00855BA1" w:rsidRPr="00FD69CC">
        <w:rPr>
          <w:snapToGrid w:val="0"/>
          <w:kern w:val="22"/>
          <w:lang w:val="fr-FR"/>
        </w:rPr>
        <w:t>;</w:t>
      </w:r>
    </w:p>
    <w:p w14:paraId="29767269" w14:textId="3838CDC3" w:rsidR="00855BA1" w:rsidRPr="00FD69CC" w:rsidRDefault="00C40DAD" w:rsidP="004A45E7">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rPr>
          <w:kern w:val="22"/>
          <w:szCs w:val="22"/>
          <w:lang w:val="fr-FR"/>
        </w:rPr>
      </w:pPr>
      <w:r>
        <w:rPr>
          <w:kern w:val="22"/>
          <w:szCs w:val="22"/>
          <w:lang w:val="fr-FR"/>
        </w:rPr>
        <w:t>7</w:t>
      </w:r>
      <w:r w:rsidR="00855BA1" w:rsidRPr="00FD69CC">
        <w:rPr>
          <w:kern w:val="22"/>
          <w:szCs w:val="22"/>
          <w:lang w:val="fr-FR"/>
        </w:rPr>
        <w:t>.</w:t>
      </w:r>
      <w:r w:rsidR="00855BA1" w:rsidRPr="00FD69CC">
        <w:rPr>
          <w:kern w:val="22"/>
          <w:szCs w:val="22"/>
          <w:lang w:val="fr-FR"/>
        </w:rPr>
        <w:tab/>
      </w:r>
      <w:r w:rsidR="00F8345D" w:rsidRPr="00FD69CC">
        <w:rPr>
          <w:i/>
          <w:iCs/>
          <w:kern w:val="22"/>
          <w:szCs w:val="22"/>
          <w:lang w:val="fr-FR"/>
        </w:rPr>
        <w:t>Accueille avec satisfaction</w:t>
      </w:r>
      <w:r w:rsidR="00855BA1" w:rsidRPr="00FD69CC">
        <w:rPr>
          <w:kern w:val="22"/>
          <w:szCs w:val="22"/>
          <w:lang w:val="fr-FR"/>
        </w:rPr>
        <w:t xml:space="preserve"> </w:t>
      </w:r>
      <w:r w:rsidR="00F8345D" w:rsidRPr="00FD69CC">
        <w:rPr>
          <w:kern w:val="22"/>
          <w:szCs w:val="22"/>
          <w:lang w:val="fr-FR"/>
        </w:rPr>
        <w:t>les consultations intergouvernementales sur les solutions basées sur la nature entreprises par le Programme des Nations unies pour l</w:t>
      </w:r>
      <w:r w:rsidR="001B2859" w:rsidRPr="00FD69CC">
        <w:rPr>
          <w:kern w:val="22"/>
          <w:szCs w:val="22"/>
          <w:lang w:val="fr-FR"/>
        </w:rPr>
        <w:t>’</w:t>
      </w:r>
      <w:r w:rsidR="00F8345D" w:rsidRPr="00FD69CC">
        <w:rPr>
          <w:kern w:val="22"/>
          <w:szCs w:val="22"/>
          <w:lang w:val="fr-FR"/>
        </w:rPr>
        <w:t>environnement conformément à la résolution 5/5 de l</w:t>
      </w:r>
      <w:r w:rsidR="001B2859" w:rsidRPr="00FD69CC">
        <w:rPr>
          <w:kern w:val="22"/>
          <w:szCs w:val="22"/>
          <w:lang w:val="fr-FR"/>
        </w:rPr>
        <w:t>’</w:t>
      </w:r>
      <w:r w:rsidR="00F8345D" w:rsidRPr="00FD69CC">
        <w:rPr>
          <w:kern w:val="22"/>
          <w:szCs w:val="22"/>
          <w:lang w:val="fr-FR"/>
        </w:rPr>
        <w:t>Assemblée des Nations unies pour l</w:t>
      </w:r>
      <w:r w:rsidR="001B2859" w:rsidRPr="00FD69CC">
        <w:rPr>
          <w:kern w:val="22"/>
          <w:szCs w:val="22"/>
          <w:lang w:val="fr-FR"/>
        </w:rPr>
        <w:t>’</w:t>
      </w:r>
      <w:r w:rsidR="00F8345D" w:rsidRPr="00FD69CC">
        <w:rPr>
          <w:kern w:val="22"/>
          <w:szCs w:val="22"/>
          <w:lang w:val="fr-FR"/>
        </w:rPr>
        <w:t>environnement</w:t>
      </w:r>
      <w:r w:rsidR="002F7985">
        <w:rPr>
          <w:kern w:val="22"/>
          <w:szCs w:val="22"/>
          <w:lang w:val="fr-FR"/>
        </w:rPr>
        <w:t xml:space="preserve"> </w:t>
      </w:r>
      <w:r w:rsidR="00EC35A3" w:rsidRPr="00FD69CC">
        <w:rPr>
          <w:kern w:val="22"/>
          <w:szCs w:val="22"/>
          <w:lang w:val="fr-FR"/>
        </w:rPr>
        <w:t>;</w:t>
      </w:r>
    </w:p>
    <w:p w14:paraId="400FE78F" w14:textId="3F013259" w:rsidR="00855BA1" w:rsidRPr="00FD69CC" w:rsidRDefault="00C40DAD" w:rsidP="004A45E7">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rPr>
          <w:kern w:val="22"/>
          <w:lang w:val="fr-FR"/>
        </w:rPr>
      </w:pPr>
      <w:r>
        <w:rPr>
          <w:kern w:val="22"/>
          <w:lang w:val="fr-FR"/>
        </w:rPr>
        <w:t>8</w:t>
      </w:r>
      <w:r w:rsidR="00425944" w:rsidRPr="00FD69CC">
        <w:rPr>
          <w:kern w:val="22"/>
          <w:lang w:val="fr-FR"/>
        </w:rPr>
        <w:t>.</w:t>
      </w:r>
      <w:r w:rsidR="00425944" w:rsidRPr="00FD69CC">
        <w:rPr>
          <w:kern w:val="22"/>
          <w:lang w:val="fr-FR"/>
        </w:rPr>
        <w:tab/>
      </w:r>
      <w:r w:rsidR="00855BA1" w:rsidRPr="00FD69CC">
        <w:rPr>
          <w:i/>
          <w:iCs/>
          <w:kern w:val="22"/>
          <w:lang w:val="fr-FR"/>
        </w:rPr>
        <w:t>Invite</w:t>
      </w:r>
      <w:r w:rsidR="00855BA1" w:rsidRPr="00FD69CC">
        <w:rPr>
          <w:kern w:val="22"/>
          <w:lang w:val="fr-FR"/>
        </w:rPr>
        <w:t xml:space="preserve"> </w:t>
      </w:r>
      <w:r w:rsidR="002F7985">
        <w:rPr>
          <w:kern w:val="22"/>
          <w:lang w:val="fr-FR"/>
        </w:rPr>
        <w:t xml:space="preserve">les organes de la </w:t>
      </w:r>
      <w:r w:rsidR="00125782" w:rsidRPr="00FD69CC">
        <w:rPr>
          <w:kern w:val="22"/>
          <w:lang w:val="fr-FR"/>
        </w:rPr>
        <w:t>Convention-cadre des Nations unies sur les changements climatiques et les Parties à examiner les lignes directrices volontaires pour la conception et la mise en œuvre effective d</w:t>
      </w:r>
      <w:r w:rsidR="001B2859" w:rsidRPr="00FD69CC">
        <w:rPr>
          <w:kern w:val="22"/>
          <w:lang w:val="fr-FR"/>
        </w:rPr>
        <w:t>’</w:t>
      </w:r>
      <w:r w:rsidR="00125782" w:rsidRPr="00FD69CC">
        <w:rPr>
          <w:kern w:val="22"/>
          <w:lang w:val="fr-FR"/>
        </w:rPr>
        <w:t>approches écosystémiques de l</w:t>
      </w:r>
      <w:r w:rsidR="001B2859" w:rsidRPr="00FD69CC">
        <w:rPr>
          <w:kern w:val="22"/>
          <w:lang w:val="fr-FR"/>
        </w:rPr>
        <w:t>’</w:t>
      </w:r>
      <w:r w:rsidR="00125782" w:rsidRPr="00FD69CC">
        <w:rPr>
          <w:kern w:val="22"/>
          <w:lang w:val="fr-FR"/>
        </w:rPr>
        <w:t>adaptation au changement climatique et de la réduction des risques de catastrophe, afin que les Parties intègrent des garanties en matière de biodiversité dans les mesures d</w:t>
      </w:r>
      <w:r w:rsidR="001B2859" w:rsidRPr="00FD69CC">
        <w:rPr>
          <w:kern w:val="22"/>
          <w:lang w:val="fr-FR"/>
        </w:rPr>
        <w:t>’</w:t>
      </w:r>
      <w:r w:rsidR="00125782" w:rsidRPr="00FD69CC">
        <w:rPr>
          <w:kern w:val="22"/>
          <w:lang w:val="fr-FR"/>
        </w:rPr>
        <w:t>atténuation et d</w:t>
      </w:r>
      <w:r w:rsidR="001B2859" w:rsidRPr="00FD69CC">
        <w:rPr>
          <w:kern w:val="22"/>
          <w:lang w:val="fr-FR"/>
        </w:rPr>
        <w:t>’</w:t>
      </w:r>
      <w:r w:rsidR="00125782" w:rsidRPr="00FD69CC">
        <w:rPr>
          <w:kern w:val="22"/>
          <w:lang w:val="fr-FR"/>
        </w:rPr>
        <w:t>adaptation </w:t>
      </w:r>
      <w:r w:rsidR="00855BA1" w:rsidRPr="00FD69CC">
        <w:rPr>
          <w:kern w:val="22"/>
          <w:lang w:val="fr-FR"/>
        </w:rPr>
        <w:t xml:space="preserve">; </w:t>
      </w:r>
    </w:p>
    <w:p w14:paraId="3D332261" w14:textId="4634B69B" w:rsidR="00855BA1" w:rsidRPr="00FD69CC" w:rsidRDefault="00C40DAD" w:rsidP="004A45E7">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rPr>
          <w:kern w:val="22"/>
          <w:lang w:val="fr-FR"/>
        </w:rPr>
      </w:pPr>
      <w:r>
        <w:rPr>
          <w:kern w:val="22"/>
          <w:lang w:val="fr-FR"/>
        </w:rPr>
        <w:t>9</w:t>
      </w:r>
      <w:r w:rsidR="00425944" w:rsidRPr="00FD69CC">
        <w:rPr>
          <w:kern w:val="22"/>
          <w:lang w:val="fr-FR"/>
        </w:rPr>
        <w:t>.</w:t>
      </w:r>
      <w:r w:rsidR="00425944" w:rsidRPr="00FD69CC">
        <w:rPr>
          <w:kern w:val="22"/>
          <w:lang w:val="fr-FR"/>
        </w:rPr>
        <w:tab/>
      </w:r>
      <w:r w:rsidR="00613F16" w:rsidRPr="00FD69CC">
        <w:rPr>
          <w:i/>
          <w:iCs/>
          <w:kern w:val="22"/>
          <w:lang w:val="fr-FR"/>
        </w:rPr>
        <w:t>Prie</w:t>
      </w:r>
      <w:r w:rsidR="00855BA1" w:rsidRPr="00FD69CC">
        <w:rPr>
          <w:kern w:val="22"/>
          <w:lang w:val="fr-FR"/>
        </w:rPr>
        <w:t xml:space="preserve"> </w:t>
      </w:r>
      <w:r w:rsidR="00613F16" w:rsidRPr="00FD69CC">
        <w:rPr>
          <w:kern w:val="22"/>
          <w:lang w:val="fr-FR"/>
        </w:rPr>
        <w:t>le Secrétaire exécutif, y compris lorsqu</w:t>
      </w:r>
      <w:r w:rsidR="001B2859" w:rsidRPr="00FD69CC">
        <w:rPr>
          <w:kern w:val="22"/>
          <w:lang w:val="fr-FR"/>
        </w:rPr>
        <w:t>’</w:t>
      </w:r>
      <w:r w:rsidR="00613F16" w:rsidRPr="00FD69CC">
        <w:rPr>
          <w:kern w:val="22"/>
          <w:lang w:val="fr-FR"/>
        </w:rPr>
        <w:t xml:space="preserve">il </w:t>
      </w:r>
      <w:r w:rsidR="00B46FED" w:rsidRPr="00FD69CC">
        <w:rPr>
          <w:kern w:val="22"/>
          <w:lang w:val="fr-FR"/>
        </w:rPr>
        <w:t>apporte son soutien à</w:t>
      </w:r>
      <w:r w:rsidR="00613F16" w:rsidRPr="00FD69CC">
        <w:rPr>
          <w:kern w:val="22"/>
          <w:lang w:val="fr-FR"/>
        </w:rPr>
        <w:t xml:space="preserve"> des activités </w:t>
      </w:r>
      <w:r w:rsidR="002F7985">
        <w:rPr>
          <w:kern w:val="22"/>
          <w:lang w:val="fr-FR"/>
        </w:rPr>
        <w:t xml:space="preserve">menées </w:t>
      </w:r>
      <w:r w:rsidR="00613F16" w:rsidRPr="00FD69CC">
        <w:rPr>
          <w:kern w:val="22"/>
          <w:lang w:val="fr-FR"/>
        </w:rPr>
        <w:t>dans le cadre de la Décennie des Nations Unies pour la restauration des écosystèmes, à promouvoir des synergies et une coopération plus étroite entre les accords multilatéraux sur l</w:t>
      </w:r>
      <w:r w:rsidR="001B2859" w:rsidRPr="00FD69CC">
        <w:rPr>
          <w:kern w:val="22"/>
          <w:lang w:val="fr-FR"/>
        </w:rPr>
        <w:t>’</w:t>
      </w:r>
      <w:r w:rsidR="00613F16" w:rsidRPr="00FD69CC">
        <w:rPr>
          <w:kern w:val="22"/>
          <w:lang w:val="fr-FR"/>
        </w:rPr>
        <w:t>environnement liés à la biodiversité, les conventions de Rio, le Forum des Nations unies sur les forêts, le Cadre de Sendai pour la réduction des risques de catastrophe pour la période 2015-2030</w:t>
      </w:r>
      <w:r w:rsidR="002F7985" w:rsidRPr="00147CE1">
        <w:rPr>
          <w:rStyle w:val="FootnoteReference"/>
          <w:noProof/>
          <w:kern w:val="22"/>
        </w:rPr>
        <w:footnoteReference w:id="16"/>
      </w:r>
      <w:r w:rsidR="00613F16" w:rsidRPr="00FD69CC">
        <w:rPr>
          <w:kern w:val="22"/>
          <w:lang w:val="fr-FR"/>
        </w:rPr>
        <w:t>, l</w:t>
      </w:r>
      <w:r w:rsidR="001B2859" w:rsidRPr="00FD69CC">
        <w:rPr>
          <w:kern w:val="22"/>
          <w:lang w:val="fr-FR"/>
        </w:rPr>
        <w:t>’</w:t>
      </w:r>
      <w:r w:rsidR="00613F16" w:rsidRPr="00FD69CC">
        <w:rPr>
          <w:kern w:val="22"/>
          <w:lang w:val="fr-FR"/>
        </w:rPr>
        <w:t>approche stratégique de la gestion internationale des produits chimiques, le nouveau programme urbain</w:t>
      </w:r>
      <w:r w:rsidR="002F7985" w:rsidRPr="00147CE1">
        <w:rPr>
          <w:rStyle w:val="FootnoteReference"/>
          <w:noProof/>
          <w:kern w:val="22"/>
        </w:rPr>
        <w:footnoteReference w:id="17"/>
      </w:r>
      <w:r w:rsidR="00613F16" w:rsidRPr="00FD69CC">
        <w:rPr>
          <w:kern w:val="22"/>
          <w:lang w:val="fr-FR"/>
        </w:rPr>
        <w:t xml:space="preserve"> et d</w:t>
      </w:r>
      <w:r w:rsidR="001B2859" w:rsidRPr="00FD69CC">
        <w:rPr>
          <w:kern w:val="22"/>
          <w:lang w:val="fr-FR"/>
        </w:rPr>
        <w:t>’</w:t>
      </w:r>
      <w:r w:rsidR="00613F16" w:rsidRPr="00FD69CC">
        <w:rPr>
          <w:kern w:val="22"/>
          <w:lang w:val="fr-FR"/>
        </w:rPr>
        <w:t>autres organisations</w:t>
      </w:r>
      <w:r w:rsidR="002F7985">
        <w:rPr>
          <w:kern w:val="22"/>
          <w:lang w:val="fr-FR"/>
        </w:rPr>
        <w:t xml:space="preserve">, </w:t>
      </w:r>
      <w:r w:rsidR="00613F16" w:rsidRPr="00FD69CC">
        <w:rPr>
          <w:kern w:val="22"/>
          <w:lang w:val="fr-FR"/>
        </w:rPr>
        <w:t>processus compétents</w:t>
      </w:r>
      <w:r w:rsidR="002F7985">
        <w:rPr>
          <w:kern w:val="22"/>
          <w:lang w:val="fr-FR"/>
        </w:rPr>
        <w:t xml:space="preserve"> et </w:t>
      </w:r>
      <w:r w:rsidR="00613F16" w:rsidRPr="00FD69CC">
        <w:rPr>
          <w:kern w:val="22"/>
          <w:lang w:val="fr-FR"/>
        </w:rPr>
        <w:t>approches intégrées en matière de lutte contre l</w:t>
      </w:r>
      <w:r w:rsidR="001B2859" w:rsidRPr="00FD69CC">
        <w:rPr>
          <w:kern w:val="22"/>
          <w:lang w:val="fr-FR"/>
        </w:rPr>
        <w:t>’</w:t>
      </w:r>
      <w:r w:rsidR="00613F16" w:rsidRPr="00FD69CC">
        <w:rPr>
          <w:kern w:val="22"/>
          <w:lang w:val="fr-FR"/>
        </w:rPr>
        <w:t>appauvrissement de la biodiversité, le changement climatique et la dégradation des sols et des océans </w:t>
      </w:r>
      <w:r w:rsidR="00855BA1" w:rsidRPr="00FD69CC">
        <w:rPr>
          <w:kern w:val="22"/>
          <w:lang w:val="fr-FR"/>
        </w:rPr>
        <w:t>;</w:t>
      </w:r>
    </w:p>
    <w:p w14:paraId="6FB33B3A" w14:textId="6C0C610F" w:rsidR="002F7985" w:rsidRPr="002F7985" w:rsidRDefault="00425944" w:rsidP="002F7985">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lang w:val="fr-FR"/>
        </w:rPr>
      </w:pPr>
      <w:r w:rsidRPr="00FD69CC">
        <w:rPr>
          <w:kern w:val="22"/>
          <w:szCs w:val="22"/>
          <w:lang w:val="fr-FR"/>
        </w:rPr>
        <w:t>1</w:t>
      </w:r>
      <w:r w:rsidR="00C40DAD">
        <w:rPr>
          <w:kern w:val="22"/>
          <w:szCs w:val="22"/>
          <w:lang w:val="fr-FR"/>
        </w:rPr>
        <w:t>0</w:t>
      </w:r>
      <w:r w:rsidR="00855BA1" w:rsidRPr="00FD69CC">
        <w:rPr>
          <w:kern w:val="22"/>
          <w:szCs w:val="22"/>
          <w:lang w:val="fr-FR"/>
        </w:rPr>
        <w:t>.</w:t>
      </w:r>
      <w:r w:rsidRPr="00FD69CC">
        <w:rPr>
          <w:kern w:val="22"/>
          <w:szCs w:val="22"/>
          <w:lang w:val="fr-FR"/>
        </w:rPr>
        <w:tab/>
      </w:r>
      <w:r w:rsidR="002F7985" w:rsidRPr="002F7985">
        <w:rPr>
          <w:i/>
          <w:iCs/>
          <w:kern w:val="22"/>
          <w:szCs w:val="22"/>
          <w:lang w:val="fr-FR"/>
        </w:rPr>
        <w:t xml:space="preserve">Prie également </w:t>
      </w:r>
      <w:r w:rsidR="002F7985" w:rsidRPr="002F7985">
        <w:rPr>
          <w:kern w:val="22"/>
          <w:szCs w:val="22"/>
          <w:lang w:val="fr-FR"/>
        </w:rPr>
        <w:t xml:space="preserve">le Secrétaire exécutif, sous réserve de la disponibilité des ressources, en évitant les doubles emplois et en renforçant les synergies, en collaboration avec les organisations et processus pertinents, en particulier le Groupe de liaison conjoint des Conventions de Rio, le Groupe de liaison des Conventions relatives à la biodiversité, les peuples autochtones et les communautés locales et les parties prenantes concernées, ainsi que des initiatives telles que le Partenariat pour l'accélération des stratégies et plans d'action nationaux pour la biodiversité (SPANB), le Partenariat pour les contributions déterminées au niveau national (CDN), le Réseau mondial pour les plans d'adaptation nationaux, le Partenariat pour l'amélioration des solutions fondées sur la nature pour une transformation accélérée du climat (ENACT), le réseau des Amis de l'adaptation fondée sur les écosystèmes et le Partenariat pour l'environnement et la réduction des risques de catastrophe, ainsi </w:t>
      </w:r>
      <w:r w:rsidR="002F7985" w:rsidRPr="002F7985">
        <w:rPr>
          <w:kern w:val="22"/>
          <w:szCs w:val="22"/>
          <w:lang w:val="fr-FR"/>
        </w:rPr>
        <w:lastRenderedPageBreak/>
        <w:t>que leurs membres respectifs, afin de faciliter le renforcement des capacités, en particulier pour les pays en développement, et d'accroître la sensibilisation et la compréhension des impacts des changements climatiques sur la biodiversité, notamment par la mise en œuvre de solutions fondées sur la nature et/ou d'approches fondées sur les écosystèmes, en complément du cadre stratégique à long terme pour le renforcement des capacités et le développement</w:t>
      </w:r>
      <w:r w:rsidR="00855BA1" w:rsidRPr="00FD69CC">
        <w:rPr>
          <w:rStyle w:val="FootnoteReference"/>
          <w:color w:val="000000"/>
          <w:kern w:val="22"/>
          <w:szCs w:val="22"/>
          <w:lang w:val="fr-FR"/>
        </w:rPr>
        <w:footnoteReference w:id="18"/>
      </w:r>
      <w:r w:rsidR="003D5FA6" w:rsidRPr="00FD69CC">
        <w:rPr>
          <w:kern w:val="22"/>
          <w:szCs w:val="22"/>
          <w:lang w:val="fr-FR"/>
        </w:rPr>
        <w:t>.</w:t>
      </w:r>
    </w:p>
    <w:p w14:paraId="2FFFF96C" w14:textId="7F58256E" w:rsidR="00855BA1" w:rsidRPr="00FD69CC" w:rsidRDefault="00A725AA" w:rsidP="005709A0">
      <w:pPr>
        <w:pStyle w:val="Para1"/>
        <w:numPr>
          <w:ilvl w:val="0"/>
          <w:numId w:val="0"/>
        </w:numPr>
        <w:tabs>
          <w:tab w:val="left" w:pos="1701"/>
        </w:tabs>
        <w:ind w:left="567" w:firstLine="567"/>
        <w:rPr>
          <w:lang w:val="fr-FR"/>
        </w:rPr>
      </w:pPr>
      <w:r w:rsidRPr="00FD69CC">
        <w:rPr>
          <w:szCs w:val="22"/>
          <w:lang w:val="fr-FR" w:eastAsia="zh-CN"/>
        </w:rPr>
        <w:t>1</w:t>
      </w:r>
      <w:r w:rsidR="00C40DAD">
        <w:rPr>
          <w:szCs w:val="22"/>
          <w:lang w:val="fr-FR" w:eastAsia="zh-CN"/>
        </w:rPr>
        <w:t>1</w:t>
      </w:r>
      <w:r w:rsidR="00855BA1" w:rsidRPr="00FD69CC">
        <w:rPr>
          <w:szCs w:val="22"/>
          <w:lang w:val="fr-FR" w:eastAsia="zh-CN"/>
        </w:rPr>
        <w:t>.</w:t>
      </w:r>
      <w:r w:rsidR="00425944" w:rsidRPr="00FD69CC">
        <w:rPr>
          <w:szCs w:val="22"/>
          <w:lang w:val="fr-FR" w:eastAsia="zh-CN"/>
        </w:rPr>
        <w:t xml:space="preserve"> </w:t>
      </w:r>
      <w:r w:rsidR="005709A0" w:rsidRPr="00FD69CC">
        <w:rPr>
          <w:szCs w:val="22"/>
          <w:lang w:val="fr-FR" w:eastAsia="zh-CN"/>
        </w:rPr>
        <w:tab/>
      </w:r>
      <w:r w:rsidR="00DA3BB4" w:rsidRPr="00FD69CC">
        <w:rPr>
          <w:i/>
          <w:iCs/>
          <w:szCs w:val="22"/>
          <w:lang w:val="fr-FR" w:eastAsia="zh-CN"/>
        </w:rPr>
        <w:t xml:space="preserve">Prie </w:t>
      </w:r>
      <w:r w:rsidR="002F7985">
        <w:rPr>
          <w:i/>
          <w:iCs/>
          <w:szCs w:val="22"/>
          <w:lang w:val="fr-FR" w:eastAsia="zh-CN"/>
        </w:rPr>
        <w:t>aussi</w:t>
      </w:r>
      <w:r w:rsidR="00DA3BB4" w:rsidRPr="00FD69CC">
        <w:rPr>
          <w:i/>
          <w:iCs/>
          <w:szCs w:val="22"/>
          <w:lang w:val="fr-FR" w:eastAsia="zh-CN"/>
        </w:rPr>
        <w:t xml:space="preserve"> </w:t>
      </w:r>
      <w:r w:rsidR="00286A3A" w:rsidRPr="00FD69CC">
        <w:rPr>
          <w:szCs w:val="22"/>
          <w:lang w:val="fr-FR" w:eastAsia="zh-CN"/>
        </w:rPr>
        <w:t>le Secrétaire exécutif, en collaboration avec l</w:t>
      </w:r>
      <w:r w:rsidR="002F7985">
        <w:rPr>
          <w:szCs w:val="22"/>
          <w:lang w:val="fr-FR" w:eastAsia="zh-CN"/>
        </w:rPr>
        <w:t>es secrétariats de l</w:t>
      </w:r>
      <w:r w:rsidR="00286A3A" w:rsidRPr="00FD69CC">
        <w:rPr>
          <w:szCs w:val="22"/>
          <w:lang w:val="fr-FR" w:eastAsia="zh-CN"/>
        </w:rPr>
        <w:t>a Convention-cadre des Nations Unies sur les changements climatiques,</w:t>
      </w:r>
      <w:r w:rsidR="002F7985">
        <w:rPr>
          <w:szCs w:val="22"/>
          <w:lang w:val="fr-FR" w:eastAsia="zh-CN"/>
        </w:rPr>
        <w:t xml:space="preserve"> de</w:t>
      </w:r>
      <w:r w:rsidR="00286A3A" w:rsidRPr="00FD69CC">
        <w:rPr>
          <w:szCs w:val="22"/>
          <w:lang w:val="fr-FR" w:eastAsia="zh-CN"/>
        </w:rPr>
        <w:t xml:space="preserve"> la Décennie des Nations Unies pour les sciences de la mer au service du développement durable et </w:t>
      </w:r>
      <w:r w:rsidR="002F7985">
        <w:rPr>
          <w:szCs w:val="22"/>
          <w:lang w:val="fr-FR" w:eastAsia="zh-CN"/>
        </w:rPr>
        <w:t>de</w:t>
      </w:r>
      <w:r w:rsidR="002F7985" w:rsidRPr="002F7985">
        <w:rPr>
          <w:szCs w:val="22"/>
          <w:lang w:val="fr-FR" w:eastAsia="zh-CN"/>
        </w:rPr>
        <w:t xml:space="preserve"> l'accord récemment adopté dans le cadre de la Convention des Nations Unies sur le droit de la mer relatif à la conservation et à l'utilisation durable de la diversité biologique marine dans les zones situées au-delà de la juridiction nationale</w:t>
      </w:r>
      <w:r w:rsidR="00286A3A" w:rsidRPr="00FD69CC">
        <w:rPr>
          <w:szCs w:val="22"/>
          <w:lang w:val="fr-FR" w:eastAsia="zh-CN"/>
        </w:rPr>
        <w:t>, à étudier les possibilités d</w:t>
      </w:r>
      <w:r w:rsidR="001B2859" w:rsidRPr="00FD69CC">
        <w:rPr>
          <w:szCs w:val="22"/>
          <w:lang w:val="fr-FR" w:eastAsia="zh-CN"/>
        </w:rPr>
        <w:t>’</w:t>
      </w:r>
      <w:r w:rsidR="00286A3A" w:rsidRPr="00FD69CC">
        <w:rPr>
          <w:szCs w:val="22"/>
          <w:lang w:val="fr-FR" w:eastAsia="zh-CN"/>
        </w:rPr>
        <w:t>aborder de manière intégrée le lien entre les océans, le climat et la biodiversité afin d</w:t>
      </w:r>
      <w:r w:rsidR="001B2859" w:rsidRPr="00FD69CC">
        <w:rPr>
          <w:szCs w:val="22"/>
          <w:lang w:val="fr-FR" w:eastAsia="zh-CN"/>
        </w:rPr>
        <w:t>’</w:t>
      </w:r>
      <w:r w:rsidR="00286A3A" w:rsidRPr="00FD69CC">
        <w:rPr>
          <w:szCs w:val="22"/>
          <w:lang w:val="fr-FR" w:eastAsia="zh-CN"/>
        </w:rPr>
        <w:t>atteindre les objectifs du Cadre mondial de la biodiversité de Kunming-Montréal </w:t>
      </w:r>
      <w:r w:rsidR="00855BA1" w:rsidRPr="00FD69CC">
        <w:rPr>
          <w:szCs w:val="22"/>
          <w:lang w:val="fr-FR" w:eastAsia="zh-CN"/>
        </w:rPr>
        <w:t xml:space="preserve">; </w:t>
      </w:r>
    </w:p>
    <w:p w14:paraId="0A106D4B" w14:textId="53BC7CEB" w:rsidR="00855BA1" w:rsidRPr="00FD69CC" w:rsidRDefault="00425944" w:rsidP="005709A0">
      <w:pPr>
        <w:tabs>
          <w:tab w:val="left" w:pos="1701"/>
        </w:tabs>
        <w:ind w:left="567" w:firstLine="567"/>
        <w:textAlignment w:val="baseline"/>
        <w:rPr>
          <w:lang w:val="fr-FR"/>
        </w:rPr>
      </w:pPr>
      <w:r w:rsidRPr="00FD69CC">
        <w:rPr>
          <w:lang w:val="fr-FR"/>
        </w:rPr>
        <w:t>1</w:t>
      </w:r>
      <w:r w:rsidR="00C40DAD">
        <w:rPr>
          <w:lang w:val="fr-FR"/>
        </w:rPr>
        <w:t>2</w:t>
      </w:r>
      <w:r w:rsidR="00855BA1" w:rsidRPr="00FD69CC">
        <w:rPr>
          <w:lang w:val="fr-FR"/>
        </w:rPr>
        <w:t xml:space="preserve">. </w:t>
      </w:r>
      <w:r w:rsidR="005709A0" w:rsidRPr="00FD69CC">
        <w:rPr>
          <w:lang w:val="fr-FR"/>
        </w:rPr>
        <w:tab/>
      </w:r>
      <w:r w:rsidR="00D07AF0" w:rsidRPr="00FD69CC">
        <w:rPr>
          <w:i/>
          <w:iCs/>
          <w:lang w:val="fr-FR"/>
        </w:rPr>
        <w:t xml:space="preserve">Prie </w:t>
      </w:r>
      <w:r w:rsidR="002F7985">
        <w:rPr>
          <w:i/>
          <w:iCs/>
          <w:lang w:val="fr-FR"/>
        </w:rPr>
        <w:t>en outre</w:t>
      </w:r>
      <w:r w:rsidR="00D07AF0" w:rsidRPr="00FD69CC">
        <w:rPr>
          <w:lang w:val="fr-FR"/>
        </w:rPr>
        <w:t xml:space="preserve"> </w:t>
      </w:r>
      <w:r w:rsidR="002F7985">
        <w:rPr>
          <w:lang w:val="fr-FR"/>
        </w:rPr>
        <w:t>le</w:t>
      </w:r>
      <w:r w:rsidR="002F7985" w:rsidRPr="002F7985">
        <w:rPr>
          <w:lang w:val="fr-FR"/>
        </w:rPr>
        <w:t xml:space="preserve"> Secrétaire exécutif, sous réserve de la disponibilité des ressources et en évitant les doubles emplois, de solliciter les Parties, les observateurs et les autres organisations concernées pour qu'ils soumettent des informations sur les crédits et les compensations liés au carbone et à la diversité biologique et sur d'autres approches fondées sur le marché, ainsi que sur leurs effets sur la diversité biologique, de compiler ces informations et de les transmettre à l'Organe subsidiaire chargé de fournir des avis scientifiques, techniques et technologiques à une réunion qui se tiendra avant la dix-septième session de la Conférence des Parties</w:t>
      </w:r>
      <w:r w:rsidR="00D07AF0" w:rsidRPr="00FD69CC">
        <w:rPr>
          <w:lang w:val="fr-FR"/>
        </w:rPr>
        <w:t> </w:t>
      </w:r>
      <w:r w:rsidR="00855BA1" w:rsidRPr="00FD69CC">
        <w:rPr>
          <w:lang w:val="fr-FR"/>
        </w:rPr>
        <w:t>;</w:t>
      </w:r>
    </w:p>
    <w:p w14:paraId="333D8D8B" w14:textId="6BB23D7A" w:rsidR="00855BA1" w:rsidRPr="00FD69CC" w:rsidRDefault="00855BA1" w:rsidP="005709A0">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rPr>
          <w:lang w:val="fr-FR"/>
        </w:rPr>
      </w:pPr>
      <w:r w:rsidRPr="00FD69CC">
        <w:rPr>
          <w:lang w:val="fr-FR"/>
        </w:rPr>
        <w:t>1</w:t>
      </w:r>
      <w:r w:rsidR="00C40DAD">
        <w:rPr>
          <w:lang w:val="fr-FR"/>
        </w:rPr>
        <w:t>3</w:t>
      </w:r>
      <w:r w:rsidRPr="00FD69CC">
        <w:rPr>
          <w:lang w:val="fr-FR"/>
        </w:rPr>
        <w:t xml:space="preserve">. </w:t>
      </w:r>
      <w:r w:rsidR="005709A0" w:rsidRPr="00FD69CC">
        <w:rPr>
          <w:lang w:val="fr-FR"/>
        </w:rPr>
        <w:tab/>
      </w:r>
      <w:r w:rsidR="002F7985">
        <w:rPr>
          <w:i/>
          <w:iCs/>
          <w:lang w:val="fr-FR"/>
        </w:rPr>
        <w:t>Demande au</w:t>
      </w:r>
      <w:r w:rsidR="005A6F68" w:rsidRPr="00FD69CC">
        <w:rPr>
          <w:lang w:val="fr-FR"/>
        </w:rPr>
        <w:t xml:space="preserve"> Secrétaire exécutif, sous réserve de la disponibilité des ressources et en évitant les doubles emplois, d</w:t>
      </w:r>
      <w:r w:rsidR="001B2859" w:rsidRPr="00FD69CC">
        <w:rPr>
          <w:lang w:val="fr-FR"/>
        </w:rPr>
        <w:t>’</w:t>
      </w:r>
      <w:r w:rsidR="005A6F68" w:rsidRPr="00FD69CC">
        <w:rPr>
          <w:lang w:val="fr-FR"/>
        </w:rPr>
        <w:t>élaborer un supplément aux Lignes directrices volontaires pour la conception et la mise en œuvre effective d</w:t>
      </w:r>
      <w:r w:rsidR="001B2859" w:rsidRPr="00FD69CC">
        <w:rPr>
          <w:lang w:val="fr-FR"/>
        </w:rPr>
        <w:t>’</w:t>
      </w:r>
      <w:r w:rsidR="005A6F68" w:rsidRPr="00FD69CC">
        <w:rPr>
          <w:lang w:val="fr-FR"/>
        </w:rPr>
        <w:t>approches écosystémiques de l</w:t>
      </w:r>
      <w:r w:rsidR="001B2859" w:rsidRPr="00FD69CC">
        <w:rPr>
          <w:lang w:val="fr-FR"/>
        </w:rPr>
        <w:t>’</w:t>
      </w:r>
      <w:r w:rsidR="005A6F68" w:rsidRPr="00FD69CC">
        <w:rPr>
          <w:lang w:val="fr-FR"/>
        </w:rPr>
        <w:t>adaptation au</w:t>
      </w:r>
      <w:r w:rsidR="002F7985">
        <w:rPr>
          <w:lang w:val="fr-FR"/>
        </w:rPr>
        <w:t>x</w:t>
      </w:r>
      <w:r w:rsidR="005A6F68" w:rsidRPr="00FD69CC">
        <w:rPr>
          <w:lang w:val="fr-FR"/>
        </w:rPr>
        <w:t xml:space="preserve"> changement</w:t>
      </w:r>
      <w:r w:rsidR="002F7985">
        <w:rPr>
          <w:lang w:val="fr-FR"/>
        </w:rPr>
        <w:t>s</w:t>
      </w:r>
      <w:r w:rsidR="005A6F68" w:rsidRPr="00FD69CC">
        <w:rPr>
          <w:lang w:val="fr-FR"/>
        </w:rPr>
        <w:t xml:space="preserve"> climatique</w:t>
      </w:r>
      <w:r w:rsidR="002F7985">
        <w:rPr>
          <w:lang w:val="fr-FR"/>
        </w:rPr>
        <w:t>s</w:t>
      </w:r>
      <w:r w:rsidR="005A6F68" w:rsidRPr="00FD69CC">
        <w:rPr>
          <w:lang w:val="fr-FR"/>
        </w:rPr>
        <w:t xml:space="preserve"> et de la réduction des risques de catastrophe, qui </w:t>
      </w:r>
      <w:r w:rsidR="002F7985">
        <w:rPr>
          <w:lang w:val="fr-FR"/>
        </w:rPr>
        <w:t>guide</w:t>
      </w:r>
      <w:r w:rsidR="005A6F68" w:rsidRPr="00FD69CC">
        <w:rPr>
          <w:lang w:val="fr-FR"/>
        </w:rPr>
        <w:t xml:space="preserve"> la conception et la mise en œuvre effective de solutions fondées sur la nature et/ou d</w:t>
      </w:r>
      <w:r w:rsidR="001B2859" w:rsidRPr="00FD69CC">
        <w:rPr>
          <w:lang w:val="fr-FR"/>
        </w:rPr>
        <w:t>’</w:t>
      </w:r>
      <w:r w:rsidR="005A6F68" w:rsidRPr="00FD69CC">
        <w:rPr>
          <w:lang w:val="fr-FR"/>
        </w:rPr>
        <w:t>approches écosystémiques de l</w:t>
      </w:r>
      <w:r w:rsidR="001B2859" w:rsidRPr="00FD69CC">
        <w:rPr>
          <w:lang w:val="fr-FR"/>
        </w:rPr>
        <w:t>’</w:t>
      </w:r>
      <w:r w:rsidR="005A6F68" w:rsidRPr="00FD69CC">
        <w:rPr>
          <w:lang w:val="fr-FR"/>
        </w:rPr>
        <w:t>atténuation du changement climatique, pour examen par la Conférence des Parties lors de sa dix-huitième réunion </w:t>
      </w:r>
      <w:r w:rsidRPr="00FD69CC">
        <w:rPr>
          <w:kern w:val="22"/>
          <w:u w:val="single"/>
          <w:lang w:val="fr-FR"/>
        </w:rPr>
        <w:t>;</w:t>
      </w:r>
    </w:p>
    <w:p w14:paraId="0EB939C6" w14:textId="594B278E" w:rsidR="00855BA1" w:rsidRPr="00FD69CC" w:rsidRDefault="00855BA1" w:rsidP="005709A0">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i/>
          <w:snapToGrid w:val="0"/>
          <w:kern w:val="22"/>
          <w:lang w:val="fr-FR"/>
        </w:rPr>
      </w:pPr>
      <w:r w:rsidRPr="00FD69CC">
        <w:rPr>
          <w:lang w:val="fr-FR"/>
        </w:rPr>
        <w:t>1</w:t>
      </w:r>
      <w:r w:rsidR="00C40DAD">
        <w:rPr>
          <w:lang w:val="fr-FR"/>
        </w:rPr>
        <w:t>4</w:t>
      </w:r>
      <w:r w:rsidRPr="00FD69CC">
        <w:rPr>
          <w:lang w:val="fr-FR"/>
        </w:rPr>
        <w:t xml:space="preserve">. </w:t>
      </w:r>
      <w:r w:rsidR="005709A0" w:rsidRPr="00FD69CC">
        <w:rPr>
          <w:lang w:val="fr-FR"/>
        </w:rPr>
        <w:tab/>
      </w:r>
      <w:r w:rsidR="002F7985">
        <w:rPr>
          <w:i/>
          <w:iCs/>
          <w:lang w:val="fr-FR"/>
        </w:rPr>
        <w:t>Demande</w:t>
      </w:r>
      <w:r w:rsidR="003220E6" w:rsidRPr="00FD69CC">
        <w:rPr>
          <w:i/>
          <w:iCs/>
          <w:lang w:val="fr-FR"/>
        </w:rPr>
        <w:t xml:space="preserve"> </w:t>
      </w:r>
      <w:r w:rsidR="002F7985">
        <w:rPr>
          <w:i/>
          <w:iCs/>
          <w:lang w:val="fr-FR"/>
        </w:rPr>
        <w:t>aussi</w:t>
      </w:r>
      <w:r w:rsidR="003220E6" w:rsidRPr="00FD69CC">
        <w:rPr>
          <w:i/>
          <w:iCs/>
          <w:lang w:val="fr-FR"/>
        </w:rPr>
        <w:t xml:space="preserve"> </w:t>
      </w:r>
      <w:r w:rsidR="002F7985">
        <w:rPr>
          <w:lang w:val="fr-FR"/>
        </w:rPr>
        <w:t>au</w:t>
      </w:r>
      <w:r w:rsidR="003220E6" w:rsidRPr="00FD69CC">
        <w:rPr>
          <w:lang w:val="fr-FR"/>
        </w:rPr>
        <w:t xml:space="preserve"> Secrétaire exécutif de porter la présente décision à l</w:t>
      </w:r>
      <w:r w:rsidR="001B2859" w:rsidRPr="00FD69CC">
        <w:rPr>
          <w:lang w:val="fr-FR"/>
        </w:rPr>
        <w:t>’</w:t>
      </w:r>
      <w:r w:rsidR="003220E6" w:rsidRPr="00FD69CC">
        <w:rPr>
          <w:lang w:val="fr-FR"/>
        </w:rPr>
        <w:t xml:space="preserve">attention des </w:t>
      </w:r>
      <w:r w:rsidR="002F7985">
        <w:rPr>
          <w:lang w:val="fr-FR"/>
        </w:rPr>
        <w:t>secrétariats</w:t>
      </w:r>
      <w:r w:rsidR="003220E6" w:rsidRPr="00FD69CC">
        <w:rPr>
          <w:lang w:val="fr-FR"/>
        </w:rPr>
        <w:t xml:space="preserve"> de la Convention-cadre des Nations Unies sur les changements climatiques et de la Convention des Nations Unies sur la lutte contre la désertification afin qu</w:t>
      </w:r>
      <w:r w:rsidR="001B2859" w:rsidRPr="00FD69CC">
        <w:rPr>
          <w:lang w:val="fr-FR"/>
        </w:rPr>
        <w:t>’</w:t>
      </w:r>
      <w:r w:rsidR="003220E6" w:rsidRPr="00FD69CC">
        <w:rPr>
          <w:lang w:val="fr-FR"/>
        </w:rPr>
        <w:t>ils l</w:t>
      </w:r>
      <w:r w:rsidR="001B2859" w:rsidRPr="00FD69CC">
        <w:rPr>
          <w:lang w:val="fr-FR"/>
        </w:rPr>
        <w:t>’</w:t>
      </w:r>
      <w:r w:rsidR="003220E6" w:rsidRPr="00FD69CC">
        <w:rPr>
          <w:lang w:val="fr-FR"/>
        </w:rPr>
        <w:t xml:space="preserve">examinent dans le contexte du groupe de liaison conjoint des Conventions de Rio et du groupe </w:t>
      </w:r>
      <w:r w:rsidR="002F7985">
        <w:rPr>
          <w:lang w:val="fr-FR"/>
        </w:rPr>
        <w:t>de liaison</w:t>
      </w:r>
      <w:r w:rsidR="003220E6" w:rsidRPr="00FD69CC">
        <w:rPr>
          <w:lang w:val="fr-FR"/>
        </w:rPr>
        <w:t xml:space="preserve"> des Conventions relatives à la biodiversité, et qu</w:t>
      </w:r>
      <w:r w:rsidR="001B2859" w:rsidRPr="00FD69CC">
        <w:rPr>
          <w:lang w:val="fr-FR"/>
        </w:rPr>
        <w:t>’</w:t>
      </w:r>
      <w:r w:rsidR="003220E6" w:rsidRPr="00FD69CC">
        <w:rPr>
          <w:lang w:val="fr-FR"/>
        </w:rPr>
        <w:t>ils évaluent les possibilités d</w:t>
      </w:r>
      <w:r w:rsidR="001B2859" w:rsidRPr="00FD69CC">
        <w:rPr>
          <w:lang w:val="fr-FR"/>
        </w:rPr>
        <w:t>’</w:t>
      </w:r>
      <w:r w:rsidR="003220E6" w:rsidRPr="00FD69CC">
        <w:rPr>
          <w:lang w:val="fr-FR"/>
        </w:rPr>
        <w:t>une meilleure intégration, notamment en envisageant d</w:t>
      </w:r>
      <w:r w:rsidR="001B2859" w:rsidRPr="00FD69CC">
        <w:rPr>
          <w:lang w:val="fr-FR"/>
        </w:rPr>
        <w:t>’</w:t>
      </w:r>
      <w:r w:rsidR="003220E6" w:rsidRPr="00FD69CC">
        <w:rPr>
          <w:lang w:val="fr-FR"/>
        </w:rPr>
        <w:t xml:space="preserve">établir un programme de travail conjoint pour rendre cette intégration opérationnelle lors des prochaines réunions </w:t>
      </w:r>
      <w:r w:rsidR="00977874">
        <w:rPr>
          <w:lang w:val="fr-FR"/>
        </w:rPr>
        <w:t>de la Conférence de</w:t>
      </w:r>
      <w:r w:rsidR="003220E6" w:rsidRPr="00FD69CC">
        <w:rPr>
          <w:lang w:val="fr-FR"/>
        </w:rPr>
        <w:t>s Parties</w:t>
      </w:r>
      <w:r w:rsidRPr="00FD69CC">
        <w:rPr>
          <w:lang w:val="fr-FR"/>
        </w:rPr>
        <w:t>.</w:t>
      </w:r>
      <w:r w:rsidR="002F7985" w:rsidRPr="002F7985">
        <w:rPr>
          <w:lang w:val="en-GB"/>
        </w:rPr>
        <w:t xml:space="preserve"> </w:t>
      </w:r>
      <w:r w:rsidR="002F7985" w:rsidRPr="00CF2F6C">
        <w:rPr>
          <w:lang w:val="en-GB"/>
        </w:rPr>
        <w:t>]</w:t>
      </w:r>
    </w:p>
    <w:p w14:paraId="77F01D01" w14:textId="2EB7C1B2" w:rsidR="002B559C" w:rsidRPr="00FD69CC" w:rsidRDefault="00ED3849" w:rsidP="0057594E">
      <w:pPr>
        <w:pStyle w:val="ListParagraph"/>
        <w:spacing w:before="120" w:after="120"/>
        <w:ind w:firstLine="698"/>
        <w:jc w:val="center"/>
        <w:rPr>
          <w:lang w:val="fr-FR"/>
        </w:rPr>
      </w:pPr>
      <w:r w:rsidRPr="00FD69CC">
        <w:rPr>
          <w:lang w:val="fr-FR"/>
        </w:rPr>
        <w:t>__________</w:t>
      </w:r>
    </w:p>
    <w:sectPr w:rsidR="002B559C" w:rsidRPr="00FD69CC" w:rsidSect="00424646">
      <w:headerReference w:type="even" r:id="rId37"/>
      <w:headerReference w:type="default" r:id="rId38"/>
      <w:footerReference w:type="even" r:id="rId39"/>
      <w:footerReference w:type="default" r:id="rId4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0C457" w14:textId="77777777" w:rsidR="007063CE" w:rsidRDefault="007063CE" w:rsidP="00A96B21">
      <w:r>
        <w:separator/>
      </w:r>
    </w:p>
  </w:endnote>
  <w:endnote w:type="continuationSeparator" w:id="0">
    <w:p w14:paraId="27778038" w14:textId="77777777" w:rsidR="007063CE" w:rsidRDefault="007063CE"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78C526E"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FB5C11">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FB5C11">
              <w:rPr>
                <w:noProof/>
                <w:sz w:val="20"/>
                <w:szCs w:val="20"/>
              </w:rPr>
              <w:t>7</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3D44563"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FB5C11">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FB5C11">
              <w:rPr>
                <w:noProof/>
                <w:sz w:val="20"/>
                <w:szCs w:val="20"/>
              </w:rPr>
              <w:t>7</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18C8" w14:textId="77777777" w:rsidR="007063CE" w:rsidRDefault="007063CE" w:rsidP="00A96B21">
      <w:r>
        <w:separator/>
      </w:r>
    </w:p>
  </w:footnote>
  <w:footnote w:type="continuationSeparator" w:id="0">
    <w:p w14:paraId="5358D138" w14:textId="77777777" w:rsidR="007063CE" w:rsidRDefault="007063CE" w:rsidP="00A96B21">
      <w:r>
        <w:continuationSeparator/>
      </w:r>
    </w:p>
  </w:footnote>
  <w:footnote w:id="1">
    <w:p w14:paraId="5B044929" w14:textId="3E047F1A" w:rsidR="00FD69CC" w:rsidRPr="000938D6" w:rsidRDefault="00FD69CC" w:rsidP="00FD69CC">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Hans Otto Pörtner et al.,</w:t>
      </w:r>
      <w:r w:rsidRPr="000938D6">
        <w:rPr>
          <w:i/>
          <w:iCs/>
          <w:sz w:val="18"/>
          <w:szCs w:val="18"/>
          <w:lang w:val="fr-FR"/>
        </w:rPr>
        <w:t xml:space="preserve"> IPBES-IPCC Co Sponsored Workshop</w:t>
      </w:r>
      <w:r w:rsidRPr="000938D6">
        <w:rPr>
          <w:sz w:val="18"/>
          <w:szCs w:val="18"/>
          <w:lang w:val="fr-FR"/>
        </w:rPr>
        <w:t xml:space="preserve">: </w:t>
      </w:r>
      <w:r w:rsidRPr="000938D6">
        <w:rPr>
          <w:i/>
          <w:iCs/>
          <w:sz w:val="18"/>
          <w:szCs w:val="18"/>
          <w:lang w:val="fr-FR"/>
        </w:rPr>
        <w:t xml:space="preserve"> Biodiversity and Climate Change – Scientific Outcome</w:t>
      </w:r>
      <w:r w:rsidRPr="000938D6">
        <w:rPr>
          <w:sz w:val="18"/>
          <w:szCs w:val="18"/>
          <w:lang w:val="fr-FR"/>
        </w:rPr>
        <w:t xml:space="preserve"> (Bonn, </w:t>
      </w:r>
      <w:r w:rsidR="00C96358" w:rsidRPr="000938D6">
        <w:rPr>
          <w:sz w:val="18"/>
          <w:szCs w:val="18"/>
          <w:lang w:val="fr-FR"/>
        </w:rPr>
        <w:t xml:space="preserve">Allemagne, </w:t>
      </w:r>
      <w:r w:rsidR="00F17B09" w:rsidRPr="000938D6">
        <w:rPr>
          <w:sz w:val="18"/>
          <w:szCs w:val="18"/>
          <w:lang w:val="fr-FR"/>
        </w:rPr>
        <w:t>Plateforme intergouvernementale scientifique sur la biodiversité et les services écosystémiques</w:t>
      </w:r>
      <w:r w:rsidRPr="000938D6">
        <w:rPr>
          <w:sz w:val="18"/>
          <w:szCs w:val="18"/>
          <w:lang w:val="fr-FR"/>
        </w:rPr>
        <w:t>, 2021) [anglais seulement].</w:t>
      </w:r>
    </w:p>
  </w:footnote>
  <w:footnote w:id="2">
    <w:p w14:paraId="3E207915" w14:textId="77777777" w:rsidR="00FD69CC" w:rsidRPr="000938D6" w:rsidRDefault="00FD69CC" w:rsidP="00FD69CC">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CBD/SBSTTA/25/INF/2.</w:t>
      </w:r>
    </w:p>
  </w:footnote>
  <w:footnote w:id="3">
    <w:p w14:paraId="6E7D4EA7" w14:textId="664FF62E" w:rsidR="00C96358" w:rsidRPr="000938D6" w:rsidRDefault="00C96358" w:rsidP="00C96358">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Nations Unies, </w:t>
      </w:r>
      <w:r w:rsidRPr="000938D6">
        <w:rPr>
          <w:i/>
          <w:iCs/>
          <w:sz w:val="18"/>
          <w:szCs w:val="18"/>
          <w:lang w:val="fr-FR"/>
        </w:rPr>
        <w:t>Recueil des Traités</w:t>
      </w:r>
      <w:r w:rsidRPr="000938D6">
        <w:rPr>
          <w:sz w:val="18"/>
          <w:szCs w:val="18"/>
          <w:lang w:val="fr-FR"/>
        </w:rPr>
        <w:t>, vol. 1760, n° 30619.</w:t>
      </w:r>
    </w:p>
  </w:footnote>
  <w:footnote w:id="4">
    <w:p w14:paraId="0C1BBF9B" w14:textId="72ADEC59" w:rsidR="009861F2" w:rsidRPr="000938D6" w:rsidRDefault="009861F2" w:rsidP="009861F2">
      <w:pPr>
        <w:pStyle w:val="FootnoteText"/>
        <w:rPr>
          <w:lang w:val="fr-FR"/>
        </w:rPr>
      </w:pPr>
      <w:r w:rsidRPr="000938D6">
        <w:rPr>
          <w:rStyle w:val="FootnoteReference"/>
          <w:sz w:val="18"/>
          <w:szCs w:val="18"/>
          <w:lang w:val="fr-FR"/>
        </w:rPr>
        <w:footnoteRef/>
      </w:r>
      <w:r w:rsidRPr="000938D6">
        <w:rPr>
          <w:sz w:val="18"/>
          <w:szCs w:val="18"/>
          <w:lang w:val="fr-FR"/>
        </w:rPr>
        <w:t xml:space="preserve"> </w:t>
      </w:r>
      <w:r w:rsidR="00CE32A6" w:rsidRPr="000938D6">
        <w:rPr>
          <w:sz w:val="18"/>
          <w:szCs w:val="18"/>
          <w:lang w:val="fr-FR"/>
        </w:rPr>
        <w:t>Décision 15/4, annexe</w:t>
      </w:r>
      <w:r w:rsidRPr="000938D6">
        <w:rPr>
          <w:sz w:val="18"/>
          <w:szCs w:val="18"/>
          <w:lang w:val="fr-FR"/>
        </w:rPr>
        <w:t>.</w:t>
      </w:r>
    </w:p>
  </w:footnote>
  <w:footnote w:id="5">
    <w:p w14:paraId="3123D634" w14:textId="7E98024C" w:rsidR="00C40DAD" w:rsidRPr="000938D6" w:rsidRDefault="00C40DAD" w:rsidP="00C40DAD">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CE32A6" w:rsidRPr="000938D6">
        <w:rPr>
          <w:color w:val="000000"/>
          <w:sz w:val="18"/>
          <w:szCs w:val="18"/>
          <w:lang w:val="fr-FR"/>
        </w:rPr>
        <w:t xml:space="preserve">Nations Unies, </w:t>
      </w:r>
      <w:r w:rsidR="00CE32A6" w:rsidRPr="000938D6">
        <w:rPr>
          <w:i/>
          <w:iCs/>
          <w:color w:val="000000"/>
          <w:sz w:val="18"/>
          <w:szCs w:val="18"/>
          <w:lang w:val="fr-FR"/>
        </w:rPr>
        <w:t>Recueil des Traités</w:t>
      </w:r>
      <w:r w:rsidR="00CE32A6" w:rsidRPr="000938D6">
        <w:rPr>
          <w:color w:val="000000"/>
          <w:sz w:val="18"/>
          <w:szCs w:val="18"/>
          <w:lang w:val="fr-FR"/>
        </w:rPr>
        <w:t>, vol. 1771, n° 30822</w:t>
      </w:r>
      <w:r w:rsidRPr="000938D6">
        <w:rPr>
          <w:color w:val="000000"/>
          <w:sz w:val="18"/>
          <w:szCs w:val="18"/>
          <w:lang w:val="fr-FR"/>
        </w:rPr>
        <w:t>.</w:t>
      </w:r>
    </w:p>
  </w:footnote>
  <w:footnote w:id="6">
    <w:p w14:paraId="549CF3CB" w14:textId="77777777" w:rsidR="00FD69CC" w:rsidRPr="000938D6" w:rsidRDefault="00FD69CC" w:rsidP="00FD69CC">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Nations Unies, </w:t>
      </w:r>
      <w:r w:rsidRPr="000938D6">
        <w:rPr>
          <w:i/>
          <w:sz w:val="18"/>
          <w:szCs w:val="18"/>
          <w:lang w:val="fr-FR"/>
        </w:rPr>
        <w:t>Recueil des Traités</w:t>
      </w:r>
      <w:r w:rsidRPr="000938D6">
        <w:rPr>
          <w:sz w:val="18"/>
          <w:szCs w:val="18"/>
          <w:lang w:val="fr-FR"/>
        </w:rPr>
        <w:t>, vol. 3156, n</w:t>
      </w:r>
      <w:r w:rsidRPr="000938D6">
        <w:rPr>
          <w:sz w:val="18"/>
          <w:szCs w:val="18"/>
          <w:vertAlign w:val="superscript"/>
          <w:lang w:val="fr-FR"/>
        </w:rPr>
        <w:t>o</w:t>
      </w:r>
      <w:r w:rsidRPr="000938D6">
        <w:rPr>
          <w:sz w:val="18"/>
          <w:szCs w:val="18"/>
          <w:lang w:val="fr-FR"/>
        </w:rPr>
        <w:t> 54113.</w:t>
      </w:r>
    </w:p>
  </w:footnote>
  <w:footnote w:id="7">
    <w:p w14:paraId="3DC04D2E" w14:textId="720238EE" w:rsidR="00C40DAD" w:rsidRPr="000938D6" w:rsidRDefault="00C40DAD" w:rsidP="00C40DAD">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CE32A6" w:rsidRPr="000938D6">
        <w:rPr>
          <w:kern w:val="14"/>
          <w:sz w:val="18"/>
          <w:szCs w:val="18"/>
          <w:lang w:val="fr-FR"/>
        </w:rPr>
        <w:t>Résolution 70/1 de l'Assemblée générale.</w:t>
      </w:r>
    </w:p>
  </w:footnote>
  <w:footnote w:id="8">
    <w:p w14:paraId="2441A65D" w14:textId="77777777" w:rsidR="00FD69CC" w:rsidRPr="000938D6" w:rsidRDefault="00FD69CC" w:rsidP="00FD69CC">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Nations Unies, </w:t>
      </w:r>
      <w:r w:rsidRPr="000938D6">
        <w:rPr>
          <w:i/>
          <w:sz w:val="18"/>
          <w:szCs w:val="18"/>
          <w:lang w:val="fr-FR"/>
        </w:rPr>
        <w:t>Recueil des Traités</w:t>
      </w:r>
      <w:r w:rsidRPr="000938D6">
        <w:rPr>
          <w:sz w:val="18"/>
          <w:szCs w:val="18"/>
          <w:lang w:val="fr-FR"/>
        </w:rPr>
        <w:t xml:space="preserve">, </w:t>
      </w:r>
      <w:r w:rsidRPr="000938D6">
        <w:rPr>
          <w:color w:val="000000"/>
          <w:sz w:val="18"/>
          <w:szCs w:val="18"/>
          <w:lang w:val="fr-FR"/>
        </w:rPr>
        <w:t>vol. 1954, n</w:t>
      </w:r>
      <w:r w:rsidRPr="000938D6">
        <w:rPr>
          <w:color w:val="000000"/>
          <w:sz w:val="18"/>
          <w:szCs w:val="18"/>
          <w:vertAlign w:val="superscript"/>
          <w:lang w:val="fr-FR"/>
        </w:rPr>
        <w:t>o</w:t>
      </w:r>
      <w:r w:rsidRPr="000938D6">
        <w:rPr>
          <w:color w:val="000000"/>
          <w:sz w:val="18"/>
          <w:szCs w:val="18"/>
          <w:lang w:val="fr-FR"/>
        </w:rPr>
        <w:t> 33480.</w:t>
      </w:r>
    </w:p>
  </w:footnote>
  <w:footnote w:id="9">
    <w:p w14:paraId="31CADA38" w14:textId="792D90E0" w:rsidR="00C40DAD" w:rsidRPr="000938D6" w:rsidRDefault="00C40DAD" w:rsidP="00C40DAD">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CE32A6" w:rsidRPr="000938D6">
        <w:rPr>
          <w:i/>
          <w:iCs/>
          <w:color w:val="000000"/>
          <w:sz w:val="18"/>
          <w:szCs w:val="18"/>
          <w:lang w:val="fr-FR"/>
        </w:rPr>
        <w:t>Rapport de la Conférence des Nations Unies sur l'environnement et le développement,</w:t>
      </w:r>
      <w:r w:rsidR="00CE32A6" w:rsidRPr="000938D6">
        <w:rPr>
          <w:color w:val="000000"/>
          <w:sz w:val="18"/>
          <w:szCs w:val="18"/>
          <w:lang w:val="fr-FR"/>
        </w:rPr>
        <w:t xml:space="preserve"> Rio de Janeiro, 3-14 juin 1992, vol. I, </w:t>
      </w:r>
      <w:r w:rsidR="00CE32A6" w:rsidRPr="000938D6">
        <w:rPr>
          <w:i/>
          <w:iCs/>
          <w:color w:val="000000"/>
          <w:sz w:val="18"/>
          <w:szCs w:val="18"/>
          <w:lang w:val="fr-FR"/>
        </w:rPr>
        <w:t xml:space="preserve">Résolutions adoptées par la Conférence </w:t>
      </w:r>
      <w:r w:rsidR="00CE32A6" w:rsidRPr="000938D6">
        <w:rPr>
          <w:color w:val="000000"/>
          <w:sz w:val="18"/>
          <w:szCs w:val="18"/>
          <w:lang w:val="fr-FR"/>
        </w:rPr>
        <w:t>(publication des Nations Unies, numéro de vente E.93.I.8 et rectificatif), résolution 1,</w:t>
      </w:r>
      <w:r w:rsidR="00CE32A6" w:rsidRPr="000938D6">
        <w:rPr>
          <w:i/>
          <w:iCs/>
          <w:color w:val="000000"/>
          <w:sz w:val="18"/>
          <w:szCs w:val="18"/>
          <w:lang w:val="fr-FR"/>
        </w:rPr>
        <w:t xml:space="preserve"> </w:t>
      </w:r>
      <w:r w:rsidR="00CE32A6" w:rsidRPr="000938D6">
        <w:rPr>
          <w:color w:val="000000"/>
          <w:sz w:val="18"/>
          <w:szCs w:val="18"/>
          <w:lang w:val="fr-FR"/>
        </w:rPr>
        <w:t>annexe I</w:t>
      </w:r>
      <w:r w:rsidRPr="000938D6">
        <w:rPr>
          <w:color w:val="000000"/>
          <w:sz w:val="18"/>
          <w:szCs w:val="18"/>
          <w:lang w:val="fr-FR"/>
        </w:rPr>
        <w:t>.</w:t>
      </w:r>
    </w:p>
  </w:footnote>
  <w:footnote w:id="10">
    <w:p w14:paraId="144FA4D7" w14:textId="66CA872A" w:rsidR="00C40DAD" w:rsidRPr="000938D6" w:rsidRDefault="00C40DAD" w:rsidP="00C40DAD">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CE32A6" w:rsidRPr="000938D6">
        <w:rPr>
          <w:sz w:val="18"/>
          <w:szCs w:val="18"/>
          <w:lang w:val="fr-FR"/>
        </w:rPr>
        <w:t xml:space="preserve">Eduardo S. Brondízio et autres, éd. </w:t>
      </w:r>
      <w:r w:rsidR="00CE32A6" w:rsidRPr="000938D6">
        <w:rPr>
          <w:i/>
          <w:iCs/>
          <w:sz w:val="18"/>
          <w:szCs w:val="18"/>
          <w:lang w:val="fr-FR"/>
        </w:rPr>
        <w:t>Rapport d'évaluation mondiale sur la biodiversité et les services écosystémiques</w:t>
      </w:r>
      <w:r w:rsidR="00CE32A6" w:rsidRPr="000938D6">
        <w:rPr>
          <w:sz w:val="18"/>
          <w:szCs w:val="18"/>
          <w:lang w:val="fr-FR"/>
        </w:rPr>
        <w:t xml:space="preserve"> (Bonn, Allemagne, Secrétariat de la Plateforme intergouvernementale scientifique et politique sur la biodiversité et les services écosystémiques, 2019).</w:t>
      </w:r>
    </w:p>
  </w:footnote>
  <w:footnote w:id="11">
    <w:p w14:paraId="20391D3F" w14:textId="77777777" w:rsidR="00C40DAD" w:rsidRPr="000938D6" w:rsidRDefault="00C40DAD" w:rsidP="00C40DAD">
      <w:pPr>
        <w:pStyle w:val="FootnoteText"/>
        <w:rPr>
          <w:lang w:val="fr-FR"/>
        </w:rPr>
      </w:pPr>
      <w:r w:rsidRPr="000938D6">
        <w:rPr>
          <w:rStyle w:val="FootnoteReference"/>
          <w:lang w:val="fr-FR"/>
        </w:rPr>
        <w:footnoteRef/>
      </w:r>
      <w:r w:rsidRPr="000938D6">
        <w:rPr>
          <w:lang w:val="fr-FR"/>
        </w:rPr>
        <w:t xml:space="preserve"> A/HRC/49/53.</w:t>
      </w:r>
    </w:p>
  </w:footnote>
  <w:footnote w:id="12">
    <w:p w14:paraId="12AB8139" w14:textId="77777777" w:rsidR="00C40DAD" w:rsidRPr="000938D6" w:rsidRDefault="00C40DAD" w:rsidP="00C40DAD">
      <w:pPr>
        <w:pStyle w:val="FootnoteText"/>
        <w:rPr>
          <w:lang w:val="fr-FR"/>
        </w:rPr>
      </w:pPr>
      <w:r w:rsidRPr="000938D6">
        <w:rPr>
          <w:rStyle w:val="FootnoteReference"/>
          <w:lang w:val="fr-FR"/>
        </w:rPr>
        <w:footnoteRef/>
      </w:r>
      <w:r w:rsidRPr="000938D6">
        <w:rPr>
          <w:lang w:val="fr-FR"/>
        </w:rPr>
        <w:t xml:space="preserve"> </w:t>
      </w:r>
      <w:r w:rsidRPr="000938D6">
        <w:rPr>
          <w:sz w:val="18"/>
          <w:szCs w:val="18"/>
          <w:lang w:val="fr-FR"/>
        </w:rPr>
        <w:t>UNEP/EA.5/Res.5.</w:t>
      </w:r>
    </w:p>
  </w:footnote>
  <w:footnote w:id="13">
    <w:p w14:paraId="7F95A580" w14:textId="554AF9D3" w:rsidR="00855BA1" w:rsidRPr="000938D6" w:rsidRDefault="00855BA1" w:rsidP="00855BA1">
      <w:pPr>
        <w:pStyle w:val="FootnoteText"/>
        <w:rPr>
          <w:lang w:val="fr-FR"/>
        </w:rPr>
      </w:pPr>
      <w:r w:rsidRPr="000938D6">
        <w:rPr>
          <w:rStyle w:val="FootnoteReference"/>
          <w:sz w:val="18"/>
          <w:szCs w:val="18"/>
          <w:lang w:val="fr-FR"/>
        </w:rPr>
        <w:footnoteRef/>
      </w:r>
      <w:r w:rsidRPr="000938D6">
        <w:rPr>
          <w:sz w:val="18"/>
          <w:szCs w:val="18"/>
          <w:lang w:val="fr-FR"/>
        </w:rPr>
        <w:t xml:space="preserve"> </w:t>
      </w:r>
      <w:r w:rsidR="00CE32A6" w:rsidRPr="000938D6">
        <w:rPr>
          <w:rFonts w:asciiTheme="majorBidi" w:hAnsiTheme="majorBidi" w:cstheme="majorBidi"/>
          <w:sz w:val="18"/>
          <w:szCs w:val="18"/>
          <w:lang w:val="fr-FR"/>
        </w:rPr>
        <w:t>Hoesung Lee et autres, eds, Changements climatiques 2023 : Rapport de synthèse - Contribution des groupes de travail I, II et III au sixième rapport d'évaluation du Groupe d'experts intergouvernemental sur l'évolution du climat (Genève, Groupe d'experts intergouvernemental sur l'évolution du climat, 2023).</w:t>
      </w:r>
    </w:p>
  </w:footnote>
  <w:footnote w:id="14">
    <w:p w14:paraId="403D0915" w14:textId="23693C78" w:rsidR="00837793" w:rsidRPr="000938D6" w:rsidRDefault="00837793">
      <w:pPr>
        <w:pStyle w:val="FootnoteText"/>
        <w:rPr>
          <w:lang w:val="fr-FR"/>
        </w:rPr>
      </w:pPr>
      <w:r w:rsidRPr="000938D6">
        <w:rPr>
          <w:rStyle w:val="FootnoteReference"/>
          <w:lang w:val="fr-FR"/>
        </w:rPr>
        <w:footnoteRef/>
      </w:r>
      <w:r w:rsidRPr="000938D6">
        <w:rPr>
          <w:lang w:val="fr-FR"/>
        </w:rPr>
        <w:t xml:space="preserve"> </w:t>
      </w:r>
      <w:r w:rsidR="00CE32A6" w:rsidRPr="000938D6">
        <w:rPr>
          <w:kern w:val="18"/>
          <w:sz w:val="18"/>
          <w:szCs w:val="18"/>
          <w:lang w:val="fr-FR"/>
        </w:rPr>
        <w:t xml:space="preserve">Décision 14/5, annexe ; voir également la </w:t>
      </w:r>
      <w:hyperlink r:id="rId1" w:history="1">
        <w:r w:rsidR="00CE32A6" w:rsidRPr="000938D6">
          <w:rPr>
            <w:rStyle w:val="Hyperlink"/>
            <w:kern w:val="18"/>
            <w:szCs w:val="18"/>
            <w:lang w:val="fr-FR"/>
          </w:rPr>
          <w:t>Série technique n° 93</w:t>
        </w:r>
      </w:hyperlink>
      <w:r w:rsidR="00CE32A6" w:rsidRPr="000938D6">
        <w:rPr>
          <w:kern w:val="18"/>
          <w:sz w:val="18"/>
          <w:szCs w:val="18"/>
          <w:lang w:val="fr-FR"/>
        </w:rPr>
        <w:t xml:space="preserve"> de la CDB pour des informations complémentaires </w:t>
      </w:r>
      <w:r w:rsidRPr="000938D6">
        <w:rPr>
          <w:kern w:val="18"/>
          <w:sz w:val="18"/>
          <w:szCs w:val="18"/>
          <w:lang w:val="fr-FR"/>
        </w:rPr>
        <w:t>[anglais seulement].</w:t>
      </w:r>
    </w:p>
  </w:footnote>
  <w:footnote w:id="15">
    <w:p w14:paraId="5D9D1DC1" w14:textId="11AC9D33" w:rsidR="002F7985" w:rsidRPr="000938D6" w:rsidRDefault="002F7985" w:rsidP="002F7985">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CE32A6" w:rsidRPr="000938D6">
        <w:rPr>
          <w:sz w:val="18"/>
          <w:szCs w:val="18"/>
          <w:lang w:val="fr-FR"/>
        </w:rPr>
        <w:t xml:space="preserve">Nations Unies, </w:t>
      </w:r>
      <w:r w:rsidR="00CE32A6" w:rsidRPr="000938D6">
        <w:rPr>
          <w:i/>
          <w:iCs/>
          <w:sz w:val="18"/>
          <w:szCs w:val="18"/>
          <w:lang w:val="fr-FR"/>
        </w:rPr>
        <w:t>Recueil des Traités</w:t>
      </w:r>
      <w:r w:rsidR="00CE32A6" w:rsidRPr="000938D6">
        <w:rPr>
          <w:sz w:val="18"/>
          <w:szCs w:val="18"/>
          <w:lang w:val="fr-FR"/>
        </w:rPr>
        <w:t>, vol. 996, n° 14583.</w:t>
      </w:r>
    </w:p>
  </w:footnote>
  <w:footnote w:id="16">
    <w:p w14:paraId="3BF397A3" w14:textId="76F658B3" w:rsidR="002F7985" w:rsidRPr="000938D6" w:rsidRDefault="002F7985" w:rsidP="002F7985">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9861F2" w:rsidRPr="000938D6">
        <w:rPr>
          <w:kern w:val="14"/>
          <w:sz w:val="18"/>
          <w:szCs w:val="18"/>
          <w:lang w:val="fr-FR"/>
        </w:rPr>
        <w:t>Résolution 69/283 de l'Assemblée générale, annexe II.</w:t>
      </w:r>
    </w:p>
  </w:footnote>
  <w:footnote w:id="17">
    <w:p w14:paraId="48C4E18C" w14:textId="65A49BB5" w:rsidR="002F7985" w:rsidRPr="000938D6" w:rsidRDefault="002F7985" w:rsidP="002F7985">
      <w:pPr>
        <w:pStyle w:val="FootnoteText"/>
        <w:rPr>
          <w:sz w:val="18"/>
          <w:szCs w:val="18"/>
          <w:lang w:val="fr-FR"/>
        </w:rPr>
      </w:pPr>
      <w:r w:rsidRPr="000938D6">
        <w:rPr>
          <w:rStyle w:val="FootnoteReference"/>
          <w:sz w:val="18"/>
          <w:szCs w:val="18"/>
          <w:lang w:val="fr-FR"/>
        </w:rPr>
        <w:footnoteRef/>
      </w:r>
      <w:r w:rsidRPr="000938D6">
        <w:rPr>
          <w:sz w:val="18"/>
          <w:szCs w:val="18"/>
          <w:lang w:val="fr-FR"/>
        </w:rPr>
        <w:t xml:space="preserve"> </w:t>
      </w:r>
      <w:r w:rsidR="009861F2" w:rsidRPr="000938D6">
        <w:rPr>
          <w:sz w:val="18"/>
          <w:szCs w:val="18"/>
          <w:lang w:val="fr-FR"/>
        </w:rPr>
        <w:t>Résolution 71/256 de l'Assemblée générale, annexe</w:t>
      </w:r>
      <w:r w:rsidRPr="000938D6">
        <w:rPr>
          <w:sz w:val="18"/>
          <w:szCs w:val="18"/>
          <w:lang w:val="fr-FR"/>
        </w:rPr>
        <w:t>.</w:t>
      </w:r>
    </w:p>
  </w:footnote>
  <w:footnote w:id="18">
    <w:p w14:paraId="39FFE259" w14:textId="1FA524AB" w:rsidR="00855BA1" w:rsidRPr="000938D6" w:rsidRDefault="00855BA1" w:rsidP="00855BA1">
      <w:pPr>
        <w:pStyle w:val="FootnoteText"/>
        <w:rPr>
          <w:lang w:val="fr-FR"/>
        </w:rPr>
      </w:pPr>
      <w:r w:rsidRPr="000938D6">
        <w:rPr>
          <w:rStyle w:val="FootnoteReference"/>
          <w:sz w:val="18"/>
          <w:szCs w:val="18"/>
          <w:lang w:val="fr-FR"/>
        </w:rPr>
        <w:footnoteRef/>
      </w:r>
      <w:r w:rsidRPr="000938D6">
        <w:rPr>
          <w:sz w:val="18"/>
          <w:szCs w:val="18"/>
          <w:lang w:val="fr-FR"/>
        </w:rPr>
        <w:t xml:space="preserve"> </w:t>
      </w:r>
      <w:r w:rsidR="00ED4045" w:rsidRPr="000938D6">
        <w:rPr>
          <w:sz w:val="18"/>
          <w:szCs w:val="18"/>
          <w:lang w:val="fr-FR"/>
        </w:rPr>
        <w:t>Décision</w:t>
      </w:r>
      <w:r w:rsidRPr="000938D6">
        <w:rPr>
          <w:sz w:val="18"/>
          <w:szCs w:val="18"/>
          <w:lang w:val="fr-FR"/>
        </w:rPr>
        <w:t xml:space="preserve"> 15/8, </w:t>
      </w:r>
      <w:r w:rsidR="00ED4045" w:rsidRPr="000938D6">
        <w:rPr>
          <w:sz w:val="18"/>
          <w:szCs w:val="18"/>
          <w:lang w:val="fr-FR"/>
        </w:rPr>
        <w:t>annexe</w:t>
      </w:r>
      <w:r w:rsidRPr="000938D6">
        <w:rPr>
          <w:sz w:val="18"/>
          <w:szCs w:val="18"/>
          <w:lang w:val="fr-FR"/>
        </w:rPr>
        <w:t xml:space="preserv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438288A4" w14:textId="3958AD09" w:rsidR="002B559C" w:rsidRPr="002B559C" w:rsidRDefault="00702AF3"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0938D6" w:rsidRPr="003B5B6A">
          <w:rPr>
            <w:sz w:val="20"/>
            <w:szCs w:val="20"/>
            <w:lang w:val="fr-FR"/>
          </w:rPr>
          <w:t>CBD/SBSTTA/REC/25/8</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CB727D4" w14:textId="69B73080" w:rsidR="002B559C" w:rsidRPr="002B559C" w:rsidRDefault="000938D6" w:rsidP="002B559C">
        <w:pPr>
          <w:pStyle w:val="Header"/>
          <w:pBdr>
            <w:bottom w:val="single" w:sz="4" w:space="1" w:color="auto"/>
          </w:pBdr>
          <w:spacing w:after="240"/>
          <w:jc w:val="right"/>
          <w:rPr>
            <w:sz w:val="20"/>
            <w:szCs w:val="20"/>
            <w:lang w:val="fr-FR"/>
          </w:rPr>
        </w:pPr>
        <w:r>
          <w:rPr>
            <w:sz w:val="20"/>
            <w:szCs w:val="20"/>
            <w:lang w:val="fr-FR"/>
          </w:rPr>
          <w:t>CBD/SBSTTA/REC/25/8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4FC6"/>
    <w:multiLevelType w:val="hybridMultilevel"/>
    <w:tmpl w:val="923C8918"/>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8B70991"/>
    <w:multiLevelType w:val="hybridMultilevel"/>
    <w:tmpl w:val="BAFE4F84"/>
    <w:lvl w:ilvl="0" w:tplc="DFF8A69E">
      <w:start w:val="1"/>
      <w:numFmt w:val="decimal"/>
      <w:pStyle w:val="Para10"/>
      <w:lvlText w:val="%1."/>
      <w:lvlJc w:val="left"/>
      <w:pPr>
        <w:ind w:left="117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6189398">
    <w:abstractNumId w:val="1"/>
  </w:num>
  <w:num w:numId="2" w16cid:durableId="577401158">
    <w:abstractNumId w:val="5"/>
  </w:num>
  <w:num w:numId="3" w16cid:durableId="1030841130">
    <w:abstractNumId w:val="3"/>
  </w:num>
  <w:num w:numId="4" w16cid:durableId="1097873874">
    <w:abstractNumId w:val="4"/>
  </w:num>
  <w:num w:numId="5" w16cid:durableId="1935282376">
    <w:abstractNumId w:val="6"/>
  </w:num>
  <w:num w:numId="6" w16cid:durableId="959452216">
    <w:abstractNumId w:val="2"/>
  </w:num>
  <w:num w:numId="7" w16cid:durableId="1690452358">
    <w:abstractNumId w:val="0"/>
  </w:num>
  <w:num w:numId="8" w16cid:durableId="955987521">
    <w:abstractNumId w:val="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4F"/>
    <w:rsid w:val="00000233"/>
    <w:rsid w:val="000042BC"/>
    <w:rsid w:val="00007FF0"/>
    <w:rsid w:val="00013B63"/>
    <w:rsid w:val="00013C5F"/>
    <w:rsid w:val="00015311"/>
    <w:rsid w:val="000166BD"/>
    <w:rsid w:val="00017D13"/>
    <w:rsid w:val="000202B2"/>
    <w:rsid w:val="000234C0"/>
    <w:rsid w:val="00024CB5"/>
    <w:rsid w:val="00026836"/>
    <w:rsid w:val="00027957"/>
    <w:rsid w:val="00031EEB"/>
    <w:rsid w:val="00033330"/>
    <w:rsid w:val="0003394D"/>
    <w:rsid w:val="0003484A"/>
    <w:rsid w:val="000352ED"/>
    <w:rsid w:val="00036E8E"/>
    <w:rsid w:val="00037F2F"/>
    <w:rsid w:val="00040598"/>
    <w:rsid w:val="0004245E"/>
    <w:rsid w:val="000429C6"/>
    <w:rsid w:val="000433EC"/>
    <w:rsid w:val="00044934"/>
    <w:rsid w:val="0004497B"/>
    <w:rsid w:val="00045698"/>
    <w:rsid w:val="0004688B"/>
    <w:rsid w:val="0005194C"/>
    <w:rsid w:val="000521AA"/>
    <w:rsid w:val="00052C39"/>
    <w:rsid w:val="000543E1"/>
    <w:rsid w:val="00056702"/>
    <w:rsid w:val="00064BE1"/>
    <w:rsid w:val="00073162"/>
    <w:rsid w:val="0008023F"/>
    <w:rsid w:val="0008584F"/>
    <w:rsid w:val="000938D6"/>
    <w:rsid w:val="00093A1C"/>
    <w:rsid w:val="00094301"/>
    <w:rsid w:val="000969DB"/>
    <w:rsid w:val="00096D9F"/>
    <w:rsid w:val="0009725E"/>
    <w:rsid w:val="000A06C9"/>
    <w:rsid w:val="000A2F8D"/>
    <w:rsid w:val="000A3182"/>
    <w:rsid w:val="000A3832"/>
    <w:rsid w:val="000B1758"/>
    <w:rsid w:val="000B17B6"/>
    <w:rsid w:val="000B1FFC"/>
    <w:rsid w:val="000B3448"/>
    <w:rsid w:val="000B6781"/>
    <w:rsid w:val="000C0684"/>
    <w:rsid w:val="000C1BAC"/>
    <w:rsid w:val="000C2010"/>
    <w:rsid w:val="000C5774"/>
    <w:rsid w:val="000D2418"/>
    <w:rsid w:val="000D3EBC"/>
    <w:rsid w:val="000D41E7"/>
    <w:rsid w:val="000D5F38"/>
    <w:rsid w:val="000D6C07"/>
    <w:rsid w:val="000E19B2"/>
    <w:rsid w:val="000E288C"/>
    <w:rsid w:val="000E70EB"/>
    <w:rsid w:val="000E745A"/>
    <w:rsid w:val="000F2EC3"/>
    <w:rsid w:val="000F48A6"/>
    <w:rsid w:val="000F503B"/>
    <w:rsid w:val="000F7486"/>
    <w:rsid w:val="00105A6C"/>
    <w:rsid w:val="00106AD9"/>
    <w:rsid w:val="001076AF"/>
    <w:rsid w:val="001105DE"/>
    <w:rsid w:val="00110A61"/>
    <w:rsid w:val="0011200E"/>
    <w:rsid w:val="0011278A"/>
    <w:rsid w:val="001135A2"/>
    <w:rsid w:val="00116A3D"/>
    <w:rsid w:val="00121B56"/>
    <w:rsid w:val="001247BB"/>
    <w:rsid w:val="001248B2"/>
    <w:rsid w:val="00125474"/>
    <w:rsid w:val="00125782"/>
    <w:rsid w:val="00125C72"/>
    <w:rsid w:val="00125FA4"/>
    <w:rsid w:val="00126D77"/>
    <w:rsid w:val="00127306"/>
    <w:rsid w:val="00130259"/>
    <w:rsid w:val="00131989"/>
    <w:rsid w:val="00132581"/>
    <w:rsid w:val="00133175"/>
    <w:rsid w:val="001332A0"/>
    <w:rsid w:val="00137E0A"/>
    <w:rsid w:val="001400DE"/>
    <w:rsid w:val="00142EB9"/>
    <w:rsid w:val="00151279"/>
    <w:rsid w:val="00152761"/>
    <w:rsid w:val="00152F69"/>
    <w:rsid w:val="00153807"/>
    <w:rsid w:val="00154B88"/>
    <w:rsid w:val="0015532A"/>
    <w:rsid w:val="00155A33"/>
    <w:rsid w:val="00155BF7"/>
    <w:rsid w:val="00160837"/>
    <w:rsid w:val="001706A9"/>
    <w:rsid w:val="00170FCD"/>
    <w:rsid w:val="00172282"/>
    <w:rsid w:val="0017443F"/>
    <w:rsid w:val="001758AA"/>
    <w:rsid w:val="00176A33"/>
    <w:rsid w:val="00176ECF"/>
    <w:rsid w:val="001801CE"/>
    <w:rsid w:val="0018301B"/>
    <w:rsid w:val="00183148"/>
    <w:rsid w:val="00184909"/>
    <w:rsid w:val="00185D7A"/>
    <w:rsid w:val="001873EB"/>
    <w:rsid w:val="0019013D"/>
    <w:rsid w:val="001A4F16"/>
    <w:rsid w:val="001A6B33"/>
    <w:rsid w:val="001B04C5"/>
    <w:rsid w:val="001B0F10"/>
    <w:rsid w:val="001B2859"/>
    <w:rsid w:val="001B2A1C"/>
    <w:rsid w:val="001C0BC7"/>
    <w:rsid w:val="001C246A"/>
    <w:rsid w:val="001C726E"/>
    <w:rsid w:val="001C73D6"/>
    <w:rsid w:val="001C77DD"/>
    <w:rsid w:val="001D0500"/>
    <w:rsid w:val="001D2AE1"/>
    <w:rsid w:val="001D33AF"/>
    <w:rsid w:val="001D5985"/>
    <w:rsid w:val="001D666C"/>
    <w:rsid w:val="001D6FF6"/>
    <w:rsid w:val="001E087A"/>
    <w:rsid w:val="001E091A"/>
    <w:rsid w:val="001E13DE"/>
    <w:rsid w:val="001E1F1C"/>
    <w:rsid w:val="001E53EA"/>
    <w:rsid w:val="001E760A"/>
    <w:rsid w:val="001F0C27"/>
    <w:rsid w:val="001F113A"/>
    <w:rsid w:val="001F1777"/>
    <w:rsid w:val="001F2DA0"/>
    <w:rsid w:val="001F6690"/>
    <w:rsid w:val="001F6B10"/>
    <w:rsid w:val="001F7C72"/>
    <w:rsid w:val="002005C9"/>
    <w:rsid w:val="00200B86"/>
    <w:rsid w:val="00201971"/>
    <w:rsid w:val="00202BFD"/>
    <w:rsid w:val="00202EC6"/>
    <w:rsid w:val="00203F18"/>
    <w:rsid w:val="0020694E"/>
    <w:rsid w:val="00206E95"/>
    <w:rsid w:val="002079D9"/>
    <w:rsid w:val="00211769"/>
    <w:rsid w:val="00213703"/>
    <w:rsid w:val="00214A2F"/>
    <w:rsid w:val="00214DA2"/>
    <w:rsid w:val="00217EEC"/>
    <w:rsid w:val="00222199"/>
    <w:rsid w:val="00223100"/>
    <w:rsid w:val="002245FA"/>
    <w:rsid w:val="00230E8E"/>
    <w:rsid w:val="00230FBA"/>
    <w:rsid w:val="002326F9"/>
    <w:rsid w:val="00235043"/>
    <w:rsid w:val="00235E44"/>
    <w:rsid w:val="0023666A"/>
    <w:rsid w:val="00241168"/>
    <w:rsid w:val="00242221"/>
    <w:rsid w:val="00245E29"/>
    <w:rsid w:val="00247E0D"/>
    <w:rsid w:val="00252FDC"/>
    <w:rsid w:val="00253677"/>
    <w:rsid w:val="00257AF7"/>
    <w:rsid w:val="00260A2C"/>
    <w:rsid w:val="00264BE4"/>
    <w:rsid w:val="00271720"/>
    <w:rsid w:val="0027195C"/>
    <w:rsid w:val="00272754"/>
    <w:rsid w:val="00275E1D"/>
    <w:rsid w:val="00282730"/>
    <w:rsid w:val="00283CF2"/>
    <w:rsid w:val="0028431E"/>
    <w:rsid w:val="00284440"/>
    <w:rsid w:val="00284B3B"/>
    <w:rsid w:val="00286A3A"/>
    <w:rsid w:val="00292D85"/>
    <w:rsid w:val="002931DA"/>
    <w:rsid w:val="00294BDE"/>
    <w:rsid w:val="00294C09"/>
    <w:rsid w:val="00296C68"/>
    <w:rsid w:val="002978EE"/>
    <w:rsid w:val="002A000C"/>
    <w:rsid w:val="002A03C9"/>
    <w:rsid w:val="002A0DAC"/>
    <w:rsid w:val="002A1E9C"/>
    <w:rsid w:val="002A2DCF"/>
    <w:rsid w:val="002A6A6C"/>
    <w:rsid w:val="002B00CA"/>
    <w:rsid w:val="002B3FED"/>
    <w:rsid w:val="002B559C"/>
    <w:rsid w:val="002B7531"/>
    <w:rsid w:val="002C099C"/>
    <w:rsid w:val="002C0B46"/>
    <w:rsid w:val="002C0BC0"/>
    <w:rsid w:val="002C134D"/>
    <w:rsid w:val="002C18AB"/>
    <w:rsid w:val="002C2865"/>
    <w:rsid w:val="002C2CE3"/>
    <w:rsid w:val="002C34E8"/>
    <w:rsid w:val="002C5A5E"/>
    <w:rsid w:val="002D0C78"/>
    <w:rsid w:val="002D2D05"/>
    <w:rsid w:val="002D399B"/>
    <w:rsid w:val="002D44B9"/>
    <w:rsid w:val="002D4517"/>
    <w:rsid w:val="002D54A5"/>
    <w:rsid w:val="002E4FDF"/>
    <w:rsid w:val="002E5928"/>
    <w:rsid w:val="002E7D3F"/>
    <w:rsid w:val="002F0A15"/>
    <w:rsid w:val="002F351F"/>
    <w:rsid w:val="002F4D8E"/>
    <w:rsid w:val="002F56D1"/>
    <w:rsid w:val="002F7985"/>
    <w:rsid w:val="00301CCB"/>
    <w:rsid w:val="00304904"/>
    <w:rsid w:val="0030524F"/>
    <w:rsid w:val="003054F7"/>
    <w:rsid w:val="003067DE"/>
    <w:rsid w:val="00310608"/>
    <w:rsid w:val="0031276C"/>
    <w:rsid w:val="00312C8A"/>
    <w:rsid w:val="00315E1D"/>
    <w:rsid w:val="00316BFE"/>
    <w:rsid w:val="00316D12"/>
    <w:rsid w:val="003174C2"/>
    <w:rsid w:val="003220E6"/>
    <w:rsid w:val="00323F22"/>
    <w:rsid w:val="00325766"/>
    <w:rsid w:val="0033113C"/>
    <w:rsid w:val="00334C0E"/>
    <w:rsid w:val="0033516E"/>
    <w:rsid w:val="003351E8"/>
    <w:rsid w:val="00337C07"/>
    <w:rsid w:val="003431E4"/>
    <w:rsid w:val="003476A9"/>
    <w:rsid w:val="00350333"/>
    <w:rsid w:val="00353521"/>
    <w:rsid w:val="00354FA1"/>
    <w:rsid w:val="00355CDE"/>
    <w:rsid w:val="00355FFA"/>
    <w:rsid w:val="0035643D"/>
    <w:rsid w:val="00357D70"/>
    <w:rsid w:val="00361AA7"/>
    <w:rsid w:val="0036269C"/>
    <w:rsid w:val="0036448D"/>
    <w:rsid w:val="00364AE9"/>
    <w:rsid w:val="003663DC"/>
    <w:rsid w:val="0037078E"/>
    <w:rsid w:val="003722B5"/>
    <w:rsid w:val="003747A7"/>
    <w:rsid w:val="00377DFA"/>
    <w:rsid w:val="00380736"/>
    <w:rsid w:val="00383882"/>
    <w:rsid w:val="003859CB"/>
    <w:rsid w:val="00394E82"/>
    <w:rsid w:val="00395E87"/>
    <w:rsid w:val="00397FE2"/>
    <w:rsid w:val="003A0B9A"/>
    <w:rsid w:val="003A1760"/>
    <w:rsid w:val="003A1957"/>
    <w:rsid w:val="003A6EE7"/>
    <w:rsid w:val="003A7494"/>
    <w:rsid w:val="003B1190"/>
    <w:rsid w:val="003B4A52"/>
    <w:rsid w:val="003B6A24"/>
    <w:rsid w:val="003B7A39"/>
    <w:rsid w:val="003C5492"/>
    <w:rsid w:val="003C69C2"/>
    <w:rsid w:val="003C6F10"/>
    <w:rsid w:val="003C7338"/>
    <w:rsid w:val="003D2D41"/>
    <w:rsid w:val="003D5FA6"/>
    <w:rsid w:val="003E1081"/>
    <w:rsid w:val="003E1CD3"/>
    <w:rsid w:val="003E254C"/>
    <w:rsid w:val="003E4115"/>
    <w:rsid w:val="003E554A"/>
    <w:rsid w:val="003E57A2"/>
    <w:rsid w:val="003E5C7E"/>
    <w:rsid w:val="003E6EE3"/>
    <w:rsid w:val="003E6FB6"/>
    <w:rsid w:val="003E7D8E"/>
    <w:rsid w:val="003F169A"/>
    <w:rsid w:val="003F6088"/>
    <w:rsid w:val="00402438"/>
    <w:rsid w:val="004053E5"/>
    <w:rsid w:val="00406386"/>
    <w:rsid w:val="0040662B"/>
    <w:rsid w:val="00407825"/>
    <w:rsid w:val="00407922"/>
    <w:rsid w:val="004105DC"/>
    <w:rsid w:val="00411AE8"/>
    <w:rsid w:val="0041355D"/>
    <w:rsid w:val="0041486F"/>
    <w:rsid w:val="00414A17"/>
    <w:rsid w:val="004155BF"/>
    <w:rsid w:val="004168D5"/>
    <w:rsid w:val="00417793"/>
    <w:rsid w:val="00424646"/>
    <w:rsid w:val="004254B1"/>
    <w:rsid w:val="00425944"/>
    <w:rsid w:val="00430B1A"/>
    <w:rsid w:val="0043165F"/>
    <w:rsid w:val="004318F4"/>
    <w:rsid w:val="00432666"/>
    <w:rsid w:val="004330B4"/>
    <w:rsid w:val="004331C8"/>
    <w:rsid w:val="004335E2"/>
    <w:rsid w:val="00433DA8"/>
    <w:rsid w:val="00435069"/>
    <w:rsid w:val="0043572B"/>
    <w:rsid w:val="00435A96"/>
    <w:rsid w:val="0044109A"/>
    <w:rsid w:val="00441D08"/>
    <w:rsid w:val="0044454D"/>
    <w:rsid w:val="00450871"/>
    <w:rsid w:val="00451357"/>
    <w:rsid w:val="004520CB"/>
    <w:rsid w:val="00452668"/>
    <w:rsid w:val="00452C39"/>
    <w:rsid w:val="00453776"/>
    <w:rsid w:val="00455937"/>
    <w:rsid w:val="00455FC0"/>
    <w:rsid w:val="00456A7F"/>
    <w:rsid w:val="00456FCE"/>
    <w:rsid w:val="00461D17"/>
    <w:rsid w:val="0046327D"/>
    <w:rsid w:val="0046694F"/>
    <w:rsid w:val="004701EE"/>
    <w:rsid w:val="00477D87"/>
    <w:rsid w:val="00487BA8"/>
    <w:rsid w:val="00490BB4"/>
    <w:rsid w:val="00491CFC"/>
    <w:rsid w:val="00492795"/>
    <w:rsid w:val="0049399D"/>
    <w:rsid w:val="004A043D"/>
    <w:rsid w:val="004A05A1"/>
    <w:rsid w:val="004A07ED"/>
    <w:rsid w:val="004A172A"/>
    <w:rsid w:val="004A175C"/>
    <w:rsid w:val="004A1DA6"/>
    <w:rsid w:val="004A2A2D"/>
    <w:rsid w:val="004A45E7"/>
    <w:rsid w:val="004A46B7"/>
    <w:rsid w:val="004A6923"/>
    <w:rsid w:val="004B28DD"/>
    <w:rsid w:val="004B4463"/>
    <w:rsid w:val="004B7AC0"/>
    <w:rsid w:val="004C004F"/>
    <w:rsid w:val="004C032A"/>
    <w:rsid w:val="004C6C0E"/>
    <w:rsid w:val="004D3BFE"/>
    <w:rsid w:val="004D5CD6"/>
    <w:rsid w:val="004E1C0E"/>
    <w:rsid w:val="004E3294"/>
    <w:rsid w:val="004E396C"/>
    <w:rsid w:val="004E41F3"/>
    <w:rsid w:val="004E44A1"/>
    <w:rsid w:val="004E6E21"/>
    <w:rsid w:val="004F0713"/>
    <w:rsid w:val="004F133A"/>
    <w:rsid w:val="004F7AB1"/>
    <w:rsid w:val="005031C9"/>
    <w:rsid w:val="0050467F"/>
    <w:rsid w:val="00505862"/>
    <w:rsid w:val="00511D5A"/>
    <w:rsid w:val="00512973"/>
    <w:rsid w:val="00513196"/>
    <w:rsid w:val="00517467"/>
    <w:rsid w:val="00521036"/>
    <w:rsid w:val="00522E7D"/>
    <w:rsid w:val="00523E2A"/>
    <w:rsid w:val="0052450A"/>
    <w:rsid w:val="0052545A"/>
    <w:rsid w:val="00525D73"/>
    <w:rsid w:val="00525ED5"/>
    <w:rsid w:val="00527EF6"/>
    <w:rsid w:val="005320D7"/>
    <w:rsid w:val="0053267A"/>
    <w:rsid w:val="00535FCC"/>
    <w:rsid w:val="00537248"/>
    <w:rsid w:val="00540CB6"/>
    <w:rsid w:val="00541236"/>
    <w:rsid w:val="005426F4"/>
    <w:rsid w:val="00542E8D"/>
    <w:rsid w:val="00545AAA"/>
    <w:rsid w:val="00546975"/>
    <w:rsid w:val="0055170D"/>
    <w:rsid w:val="00551B14"/>
    <w:rsid w:val="00551DA3"/>
    <w:rsid w:val="00552B04"/>
    <w:rsid w:val="00553953"/>
    <w:rsid w:val="00556A99"/>
    <w:rsid w:val="00566886"/>
    <w:rsid w:val="005709A0"/>
    <w:rsid w:val="00570BF6"/>
    <w:rsid w:val="005756F2"/>
    <w:rsid w:val="0057594E"/>
    <w:rsid w:val="00576796"/>
    <w:rsid w:val="00577B7C"/>
    <w:rsid w:val="0058153B"/>
    <w:rsid w:val="0058179A"/>
    <w:rsid w:val="00582BC2"/>
    <w:rsid w:val="00584F3C"/>
    <w:rsid w:val="00586AE2"/>
    <w:rsid w:val="00590CD6"/>
    <w:rsid w:val="00591DE0"/>
    <w:rsid w:val="00595A9B"/>
    <w:rsid w:val="00597FD1"/>
    <w:rsid w:val="005A0F58"/>
    <w:rsid w:val="005A1283"/>
    <w:rsid w:val="005A1D28"/>
    <w:rsid w:val="005A206E"/>
    <w:rsid w:val="005A51A3"/>
    <w:rsid w:val="005A57FC"/>
    <w:rsid w:val="005A6C27"/>
    <w:rsid w:val="005A6F68"/>
    <w:rsid w:val="005A70E5"/>
    <w:rsid w:val="005B1482"/>
    <w:rsid w:val="005B2219"/>
    <w:rsid w:val="005B407F"/>
    <w:rsid w:val="005C171E"/>
    <w:rsid w:val="005C2AE4"/>
    <w:rsid w:val="005C2CF9"/>
    <w:rsid w:val="005C5708"/>
    <w:rsid w:val="005C6DC1"/>
    <w:rsid w:val="005D0899"/>
    <w:rsid w:val="005D2B97"/>
    <w:rsid w:val="005D6657"/>
    <w:rsid w:val="005E1962"/>
    <w:rsid w:val="005E2605"/>
    <w:rsid w:val="005E436C"/>
    <w:rsid w:val="005E79F3"/>
    <w:rsid w:val="005F0773"/>
    <w:rsid w:val="005F2BE9"/>
    <w:rsid w:val="005F41AF"/>
    <w:rsid w:val="005F498D"/>
    <w:rsid w:val="005F5987"/>
    <w:rsid w:val="005F5AA9"/>
    <w:rsid w:val="005F5F61"/>
    <w:rsid w:val="005F6146"/>
    <w:rsid w:val="005F6FDA"/>
    <w:rsid w:val="005F7535"/>
    <w:rsid w:val="00600B92"/>
    <w:rsid w:val="00601D88"/>
    <w:rsid w:val="0060438F"/>
    <w:rsid w:val="0060545E"/>
    <w:rsid w:val="00605A1C"/>
    <w:rsid w:val="00607D46"/>
    <w:rsid w:val="00612130"/>
    <w:rsid w:val="006126C3"/>
    <w:rsid w:val="006127A0"/>
    <w:rsid w:val="006133FA"/>
    <w:rsid w:val="00613F16"/>
    <w:rsid w:val="006150DB"/>
    <w:rsid w:val="0061787A"/>
    <w:rsid w:val="00617BB1"/>
    <w:rsid w:val="00620EAE"/>
    <w:rsid w:val="0062697A"/>
    <w:rsid w:val="006275B5"/>
    <w:rsid w:val="0063136B"/>
    <w:rsid w:val="006345AF"/>
    <w:rsid w:val="00635B82"/>
    <w:rsid w:val="00637624"/>
    <w:rsid w:val="00640C1B"/>
    <w:rsid w:val="006412AE"/>
    <w:rsid w:val="0064609D"/>
    <w:rsid w:val="00646FB2"/>
    <w:rsid w:val="0065132A"/>
    <w:rsid w:val="00653712"/>
    <w:rsid w:val="00654706"/>
    <w:rsid w:val="00654B2A"/>
    <w:rsid w:val="006556A1"/>
    <w:rsid w:val="00657ED6"/>
    <w:rsid w:val="006606B0"/>
    <w:rsid w:val="00665F61"/>
    <w:rsid w:val="00666011"/>
    <w:rsid w:val="00667729"/>
    <w:rsid w:val="00670361"/>
    <w:rsid w:val="00671FC2"/>
    <w:rsid w:val="00672D68"/>
    <w:rsid w:val="006743C6"/>
    <w:rsid w:val="00674718"/>
    <w:rsid w:val="006752DF"/>
    <w:rsid w:val="00682844"/>
    <w:rsid w:val="00682E81"/>
    <w:rsid w:val="00683E34"/>
    <w:rsid w:val="0068764A"/>
    <w:rsid w:val="00692A3E"/>
    <w:rsid w:val="006939E9"/>
    <w:rsid w:val="00695530"/>
    <w:rsid w:val="006963BD"/>
    <w:rsid w:val="006965DD"/>
    <w:rsid w:val="006A0372"/>
    <w:rsid w:val="006A17F6"/>
    <w:rsid w:val="006A2468"/>
    <w:rsid w:val="006A612B"/>
    <w:rsid w:val="006B17E4"/>
    <w:rsid w:val="006B293D"/>
    <w:rsid w:val="006B348E"/>
    <w:rsid w:val="006B3B89"/>
    <w:rsid w:val="006B47C8"/>
    <w:rsid w:val="006C09E6"/>
    <w:rsid w:val="006C1428"/>
    <w:rsid w:val="006C4931"/>
    <w:rsid w:val="006C5002"/>
    <w:rsid w:val="006C5ED0"/>
    <w:rsid w:val="006C657F"/>
    <w:rsid w:val="006C6654"/>
    <w:rsid w:val="006D0D43"/>
    <w:rsid w:val="006D543E"/>
    <w:rsid w:val="006D5B13"/>
    <w:rsid w:val="006D6081"/>
    <w:rsid w:val="006D7F63"/>
    <w:rsid w:val="006E074E"/>
    <w:rsid w:val="006E3AD8"/>
    <w:rsid w:val="006E7362"/>
    <w:rsid w:val="006E7381"/>
    <w:rsid w:val="006E7A12"/>
    <w:rsid w:val="006F1CBA"/>
    <w:rsid w:val="006F273A"/>
    <w:rsid w:val="006F28E3"/>
    <w:rsid w:val="006F54E2"/>
    <w:rsid w:val="006F5B0A"/>
    <w:rsid w:val="006F65EC"/>
    <w:rsid w:val="00702AF3"/>
    <w:rsid w:val="00703EE8"/>
    <w:rsid w:val="007047E2"/>
    <w:rsid w:val="00704D64"/>
    <w:rsid w:val="00706220"/>
    <w:rsid w:val="007063CE"/>
    <w:rsid w:val="00710B6D"/>
    <w:rsid w:val="00710E3C"/>
    <w:rsid w:val="007119B5"/>
    <w:rsid w:val="00713260"/>
    <w:rsid w:val="00714184"/>
    <w:rsid w:val="00716280"/>
    <w:rsid w:val="00717B72"/>
    <w:rsid w:val="007238EE"/>
    <w:rsid w:val="00723E22"/>
    <w:rsid w:val="007269A8"/>
    <w:rsid w:val="00730F5E"/>
    <w:rsid w:val="00731B52"/>
    <w:rsid w:val="00737208"/>
    <w:rsid w:val="00741B02"/>
    <w:rsid w:val="00742853"/>
    <w:rsid w:val="00743971"/>
    <w:rsid w:val="00743B9E"/>
    <w:rsid w:val="007512B1"/>
    <w:rsid w:val="00752D83"/>
    <w:rsid w:val="00753FFD"/>
    <w:rsid w:val="00754234"/>
    <w:rsid w:val="00754707"/>
    <w:rsid w:val="00761EED"/>
    <w:rsid w:val="00762615"/>
    <w:rsid w:val="00762C5C"/>
    <w:rsid w:val="00764EF1"/>
    <w:rsid w:val="00765936"/>
    <w:rsid w:val="00766181"/>
    <w:rsid w:val="00770C82"/>
    <w:rsid w:val="00770D5D"/>
    <w:rsid w:val="00770ECB"/>
    <w:rsid w:val="00771C07"/>
    <w:rsid w:val="007733B1"/>
    <w:rsid w:val="00774FA3"/>
    <w:rsid w:val="00775A3A"/>
    <w:rsid w:val="00777D78"/>
    <w:rsid w:val="0078175F"/>
    <w:rsid w:val="00781EC7"/>
    <w:rsid w:val="00784DF7"/>
    <w:rsid w:val="00785648"/>
    <w:rsid w:val="00786D2C"/>
    <w:rsid w:val="007906D6"/>
    <w:rsid w:val="007922DF"/>
    <w:rsid w:val="00793D13"/>
    <w:rsid w:val="007946FF"/>
    <w:rsid w:val="00794D74"/>
    <w:rsid w:val="0079578E"/>
    <w:rsid w:val="00796DD8"/>
    <w:rsid w:val="00797291"/>
    <w:rsid w:val="007976AA"/>
    <w:rsid w:val="007A1AE3"/>
    <w:rsid w:val="007A1EF7"/>
    <w:rsid w:val="007A5C5A"/>
    <w:rsid w:val="007A5EBB"/>
    <w:rsid w:val="007A6AC2"/>
    <w:rsid w:val="007A760A"/>
    <w:rsid w:val="007A769B"/>
    <w:rsid w:val="007A7F32"/>
    <w:rsid w:val="007B1AE6"/>
    <w:rsid w:val="007B1FB8"/>
    <w:rsid w:val="007B2502"/>
    <w:rsid w:val="007B5E96"/>
    <w:rsid w:val="007C174B"/>
    <w:rsid w:val="007C3559"/>
    <w:rsid w:val="007C4F5F"/>
    <w:rsid w:val="007C5B25"/>
    <w:rsid w:val="007C6884"/>
    <w:rsid w:val="007C77BC"/>
    <w:rsid w:val="007D3B76"/>
    <w:rsid w:val="007D6D85"/>
    <w:rsid w:val="007E02E8"/>
    <w:rsid w:val="007E0432"/>
    <w:rsid w:val="007E3EE9"/>
    <w:rsid w:val="007F0A84"/>
    <w:rsid w:val="007F24C6"/>
    <w:rsid w:val="007F2607"/>
    <w:rsid w:val="007F26DF"/>
    <w:rsid w:val="007F4F9C"/>
    <w:rsid w:val="007F5883"/>
    <w:rsid w:val="007F6ACF"/>
    <w:rsid w:val="007F6C54"/>
    <w:rsid w:val="00803A52"/>
    <w:rsid w:val="00807F29"/>
    <w:rsid w:val="00815BCF"/>
    <w:rsid w:val="00816CC7"/>
    <w:rsid w:val="008175BC"/>
    <w:rsid w:val="0082186E"/>
    <w:rsid w:val="00825A2A"/>
    <w:rsid w:val="00827844"/>
    <w:rsid w:val="00830171"/>
    <w:rsid w:val="00832039"/>
    <w:rsid w:val="00833924"/>
    <w:rsid w:val="008340C3"/>
    <w:rsid w:val="00834A62"/>
    <w:rsid w:val="00836B2D"/>
    <w:rsid w:val="00836B79"/>
    <w:rsid w:val="00837793"/>
    <w:rsid w:val="0084023A"/>
    <w:rsid w:val="00841230"/>
    <w:rsid w:val="008415A3"/>
    <w:rsid w:val="00842393"/>
    <w:rsid w:val="00842B0A"/>
    <w:rsid w:val="00843596"/>
    <w:rsid w:val="008458A7"/>
    <w:rsid w:val="00846C39"/>
    <w:rsid w:val="00851551"/>
    <w:rsid w:val="00852096"/>
    <w:rsid w:val="00852688"/>
    <w:rsid w:val="0085297B"/>
    <w:rsid w:val="00853AAA"/>
    <w:rsid w:val="008545C5"/>
    <w:rsid w:val="00854CED"/>
    <w:rsid w:val="00854E5F"/>
    <w:rsid w:val="00855A47"/>
    <w:rsid w:val="00855BA1"/>
    <w:rsid w:val="008562C6"/>
    <w:rsid w:val="00856ED3"/>
    <w:rsid w:val="00857D44"/>
    <w:rsid w:val="0086240D"/>
    <w:rsid w:val="00864582"/>
    <w:rsid w:val="00865760"/>
    <w:rsid w:val="00866FDE"/>
    <w:rsid w:val="0087255D"/>
    <w:rsid w:val="0087267E"/>
    <w:rsid w:val="008736F0"/>
    <w:rsid w:val="00874000"/>
    <w:rsid w:val="00874541"/>
    <w:rsid w:val="00874F48"/>
    <w:rsid w:val="008775EF"/>
    <w:rsid w:val="00881FCF"/>
    <w:rsid w:val="00883115"/>
    <w:rsid w:val="00883C8A"/>
    <w:rsid w:val="00885544"/>
    <w:rsid w:val="00887AD5"/>
    <w:rsid w:val="0089135C"/>
    <w:rsid w:val="00891473"/>
    <w:rsid w:val="00893950"/>
    <w:rsid w:val="0089784E"/>
    <w:rsid w:val="00897DC1"/>
    <w:rsid w:val="008A4581"/>
    <w:rsid w:val="008A7246"/>
    <w:rsid w:val="008A7E2A"/>
    <w:rsid w:val="008B2020"/>
    <w:rsid w:val="008B32BD"/>
    <w:rsid w:val="008B4825"/>
    <w:rsid w:val="008B66C5"/>
    <w:rsid w:val="008C1F7B"/>
    <w:rsid w:val="008C2649"/>
    <w:rsid w:val="008C28E2"/>
    <w:rsid w:val="008C2DE5"/>
    <w:rsid w:val="008C646D"/>
    <w:rsid w:val="008C693C"/>
    <w:rsid w:val="008C7C2D"/>
    <w:rsid w:val="008D281C"/>
    <w:rsid w:val="008D314F"/>
    <w:rsid w:val="008D5794"/>
    <w:rsid w:val="008D6276"/>
    <w:rsid w:val="008D7FDD"/>
    <w:rsid w:val="008E0570"/>
    <w:rsid w:val="008E0581"/>
    <w:rsid w:val="008E2340"/>
    <w:rsid w:val="008E5B8C"/>
    <w:rsid w:val="008E71C3"/>
    <w:rsid w:val="008E7F69"/>
    <w:rsid w:val="008F237E"/>
    <w:rsid w:val="008F24EA"/>
    <w:rsid w:val="008F3693"/>
    <w:rsid w:val="008F45E5"/>
    <w:rsid w:val="008F5C13"/>
    <w:rsid w:val="008F7547"/>
    <w:rsid w:val="00900CC0"/>
    <w:rsid w:val="00902D8B"/>
    <w:rsid w:val="00904228"/>
    <w:rsid w:val="00904505"/>
    <w:rsid w:val="0090584B"/>
    <w:rsid w:val="00907041"/>
    <w:rsid w:val="009074AB"/>
    <w:rsid w:val="009111B7"/>
    <w:rsid w:val="00912E4D"/>
    <w:rsid w:val="009136D2"/>
    <w:rsid w:val="009206C3"/>
    <w:rsid w:val="00923116"/>
    <w:rsid w:val="00923815"/>
    <w:rsid w:val="00924889"/>
    <w:rsid w:val="00926C71"/>
    <w:rsid w:val="00930187"/>
    <w:rsid w:val="00931EB1"/>
    <w:rsid w:val="00934007"/>
    <w:rsid w:val="00934415"/>
    <w:rsid w:val="009345C7"/>
    <w:rsid w:val="00934894"/>
    <w:rsid w:val="00935461"/>
    <w:rsid w:val="009357D4"/>
    <w:rsid w:val="009429D6"/>
    <w:rsid w:val="0094474A"/>
    <w:rsid w:val="00945625"/>
    <w:rsid w:val="00947570"/>
    <w:rsid w:val="0095145B"/>
    <w:rsid w:val="00951FC1"/>
    <w:rsid w:val="0095264B"/>
    <w:rsid w:val="00953D5F"/>
    <w:rsid w:val="009571D7"/>
    <w:rsid w:val="0096240C"/>
    <w:rsid w:val="009633B4"/>
    <w:rsid w:val="0096355D"/>
    <w:rsid w:val="009638D2"/>
    <w:rsid w:val="00963ECE"/>
    <w:rsid w:val="0096478A"/>
    <w:rsid w:val="00964ABA"/>
    <w:rsid w:val="0097211E"/>
    <w:rsid w:val="00972E3F"/>
    <w:rsid w:val="00973969"/>
    <w:rsid w:val="00974142"/>
    <w:rsid w:val="00976223"/>
    <w:rsid w:val="009765FD"/>
    <w:rsid w:val="00977156"/>
    <w:rsid w:val="00977874"/>
    <w:rsid w:val="009860A3"/>
    <w:rsid w:val="009861F2"/>
    <w:rsid w:val="009870FD"/>
    <w:rsid w:val="009872EC"/>
    <w:rsid w:val="009926C4"/>
    <w:rsid w:val="00993B2E"/>
    <w:rsid w:val="00995DDC"/>
    <w:rsid w:val="00996937"/>
    <w:rsid w:val="009A10E8"/>
    <w:rsid w:val="009A5115"/>
    <w:rsid w:val="009A5EA8"/>
    <w:rsid w:val="009B1194"/>
    <w:rsid w:val="009B56B7"/>
    <w:rsid w:val="009B5D7A"/>
    <w:rsid w:val="009B70B2"/>
    <w:rsid w:val="009C004D"/>
    <w:rsid w:val="009C036B"/>
    <w:rsid w:val="009C1114"/>
    <w:rsid w:val="009C2B99"/>
    <w:rsid w:val="009C2EC2"/>
    <w:rsid w:val="009C320B"/>
    <w:rsid w:val="009C58A0"/>
    <w:rsid w:val="009C680B"/>
    <w:rsid w:val="009C6B6D"/>
    <w:rsid w:val="009D69DD"/>
    <w:rsid w:val="009D73D9"/>
    <w:rsid w:val="009E13E5"/>
    <w:rsid w:val="009E1D0C"/>
    <w:rsid w:val="009E28FD"/>
    <w:rsid w:val="009E2CD6"/>
    <w:rsid w:val="009E355D"/>
    <w:rsid w:val="009E45EF"/>
    <w:rsid w:val="009E4E4B"/>
    <w:rsid w:val="009F0A78"/>
    <w:rsid w:val="009F17C7"/>
    <w:rsid w:val="009F29ED"/>
    <w:rsid w:val="009F7C58"/>
    <w:rsid w:val="009F7EFA"/>
    <w:rsid w:val="00A0124C"/>
    <w:rsid w:val="00A01283"/>
    <w:rsid w:val="00A01B8F"/>
    <w:rsid w:val="00A02A4C"/>
    <w:rsid w:val="00A03EDC"/>
    <w:rsid w:val="00A04F82"/>
    <w:rsid w:val="00A06E1C"/>
    <w:rsid w:val="00A1152E"/>
    <w:rsid w:val="00A15E13"/>
    <w:rsid w:val="00A17282"/>
    <w:rsid w:val="00A20393"/>
    <w:rsid w:val="00A2188A"/>
    <w:rsid w:val="00A21EF1"/>
    <w:rsid w:val="00A24C53"/>
    <w:rsid w:val="00A3055F"/>
    <w:rsid w:val="00A3082E"/>
    <w:rsid w:val="00A31655"/>
    <w:rsid w:val="00A329EC"/>
    <w:rsid w:val="00A353A9"/>
    <w:rsid w:val="00A359C5"/>
    <w:rsid w:val="00A4111B"/>
    <w:rsid w:val="00A43092"/>
    <w:rsid w:val="00A43F83"/>
    <w:rsid w:val="00A44ECA"/>
    <w:rsid w:val="00A45250"/>
    <w:rsid w:val="00A46946"/>
    <w:rsid w:val="00A4705F"/>
    <w:rsid w:val="00A5036A"/>
    <w:rsid w:val="00A53B19"/>
    <w:rsid w:val="00A54FA0"/>
    <w:rsid w:val="00A60FF5"/>
    <w:rsid w:val="00A71FC5"/>
    <w:rsid w:val="00A725AA"/>
    <w:rsid w:val="00A7285C"/>
    <w:rsid w:val="00A72EB1"/>
    <w:rsid w:val="00A74A7E"/>
    <w:rsid w:val="00A80799"/>
    <w:rsid w:val="00A825A2"/>
    <w:rsid w:val="00A82CCF"/>
    <w:rsid w:val="00A853AC"/>
    <w:rsid w:val="00A85DEC"/>
    <w:rsid w:val="00A87F4A"/>
    <w:rsid w:val="00A91F4C"/>
    <w:rsid w:val="00A92A3E"/>
    <w:rsid w:val="00A938CF"/>
    <w:rsid w:val="00A948FE"/>
    <w:rsid w:val="00A95FAA"/>
    <w:rsid w:val="00A96B21"/>
    <w:rsid w:val="00A97CF5"/>
    <w:rsid w:val="00AA1E15"/>
    <w:rsid w:val="00AA2219"/>
    <w:rsid w:val="00AA31C6"/>
    <w:rsid w:val="00AA59FE"/>
    <w:rsid w:val="00AA7AE3"/>
    <w:rsid w:val="00AB2418"/>
    <w:rsid w:val="00AC35EC"/>
    <w:rsid w:val="00AC44E9"/>
    <w:rsid w:val="00AC46C4"/>
    <w:rsid w:val="00AC4ADF"/>
    <w:rsid w:val="00AC5FDA"/>
    <w:rsid w:val="00AC6A5D"/>
    <w:rsid w:val="00AD1D10"/>
    <w:rsid w:val="00AD33B4"/>
    <w:rsid w:val="00AD3A1D"/>
    <w:rsid w:val="00AD451F"/>
    <w:rsid w:val="00AD4B79"/>
    <w:rsid w:val="00AE1A95"/>
    <w:rsid w:val="00AE4E0B"/>
    <w:rsid w:val="00AE52F4"/>
    <w:rsid w:val="00AE559F"/>
    <w:rsid w:val="00AF1769"/>
    <w:rsid w:val="00AF487C"/>
    <w:rsid w:val="00AF6447"/>
    <w:rsid w:val="00B00457"/>
    <w:rsid w:val="00B01C71"/>
    <w:rsid w:val="00B04171"/>
    <w:rsid w:val="00B0519E"/>
    <w:rsid w:val="00B0558F"/>
    <w:rsid w:val="00B05642"/>
    <w:rsid w:val="00B05E96"/>
    <w:rsid w:val="00B10F99"/>
    <w:rsid w:val="00B1101C"/>
    <w:rsid w:val="00B12A56"/>
    <w:rsid w:val="00B136F1"/>
    <w:rsid w:val="00B13C50"/>
    <w:rsid w:val="00B20832"/>
    <w:rsid w:val="00B2163E"/>
    <w:rsid w:val="00B245EA"/>
    <w:rsid w:val="00B2786C"/>
    <w:rsid w:val="00B31164"/>
    <w:rsid w:val="00B31EDE"/>
    <w:rsid w:val="00B356DC"/>
    <w:rsid w:val="00B35F60"/>
    <w:rsid w:val="00B36EA9"/>
    <w:rsid w:val="00B37A58"/>
    <w:rsid w:val="00B4012B"/>
    <w:rsid w:val="00B40183"/>
    <w:rsid w:val="00B4022E"/>
    <w:rsid w:val="00B419A8"/>
    <w:rsid w:val="00B43956"/>
    <w:rsid w:val="00B44569"/>
    <w:rsid w:val="00B46FED"/>
    <w:rsid w:val="00B47DA6"/>
    <w:rsid w:val="00B47EE2"/>
    <w:rsid w:val="00B5191C"/>
    <w:rsid w:val="00B51AB1"/>
    <w:rsid w:val="00B544AF"/>
    <w:rsid w:val="00B55A8A"/>
    <w:rsid w:val="00B56804"/>
    <w:rsid w:val="00B56C7E"/>
    <w:rsid w:val="00B57006"/>
    <w:rsid w:val="00B57341"/>
    <w:rsid w:val="00B638F8"/>
    <w:rsid w:val="00B6451D"/>
    <w:rsid w:val="00B65E6C"/>
    <w:rsid w:val="00B65EA7"/>
    <w:rsid w:val="00B67A22"/>
    <w:rsid w:val="00B718DC"/>
    <w:rsid w:val="00B77AD7"/>
    <w:rsid w:val="00B803D9"/>
    <w:rsid w:val="00B82C2D"/>
    <w:rsid w:val="00B844BD"/>
    <w:rsid w:val="00B84FA6"/>
    <w:rsid w:val="00B90044"/>
    <w:rsid w:val="00B901F5"/>
    <w:rsid w:val="00B93853"/>
    <w:rsid w:val="00B940CF"/>
    <w:rsid w:val="00B944AD"/>
    <w:rsid w:val="00B9671E"/>
    <w:rsid w:val="00BA142E"/>
    <w:rsid w:val="00BA463B"/>
    <w:rsid w:val="00BB0A4E"/>
    <w:rsid w:val="00BB63A8"/>
    <w:rsid w:val="00BB796B"/>
    <w:rsid w:val="00BC2B7B"/>
    <w:rsid w:val="00BC3393"/>
    <w:rsid w:val="00BC491D"/>
    <w:rsid w:val="00BD03E1"/>
    <w:rsid w:val="00BD55EB"/>
    <w:rsid w:val="00BD7BD7"/>
    <w:rsid w:val="00BE14BD"/>
    <w:rsid w:val="00BE78A7"/>
    <w:rsid w:val="00BF0580"/>
    <w:rsid w:val="00BF21ED"/>
    <w:rsid w:val="00BF2CA9"/>
    <w:rsid w:val="00BF3B65"/>
    <w:rsid w:val="00BF4D27"/>
    <w:rsid w:val="00BF545E"/>
    <w:rsid w:val="00BF60B0"/>
    <w:rsid w:val="00BF6C19"/>
    <w:rsid w:val="00C019B6"/>
    <w:rsid w:val="00C042C2"/>
    <w:rsid w:val="00C04E3B"/>
    <w:rsid w:val="00C07C4F"/>
    <w:rsid w:val="00C108B2"/>
    <w:rsid w:val="00C112B9"/>
    <w:rsid w:val="00C1760B"/>
    <w:rsid w:val="00C177BE"/>
    <w:rsid w:val="00C2092D"/>
    <w:rsid w:val="00C215E4"/>
    <w:rsid w:val="00C216BD"/>
    <w:rsid w:val="00C2354A"/>
    <w:rsid w:val="00C241CD"/>
    <w:rsid w:val="00C24786"/>
    <w:rsid w:val="00C24AFB"/>
    <w:rsid w:val="00C267CE"/>
    <w:rsid w:val="00C27035"/>
    <w:rsid w:val="00C27096"/>
    <w:rsid w:val="00C310D9"/>
    <w:rsid w:val="00C325EC"/>
    <w:rsid w:val="00C32B5E"/>
    <w:rsid w:val="00C35C2B"/>
    <w:rsid w:val="00C35F7D"/>
    <w:rsid w:val="00C37D1F"/>
    <w:rsid w:val="00C40DAD"/>
    <w:rsid w:val="00C40E92"/>
    <w:rsid w:val="00C44431"/>
    <w:rsid w:val="00C47DE0"/>
    <w:rsid w:val="00C47EBD"/>
    <w:rsid w:val="00C50CB3"/>
    <w:rsid w:val="00C525F3"/>
    <w:rsid w:val="00C54102"/>
    <w:rsid w:val="00C571CF"/>
    <w:rsid w:val="00C6348A"/>
    <w:rsid w:val="00C65D34"/>
    <w:rsid w:val="00C6717E"/>
    <w:rsid w:val="00C71918"/>
    <w:rsid w:val="00C76A13"/>
    <w:rsid w:val="00C772FE"/>
    <w:rsid w:val="00C8143B"/>
    <w:rsid w:val="00C81820"/>
    <w:rsid w:val="00C81E55"/>
    <w:rsid w:val="00C83A0F"/>
    <w:rsid w:val="00C86165"/>
    <w:rsid w:val="00C874BA"/>
    <w:rsid w:val="00C879EB"/>
    <w:rsid w:val="00C904CF"/>
    <w:rsid w:val="00C94CB3"/>
    <w:rsid w:val="00C96358"/>
    <w:rsid w:val="00CA1BA0"/>
    <w:rsid w:val="00CA5A8A"/>
    <w:rsid w:val="00CA5BF0"/>
    <w:rsid w:val="00CB1013"/>
    <w:rsid w:val="00CB1B7A"/>
    <w:rsid w:val="00CB22EB"/>
    <w:rsid w:val="00CB2A2C"/>
    <w:rsid w:val="00CB3CB8"/>
    <w:rsid w:val="00CB6D5C"/>
    <w:rsid w:val="00CB7E0B"/>
    <w:rsid w:val="00CC20EC"/>
    <w:rsid w:val="00CC2D4F"/>
    <w:rsid w:val="00CC2FC6"/>
    <w:rsid w:val="00CC56AB"/>
    <w:rsid w:val="00CC7B69"/>
    <w:rsid w:val="00CC7CE1"/>
    <w:rsid w:val="00CC7D48"/>
    <w:rsid w:val="00CD2FF5"/>
    <w:rsid w:val="00CD63EE"/>
    <w:rsid w:val="00CD737C"/>
    <w:rsid w:val="00CD7BCD"/>
    <w:rsid w:val="00CE32A6"/>
    <w:rsid w:val="00CE59BE"/>
    <w:rsid w:val="00CE7B84"/>
    <w:rsid w:val="00CF3EE9"/>
    <w:rsid w:val="00CF6074"/>
    <w:rsid w:val="00CF6629"/>
    <w:rsid w:val="00CF686F"/>
    <w:rsid w:val="00CF70AB"/>
    <w:rsid w:val="00CF7888"/>
    <w:rsid w:val="00CF78DE"/>
    <w:rsid w:val="00D03789"/>
    <w:rsid w:val="00D0413D"/>
    <w:rsid w:val="00D06C02"/>
    <w:rsid w:val="00D0790F"/>
    <w:rsid w:val="00D07AF0"/>
    <w:rsid w:val="00D10BF6"/>
    <w:rsid w:val="00D10CE2"/>
    <w:rsid w:val="00D13C43"/>
    <w:rsid w:val="00D16374"/>
    <w:rsid w:val="00D163F5"/>
    <w:rsid w:val="00D22D4D"/>
    <w:rsid w:val="00D23521"/>
    <w:rsid w:val="00D24388"/>
    <w:rsid w:val="00D2471D"/>
    <w:rsid w:val="00D25578"/>
    <w:rsid w:val="00D3059B"/>
    <w:rsid w:val="00D30CD7"/>
    <w:rsid w:val="00D32DD1"/>
    <w:rsid w:val="00D32E8B"/>
    <w:rsid w:val="00D3351E"/>
    <w:rsid w:val="00D3461D"/>
    <w:rsid w:val="00D40BAB"/>
    <w:rsid w:val="00D41437"/>
    <w:rsid w:val="00D415EA"/>
    <w:rsid w:val="00D43634"/>
    <w:rsid w:val="00D506F6"/>
    <w:rsid w:val="00D508AA"/>
    <w:rsid w:val="00D60046"/>
    <w:rsid w:val="00D60566"/>
    <w:rsid w:val="00D6280F"/>
    <w:rsid w:val="00D62A51"/>
    <w:rsid w:val="00D65608"/>
    <w:rsid w:val="00D67394"/>
    <w:rsid w:val="00D71FFB"/>
    <w:rsid w:val="00D73AC3"/>
    <w:rsid w:val="00D76D39"/>
    <w:rsid w:val="00D77509"/>
    <w:rsid w:val="00D80AA1"/>
    <w:rsid w:val="00D810C9"/>
    <w:rsid w:val="00D849B2"/>
    <w:rsid w:val="00D850C1"/>
    <w:rsid w:val="00D90E5B"/>
    <w:rsid w:val="00D968D1"/>
    <w:rsid w:val="00DA1DFA"/>
    <w:rsid w:val="00DA3BB4"/>
    <w:rsid w:val="00DA4A2E"/>
    <w:rsid w:val="00DA5B5A"/>
    <w:rsid w:val="00DB081A"/>
    <w:rsid w:val="00DB14BF"/>
    <w:rsid w:val="00DB2463"/>
    <w:rsid w:val="00DB2EFB"/>
    <w:rsid w:val="00DB3469"/>
    <w:rsid w:val="00DC0A19"/>
    <w:rsid w:val="00DC1215"/>
    <w:rsid w:val="00DC23BC"/>
    <w:rsid w:val="00DC3F85"/>
    <w:rsid w:val="00DC505F"/>
    <w:rsid w:val="00DC6C02"/>
    <w:rsid w:val="00DC71B8"/>
    <w:rsid w:val="00DD0DA1"/>
    <w:rsid w:val="00DD21D3"/>
    <w:rsid w:val="00DD2BB7"/>
    <w:rsid w:val="00DD5E0C"/>
    <w:rsid w:val="00DE05F6"/>
    <w:rsid w:val="00DE1DF7"/>
    <w:rsid w:val="00DE1EF3"/>
    <w:rsid w:val="00DE392C"/>
    <w:rsid w:val="00DE4EFF"/>
    <w:rsid w:val="00DE6D17"/>
    <w:rsid w:val="00DE71ED"/>
    <w:rsid w:val="00DE76C2"/>
    <w:rsid w:val="00DF027E"/>
    <w:rsid w:val="00DF5379"/>
    <w:rsid w:val="00DF5FCB"/>
    <w:rsid w:val="00E1597C"/>
    <w:rsid w:val="00E22AF1"/>
    <w:rsid w:val="00E24DDA"/>
    <w:rsid w:val="00E24FBA"/>
    <w:rsid w:val="00E27999"/>
    <w:rsid w:val="00E30659"/>
    <w:rsid w:val="00E43C1F"/>
    <w:rsid w:val="00E460B4"/>
    <w:rsid w:val="00E46418"/>
    <w:rsid w:val="00E52170"/>
    <w:rsid w:val="00E55C8C"/>
    <w:rsid w:val="00E5624C"/>
    <w:rsid w:val="00E566AC"/>
    <w:rsid w:val="00E6090E"/>
    <w:rsid w:val="00E65981"/>
    <w:rsid w:val="00E6649D"/>
    <w:rsid w:val="00E67979"/>
    <w:rsid w:val="00E703A4"/>
    <w:rsid w:val="00E736C1"/>
    <w:rsid w:val="00E8070F"/>
    <w:rsid w:val="00E8236B"/>
    <w:rsid w:val="00E90E30"/>
    <w:rsid w:val="00E925C2"/>
    <w:rsid w:val="00E9270C"/>
    <w:rsid w:val="00E9342B"/>
    <w:rsid w:val="00E94A98"/>
    <w:rsid w:val="00E97E09"/>
    <w:rsid w:val="00EA26E0"/>
    <w:rsid w:val="00EA39D9"/>
    <w:rsid w:val="00EA570D"/>
    <w:rsid w:val="00EA5DD6"/>
    <w:rsid w:val="00EB3E49"/>
    <w:rsid w:val="00EB6C18"/>
    <w:rsid w:val="00EC0277"/>
    <w:rsid w:val="00EC261E"/>
    <w:rsid w:val="00EC35A3"/>
    <w:rsid w:val="00EC5BC8"/>
    <w:rsid w:val="00ED00A2"/>
    <w:rsid w:val="00ED0B92"/>
    <w:rsid w:val="00ED1231"/>
    <w:rsid w:val="00ED12D7"/>
    <w:rsid w:val="00ED335B"/>
    <w:rsid w:val="00ED3849"/>
    <w:rsid w:val="00ED4045"/>
    <w:rsid w:val="00ED7EBB"/>
    <w:rsid w:val="00EE0B7E"/>
    <w:rsid w:val="00EE223B"/>
    <w:rsid w:val="00EE2854"/>
    <w:rsid w:val="00EE28D6"/>
    <w:rsid w:val="00EE2B6B"/>
    <w:rsid w:val="00EE3369"/>
    <w:rsid w:val="00EE4042"/>
    <w:rsid w:val="00EE6B9B"/>
    <w:rsid w:val="00EE75A4"/>
    <w:rsid w:val="00EF2E86"/>
    <w:rsid w:val="00EF41A3"/>
    <w:rsid w:val="00EF506D"/>
    <w:rsid w:val="00F03ECC"/>
    <w:rsid w:val="00F052DC"/>
    <w:rsid w:val="00F06F8D"/>
    <w:rsid w:val="00F10738"/>
    <w:rsid w:val="00F107A4"/>
    <w:rsid w:val="00F12BF4"/>
    <w:rsid w:val="00F14478"/>
    <w:rsid w:val="00F1566A"/>
    <w:rsid w:val="00F1663D"/>
    <w:rsid w:val="00F1723F"/>
    <w:rsid w:val="00F172C3"/>
    <w:rsid w:val="00F17B09"/>
    <w:rsid w:val="00F2359E"/>
    <w:rsid w:val="00F24E76"/>
    <w:rsid w:val="00F258FB"/>
    <w:rsid w:val="00F26F0E"/>
    <w:rsid w:val="00F27B63"/>
    <w:rsid w:val="00F347DD"/>
    <w:rsid w:val="00F37699"/>
    <w:rsid w:val="00F40595"/>
    <w:rsid w:val="00F43410"/>
    <w:rsid w:val="00F437A5"/>
    <w:rsid w:val="00F45162"/>
    <w:rsid w:val="00F50CC9"/>
    <w:rsid w:val="00F53771"/>
    <w:rsid w:val="00F54F93"/>
    <w:rsid w:val="00F55BC1"/>
    <w:rsid w:val="00F5769D"/>
    <w:rsid w:val="00F63E7A"/>
    <w:rsid w:val="00F65CB5"/>
    <w:rsid w:val="00F67F8E"/>
    <w:rsid w:val="00F712CB"/>
    <w:rsid w:val="00F7230B"/>
    <w:rsid w:val="00F73CD7"/>
    <w:rsid w:val="00F7713D"/>
    <w:rsid w:val="00F815B4"/>
    <w:rsid w:val="00F82468"/>
    <w:rsid w:val="00F825F6"/>
    <w:rsid w:val="00F8345D"/>
    <w:rsid w:val="00F838AC"/>
    <w:rsid w:val="00F84483"/>
    <w:rsid w:val="00F85687"/>
    <w:rsid w:val="00F86597"/>
    <w:rsid w:val="00F86E8B"/>
    <w:rsid w:val="00F9041F"/>
    <w:rsid w:val="00F90DD9"/>
    <w:rsid w:val="00F94E20"/>
    <w:rsid w:val="00F96505"/>
    <w:rsid w:val="00F96951"/>
    <w:rsid w:val="00FA18C9"/>
    <w:rsid w:val="00FA1B97"/>
    <w:rsid w:val="00FA229E"/>
    <w:rsid w:val="00FA5261"/>
    <w:rsid w:val="00FA5583"/>
    <w:rsid w:val="00FB033D"/>
    <w:rsid w:val="00FB0EF0"/>
    <w:rsid w:val="00FB5A83"/>
    <w:rsid w:val="00FB5C11"/>
    <w:rsid w:val="00FB78CF"/>
    <w:rsid w:val="00FC084D"/>
    <w:rsid w:val="00FC2543"/>
    <w:rsid w:val="00FC3DEC"/>
    <w:rsid w:val="00FC59CB"/>
    <w:rsid w:val="00FC5B1D"/>
    <w:rsid w:val="00FD48B7"/>
    <w:rsid w:val="00FD5218"/>
    <w:rsid w:val="00FD69CC"/>
    <w:rsid w:val="00FD7FC1"/>
    <w:rsid w:val="00FE123D"/>
    <w:rsid w:val="00FE1FEB"/>
    <w:rsid w:val="00FE7FCA"/>
    <w:rsid w:val="00FF0135"/>
    <w:rsid w:val="00FF100F"/>
    <w:rsid w:val="00FF1F36"/>
    <w:rsid w:val="00FF2506"/>
    <w:rsid w:val="00FF2687"/>
    <w:rsid w:val="00FF5D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E86D"/>
  <w15:chartTrackingRefBased/>
  <w15:docId w15:val="{9F673708-E4A9-4D6A-8595-8575906E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864582"/>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unhideWhenUsed/>
    <w:rsid w:val="00CB7E0B"/>
    <w:rPr>
      <w:color w:val="0000FF"/>
      <w:sz w:val="18"/>
      <w:u w:val="single"/>
    </w:rPr>
  </w:style>
  <w:style w:type="paragraph" w:styleId="ListParagraph">
    <w:name w:val="List Paragraph"/>
    <w:basedOn w:val="Normal"/>
    <w:uiPriority w:val="34"/>
    <w:qFormat/>
    <w:rsid w:val="00CB7E0B"/>
    <w:pPr>
      <w:ind w:left="720"/>
      <w:contextualSpacing/>
    </w:pPr>
  </w:style>
  <w:style w:type="character" w:customStyle="1" w:styleId="Para1Char">
    <w:name w:val="Para1 Char"/>
    <w:link w:val="Para1"/>
    <w:locked/>
    <w:rsid w:val="00CB7E0B"/>
    <w:rPr>
      <w:rFonts w:ascii="Times New Roman" w:eastAsia="Times New Roman" w:hAnsi="Times New Roman" w:cs="Times New Roman"/>
      <w:szCs w:val="18"/>
      <w:lang w:val="en-GB"/>
    </w:rPr>
  </w:style>
  <w:style w:type="paragraph" w:customStyle="1" w:styleId="Para1">
    <w:name w:val="Para1"/>
    <w:basedOn w:val="Normal"/>
    <w:link w:val="Para1Char"/>
    <w:rsid w:val="00CB7E0B"/>
    <w:pPr>
      <w:numPr>
        <w:numId w:val="6"/>
      </w:numPr>
      <w:snapToGrid w:val="0"/>
      <w:spacing w:before="120" w:after="120"/>
    </w:pPr>
    <w:rPr>
      <w:kern w:val="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CB7E0B"/>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character" w:customStyle="1" w:styleId="Mentionnonrsolue1">
    <w:name w:val="Mention non résolue1"/>
    <w:basedOn w:val="DefaultParagraphFont"/>
    <w:uiPriority w:val="99"/>
    <w:semiHidden/>
    <w:unhideWhenUsed/>
    <w:rsid w:val="00C177BE"/>
    <w:rPr>
      <w:color w:val="605E5C"/>
      <w:shd w:val="clear" w:color="auto" w:fill="E1DFDD"/>
    </w:rPr>
  </w:style>
  <w:style w:type="paragraph" w:styleId="Revision">
    <w:name w:val="Revision"/>
    <w:hidden/>
    <w:uiPriority w:val="99"/>
    <w:semiHidden/>
    <w:rsid w:val="00521036"/>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C310D9"/>
    <w:rPr>
      <w:color w:val="954F72" w:themeColor="followedHyperlink"/>
      <w:u w:val="single"/>
    </w:rPr>
  </w:style>
  <w:style w:type="paragraph" w:styleId="BalloonText">
    <w:name w:val="Balloon Text"/>
    <w:basedOn w:val="Normal"/>
    <w:link w:val="BalloonTextChar"/>
    <w:uiPriority w:val="99"/>
    <w:semiHidden/>
    <w:unhideWhenUsed/>
    <w:rsid w:val="008F2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EA"/>
    <w:rPr>
      <w:rFonts w:ascii="Segoe UI" w:eastAsia="Times New Roman" w:hAnsi="Segoe UI" w:cs="Segoe UI"/>
      <w:kern w:val="0"/>
      <w:sz w:val="18"/>
      <w:szCs w:val="18"/>
      <w:lang w:val="en-GB"/>
      <w14:ligatures w14:val="none"/>
    </w:rPr>
  </w:style>
  <w:style w:type="character" w:styleId="Strong">
    <w:name w:val="Strong"/>
    <w:basedOn w:val="DefaultParagraphFont"/>
    <w:uiPriority w:val="22"/>
    <w:qFormat/>
    <w:rsid w:val="00AE52F4"/>
    <w:rPr>
      <w:b/>
      <w:bCs/>
    </w:rPr>
  </w:style>
  <w:style w:type="paragraph" w:customStyle="1" w:styleId="Para30">
    <w:name w:val="Para3"/>
    <w:basedOn w:val="Normal"/>
    <w:rsid w:val="006C1428"/>
    <w:pPr>
      <w:tabs>
        <w:tab w:val="num" w:pos="1440"/>
        <w:tab w:val="left" w:pos="1980"/>
      </w:tabs>
      <w:spacing w:before="80" w:after="80"/>
      <w:ind w:left="1440" w:hanging="360"/>
    </w:pPr>
    <w:rPr>
      <w:szCs w:val="20"/>
    </w:rPr>
  </w:style>
  <w:style w:type="paragraph" w:styleId="EndnoteText">
    <w:name w:val="endnote text"/>
    <w:basedOn w:val="Normal"/>
    <w:link w:val="EndnoteTextChar"/>
    <w:uiPriority w:val="99"/>
    <w:semiHidden/>
    <w:unhideWhenUsed/>
    <w:rsid w:val="009638D2"/>
    <w:rPr>
      <w:sz w:val="20"/>
      <w:szCs w:val="20"/>
    </w:rPr>
  </w:style>
  <w:style w:type="character" w:customStyle="1" w:styleId="EndnoteTextChar">
    <w:name w:val="Endnote Text Char"/>
    <w:basedOn w:val="DefaultParagraphFont"/>
    <w:link w:val="EndnoteText"/>
    <w:uiPriority w:val="99"/>
    <w:semiHidden/>
    <w:rsid w:val="009638D2"/>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9638D2"/>
    <w:rPr>
      <w:vertAlign w:val="superscript"/>
    </w:rPr>
  </w:style>
  <w:style w:type="character" w:customStyle="1" w:styleId="ui-provider">
    <w:name w:val="ui-provider"/>
    <w:basedOn w:val="DefaultParagraphFont"/>
    <w:rsid w:val="00BC491D"/>
  </w:style>
  <w:style w:type="character" w:customStyle="1" w:styleId="normaltextrun">
    <w:name w:val="normaltextrun"/>
    <w:basedOn w:val="DefaultParagraphFont"/>
    <w:rsid w:val="004053E5"/>
  </w:style>
  <w:style w:type="character" w:styleId="UnresolvedMention">
    <w:name w:val="Unresolved Mention"/>
    <w:basedOn w:val="DefaultParagraphFont"/>
    <w:uiPriority w:val="99"/>
    <w:semiHidden/>
    <w:unhideWhenUsed/>
    <w:rsid w:val="00CE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2783">
      <w:bodyDiv w:val="1"/>
      <w:marLeft w:val="0"/>
      <w:marRight w:val="0"/>
      <w:marTop w:val="0"/>
      <w:marBottom w:val="0"/>
      <w:divBdr>
        <w:top w:val="none" w:sz="0" w:space="0" w:color="auto"/>
        <w:left w:val="none" w:sz="0" w:space="0" w:color="auto"/>
        <w:bottom w:val="none" w:sz="0" w:space="0" w:color="auto"/>
        <w:right w:val="none" w:sz="0" w:space="0" w:color="auto"/>
      </w:divBdr>
    </w:div>
    <w:div w:id="182593467">
      <w:bodyDiv w:val="1"/>
      <w:marLeft w:val="0"/>
      <w:marRight w:val="0"/>
      <w:marTop w:val="0"/>
      <w:marBottom w:val="0"/>
      <w:divBdr>
        <w:top w:val="none" w:sz="0" w:space="0" w:color="auto"/>
        <w:left w:val="none" w:sz="0" w:space="0" w:color="auto"/>
        <w:bottom w:val="none" w:sz="0" w:space="0" w:color="auto"/>
        <w:right w:val="none" w:sz="0" w:space="0" w:color="auto"/>
      </w:divBdr>
    </w:div>
    <w:div w:id="183255098">
      <w:bodyDiv w:val="1"/>
      <w:marLeft w:val="0"/>
      <w:marRight w:val="0"/>
      <w:marTop w:val="0"/>
      <w:marBottom w:val="0"/>
      <w:divBdr>
        <w:top w:val="none" w:sz="0" w:space="0" w:color="auto"/>
        <w:left w:val="none" w:sz="0" w:space="0" w:color="auto"/>
        <w:bottom w:val="none" w:sz="0" w:space="0" w:color="auto"/>
        <w:right w:val="none" w:sz="0" w:space="0" w:color="auto"/>
      </w:divBdr>
    </w:div>
    <w:div w:id="183597620">
      <w:bodyDiv w:val="1"/>
      <w:marLeft w:val="0"/>
      <w:marRight w:val="0"/>
      <w:marTop w:val="0"/>
      <w:marBottom w:val="0"/>
      <w:divBdr>
        <w:top w:val="none" w:sz="0" w:space="0" w:color="auto"/>
        <w:left w:val="none" w:sz="0" w:space="0" w:color="auto"/>
        <w:bottom w:val="none" w:sz="0" w:space="0" w:color="auto"/>
        <w:right w:val="none" w:sz="0" w:space="0" w:color="auto"/>
      </w:divBdr>
    </w:div>
    <w:div w:id="868883109">
      <w:bodyDiv w:val="1"/>
      <w:marLeft w:val="0"/>
      <w:marRight w:val="0"/>
      <w:marTop w:val="0"/>
      <w:marBottom w:val="0"/>
      <w:divBdr>
        <w:top w:val="none" w:sz="0" w:space="0" w:color="auto"/>
        <w:left w:val="none" w:sz="0" w:space="0" w:color="auto"/>
        <w:bottom w:val="none" w:sz="0" w:space="0" w:color="auto"/>
        <w:right w:val="none" w:sz="0" w:space="0" w:color="auto"/>
      </w:divBdr>
    </w:div>
    <w:div w:id="887109662">
      <w:bodyDiv w:val="1"/>
      <w:marLeft w:val="0"/>
      <w:marRight w:val="0"/>
      <w:marTop w:val="0"/>
      <w:marBottom w:val="0"/>
      <w:divBdr>
        <w:top w:val="none" w:sz="0" w:space="0" w:color="auto"/>
        <w:left w:val="none" w:sz="0" w:space="0" w:color="auto"/>
        <w:bottom w:val="none" w:sz="0" w:space="0" w:color="auto"/>
        <w:right w:val="none" w:sz="0" w:space="0" w:color="auto"/>
      </w:divBdr>
    </w:div>
    <w:div w:id="939989256">
      <w:bodyDiv w:val="1"/>
      <w:marLeft w:val="0"/>
      <w:marRight w:val="0"/>
      <w:marTop w:val="0"/>
      <w:marBottom w:val="0"/>
      <w:divBdr>
        <w:top w:val="none" w:sz="0" w:space="0" w:color="auto"/>
        <w:left w:val="none" w:sz="0" w:space="0" w:color="auto"/>
        <w:bottom w:val="none" w:sz="0" w:space="0" w:color="auto"/>
        <w:right w:val="none" w:sz="0" w:space="0" w:color="auto"/>
      </w:divBdr>
    </w:div>
    <w:div w:id="1111775959">
      <w:bodyDiv w:val="1"/>
      <w:marLeft w:val="0"/>
      <w:marRight w:val="0"/>
      <w:marTop w:val="0"/>
      <w:marBottom w:val="0"/>
      <w:divBdr>
        <w:top w:val="none" w:sz="0" w:space="0" w:color="auto"/>
        <w:left w:val="none" w:sz="0" w:space="0" w:color="auto"/>
        <w:bottom w:val="none" w:sz="0" w:space="0" w:color="auto"/>
        <w:right w:val="none" w:sz="0" w:space="0" w:color="auto"/>
      </w:divBdr>
    </w:div>
    <w:div w:id="1631009911">
      <w:bodyDiv w:val="1"/>
      <w:marLeft w:val="0"/>
      <w:marRight w:val="0"/>
      <w:marTop w:val="0"/>
      <w:marBottom w:val="0"/>
      <w:divBdr>
        <w:top w:val="none" w:sz="0" w:space="0" w:color="auto"/>
        <w:left w:val="none" w:sz="0" w:space="0" w:color="auto"/>
        <w:bottom w:val="none" w:sz="0" w:space="0" w:color="auto"/>
        <w:right w:val="none" w:sz="0" w:space="0" w:color="auto"/>
      </w:divBdr>
    </w:div>
    <w:div w:id="19455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20-en.pdf" TargetMode="External"/><Relationship Id="rId26" Type="http://schemas.openxmlformats.org/officeDocument/2006/relationships/hyperlink" Target="https://www.cbd.int/doc/decisions/cop-07/cop-07-dec-15-en.pdf" TargetMode="External"/><Relationship Id="rId39" Type="http://schemas.openxmlformats.org/officeDocument/2006/relationships/footer" Target="footer1.xml"/><Relationship Id="rId21" Type="http://schemas.openxmlformats.org/officeDocument/2006/relationships/hyperlink" Target="https://www.cbd.int/doc/decisions/cop-14/cop-14-dec-05-fr.pdf" TargetMode="External"/><Relationship Id="rId34" Type="http://schemas.openxmlformats.org/officeDocument/2006/relationships/hyperlink" Target="https://www.cbd.int/doc/decisions/cop-14/cop-14-dec-05-fr.pdf"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0/cop-10-dec-33-fr.pdf" TargetMode="External"/><Relationship Id="rId20" Type="http://schemas.openxmlformats.org/officeDocument/2006/relationships/hyperlink" Target="https://www.cbd.int/doc/decisions/cop-12/cop-12-dec-20-en.pdf" TargetMode="External"/><Relationship Id="rId29" Type="http://schemas.openxmlformats.org/officeDocument/2006/relationships/hyperlink" Target="https://www.cbd.int/doc/decisions/cop-11/cop-11-dec-19-fr.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02-fr.pdf" TargetMode="External"/><Relationship Id="rId32" Type="http://schemas.openxmlformats.org/officeDocument/2006/relationships/hyperlink" Target="https://www.cbd.int/doc/decisions/cop-12/cop-12-dec-20-fr.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09/cop-09-dec-16-fr.pdf" TargetMode="External"/><Relationship Id="rId23" Type="http://schemas.openxmlformats.org/officeDocument/2006/relationships/hyperlink" Target="https://www.cbd.int/doc/decisions/cop-15/cop-15-dec-30-fr.pdf" TargetMode="External"/><Relationship Id="rId28" Type="http://schemas.openxmlformats.org/officeDocument/2006/relationships/hyperlink" Target="https://www.cbd.int/doc/decisions/cop-10/cop-10-dec-33-fr.pdf" TargetMode="External"/><Relationship Id="rId36" Type="http://schemas.openxmlformats.org/officeDocument/2006/relationships/hyperlink" Target="https://www.cbd.int/doc/decisions/cop-15/cop-15-dec-30-fr.pdf" TargetMode="External"/><Relationship Id="rId10" Type="http://schemas.openxmlformats.org/officeDocument/2006/relationships/endnotes" Target="endnotes.xml"/><Relationship Id="rId19" Type="http://schemas.openxmlformats.org/officeDocument/2006/relationships/hyperlink" Target="https://www.cbd.int/doc/decisions/cop-11/cop-11-dec-21-en.pdf" TargetMode="External"/><Relationship Id="rId31" Type="http://schemas.openxmlformats.org/officeDocument/2006/relationships/hyperlink" Target="https://www.cbd.int/doc/decisions/cop-11/cop-11-dec-21-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cop-07-dec-15-en.pdf" TargetMode="External"/><Relationship Id="rId22" Type="http://schemas.openxmlformats.org/officeDocument/2006/relationships/hyperlink" Target="https://www.cbd.int/doc/decisions/cop-15/cop-15-dec-24-fr.pdf" TargetMode="External"/><Relationship Id="rId27" Type="http://schemas.openxmlformats.org/officeDocument/2006/relationships/hyperlink" Target="https://www.cbd.int/doc/decisions/cop-09/cop-09-dec-16-fr.pdf" TargetMode="External"/><Relationship Id="rId30" Type="http://schemas.openxmlformats.org/officeDocument/2006/relationships/hyperlink" Target="https://www.cbd.int/doc/decisions/cop-11/cop-11-dec-20-fr.pdf" TargetMode="External"/><Relationship Id="rId35" Type="http://schemas.openxmlformats.org/officeDocument/2006/relationships/hyperlink" Target="https://www.cbd.int/doc/decisions/cop-15/cop-15-dec-24-fr.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1/cop-11-dec-19-fr.pdf" TargetMode="External"/><Relationship Id="rId25" Type="http://schemas.openxmlformats.org/officeDocument/2006/relationships/hyperlink" Target="https://www.cbd.int/doc/decisions/cop-15/cop-15-dec-19-fr.pdf" TargetMode="External"/><Relationship Id="rId33" Type="http://schemas.openxmlformats.org/officeDocument/2006/relationships/hyperlink" Target="https://www.cbd.int/doc/decisions/cop-13/cop-13-dec-04-fr.pdf"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755665070B4A5989844B451188583E"/>
        <w:category>
          <w:name w:val="Général"/>
          <w:gallery w:val="placeholder"/>
        </w:category>
        <w:types>
          <w:type w:val="bbPlcHdr"/>
        </w:types>
        <w:behaviors>
          <w:behavior w:val="content"/>
        </w:behaviors>
        <w:guid w:val="{5B194BA1-389B-49FB-B907-EA16923417D3}"/>
      </w:docPartPr>
      <w:docPartBody>
        <w:p w:rsidR="0001382B" w:rsidRDefault="00C271E0" w:rsidP="00C271E0">
          <w:pPr>
            <w:pStyle w:val="1D755665070B4A5989844B451188583E"/>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93"/>
    <w:rsid w:val="0001382B"/>
    <w:rsid w:val="0007290C"/>
    <w:rsid w:val="000C56B0"/>
    <w:rsid w:val="000F3B8F"/>
    <w:rsid w:val="0015246A"/>
    <w:rsid w:val="00156850"/>
    <w:rsid w:val="00186C3B"/>
    <w:rsid w:val="004A41DA"/>
    <w:rsid w:val="004D1F69"/>
    <w:rsid w:val="00522210"/>
    <w:rsid w:val="00664EC3"/>
    <w:rsid w:val="006B12FA"/>
    <w:rsid w:val="006C1A4B"/>
    <w:rsid w:val="006C1DAD"/>
    <w:rsid w:val="00785512"/>
    <w:rsid w:val="007A5B36"/>
    <w:rsid w:val="007C0493"/>
    <w:rsid w:val="007C2D0A"/>
    <w:rsid w:val="009124EE"/>
    <w:rsid w:val="00963798"/>
    <w:rsid w:val="00A47916"/>
    <w:rsid w:val="00A527A5"/>
    <w:rsid w:val="00B00AF4"/>
    <w:rsid w:val="00B10C72"/>
    <w:rsid w:val="00B64E54"/>
    <w:rsid w:val="00B806E7"/>
    <w:rsid w:val="00C00F3F"/>
    <w:rsid w:val="00C215E4"/>
    <w:rsid w:val="00C271E0"/>
    <w:rsid w:val="00CA01E7"/>
    <w:rsid w:val="00D237F6"/>
    <w:rsid w:val="00D61C84"/>
    <w:rsid w:val="00DC53F2"/>
    <w:rsid w:val="00E1726B"/>
    <w:rsid w:val="00E91AF7"/>
    <w:rsid w:val="00EE4B2B"/>
    <w:rsid w:val="00F66DEF"/>
    <w:rsid w:val="00F83234"/>
    <w:rsid w:val="00F84AC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1E0"/>
    <w:rPr>
      <w:color w:val="808080"/>
    </w:rPr>
  </w:style>
  <w:style w:type="paragraph" w:customStyle="1" w:styleId="1D755665070B4A5989844B451188583E">
    <w:name w:val="1D755665070B4A5989844B451188583E"/>
    <w:rsid w:val="00C271E0"/>
    <w:rPr>
      <w:kern w:val="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BFF50-4580-4BF2-85A0-FE363A32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79455AD-F15F-4A1E-9C81-E21D8EEDACC2}">
  <ds:schemaRefs>
    <ds:schemaRef ds:uri="http://schemas.openxmlformats.org/officeDocument/2006/bibliography"/>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70</TotalTime>
  <Pages>7</Pages>
  <Words>3712</Words>
  <Characters>23578</Characters>
  <Application>Microsoft Office Word</Application>
  <DocSecurity>0</DocSecurity>
  <Lines>196</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Biodiversité et changements climatiques</vt:lpstr>
      <vt:lpstr>Biodiversity and climate change</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25/8.	Biodiversité et changements climatiques</dc:title>
  <dc:subject>CBD/SBSTTA/REC/25/8</dc:subject>
  <dc:creator>Tristan Tyrrell</dc:creator>
  <cp:keywords/>
  <dc:description/>
  <cp:lastModifiedBy>Tatiana Zavarzina</cp:lastModifiedBy>
  <cp:revision>12</cp:revision>
  <cp:lastPrinted>2023-08-29T18:38:00Z</cp:lastPrinted>
  <dcterms:created xsi:type="dcterms:W3CDTF">2023-12-08T19:05:00Z</dcterms:created>
  <dcterms:modified xsi:type="dcterms:W3CDTF">2024-05-24T16:09:00Z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