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54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
        <w:gridCol w:w="3844"/>
        <w:gridCol w:w="5387"/>
      </w:tblGrid>
      <w:tr w:rsidR="008014A4" w:rsidRPr="00EB2F01" w14:paraId="27DF104B" w14:textId="77777777" w:rsidTr="00F37EF3">
        <w:trPr>
          <w:trHeight w:val="851"/>
        </w:trPr>
        <w:tc>
          <w:tcPr>
            <w:tcW w:w="478" w:type="pct"/>
            <w:tcBorders>
              <w:bottom w:val="single" w:sz="8" w:space="0" w:color="auto"/>
            </w:tcBorders>
            <w:vAlign w:val="bottom"/>
          </w:tcPr>
          <w:p w14:paraId="28FA3864" w14:textId="77777777" w:rsidR="008014A4" w:rsidRPr="00EB2F01" w:rsidRDefault="008014A4" w:rsidP="00F37EF3">
            <w:pPr>
              <w:spacing w:after="120"/>
              <w:jc w:val="left"/>
            </w:pPr>
            <w:bookmarkStart w:id="0" w:name="_Hlk137651738"/>
            <w:r>
              <w:rPr>
                <w:noProof/>
                <w:lang w:val="en-US"/>
              </w:rPr>
              <w:drawing>
                <wp:inline distT="0" distB="0" distL="0" distR="0" wp14:anchorId="72D0A2CC" wp14:editId="490257B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3" w:type="pct"/>
            <w:tcBorders>
              <w:bottom w:val="single" w:sz="8" w:space="0" w:color="auto"/>
            </w:tcBorders>
            <w:shd w:val="clear" w:color="auto" w:fill="auto"/>
            <w:tcFitText/>
            <w:vAlign w:val="bottom"/>
          </w:tcPr>
          <w:p w14:paraId="22522DB8" w14:textId="40C7216B" w:rsidR="008014A4" w:rsidRPr="00EB2F01" w:rsidRDefault="00280BF3" w:rsidP="00F37EF3">
            <w:pPr>
              <w:spacing w:after="120"/>
              <w:jc w:val="left"/>
            </w:pPr>
            <w:r w:rsidRPr="00280BF3">
              <w:rPr>
                <w:noProof/>
                <w:lang w:val="en-US"/>
              </w:rPr>
              <w:drawing>
                <wp:inline distT="0" distB="0" distL="0" distR="0" wp14:anchorId="3259D8E5" wp14:editId="3BE2868F">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2"/>
                          <a:stretch>
                            <a:fillRect/>
                          </a:stretch>
                        </pic:blipFill>
                        <pic:spPr>
                          <a:xfrm>
                            <a:off x="0" y="0"/>
                            <a:ext cx="611015" cy="349151"/>
                          </a:xfrm>
                          <a:prstGeom prst="rect">
                            <a:avLst/>
                          </a:prstGeom>
                        </pic:spPr>
                      </pic:pic>
                    </a:graphicData>
                  </a:graphic>
                </wp:inline>
              </w:drawing>
            </w:r>
          </w:p>
        </w:tc>
        <w:tc>
          <w:tcPr>
            <w:tcW w:w="2639" w:type="pct"/>
            <w:tcBorders>
              <w:bottom w:val="single" w:sz="8" w:space="0" w:color="auto"/>
            </w:tcBorders>
            <w:vAlign w:val="bottom"/>
          </w:tcPr>
          <w:p w14:paraId="45B0BA12" w14:textId="2713B2BB" w:rsidR="008014A4" w:rsidRPr="00EB2F01" w:rsidRDefault="008014A4" w:rsidP="00F37EF3">
            <w:pPr>
              <w:spacing w:after="120"/>
              <w:ind w:left="2021"/>
              <w:jc w:val="right"/>
              <w:rPr>
                <w:szCs w:val="22"/>
              </w:rPr>
            </w:pPr>
            <w:r>
              <w:rPr>
                <w:sz w:val="40"/>
              </w:rPr>
              <w:t>CBD</w:t>
            </w:r>
            <w:r>
              <w:t>/SBSTTA/REC/26/9</w:t>
            </w:r>
          </w:p>
        </w:tc>
      </w:tr>
      <w:tr w:rsidR="008014A4" w:rsidRPr="00EB2F01" w14:paraId="139A9CD3" w14:textId="77777777" w:rsidTr="00F37EF3">
        <w:tc>
          <w:tcPr>
            <w:tcW w:w="2361" w:type="pct"/>
            <w:gridSpan w:val="2"/>
            <w:tcBorders>
              <w:top w:val="single" w:sz="8" w:space="0" w:color="auto"/>
              <w:bottom w:val="single" w:sz="12" w:space="0" w:color="auto"/>
            </w:tcBorders>
          </w:tcPr>
          <w:p w14:paraId="3380D939" w14:textId="0D12898B" w:rsidR="008014A4" w:rsidRPr="00EB2F01" w:rsidRDefault="00280BF3" w:rsidP="00F37EF3">
            <w:pPr>
              <w:pStyle w:val="Cornernotation"/>
              <w:suppressLineNumbers/>
              <w:suppressAutoHyphens/>
              <w:spacing w:before="120" w:after="120"/>
              <w:ind w:right="0"/>
            </w:pPr>
            <w:r w:rsidRPr="00B57B82">
              <w:rPr>
                <w:noProof/>
                <w:lang w:val="en-US"/>
              </w:rPr>
              <w:drawing>
                <wp:inline distT="0" distB="0" distL="0" distR="0" wp14:anchorId="1B3344A6" wp14:editId="18DD5081">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3"/>
                          <a:stretch>
                            <a:fillRect/>
                          </a:stretch>
                        </pic:blipFill>
                        <pic:spPr>
                          <a:xfrm>
                            <a:off x="0" y="0"/>
                            <a:ext cx="2901948" cy="1066892"/>
                          </a:xfrm>
                          <a:prstGeom prst="rect">
                            <a:avLst/>
                          </a:prstGeom>
                        </pic:spPr>
                      </pic:pic>
                    </a:graphicData>
                  </a:graphic>
                </wp:inline>
              </w:drawing>
            </w:r>
          </w:p>
        </w:tc>
        <w:tc>
          <w:tcPr>
            <w:tcW w:w="2639" w:type="pct"/>
            <w:tcBorders>
              <w:top w:val="single" w:sz="8" w:space="0" w:color="auto"/>
              <w:bottom w:val="single" w:sz="12" w:space="0" w:color="auto"/>
            </w:tcBorders>
          </w:tcPr>
          <w:p w14:paraId="711A4096" w14:textId="39BC6A01" w:rsidR="008014A4" w:rsidRPr="00EB2F01" w:rsidRDefault="008014A4" w:rsidP="00F37EF3">
            <w:pPr>
              <w:ind w:left="2584"/>
              <w:rPr>
                <w:sz w:val="22"/>
                <w:szCs w:val="22"/>
              </w:rPr>
            </w:pPr>
            <w:r>
              <w:rPr>
                <w:sz w:val="22"/>
              </w:rPr>
              <w:t>Distr. general</w:t>
            </w:r>
          </w:p>
          <w:p w14:paraId="172CB561" w14:textId="6A469BC4" w:rsidR="008014A4" w:rsidRPr="00EB2F01" w:rsidRDefault="00695E73" w:rsidP="00F37EF3">
            <w:pPr>
              <w:ind w:left="2584"/>
              <w:rPr>
                <w:sz w:val="22"/>
                <w:szCs w:val="22"/>
              </w:rPr>
            </w:pPr>
            <w:r>
              <w:rPr>
                <w:sz w:val="22"/>
              </w:rPr>
              <w:t xml:space="preserve">18 de mayo </w:t>
            </w:r>
            <w:r w:rsidR="00696B99">
              <w:rPr>
                <w:sz w:val="22"/>
              </w:rPr>
              <w:t xml:space="preserve">de </w:t>
            </w:r>
            <w:bookmarkStart w:id="1" w:name="_GoBack"/>
            <w:bookmarkEnd w:id="1"/>
            <w:r>
              <w:rPr>
                <w:sz w:val="22"/>
              </w:rPr>
              <w:t>2024</w:t>
            </w:r>
          </w:p>
          <w:p w14:paraId="46E869C0" w14:textId="77777777" w:rsidR="004708A6" w:rsidRDefault="004708A6" w:rsidP="00F37EF3">
            <w:pPr>
              <w:ind w:left="2584"/>
              <w:rPr>
                <w:sz w:val="22"/>
              </w:rPr>
            </w:pPr>
            <w:r>
              <w:rPr>
                <w:sz w:val="22"/>
              </w:rPr>
              <w:t>Español</w:t>
            </w:r>
          </w:p>
          <w:p w14:paraId="3D0F2E65" w14:textId="35743A2C" w:rsidR="008014A4" w:rsidRPr="00EB2F01" w:rsidRDefault="008014A4" w:rsidP="00F37EF3">
            <w:pPr>
              <w:ind w:left="2584"/>
              <w:rPr>
                <w:sz w:val="22"/>
                <w:szCs w:val="22"/>
              </w:rPr>
            </w:pPr>
            <w:r>
              <w:rPr>
                <w:sz w:val="22"/>
              </w:rPr>
              <w:t>Original: inglés</w:t>
            </w:r>
          </w:p>
          <w:p w14:paraId="0A73B2AF" w14:textId="77777777" w:rsidR="008014A4" w:rsidRPr="00EB2F01" w:rsidRDefault="008014A4" w:rsidP="00F37EF3"/>
        </w:tc>
      </w:tr>
    </w:tbl>
    <w:p w14:paraId="2D7EF570" w14:textId="77777777" w:rsidR="008014A4" w:rsidRPr="00603392" w:rsidRDefault="008014A4" w:rsidP="008014A4">
      <w:pPr>
        <w:pStyle w:val="Cornernotation"/>
        <w:ind w:left="0" w:right="5249" w:firstLine="0"/>
        <w:rPr>
          <w:bCs/>
        </w:rPr>
      </w:pPr>
      <w:r>
        <w:t>Órgano Subsidiario de Asesoramiento Científico, Técnico y Tecnológico</w:t>
      </w:r>
    </w:p>
    <w:p w14:paraId="7A9A98A9" w14:textId="77777777" w:rsidR="008014A4" w:rsidRPr="00EB2F01" w:rsidRDefault="008014A4" w:rsidP="008014A4">
      <w:pPr>
        <w:pStyle w:val="Cornernotation"/>
        <w:rPr>
          <w:bCs/>
          <w:sz w:val="22"/>
        </w:rPr>
      </w:pPr>
      <w:r>
        <w:rPr>
          <w:sz w:val="22"/>
        </w:rPr>
        <w:t>26</w:t>
      </w:r>
      <w:r>
        <w:rPr>
          <w:sz w:val="22"/>
          <w:vertAlign w:val="superscript"/>
        </w:rPr>
        <w:t>a</w:t>
      </w:r>
      <w:r>
        <w:rPr>
          <w:sz w:val="22"/>
        </w:rPr>
        <w:t xml:space="preserve"> reunión </w:t>
      </w:r>
    </w:p>
    <w:p w14:paraId="17DF7678" w14:textId="77777777" w:rsidR="008014A4" w:rsidRPr="00EB2F01" w:rsidRDefault="008014A4" w:rsidP="008014A4">
      <w:pPr>
        <w:pStyle w:val="Venuedate"/>
      </w:pPr>
      <w:r>
        <w:t>Nairobi, 13 a 18 de mayo de 2024</w:t>
      </w:r>
    </w:p>
    <w:p w14:paraId="42DEFD42" w14:textId="16BEF986" w:rsidR="00A96B21" w:rsidRPr="00EB2F01" w:rsidRDefault="000865E9" w:rsidP="00695E73">
      <w:pPr>
        <w:pStyle w:val="Cornernotation-Item"/>
        <w:ind w:left="0" w:firstLine="0"/>
        <w:rPr>
          <w:b w:val="0"/>
          <w:bCs w:val="0"/>
        </w:rPr>
      </w:pPr>
      <w:r>
        <w:rPr>
          <w:b w:val="0"/>
        </w:rPr>
        <w:t>Tema 9 del programa</w:t>
      </w:r>
    </w:p>
    <w:p w14:paraId="7FA6B652" w14:textId="4990B164" w:rsidR="00A96B21" w:rsidRPr="00EB2F01" w:rsidRDefault="000536EC" w:rsidP="00A96B21">
      <w:pPr>
        <w:pStyle w:val="Cornernotation-Item"/>
      </w:pPr>
      <w:r>
        <w:t>Diversidad biológica y salud</w:t>
      </w:r>
    </w:p>
    <w:bookmarkEnd w:id="0"/>
    <w:p w14:paraId="76C56BC1" w14:textId="77777777" w:rsidR="00C6498E" w:rsidRPr="00EB2F01" w:rsidRDefault="00C6498E" w:rsidP="00C6498E">
      <w:pPr>
        <w:pStyle w:val="CBD-title-recommendationdecision"/>
        <w:ind w:left="567"/>
        <w:rPr>
          <w:rFonts w:hint="eastAsia"/>
        </w:rPr>
      </w:pPr>
      <w:r>
        <w:t>Recomendación adoptada por el Órgano Subsidiario de Asesoramiento Científico, Técnico y Tecnológico el 18 de mayo de 2024</w:t>
      </w:r>
    </w:p>
    <w:p w14:paraId="39AD76D4" w14:textId="0BF52D41" w:rsidR="00A96B21" w:rsidRPr="00EB2F01" w:rsidRDefault="00501B52" w:rsidP="009A429E">
      <w:pPr>
        <w:pStyle w:val="Title"/>
        <w:jc w:val="left"/>
        <w:rPr>
          <w:rFonts w:hint="eastAsia"/>
        </w:rPr>
      </w:pPr>
      <w:r>
        <w:t>26/9.</w:t>
      </w:r>
      <w:r>
        <w:tab/>
        <w:t>Diversidad biológica y salud</w:t>
      </w:r>
    </w:p>
    <w:p w14:paraId="3B2255E7" w14:textId="68676B77" w:rsidR="000865E9" w:rsidRPr="00EB2F01" w:rsidRDefault="00A07725" w:rsidP="009556F7">
      <w:pPr>
        <w:pStyle w:val="Para10"/>
        <w:numPr>
          <w:ilvl w:val="0"/>
          <w:numId w:val="0"/>
        </w:numPr>
        <w:ind w:firstLine="567"/>
        <w:rPr>
          <w:i/>
          <w:iCs/>
        </w:rPr>
      </w:pPr>
      <w:r>
        <w:rPr>
          <w:i/>
        </w:rPr>
        <w:t>El Órgano Subsidiario de Asesoramiento Científico, Técnico y Tecnológico</w:t>
      </w:r>
    </w:p>
    <w:p w14:paraId="112E99DC" w14:textId="6F39E788" w:rsidR="00A07725" w:rsidRPr="00EB2F01" w:rsidRDefault="000865E9" w:rsidP="009556F7">
      <w:pPr>
        <w:pStyle w:val="Para10"/>
        <w:numPr>
          <w:ilvl w:val="0"/>
          <w:numId w:val="0"/>
        </w:numPr>
        <w:ind w:firstLine="567"/>
      </w:pPr>
      <w:r>
        <w:rPr>
          <w:i/>
        </w:rPr>
        <w:t>Recomienda</w:t>
      </w:r>
      <w:r>
        <w:t xml:space="preserve"> a la Conferencia de las Partes que en su 16ª reunión adopte un</w:t>
      </w:r>
      <w:r w:rsidR="00151CEF">
        <w:t>a decisión del siguiente tenor:</w:t>
      </w:r>
    </w:p>
    <w:p w14:paraId="577E9279" w14:textId="43D13682" w:rsidR="00A07725" w:rsidRPr="00EB2F01" w:rsidRDefault="00A07725" w:rsidP="00FF71BC">
      <w:pPr>
        <w:pStyle w:val="Para10"/>
        <w:numPr>
          <w:ilvl w:val="0"/>
          <w:numId w:val="0"/>
        </w:numPr>
        <w:ind w:left="567"/>
      </w:pPr>
      <w:r>
        <w:tab/>
      </w:r>
      <w:r>
        <w:rPr>
          <w:i/>
        </w:rPr>
        <w:t>La Conferencia de las Partes</w:t>
      </w:r>
      <w:r>
        <w:t>,</w:t>
      </w:r>
    </w:p>
    <w:p w14:paraId="0DBFED11" w14:textId="4C7333E8" w:rsidR="00A373CB" w:rsidRPr="00EB2F01" w:rsidRDefault="00A373CB" w:rsidP="009A429E">
      <w:pPr>
        <w:pStyle w:val="Para10"/>
        <w:numPr>
          <w:ilvl w:val="0"/>
          <w:numId w:val="0"/>
        </w:numPr>
        <w:tabs>
          <w:tab w:val="clear" w:pos="1134"/>
        </w:tabs>
        <w:ind w:left="567" w:firstLine="567"/>
      </w:pPr>
      <w:r>
        <w:rPr>
          <w:i/>
        </w:rPr>
        <w:t xml:space="preserve">Recordando </w:t>
      </w:r>
      <w:r>
        <w:t>sus</w:t>
      </w:r>
      <w:r>
        <w:rPr>
          <w:i/>
        </w:rPr>
        <w:t xml:space="preserve"> </w:t>
      </w:r>
      <w:r>
        <w:t xml:space="preserve">decisiones </w:t>
      </w:r>
      <w:hyperlink r:id="rId14" w:history="1">
        <w:r>
          <w:rPr>
            <w:rStyle w:val="Hyperlink"/>
          </w:rPr>
          <w:t>XII/21</w:t>
        </w:r>
      </w:hyperlink>
      <w:r>
        <w:t>, de 17 de octubre de 2014,</w:t>
      </w:r>
      <w:r>
        <w:rPr>
          <w:i/>
        </w:rPr>
        <w:t xml:space="preserve"> </w:t>
      </w:r>
      <w:hyperlink r:id="rId15" w:history="1">
        <w:r>
          <w:rPr>
            <w:rStyle w:val="Hyperlink"/>
          </w:rPr>
          <w:t>XIII/6</w:t>
        </w:r>
      </w:hyperlink>
      <w:r>
        <w:rPr>
          <w:i/>
        </w:rPr>
        <w:t xml:space="preserve">, </w:t>
      </w:r>
      <w:r>
        <w:t xml:space="preserve">de 17 de diciembre de 2016, </w:t>
      </w:r>
      <w:hyperlink r:id="rId16" w:history="1">
        <w:r>
          <w:rPr>
            <w:rStyle w:val="Hyperlink"/>
          </w:rPr>
          <w:t>14/</w:t>
        </w:r>
        <w:bookmarkStart w:id="2" w:name="_Hlt166596734"/>
        <w:bookmarkStart w:id="3" w:name="_Hlt166596735"/>
        <w:bookmarkEnd w:id="2"/>
        <w:bookmarkEnd w:id="3"/>
        <w:r>
          <w:rPr>
            <w:rStyle w:val="Hyperlink"/>
          </w:rPr>
          <w:t>4</w:t>
        </w:r>
      </w:hyperlink>
      <w:r>
        <w:t xml:space="preserve">, de 22 de noviembre de 2018, y </w:t>
      </w:r>
      <w:hyperlink r:id="rId17" w:history="1">
        <w:r>
          <w:rPr>
            <w:rStyle w:val="Hyperlink"/>
          </w:rPr>
          <w:t>15/29</w:t>
        </w:r>
      </w:hyperlink>
      <w:r>
        <w:t>, de 19 de diciembre de 2022,</w:t>
      </w:r>
    </w:p>
    <w:p w14:paraId="26B0F280" w14:textId="78AE0A2A" w:rsidR="00180A7F" w:rsidRPr="00EB2F01" w:rsidRDefault="00553A62" w:rsidP="001B6AFD">
      <w:pPr>
        <w:pStyle w:val="Para10"/>
        <w:numPr>
          <w:ilvl w:val="0"/>
          <w:numId w:val="0"/>
        </w:numPr>
        <w:ind w:left="567" w:firstLine="567"/>
      </w:pPr>
      <w:r>
        <w:rPr>
          <w:i/>
        </w:rPr>
        <w:t xml:space="preserve">Recordando también </w:t>
      </w:r>
      <w:r>
        <w:t>que el Marco Mundial de Biodiversidad de Kunming-Montreal</w:t>
      </w:r>
      <w:r w:rsidR="00CE4E9E" w:rsidRPr="00EB2F01">
        <w:rPr>
          <w:rStyle w:val="FootnoteReference"/>
        </w:rPr>
        <w:footnoteReference w:id="2"/>
      </w:r>
      <w:r>
        <w:t xml:space="preserve"> reconoce las interrelaciones entre la diversidad biológica y la salud y los tres objetivos del Convenio sobre la Diversidad Biológica</w:t>
      </w:r>
      <w:r w:rsidR="005F275C" w:rsidRPr="00EB2F01">
        <w:rPr>
          <w:rStyle w:val="FootnoteReference"/>
        </w:rPr>
        <w:footnoteReference w:id="3"/>
      </w:r>
      <w:r>
        <w:t>,</w:t>
      </w:r>
    </w:p>
    <w:p w14:paraId="633301E5" w14:textId="68DA7E8B" w:rsidR="003F75C9" w:rsidRPr="00EB2F01" w:rsidRDefault="003F75C9" w:rsidP="00E81D7D">
      <w:pPr>
        <w:pStyle w:val="Para10"/>
        <w:numPr>
          <w:ilvl w:val="0"/>
          <w:numId w:val="0"/>
        </w:numPr>
        <w:ind w:left="567" w:firstLine="567"/>
      </w:pPr>
      <w:r>
        <w:rPr>
          <w:i/>
        </w:rPr>
        <w:t>Recordando además</w:t>
      </w:r>
      <w:r>
        <w:t xml:space="preserve"> el marco para la iniciativa intersectorial sobre diversidad biológica para la alimentación y la nutrición, adoptado por la Conferencia de las Partes en su decisión VIII/23, de 31 de marzo de 2006,</w:t>
      </w:r>
    </w:p>
    <w:p w14:paraId="41A5F579" w14:textId="6469A4AC" w:rsidR="0055547D" w:rsidRPr="00EB2F01" w:rsidRDefault="006359A1" w:rsidP="001B6AFD">
      <w:pPr>
        <w:pStyle w:val="Para10"/>
        <w:numPr>
          <w:ilvl w:val="0"/>
          <w:numId w:val="0"/>
        </w:numPr>
        <w:ind w:left="567" w:firstLine="567"/>
      </w:pPr>
      <w:r>
        <w:rPr>
          <w:i/>
        </w:rPr>
        <w:t>Reconociendo</w:t>
      </w:r>
      <w:r>
        <w:t xml:space="preserve"> que la implementación del Marco Mundial de Biodiversidad de Kunming-Montreal contribuirá a la mejora de la salud y el bienestar, incluida la salud física y mental, abordando los impulsores de la pérdida de diversidad biológica, que suelen ser también impulsores de la mala salud, y teniendo en cuenta la información que figura en el documento CBD/SBSTTA/26/INF/3,</w:t>
      </w:r>
    </w:p>
    <w:p w14:paraId="6B8C5A4D" w14:textId="6838BBB4" w:rsidR="001A590F" w:rsidRPr="00603392" w:rsidRDefault="00453D74" w:rsidP="00D94E10">
      <w:pPr>
        <w:spacing w:after="120"/>
        <w:ind w:left="567" w:firstLine="709"/>
        <w:rPr>
          <w:color w:val="000000" w:themeColor="text1"/>
        </w:rPr>
      </w:pPr>
      <w:r>
        <w:rPr>
          <w:i/>
          <w:color w:val="000000" w:themeColor="text1"/>
        </w:rPr>
        <w:t>Observ</w:t>
      </w:r>
      <w:r w:rsidR="000021E7">
        <w:rPr>
          <w:i/>
          <w:color w:val="000000" w:themeColor="text1"/>
        </w:rPr>
        <w:t>ando</w:t>
      </w:r>
      <w:r w:rsidR="000021E7">
        <w:rPr>
          <w:color w:val="000000" w:themeColor="text1"/>
        </w:rPr>
        <w:t xml:space="preserve"> que en la Constitución de la Organización Mundial de la Salud el término “salud” </w:t>
      </w:r>
      <w:r>
        <w:rPr>
          <w:color w:val="000000" w:themeColor="text1"/>
        </w:rPr>
        <w:t xml:space="preserve">se define </w:t>
      </w:r>
      <w:r w:rsidR="000021E7">
        <w:rPr>
          <w:color w:val="000000" w:themeColor="text1"/>
        </w:rPr>
        <w:t xml:space="preserve">como un estado de completo bienestar físico, mental y social y no solamente </w:t>
      </w:r>
      <w:r>
        <w:rPr>
          <w:color w:val="000000" w:themeColor="text1"/>
        </w:rPr>
        <w:t xml:space="preserve">como </w:t>
      </w:r>
      <w:r w:rsidR="000021E7">
        <w:rPr>
          <w:color w:val="000000" w:themeColor="text1"/>
        </w:rPr>
        <w:t>la ausencia de afecciones o enfermedades,</w:t>
      </w:r>
    </w:p>
    <w:p w14:paraId="3E0664A9" w14:textId="3BEC944E" w:rsidR="003A37E5" w:rsidRPr="00EB2F01" w:rsidRDefault="005C734F" w:rsidP="001B6AFD">
      <w:pPr>
        <w:pStyle w:val="Para10"/>
        <w:numPr>
          <w:ilvl w:val="0"/>
          <w:numId w:val="0"/>
        </w:numPr>
        <w:ind w:left="567" w:firstLine="567"/>
      </w:pPr>
      <w:r>
        <w:rPr>
          <w:i/>
          <w:color w:val="000000" w:themeColor="text1"/>
        </w:rPr>
        <w:t>Reconociendo</w:t>
      </w:r>
      <w:r>
        <w:rPr>
          <w:color w:val="000000" w:themeColor="text1"/>
        </w:rPr>
        <w:t xml:space="preserve"> </w:t>
      </w:r>
      <w:r>
        <w:t xml:space="preserve">el importante papel que </w:t>
      </w:r>
      <w:r w:rsidR="00453D74">
        <w:t>desempeñan</w:t>
      </w:r>
      <w:r>
        <w:t xml:space="preserve"> la educación y la concienciación en la integración de las interrelaciones entre la diversidad biológica y la salud a través del enfoque de “Una sola salud” y </w:t>
      </w:r>
      <w:r w:rsidR="00453D74">
        <w:t xml:space="preserve">de </w:t>
      </w:r>
      <w:r>
        <w:t>un enfoque de todo el gobierno y de toda la sociedad,</w:t>
      </w:r>
    </w:p>
    <w:p w14:paraId="58A9A7A8" w14:textId="2A31A2C4" w:rsidR="00641A60" w:rsidRPr="00EB2F01" w:rsidRDefault="00641A60" w:rsidP="00691ADD">
      <w:pPr>
        <w:spacing w:after="120"/>
        <w:ind w:left="567" w:firstLine="567"/>
      </w:pPr>
      <w:r>
        <w:rPr>
          <w:i/>
        </w:rPr>
        <w:lastRenderedPageBreak/>
        <w:t>Acogiendo con satisfacción</w:t>
      </w:r>
      <w:r>
        <w:t xml:space="preserve"> la participación de la Alianza </w:t>
      </w:r>
      <w:r w:rsidR="00431581">
        <w:t>Cua</w:t>
      </w:r>
      <w:r w:rsidR="007D731A">
        <w:t>t</w:t>
      </w:r>
      <w:r w:rsidR="00431581">
        <w:t>ripartita</w:t>
      </w:r>
      <w:r>
        <w:t xml:space="preserve"> </w:t>
      </w:r>
      <w:r w:rsidR="003712BD">
        <w:t xml:space="preserve">sobre </w:t>
      </w:r>
      <w:r>
        <w:t xml:space="preserve">el enfoque de “Una sola salud” en la elaboración del proyecto de plan de acción mundial sobre diversidad </w:t>
      </w:r>
      <w:r w:rsidR="003712BD">
        <w:t>b</w:t>
      </w:r>
      <w:r>
        <w:t>iológica y salud y reconociendo a la vez la importancia de mantener la coherencia con mandatos existentes,</w:t>
      </w:r>
    </w:p>
    <w:p w14:paraId="2018B225" w14:textId="7DC0D643" w:rsidR="00481743" w:rsidRPr="00EB2F01" w:rsidRDefault="00F0244D" w:rsidP="00691ADD">
      <w:pPr>
        <w:pStyle w:val="Para10"/>
        <w:numPr>
          <w:ilvl w:val="0"/>
          <w:numId w:val="0"/>
        </w:numPr>
        <w:ind w:left="567" w:firstLine="567"/>
      </w:pPr>
      <w:r>
        <w:rPr>
          <w:i/>
        </w:rPr>
        <w:t xml:space="preserve">Observando </w:t>
      </w:r>
      <w:r>
        <w:t xml:space="preserve">la labor en curso de la Plataforma Intergubernamental Científico-Normativa sobre Diversidad Biológica y Servicios de los Ecosistemas </w:t>
      </w:r>
      <w:r w:rsidR="00A34998">
        <w:t>relativa a</w:t>
      </w:r>
      <w:r>
        <w:t xml:space="preserve"> la evaluación temática de las interrelaciones entre la diversidad biológica, el agua, la alimentación y la salud, </w:t>
      </w:r>
    </w:p>
    <w:p w14:paraId="6E93163E" w14:textId="35A158F5" w:rsidR="005F1E46" w:rsidRPr="00603392" w:rsidRDefault="004E7A05" w:rsidP="00BC0589">
      <w:pPr>
        <w:pStyle w:val="Para10"/>
        <w:numPr>
          <w:ilvl w:val="0"/>
          <w:numId w:val="0"/>
        </w:numPr>
        <w:ind w:left="567" w:firstLine="567"/>
      </w:pPr>
      <w:r>
        <w:t>[</w:t>
      </w:r>
      <w:r>
        <w:rPr>
          <w:i/>
        </w:rPr>
        <w:t>Reconociendo</w:t>
      </w:r>
      <w:r>
        <w:t xml:space="preserve"> l</w:t>
      </w:r>
      <w:r w:rsidR="00032333">
        <w:t>a</w:t>
      </w:r>
      <w:r>
        <w:t xml:space="preserve">s posibles </w:t>
      </w:r>
      <w:r w:rsidR="00032333">
        <w:t>interrelacione</w:t>
      </w:r>
      <w:r>
        <w:t xml:space="preserve">s del proyecto de plan de acción mundial sobre diversidad biológica y salud con varias cuestiones abordadas en los resultados del proceso de análisis prospectivos amplios y periódicos, seguimiento y evaluación del Grupo Multidisciplinario Especial de Expertos Técnicos sobre Biología Sintética </w:t>
      </w:r>
      <w:r w:rsidR="00A34998">
        <w:t>en</w:t>
      </w:r>
      <w:r>
        <w:t xml:space="preserve"> Apoy</w:t>
      </w:r>
      <w:r w:rsidR="00A34998">
        <w:t xml:space="preserve">o </w:t>
      </w:r>
      <w:r>
        <w:t>al Proceso de Análisis Prospectivos Amplios y Periódicos, Seguimiento y Evaluación</w:t>
      </w:r>
      <w:r w:rsidR="005400E7" w:rsidRPr="00EB2F01">
        <w:rPr>
          <w:rStyle w:val="FootnoteReference"/>
        </w:rPr>
        <w:footnoteReference w:id="4"/>
      </w:r>
      <w:r>
        <w:t xml:space="preserve">] </w:t>
      </w:r>
    </w:p>
    <w:p w14:paraId="245816A3" w14:textId="25326D46" w:rsidR="00091F77" w:rsidRPr="00EB2F01" w:rsidRDefault="00576B98" w:rsidP="00691ADD">
      <w:pPr>
        <w:pStyle w:val="Para10"/>
        <w:numPr>
          <w:ilvl w:val="0"/>
          <w:numId w:val="0"/>
        </w:numPr>
        <w:ind w:left="567" w:firstLine="567"/>
      </w:pPr>
      <w:r>
        <w:rPr>
          <w:i/>
        </w:rPr>
        <w:t>Tomando nota</w:t>
      </w:r>
      <w:r>
        <w:t xml:space="preserve"> de las opciones para in</w:t>
      </w:r>
      <w:r w:rsidR="003712BD">
        <w:t>corpo</w:t>
      </w:r>
      <w:r>
        <w:t>rar la diversidad biológica en las medidas de estímulo y recuperación de la enfermedad por coronavirus (COVID-19), que figuran en el documento CBD/SBSTTA/26/INF/3, y en el Manifiesto de la Organización Mundial de la Salud</w:t>
      </w:r>
      <w:r w:rsidR="003712BD">
        <w:t xml:space="preserve"> </w:t>
      </w:r>
      <w:r>
        <w:t>a favor de una recuperación saludable de la COVID-19</w:t>
      </w:r>
      <w:r w:rsidR="0028440A" w:rsidRPr="00EB2F01">
        <w:rPr>
          <w:rStyle w:val="FootnoteReference"/>
        </w:rPr>
        <w:footnoteReference w:id="5"/>
      </w:r>
      <w:r>
        <w:t xml:space="preserve">, </w:t>
      </w:r>
    </w:p>
    <w:p w14:paraId="2A770CE5" w14:textId="5FD4DEAB" w:rsidR="00CC42D5" w:rsidRPr="00EB2F01" w:rsidRDefault="00B05ED9" w:rsidP="00691ADD">
      <w:pPr>
        <w:pStyle w:val="Para10"/>
        <w:numPr>
          <w:ilvl w:val="0"/>
          <w:numId w:val="0"/>
        </w:numPr>
        <w:ind w:left="567" w:firstLine="567"/>
      </w:pPr>
      <w:r>
        <w:rPr>
          <w:i/>
          <w:iCs/>
        </w:rPr>
        <w:t>Señalando</w:t>
      </w:r>
      <w:r w:rsidR="00032333">
        <w:t xml:space="preserve"> la importancia otorgada a las interrelaciones </w:t>
      </w:r>
      <w:r>
        <w:t xml:space="preserve">entre la diversidad biológica y la salud por otras organizaciones e iniciativas, </w:t>
      </w:r>
      <w:r w:rsidR="00BB5DB6">
        <w:t>entre ellas</w:t>
      </w:r>
      <w:r>
        <w:t xml:space="preserve"> la Asamblea de las Naciones Unidas sobre el Medio Ambiente</w:t>
      </w:r>
      <w:r w:rsidR="009C3BD4">
        <w:t xml:space="preserve"> y </w:t>
      </w:r>
      <w:r w:rsidR="00BB7FE6">
        <w:t>su</w:t>
      </w:r>
      <w:r>
        <w:t xml:space="preserve"> resolución 5.6 </w:t>
      </w:r>
      <w:r w:rsidR="00BB7FE6">
        <w:t>sobr</w:t>
      </w:r>
      <w:r>
        <w:t>e diversidad biológica y salud, [</w:t>
      </w:r>
      <w:r w:rsidR="009C3BD4">
        <w:t xml:space="preserve">en la que </w:t>
      </w:r>
      <w:r>
        <w:t>reconoció, entre otras cosas, la interdependencia entre las crisis de cambio climático, pérdida de diversidad biológica, contaminación y salud, la Conferencia de las Partes que actúa como reunión de las Partes en el Acuerdo de París</w:t>
      </w:r>
      <w:r w:rsidR="00E8598B" w:rsidRPr="00603392">
        <w:rPr>
          <w:rStyle w:val="FootnoteReference"/>
        </w:rPr>
        <w:footnoteReference w:id="6"/>
      </w:r>
      <w:r>
        <w:t xml:space="preserve"> adoptado en virtud de la Convención Marco de las Naciones Unidas</w:t>
      </w:r>
      <w:r w:rsidR="00A41722">
        <w:t xml:space="preserve"> sobre el Cambio Climático, que</w:t>
      </w:r>
      <w:r>
        <w:t xml:space="preserve"> en sus decisiones 1/CMA.5 y 2/CMA.5 instó a las Partes</w:t>
      </w:r>
      <w:r w:rsidR="00BB5DB6">
        <w:t>,</w:t>
      </w:r>
      <w:r>
        <w:t xml:space="preserve"> e invitó a interesados que no son Parte</w:t>
      </w:r>
      <w:r w:rsidR="00F1166C">
        <w:t>s</w:t>
      </w:r>
      <w:r w:rsidR="00BB7FE6">
        <w:t>,</w:t>
      </w:r>
      <w:r>
        <w:t xml:space="preserve"> a promover medidas relativas a los ecosistemas, la diversidad biológica y la salud, el Foro Permanente para las Cuestiones Indígenas, que reconoció la centralidad de la naturaleza para la salud</w:t>
      </w:r>
      <w:r w:rsidR="00CC42D5" w:rsidRPr="00EB2F01">
        <w:rPr>
          <w:rStyle w:val="FootnoteReference"/>
        </w:rPr>
        <w:footnoteReference w:id="7"/>
      </w:r>
      <w:r>
        <w:t>, y el Marco Mundial sobre los Productos Químicos: por un Planeta Libre de los Daños derivados de los Productos Químicos y los Desechos, cuyo objetivo es prevenir o reducir al mínimo los daños causados por los productos químicos y los desechos</w:t>
      </w:r>
      <w:r w:rsidR="00BB7FE6">
        <w:t>,</w:t>
      </w:r>
      <w:r>
        <w:t xml:space="preserve"> proteg</w:t>
      </w:r>
      <w:r w:rsidR="00BB7FE6">
        <w:t>i</w:t>
      </w:r>
      <w:r>
        <w:t>e</w:t>
      </w:r>
      <w:r w:rsidR="00BB7FE6">
        <w:t>ndo</w:t>
      </w:r>
      <w:r>
        <w:t xml:space="preserve"> la salud humana y la diversidad biológica][, así como las negociaciones en curso en el seno de la Organización Mundial de la Salud sobre un nuevo acuerdo sobre pandemias, especialmente en lo relativo a los posibles riesgos de que las enfermedades zoonóticas se </w:t>
      </w:r>
      <w:r w:rsidR="00A41722">
        <w:t>propaguen</w:t>
      </w:r>
      <w:r>
        <w:t xml:space="preserve"> desde la fauna silvestre,] </w:t>
      </w:r>
    </w:p>
    <w:p w14:paraId="378D8CB9" w14:textId="44EFF278" w:rsidR="008B1685" w:rsidRPr="00EB2F01" w:rsidRDefault="008B1685" w:rsidP="00691ADD">
      <w:pPr>
        <w:pStyle w:val="Para10"/>
        <w:numPr>
          <w:ilvl w:val="0"/>
          <w:numId w:val="0"/>
        </w:numPr>
        <w:ind w:left="567" w:firstLine="567"/>
        <w:rPr>
          <w:i/>
          <w:iCs/>
        </w:rPr>
      </w:pPr>
      <w:r>
        <w:rPr>
          <w:i/>
        </w:rPr>
        <w:t xml:space="preserve">Considerando </w:t>
      </w:r>
      <w:r>
        <w:t>la importancia de la cooperación con otros acuerdos ambientales multilaterales y organizaciones e iniciativas pertinentes [para lograr un enfoque mundial de la diversidad biológica y la salud], y la necesidad de evitar la duplicación de esfuerzos,</w:t>
      </w:r>
    </w:p>
    <w:p w14:paraId="6B9AD5B7" w14:textId="336B558B" w:rsidR="006B5605" w:rsidRPr="00EB2F01" w:rsidRDefault="00210254" w:rsidP="006B5605">
      <w:pPr>
        <w:pStyle w:val="Para10"/>
        <w:numPr>
          <w:ilvl w:val="0"/>
          <w:numId w:val="0"/>
        </w:numPr>
        <w:tabs>
          <w:tab w:val="clear" w:pos="1134"/>
          <w:tab w:val="left" w:pos="1701"/>
        </w:tabs>
        <w:ind w:left="567" w:firstLine="567"/>
      </w:pPr>
      <w:r>
        <w:t>[1.</w:t>
      </w:r>
      <w:r>
        <w:rPr>
          <w:i/>
        </w:rPr>
        <w:tab/>
        <w:t xml:space="preserve">Adopta </w:t>
      </w:r>
      <w:r>
        <w:t>el Plan de Acción Mundial sobre Diversidad Biológica y Salud que figura en el anexo</w:t>
      </w:r>
      <w:r w:rsidR="00F1166C">
        <w:t> </w:t>
      </w:r>
      <w:r>
        <w:t xml:space="preserve">I de la presente decisión, como plan </w:t>
      </w:r>
      <w:r w:rsidR="00F1166C">
        <w:t xml:space="preserve">de carácter </w:t>
      </w:r>
      <w:r>
        <w:t>voluntario para apoyar la implementación del Marco Mundial de Biodiversidad de Kunming-Montreal</w:t>
      </w:r>
      <w:r w:rsidR="00C354DB" w:rsidRPr="00EB2F01">
        <w:rPr>
          <w:rStyle w:val="FootnoteReference"/>
        </w:rPr>
        <w:footnoteReference w:id="8"/>
      </w:r>
      <w:r>
        <w:t xml:space="preserve"> y complementa</w:t>
      </w:r>
      <w:r w:rsidR="00F1166C">
        <w:t>rio a</w:t>
      </w:r>
      <w:r>
        <w:t xml:space="preserve"> las orientaciones </w:t>
      </w:r>
      <w:r w:rsidR="00F1166C">
        <w:t>brindadas</w:t>
      </w:r>
      <w:r>
        <w:t xml:space="preserve"> en las decisiones </w:t>
      </w:r>
      <w:hyperlink r:id="rId18" w:history="1">
        <w:r w:rsidRPr="003712BD">
          <w:rPr>
            <w:rFonts w:asciiTheme="majorBidi" w:hAnsiTheme="majorBidi"/>
            <w:color w:val="0000FF"/>
            <w:u w:val="single"/>
          </w:rPr>
          <w:t>XIII/6</w:t>
        </w:r>
      </w:hyperlink>
      <w:r>
        <w:t xml:space="preserve"> y </w:t>
      </w:r>
      <w:hyperlink r:id="rId19" w:history="1">
        <w:r w:rsidRPr="003712BD">
          <w:rPr>
            <w:rFonts w:asciiTheme="majorBidi" w:hAnsiTheme="majorBidi"/>
            <w:color w:val="0000FF"/>
            <w:u w:val="single"/>
          </w:rPr>
          <w:t>14/4</w:t>
        </w:r>
      </w:hyperlink>
      <w:r>
        <w:t xml:space="preserve">;] </w:t>
      </w:r>
    </w:p>
    <w:p w14:paraId="502567BA" w14:textId="75946C46" w:rsidR="006B5605" w:rsidRPr="00EB2F01" w:rsidRDefault="00087675" w:rsidP="006B5605">
      <w:pPr>
        <w:pStyle w:val="Para10"/>
        <w:numPr>
          <w:ilvl w:val="0"/>
          <w:numId w:val="0"/>
        </w:numPr>
        <w:tabs>
          <w:tab w:val="clear" w:pos="1134"/>
          <w:tab w:val="left" w:pos="1701"/>
        </w:tabs>
        <w:ind w:left="567" w:firstLine="567"/>
      </w:pPr>
      <w:r>
        <w:t>[2.</w:t>
      </w:r>
      <w:r>
        <w:rPr>
          <w:i/>
        </w:rPr>
        <w:tab/>
        <w:t>Acoge con satisfacción</w:t>
      </w:r>
      <w:r>
        <w:t xml:space="preserve"> los mensajes específicos para la integración de la diversidad biológica en el sector de la salud que figuran en el anexo IV de la presente decisión;]</w:t>
      </w:r>
    </w:p>
    <w:p w14:paraId="4D8885A1" w14:textId="5A0AB403" w:rsidR="006B5605" w:rsidRPr="00EB2F01" w:rsidRDefault="007B0DA3" w:rsidP="006B5605">
      <w:pPr>
        <w:pStyle w:val="Para10"/>
        <w:numPr>
          <w:ilvl w:val="0"/>
          <w:numId w:val="0"/>
        </w:numPr>
        <w:tabs>
          <w:tab w:val="clear" w:pos="1134"/>
          <w:tab w:val="left" w:pos="1701"/>
        </w:tabs>
        <w:ind w:left="567" w:firstLine="567"/>
      </w:pPr>
      <w:r>
        <w:t>3.</w:t>
      </w:r>
      <w:r>
        <w:rPr>
          <w:i/>
        </w:rPr>
        <w:tab/>
        <w:t xml:space="preserve">Alienta </w:t>
      </w:r>
      <w:r>
        <w:t>a las Partes a que, conforme a las circunstancias y prioridades nacionales y con carácter voluntario:</w:t>
      </w:r>
    </w:p>
    <w:p w14:paraId="5AF35239" w14:textId="67A8B739" w:rsidR="00BD63A5" w:rsidRPr="00EB2F01" w:rsidRDefault="00741D7D" w:rsidP="009A429E">
      <w:pPr>
        <w:pStyle w:val="Para10"/>
        <w:numPr>
          <w:ilvl w:val="0"/>
          <w:numId w:val="0"/>
        </w:numPr>
        <w:tabs>
          <w:tab w:val="clear" w:pos="1134"/>
          <w:tab w:val="left" w:pos="1701"/>
        </w:tabs>
        <w:ind w:left="567" w:firstLine="567"/>
      </w:pPr>
      <w:r>
        <w:lastRenderedPageBreak/>
        <w:t>[a)</w:t>
      </w:r>
      <w:r>
        <w:tab/>
        <w:t>Implementen el Plan de Acción Mundial y proporcionen información sobre sus actividades de implementación y los resultados de esas actividades, incluido en sus informes nacionales, según proceda;]</w:t>
      </w:r>
    </w:p>
    <w:p w14:paraId="67365CC9" w14:textId="665CEE16" w:rsidR="000B36FA" w:rsidRPr="00EB2F01" w:rsidRDefault="00083FED" w:rsidP="009A429E">
      <w:pPr>
        <w:pStyle w:val="Para10"/>
        <w:numPr>
          <w:ilvl w:val="0"/>
          <w:numId w:val="0"/>
        </w:numPr>
        <w:tabs>
          <w:tab w:val="clear" w:pos="1134"/>
          <w:tab w:val="left" w:pos="1701"/>
        </w:tabs>
        <w:ind w:left="567" w:firstLine="567"/>
      </w:pPr>
      <w:r>
        <w:t>[b)</w:t>
      </w:r>
      <w:r>
        <w:tab/>
        <w:t xml:space="preserve">Designen un punto focal nacional sobre diversidad biológica y salud para mejorar a nivel nacional la coordinación , el intercambio de conocimientos, la implementación y el intercambio de prácticas </w:t>
      </w:r>
      <w:r w:rsidR="00F1166C">
        <w:t xml:space="preserve">óptimas </w:t>
      </w:r>
      <w:r>
        <w:t xml:space="preserve">y lecciones aprendidas entre los actores de la diversidad biológica y la salud, incluidos los que se dedican a la salud humana, animal y vegetal, el sector ambiental y los sistemas de medicina tradicional, y </w:t>
      </w:r>
      <w:r w:rsidR="00F1166C">
        <w:t>colaboren exhaustivamente</w:t>
      </w:r>
      <w:r>
        <w:t xml:space="preserve"> con los organismos y profesionales sanitarios y relacionados con la salud a nivel nacional;]</w:t>
      </w:r>
    </w:p>
    <w:p w14:paraId="3D9A41FB" w14:textId="036320D3" w:rsidR="00DE671D" w:rsidRPr="00EB2F01" w:rsidRDefault="00083FED" w:rsidP="00D268D7">
      <w:pPr>
        <w:tabs>
          <w:tab w:val="left" w:pos="1701"/>
        </w:tabs>
        <w:spacing w:before="120" w:after="120"/>
        <w:ind w:left="567" w:firstLine="567"/>
        <w:rPr>
          <w:rFonts w:eastAsia="DengXian"/>
          <w:kern w:val="2"/>
          <w14:ligatures w14:val="standardContextual"/>
        </w:rPr>
      </w:pPr>
      <w:r>
        <w:t>[c)</w:t>
      </w:r>
      <w:r>
        <w:tab/>
        <w:t>Designen un punto focal nacional de la juventud sobre diversidad biológica y salud pública que, entre otras cosas, informe sobre las contribuciones y las necesidades de la infancia y la juventud en relación con la gestión ambiental, la salud y la equidad intergeneracional;]</w:t>
      </w:r>
    </w:p>
    <w:p w14:paraId="091F1033" w14:textId="2A404968" w:rsidR="00940570" w:rsidRPr="00EB2F01" w:rsidRDefault="00A57936" w:rsidP="009A429E">
      <w:pPr>
        <w:pStyle w:val="Para10"/>
        <w:numPr>
          <w:ilvl w:val="0"/>
          <w:numId w:val="0"/>
        </w:numPr>
        <w:tabs>
          <w:tab w:val="clear" w:pos="1134"/>
          <w:tab w:val="left" w:pos="1701"/>
        </w:tabs>
        <w:ind w:left="567" w:firstLine="567"/>
      </w:pPr>
      <w:r>
        <w:t>d)</w:t>
      </w:r>
      <w:r>
        <w:tab/>
        <w:t>Incorporen las interrelaciones entre la diversidad biológica y la salud en políticas</w:t>
      </w:r>
      <w:r w:rsidR="008C5E3E">
        <w:t>,</w:t>
      </w:r>
      <w:r>
        <w:t xml:space="preserve"> programas [y cuentas] relacionadas con la diversidad biológica, en consonancia con la decisión 14/4 y, si procede, en sus estrategias y planes de acción nacionales en materia de biodiversidad, [teniendo en cuenta los elementos del Plan de Acción Mundial,] en consonancia con la sección C del Marco;</w:t>
      </w:r>
    </w:p>
    <w:p w14:paraId="2C74A57F" w14:textId="0E70377F" w:rsidR="00C4427E" w:rsidRPr="00603392" w:rsidRDefault="00C4427E" w:rsidP="00E0252C">
      <w:pPr>
        <w:tabs>
          <w:tab w:val="left" w:pos="1701"/>
        </w:tabs>
        <w:spacing w:after="120"/>
        <w:ind w:left="567" w:firstLine="567"/>
        <w:rPr>
          <w:color w:val="000000" w:themeColor="text1"/>
        </w:rPr>
      </w:pPr>
      <w:r>
        <w:rPr>
          <w:color w:val="000000" w:themeColor="text1"/>
        </w:rPr>
        <w:t>e)</w:t>
      </w:r>
      <w:r>
        <w:rPr>
          <w:color w:val="000000" w:themeColor="text1"/>
        </w:rPr>
        <w:tab/>
        <w:t>Reconozcan la necesidad de abordar urgentemente los impulsores de la pérdida de diversidad biológica a fin de reducir los riesgos para la salud, a la vez que contribuyen a la implementación del Marco, en particular la sección C, párrafo</w:t>
      </w:r>
      <w:r w:rsidR="00F37EF3">
        <w:rPr>
          <w:color w:val="000000" w:themeColor="text1"/>
        </w:rPr>
        <w:t> </w:t>
      </w:r>
      <w:r>
        <w:rPr>
          <w:color w:val="000000" w:themeColor="text1"/>
        </w:rPr>
        <w:t>7</w:t>
      </w:r>
      <w:r w:rsidR="00F37EF3">
        <w:rPr>
          <w:color w:val="000000" w:themeColor="text1"/>
        </w:rPr>
        <w:t> </w:t>
      </w:r>
      <w:r>
        <w:rPr>
          <w:color w:val="000000" w:themeColor="text1"/>
        </w:rPr>
        <w:t>r) y la meta 14;</w:t>
      </w:r>
    </w:p>
    <w:p w14:paraId="3AC6DF9C" w14:textId="3AB1FBE0" w:rsidR="00F47D9A" w:rsidRPr="00EB2F01" w:rsidRDefault="00B52D9C" w:rsidP="009A429E">
      <w:pPr>
        <w:pStyle w:val="Para10"/>
        <w:numPr>
          <w:ilvl w:val="0"/>
          <w:numId w:val="0"/>
        </w:numPr>
        <w:tabs>
          <w:tab w:val="clear" w:pos="1134"/>
          <w:tab w:val="left" w:pos="1701"/>
        </w:tabs>
        <w:ind w:left="567" w:firstLine="567"/>
      </w:pPr>
      <w:r>
        <w:t>[4.</w:t>
      </w:r>
      <w:r>
        <w:tab/>
      </w:r>
      <w:r>
        <w:rPr>
          <w:i/>
        </w:rPr>
        <w:t>Invita</w:t>
      </w:r>
      <w:r>
        <w:t xml:space="preserve"> a otros Gobiernos, los órganos rectores y secretarías de organizaciones internacionales y acuerdos ambientales y de salud multilaterales pertinentes, incluidos los miembros de la Alianza Cua</w:t>
      </w:r>
      <w:r w:rsidR="007D731A">
        <w:t>t</w:t>
      </w:r>
      <w:r>
        <w:t xml:space="preserve">ripartita </w:t>
      </w:r>
      <w:r w:rsidR="003712BD">
        <w:t xml:space="preserve">sobre </w:t>
      </w:r>
      <w:r>
        <w:t>el enfoque de “Una sola salud”, [a que hagan uso, según proceda, del Plan de Acción Mundial] para integrar las interrelaciones entre la diversidad biológica y la salud en sus respectivos grupos interesados y en todos los sectores, respetando las prioridades nacionales autodeterminadas, y a que sigan apoyando la elaboración e implementación de medidas, orientaciones y herramientas para promover y apoyar la integración de l</w:t>
      </w:r>
      <w:r w:rsidR="00032333">
        <w:t>a</w:t>
      </w:r>
      <w:r>
        <w:t xml:space="preserve">s </w:t>
      </w:r>
      <w:r w:rsidR="00032333">
        <w:t>interrelacione</w:t>
      </w:r>
      <w:r>
        <w:t>s entre la diversidad biológica y la salud;]</w:t>
      </w:r>
    </w:p>
    <w:p w14:paraId="57CA1114" w14:textId="55059468" w:rsidR="00F63F09" w:rsidRPr="00EB2F01" w:rsidRDefault="00B52D9C" w:rsidP="009A429E">
      <w:pPr>
        <w:pStyle w:val="Para10"/>
        <w:numPr>
          <w:ilvl w:val="0"/>
          <w:numId w:val="0"/>
        </w:numPr>
        <w:tabs>
          <w:tab w:val="clear" w:pos="1134"/>
          <w:tab w:val="left" w:pos="1701"/>
        </w:tabs>
        <w:ind w:left="567" w:firstLine="567"/>
      </w:pPr>
      <w:r>
        <w:t>[5.</w:t>
      </w:r>
      <w:r>
        <w:tab/>
      </w:r>
      <w:r>
        <w:rPr>
          <w:i/>
        </w:rPr>
        <w:t>Invita</w:t>
      </w:r>
      <w:r>
        <w:t xml:space="preserve"> a pueblos indígenas y comunidades locales, interesados pertinentes, incluidos el sector privado y el mundo académico, las mujeres, la infancia y la juventud, a contribuir a la implementación del Plan de Acción Mundial;] </w:t>
      </w:r>
    </w:p>
    <w:p w14:paraId="10B90A15" w14:textId="4832E4FA" w:rsidR="004B514B" w:rsidRPr="00EB2F01" w:rsidRDefault="00174F4F" w:rsidP="009A429E">
      <w:pPr>
        <w:pStyle w:val="Para10"/>
        <w:numPr>
          <w:ilvl w:val="0"/>
          <w:numId w:val="0"/>
        </w:numPr>
        <w:tabs>
          <w:tab w:val="clear" w:pos="1134"/>
          <w:tab w:val="left" w:pos="1701"/>
        </w:tabs>
        <w:ind w:left="567" w:firstLine="567"/>
      </w:pPr>
      <w:r>
        <w:t>6.</w:t>
      </w:r>
      <w:r>
        <w:tab/>
      </w:r>
      <w:r>
        <w:rPr>
          <w:i/>
        </w:rPr>
        <w:t xml:space="preserve">Invita </w:t>
      </w:r>
      <w:r>
        <w:t>a la Organización Mundial de la Salud a que, según proceda, tenga en cuenta las sinergias en su labor sobre diversidad biológica y salud emprendida de conformidad con su 14° Programa General de Trabajo (2025-2028), así como las resoluciones de la Asamblea Mundial de la Salud relativas al enfoque de “Una sola salud” y las resoluciones relacionadas con los determinantes ambientales de la salud, y la labor emprendida en el marco del Convenio sobre la Diversidad Biológica;</w:t>
      </w:r>
    </w:p>
    <w:p w14:paraId="7A57F7BA" w14:textId="7FCFA158" w:rsidR="00B33650" w:rsidRPr="00EB2F01" w:rsidRDefault="006E0EE5" w:rsidP="00715156">
      <w:pPr>
        <w:pStyle w:val="Para10"/>
        <w:numPr>
          <w:ilvl w:val="0"/>
          <w:numId w:val="0"/>
        </w:numPr>
        <w:tabs>
          <w:tab w:val="clear" w:pos="1134"/>
          <w:tab w:val="left" w:pos="1701"/>
        </w:tabs>
        <w:ind w:left="567" w:firstLine="567"/>
      </w:pPr>
      <w:r>
        <w:t>[7.</w:t>
      </w:r>
      <w:r>
        <w:tab/>
        <w:t>[</w:t>
      </w:r>
      <w:r>
        <w:rPr>
          <w:i/>
        </w:rPr>
        <w:t>Insta</w:t>
      </w:r>
      <w:r>
        <w:t>][</w:t>
      </w:r>
      <w:r>
        <w:rPr>
          <w:i/>
        </w:rPr>
        <w:t>Pide</w:t>
      </w:r>
      <w:r>
        <w:t xml:space="preserve">] a las Partes, [de conformidad con el artículo 20 del Convenio,] e </w:t>
      </w:r>
      <w:r w:rsidRPr="008C5E3E">
        <w:t>invita</w:t>
      </w:r>
      <w:r>
        <w:t xml:space="preserve"> a otros Gobiernos, acuerdos ambientales y de salud multilaterales pertinentes, organizaciones pertinentes, donantes e instituciones financieras pertinentes a que proporcionen apoyo financiero y técnico, según proceda, para la creación y el desarrollo de capacidad [y procuren contar con recursos suficientes</w:t>
      </w:r>
      <w:r w:rsidR="002937F6">
        <w:t xml:space="preserve"> y de manera oportuna</w:t>
      </w:r>
      <w:r>
        <w:t>], [y para abordar las interrelaciones entre la diversidad biológica y la salud, incluido] para [posibilitar] la implementación eficaz del Plan de Acción Mundial];]</w:t>
      </w:r>
    </w:p>
    <w:p w14:paraId="71BF7B62" w14:textId="5DA085D7" w:rsidR="00393FE3" w:rsidRPr="00EB2F01" w:rsidRDefault="009A4A5A" w:rsidP="00174F4F">
      <w:pPr>
        <w:pStyle w:val="Para10"/>
        <w:numPr>
          <w:ilvl w:val="0"/>
          <w:numId w:val="0"/>
        </w:numPr>
        <w:tabs>
          <w:tab w:val="clear" w:pos="1134"/>
          <w:tab w:val="left" w:pos="1701"/>
        </w:tabs>
        <w:ind w:left="567" w:firstLine="567"/>
      </w:pPr>
      <w:r>
        <w:t>[8.</w:t>
      </w:r>
      <w:r>
        <w:tab/>
      </w:r>
      <w:r>
        <w:rPr>
          <w:i/>
        </w:rPr>
        <w:t>Pide</w:t>
      </w:r>
      <w:r>
        <w:t xml:space="preserve"> al Fondo para el Medio Ambiente Mundial que proporcione ayuda financiera a todos los países [en desarrollo][que reúnan las condiciones], sin [prejuicios,] discriminación ni parcialidad, incluidas actividades de creación y desarrollo de capacidad, para proyectos nacionales, subnacionales y regionales que aborden el Plan de Acción Mundial;]</w:t>
      </w:r>
      <w:r w:rsidR="00862AC8" w:rsidRPr="00986CF6">
        <w:rPr>
          <w:rStyle w:val="FootnoteReference"/>
        </w:rPr>
        <w:footnoteReference w:id="9"/>
      </w:r>
    </w:p>
    <w:p w14:paraId="0E69A9C8" w14:textId="724B06E8" w:rsidR="00185A94" w:rsidRPr="00603392" w:rsidRDefault="00D01258" w:rsidP="00715156">
      <w:pPr>
        <w:pStyle w:val="Para10"/>
        <w:numPr>
          <w:ilvl w:val="0"/>
          <w:numId w:val="0"/>
        </w:numPr>
        <w:tabs>
          <w:tab w:val="clear" w:pos="1134"/>
          <w:tab w:val="left" w:pos="1701"/>
        </w:tabs>
        <w:ind w:left="567" w:firstLine="567"/>
      </w:pPr>
      <w:r>
        <w:lastRenderedPageBreak/>
        <w:t>[9.</w:t>
      </w:r>
      <w:r>
        <w:tab/>
      </w:r>
      <w:r>
        <w:rPr>
          <w:i/>
        </w:rPr>
        <w:t>Invita</w:t>
      </w:r>
      <w:r>
        <w:t xml:space="preserve"> a las Partes, otros Gobiernos, acuerdos ambientales multilaterales pertinentes y otras organizaciones a compartir medidas, orientaciones y herramientas, ejemplos, prácticas óptimas y lecciones aprendidas en la implementación del Plan de Acción Mundial y la integración de las interrelaciones entre </w:t>
      </w:r>
      <w:r w:rsidR="008C5E3E">
        <w:t xml:space="preserve">la </w:t>
      </w:r>
      <w:r>
        <w:t xml:space="preserve">diversidad biológica y </w:t>
      </w:r>
      <w:r w:rsidR="008C5E3E">
        <w:t xml:space="preserve">la </w:t>
      </w:r>
      <w:r>
        <w:t>salud en todos los niveles;]</w:t>
      </w:r>
      <w:bookmarkStart w:id="4" w:name="_Ref170394438"/>
      <w:r w:rsidR="0060667C" w:rsidRPr="00EB2F01">
        <w:rPr>
          <w:rStyle w:val="FootnoteReference"/>
        </w:rPr>
        <w:footnoteReference w:id="10"/>
      </w:r>
      <w:bookmarkEnd w:id="4"/>
    </w:p>
    <w:p w14:paraId="0C0FBBF5" w14:textId="4192B88E" w:rsidR="004A0F1F" w:rsidRPr="00603392" w:rsidRDefault="00BA2C97" w:rsidP="009A429E">
      <w:pPr>
        <w:pStyle w:val="Para10"/>
        <w:numPr>
          <w:ilvl w:val="0"/>
          <w:numId w:val="0"/>
        </w:numPr>
        <w:tabs>
          <w:tab w:val="clear" w:pos="1134"/>
          <w:tab w:val="left" w:pos="1701"/>
        </w:tabs>
        <w:ind w:left="567" w:firstLine="567"/>
      </w:pPr>
      <w:r>
        <w:t>[10.</w:t>
      </w:r>
      <w:r>
        <w:rPr>
          <w:i/>
        </w:rPr>
        <w:tab/>
      </w:r>
      <w:r>
        <w:rPr>
          <w:i/>
          <w:iCs/>
        </w:rPr>
        <w:t>Pide</w:t>
      </w:r>
      <w:r>
        <w:t xml:space="preserve"> a la Secretaria Ejecutiva que, con sujeción a la disponibilidad de recursos:</w:t>
      </w:r>
    </w:p>
    <w:p w14:paraId="4E37E93D" w14:textId="5C16E9EB" w:rsidR="00E02071" w:rsidRPr="00EB2F01" w:rsidRDefault="00A57936" w:rsidP="009A429E">
      <w:pPr>
        <w:pStyle w:val="Para10"/>
        <w:numPr>
          <w:ilvl w:val="0"/>
          <w:numId w:val="0"/>
        </w:numPr>
        <w:tabs>
          <w:tab w:val="clear" w:pos="1134"/>
          <w:tab w:val="left" w:pos="1701"/>
        </w:tabs>
        <w:ind w:left="567" w:firstLine="567"/>
        <w:rPr>
          <w:highlight w:val="yellow"/>
        </w:rPr>
      </w:pPr>
      <w:r>
        <w:t>a)</w:t>
      </w:r>
      <w:r>
        <w:tab/>
        <w:t>Complete la labor emprendida en respuesta al párrafo</w:t>
      </w:r>
      <w:r w:rsidR="00EC3F50">
        <w:t> </w:t>
      </w:r>
      <w:r>
        <w:t>13 a) de la decisión </w:t>
      </w:r>
      <w:hyperlink r:id="rId20">
        <w:r w:rsidRPr="008E1E92">
          <w:rPr>
            <w:rFonts w:asciiTheme="majorBidi" w:hAnsiTheme="majorBidi"/>
            <w:color w:val="0000FF"/>
            <w:u w:val="single"/>
          </w:rPr>
          <w:t>14/4</w:t>
        </w:r>
      </w:hyperlink>
      <w:r>
        <w:t xml:space="preserve"> sobre la elaboración de indicadores científicos, herramientas de medición de los progresos y parámetros de medición integrados para la diversidad biológica y la salud, t</w:t>
      </w:r>
      <w:r w:rsidR="008E1E92">
        <w:t>oma</w:t>
      </w:r>
      <w:r>
        <w:t xml:space="preserve">ndo en cuenta la sección III y el párrafo 14 del anexo I y la información </w:t>
      </w:r>
      <w:r w:rsidR="008E1E92">
        <w:t>indicada</w:t>
      </w:r>
      <w:r>
        <w:t xml:space="preserve"> en el anexo II de la presente decisión, entre otr</w:t>
      </w:r>
      <w:r w:rsidR="003D4FA2">
        <w:t>a</w:t>
      </w:r>
      <w:r>
        <w:t>s</w:t>
      </w:r>
      <w:r w:rsidR="003D4FA2">
        <w:t xml:space="preserve"> cosas</w:t>
      </w:r>
      <w:r>
        <w:t>, y prepare una nota sobre cómo podrían utilizarse esos indicadores, parámetros</w:t>
      </w:r>
      <w:r w:rsidR="003D4FA2">
        <w:t xml:space="preserve"> de medición</w:t>
      </w:r>
      <w:r>
        <w:t xml:space="preserve"> y herramientas de medición de los progresos para hacer un seguimiento de la implementación del Plan de Acción Mundial;</w:t>
      </w:r>
    </w:p>
    <w:p w14:paraId="531ACB66" w14:textId="47D6630C" w:rsidR="00FB38D6" w:rsidRPr="00603392" w:rsidRDefault="00A57936" w:rsidP="009A429E">
      <w:pPr>
        <w:pStyle w:val="Para10"/>
        <w:numPr>
          <w:ilvl w:val="0"/>
          <w:numId w:val="0"/>
        </w:numPr>
        <w:tabs>
          <w:tab w:val="clear" w:pos="1134"/>
          <w:tab w:val="left" w:pos="1701"/>
        </w:tabs>
        <w:ind w:left="567" w:firstLine="567"/>
      </w:pPr>
      <w:r>
        <w:t>b)</w:t>
      </w:r>
      <w:r>
        <w:tab/>
        <w:t xml:space="preserve">Facilite, en colaboración con asociados, actividades de creación de capacidad, cooperación científica y técnica y transferencia de tecnología para apoyar a las Partes, los pueblos indígenas y las comunidades locales e interesados tales como organizaciones pertinentes, el sector académico y las mujeres, la infancia, la juventud y las personas de edad en la adopción e implementación del Plan de Acción Mundial, incluido mediante la convocatoria de talleres regionales y la facilitación de diálogos, garantizando la participación de los pueblos indígenas, las comunidades locales, las mujeres y la juventud, en colaboración, entre otros, con los miembros de la Alianza </w:t>
      </w:r>
      <w:r w:rsidR="00431581">
        <w:t>Cua</w:t>
      </w:r>
      <w:r w:rsidR="007D731A">
        <w:t>t</w:t>
      </w:r>
      <w:r w:rsidR="00431581">
        <w:t>ripartita</w:t>
      </w:r>
      <w:r>
        <w:t xml:space="preserve"> </w:t>
      </w:r>
      <w:r w:rsidR="003712BD">
        <w:t xml:space="preserve">sobre </w:t>
      </w:r>
      <w:r>
        <w:t>el enfoque de “Una sola salud” y las secretarías de otros acuerdos ambientales multilaterales;</w:t>
      </w:r>
    </w:p>
    <w:p w14:paraId="0AB3167C" w14:textId="7C1086AB" w:rsidR="00F46297" w:rsidRPr="00603392" w:rsidRDefault="00A57936" w:rsidP="009A429E">
      <w:pPr>
        <w:pStyle w:val="Para10"/>
        <w:numPr>
          <w:ilvl w:val="0"/>
          <w:numId w:val="0"/>
        </w:numPr>
        <w:tabs>
          <w:tab w:val="clear" w:pos="1134"/>
          <w:tab w:val="left" w:pos="1701"/>
        </w:tabs>
        <w:ind w:left="567" w:firstLine="567"/>
      </w:pPr>
      <w:r>
        <w:t>c)</w:t>
      </w:r>
      <w:r>
        <w:tab/>
        <w:t xml:space="preserve">Siga </w:t>
      </w:r>
      <w:r w:rsidR="00EE3C58">
        <w:t>generando</w:t>
      </w:r>
      <w:r>
        <w:t xml:space="preserve"> conciencia en todos los niveles, incluido a través de procesos pertinentes de otros acuerdos ambientales multilaterales y organismos intergubernamentales, sobre las importantes interrelaciones entre la diversidad biológica y la salud, incluida su relevancia para la implementación del Marco;</w:t>
      </w:r>
    </w:p>
    <w:p w14:paraId="37B9999B" w14:textId="3AE8814B" w:rsidR="004D31BB" w:rsidRPr="00603392" w:rsidRDefault="00A57936" w:rsidP="009A429E">
      <w:pPr>
        <w:pStyle w:val="Para10"/>
        <w:numPr>
          <w:ilvl w:val="0"/>
          <w:numId w:val="0"/>
        </w:numPr>
        <w:tabs>
          <w:tab w:val="clear" w:pos="1134"/>
          <w:tab w:val="left" w:pos="1701"/>
        </w:tabs>
        <w:ind w:left="567" w:firstLine="567"/>
      </w:pPr>
      <w:r>
        <w:t>d)</w:t>
      </w:r>
      <w:r>
        <w:tab/>
        <w:t>Intensifique y refuerce la cooperación con organizaciones internacionales y las secretarías de otros acuerdos multilaterales en materia de medio ambiente, salud y derechos humanos en lo referente a las interrelaciones entre la diversidad biológica y la salud;</w:t>
      </w:r>
    </w:p>
    <w:p w14:paraId="6FA04CBA" w14:textId="5CF8866C" w:rsidR="0086242B" w:rsidRPr="00603392" w:rsidRDefault="00B1253B" w:rsidP="00715156">
      <w:pPr>
        <w:tabs>
          <w:tab w:val="left" w:pos="1701"/>
        </w:tabs>
        <w:spacing w:after="160" w:line="259" w:lineRule="auto"/>
        <w:ind w:left="567" w:firstLine="567"/>
      </w:pPr>
      <w:r>
        <w:t>e)</w:t>
      </w:r>
      <w:r>
        <w:tab/>
        <w:t xml:space="preserve">Estudie, en consulta con la Organización Mundial de la Salud, la posibilidad de desarrollar una plataforma de información en línea para recopilar conocimientos y experiencias sobre políticas y acciones interrelacionadas en materia de diversidad biológica y salud, que incluya, entre otras cosas, estudios de casos, indicadores, evaluaciones y metodologías, con el fin de facilitar el intercambio de conocimientos y la creación de capacidad y, de ese modo, </w:t>
      </w:r>
      <w:r w:rsidR="00EE3C58">
        <w:t>promover</w:t>
      </w:r>
      <w:r>
        <w:t xml:space="preserve"> la implementación del Plan de Acción Mundial;</w:t>
      </w:r>
    </w:p>
    <w:p w14:paraId="31669A95" w14:textId="313984DF" w:rsidR="00270462" w:rsidRPr="00EB2F01" w:rsidRDefault="00A57936" w:rsidP="00011FC9">
      <w:pPr>
        <w:tabs>
          <w:tab w:val="left" w:pos="1701"/>
        </w:tabs>
        <w:spacing w:after="160" w:line="259" w:lineRule="auto"/>
        <w:ind w:left="567" w:firstLine="567"/>
      </w:pPr>
      <w:r>
        <w:t>f)</w:t>
      </w:r>
      <w:r>
        <w:tab/>
        <w:t>Informe sobre los resultados de esa labor al Órgano Subsidiario de Asesoramiento Científico, Técnico y Tecnológico en una reunión celebrada antes de la 17ª reunión de la Conferencia de las Partes, y a la Asamblea Mundial de la Salud en su 79ª reunión.]</w:t>
      </w:r>
      <w:r w:rsidR="0060667C" w:rsidRPr="00603392">
        <w:rPr>
          <w:vertAlign w:val="superscript"/>
        </w:rPr>
        <w:fldChar w:fldCharType="begin"/>
      </w:r>
      <w:r w:rsidR="0060667C" w:rsidRPr="00603392">
        <w:rPr>
          <w:vertAlign w:val="superscript"/>
        </w:rPr>
        <w:instrText xml:space="preserve"> NOTEREF _Ref170394438 \h  \* MERGEFORMAT </w:instrText>
      </w:r>
      <w:r w:rsidR="0060667C" w:rsidRPr="00603392">
        <w:rPr>
          <w:vertAlign w:val="superscript"/>
        </w:rPr>
      </w:r>
      <w:r w:rsidR="0060667C" w:rsidRPr="00603392">
        <w:rPr>
          <w:vertAlign w:val="superscript"/>
        </w:rPr>
        <w:fldChar w:fldCharType="separate"/>
      </w:r>
      <w:r w:rsidR="00517E32">
        <w:rPr>
          <w:vertAlign w:val="superscript"/>
        </w:rPr>
        <w:t>9</w:t>
      </w:r>
      <w:r w:rsidR="0060667C" w:rsidRPr="00603392">
        <w:rPr>
          <w:vertAlign w:val="superscript"/>
        </w:rPr>
        <w:fldChar w:fldCharType="end"/>
      </w:r>
    </w:p>
    <w:p w14:paraId="148B488F" w14:textId="13E4D314" w:rsidR="000C3D8D" w:rsidRPr="00EB2F01" w:rsidRDefault="00CA65BA" w:rsidP="001B3173">
      <w:pPr>
        <w:keepNext/>
        <w:spacing w:before="240"/>
        <w:ind w:left="567"/>
        <w:rPr>
          <w:b/>
          <w:bCs/>
          <w:sz w:val="24"/>
          <w:szCs w:val="24"/>
        </w:rPr>
      </w:pPr>
      <w:r>
        <w:rPr>
          <w:b/>
          <w:sz w:val="24"/>
        </w:rPr>
        <w:t>Anexo I</w:t>
      </w:r>
      <w:r w:rsidR="00206022" w:rsidRPr="00603392">
        <w:rPr>
          <w:rStyle w:val="FootnoteReference"/>
          <w:rFonts w:eastAsiaTheme="majorEastAsia"/>
        </w:rPr>
        <w:footnoteReference w:id="11"/>
      </w:r>
    </w:p>
    <w:p w14:paraId="3DD51EC4" w14:textId="04BEFB96" w:rsidR="00050E9A" w:rsidRPr="00EB2F01" w:rsidRDefault="00050E9A" w:rsidP="00603392">
      <w:pPr>
        <w:pStyle w:val="Title"/>
        <w:spacing w:before="0" w:after="120"/>
        <w:outlineLvl w:val="0"/>
        <w:rPr>
          <w:rFonts w:hint="eastAsia"/>
          <w:b w:val="0"/>
          <w:bCs w:val="0"/>
          <w:sz w:val="24"/>
          <w:szCs w:val="24"/>
        </w:rPr>
      </w:pPr>
      <w:r>
        <w:rPr>
          <w:sz w:val="24"/>
        </w:rPr>
        <w:t>Plan de Acción Mundial sobre Diversidad Biológica y Salud</w:t>
      </w:r>
    </w:p>
    <w:p w14:paraId="6DB98FCB" w14:textId="77777777" w:rsidR="001D5E16" w:rsidRPr="00603392" w:rsidRDefault="001D5E16" w:rsidP="00C66A07">
      <w:pPr>
        <w:tabs>
          <w:tab w:val="left" w:pos="567"/>
        </w:tabs>
        <w:spacing w:before="120" w:after="120"/>
        <w:outlineLvl w:val="0"/>
        <w:rPr>
          <w:b/>
          <w:bCs/>
          <w:snapToGrid w:val="0"/>
          <w:sz w:val="24"/>
          <w:szCs w:val="24"/>
        </w:rPr>
      </w:pPr>
      <w:r>
        <w:rPr>
          <w:b/>
          <w:snapToGrid w:val="0"/>
          <w:sz w:val="24"/>
        </w:rPr>
        <w:t>I.</w:t>
      </w:r>
      <w:r>
        <w:rPr>
          <w:snapToGrid w:val="0"/>
          <w:sz w:val="24"/>
        </w:rPr>
        <w:tab/>
      </w:r>
      <w:r>
        <w:rPr>
          <w:b/>
          <w:snapToGrid w:val="0"/>
          <w:sz w:val="24"/>
        </w:rPr>
        <w:t>Objetivo</w:t>
      </w:r>
    </w:p>
    <w:p w14:paraId="02CE4ACC" w14:textId="7549558B" w:rsidR="001D5E16" w:rsidRPr="00EB2F01" w:rsidRDefault="001D5E16" w:rsidP="009A429E">
      <w:pPr>
        <w:pStyle w:val="CBD-Para1-Not-numbered"/>
      </w:pPr>
      <w:r>
        <w:t>1.</w:t>
      </w:r>
      <w:r>
        <w:tab/>
      </w:r>
      <w:r w:rsidRPr="00862AC8">
        <w:rPr>
          <w:spacing w:val="-2"/>
        </w:rPr>
        <w:t xml:space="preserve">De conformidad con las decisiones </w:t>
      </w:r>
      <w:hyperlink r:id="rId21">
        <w:r w:rsidRPr="00862AC8">
          <w:rPr>
            <w:color w:val="0000FF"/>
            <w:spacing w:val="-2"/>
            <w:u w:val="single"/>
          </w:rPr>
          <w:t>XII/21</w:t>
        </w:r>
      </w:hyperlink>
      <w:r w:rsidRPr="00862AC8">
        <w:rPr>
          <w:spacing w:val="-2"/>
        </w:rPr>
        <w:t xml:space="preserve">, de 17 de octubre de 2014, </w:t>
      </w:r>
      <w:hyperlink r:id="rId22">
        <w:r w:rsidRPr="00862AC8">
          <w:rPr>
            <w:color w:val="0000FF"/>
            <w:spacing w:val="-2"/>
            <w:u w:val="single"/>
          </w:rPr>
          <w:t>XIII/6</w:t>
        </w:r>
      </w:hyperlink>
      <w:r w:rsidRPr="00862AC8">
        <w:rPr>
          <w:spacing w:val="-2"/>
        </w:rPr>
        <w:t>, de 17 de diciembre</w:t>
      </w:r>
      <w:r>
        <w:t xml:space="preserve"> de 2016, </w:t>
      </w:r>
      <w:hyperlink r:id="rId23" w:history="1">
        <w:r w:rsidRPr="00F37EF3">
          <w:rPr>
            <w:color w:val="0000FF"/>
            <w:u w:val="single"/>
          </w:rPr>
          <w:t>14/4</w:t>
        </w:r>
      </w:hyperlink>
      <w:r>
        <w:t xml:space="preserve">, de 22 de noviembre de 2018, y </w:t>
      </w:r>
      <w:hyperlink r:id="rId24" w:history="1">
        <w:r w:rsidRPr="00F37EF3">
          <w:rPr>
            <w:color w:val="0000FF"/>
            <w:u w:val="single"/>
          </w:rPr>
          <w:t>15/29</w:t>
        </w:r>
      </w:hyperlink>
      <w:r w:rsidRPr="00F37EF3">
        <w:t>,</w:t>
      </w:r>
      <w:r>
        <w:t xml:space="preserve"> de 19 de diciembre de 2022, y en respuesta a ellas, el objetivo del Plan de Acción Mundial sobre Diversidad Biológica y Salud es apoyar a las Partes y otros Gobiernos en todos los niveles, organizaciones e iniciativas pertinentes, pueblos </w:t>
      </w:r>
      <w:r>
        <w:lastRenderedPageBreak/>
        <w:t xml:space="preserve">indígenas y comunidades locales, las mujeres, la infancia y la juventud, el sector privado y otros interesados en la integración de las interrelaciones entre la diversidad biológica y la salud en políticas, estrategias, programas y cuentas nacionales, de acuerdo con las circunstancias, prioridades y leyes nacionales y de conformidad con obligaciones internacionales pertinentes. El Plan busca, en particular, que autoridades gubernamentales pertinentes puedan colaborar estrechamente y coordinar </w:t>
      </w:r>
      <w:r w:rsidR="00431581">
        <w:t>sus actividades</w:t>
      </w:r>
      <w:r>
        <w:t xml:space="preserve"> en materia de interrelaciones entre la diversidad biológica y la salud. </w:t>
      </w:r>
    </w:p>
    <w:p w14:paraId="3F1824E3" w14:textId="710B9319" w:rsidR="001D5E16" w:rsidRPr="00EB2F01" w:rsidRDefault="001D5E16" w:rsidP="006B5605">
      <w:pPr>
        <w:pStyle w:val="CBD-Para1-Not-numbered"/>
      </w:pPr>
      <w:r>
        <w:t>2.</w:t>
      </w:r>
      <w:r>
        <w:tab/>
        <w:t xml:space="preserve">El Plan de Acción Mundial incluye un conjunto de medidas de carácter voluntario que se pueden implementar en distintos niveles y a diferentes escalas, desde el nivel internacional al nacional y local y desde lo multisectorial a lo sectorial, con colaboración intersectorial a nivel gubernamental, y que permiten la participación de la sociedad civil, los pueblos indígenas y las comunidades locales, las mujeres, la infancia, la juventud, las personas de edad y las personas con discapacidad, así como los sectores académico, privado y financiero, entre otros. En vista del carácter transversal de las interrelaciones entre la diversidad biológica y la salud, también se deberían considerar otros instrumentos y procesos multilaterales a la hora de implementar el Plan, de conformidad con obligaciones internacionales pertinentes. </w:t>
      </w:r>
    </w:p>
    <w:p w14:paraId="1C4BFBD3" w14:textId="6BE2987B" w:rsidR="001D5E16" w:rsidRPr="00EB2F01" w:rsidRDefault="001D5E16" w:rsidP="009A429E">
      <w:pPr>
        <w:pStyle w:val="CBD-Para1-Not-numbered"/>
      </w:pPr>
      <w:r>
        <w:t>3.</w:t>
      </w:r>
      <w:r>
        <w:tab/>
        <w:t>El Plan de Acción Mundial se basa en trabajos anteriores realizados en el marco del Convenio sobre la Diversidad Biológica</w:t>
      </w:r>
      <w:r w:rsidRPr="00603392">
        <w:rPr>
          <w:vertAlign w:val="superscript"/>
        </w:rPr>
        <w:footnoteReference w:id="12"/>
      </w:r>
      <w:r>
        <w:t>, incluid</w:t>
      </w:r>
      <w:r w:rsidR="000D6FC6">
        <w:t>a</w:t>
      </w:r>
      <w:r>
        <w:t xml:space="preserve"> la labor emprendida en colaboración con la Organización Mundial de la Salud </w:t>
      </w:r>
      <w:r w:rsidR="000D6FC6">
        <w:t>con respecto a</w:t>
      </w:r>
      <w:r>
        <w:t xml:space="preserve"> las interrelaciones entre la diversidad biológica y la salud a través de un programa de trabajo conjunto entre 2012 y 2021. Su objetivo es complementar y apoyar la puesta en práctica de decisiones anteriores de la Conferencia de las Partes en materia de diversidad biológica y salud (decisiones </w:t>
      </w:r>
      <w:hyperlink r:id="rId25" w:history="1">
        <w:r w:rsidRPr="00F37EF3">
          <w:rPr>
            <w:color w:val="0000FF"/>
            <w:u w:val="single"/>
          </w:rPr>
          <w:t>XII/21</w:t>
        </w:r>
      </w:hyperlink>
      <w:r>
        <w:t xml:space="preserve">, </w:t>
      </w:r>
      <w:hyperlink r:id="rId26" w:history="1">
        <w:r w:rsidRPr="00F37EF3">
          <w:rPr>
            <w:color w:val="0000FF"/>
            <w:u w:val="single"/>
          </w:rPr>
          <w:t>XIII/6</w:t>
        </w:r>
      </w:hyperlink>
      <w:r>
        <w:t xml:space="preserve">, </w:t>
      </w:r>
      <w:hyperlink r:id="rId27" w:history="1">
        <w:r w:rsidRPr="00F37EF3">
          <w:rPr>
            <w:color w:val="0000FF"/>
            <w:u w:val="single"/>
          </w:rPr>
          <w:t>14/4</w:t>
        </w:r>
      </w:hyperlink>
      <w:r>
        <w:t xml:space="preserve"> y </w:t>
      </w:r>
      <w:hyperlink r:id="rId28" w:history="1">
        <w:r w:rsidRPr="00F37EF3">
          <w:rPr>
            <w:rStyle w:val="Hyperlink"/>
            <w:color w:val="0000FF"/>
          </w:rPr>
          <w:t>15/29</w:t>
        </w:r>
      </w:hyperlink>
      <w:r>
        <w:t>) y facilitar la obtención de beneficios secundarios de diversidad biológica y salud de la aplicación del Convenio y la implementación del Marco Mundial de Biodiversidad de Kunming-Montreal</w:t>
      </w:r>
      <w:r w:rsidRPr="00EB2F01">
        <w:rPr>
          <w:rStyle w:val="FootnoteReference"/>
        </w:rPr>
        <w:footnoteReference w:id="13"/>
      </w:r>
      <w:r>
        <w:t xml:space="preserve">. </w:t>
      </w:r>
    </w:p>
    <w:p w14:paraId="2A089297" w14:textId="0070F1CB" w:rsidR="001D5E16" w:rsidRPr="006E2BFE" w:rsidRDefault="006F4A77" w:rsidP="00400DE7">
      <w:pPr>
        <w:pStyle w:val="CBD-Para1-Not-numbered"/>
        <w:rPr>
          <w:spacing w:val="-2"/>
        </w:rPr>
      </w:pPr>
      <w:r w:rsidRPr="006E2BFE">
        <w:rPr>
          <w:spacing w:val="-2"/>
        </w:rPr>
        <w:t>4.</w:t>
      </w:r>
      <w:r w:rsidRPr="006E2BFE">
        <w:rPr>
          <w:spacing w:val="-2"/>
        </w:rPr>
        <w:tab/>
        <w:t>El Plan de Acción Mundial debe</w:t>
      </w:r>
      <w:r w:rsidR="000D6FC6" w:rsidRPr="006E2BFE">
        <w:rPr>
          <w:spacing w:val="-2"/>
        </w:rPr>
        <w:t>ría</w:t>
      </w:r>
      <w:r w:rsidRPr="006E2BFE">
        <w:rPr>
          <w:spacing w:val="-2"/>
        </w:rPr>
        <w:t xml:space="preserve"> implementarse reconociendo la importancia de los tres objetivos del Convenio, a saber, la conservación de la diversidad biológica, la utilización sostenible de sus componentes y la participación justa y equitativa en los beneficios que se deriven de la utilización de los recursos genéticos, de forma equilibrada, para impulsar la labor en materia de interrelaciones entre la diversidad biológica y la salud. También sirve como un reconocimiento de que facilitar medios de implementación adecuados a los países en desarrollo, incluidos recursos financieros suficientes y previsibles, creación de capacidad, cooperación científica y técnica y transferencia de tecnología, es fundamental para </w:t>
      </w:r>
      <w:r w:rsidR="000D6FC6" w:rsidRPr="006E2BFE">
        <w:rPr>
          <w:spacing w:val="-2"/>
        </w:rPr>
        <w:t>hacer posible</w:t>
      </w:r>
      <w:r w:rsidRPr="006E2BFE">
        <w:rPr>
          <w:spacing w:val="-2"/>
        </w:rPr>
        <w:t xml:space="preserve"> la implementación del Plan y garantizar la equidad. El Plan subraya la necesidad </w:t>
      </w:r>
      <w:r w:rsidR="000D6FC6" w:rsidRPr="006E2BFE">
        <w:rPr>
          <w:spacing w:val="-2"/>
        </w:rPr>
        <w:t xml:space="preserve">imperiosa </w:t>
      </w:r>
      <w:r w:rsidRPr="006E2BFE">
        <w:rPr>
          <w:spacing w:val="-2"/>
        </w:rPr>
        <w:t xml:space="preserve">de </w:t>
      </w:r>
      <w:r w:rsidR="000D6FC6" w:rsidRPr="006E2BFE">
        <w:rPr>
          <w:spacing w:val="-2"/>
        </w:rPr>
        <w:t>resolver</w:t>
      </w:r>
      <w:r w:rsidRPr="006E2BFE">
        <w:rPr>
          <w:spacing w:val="-2"/>
        </w:rPr>
        <w:t xml:space="preserve"> las desigualdades en la salud mundial y </w:t>
      </w:r>
      <w:r w:rsidR="00C13609" w:rsidRPr="006E2BFE">
        <w:rPr>
          <w:spacing w:val="-2"/>
        </w:rPr>
        <w:t xml:space="preserve">la necesidad </w:t>
      </w:r>
      <w:r w:rsidRPr="006E2BFE">
        <w:rPr>
          <w:spacing w:val="-2"/>
        </w:rPr>
        <w:t xml:space="preserve">de reforzar los sistemas de salud de los países en desarrollo y los países con economías en transición, entre otras cosas mediante la cooperación Norte-Sur, Sur-Sur y triangular. </w:t>
      </w:r>
    </w:p>
    <w:p w14:paraId="25EC6287" w14:textId="3AD583E3" w:rsidR="001D5E16" w:rsidRPr="00EB2F01" w:rsidRDefault="006F4A77" w:rsidP="009A429E">
      <w:pPr>
        <w:pStyle w:val="CBD-Para1-Not-numbered"/>
      </w:pPr>
      <w:r>
        <w:t>5.</w:t>
      </w:r>
      <w:r>
        <w:tab/>
        <w:t>Nada de lo dispuesto en el presente Plan de Acción Mundial deberá interpretarse como una modificación de los derechos y obligaciones de una Parte en virtud del Convenio o de cualquier otro acuerdo internacional.</w:t>
      </w:r>
    </w:p>
    <w:p w14:paraId="788CAD4E" w14:textId="4195BF04" w:rsidR="001D5E16" w:rsidRPr="00EB2F01" w:rsidRDefault="006F4A77" w:rsidP="009A429E">
      <w:pPr>
        <w:pStyle w:val="CBD-Para1-Not-numbered"/>
        <w:keepNext/>
        <w:ind w:left="562"/>
      </w:pPr>
      <w:r>
        <w:t>6.</w:t>
      </w:r>
      <w:r>
        <w:tab/>
        <w:t>El Plan de Acción Mundial también se basa en lo siguiente:</w:t>
      </w:r>
    </w:p>
    <w:p w14:paraId="47E1887D" w14:textId="6C1A17FE" w:rsidR="001D5E16" w:rsidRPr="00EB2F01" w:rsidRDefault="001D5E16" w:rsidP="009A429E">
      <w:pPr>
        <w:tabs>
          <w:tab w:val="left" w:pos="1701"/>
        </w:tabs>
        <w:spacing w:after="120"/>
        <w:ind w:left="567" w:firstLine="567"/>
        <w:rPr>
          <w:rFonts w:eastAsiaTheme="minorEastAsia"/>
          <w:kern w:val="2"/>
          <w14:ligatures w14:val="standardContextual"/>
        </w:rPr>
      </w:pPr>
      <w:r>
        <w:t>a)</w:t>
      </w:r>
      <w:r>
        <w:tab/>
        <w:t xml:space="preserve">Las conclusiones de la Plataforma Intergubernamental Científico-Normativa sobre Diversidad Biológica y Servicios de los Ecosistemas, a saber, que: i) la naturaleza ofrece los cimientos para la salud humana en todas sus dimensiones y contribuye a los aspectos inmateriales de la calidad de vida (inspiración y aprendizaje, experiencias físicas y psicológicas </w:t>
      </w:r>
      <w:r w:rsidR="00C13609">
        <w:t>e</w:t>
      </w:r>
      <w:r>
        <w:t xml:space="preserve"> identidad</w:t>
      </w:r>
      <w:r w:rsidR="00C13609">
        <w:t>es de apoyo</w:t>
      </w:r>
      <w:r>
        <w:t>) que son fundamentales para la calidad de vida y la integridad cultural; ii) las contribuciones de la naturaleza a las personas</w:t>
      </w:r>
      <w:r w:rsidRPr="00EB2F01">
        <w:rPr>
          <w:rFonts w:eastAsiaTheme="minorEastAsia"/>
          <w:kern w:val="2"/>
          <w:vertAlign w:val="superscript"/>
          <w:lang w:eastAsia="zh-CN"/>
        </w:rPr>
        <w:footnoteReference w:id="14"/>
      </w:r>
      <w:r>
        <w:t xml:space="preserve"> desempeñan un papel esencial en la salud humana al regular l</w:t>
      </w:r>
      <w:r w:rsidR="00C13609">
        <w:t>a</w:t>
      </w:r>
      <w:r>
        <w:t xml:space="preserve">s </w:t>
      </w:r>
      <w:r w:rsidR="00C13609">
        <w:lastRenderedPageBreak/>
        <w:t>contribuciones</w:t>
      </w:r>
      <w:r>
        <w:t xml:space="preserve"> materiales e inmateriales; iii) en todo el mundo, los grupos sociales tienen un acceso desigual a las contribuciones de la naturaleza a las personas; iv) la disminución de las contribuciones de la naturaleza a las personas pone en peligro la calidad de vida; v) el deterioro de la naturaleza y la consiguiente perturbación de los beneficios para las personas tienen consecuencias directas e indirectas para la salud pública y pueden exacerbar las desigualdades existentes en materia de acceso a la atención sanitaria o a dietas saludables, y vi) es posible salvaguardar el medio ambiente mundial mediante una mayor cooperación internacional y medidas vinculadas y pertinentes a escala local;</w:t>
      </w:r>
    </w:p>
    <w:p w14:paraId="323E06B1" w14:textId="0B3366AD" w:rsidR="001D5E16" w:rsidRPr="00EB2F01" w:rsidRDefault="001D5E16" w:rsidP="00E74CAB">
      <w:pPr>
        <w:tabs>
          <w:tab w:val="left" w:pos="1701"/>
        </w:tabs>
        <w:spacing w:after="120"/>
        <w:ind w:left="567" w:firstLine="567"/>
        <w:rPr>
          <w:rFonts w:eastAsiaTheme="minorEastAsia"/>
          <w:color w:val="FFFFFF" w:themeColor="background1"/>
        </w:rPr>
      </w:pPr>
      <w:r>
        <w:t>b)</w:t>
      </w:r>
      <w:r>
        <w:tab/>
        <w:t>Las conclusiones del Grupo Intergubernamental de Expertos sobre el Cambio Climático, entre ellas, que el cambio climático supone una amenaza para el bienestar humano</w:t>
      </w:r>
      <w:r w:rsidR="00A6545B" w:rsidRPr="00603392">
        <w:rPr>
          <w:rStyle w:val="FootnoteReference"/>
          <w:rFonts w:eastAsiaTheme="minorEastAsia"/>
          <w:kern w:val="2"/>
          <w:lang w:eastAsia="zh-CN"/>
        </w:rPr>
        <w:footnoteReference w:id="15"/>
      </w:r>
      <w:r>
        <w:t>;</w:t>
      </w:r>
    </w:p>
    <w:p w14:paraId="109381A1" w14:textId="42B06FEF" w:rsidR="001D5E16" w:rsidRPr="00EB2F01" w:rsidRDefault="001D5E16" w:rsidP="009A429E">
      <w:pPr>
        <w:tabs>
          <w:tab w:val="left" w:pos="1701"/>
        </w:tabs>
        <w:spacing w:after="120"/>
        <w:ind w:left="567" w:firstLine="567"/>
        <w:rPr>
          <w:rFonts w:eastAsiaTheme="minorEastAsia"/>
          <w:kern w:val="2"/>
          <w14:ligatures w14:val="standardContextual"/>
        </w:rPr>
      </w:pPr>
      <w:r>
        <w:t>c)</w:t>
      </w:r>
      <w:r>
        <w:tab/>
        <w:t xml:space="preserve">El estudio sobre los determinantes de la salud indígena </w:t>
      </w:r>
      <w:r w:rsidR="00C13609">
        <w:t>d</w:t>
      </w:r>
      <w:r>
        <w:t>e la Agenda 2030 para el Desarrollo Sostenible</w:t>
      </w:r>
      <w:r w:rsidRPr="00EB2F01">
        <w:rPr>
          <w:rStyle w:val="FootnoteReference"/>
          <w:rFonts w:asciiTheme="majorBidi" w:eastAsiaTheme="majorEastAsia" w:hAnsiTheme="majorBidi" w:cstheme="majorBidi"/>
        </w:rPr>
        <w:footnoteReference w:id="16"/>
      </w:r>
      <w:r>
        <w:t>, que fue acogido con satisfacción por el Foro Permanente para las Cuestiones Indígenas;</w:t>
      </w:r>
    </w:p>
    <w:p w14:paraId="05E0C25A" w14:textId="6C96CCE5" w:rsidR="001D5E16" w:rsidRPr="00EB2F01" w:rsidDel="00024301" w:rsidRDefault="001D5E16" w:rsidP="009A429E">
      <w:pPr>
        <w:tabs>
          <w:tab w:val="left" w:pos="1701"/>
        </w:tabs>
        <w:spacing w:after="120"/>
        <w:ind w:left="567" w:firstLine="567"/>
        <w:rPr>
          <w:rFonts w:asciiTheme="majorBidi" w:eastAsiaTheme="minorEastAsia" w:hAnsiTheme="majorBidi" w:cstheme="majorBidi"/>
          <w:kern w:val="2"/>
          <w14:ligatures w14:val="standardContextual"/>
        </w:rPr>
      </w:pPr>
      <w:r>
        <w:rPr>
          <w:rFonts w:asciiTheme="majorBidi" w:hAnsiTheme="majorBidi"/>
        </w:rPr>
        <w:t>d)</w:t>
      </w:r>
      <w:r>
        <w:rPr>
          <w:rFonts w:asciiTheme="majorBidi" w:hAnsiTheme="majorBidi"/>
        </w:rPr>
        <w:tab/>
        <w:t xml:space="preserve">Las lecciones aprendidas de la pandemia de la enfermedad por coronavirus (COVID-19) y otras zoonosis emergentes, que han puesto aún más de relieve la importancia de la relación entre la salud y el bienestar y la diversidad biológica, la necesidad </w:t>
      </w:r>
      <w:r w:rsidR="00C13609">
        <w:rPr>
          <w:rFonts w:asciiTheme="majorBidi" w:hAnsiTheme="majorBidi"/>
        </w:rPr>
        <w:t>imperiosa</w:t>
      </w:r>
      <w:r>
        <w:rPr>
          <w:rFonts w:asciiTheme="majorBidi" w:hAnsiTheme="majorBidi"/>
        </w:rPr>
        <w:t xml:space="preserve"> de conser</w:t>
      </w:r>
      <w:r w:rsidR="00C13609">
        <w:rPr>
          <w:rFonts w:asciiTheme="majorBidi" w:hAnsiTheme="majorBidi"/>
        </w:rPr>
        <w:t xml:space="preserve">var, restaurar y utilizar de </w:t>
      </w:r>
      <w:r>
        <w:rPr>
          <w:rFonts w:asciiTheme="majorBidi" w:hAnsiTheme="majorBidi"/>
        </w:rPr>
        <w:t>ma</w:t>
      </w:r>
      <w:r w:rsidR="00C13609">
        <w:rPr>
          <w:rFonts w:asciiTheme="majorBidi" w:hAnsiTheme="majorBidi"/>
        </w:rPr>
        <w:t>nera</w:t>
      </w:r>
      <w:r>
        <w:rPr>
          <w:rFonts w:asciiTheme="majorBidi" w:hAnsiTheme="majorBidi"/>
        </w:rPr>
        <w:t xml:space="preserve"> sostenible la diversidad biológica, la necesidad de </w:t>
      </w:r>
      <w:r w:rsidR="00C13609">
        <w:rPr>
          <w:rFonts w:asciiTheme="majorBidi" w:hAnsiTheme="majorBidi"/>
        </w:rPr>
        <w:t>resolver</w:t>
      </w:r>
      <w:r>
        <w:rPr>
          <w:rFonts w:asciiTheme="majorBidi" w:hAnsiTheme="majorBidi"/>
        </w:rPr>
        <w:t xml:space="preserve"> las desigualdades en la salud mundial, inclu</w:t>
      </w:r>
      <w:r w:rsidR="00C13609">
        <w:rPr>
          <w:rFonts w:asciiTheme="majorBidi" w:hAnsiTheme="majorBidi"/>
        </w:rPr>
        <w:t>id</w:t>
      </w:r>
      <w:r>
        <w:rPr>
          <w:rFonts w:asciiTheme="majorBidi" w:hAnsiTheme="majorBidi"/>
        </w:rPr>
        <w:t>o en lo que respecta al acceso equitativo a medicamentos, vacunas, medios de diagnóstico y equipos médicos, y la necesidad de profundizar la colaboración y la cooperación mundiales para lograr una recuperación sostenible e inclusiva, contribuyendo así a reducir al mínimo el riesgo de futuras enfermedades de origen zoonótico.</w:t>
      </w:r>
    </w:p>
    <w:p w14:paraId="1A8CA767" w14:textId="0B46C686" w:rsidR="001D5E16" w:rsidRPr="00EB2F01" w:rsidRDefault="006F4A77" w:rsidP="009A429E">
      <w:pPr>
        <w:pStyle w:val="CBD-Para1-Not-numbered"/>
        <w:keepNext/>
        <w:ind w:left="562"/>
        <w:rPr>
          <w:rFonts w:eastAsiaTheme="minorEastAsia"/>
        </w:rPr>
      </w:pPr>
      <w:r>
        <w:t>7.</w:t>
      </w:r>
      <w:r>
        <w:tab/>
        <w:t>Se reconoce lo siguiente:</w:t>
      </w:r>
    </w:p>
    <w:p w14:paraId="20FED072" w14:textId="1CA35E9E" w:rsidR="001D5E16" w:rsidRPr="00EB2F01" w:rsidRDefault="001D5E16" w:rsidP="003A2BF1">
      <w:pPr>
        <w:tabs>
          <w:tab w:val="left" w:pos="1701"/>
        </w:tabs>
        <w:spacing w:after="120"/>
        <w:ind w:left="567" w:firstLine="567"/>
        <w:rPr>
          <w:rFonts w:asciiTheme="majorBidi" w:eastAsiaTheme="minorEastAsia" w:hAnsiTheme="majorBidi" w:cstheme="majorBidi"/>
          <w:kern w:val="2"/>
          <w14:ligatures w14:val="standardContextual"/>
        </w:rPr>
      </w:pPr>
      <w:r>
        <w:rPr>
          <w:rFonts w:asciiTheme="majorBidi" w:hAnsiTheme="majorBidi"/>
        </w:rPr>
        <w:t>a)</w:t>
      </w:r>
      <w:r>
        <w:rPr>
          <w:rFonts w:asciiTheme="majorBidi" w:hAnsiTheme="majorBidi"/>
        </w:rPr>
        <w:tab/>
        <w:t xml:space="preserve">La pérdida de diversidad biológica, la degradación de los ecosistemas y las consecuencias negativas para la salud comparten muchos </w:t>
      </w:r>
      <w:r w:rsidR="00C86FF4">
        <w:rPr>
          <w:rFonts w:asciiTheme="majorBidi" w:hAnsiTheme="majorBidi"/>
        </w:rPr>
        <w:t>impuls</w:t>
      </w:r>
      <w:r>
        <w:rPr>
          <w:rFonts w:asciiTheme="majorBidi" w:hAnsiTheme="majorBidi"/>
        </w:rPr>
        <w:t xml:space="preserve">ores comunes, entre ellos los impulsores directos del cambio ambiental, que surgen de una serie de causas subyacentes y </w:t>
      </w:r>
      <w:r w:rsidR="00C86FF4">
        <w:rPr>
          <w:rFonts w:asciiTheme="majorBidi" w:hAnsiTheme="majorBidi"/>
        </w:rPr>
        <w:t>están sustentados</w:t>
      </w:r>
      <w:r>
        <w:rPr>
          <w:rFonts w:asciiTheme="majorBidi" w:hAnsiTheme="majorBidi"/>
        </w:rPr>
        <w:t xml:space="preserve"> en valores y comportamientos sociales;</w:t>
      </w:r>
    </w:p>
    <w:p w14:paraId="6A8F5777" w14:textId="7B14A6EE" w:rsidR="001D5E16" w:rsidRPr="00EB2F01" w:rsidRDefault="001D5E16" w:rsidP="009A429E">
      <w:pPr>
        <w:tabs>
          <w:tab w:val="left" w:pos="1701"/>
        </w:tabs>
        <w:spacing w:after="120"/>
        <w:ind w:left="567" w:firstLine="567"/>
        <w:rPr>
          <w:rFonts w:asciiTheme="majorBidi" w:eastAsiaTheme="minorEastAsia" w:hAnsiTheme="majorBidi" w:cstheme="majorBidi"/>
          <w:kern w:val="2"/>
          <w14:ligatures w14:val="standardContextual"/>
        </w:rPr>
      </w:pPr>
      <w:r>
        <w:t>b)</w:t>
      </w:r>
      <w:r>
        <w:tab/>
        <w:t>La diversidad biológica es un determinante ambiental clave</w:t>
      </w:r>
      <w:r w:rsidRPr="00EB2F01">
        <w:rPr>
          <w:rFonts w:asciiTheme="majorBidi" w:eastAsiaTheme="minorEastAsia" w:hAnsiTheme="majorBidi" w:cstheme="majorBidi"/>
          <w:kern w:val="2"/>
          <w:vertAlign w:val="superscript"/>
          <w:lang w:eastAsia="zh-CN"/>
        </w:rPr>
        <w:footnoteReference w:id="17"/>
      </w:r>
      <w:r>
        <w:t xml:space="preserve"> de la salud humana y animal, y la conservación, restauración y utilización sostenible de la diversidad biológica suponen beneficios para la salud al mantener los servicios de los ecosistemas, lo que contribuye a la satisfacción de las necesidades psicológicas de relacionamiento con la naturaleza y la realización de la visión de vivir en armonía con la naturaleza para 2050;</w:t>
      </w:r>
    </w:p>
    <w:p w14:paraId="181B56F6" w14:textId="28587076" w:rsidR="001D5E16" w:rsidRPr="00EB2F01" w:rsidRDefault="001D5E16" w:rsidP="009A429E">
      <w:pPr>
        <w:tabs>
          <w:tab w:val="left" w:pos="1701"/>
        </w:tabs>
        <w:spacing w:after="120"/>
        <w:ind w:left="567" w:firstLine="567"/>
        <w:rPr>
          <w:rFonts w:asciiTheme="majorBidi" w:eastAsiaTheme="minorEastAsia" w:hAnsiTheme="majorBidi" w:cstheme="majorBidi"/>
          <w:kern w:val="2"/>
          <w14:ligatures w14:val="standardContextual"/>
        </w:rPr>
      </w:pPr>
      <w:r>
        <w:rPr>
          <w:rFonts w:asciiTheme="majorBidi" w:hAnsiTheme="majorBidi"/>
        </w:rPr>
        <w:t>c)</w:t>
      </w:r>
      <w:r>
        <w:rPr>
          <w:rFonts w:asciiTheme="majorBidi" w:hAnsiTheme="majorBidi"/>
        </w:rPr>
        <w:tab/>
      </w:r>
      <w:r w:rsidR="00C86FF4">
        <w:rPr>
          <w:rFonts w:asciiTheme="majorBidi" w:hAnsiTheme="majorBidi"/>
        </w:rPr>
        <w:t>Es bien conocida l</w:t>
      </w:r>
      <w:r>
        <w:rPr>
          <w:rFonts w:asciiTheme="majorBidi" w:hAnsiTheme="majorBidi"/>
        </w:rPr>
        <w:t xml:space="preserve">a relación </w:t>
      </w:r>
      <w:r w:rsidR="00C86FF4">
        <w:rPr>
          <w:rFonts w:asciiTheme="majorBidi" w:hAnsiTheme="majorBidi"/>
        </w:rPr>
        <w:t xml:space="preserve">que existe </w:t>
      </w:r>
      <w:r>
        <w:rPr>
          <w:rFonts w:asciiTheme="majorBidi" w:hAnsiTheme="majorBidi"/>
        </w:rPr>
        <w:t xml:space="preserve">entre la pérdida de diversidad biológica, la aparición y propagación de enfermedades transmisibles y no transmisibles y el aumento de las desigualdades sanitarias, como también lo es el papel que </w:t>
      </w:r>
      <w:r w:rsidR="00C86FF4">
        <w:rPr>
          <w:rFonts w:asciiTheme="majorBidi" w:hAnsiTheme="majorBidi"/>
        </w:rPr>
        <w:t>dese</w:t>
      </w:r>
      <w:r>
        <w:rPr>
          <w:rFonts w:asciiTheme="majorBidi" w:hAnsiTheme="majorBidi"/>
        </w:rPr>
        <w:t>m</w:t>
      </w:r>
      <w:r w:rsidR="00C86FF4">
        <w:rPr>
          <w:rFonts w:asciiTheme="majorBidi" w:hAnsiTheme="majorBidi"/>
        </w:rPr>
        <w:t>p</w:t>
      </w:r>
      <w:r>
        <w:rPr>
          <w:rFonts w:asciiTheme="majorBidi" w:hAnsiTheme="majorBidi"/>
        </w:rPr>
        <w:t>e</w:t>
      </w:r>
      <w:r w:rsidR="00C86FF4">
        <w:rPr>
          <w:rFonts w:asciiTheme="majorBidi" w:hAnsiTheme="majorBidi"/>
        </w:rPr>
        <w:t>ña</w:t>
      </w:r>
      <w:r>
        <w:rPr>
          <w:rFonts w:asciiTheme="majorBidi" w:hAnsiTheme="majorBidi"/>
        </w:rPr>
        <w:t>n la conservación, la restauración y la utilización sostenible de la diversidad biológica en la prevención, la reducción y la gestión proactiva de los riesgos de enfermedades transmisibles y no transmisibles;</w:t>
      </w:r>
    </w:p>
    <w:p w14:paraId="6BE3CFF7" w14:textId="036AA890" w:rsidR="001D5E16" w:rsidRPr="00603392" w:rsidRDefault="001D5E16" w:rsidP="006E4290">
      <w:pPr>
        <w:tabs>
          <w:tab w:val="left" w:pos="1701"/>
        </w:tabs>
        <w:spacing w:after="120"/>
        <w:ind w:left="567" w:firstLine="567"/>
        <w:rPr>
          <w:rFonts w:asciiTheme="majorBidi" w:eastAsiaTheme="minorEastAsia" w:hAnsiTheme="majorBidi" w:cstheme="majorBidi"/>
          <w:color w:val="000000" w:themeColor="text1"/>
        </w:rPr>
      </w:pPr>
      <w:r>
        <w:rPr>
          <w:rFonts w:asciiTheme="majorBidi" w:hAnsiTheme="majorBidi"/>
          <w:color w:val="000000" w:themeColor="text1"/>
        </w:rPr>
        <w:t>[d)</w:t>
      </w:r>
      <w:r>
        <w:rPr>
          <w:rFonts w:asciiTheme="majorBidi" w:hAnsiTheme="majorBidi"/>
          <w:color w:val="000000" w:themeColor="text1"/>
        </w:rPr>
        <w:tab/>
        <w:t xml:space="preserve">Varios factores de origen humano estarían muy probablemente impulsando la aparición de enfermedades zoonóticas, entre ellos la creciente demanda humana de proteínas animales, la intensificación no sostenible de la agricultura, el creciente uso y explotación de la fauna silvestre, la utilización no sostenible de los recursos naturales acelerada por la urbanización, el cambio en el uso </w:t>
      </w:r>
      <w:r>
        <w:rPr>
          <w:rFonts w:asciiTheme="majorBidi" w:hAnsiTheme="majorBidi"/>
          <w:color w:val="000000" w:themeColor="text1"/>
        </w:rPr>
        <w:lastRenderedPageBreak/>
        <w:t>de la tierra y las industrias extractivas, el aumento de los viajes y el transporte, los cambios en el suministro de alimentos y el cambio climático</w:t>
      </w:r>
      <w:r w:rsidRPr="00603392">
        <w:rPr>
          <w:rStyle w:val="FootnoteReference"/>
          <w:rFonts w:asciiTheme="majorBidi" w:hAnsiTheme="majorBidi" w:cstheme="majorBidi"/>
          <w:color w:val="000000" w:themeColor="text1"/>
          <w:lang w:eastAsia="zh-CN"/>
        </w:rPr>
        <w:footnoteReference w:id="18"/>
      </w:r>
      <w:r>
        <w:rPr>
          <w:rFonts w:asciiTheme="majorBidi" w:hAnsiTheme="majorBidi"/>
          <w:color w:val="000000" w:themeColor="text1"/>
        </w:rPr>
        <w:t>;]</w:t>
      </w:r>
    </w:p>
    <w:p w14:paraId="1DAE2434" w14:textId="58FAC90F" w:rsidR="001D5E16" w:rsidRPr="00EB2F01" w:rsidRDefault="001D5E16" w:rsidP="009A429E">
      <w:pPr>
        <w:tabs>
          <w:tab w:val="left" w:pos="1701"/>
        </w:tabs>
        <w:spacing w:after="120"/>
        <w:ind w:left="567" w:firstLine="567"/>
        <w:rPr>
          <w:rFonts w:eastAsiaTheme="minorEastAsia"/>
          <w:kern w:val="2"/>
          <w14:ligatures w14:val="standardContextual"/>
        </w:rPr>
      </w:pPr>
      <w:r>
        <w:t>e)</w:t>
      </w:r>
      <w:r>
        <w:tab/>
        <w:t>El desarrollo sostenible en sus tres dimensiones (social, económica y ambiental) y la protección del medio ambiente, incluidos los ecosistemas, apoyan y promueven el bienestar humano y el pleno disfrute de todos los derechos humanos, incluidos el derecho a la salud y el derecho a un medio ambiente limpio, saludable y sostenible</w:t>
      </w:r>
      <w:r w:rsidR="00A1118E" w:rsidRPr="00EB2F01">
        <w:rPr>
          <w:rStyle w:val="FootnoteReference"/>
          <w:rFonts w:eastAsiaTheme="minorEastAsia"/>
          <w:kern w:val="2"/>
          <w:lang w:eastAsia="zh-CN"/>
        </w:rPr>
        <w:footnoteReference w:id="19"/>
      </w:r>
      <w:r>
        <w:t>, para las generaciones presentes y futuras;</w:t>
      </w:r>
    </w:p>
    <w:p w14:paraId="3CAFA0E7" w14:textId="1BCAD522" w:rsidR="001D5E16" w:rsidRPr="00EB2F01" w:rsidRDefault="001D5E16" w:rsidP="006C0511">
      <w:pPr>
        <w:tabs>
          <w:tab w:val="left" w:pos="1701"/>
        </w:tabs>
        <w:spacing w:after="120"/>
        <w:ind w:left="567" w:firstLine="567"/>
        <w:rPr>
          <w:kern w:val="2"/>
          <w14:ligatures w14:val="standardContextual"/>
        </w:rPr>
      </w:pPr>
      <w:r>
        <w:t>f)</w:t>
      </w:r>
      <w:r>
        <w:tab/>
        <w:t>Garantizar la participación justa y equitativa en los beneficios que se deriven de la utilización de los recursos genéticos y de la información digital sobre secuencias de recursos genéticos y los conocimientos tradicionales asociados a los recursos genéticos, incluido para las Partes que proporcionan recursos genéticos para la investigación y el desarrollo relacionados con la salud, es fundamental para el logro de sistemas de salud más equitativos;</w:t>
      </w:r>
    </w:p>
    <w:p w14:paraId="38BC98BB" w14:textId="5C8703D8" w:rsidR="001D5E16" w:rsidRPr="00EB2F01" w:rsidRDefault="001D5E16" w:rsidP="009A429E">
      <w:pPr>
        <w:tabs>
          <w:tab w:val="left" w:pos="1701"/>
        </w:tabs>
        <w:spacing w:after="120"/>
        <w:ind w:left="567" w:firstLine="567"/>
        <w:rPr>
          <w:rFonts w:eastAsiaTheme="minorEastAsia"/>
          <w:kern w:val="2"/>
          <w14:ligatures w14:val="standardContextual"/>
        </w:rPr>
      </w:pPr>
      <w:r>
        <w:t>g)</w:t>
      </w:r>
      <w:r>
        <w:tab/>
        <w:t xml:space="preserve">En el contexto de garantizar una vida </w:t>
      </w:r>
      <w:r w:rsidR="00C86FF4">
        <w:t>saludable</w:t>
      </w:r>
      <w:r>
        <w:t xml:space="preserve"> y promover el bienestar para todos en todas las edades (Objetivo de Desarrollo Sostenible 3), la infancia, la juventud, las personas de edad y las personas con enfermedades preexistentes son más vulnerables física, mental y emocionalmente a la degradación del medio ambiente y al cambio ambiental;</w:t>
      </w:r>
    </w:p>
    <w:p w14:paraId="363C1D78" w14:textId="234DF3B2" w:rsidR="001D5E16" w:rsidRPr="00603392" w:rsidRDefault="001D5E16" w:rsidP="001E45AE">
      <w:pPr>
        <w:tabs>
          <w:tab w:val="left" w:pos="1701"/>
        </w:tabs>
        <w:spacing w:after="120"/>
        <w:ind w:left="567" w:firstLine="567"/>
        <w:rPr>
          <w:rFonts w:asciiTheme="majorBidi" w:eastAsiaTheme="minorEastAsia" w:hAnsiTheme="majorBidi" w:cstheme="majorBidi"/>
          <w:color w:val="000000" w:themeColor="text1"/>
        </w:rPr>
      </w:pPr>
      <w:r>
        <w:rPr>
          <w:rFonts w:asciiTheme="majorBidi" w:hAnsiTheme="majorBidi"/>
          <w:color w:val="000000" w:themeColor="text1"/>
        </w:rPr>
        <w:t>h)</w:t>
      </w:r>
      <w:r>
        <w:rPr>
          <w:rFonts w:asciiTheme="majorBidi" w:hAnsiTheme="majorBidi"/>
          <w:color w:val="000000" w:themeColor="text1"/>
        </w:rPr>
        <w:tab/>
        <w:t xml:space="preserve">La pérdida de diversidad biológica y los impulsores directos de esa pérdida suponen una amenaza para la salud animal, humana y vegetal; </w:t>
      </w:r>
    </w:p>
    <w:p w14:paraId="3B434EC6" w14:textId="34FB9D2E" w:rsidR="001D5E16" w:rsidRPr="00EB2F01" w:rsidRDefault="001D5E16" w:rsidP="009A429E">
      <w:pPr>
        <w:tabs>
          <w:tab w:val="left" w:pos="1701"/>
        </w:tabs>
        <w:spacing w:after="120"/>
        <w:ind w:left="567" w:firstLine="567"/>
        <w:rPr>
          <w:rFonts w:eastAsiaTheme="minorEastAsia"/>
          <w:kern w:val="2"/>
          <w14:ligatures w14:val="standardContextual"/>
        </w:rPr>
      </w:pPr>
      <w:r>
        <w:t>i)</w:t>
      </w:r>
      <w:r>
        <w:tab/>
        <w:t>La degradación del medio ambiente y la pérdida de diversidad biológica contribuyen a las desigualdades en materia de salud, especialmente para las personas en situaciones vulnerables, incluidas las mujeres, la infancia, la juventud, las personas de edad y las personas con discapacidad, y tienen efectos adversos graves en la salud de los pueblos indígenas y las comunidades locales y en su singular relación de interdependencia con los ecosistemas locales, incluid</w:t>
      </w:r>
      <w:r w:rsidR="00E11AC8">
        <w:t>os</w:t>
      </w:r>
      <w:r>
        <w:t xml:space="preserve"> su salud física y mental, sus medios de vida, sus costumbres alimentarias y sus sistemas de medicina tradicional;</w:t>
      </w:r>
    </w:p>
    <w:p w14:paraId="2031D507" w14:textId="1623A4F1" w:rsidR="001D5E16" w:rsidRPr="00EB2F01" w:rsidRDefault="001D5E16" w:rsidP="009A429E">
      <w:pPr>
        <w:tabs>
          <w:tab w:val="left" w:pos="1701"/>
        </w:tabs>
        <w:spacing w:after="120"/>
        <w:ind w:left="567" w:firstLine="567"/>
        <w:rPr>
          <w:rFonts w:eastAsiaTheme="minorEastAsia"/>
          <w:b/>
          <w:bCs/>
          <w:kern w:val="2"/>
          <w:sz w:val="24"/>
          <w14:ligatures w14:val="standardContextual"/>
        </w:rPr>
      </w:pPr>
      <w:r>
        <w:t>j)</w:t>
      </w:r>
      <w:r>
        <w:tab/>
        <w:t xml:space="preserve">Se requiere una coordinación más eficaz e integrada de las políticas de diversidad biológica y salud, </w:t>
      </w:r>
      <w:r w:rsidR="00E11AC8">
        <w:t>entre otras cosas</w:t>
      </w:r>
      <w:r>
        <w:t xml:space="preserve"> mediante una mayor comunicación, diálogo y colaboración entre los ministerios gubernamentales y todos los gobiernos y sectores. Esto incluye la necesidad de reforzar la dimensión ambiental </w:t>
      </w:r>
      <w:r w:rsidR="00E11AC8">
        <w:t>del enfoque de “Una sola salud”</w:t>
      </w:r>
      <w:r>
        <w:t xml:space="preserve"> y de otros enfoques holísticos, al tiempo que se reconoce la necesidad de </w:t>
      </w:r>
      <w:r w:rsidR="00E11AC8">
        <w:t>profundizar</w:t>
      </w:r>
      <w:r>
        <w:t xml:space="preserve"> la cooperación internacional con miras a abordar los retos específicos que enfrentan los países en desarrollo en la aplicación del enfoque de “Una sola salud” u otros enfoques holísticos, incluido mediante el fortalecimiento de la capacidad de vigilancia de la salud y la promoción de respuestas equitativas, en consonancia con las circunstancias y prioridades nacionales.</w:t>
      </w:r>
    </w:p>
    <w:p w14:paraId="32C631E1" w14:textId="77777777" w:rsidR="001D5E16" w:rsidRPr="00EB2F01" w:rsidRDefault="001D5E16" w:rsidP="00C66A07">
      <w:pPr>
        <w:keepNext/>
        <w:spacing w:before="120" w:after="120"/>
        <w:ind w:left="561" w:hanging="561"/>
        <w:jc w:val="left"/>
        <w:outlineLvl w:val="0"/>
        <w:rPr>
          <w:rFonts w:eastAsiaTheme="minorEastAsia"/>
          <w:b/>
          <w:bCs/>
          <w:kern w:val="2"/>
          <w:sz w:val="24"/>
          <w14:ligatures w14:val="standardContextual"/>
        </w:rPr>
      </w:pPr>
      <w:r>
        <w:rPr>
          <w:b/>
          <w:sz w:val="28"/>
        </w:rPr>
        <w:t>II.</w:t>
      </w:r>
      <w:r>
        <w:rPr>
          <w:b/>
          <w:sz w:val="28"/>
        </w:rPr>
        <w:tab/>
        <w:t>Consideraciones y herramientas para apoyar la implementación del Plan de Acción Mundial sobre Diversidad Biológica y Salud</w:t>
      </w:r>
    </w:p>
    <w:p w14:paraId="78745163" w14:textId="1DA6B45C" w:rsidR="001D5E16" w:rsidRPr="00EB2F01" w:rsidDel="00D263DD" w:rsidRDefault="006F4A77" w:rsidP="009A429E">
      <w:pPr>
        <w:pStyle w:val="CBD-Para1-Not-numbered"/>
      </w:pPr>
      <w:r>
        <w:t>8.</w:t>
      </w:r>
      <w:r>
        <w:tab/>
        <w:t>Teniendo en cuenta el carácter transversal de las interrelaciones entre la diversidad biológica y la salud, la implementación del Plan de Acción Mundial debe</w:t>
      </w:r>
      <w:r w:rsidR="003129ED">
        <w:t>ría</w:t>
      </w:r>
      <w:r>
        <w:t xml:space="preserve"> llevarse a cabo conforme las circunstancias nacionales y de manera coherente con las obligaciones y acuerdos internacionales. </w:t>
      </w:r>
    </w:p>
    <w:p w14:paraId="21633C33" w14:textId="419A5FC7" w:rsidR="001D5E16" w:rsidRPr="00EB2F01" w:rsidRDefault="006F4A77" w:rsidP="00752026">
      <w:pPr>
        <w:pStyle w:val="CBD-Para1-Not-numbered"/>
      </w:pPr>
      <w:r>
        <w:t>9.</w:t>
      </w:r>
      <w:r>
        <w:tab/>
        <w:t>El Plan de Acción Mundial refleja la visión de que la salud del medio ambiente y la salud de todas las especies están interconectadas y son interdependientes, y de que se requiere un enfoque de todo el gobierno y de toda la sociedad para integrar esa visión en políticas, estrategias, programas y cuentas nacionales. En el concepto de interrelaciones entre la diversidad biológica y la salud se debería</w:t>
      </w:r>
      <w:r w:rsidR="0099214E">
        <w:t>n</w:t>
      </w:r>
      <w:r>
        <w:t xml:space="preserve"> tener en cuenta los niveles sistémicos </w:t>
      </w:r>
      <w:r w:rsidR="003129ED">
        <w:t xml:space="preserve">tanto </w:t>
      </w:r>
      <w:r>
        <w:t xml:space="preserve">individuales </w:t>
      </w:r>
      <w:r w:rsidR="003129ED">
        <w:t>como</w:t>
      </w:r>
      <w:r>
        <w:t xml:space="preserve"> colectivos, en todas las especies y</w:t>
      </w:r>
      <w:r w:rsidR="003129ED">
        <w:t xml:space="preserve"> entre e</w:t>
      </w:r>
      <w:r w:rsidR="0099214E">
        <w:t>st</w:t>
      </w:r>
      <w:r w:rsidR="003129ED">
        <w:t>as y en</w:t>
      </w:r>
      <w:r>
        <w:t xml:space="preserve"> todos los ecosistemas y entre e</w:t>
      </w:r>
      <w:r w:rsidR="0099214E">
        <w:t>st</w:t>
      </w:r>
      <w:r>
        <w:t xml:space="preserve">os, así como las múltiples dimensiones de la salud y el bienestar. Los elementos del Plan deberían aplicarse de manera de permitir una mejor </w:t>
      </w:r>
      <w:r>
        <w:lastRenderedPageBreak/>
        <w:t>gestión del medio ambiente, los animales, las plantas y otros taxones y hacer realidad la visión de vivir en armonía con la naturaleza para 2050.</w:t>
      </w:r>
    </w:p>
    <w:p w14:paraId="77094678" w14:textId="367EDD28" w:rsidR="001D5E16" w:rsidRPr="00EB2F01" w:rsidRDefault="006F4A77" w:rsidP="009A429E">
      <w:pPr>
        <w:pStyle w:val="CBD-Para1-Not-numbered"/>
        <w:tabs>
          <w:tab w:val="left" w:pos="1701"/>
        </w:tabs>
      </w:pPr>
      <w:r>
        <w:t>10.</w:t>
      </w:r>
      <w:r>
        <w:tab/>
        <w:t xml:space="preserve">Se podría apoyar además la implementación del Plan de Acción Mundial con una recopilación de recursos, incluida una lista de herramientas y recursos que pueden </w:t>
      </w:r>
      <w:r w:rsidR="003129ED">
        <w:t xml:space="preserve">servir de </w:t>
      </w:r>
      <w:r>
        <w:t>ayuda</w:t>
      </w:r>
      <w:r w:rsidR="003129ED">
        <w:t xml:space="preserve"> pa</w:t>
      </w:r>
      <w:r>
        <w:t>ra su implementación</w:t>
      </w:r>
      <w:r w:rsidR="00907D51" w:rsidRPr="00EB2F01">
        <w:rPr>
          <w:rStyle w:val="FootnoteReference"/>
        </w:rPr>
        <w:footnoteReference w:id="20"/>
      </w:r>
      <w:r>
        <w:t xml:space="preserve">. </w:t>
      </w:r>
    </w:p>
    <w:p w14:paraId="39E1508C" w14:textId="23DB0631" w:rsidR="001D5E16" w:rsidRPr="00EB2F01" w:rsidRDefault="001D5E16" w:rsidP="009A429E">
      <w:pPr>
        <w:tabs>
          <w:tab w:val="left" w:pos="1134"/>
        </w:tabs>
        <w:spacing w:before="120" w:after="120"/>
        <w:ind w:left="567" w:hanging="567"/>
        <w:jc w:val="left"/>
        <w:rPr>
          <w:rFonts w:eastAsiaTheme="minorEastAsia"/>
          <w:b/>
          <w:bCs/>
          <w:kern w:val="2"/>
          <w:sz w:val="28"/>
          <w:szCs w:val="28"/>
          <w14:ligatures w14:val="standardContextual"/>
        </w:rPr>
      </w:pPr>
      <w:r>
        <w:rPr>
          <w:b/>
          <w:sz w:val="28"/>
        </w:rPr>
        <w:t>III.</w:t>
      </w:r>
      <w:r>
        <w:rPr>
          <w:b/>
          <w:sz w:val="28"/>
        </w:rPr>
        <w:tab/>
        <w:t>Medidas para integrar las interrelaciones entre la diversidad biológica y la salud en políticas, estrategias, programas y cuentas nacionales</w:t>
      </w:r>
    </w:p>
    <w:p w14:paraId="13DBD484" w14:textId="77F7EE0F" w:rsidR="001D5E16" w:rsidRPr="00EB2F01" w:rsidRDefault="006F4A77" w:rsidP="009A429E">
      <w:pPr>
        <w:pStyle w:val="CBD-Para1-Not-numbered"/>
        <w:rPr>
          <w:b/>
          <w:bCs/>
        </w:rPr>
      </w:pPr>
      <w:r>
        <w:t>11.</w:t>
      </w:r>
      <w:r>
        <w:tab/>
        <w:t xml:space="preserve">Los Gobiernos podrán adoptar </w:t>
      </w:r>
      <w:r w:rsidR="00834283">
        <w:t>l</w:t>
      </w:r>
      <w:r>
        <w:t>as siguientes medidas de carácter voluntario, en el nivel que proceda, de acuerdo con las circunstancias nacionales y las obligaciones internacionales pertinentes, y otros agentes podrán también adoptarlas</w:t>
      </w:r>
      <w:r w:rsidR="0099214E">
        <w:t>, cuando sea pertinente,</w:t>
      </w:r>
      <w:r>
        <w:t xml:space="preserve"> </w:t>
      </w:r>
      <w:r w:rsidR="00834283">
        <w:t>p</w:t>
      </w:r>
      <w:r>
        <w:t>a</w:t>
      </w:r>
      <w:r w:rsidR="00834283">
        <w:t>ra</w:t>
      </w:r>
      <w:r>
        <w:t xml:space="preserve"> integrar las interrelaciones entre la diversidad biológica y la salud, generando así beneficios para la salud y el medio ambiente. Las medidas generales propuestas (secc. A) podrán ser complementadas con medidas para integrar las interrelaciones entre la diversidad biológica y la salud en la implementación del Marco (secc. B). </w:t>
      </w:r>
    </w:p>
    <w:p w14:paraId="737494A1" w14:textId="77777777" w:rsidR="001D5E16" w:rsidRPr="00EB2F01" w:rsidRDefault="001D5E16" w:rsidP="00603392">
      <w:pPr>
        <w:keepNext/>
        <w:tabs>
          <w:tab w:val="left" w:pos="567"/>
        </w:tabs>
        <w:spacing w:before="120" w:after="120"/>
        <w:outlineLvl w:val="1"/>
        <w:rPr>
          <w:b/>
          <w:bCs/>
          <w:snapToGrid w:val="0"/>
          <w:sz w:val="24"/>
          <w:szCs w:val="24"/>
        </w:rPr>
      </w:pPr>
      <w:r>
        <w:rPr>
          <w:b/>
          <w:snapToGrid w:val="0"/>
          <w:sz w:val="24"/>
        </w:rPr>
        <w:t>A.</w:t>
      </w:r>
      <w:r>
        <w:rPr>
          <w:b/>
          <w:snapToGrid w:val="0"/>
          <w:sz w:val="24"/>
        </w:rPr>
        <w:tab/>
        <w:t>Medidas generales</w:t>
      </w:r>
    </w:p>
    <w:p w14:paraId="5A76EC08" w14:textId="1DEEFEF1" w:rsidR="001D5E16" w:rsidRPr="00EB2F01" w:rsidRDefault="001D5E16" w:rsidP="00603392">
      <w:pPr>
        <w:pStyle w:val="CBD-Para1-Not-numbered"/>
        <w:keepNext/>
      </w:pPr>
      <w:r>
        <w:t>12.</w:t>
      </w:r>
      <w:r>
        <w:tab/>
        <w:t>Se proponen las siguientes medidas generales:</w:t>
      </w:r>
    </w:p>
    <w:p w14:paraId="1F49DF60" w14:textId="1A5B509E" w:rsidR="001D5E16" w:rsidRPr="00EB2F01" w:rsidRDefault="001D5E16" w:rsidP="009A429E">
      <w:pPr>
        <w:tabs>
          <w:tab w:val="left" w:pos="1701"/>
        </w:tabs>
        <w:spacing w:after="120"/>
        <w:ind w:left="567" w:firstLine="567"/>
        <w:rPr>
          <w:rFonts w:asciiTheme="majorBidi" w:eastAsiaTheme="minorEastAsia" w:hAnsiTheme="majorBidi" w:cstheme="majorBidi"/>
          <w:kern w:val="2"/>
          <w14:ligatures w14:val="standardContextual"/>
        </w:rPr>
      </w:pPr>
      <w:r>
        <w:rPr>
          <w:rFonts w:asciiTheme="majorBidi" w:hAnsiTheme="majorBidi"/>
        </w:rPr>
        <w:t>a)</w:t>
      </w:r>
      <w:r>
        <w:rPr>
          <w:rFonts w:asciiTheme="majorBidi" w:hAnsiTheme="majorBidi"/>
        </w:rPr>
        <w:tab/>
        <w:t xml:space="preserve">Evaluar las interrelaciones entre la diversidad biológica y la salud, incluidas </w:t>
      </w:r>
      <w:r w:rsidR="00834283">
        <w:rPr>
          <w:rFonts w:asciiTheme="majorBidi" w:hAnsiTheme="majorBidi"/>
        </w:rPr>
        <w:t>aquel</w:t>
      </w:r>
      <w:r>
        <w:rPr>
          <w:rFonts w:asciiTheme="majorBidi" w:hAnsiTheme="majorBidi"/>
        </w:rPr>
        <w:t xml:space="preserve">las contribuciones de la naturaleza a las personas </w:t>
      </w:r>
      <w:r w:rsidR="00834283">
        <w:rPr>
          <w:rFonts w:asciiTheme="majorBidi" w:hAnsiTheme="majorBidi"/>
        </w:rPr>
        <w:t>que tienen que ver</w:t>
      </w:r>
      <w:r>
        <w:rPr>
          <w:rFonts w:asciiTheme="majorBidi" w:hAnsiTheme="majorBidi"/>
        </w:rPr>
        <w:t xml:space="preserve"> con la salud, los determinantes ambientales de la salud y la carga de morbilidad causada por factores ambientales</w:t>
      </w:r>
      <w:r w:rsidR="00862AC8" w:rsidRPr="00EB2F01">
        <w:rPr>
          <w:rFonts w:asciiTheme="majorBidi" w:eastAsiaTheme="minorEastAsia" w:hAnsiTheme="majorBidi" w:cstheme="majorBidi"/>
          <w:kern w:val="2"/>
          <w:vertAlign w:val="superscript"/>
          <w:lang w:eastAsia="zh-CN"/>
        </w:rPr>
        <w:footnoteReference w:id="21"/>
      </w:r>
      <w:r>
        <w:rPr>
          <w:rFonts w:asciiTheme="majorBidi" w:hAnsiTheme="majorBidi"/>
        </w:rPr>
        <w:t xml:space="preserve"> a nivel nacional, teniendo en cuenta la diversidad biocultural</w:t>
      </w:r>
      <w:r w:rsidR="00862AC8" w:rsidRPr="00EB2F01">
        <w:rPr>
          <w:rFonts w:eastAsiaTheme="minorEastAsia"/>
          <w:kern w:val="2"/>
          <w:vertAlign w:val="superscript"/>
          <w:lang w:eastAsia="zh-CN"/>
        </w:rPr>
        <w:footnoteReference w:id="22"/>
      </w:r>
      <w:r>
        <w:rPr>
          <w:rFonts w:asciiTheme="majorBidi" w:hAnsiTheme="majorBidi"/>
        </w:rPr>
        <w:t>, los diversos sistemas de valores y una comprensión global de la salud y el bienestar, que incluya la salud física, sexual, reproductiva y mental, el desarrollo cognitivo, el aprendizaje, las identidades de apoyo</w:t>
      </w:r>
      <w:r w:rsidRPr="00EB2F01">
        <w:rPr>
          <w:rFonts w:asciiTheme="majorBidi" w:eastAsiaTheme="minorEastAsia" w:hAnsiTheme="majorBidi" w:cstheme="majorBidi"/>
          <w:color w:val="000000" w:themeColor="text1"/>
          <w:kern w:val="2"/>
          <w:vertAlign w:val="superscript"/>
          <w:lang w:eastAsia="zh-CN"/>
        </w:rPr>
        <w:footnoteReference w:id="23"/>
      </w:r>
      <w:r>
        <w:rPr>
          <w:rFonts w:asciiTheme="majorBidi" w:hAnsiTheme="majorBidi"/>
        </w:rPr>
        <w:t xml:space="preserve"> </w:t>
      </w:r>
      <w:r>
        <w:rPr>
          <w:rFonts w:asciiTheme="majorBidi" w:hAnsiTheme="majorBidi"/>
          <w:color w:val="000000" w:themeColor="text1"/>
        </w:rPr>
        <w:t xml:space="preserve">y </w:t>
      </w:r>
      <w:r>
        <w:rPr>
          <w:rFonts w:asciiTheme="majorBidi" w:hAnsiTheme="majorBidi"/>
        </w:rPr>
        <w:t>los determinantes sociales de la salud</w:t>
      </w:r>
      <w:r>
        <w:rPr>
          <w:rFonts w:asciiTheme="majorBidi" w:hAnsiTheme="majorBidi"/>
          <w:color w:val="000000" w:themeColor="text1"/>
        </w:rPr>
        <w:t>;</w:t>
      </w:r>
    </w:p>
    <w:p w14:paraId="700B3200" w14:textId="2787A805" w:rsidR="001D5E16" w:rsidRPr="00EB2F01" w:rsidRDefault="001D5E16" w:rsidP="009A429E">
      <w:pPr>
        <w:tabs>
          <w:tab w:val="left" w:pos="1701"/>
        </w:tabs>
        <w:spacing w:after="120"/>
        <w:ind w:left="567" w:firstLine="567"/>
        <w:rPr>
          <w:rFonts w:asciiTheme="minorHAnsi" w:eastAsiaTheme="minorEastAsia" w:hAnsiTheme="minorHAnsi" w:cstheme="minorBidi"/>
          <w:kern w:val="2"/>
          <w14:ligatures w14:val="standardContextual"/>
        </w:rPr>
      </w:pPr>
      <w:r>
        <w:t>b)</w:t>
      </w:r>
      <w:r>
        <w:tab/>
        <w:t>Fomentar y facilitar los diálogos nacionales y las plataformas y actividades de intercambio de conocimientos para fortalecer las capacidades de todos los sectores y actores en lo que respecta a las interrelaciones entre la diversidad biológica y la salud, con miras a desarrollar comunidades de práctica, teniendo en cuenta el papel positivo de la diversidad biológica en todos los aspectos de la salud y el bienestar;</w:t>
      </w:r>
    </w:p>
    <w:p w14:paraId="788A18D1" w14:textId="6A3C29A6" w:rsidR="001D5E16" w:rsidRPr="00603392" w:rsidRDefault="001D5E16" w:rsidP="009A429E">
      <w:pPr>
        <w:tabs>
          <w:tab w:val="left" w:pos="1701"/>
        </w:tabs>
        <w:spacing w:after="120"/>
        <w:ind w:left="567" w:firstLine="567"/>
        <w:rPr>
          <w:rFonts w:asciiTheme="minorHAnsi" w:eastAsiaTheme="minorEastAsia" w:hAnsiTheme="minorHAnsi"/>
          <w:kern w:val="2"/>
          <w14:ligatures w14:val="standardContextual"/>
        </w:rPr>
      </w:pPr>
      <w:r>
        <w:t>c)</w:t>
      </w:r>
      <w:r>
        <w:tab/>
        <w:t>Promover, en atención al enfoque de “Una sola salud” y otros enfoques holísticos, la coordinación de políticas y la integración de las interrelaciones entre la diversidad biológica y la salud en</w:t>
      </w:r>
      <w:r w:rsidR="00834283">
        <w:t>:</w:t>
      </w:r>
      <w:r>
        <w:t xml:space="preserve"> las estrategias relacionadas con sectores que tienen un impacto significativo en la diversidad biológica</w:t>
      </w:r>
      <w:r w:rsidR="00834283">
        <w:t xml:space="preserve">; </w:t>
      </w:r>
      <w:r>
        <w:t>las estrategias y planes de acción nacionales en materia de biodiversidad</w:t>
      </w:r>
      <w:r w:rsidR="00834283">
        <w:t>;</w:t>
      </w:r>
      <w:r>
        <w:t xml:space="preserve"> los planes de salud mental, nutrición, agricultura, control de enfermedades transmisibles y no transmisibles y desarrollo de la infancia; y políticas de desarrollo económico y sostenible, políticas relacionadas con la sanidad animal y vegetal, reducción del riesgo de desastres y socorro y recuperación en caso de desastres, planes de acción de prevención, preparación e intervención ante pandemias y políticas de sostenibilidad en el sector de la salud;</w:t>
      </w:r>
    </w:p>
    <w:p w14:paraId="64E6FCA4" w14:textId="335882EC" w:rsidR="001D5E16" w:rsidRPr="00EB2F01" w:rsidRDefault="001D5E16" w:rsidP="009A429E">
      <w:pPr>
        <w:tabs>
          <w:tab w:val="left" w:pos="1701"/>
        </w:tabs>
        <w:spacing w:after="120"/>
        <w:ind w:left="567" w:firstLine="567"/>
        <w:rPr>
          <w:rFonts w:asciiTheme="majorBidi" w:eastAsiaTheme="minorEastAsia" w:hAnsiTheme="majorBidi" w:cstheme="majorBidi"/>
          <w:color w:val="000000" w:themeColor="text1"/>
          <w:kern w:val="2"/>
          <w14:ligatures w14:val="standardContextual"/>
        </w:rPr>
      </w:pPr>
      <w:r>
        <w:rPr>
          <w:rFonts w:asciiTheme="majorBidi" w:hAnsiTheme="majorBidi"/>
          <w:color w:val="000000" w:themeColor="text1"/>
        </w:rPr>
        <w:t>d)</w:t>
      </w:r>
      <w:r>
        <w:rPr>
          <w:rFonts w:asciiTheme="majorBidi" w:hAnsiTheme="majorBidi"/>
          <w:color w:val="000000" w:themeColor="text1"/>
        </w:rPr>
        <w:tab/>
        <w:t xml:space="preserve">Desarrollar y, en caso necesario, fortalecer los mecanismos nacionales de coordinación interdisciplinarios e interministeriales en materia de interrelaciones entre la diversidad biológica y la salud, garantizando la participación de todos los actores, incluidos los pueblos indígenas y las </w:t>
      </w:r>
      <w:r>
        <w:rPr>
          <w:rFonts w:asciiTheme="majorBidi" w:hAnsiTheme="majorBidi"/>
          <w:color w:val="000000" w:themeColor="text1"/>
        </w:rPr>
        <w:lastRenderedPageBreak/>
        <w:t xml:space="preserve">comunidades locales, las mujeres, la infancia, la juventud y las personas de edad, y designar un punto focal nacional </w:t>
      </w:r>
      <w:r w:rsidR="00A41722">
        <w:rPr>
          <w:rFonts w:asciiTheme="majorBidi" w:hAnsiTheme="majorBidi"/>
          <w:color w:val="000000" w:themeColor="text1"/>
        </w:rPr>
        <w:t xml:space="preserve">sobre diversidad biológica y </w:t>
      </w:r>
      <w:r>
        <w:rPr>
          <w:rFonts w:asciiTheme="majorBidi" w:hAnsiTheme="majorBidi"/>
          <w:color w:val="000000" w:themeColor="text1"/>
        </w:rPr>
        <w:t>salud que facilite el proceso;</w:t>
      </w:r>
    </w:p>
    <w:p w14:paraId="0C76FD04" w14:textId="0FD1DEDC" w:rsidR="001D5E16" w:rsidRPr="00690AD6" w:rsidRDefault="001D5E16" w:rsidP="009A429E">
      <w:pPr>
        <w:tabs>
          <w:tab w:val="left" w:pos="1701"/>
        </w:tabs>
        <w:spacing w:after="120"/>
        <w:ind w:left="567" w:firstLine="567"/>
        <w:rPr>
          <w:rFonts w:asciiTheme="majorBidi" w:eastAsiaTheme="minorEastAsia" w:hAnsiTheme="majorBidi" w:cstheme="majorBidi"/>
          <w:color w:val="000000" w:themeColor="text1"/>
          <w:spacing w:val="-2"/>
          <w:kern w:val="2"/>
          <w14:ligatures w14:val="standardContextual"/>
        </w:rPr>
      </w:pPr>
      <w:r>
        <w:rPr>
          <w:rFonts w:asciiTheme="majorBidi" w:hAnsiTheme="majorBidi"/>
          <w:color w:val="000000" w:themeColor="text1"/>
        </w:rPr>
        <w:t>e)</w:t>
      </w:r>
      <w:r>
        <w:rPr>
          <w:rFonts w:asciiTheme="majorBidi" w:hAnsiTheme="majorBidi"/>
          <w:color w:val="000000" w:themeColor="text1"/>
        </w:rPr>
        <w:tab/>
      </w:r>
      <w:r w:rsidRPr="00690AD6">
        <w:rPr>
          <w:rFonts w:asciiTheme="majorBidi" w:hAnsiTheme="majorBidi"/>
          <w:color w:val="000000" w:themeColor="text1"/>
          <w:spacing w:val="-2"/>
        </w:rPr>
        <w:t xml:space="preserve">Considerar la </w:t>
      </w:r>
      <w:r w:rsidR="00690AD6" w:rsidRPr="00690AD6">
        <w:rPr>
          <w:rFonts w:asciiTheme="majorBidi" w:hAnsiTheme="majorBidi"/>
          <w:color w:val="000000" w:themeColor="text1"/>
          <w:spacing w:val="-2"/>
        </w:rPr>
        <w:t xml:space="preserve">posibilidad de </w:t>
      </w:r>
      <w:r w:rsidRPr="00690AD6">
        <w:rPr>
          <w:rFonts w:asciiTheme="majorBidi" w:hAnsiTheme="majorBidi"/>
          <w:color w:val="000000" w:themeColor="text1"/>
          <w:spacing w:val="-2"/>
        </w:rPr>
        <w:t>designa</w:t>
      </w:r>
      <w:r w:rsidR="00690AD6" w:rsidRPr="00690AD6">
        <w:rPr>
          <w:rFonts w:asciiTheme="majorBidi" w:hAnsiTheme="majorBidi"/>
          <w:color w:val="000000" w:themeColor="text1"/>
          <w:spacing w:val="-2"/>
        </w:rPr>
        <w:t>r</w:t>
      </w:r>
      <w:r w:rsidRPr="00690AD6">
        <w:rPr>
          <w:rFonts w:asciiTheme="majorBidi" w:hAnsiTheme="majorBidi"/>
          <w:color w:val="000000" w:themeColor="text1"/>
          <w:spacing w:val="-2"/>
        </w:rPr>
        <w:t xml:space="preserve"> un punto focal nacional de género </w:t>
      </w:r>
      <w:r w:rsidR="00A41722">
        <w:rPr>
          <w:rFonts w:asciiTheme="majorBidi" w:hAnsiTheme="majorBidi"/>
          <w:color w:val="000000" w:themeColor="text1"/>
          <w:spacing w:val="-2"/>
        </w:rPr>
        <w:t>sobre</w:t>
      </w:r>
      <w:r w:rsidRPr="00690AD6">
        <w:rPr>
          <w:rFonts w:asciiTheme="majorBidi" w:hAnsiTheme="majorBidi"/>
          <w:color w:val="000000" w:themeColor="text1"/>
          <w:spacing w:val="-2"/>
        </w:rPr>
        <w:t xml:space="preserve"> diversidad biológica y salud pública, que, entre otras tareas, pueda informar sobre las contribuciones y necesidades de las mujeres y las niñas en relación con la gestión ambiental y la igualdad de género;</w:t>
      </w:r>
    </w:p>
    <w:p w14:paraId="4BD54956" w14:textId="77F3164B" w:rsidR="001D5E16" w:rsidRPr="00EB2F01" w:rsidRDefault="001D5E16" w:rsidP="009A429E">
      <w:pPr>
        <w:tabs>
          <w:tab w:val="left" w:pos="1701"/>
        </w:tabs>
        <w:spacing w:after="120"/>
        <w:ind w:left="567" w:firstLine="567"/>
        <w:rPr>
          <w:rFonts w:asciiTheme="majorBidi" w:eastAsiaTheme="minorEastAsia" w:hAnsiTheme="majorBidi" w:cstheme="majorBidi"/>
          <w:color w:val="000000" w:themeColor="text1"/>
          <w:kern w:val="2"/>
          <w14:ligatures w14:val="standardContextual"/>
        </w:rPr>
      </w:pPr>
      <w:r>
        <w:t>f)</w:t>
      </w:r>
      <w:r>
        <w:tab/>
        <w:t xml:space="preserve">Tomar medidas para garantizar la participación plena y efectiva de la infancia y la juventud en la toma de decisiones y las acciones en materia de diversidad biológica y salud, incluido considerando la </w:t>
      </w:r>
      <w:r w:rsidR="00690AD6">
        <w:t xml:space="preserve">posibilidad de </w:t>
      </w:r>
      <w:r>
        <w:t>designa</w:t>
      </w:r>
      <w:r w:rsidR="00690AD6">
        <w:t>r</w:t>
      </w:r>
      <w:r>
        <w:t xml:space="preserve"> un punto focal nacional de la juventud </w:t>
      </w:r>
      <w:r w:rsidR="00A41722">
        <w:t>sobre</w:t>
      </w:r>
      <w:r w:rsidR="00690AD6">
        <w:t xml:space="preserve"> </w:t>
      </w:r>
      <w:r>
        <w:t>diversidad biológica y salud pública, que, entre otras tareas, pueda informar sobre las contribuciones y necesidades de la infancia y la juventud en relación con la gestión ambiental, la salud y la equidad intergeneracional;</w:t>
      </w:r>
    </w:p>
    <w:p w14:paraId="506B3BA3" w14:textId="0C84B2A2" w:rsidR="001D5E16" w:rsidRPr="00EB2F01" w:rsidRDefault="001D5E16" w:rsidP="009A429E">
      <w:pPr>
        <w:tabs>
          <w:tab w:val="left" w:pos="1701"/>
        </w:tabs>
        <w:spacing w:after="120"/>
        <w:ind w:left="567" w:firstLine="567"/>
        <w:rPr>
          <w:rFonts w:asciiTheme="majorBidi" w:eastAsiaTheme="minorEastAsia" w:hAnsiTheme="majorBidi" w:cstheme="majorBidi"/>
          <w:color w:val="000000" w:themeColor="text1"/>
          <w:kern w:val="2"/>
          <w14:ligatures w14:val="standardContextual"/>
        </w:rPr>
      </w:pPr>
      <w:r>
        <w:rPr>
          <w:rFonts w:asciiTheme="majorBidi" w:hAnsiTheme="majorBidi"/>
        </w:rPr>
        <w:t>g)</w:t>
      </w:r>
      <w:r>
        <w:rPr>
          <w:rFonts w:asciiTheme="majorBidi" w:hAnsiTheme="majorBidi"/>
        </w:rPr>
        <w:tab/>
        <w:t>Incorporar las interrelaciones entre la diversidad biológica y la salud en las evaluaciones relacionadas con el desarrollo sostenible, incluidas evaluaciones del impacto ambiental, evaluaciones ambientales estratégicas, evaluaciones de salud, evaluaciones del impacto en la salud, evaluaciones socioeconómicas y otras evaluaciones pertinentes, en particular mediante lo siguiente:</w:t>
      </w:r>
    </w:p>
    <w:p w14:paraId="3CDBBC6C" w14:textId="753387EA" w:rsidR="001D5E16" w:rsidRPr="00EB2F01" w:rsidRDefault="001D5E16" w:rsidP="009A429E">
      <w:pPr>
        <w:tabs>
          <w:tab w:val="left" w:pos="1701"/>
        </w:tabs>
        <w:spacing w:after="120"/>
        <w:ind w:left="1701" w:hanging="567"/>
        <w:rPr>
          <w:rFonts w:asciiTheme="majorBidi" w:hAnsiTheme="majorBidi" w:cstheme="majorBidi"/>
          <w:snapToGrid w:val="0"/>
          <w:szCs w:val="18"/>
        </w:rPr>
      </w:pPr>
      <w:r>
        <w:rPr>
          <w:rFonts w:asciiTheme="majorBidi" w:hAnsiTheme="majorBidi"/>
          <w:snapToGrid w:val="0"/>
        </w:rPr>
        <w:t>i)</w:t>
      </w:r>
      <w:r>
        <w:rPr>
          <w:rFonts w:asciiTheme="majorBidi" w:hAnsiTheme="majorBidi"/>
          <w:snapToGrid w:val="0"/>
        </w:rPr>
        <w:tab/>
        <w:t>La consideración</w:t>
      </w:r>
      <w:r w:rsidR="00A85C79" w:rsidRPr="00A85C79">
        <w:rPr>
          <w:rFonts w:asciiTheme="majorBidi" w:hAnsiTheme="majorBidi"/>
          <w:snapToGrid w:val="0"/>
        </w:rPr>
        <w:t xml:space="preserve"> </w:t>
      </w:r>
      <w:r w:rsidR="00A85C79">
        <w:rPr>
          <w:rFonts w:asciiTheme="majorBidi" w:hAnsiTheme="majorBidi"/>
          <w:snapToGrid w:val="0"/>
        </w:rPr>
        <w:t>en tales evaluaciones</w:t>
      </w:r>
      <w:r>
        <w:rPr>
          <w:rFonts w:asciiTheme="majorBidi" w:hAnsiTheme="majorBidi"/>
          <w:snapToGrid w:val="0"/>
        </w:rPr>
        <w:t xml:space="preserve"> de los riesgos </w:t>
      </w:r>
      <w:r w:rsidR="00A85C79">
        <w:rPr>
          <w:rFonts w:asciiTheme="majorBidi" w:hAnsiTheme="majorBidi"/>
          <w:snapToGrid w:val="0"/>
        </w:rPr>
        <w:t>qu</w:t>
      </w:r>
      <w:r>
        <w:rPr>
          <w:rFonts w:asciiTheme="majorBidi" w:hAnsiTheme="majorBidi"/>
          <w:snapToGrid w:val="0"/>
        </w:rPr>
        <w:t xml:space="preserve">e la pérdida de diversidad biológica </w:t>
      </w:r>
      <w:r w:rsidR="00A85C79">
        <w:rPr>
          <w:rFonts w:asciiTheme="majorBidi" w:hAnsiTheme="majorBidi"/>
          <w:snapToGrid w:val="0"/>
        </w:rPr>
        <w:t xml:space="preserve">supone </w:t>
      </w:r>
      <w:r>
        <w:rPr>
          <w:rFonts w:asciiTheme="majorBidi" w:hAnsiTheme="majorBidi"/>
          <w:snapToGrid w:val="0"/>
        </w:rPr>
        <w:t>para la salud y el bienestar</w:t>
      </w:r>
      <w:r w:rsidR="00A85C79">
        <w:rPr>
          <w:rFonts w:asciiTheme="majorBidi" w:hAnsiTheme="majorBidi"/>
          <w:snapToGrid w:val="0"/>
        </w:rPr>
        <w:t>,</w:t>
      </w:r>
      <w:r>
        <w:rPr>
          <w:rFonts w:asciiTheme="majorBidi" w:hAnsiTheme="majorBidi"/>
          <w:snapToGrid w:val="0"/>
        </w:rPr>
        <w:t xml:space="preserve"> como herramientas valiosas para orientar la toma de decisiones;</w:t>
      </w:r>
    </w:p>
    <w:p w14:paraId="54D85DC4" w14:textId="5DCE59EE" w:rsidR="001D5E16" w:rsidRPr="00EB2F01" w:rsidRDefault="001D5E16" w:rsidP="009A429E">
      <w:pPr>
        <w:tabs>
          <w:tab w:val="left" w:pos="1701"/>
        </w:tabs>
        <w:spacing w:after="120"/>
        <w:ind w:left="1701" w:hanging="567"/>
        <w:rPr>
          <w:rFonts w:asciiTheme="majorBidi" w:hAnsiTheme="majorBidi" w:cstheme="majorBidi"/>
          <w:snapToGrid w:val="0"/>
          <w:szCs w:val="18"/>
        </w:rPr>
      </w:pPr>
      <w:r>
        <w:rPr>
          <w:rFonts w:asciiTheme="majorBidi" w:hAnsiTheme="majorBidi"/>
          <w:snapToGrid w:val="0"/>
        </w:rPr>
        <w:t>ii)</w:t>
      </w:r>
      <w:r>
        <w:rPr>
          <w:rFonts w:asciiTheme="majorBidi" w:hAnsiTheme="majorBidi"/>
          <w:snapToGrid w:val="0"/>
        </w:rPr>
        <w:tab/>
        <w:t xml:space="preserve">La inclusión de diversos interesados </w:t>
      </w:r>
      <w:r w:rsidR="00690AD6">
        <w:rPr>
          <w:rFonts w:asciiTheme="majorBidi" w:hAnsiTheme="majorBidi"/>
          <w:snapToGrid w:val="0"/>
        </w:rPr>
        <w:t>d</w:t>
      </w:r>
      <w:r>
        <w:rPr>
          <w:rFonts w:asciiTheme="majorBidi" w:hAnsiTheme="majorBidi"/>
          <w:snapToGrid w:val="0"/>
        </w:rPr>
        <w:t>el ámbito de la salud</w:t>
      </w:r>
      <w:r w:rsidRPr="00EB2F01">
        <w:rPr>
          <w:rFonts w:asciiTheme="majorBidi" w:hAnsiTheme="majorBidi" w:cstheme="majorBidi"/>
          <w:snapToGrid w:val="0"/>
          <w:vertAlign w:val="superscript"/>
        </w:rPr>
        <w:footnoteReference w:id="24"/>
      </w:r>
      <w:r>
        <w:rPr>
          <w:rFonts w:asciiTheme="majorBidi" w:hAnsiTheme="majorBidi"/>
          <w:snapToGrid w:val="0"/>
        </w:rPr>
        <w:t xml:space="preserve"> en los procesos de selección, determinación del alcance, revisión, toma de decisiones y seguimiento de las evaluaciones y la presentación de informes nacionales;</w:t>
      </w:r>
    </w:p>
    <w:p w14:paraId="0B91FC93" w14:textId="77777777" w:rsidR="001D5E16" w:rsidRPr="00EB2F01" w:rsidRDefault="001D5E16" w:rsidP="0012740A">
      <w:pPr>
        <w:tabs>
          <w:tab w:val="left" w:pos="1701"/>
        </w:tabs>
        <w:spacing w:after="120"/>
        <w:ind w:left="1701" w:hanging="567"/>
        <w:rPr>
          <w:rFonts w:asciiTheme="majorBidi" w:eastAsiaTheme="minorEastAsia" w:hAnsiTheme="majorBidi" w:cstheme="majorBidi"/>
          <w:color w:val="000000" w:themeColor="text1"/>
          <w:kern w:val="2"/>
          <w14:ligatures w14:val="standardContextual"/>
        </w:rPr>
      </w:pPr>
      <w:r>
        <w:rPr>
          <w:rFonts w:asciiTheme="majorBidi" w:hAnsiTheme="majorBidi"/>
        </w:rPr>
        <w:t>iii)</w:t>
      </w:r>
      <w:r>
        <w:rPr>
          <w:rFonts w:asciiTheme="majorBidi" w:hAnsiTheme="majorBidi"/>
        </w:rPr>
        <w:tab/>
        <w:t>La inclusión en las evaluaciones de factores de selección exhaustivos que reflejen interrelaciones amplias entre la diversidad biológica y la salud;</w:t>
      </w:r>
    </w:p>
    <w:p w14:paraId="7A935B1B" w14:textId="3514FA71" w:rsidR="001D5E16" w:rsidRPr="00EB2F01" w:rsidRDefault="001D5E16" w:rsidP="009A429E">
      <w:pPr>
        <w:tabs>
          <w:tab w:val="left" w:pos="1701"/>
        </w:tabs>
        <w:spacing w:after="120"/>
        <w:ind w:left="1701" w:hanging="567"/>
        <w:rPr>
          <w:rFonts w:asciiTheme="majorBidi" w:eastAsiaTheme="minorEastAsia" w:hAnsiTheme="majorBidi" w:cstheme="majorBidi"/>
          <w:color w:val="000000" w:themeColor="text1"/>
          <w:kern w:val="2"/>
          <w14:ligatures w14:val="standardContextual"/>
        </w:rPr>
      </w:pPr>
      <w:r>
        <w:rPr>
          <w:rFonts w:asciiTheme="majorBidi" w:hAnsiTheme="majorBidi"/>
          <w:color w:val="000000" w:themeColor="text1"/>
        </w:rPr>
        <w:t>iv)</w:t>
      </w:r>
      <w:r>
        <w:rPr>
          <w:rFonts w:asciiTheme="majorBidi" w:hAnsiTheme="majorBidi"/>
          <w:color w:val="000000" w:themeColor="text1"/>
        </w:rPr>
        <w:tab/>
        <w:t xml:space="preserve">La garantía de que </w:t>
      </w:r>
      <w:r w:rsidR="00690AD6">
        <w:rPr>
          <w:rFonts w:asciiTheme="majorBidi" w:hAnsiTheme="majorBidi"/>
          <w:color w:val="000000" w:themeColor="text1"/>
        </w:rPr>
        <w:t xml:space="preserve">se tengan en cuenta </w:t>
      </w:r>
      <w:r>
        <w:rPr>
          <w:rFonts w:asciiTheme="majorBidi" w:hAnsiTheme="majorBidi"/>
          <w:color w:val="000000" w:themeColor="text1"/>
        </w:rPr>
        <w:t xml:space="preserve">la pérdida y degradación de la diversidad biológica en las evaluaciones, así como </w:t>
      </w:r>
      <w:r w:rsidR="00690AD6">
        <w:rPr>
          <w:rFonts w:asciiTheme="majorBidi" w:hAnsiTheme="majorBidi"/>
          <w:color w:val="000000" w:themeColor="text1"/>
        </w:rPr>
        <w:t xml:space="preserve">en </w:t>
      </w:r>
      <w:r>
        <w:rPr>
          <w:rFonts w:asciiTheme="majorBidi" w:hAnsiTheme="majorBidi"/>
          <w:color w:val="000000" w:themeColor="text1"/>
        </w:rPr>
        <w:t xml:space="preserve">los marcos nacionales de seguimiento, presentación de informes y revisión, en el contexto de la equidad intergeneracional y la igualdad de género y la salud de las generaciones futuras, </w:t>
      </w:r>
      <w:r w:rsidR="00690AD6">
        <w:rPr>
          <w:rFonts w:asciiTheme="majorBidi" w:hAnsiTheme="majorBidi"/>
          <w:color w:val="000000" w:themeColor="text1"/>
        </w:rPr>
        <w:t>específicam</w:t>
      </w:r>
      <w:r>
        <w:rPr>
          <w:rFonts w:asciiTheme="majorBidi" w:hAnsiTheme="majorBidi"/>
          <w:color w:val="000000" w:themeColor="text1"/>
        </w:rPr>
        <w:t>ente la capacidad de los niños para nacer, crecer, desarrollarse y prosperar física y mentalmente;</w:t>
      </w:r>
    </w:p>
    <w:p w14:paraId="021B147F" w14:textId="2F9940A9" w:rsidR="001D5E16" w:rsidRPr="00EB2F01" w:rsidRDefault="001D5E16" w:rsidP="0028038B">
      <w:pPr>
        <w:pStyle w:val="CBD-para2-notnumbered"/>
        <w:rPr>
          <w:color w:val="000000" w:themeColor="text1"/>
        </w:rPr>
      </w:pPr>
      <w:r>
        <w:t>h)</w:t>
      </w:r>
      <w:r>
        <w:tab/>
        <w:t>Apoyar la investigación sobre las interrelaciones entre la diversidad biológica y la salud para resolver carencias de conocimientos, mejorando el acceso a pruebas científicas y prácticas</w:t>
      </w:r>
      <w:r w:rsidR="00690AD6">
        <w:t xml:space="preserve"> óptimas</w:t>
      </w:r>
      <w:r>
        <w:t xml:space="preserve">, </w:t>
      </w:r>
      <w:r w:rsidR="00690AD6">
        <w:t xml:space="preserve">mediante la </w:t>
      </w:r>
      <w:r>
        <w:t>posibilita</w:t>
      </w:r>
      <w:r w:rsidR="00690AD6">
        <w:t>ció</w:t>
      </w:r>
      <w:r>
        <w:t>n</w:t>
      </w:r>
      <w:r w:rsidR="00690AD6">
        <w:t xml:space="preserve"> </w:t>
      </w:r>
      <w:r>
        <w:t>d</w:t>
      </w:r>
      <w:r w:rsidR="00690AD6">
        <w:t>e</w:t>
      </w:r>
      <w:r>
        <w:t xml:space="preserve"> una educación </w:t>
      </w:r>
      <w:r w:rsidR="00690AD6">
        <w:t>e</w:t>
      </w:r>
      <w:r>
        <w:t xml:space="preserve"> investigación</w:t>
      </w:r>
      <w:r w:rsidR="00690AD6">
        <w:t xml:space="preserve"> que sean</w:t>
      </w:r>
      <w:r>
        <w:t xml:space="preserve"> transformadoras y transdisciplinarias, respetando los conocimientos tradicionales de los pueblos indígenas y las comunidades locales[, y con su consentimiento libre, previo e informado][, incluido a través de su participación plena y efectiva en la toma de decisiones, de conformidad con la legislación nacional </w:t>
      </w:r>
      <w:r w:rsidR="00690AD6">
        <w:t>e</w:t>
      </w:r>
      <w:r>
        <w:t xml:space="preserve"> instrumentos internacionales pertinentes];</w:t>
      </w:r>
    </w:p>
    <w:p w14:paraId="63EDFF03" w14:textId="47FCE5CE" w:rsidR="001D5E16" w:rsidRPr="00EB2F01" w:rsidRDefault="001D5E16" w:rsidP="009A429E">
      <w:pPr>
        <w:pStyle w:val="CBD-para2-notnumbered"/>
        <w:rPr>
          <w:color w:val="000000" w:themeColor="text1"/>
        </w:rPr>
      </w:pPr>
      <w:r>
        <w:t>i)</w:t>
      </w:r>
      <w:r>
        <w:tab/>
        <w:t>Profundizar la comprensión del enfoque de “Una sola salud” y otros enfoques holísticos y hacer hincapié en la importancia asignada a las interrelaciones entre la diversidad biológica y la salud, mediante su introducción en los planes de estudios de los profesionales de los campos de la atención de salud y la medicina, la salud pública y mundial, la sanidad animal, la diversidad biológica y el medio ambiente, la planificación espacial urbana, incluidos los espacios verdes y azules, y otros campos pertinentes, como parte del aprendizaje y el desarrollo de competencias</w:t>
      </w:r>
      <w:r w:rsidR="00F8091D" w:rsidRPr="00F8091D">
        <w:t xml:space="preserve"> </w:t>
      </w:r>
      <w:r w:rsidR="00F8091D">
        <w:t>permanentes</w:t>
      </w:r>
      <w:r>
        <w:t>;</w:t>
      </w:r>
    </w:p>
    <w:p w14:paraId="3C5CFCBF" w14:textId="790D8A32" w:rsidR="001D5E16" w:rsidRPr="00EB2F01" w:rsidRDefault="001D5E16" w:rsidP="009A429E">
      <w:pPr>
        <w:pStyle w:val="CBD-para2-notnumbered"/>
        <w:rPr>
          <w:color w:val="000000" w:themeColor="text1"/>
        </w:rPr>
      </w:pPr>
      <w:r>
        <w:t>j)</w:t>
      </w:r>
      <w:r>
        <w:tab/>
      </w:r>
      <w:r>
        <w:rPr>
          <w:color w:val="000000" w:themeColor="text1"/>
        </w:rPr>
        <w:t xml:space="preserve">Alentar, cuando proceda, en colaboración con organizaciones relacionadas con la salud, la integración de criterios de medición, </w:t>
      </w:r>
      <w:r>
        <w:t>indicadores y herramientas relacionados con la diversidad biológica en las estrategias, planes y programas de salud y</w:t>
      </w:r>
      <w:r w:rsidR="00172947">
        <w:t>, a su vez,</w:t>
      </w:r>
      <w:r>
        <w:t xml:space="preserve"> la integración de criterios de </w:t>
      </w:r>
      <w:r>
        <w:lastRenderedPageBreak/>
        <w:t>medición, indicadores y herramientas relacionados con la salud en las estrategias, planes y programas de diversidad biológica, en consonancia con mandatos existentes;</w:t>
      </w:r>
    </w:p>
    <w:p w14:paraId="5658F005" w14:textId="31DEBD14" w:rsidR="001D5E16" w:rsidRPr="00EB2F01" w:rsidRDefault="001D5E16" w:rsidP="009A429E">
      <w:pPr>
        <w:pStyle w:val="CBD-para2-notnumbered"/>
      </w:pPr>
      <w:r>
        <w:t>k)</w:t>
      </w:r>
      <w:r>
        <w:tab/>
        <w:t xml:space="preserve">Alentar la elaboración de material informativo específico </w:t>
      </w:r>
      <w:r w:rsidR="00F8091D">
        <w:t>de</w:t>
      </w:r>
      <w:r>
        <w:t xml:space="preserve"> cada sector, tales como fichas descriptivas, con el fin de integrar las interrelaciones entre la diversidad biológica y la salud en sectores pertinentes[</w:t>
      </w:r>
      <w:r w:rsidR="0076681B" w:rsidRPr="00603392">
        <w:rPr>
          <w:rStyle w:val="FootnoteReference"/>
          <w:lang w:val="en-GB"/>
        </w:rPr>
        <w:footnoteReference w:id="25"/>
      </w:r>
      <w:r>
        <w:t>];</w:t>
      </w:r>
    </w:p>
    <w:p w14:paraId="2CFCD858" w14:textId="2D76C2E1" w:rsidR="001D5E16" w:rsidRPr="00EB2F01" w:rsidRDefault="001D5E16" w:rsidP="009A429E">
      <w:pPr>
        <w:pStyle w:val="CBD-para2-notnumbered"/>
        <w:rPr>
          <w:color w:val="000000" w:themeColor="text1"/>
        </w:rPr>
      </w:pPr>
      <w:r>
        <w:t>l)</w:t>
      </w:r>
      <w:r>
        <w:tab/>
        <w:t>Profundizar la cooperación internacional para ayudar a los países en desarrollo a abordar los problemas ambientales y de salud específicos que enfrentan, incluid</w:t>
      </w:r>
      <w:r w:rsidR="003155CE">
        <w:t>o mediante</w:t>
      </w:r>
      <w:r>
        <w:t xml:space="preserve"> la aplicación del enfoque de “Una sola salud” y otros enfoques holísticos, de conformidad con la legislación nacional e internacional aplicable;</w:t>
      </w:r>
    </w:p>
    <w:p w14:paraId="7B046A5A" w14:textId="48EC8970" w:rsidR="001D5E16" w:rsidRPr="00EB2F01" w:rsidRDefault="001D5E16" w:rsidP="009A429E">
      <w:pPr>
        <w:pStyle w:val="CBD-para2-notnumbered"/>
        <w:rPr>
          <w:color w:val="000000" w:themeColor="text1"/>
        </w:rPr>
      </w:pPr>
      <w:r>
        <w:rPr>
          <w:color w:val="000000" w:themeColor="text1"/>
        </w:rPr>
        <w:t>m)</w:t>
      </w:r>
      <w:r>
        <w:rPr>
          <w:color w:val="000000" w:themeColor="text1"/>
        </w:rPr>
        <w:tab/>
        <w:t xml:space="preserve">Alentar la cooperación entre puntos focales nacionales de acuerdos ambientales y de salud multilaterales pertinentes </w:t>
      </w:r>
      <w:r w:rsidR="003155CE">
        <w:rPr>
          <w:color w:val="000000" w:themeColor="text1"/>
        </w:rPr>
        <w:t>en acciones</w:t>
      </w:r>
      <w:r>
        <w:rPr>
          <w:color w:val="000000" w:themeColor="text1"/>
        </w:rPr>
        <w:t xml:space="preserve"> relacionadas con las interrelaciones entre la diversidad biológica y la salud, incluido mediante la participación en eventos intersectoriales a través </w:t>
      </w:r>
      <w:r w:rsidR="00F37EF3">
        <w:rPr>
          <w:color w:val="000000" w:themeColor="text1"/>
        </w:rPr>
        <w:t>del enfoque de toda la sociedad</w:t>
      </w:r>
      <w:r>
        <w:rPr>
          <w:color w:val="000000" w:themeColor="text1"/>
        </w:rPr>
        <w:t>.</w:t>
      </w:r>
    </w:p>
    <w:p w14:paraId="7370FC59" w14:textId="77777777" w:rsidR="001D5E16" w:rsidRPr="00EB2F01" w:rsidRDefault="001D5E16" w:rsidP="00505413">
      <w:pPr>
        <w:keepNext/>
        <w:spacing w:after="160"/>
        <w:ind w:left="567" w:hanging="567"/>
        <w:jc w:val="left"/>
        <w:outlineLvl w:val="1"/>
        <w:rPr>
          <w:rFonts w:eastAsiaTheme="minorEastAsia"/>
          <w:b/>
          <w:bCs/>
          <w:kern w:val="2"/>
          <w:sz w:val="24"/>
          <w:szCs w:val="24"/>
          <w14:ligatures w14:val="standardContextual"/>
        </w:rPr>
      </w:pPr>
      <w:r>
        <w:rPr>
          <w:b/>
          <w:sz w:val="24"/>
        </w:rPr>
        <w:t>B.</w:t>
      </w:r>
      <w:r>
        <w:rPr>
          <w:rFonts w:asciiTheme="minorHAnsi" w:hAnsiTheme="minorHAnsi"/>
          <w:sz w:val="24"/>
        </w:rPr>
        <w:tab/>
      </w:r>
      <w:r>
        <w:rPr>
          <w:b/>
          <w:sz w:val="24"/>
        </w:rPr>
        <w:t>Medidas para integrar las interrelaciones entre la diversidad biológica y la salud en la implementación del Marco Mundial de Biodiversidad de Kunming-Montreal</w:t>
      </w:r>
    </w:p>
    <w:p w14:paraId="508DD3B3" w14:textId="5C6EFFCA" w:rsidR="001D5E16" w:rsidRPr="00EB2F01" w:rsidRDefault="001D5E16" w:rsidP="009A429E">
      <w:pPr>
        <w:pStyle w:val="CBD-Para1-Not-numbered"/>
      </w:pPr>
      <w:r>
        <w:t>13.</w:t>
      </w:r>
      <w:r>
        <w:tab/>
        <w:t xml:space="preserve">En el Marco se reconoce a las interrelaciones entre la diversidad biológica y la salud como una de las consideraciones para su implementación, </w:t>
      </w:r>
      <w:r w:rsidR="003155CE">
        <w:t xml:space="preserve">a saber, </w:t>
      </w:r>
      <w:r>
        <w:t>de la siguiente manera:</w:t>
      </w:r>
    </w:p>
    <w:p w14:paraId="6BFF4D1F" w14:textId="2CE1CE43" w:rsidR="001D5E16" w:rsidRPr="00EB2F01" w:rsidRDefault="001D5E16" w:rsidP="009A429E">
      <w:pPr>
        <w:tabs>
          <w:tab w:val="left" w:pos="1134"/>
        </w:tabs>
        <w:spacing w:before="120" w:after="120"/>
        <w:ind w:left="1134"/>
        <w:rPr>
          <w:snapToGrid w:val="0"/>
          <w:szCs w:val="18"/>
        </w:rPr>
      </w:pPr>
      <w:r>
        <w:rPr>
          <w:snapToGrid w:val="0"/>
        </w:rPr>
        <w:t>El Marco reconoce las interrelaciones entre la diversidad biológica y la salud, y los tres objetivos del Convenio. El Marco ha de implementarse teniendo en consideración el enfoque de “Una sola salud”, entre otros enfoques holísticos que se basan en la ciencia, movilizan múltiples sectores, disciplinas y comunidades para trabajar juntos y tienen como finalidad equilibrar de manera sostenibl</w:t>
      </w:r>
      <w:r w:rsidR="00EE351B">
        <w:rPr>
          <w:snapToGrid w:val="0"/>
        </w:rPr>
        <w:t>e y optimizar</w:t>
      </w:r>
      <w:r>
        <w:rPr>
          <w:snapToGrid w:val="0"/>
        </w:rPr>
        <w:t xml:space="preserve"> la salud de las personas, los animales, las plantas y los ecosistemas, reconociendo que se requiere un acceso equitativo a herramientas y tecnologías, incluidos medicamentos, vacunas y otros productos sanitarios relacionados con la biodiversidad, destacándose a la vez la necesidad urgente de reducir las presiones sobre la biodiversidad y disminuir la degradación del medio ambiente a fin de reducir los riesgos para la salud y, según proceda, elaborar arreglos prácticos de acceso y participación en los beneficios</w:t>
      </w:r>
      <w:r w:rsidRPr="00EB2F01">
        <w:rPr>
          <w:rStyle w:val="FootnoteReference"/>
          <w:snapToGrid w:val="0"/>
          <w:szCs w:val="18"/>
        </w:rPr>
        <w:footnoteReference w:id="26"/>
      </w:r>
      <w:r>
        <w:rPr>
          <w:snapToGrid w:val="0"/>
        </w:rPr>
        <w:t>.</w:t>
      </w:r>
    </w:p>
    <w:p w14:paraId="3C3E88F6" w14:textId="51ECEA74" w:rsidR="001D5E16" w:rsidRPr="00EB2F01" w:rsidRDefault="001D5E16" w:rsidP="009A429E">
      <w:pPr>
        <w:pStyle w:val="CBD-Para1-Not-numbered"/>
      </w:pPr>
      <w:r>
        <w:t>14.</w:t>
      </w:r>
      <w:r>
        <w:tab/>
        <w:t>En el Marco también se reconoce el derecho humano a un medio ambiente limpio, saludable y sostenible</w:t>
      </w:r>
      <w:r w:rsidRPr="00EB2F01">
        <w:rPr>
          <w:rStyle w:val="FootnoteReference"/>
        </w:rPr>
        <w:footnoteReference w:id="27"/>
      </w:r>
      <w:r>
        <w:t>.</w:t>
      </w:r>
    </w:p>
    <w:p w14:paraId="46191205" w14:textId="47B8C1FB" w:rsidR="001D5E16" w:rsidRPr="00EB2F01" w:rsidRDefault="001D5E16">
      <w:pPr>
        <w:pStyle w:val="CBD-Para1-Not-numbered"/>
      </w:pPr>
      <w:r>
        <w:t>15.</w:t>
      </w:r>
      <w:r>
        <w:tab/>
        <w:t>Dado que la salud del medio ambiente y la salud y el bienestar de todas las especies están interrelacionadas, todas las medidas tendientes a implementar el Marco tendrán beneficios secundarios para todas las especies y para la salud humana. En el cuadro que figura a continuación se indican medidas para integrar las interrelaciones entre la diversidad biológica y la salud en la implementación del Marco.</w:t>
      </w:r>
    </w:p>
    <w:p w14:paraId="68FB27A1" w14:textId="4113E49C" w:rsidR="00DD7449" w:rsidRPr="00EB2F01" w:rsidRDefault="00DD7449">
      <w:pPr>
        <w:pStyle w:val="CBD-Para1-Not-numbered"/>
      </w:pPr>
    </w:p>
    <w:p w14:paraId="471554AF" w14:textId="77777777" w:rsidR="00D91A8D" w:rsidRPr="00EB2F01" w:rsidRDefault="00D91A8D" w:rsidP="00DD7449">
      <w:pPr>
        <w:spacing w:before="240" w:after="120"/>
        <w:jc w:val="left"/>
        <w:rPr>
          <w:rFonts w:eastAsiaTheme="minorEastAsia"/>
          <w:b/>
          <w:bCs/>
          <w:kern w:val="2"/>
          <w:lang w:eastAsia="zh-CN"/>
          <w14:ligatures w14:val="standardContextual"/>
        </w:rPr>
        <w:sectPr w:rsidR="00D91A8D" w:rsidRPr="00EB2F01" w:rsidSect="001B6AFD">
          <w:headerReference w:type="even" r:id="rId29"/>
          <w:headerReference w:type="default" r:id="rId30"/>
          <w:footerReference w:type="even" r:id="rId31"/>
          <w:footerReference w:type="default" r:id="rId32"/>
          <w:pgSz w:w="12240" w:h="15840"/>
          <w:pgMar w:top="1134" w:right="1440" w:bottom="1134" w:left="1440" w:header="709" w:footer="709" w:gutter="0"/>
          <w:cols w:space="708"/>
          <w:titlePg/>
          <w:docGrid w:linePitch="360"/>
        </w:sectPr>
      </w:pPr>
    </w:p>
    <w:p w14:paraId="74CB8854" w14:textId="5F8DD3EE" w:rsidR="00050E9A" w:rsidRPr="00EB2F01" w:rsidRDefault="00050E9A" w:rsidP="00DD7449">
      <w:pPr>
        <w:spacing w:before="240" w:after="120"/>
        <w:jc w:val="left"/>
        <w:rPr>
          <w:rFonts w:eastAsiaTheme="minorEastAsia"/>
          <w:b/>
          <w:bCs/>
          <w:kern w:val="2"/>
          <w14:ligatures w14:val="standardContextual"/>
        </w:rPr>
      </w:pPr>
      <w:r>
        <w:rPr>
          <w:b/>
        </w:rPr>
        <w:lastRenderedPageBreak/>
        <w:t>Medidas para integrar las interrelaciones entre la diversidad biológica y la salud en la implementación</w:t>
      </w:r>
      <w:r w:rsidR="00DE3D84">
        <w:rPr>
          <w:b/>
        </w:rPr>
        <w:t> </w:t>
      </w:r>
      <w:r w:rsidR="00DE3D84">
        <w:rPr>
          <w:b/>
        </w:rPr>
        <w:br/>
      </w:r>
      <w:r>
        <w:rPr>
          <w:b/>
        </w:rPr>
        <w:t xml:space="preserve">del Marco Mundial de Biodiversidad de Kunming-Montreal </w:t>
      </w:r>
    </w:p>
    <w:tbl>
      <w:tblPr>
        <w:tblStyle w:val="TableGrid3"/>
        <w:tblW w:w="5010" w:type="pct"/>
        <w:tblInd w:w="-5" w:type="dxa"/>
        <w:tblLayout w:type="fixed"/>
        <w:tblLook w:val="04A0" w:firstRow="1" w:lastRow="0" w:firstColumn="1" w:lastColumn="0" w:noHBand="0" w:noVBand="1"/>
      </w:tblPr>
      <w:tblGrid>
        <w:gridCol w:w="1890"/>
        <w:gridCol w:w="4230"/>
        <w:gridCol w:w="7469"/>
      </w:tblGrid>
      <w:tr w:rsidR="00F97663" w:rsidRPr="00EB2F01" w14:paraId="225ED9AB" w14:textId="77777777" w:rsidTr="009B0237">
        <w:trPr>
          <w:tblHeader/>
        </w:trPr>
        <w:tc>
          <w:tcPr>
            <w:tcW w:w="1890" w:type="dxa"/>
          </w:tcPr>
          <w:p w14:paraId="3F3A02C4" w14:textId="72E120C2" w:rsidR="00050E9A" w:rsidRPr="00603392" w:rsidRDefault="00A42497" w:rsidP="009A429E">
            <w:pPr>
              <w:spacing w:after="40"/>
              <w:jc w:val="left"/>
              <w:rPr>
                <w:rFonts w:asciiTheme="majorBidi" w:eastAsiaTheme="minorEastAsia" w:hAnsiTheme="majorBidi" w:cstheme="majorBidi"/>
                <w:i/>
                <w:iCs/>
                <w:color w:val="000000" w:themeColor="text1"/>
                <w:kern w:val="2"/>
                <w:sz w:val="20"/>
                <w:szCs w:val="20"/>
                <w14:ligatures w14:val="standardContextual"/>
              </w:rPr>
            </w:pPr>
            <w:r>
              <w:rPr>
                <w:rFonts w:asciiTheme="majorBidi" w:hAnsiTheme="majorBidi"/>
                <w:i/>
                <w:color w:val="000000" w:themeColor="text1"/>
                <w:sz w:val="20"/>
              </w:rPr>
              <w:t>Metas del Marco</w:t>
            </w:r>
            <w:r w:rsidR="00F37EF3" w:rsidRPr="00F37EF3">
              <w:rPr>
                <w:rFonts w:asciiTheme="majorBidi" w:hAnsiTheme="majorBidi"/>
                <w:i/>
                <w:color w:val="000000" w:themeColor="text1"/>
                <w:spacing w:val="-20"/>
                <w:sz w:val="20"/>
              </w:rPr>
              <w:t xml:space="preserve"> </w:t>
            </w:r>
            <w:r>
              <w:rPr>
                <w:rFonts w:asciiTheme="majorBidi" w:hAnsiTheme="majorBidi"/>
                <w:i/>
                <w:color w:val="000000" w:themeColor="text1"/>
                <w:sz w:val="20"/>
                <w:vertAlign w:val="superscript"/>
              </w:rPr>
              <w:t>a</w:t>
            </w:r>
          </w:p>
        </w:tc>
        <w:tc>
          <w:tcPr>
            <w:tcW w:w="4230" w:type="dxa"/>
          </w:tcPr>
          <w:p w14:paraId="3190994F" w14:textId="4F04172A" w:rsidR="00050E9A" w:rsidRPr="00603392" w:rsidRDefault="00DE3D84" w:rsidP="009A429E">
            <w:pPr>
              <w:spacing w:after="40"/>
              <w:jc w:val="left"/>
              <w:rPr>
                <w:rFonts w:asciiTheme="majorBidi" w:eastAsiaTheme="minorEastAsia" w:hAnsiTheme="majorBidi" w:cstheme="majorBidi"/>
                <w:i/>
                <w:iCs/>
                <w:color w:val="000000" w:themeColor="text1"/>
                <w:kern w:val="2"/>
                <w:sz w:val="20"/>
                <w:szCs w:val="20"/>
                <w14:ligatures w14:val="standardContextual"/>
              </w:rPr>
            </w:pPr>
            <w:r>
              <w:rPr>
                <w:rFonts w:asciiTheme="majorBidi" w:hAnsiTheme="majorBidi"/>
                <w:i/>
                <w:color w:val="000000" w:themeColor="text1"/>
                <w:sz w:val="20"/>
              </w:rPr>
              <w:t>Pertine</w:t>
            </w:r>
            <w:r w:rsidR="00050E9A">
              <w:rPr>
                <w:rFonts w:asciiTheme="majorBidi" w:hAnsiTheme="majorBidi"/>
                <w:i/>
                <w:color w:val="000000" w:themeColor="text1"/>
                <w:sz w:val="20"/>
              </w:rPr>
              <w:t>ncia para la salud</w:t>
            </w:r>
            <w:r w:rsidR="00F37EF3" w:rsidRPr="00F37EF3">
              <w:rPr>
                <w:rFonts w:asciiTheme="majorBidi" w:hAnsiTheme="majorBidi"/>
                <w:i/>
                <w:color w:val="000000" w:themeColor="text1"/>
                <w:spacing w:val="-20"/>
                <w:sz w:val="20"/>
              </w:rPr>
              <w:t xml:space="preserve"> </w:t>
            </w:r>
            <w:r w:rsidR="00050E9A">
              <w:rPr>
                <w:rFonts w:asciiTheme="majorBidi" w:hAnsiTheme="majorBidi"/>
                <w:i/>
                <w:color w:val="000000" w:themeColor="text1"/>
                <w:sz w:val="20"/>
                <w:vertAlign w:val="superscript"/>
              </w:rPr>
              <w:t>b</w:t>
            </w:r>
          </w:p>
        </w:tc>
        <w:tc>
          <w:tcPr>
            <w:tcW w:w="7469" w:type="dxa"/>
          </w:tcPr>
          <w:p w14:paraId="7063090B" w14:textId="16FCA275" w:rsidR="00050E9A" w:rsidRPr="00603392" w:rsidRDefault="00050E9A" w:rsidP="00DE3D84">
            <w:pPr>
              <w:spacing w:after="40"/>
              <w:jc w:val="left"/>
              <w:rPr>
                <w:rFonts w:asciiTheme="majorBidi" w:eastAsiaTheme="minorEastAsia" w:hAnsiTheme="majorBidi" w:cstheme="majorBidi"/>
                <w:i/>
                <w:iCs/>
                <w:color w:val="000000" w:themeColor="text1"/>
                <w:kern w:val="2"/>
                <w:sz w:val="20"/>
                <w:szCs w:val="20"/>
                <w14:ligatures w14:val="standardContextual"/>
              </w:rPr>
            </w:pPr>
            <w:r>
              <w:rPr>
                <w:rFonts w:asciiTheme="majorBidi" w:hAnsiTheme="majorBidi"/>
                <w:i/>
                <w:color w:val="000000" w:themeColor="text1"/>
                <w:sz w:val="20"/>
              </w:rPr>
              <w:t>Medidas para garantizar beneficios secundarios para la diversidad biológica y la salud, que se implementarán t</w:t>
            </w:r>
            <w:r w:rsidR="00DE3D84">
              <w:rPr>
                <w:rFonts w:asciiTheme="majorBidi" w:hAnsiTheme="majorBidi"/>
                <w:i/>
                <w:color w:val="000000" w:themeColor="text1"/>
                <w:sz w:val="20"/>
              </w:rPr>
              <w:t>oma</w:t>
            </w:r>
            <w:r>
              <w:rPr>
                <w:rFonts w:asciiTheme="majorBidi" w:hAnsiTheme="majorBidi"/>
                <w:i/>
                <w:color w:val="000000" w:themeColor="text1"/>
                <w:sz w:val="20"/>
              </w:rPr>
              <w:t>ndo en cuenta el enfoque de “Una sola salud” y otros enfoques holísticos</w:t>
            </w:r>
          </w:p>
        </w:tc>
      </w:tr>
      <w:tr w:rsidR="008C3584" w:rsidRPr="00EB2F01" w14:paraId="3BBDBED6" w14:textId="77777777" w:rsidTr="00603392">
        <w:tc>
          <w:tcPr>
            <w:tcW w:w="13589" w:type="dxa"/>
            <w:gridSpan w:val="3"/>
          </w:tcPr>
          <w:p w14:paraId="528B0EA5" w14:textId="630FC64A" w:rsidR="008C3584" w:rsidRPr="00603392" w:rsidRDefault="00402E44" w:rsidP="009A429E">
            <w:pPr>
              <w:spacing w:before="40" w:after="40"/>
              <w:jc w:val="left"/>
              <w:rPr>
                <w:rFonts w:asciiTheme="majorBidi" w:eastAsiaTheme="minorEastAsia" w:hAnsiTheme="majorBidi" w:cstheme="majorBidi"/>
                <w:sz w:val="20"/>
                <w:szCs w:val="20"/>
              </w:rPr>
            </w:pPr>
            <w:r>
              <w:rPr>
                <w:rFonts w:asciiTheme="majorBidi" w:hAnsiTheme="majorBidi"/>
                <w:b/>
                <w:color w:val="000000" w:themeColor="text1"/>
                <w:sz w:val="20"/>
              </w:rPr>
              <w:t>Uso de la tierra y el mar</w:t>
            </w:r>
          </w:p>
        </w:tc>
      </w:tr>
      <w:tr w:rsidR="00050E9A" w:rsidRPr="00EB2F01" w14:paraId="6EEE6AA5" w14:textId="77777777" w:rsidTr="009B0237">
        <w:tc>
          <w:tcPr>
            <w:tcW w:w="1890" w:type="dxa"/>
          </w:tcPr>
          <w:p w14:paraId="1C9B4C32" w14:textId="16012328" w:rsidR="00050E9A" w:rsidRPr="00603392" w:rsidRDefault="00050E9A" w:rsidP="003013DE">
            <w:pPr>
              <w:spacing w:before="40" w:after="40"/>
              <w:jc w:val="left"/>
              <w:rPr>
                <w:rFonts w:asciiTheme="majorBidi" w:eastAsiaTheme="minorEastAsia" w:hAnsiTheme="majorBidi" w:cstheme="majorBidi"/>
                <w:bCs/>
                <w:color w:val="000000" w:themeColor="text1"/>
                <w:kern w:val="2"/>
                <w:sz w:val="20"/>
                <w:szCs w:val="20"/>
                <w14:ligatures w14:val="standardContextual"/>
              </w:rPr>
            </w:pPr>
            <w:r>
              <w:rPr>
                <w:rFonts w:asciiTheme="majorBidi" w:hAnsiTheme="majorBidi"/>
                <w:color w:val="000000" w:themeColor="text1"/>
                <w:sz w:val="20"/>
              </w:rPr>
              <w:t>Metas 1, 2 y 3</w:t>
            </w:r>
          </w:p>
        </w:tc>
        <w:tc>
          <w:tcPr>
            <w:tcW w:w="4230" w:type="dxa"/>
          </w:tcPr>
          <w:p w14:paraId="198EE5BE" w14:textId="60FDD142" w:rsidR="00050E9A" w:rsidRPr="00603392" w:rsidRDefault="00050E9A" w:rsidP="004E4DC5">
            <w:pPr>
              <w:jc w:val="left"/>
              <w:rPr>
                <w:rFonts w:asciiTheme="majorBidi" w:eastAsiaTheme="minorEastAsia" w:hAnsiTheme="majorBidi" w:cstheme="majorBidi"/>
                <w:kern w:val="2"/>
                <w:sz w:val="20"/>
                <w:szCs w:val="20"/>
                <w14:ligatures w14:val="standardContextual"/>
              </w:rPr>
            </w:pPr>
            <w:r>
              <w:rPr>
                <w:rFonts w:asciiTheme="majorBidi" w:hAnsiTheme="majorBidi"/>
                <w:sz w:val="20"/>
              </w:rPr>
              <w:t>La reducción de la pérdida, degradación y fragmentación de los hábitats de fauna y flora silvestres y la invasión de z</w:t>
            </w:r>
            <w:r w:rsidR="004E4DC5">
              <w:rPr>
                <w:rFonts w:asciiTheme="majorBidi" w:hAnsiTheme="majorBidi"/>
                <w:sz w:val="20"/>
              </w:rPr>
              <w:t xml:space="preserve">onas </w:t>
            </w:r>
            <w:r>
              <w:rPr>
                <w:rFonts w:asciiTheme="majorBidi" w:hAnsiTheme="majorBidi"/>
                <w:sz w:val="20"/>
              </w:rPr>
              <w:t>biodivers</w:t>
            </w:r>
            <w:r w:rsidR="004E4DC5">
              <w:rPr>
                <w:rFonts w:asciiTheme="majorBidi" w:hAnsiTheme="majorBidi"/>
                <w:sz w:val="20"/>
              </w:rPr>
              <w:t>as</w:t>
            </w:r>
            <w:r>
              <w:rPr>
                <w:rFonts w:asciiTheme="majorBidi" w:hAnsiTheme="majorBidi"/>
                <w:sz w:val="20"/>
              </w:rPr>
              <w:t xml:space="preserve"> contribuyen a que la naturaleza continúe brindando sus contribuciones a las personas, lo que a su vez favorece la salud y reduce la aparición y transmisión de enfermedades entre la fauna y flora silvestres, el ganado y las personas.</w:t>
            </w:r>
          </w:p>
        </w:tc>
        <w:tc>
          <w:tcPr>
            <w:tcW w:w="7469" w:type="dxa"/>
          </w:tcPr>
          <w:p w14:paraId="00027322" w14:textId="60C8EA93" w:rsidR="00050E9A" w:rsidRPr="009B0237" w:rsidRDefault="00050E9A" w:rsidP="009A429E">
            <w:pPr>
              <w:spacing w:before="60" w:after="60"/>
              <w:jc w:val="left"/>
              <w:rPr>
                <w:rFonts w:asciiTheme="majorBidi" w:eastAsiaTheme="minorEastAsia" w:hAnsiTheme="majorBidi" w:cstheme="majorBidi"/>
                <w:spacing w:val="-2"/>
                <w:sz w:val="20"/>
                <w:szCs w:val="20"/>
              </w:rPr>
            </w:pPr>
            <w:r w:rsidRPr="009B0237">
              <w:rPr>
                <w:rFonts w:asciiTheme="majorBidi" w:hAnsiTheme="majorBidi"/>
                <w:spacing w:val="-2"/>
                <w:sz w:val="20"/>
              </w:rPr>
              <w:t xml:space="preserve">1. Alentar los esfuerzos para considerar las interrelaciones entre la diversidad biológica y la salud en la planificación y las políticas de uso de la tierra y el mar, los planes y las acciones de conservación y restauración para identificar posibles beneficios secundarios y compensaciones para la diversidad biológica y la salud, incluido mediante la incorporación de evaluaciones del impacto </w:t>
            </w:r>
            <w:r w:rsidR="004E4DC5">
              <w:rPr>
                <w:rFonts w:asciiTheme="majorBidi" w:hAnsiTheme="majorBidi"/>
                <w:spacing w:val="-2"/>
                <w:sz w:val="20"/>
              </w:rPr>
              <w:t>en</w:t>
            </w:r>
            <w:r w:rsidRPr="009B0237">
              <w:rPr>
                <w:rFonts w:asciiTheme="majorBidi" w:hAnsiTheme="majorBidi"/>
                <w:spacing w:val="-2"/>
                <w:sz w:val="20"/>
              </w:rPr>
              <w:t xml:space="preserve"> la salud</w:t>
            </w:r>
            <w:r w:rsidR="004E4DC5">
              <w:rPr>
                <w:rFonts w:asciiTheme="majorBidi" w:hAnsiTheme="majorBidi"/>
                <w:spacing w:val="-2"/>
                <w:sz w:val="20"/>
              </w:rPr>
              <w:t>,</w:t>
            </w:r>
            <w:r w:rsidRPr="009B0237">
              <w:rPr>
                <w:rFonts w:asciiTheme="majorBidi" w:hAnsiTheme="majorBidi"/>
                <w:spacing w:val="-2"/>
                <w:sz w:val="20"/>
              </w:rPr>
              <w:t xml:space="preserve"> de manera de promover las múltiples dimensiones de la salud y reducir y mitigar los riesgos de enfermedad para las personas, en particular, los pueblos indígenas y las comunidades locales, las mujeres, la infancia, la juventud y las personas de edad</w:t>
            </w:r>
            <w:r w:rsidR="00394B04">
              <w:rPr>
                <w:rFonts w:asciiTheme="majorBidi" w:hAnsiTheme="majorBidi"/>
                <w:spacing w:val="-2"/>
                <w:sz w:val="20"/>
              </w:rPr>
              <w:t>,</w:t>
            </w:r>
            <w:r w:rsidRPr="009B0237">
              <w:rPr>
                <w:rFonts w:asciiTheme="majorBidi" w:hAnsiTheme="majorBidi"/>
                <w:spacing w:val="-2"/>
                <w:sz w:val="20"/>
              </w:rPr>
              <w:t xml:space="preserve"> y el ganado y la flora y fauna silvestres, teniendo en cuenta los riesgos de transmisión de enfermedades de animales a humanos y su retrotransmisión.</w:t>
            </w:r>
          </w:p>
          <w:p w14:paraId="79079CCA" w14:textId="32DF1861" w:rsidR="00050E9A" w:rsidRPr="00631671" w:rsidRDefault="00D22D68" w:rsidP="009A429E">
            <w:pPr>
              <w:spacing w:before="60" w:after="60"/>
              <w:jc w:val="left"/>
              <w:rPr>
                <w:rFonts w:asciiTheme="majorBidi" w:eastAsiaTheme="minorEastAsia" w:hAnsiTheme="majorBidi" w:cstheme="majorBidi"/>
                <w:spacing w:val="-4"/>
                <w:sz w:val="20"/>
                <w:szCs w:val="20"/>
              </w:rPr>
            </w:pPr>
            <w:r>
              <w:rPr>
                <w:rFonts w:asciiTheme="majorBidi" w:hAnsiTheme="majorBidi"/>
                <w:sz w:val="20"/>
              </w:rPr>
              <w:t>2</w:t>
            </w:r>
            <w:r w:rsidRPr="00631671">
              <w:rPr>
                <w:rFonts w:asciiTheme="majorBidi" w:hAnsiTheme="majorBidi"/>
                <w:spacing w:val="-4"/>
                <w:sz w:val="20"/>
              </w:rPr>
              <w:t>. Alentar los esfuerzos para mejora</w:t>
            </w:r>
            <w:r w:rsidR="00243559" w:rsidRPr="00631671">
              <w:rPr>
                <w:rFonts w:asciiTheme="majorBidi" w:hAnsiTheme="majorBidi"/>
                <w:spacing w:val="-4"/>
                <w:sz w:val="20"/>
              </w:rPr>
              <w:t>r</w:t>
            </w:r>
            <w:r w:rsidRPr="00631671">
              <w:rPr>
                <w:rFonts w:asciiTheme="majorBidi" w:hAnsiTheme="majorBidi"/>
                <w:spacing w:val="-4"/>
                <w:sz w:val="20"/>
              </w:rPr>
              <w:t xml:space="preserve">, </w:t>
            </w:r>
            <w:r w:rsidR="00394B04">
              <w:rPr>
                <w:rFonts w:asciiTheme="majorBidi" w:hAnsiTheme="majorBidi"/>
                <w:spacing w:val="-4"/>
                <w:sz w:val="20"/>
              </w:rPr>
              <w:t>conforme a</w:t>
            </w:r>
            <w:r w:rsidRPr="00631671">
              <w:rPr>
                <w:rFonts w:asciiTheme="majorBidi" w:hAnsiTheme="majorBidi"/>
                <w:spacing w:val="-4"/>
                <w:sz w:val="20"/>
              </w:rPr>
              <w:t xml:space="preserve"> las capacidades nacionales, </w:t>
            </w:r>
            <w:r w:rsidR="00243559" w:rsidRPr="00631671">
              <w:rPr>
                <w:rFonts w:asciiTheme="majorBidi" w:hAnsiTheme="majorBidi"/>
                <w:spacing w:val="-4"/>
                <w:sz w:val="20"/>
              </w:rPr>
              <w:t>los</w:t>
            </w:r>
            <w:r w:rsidR="004E4DC5" w:rsidRPr="00631671">
              <w:rPr>
                <w:rFonts w:asciiTheme="majorBidi" w:hAnsiTheme="majorBidi"/>
                <w:spacing w:val="-4"/>
                <w:sz w:val="20"/>
              </w:rPr>
              <w:t xml:space="preserve"> </w:t>
            </w:r>
            <w:r w:rsidRPr="00631671">
              <w:rPr>
                <w:rFonts w:asciiTheme="majorBidi" w:hAnsiTheme="majorBidi"/>
                <w:spacing w:val="-4"/>
                <w:sz w:val="20"/>
              </w:rPr>
              <w:t xml:space="preserve">sistemas de seguimiento </w:t>
            </w:r>
            <w:r w:rsidR="00243559" w:rsidRPr="00631671">
              <w:rPr>
                <w:rFonts w:asciiTheme="majorBidi" w:hAnsiTheme="majorBidi"/>
                <w:spacing w:val="-4"/>
                <w:sz w:val="20"/>
              </w:rPr>
              <w:t xml:space="preserve">de manera </w:t>
            </w:r>
            <w:r w:rsidRPr="00631671">
              <w:rPr>
                <w:rFonts w:asciiTheme="majorBidi" w:hAnsiTheme="majorBidi"/>
                <w:spacing w:val="-4"/>
                <w:sz w:val="20"/>
              </w:rPr>
              <w:t>que inc</w:t>
            </w:r>
            <w:r w:rsidR="00243559" w:rsidRPr="00631671">
              <w:rPr>
                <w:rFonts w:asciiTheme="majorBidi" w:hAnsiTheme="majorBidi"/>
                <w:spacing w:val="-4"/>
                <w:sz w:val="20"/>
              </w:rPr>
              <w:t>orpore</w:t>
            </w:r>
            <w:r w:rsidRPr="00631671">
              <w:rPr>
                <w:rFonts w:asciiTheme="majorBidi" w:hAnsiTheme="majorBidi"/>
                <w:spacing w:val="-4"/>
                <w:sz w:val="20"/>
              </w:rPr>
              <w:t xml:space="preserve">n la evaluación de los </w:t>
            </w:r>
            <w:r w:rsidR="004E4DC5" w:rsidRPr="00631671">
              <w:rPr>
                <w:rFonts w:asciiTheme="majorBidi" w:hAnsiTheme="majorBidi"/>
                <w:spacing w:val="-4"/>
                <w:sz w:val="20"/>
              </w:rPr>
              <w:t>impa</w:t>
            </w:r>
            <w:r w:rsidRPr="00631671">
              <w:rPr>
                <w:rFonts w:asciiTheme="majorBidi" w:hAnsiTheme="majorBidi"/>
                <w:spacing w:val="-4"/>
                <w:sz w:val="20"/>
              </w:rPr>
              <w:t xml:space="preserve">ctos de las actividades de uso de la tierra y el mar, incluidas </w:t>
            </w:r>
            <w:r w:rsidR="00243559" w:rsidRPr="00631671">
              <w:rPr>
                <w:rFonts w:asciiTheme="majorBidi" w:hAnsiTheme="majorBidi"/>
                <w:spacing w:val="-4"/>
                <w:sz w:val="20"/>
              </w:rPr>
              <w:t xml:space="preserve">las actividades de </w:t>
            </w:r>
            <w:r w:rsidRPr="00631671">
              <w:rPr>
                <w:rFonts w:asciiTheme="majorBidi" w:hAnsiTheme="majorBidi"/>
                <w:spacing w:val="-4"/>
                <w:sz w:val="20"/>
              </w:rPr>
              <w:t>conservación y restauración, en los seres humanos, los animales y los ecosistemas, entre otras cosas, mediante el establecimiento de sitios de vigilancia en zonas de alto riesgo en las que las condiciones ambientales están cambiando rápidamente y se están volviendo propicias para la aparición de enfermedades.</w:t>
            </w:r>
            <w:r w:rsidRPr="00631671">
              <w:rPr>
                <w:rFonts w:asciiTheme="majorBidi" w:hAnsiTheme="majorBidi"/>
                <w:spacing w:val="-4"/>
                <w:sz w:val="20"/>
                <w:highlight w:val="yellow"/>
                <w:vertAlign w:val="superscript"/>
              </w:rPr>
              <w:t xml:space="preserve"> </w:t>
            </w:r>
          </w:p>
          <w:p w14:paraId="7412C8A3" w14:textId="6C91D6F1" w:rsidR="00050E9A" w:rsidRPr="00603392" w:rsidRDefault="007F6A30" w:rsidP="009A429E">
            <w:pPr>
              <w:spacing w:before="60" w:after="60"/>
              <w:jc w:val="left"/>
              <w:rPr>
                <w:rFonts w:asciiTheme="majorBidi" w:eastAsiaTheme="minorEastAsia" w:hAnsiTheme="majorBidi" w:cstheme="majorBidi"/>
                <w:color w:val="000000"/>
                <w:kern w:val="22"/>
                <w:sz w:val="20"/>
                <w:szCs w:val="20"/>
              </w:rPr>
            </w:pPr>
            <w:r>
              <w:rPr>
                <w:rFonts w:asciiTheme="majorBidi" w:hAnsiTheme="majorBidi"/>
                <w:color w:val="000000"/>
                <w:sz w:val="20"/>
              </w:rPr>
              <w:t xml:space="preserve">3. Incorporar la consideración de las interrelaciones entre la diversidad biológica y la salud en las políticas y programas de agua, saneamiento e higiene y en las medidas para proteger </w:t>
            </w:r>
            <w:r>
              <w:rPr>
                <w:rFonts w:asciiTheme="majorBidi" w:hAnsiTheme="majorBidi"/>
                <w:sz w:val="20"/>
              </w:rPr>
              <w:t>y gestionar de manera sostenible los ecosistemas que suministran agua.</w:t>
            </w:r>
          </w:p>
          <w:p w14:paraId="3416EF7D" w14:textId="44A8EAC6" w:rsidR="00050E9A" w:rsidRPr="00603392" w:rsidRDefault="00CB639A" w:rsidP="00394B04">
            <w:pPr>
              <w:spacing w:before="60" w:after="60"/>
              <w:jc w:val="left"/>
              <w:rPr>
                <w:color w:val="000000" w:themeColor="text1"/>
                <w:sz w:val="20"/>
                <w:szCs w:val="20"/>
              </w:rPr>
            </w:pPr>
            <w:r>
              <w:rPr>
                <w:rFonts w:asciiTheme="majorBidi" w:hAnsiTheme="majorBidi"/>
                <w:color w:val="000000" w:themeColor="text1"/>
                <w:sz w:val="20"/>
              </w:rPr>
              <w:t xml:space="preserve">4. </w:t>
            </w:r>
            <w:r w:rsidRPr="0076681B">
              <w:rPr>
                <w:rFonts w:asciiTheme="majorBidi" w:hAnsiTheme="majorBidi"/>
                <w:color w:val="000000" w:themeColor="text1"/>
                <w:spacing w:val="-4"/>
                <w:sz w:val="20"/>
              </w:rPr>
              <w:t xml:space="preserve">Considerar </w:t>
            </w:r>
            <w:r w:rsidR="00394B04" w:rsidRPr="0076681B">
              <w:rPr>
                <w:rFonts w:asciiTheme="majorBidi" w:hAnsiTheme="majorBidi"/>
                <w:color w:val="000000" w:themeColor="text1"/>
                <w:spacing w:val="-4"/>
                <w:sz w:val="20"/>
              </w:rPr>
              <w:t xml:space="preserve">en la planificación del uso de la tierra y el mar y </w:t>
            </w:r>
            <w:r w:rsidR="00394B04">
              <w:rPr>
                <w:rFonts w:asciiTheme="majorBidi" w:hAnsiTheme="majorBidi"/>
                <w:color w:val="000000" w:themeColor="text1"/>
                <w:spacing w:val="-4"/>
                <w:sz w:val="20"/>
              </w:rPr>
              <w:t xml:space="preserve">en </w:t>
            </w:r>
            <w:r w:rsidR="00394B04" w:rsidRPr="0076681B">
              <w:rPr>
                <w:rFonts w:asciiTheme="majorBidi" w:hAnsiTheme="majorBidi"/>
                <w:color w:val="000000" w:themeColor="text1"/>
                <w:spacing w:val="-4"/>
                <w:sz w:val="20"/>
              </w:rPr>
              <w:t xml:space="preserve">las acciones de conservación y restauración </w:t>
            </w:r>
            <w:r w:rsidRPr="0076681B">
              <w:rPr>
                <w:rFonts w:asciiTheme="majorBidi" w:hAnsiTheme="majorBidi"/>
                <w:color w:val="000000" w:themeColor="text1"/>
                <w:spacing w:val="-4"/>
                <w:sz w:val="20"/>
              </w:rPr>
              <w:t>las contribuciones de los pueblos indígenas y las comunidades locales y las prácticas tradicionales para mitigar los impactos negativos en la salud.</w:t>
            </w:r>
          </w:p>
        </w:tc>
      </w:tr>
      <w:tr w:rsidR="00402E44" w:rsidRPr="00EB2F01" w14:paraId="7EFA9448" w14:textId="77777777" w:rsidTr="00603392">
        <w:tc>
          <w:tcPr>
            <w:tcW w:w="13589" w:type="dxa"/>
            <w:gridSpan w:val="3"/>
          </w:tcPr>
          <w:p w14:paraId="552EC9A5" w14:textId="6C8212AF" w:rsidR="00402E44" w:rsidRPr="00603392" w:rsidRDefault="00402E44" w:rsidP="00715156">
            <w:pPr>
              <w:keepNext/>
              <w:spacing w:before="40" w:after="40"/>
              <w:jc w:val="left"/>
              <w:rPr>
                <w:rFonts w:asciiTheme="majorBidi" w:eastAsiaTheme="minorEastAsia" w:hAnsiTheme="majorBidi" w:cstheme="majorBidi"/>
                <w:b/>
                <w:bCs/>
                <w:color w:val="000000" w:themeColor="text1"/>
                <w:kern w:val="2"/>
                <w:sz w:val="20"/>
                <w:szCs w:val="20"/>
                <w14:ligatures w14:val="standardContextual"/>
              </w:rPr>
            </w:pPr>
            <w:r>
              <w:rPr>
                <w:rFonts w:asciiTheme="majorBidi" w:hAnsiTheme="majorBidi"/>
                <w:b/>
                <w:color w:val="000000" w:themeColor="text1"/>
                <w:sz w:val="20"/>
              </w:rPr>
              <w:t>Gestión de especies</w:t>
            </w:r>
          </w:p>
        </w:tc>
      </w:tr>
      <w:tr w:rsidR="00050E9A" w:rsidRPr="00EB2F01" w14:paraId="6F8EBA3A" w14:textId="77777777" w:rsidTr="009B0237">
        <w:tc>
          <w:tcPr>
            <w:tcW w:w="1890" w:type="dxa"/>
          </w:tcPr>
          <w:p w14:paraId="4EE8EA2D" w14:textId="1182D1D1" w:rsidR="00050E9A" w:rsidRPr="00603392" w:rsidRDefault="00050E9A" w:rsidP="008D341A">
            <w:pPr>
              <w:spacing w:before="40" w:after="4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Metas 4, 5 y 9</w:t>
            </w:r>
          </w:p>
        </w:tc>
        <w:tc>
          <w:tcPr>
            <w:tcW w:w="4230" w:type="dxa"/>
          </w:tcPr>
          <w:p w14:paraId="586C9E02" w14:textId="313130B3" w:rsidR="00C62686" w:rsidRPr="00631671" w:rsidRDefault="00B33DFD" w:rsidP="008501A4">
            <w:pPr>
              <w:jc w:val="left"/>
              <w:rPr>
                <w:spacing w:val="-2"/>
                <w:sz w:val="20"/>
                <w:szCs w:val="20"/>
              </w:rPr>
            </w:pPr>
            <w:r w:rsidRPr="00631671">
              <w:rPr>
                <w:rFonts w:asciiTheme="majorBidi" w:hAnsiTheme="majorBidi"/>
                <w:spacing w:val="-2"/>
                <w:sz w:val="20"/>
              </w:rPr>
              <w:t>La gestión sostenible de las poblaciones de especies silvestres es importante para la salud de los ecosistemas y la provisión de servicios de los ecosistemas, como la seguridad alimentaria, la nutrición, los descubrimientos biomédicos y la medicina, y permitirá a las personas seguir obteniendo beneficios de esas poblaciones.</w:t>
            </w:r>
            <w:r w:rsidRPr="00631671">
              <w:rPr>
                <w:rFonts w:asciiTheme="majorBidi" w:hAnsiTheme="majorBidi"/>
                <w:color w:val="000000" w:themeColor="text1"/>
                <w:spacing w:val="-2"/>
                <w:sz w:val="20"/>
              </w:rPr>
              <w:t xml:space="preserve"> Es particularmente importante proteger la utilización consuetudinaria sostenible de los pueblos indígenas y las comunidades locales y aquellas que son especialmente dependientes de especies </w:t>
            </w:r>
            <w:r w:rsidRPr="00631671">
              <w:rPr>
                <w:rFonts w:asciiTheme="majorBidi" w:hAnsiTheme="majorBidi"/>
                <w:color w:val="000000" w:themeColor="text1"/>
                <w:spacing w:val="-2"/>
                <w:sz w:val="20"/>
              </w:rPr>
              <w:lastRenderedPageBreak/>
              <w:t>silvestres. Al mismo tiempo, mejorar la regulación y la gestión del uso y el comercio de especies silvestres y reducir los conflicto</w:t>
            </w:r>
            <w:r w:rsidR="008501A4" w:rsidRPr="00631671">
              <w:rPr>
                <w:rFonts w:asciiTheme="majorBidi" w:hAnsiTheme="majorBidi"/>
                <w:color w:val="000000" w:themeColor="text1"/>
                <w:spacing w:val="-2"/>
                <w:sz w:val="20"/>
              </w:rPr>
              <w:t xml:space="preserve">s entre los seres humanos y la fauna y flora </w:t>
            </w:r>
            <w:r w:rsidRPr="00631671">
              <w:rPr>
                <w:rFonts w:asciiTheme="majorBidi" w:hAnsiTheme="majorBidi"/>
                <w:color w:val="000000" w:themeColor="text1"/>
                <w:spacing w:val="-2"/>
                <w:sz w:val="20"/>
              </w:rPr>
              <w:t>silvestres pueden reducir la transmisión de enfermedades infecciosas</w:t>
            </w:r>
            <w:r w:rsidRPr="00631671">
              <w:rPr>
                <w:rFonts w:asciiTheme="majorBidi" w:hAnsiTheme="majorBidi"/>
                <w:spacing w:val="-2"/>
                <w:sz w:val="20"/>
              </w:rPr>
              <w:t xml:space="preserve">. Mantener, en colaboración con los pueblos indígenas y las comunidades locales, la diversidad genética de las especies silvestres, las especies domesticadas y sus parientes silvestres aumenta la resiliencia </w:t>
            </w:r>
            <w:r w:rsidR="008501A4" w:rsidRPr="00631671">
              <w:rPr>
                <w:rFonts w:asciiTheme="majorBidi" w:hAnsiTheme="majorBidi"/>
                <w:spacing w:val="-2"/>
                <w:sz w:val="20"/>
              </w:rPr>
              <w:t>a</w:t>
            </w:r>
            <w:r w:rsidRPr="00631671">
              <w:rPr>
                <w:rFonts w:asciiTheme="majorBidi" w:hAnsiTheme="majorBidi"/>
                <w:spacing w:val="-2"/>
                <w:sz w:val="20"/>
              </w:rPr>
              <w:t>nte futuros patógenos, la seguridad alimentaria y los valores nutricionales en beneficio de la salud del medio ambiente y de las personas.</w:t>
            </w:r>
            <w:r w:rsidRPr="00631671">
              <w:rPr>
                <w:rFonts w:asciiTheme="majorBidi" w:hAnsiTheme="majorBidi"/>
                <w:color w:val="000000" w:themeColor="text1"/>
                <w:spacing w:val="-2"/>
                <w:sz w:val="20"/>
              </w:rPr>
              <w:t xml:space="preserve"> </w:t>
            </w:r>
            <w:r w:rsidRPr="00631671">
              <w:rPr>
                <w:rFonts w:asciiTheme="majorBidi" w:hAnsiTheme="majorBidi"/>
                <w:spacing w:val="-2"/>
                <w:sz w:val="20"/>
              </w:rPr>
              <w:t>[Se puede reducir la aparición de enfermedades infecciosas preservando especies silvestres que funcionan como reservorios de virus y reduciendo el contacto inseguro entre los seres humanos, su ganado y la fauna</w:t>
            </w:r>
            <w:r w:rsidR="008501A4" w:rsidRPr="00631671">
              <w:rPr>
                <w:rFonts w:asciiTheme="majorBidi" w:hAnsiTheme="majorBidi"/>
                <w:spacing w:val="-2"/>
                <w:sz w:val="20"/>
              </w:rPr>
              <w:t xml:space="preserve"> y flora</w:t>
            </w:r>
            <w:r w:rsidRPr="00631671">
              <w:rPr>
                <w:rFonts w:asciiTheme="majorBidi" w:hAnsiTheme="majorBidi"/>
                <w:spacing w:val="-2"/>
                <w:sz w:val="20"/>
              </w:rPr>
              <w:t xml:space="preserve"> silvestre</w:t>
            </w:r>
            <w:r w:rsidR="008501A4" w:rsidRPr="00631671">
              <w:rPr>
                <w:rFonts w:asciiTheme="majorBidi" w:hAnsiTheme="majorBidi"/>
                <w:spacing w:val="-2"/>
                <w:sz w:val="20"/>
              </w:rPr>
              <w:t>s</w:t>
            </w:r>
            <w:r w:rsidRPr="00631671">
              <w:rPr>
                <w:rFonts w:asciiTheme="majorBidi" w:hAnsiTheme="majorBidi"/>
                <w:spacing w:val="-2"/>
                <w:sz w:val="20"/>
              </w:rPr>
              <w:t>.]</w:t>
            </w:r>
          </w:p>
        </w:tc>
        <w:tc>
          <w:tcPr>
            <w:tcW w:w="7469" w:type="dxa"/>
          </w:tcPr>
          <w:p w14:paraId="59F68E83" w14:textId="06DDB3A8" w:rsidR="00050E9A" w:rsidRPr="00603392" w:rsidRDefault="00050E9A" w:rsidP="00BE4FC1">
            <w:pPr>
              <w:spacing w:before="60" w:after="60"/>
              <w:jc w:val="left"/>
              <w:rPr>
                <w:rFonts w:asciiTheme="majorBidi" w:hAnsiTheme="majorBidi" w:cstheme="majorBidi"/>
                <w:snapToGrid w:val="0"/>
                <w:color w:val="000000" w:themeColor="text1"/>
                <w:sz w:val="20"/>
                <w:szCs w:val="20"/>
              </w:rPr>
            </w:pPr>
            <w:r>
              <w:rPr>
                <w:rFonts w:asciiTheme="majorBidi" w:hAnsiTheme="majorBidi"/>
                <w:snapToGrid w:val="0"/>
                <w:color w:val="000000" w:themeColor="text1"/>
                <w:sz w:val="20"/>
              </w:rPr>
              <w:lastRenderedPageBreak/>
              <w:t xml:space="preserve">1. </w:t>
            </w:r>
            <w:r w:rsidRPr="00920525">
              <w:rPr>
                <w:rFonts w:asciiTheme="majorBidi" w:hAnsiTheme="majorBidi"/>
                <w:spacing w:val="-4"/>
                <w:sz w:val="20"/>
              </w:rPr>
              <w:t xml:space="preserve">Proteger la utilización consuetudinaria sostenible de la diversidad biológica y la gestión de los ecosistemas por parte de los pueblos indígenas y las comunidades locales en áreas protegidas, y en zonas </w:t>
            </w:r>
            <w:r w:rsidR="008501A4" w:rsidRPr="00920525">
              <w:rPr>
                <w:rFonts w:asciiTheme="majorBidi" w:hAnsiTheme="majorBidi"/>
                <w:spacing w:val="-4"/>
                <w:sz w:val="20"/>
              </w:rPr>
              <w:t>sujetas a</w:t>
            </w:r>
            <w:r w:rsidRPr="00920525">
              <w:rPr>
                <w:rFonts w:asciiTheme="majorBidi" w:hAnsiTheme="majorBidi"/>
                <w:spacing w:val="-4"/>
                <w:sz w:val="20"/>
              </w:rPr>
              <w:t xml:space="preserve"> otras medidas eficaces de conservación basadas en áreas y </w:t>
            </w:r>
            <w:r w:rsidR="00920525" w:rsidRPr="00920525">
              <w:rPr>
                <w:rFonts w:asciiTheme="majorBidi" w:hAnsiTheme="majorBidi"/>
                <w:spacing w:val="-4"/>
                <w:sz w:val="20"/>
              </w:rPr>
              <w:t xml:space="preserve">en </w:t>
            </w:r>
            <w:r w:rsidRPr="00920525">
              <w:rPr>
                <w:rFonts w:asciiTheme="majorBidi" w:hAnsiTheme="majorBidi"/>
                <w:spacing w:val="-4"/>
                <w:sz w:val="20"/>
              </w:rPr>
              <w:t>territorios</w:t>
            </w:r>
            <w:r w:rsidR="008501A4" w:rsidRPr="00920525">
              <w:rPr>
                <w:rFonts w:asciiTheme="majorBidi" w:hAnsiTheme="majorBidi"/>
                <w:spacing w:val="-4"/>
                <w:sz w:val="20"/>
              </w:rPr>
              <w:t xml:space="preserve"> indígenas y tradicionales, y </w:t>
            </w:r>
            <w:r w:rsidRPr="00920525">
              <w:rPr>
                <w:rFonts w:asciiTheme="majorBidi" w:hAnsiTheme="majorBidi"/>
                <w:spacing w:val="-4"/>
                <w:sz w:val="20"/>
              </w:rPr>
              <w:t>los beneficios relacionados</w:t>
            </w:r>
            <w:r w:rsidR="008501A4" w:rsidRPr="00920525">
              <w:rPr>
                <w:rFonts w:asciiTheme="majorBidi" w:hAnsiTheme="majorBidi"/>
                <w:spacing w:val="-4"/>
                <w:sz w:val="20"/>
              </w:rPr>
              <w:t xml:space="preserve"> que tienen para la salud</w:t>
            </w:r>
            <w:r w:rsidRPr="00920525">
              <w:rPr>
                <w:rFonts w:asciiTheme="majorBidi" w:hAnsiTheme="majorBidi"/>
                <w:spacing w:val="-4"/>
                <w:sz w:val="20"/>
              </w:rPr>
              <w:t>.</w:t>
            </w:r>
            <w:r>
              <w:rPr>
                <w:rFonts w:asciiTheme="majorBidi" w:hAnsiTheme="majorBidi"/>
                <w:snapToGrid w:val="0"/>
                <w:sz w:val="20"/>
              </w:rPr>
              <w:t xml:space="preserve"> </w:t>
            </w:r>
          </w:p>
          <w:p w14:paraId="62C624FC" w14:textId="25B3EF14" w:rsidR="00050E9A" w:rsidRPr="00603392" w:rsidRDefault="00050E9A" w:rsidP="009A429E">
            <w:pPr>
              <w:spacing w:before="60" w:after="60"/>
              <w:jc w:val="left"/>
              <w:rPr>
                <w:rFonts w:asciiTheme="majorBidi" w:hAnsiTheme="majorBidi" w:cstheme="majorBidi"/>
                <w:snapToGrid w:val="0"/>
                <w:color w:val="000000" w:themeColor="text1"/>
                <w:sz w:val="20"/>
                <w:szCs w:val="20"/>
              </w:rPr>
            </w:pPr>
            <w:r>
              <w:rPr>
                <w:rFonts w:asciiTheme="majorBidi" w:hAnsiTheme="majorBidi"/>
                <w:snapToGrid w:val="0"/>
                <w:color w:val="000000" w:themeColor="text1"/>
                <w:sz w:val="20"/>
              </w:rPr>
              <w:t xml:space="preserve">2. </w:t>
            </w:r>
            <w:r>
              <w:rPr>
                <w:sz w:val="20"/>
              </w:rPr>
              <w:t>Considerar el papel de la diversidad genética y de especies en la producción de alimentos nutritivos, la seguridad alimentaria, la nutrición, la medicina y otros bienes para garantizar que el uso medicinal de las especies silvestres, incluido en la medicina tradicional, sea sostenible, seguro y legal; y, en el caso de las especies amenazadas o protegidas, fomentar acciones de conservación, así como fuentes sostenibles alternativas para usos medicinales, cuando sea posible.</w:t>
            </w:r>
          </w:p>
          <w:p w14:paraId="6685B8E0" w14:textId="34BBE84C" w:rsidR="00050E9A" w:rsidRPr="00603392" w:rsidRDefault="00050E9A" w:rsidP="009B0237">
            <w:pPr>
              <w:spacing w:after="40"/>
              <w:jc w:val="left"/>
              <w:rPr>
                <w:rFonts w:asciiTheme="majorBidi" w:hAnsiTheme="majorBidi" w:cstheme="majorBidi"/>
                <w:snapToGrid w:val="0"/>
                <w:color w:val="000000" w:themeColor="text1"/>
                <w:sz w:val="20"/>
                <w:szCs w:val="20"/>
              </w:rPr>
            </w:pPr>
            <w:r>
              <w:rPr>
                <w:rFonts w:asciiTheme="majorBidi" w:hAnsiTheme="majorBidi"/>
                <w:snapToGrid w:val="0"/>
                <w:color w:val="000000" w:themeColor="text1"/>
                <w:sz w:val="20"/>
              </w:rPr>
              <w:lastRenderedPageBreak/>
              <w:t>3. Mejorar, de conformidad con otros acuerdos internacionales, y conforme a las capacidades nacionales, la regulación, la gestión, la utilización y el comercio de especies silvestres, de manera que sean sostenibles y seguros para la salud humana y de la fauna y flora silvestres, mediante lo siguiente:</w:t>
            </w:r>
          </w:p>
          <w:p w14:paraId="331267B5" w14:textId="13E52077" w:rsidR="00050E9A" w:rsidRPr="0076681B" w:rsidRDefault="00050E9A" w:rsidP="009B0237">
            <w:pPr>
              <w:tabs>
                <w:tab w:val="left" w:pos="691"/>
              </w:tabs>
              <w:spacing w:after="40"/>
              <w:ind w:firstLine="317"/>
              <w:jc w:val="left"/>
              <w:rPr>
                <w:rFonts w:asciiTheme="majorBidi" w:hAnsiTheme="majorBidi" w:cstheme="majorBidi"/>
                <w:snapToGrid w:val="0"/>
                <w:color w:val="000000" w:themeColor="text1"/>
                <w:spacing w:val="-6"/>
                <w:sz w:val="20"/>
                <w:szCs w:val="20"/>
              </w:rPr>
            </w:pPr>
            <w:r>
              <w:rPr>
                <w:rFonts w:asciiTheme="majorBidi" w:hAnsiTheme="majorBidi"/>
                <w:snapToGrid w:val="0"/>
                <w:color w:val="000000" w:themeColor="text1"/>
                <w:sz w:val="20"/>
              </w:rPr>
              <w:t>a)</w:t>
            </w:r>
            <w:r>
              <w:rPr>
                <w:rFonts w:asciiTheme="majorBidi" w:hAnsiTheme="majorBidi"/>
                <w:snapToGrid w:val="0"/>
                <w:color w:val="000000" w:themeColor="text1"/>
                <w:sz w:val="20"/>
              </w:rPr>
              <w:tab/>
            </w:r>
            <w:r w:rsidRPr="0076681B">
              <w:rPr>
                <w:rFonts w:asciiTheme="majorBidi" w:hAnsiTheme="majorBidi"/>
                <w:snapToGrid w:val="0"/>
                <w:color w:val="000000" w:themeColor="text1"/>
                <w:spacing w:val="-6"/>
                <w:sz w:val="20"/>
              </w:rPr>
              <w:t xml:space="preserve">Reconocer y abordar los posibles riesgos para la salud </w:t>
            </w:r>
            <w:r w:rsidR="00631671">
              <w:rPr>
                <w:rFonts w:asciiTheme="majorBidi" w:hAnsiTheme="majorBidi"/>
                <w:snapToGrid w:val="0"/>
                <w:color w:val="000000" w:themeColor="text1"/>
                <w:spacing w:val="-6"/>
                <w:sz w:val="20"/>
              </w:rPr>
              <w:t>planteados por</w:t>
            </w:r>
            <w:r w:rsidRPr="0076681B">
              <w:rPr>
                <w:rFonts w:asciiTheme="majorBidi" w:hAnsiTheme="majorBidi"/>
                <w:snapToGrid w:val="0"/>
                <w:color w:val="000000" w:themeColor="text1"/>
                <w:spacing w:val="-6"/>
                <w:sz w:val="20"/>
              </w:rPr>
              <w:t xml:space="preserve"> prácticas de uso, como el transporte, la comercialización y la venta de especímenes de especies silvestres; </w:t>
            </w:r>
          </w:p>
          <w:p w14:paraId="642147AB" w14:textId="097AFF3F" w:rsidR="00050E9A" w:rsidRPr="00603392" w:rsidRDefault="00050E9A" w:rsidP="009B0237">
            <w:pPr>
              <w:tabs>
                <w:tab w:val="left" w:pos="691"/>
              </w:tabs>
              <w:spacing w:after="40"/>
              <w:ind w:firstLine="317"/>
              <w:jc w:val="left"/>
              <w:rPr>
                <w:rFonts w:asciiTheme="majorBidi" w:hAnsiTheme="majorBidi" w:cstheme="majorBidi"/>
                <w:snapToGrid w:val="0"/>
                <w:color w:val="000000" w:themeColor="text1"/>
                <w:sz w:val="20"/>
                <w:szCs w:val="20"/>
              </w:rPr>
            </w:pPr>
            <w:r>
              <w:rPr>
                <w:rFonts w:asciiTheme="majorBidi" w:hAnsiTheme="majorBidi"/>
                <w:snapToGrid w:val="0"/>
                <w:color w:val="000000" w:themeColor="text1"/>
                <w:sz w:val="20"/>
              </w:rPr>
              <w:t>b)</w:t>
            </w:r>
            <w:r>
              <w:rPr>
                <w:rFonts w:asciiTheme="majorBidi" w:hAnsiTheme="majorBidi"/>
                <w:snapToGrid w:val="0"/>
                <w:color w:val="000000" w:themeColor="text1"/>
                <w:sz w:val="20"/>
              </w:rPr>
              <w:tab/>
              <w:t xml:space="preserve">Mejorar las medidas de seguridad de la biotecnología y de saneamiento en mercados y en toda la cadena de valor; </w:t>
            </w:r>
          </w:p>
          <w:p w14:paraId="25E4A7EC" w14:textId="42932247" w:rsidR="005A31B3" w:rsidRPr="00603392" w:rsidRDefault="000F31D2" w:rsidP="009B0237">
            <w:pPr>
              <w:tabs>
                <w:tab w:val="left" w:pos="691"/>
              </w:tabs>
              <w:spacing w:after="40"/>
              <w:ind w:firstLine="317"/>
              <w:jc w:val="left"/>
              <w:rPr>
                <w:rFonts w:asciiTheme="majorBidi" w:eastAsiaTheme="minorEastAsia" w:hAnsiTheme="majorBidi" w:cstheme="majorBidi"/>
                <w:color w:val="000000" w:themeColor="text1"/>
                <w:sz w:val="20"/>
                <w:szCs w:val="20"/>
              </w:rPr>
            </w:pPr>
            <w:r>
              <w:rPr>
                <w:rFonts w:asciiTheme="majorBidi" w:hAnsiTheme="majorBidi"/>
                <w:color w:val="000000" w:themeColor="text1"/>
                <w:sz w:val="20"/>
              </w:rPr>
              <w:t>c)</w:t>
            </w:r>
            <w:r>
              <w:rPr>
                <w:rFonts w:asciiTheme="majorBidi" w:hAnsiTheme="majorBidi"/>
                <w:color w:val="000000" w:themeColor="text1"/>
                <w:sz w:val="20"/>
              </w:rPr>
              <w:tab/>
              <w:t xml:space="preserve"> Desarrollar tecnologías y sistemas de seguimiento de enfermedades para mejorar la gestión del comercio de especies silvestres;</w:t>
            </w:r>
          </w:p>
          <w:p w14:paraId="6BC75ECF" w14:textId="2FBE779E" w:rsidR="00050E9A" w:rsidRPr="00603392" w:rsidRDefault="00050E9A" w:rsidP="009B0237">
            <w:pPr>
              <w:tabs>
                <w:tab w:val="left" w:pos="691"/>
              </w:tabs>
              <w:spacing w:after="40"/>
              <w:ind w:firstLine="317"/>
              <w:jc w:val="left"/>
              <w:rPr>
                <w:rFonts w:asciiTheme="majorBidi" w:hAnsiTheme="majorBidi" w:cstheme="majorBidi"/>
                <w:snapToGrid w:val="0"/>
                <w:color w:val="000000" w:themeColor="text1"/>
                <w:sz w:val="20"/>
                <w:szCs w:val="20"/>
              </w:rPr>
            </w:pPr>
            <w:r>
              <w:rPr>
                <w:rFonts w:asciiTheme="majorBidi" w:hAnsiTheme="majorBidi"/>
                <w:snapToGrid w:val="0"/>
                <w:color w:val="000000" w:themeColor="text1"/>
                <w:sz w:val="20"/>
              </w:rPr>
              <w:t>d)</w:t>
            </w:r>
            <w:r>
              <w:rPr>
                <w:rFonts w:asciiTheme="majorBidi" w:hAnsiTheme="majorBidi"/>
                <w:snapToGrid w:val="0"/>
                <w:color w:val="000000" w:themeColor="text1"/>
                <w:sz w:val="20"/>
              </w:rPr>
              <w:tab/>
            </w:r>
            <w:r w:rsidRPr="00920525">
              <w:rPr>
                <w:rFonts w:asciiTheme="majorBidi" w:hAnsiTheme="majorBidi"/>
                <w:snapToGrid w:val="0"/>
                <w:color w:val="000000" w:themeColor="text1"/>
                <w:spacing w:val="-6"/>
                <w:sz w:val="20"/>
              </w:rPr>
              <w:t xml:space="preserve">Fomentar el seguimiento participativo de la fauna y flora silvestres, </w:t>
            </w:r>
            <w:r w:rsidR="00920525" w:rsidRPr="00920525">
              <w:rPr>
                <w:rFonts w:asciiTheme="majorBidi" w:hAnsiTheme="majorBidi"/>
                <w:snapToGrid w:val="0"/>
                <w:color w:val="000000" w:themeColor="text1"/>
                <w:spacing w:val="-6"/>
                <w:sz w:val="20"/>
              </w:rPr>
              <w:t xml:space="preserve">con </w:t>
            </w:r>
            <w:r w:rsidR="00631671" w:rsidRPr="00920525">
              <w:rPr>
                <w:rFonts w:asciiTheme="majorBidi" w:hAnsiTheme="majorBidi"/>
                <w:snapToGrid w:val="0"/>
                <w:color w:val="000000" w:themeColor="text1"/>
                <w:spacing w:val="-6"/>
                <w:sz w:val="20"/>
              </w:rPr>
              <w:t>inclu</w:t>
            </w:r>
            <w:r w:rsidR="00920525" w:rsidRPr="00920525">
              <w:rPr>
                <w:rFonts w:asciiTheme="majorBidi" w:hAnsiTheme="majorBidi"/>
                <w:snapToGrid w:val="0"/>
                <w:color w:val="000000" w:themeColor="text1"/>
                <w:spacing w:val="-6"/>
                <w:sz w:val="20"/>
              </w:rPr>
              <w:t>s</w:t>
            </w:r>
            <w:r w:rsidRPr="00920525">
              <w:rPr>
                <w:rFonts w:asciiTheme="majorBidi" w:hAnsiTheme="majorBidi"/>
                <w:snapToGrid w:val="0"/>
                <w:color w:val="000000" w:themeColor="text1"/>
                <w:spacing w:val="-6"/>
                <w:sz w:val="20"/>
              </w:rPr>
              <w:t>i</w:t>
            </w:r>
            <w:r w:rsidR="00920525" w:rsidRPr="00920525">
              <w:rPr>
                <w:rFonts w:asciiTheme="majorBidi" w:hAnsiTheme="majorBidi"/>
                <w:snapToGrid w:val="0"/>
                <w:color w:val="000000" w:themeColor="text1"/>
                <w:spacing w:val="-6"/>
                <w:sz w:val="20"/>
              </w:rPr>
              <w:t>ón, entre otros</w:t>
            </w:r>
            <w:r w:rsidR="00631671" w:rsidRPr="00920525">
              <w:rPr>
                <w:rFonts w:asciiTheme="majorBidi" w:hAnsiTheme="majorBidi"/>
                <w:snapToGrid w:val="0"/>
                <w:color w:val="000000" w:themeColor="text1"/>
                <w:spacing w:val="-6"/>
                <w:sz w:val="20"/>
              </w:rPr>
              <w:t xml:space="preserve"> </w:t>
            </w:r>
            <w:r w:rsidR="00920525" w:rsidRPr="00920525">
              <w:rPr>
                <w:rFonts w:asciiTheme="majorBidi" w:hAnsiTheme="majorBidi"/>
                <w:snapToGrid w:val="0"/>
                <w:color w:val="000000" w:themeColor="text1"/>
                <w:spacing w:val="-6"/>
                <w:sz w:val="20"/>
              </w:rPr>
              <w:t xml:space="preserve">de </w:t>
            </w:r>
            <w:r w:rsidRPr="00920525">
              <w:rPr>
                <w:rFonts w:asciiTheme="majorBidi" w:hAnsiTheme="majorBidi"/>
                <w:snapToGrid w:val="0"/>
                <w:color w:val="000000" w:themeColor="text1"/>
                <w:spacing w:val="-6"/>
                <w:sz w:val="20"/>
              </w:rPr>
              <w:t>cazadores, agricultores y comerciantes</w:t>
            </w:r>
            <w:r w:rsidR="00631671" w:rsidRPr="00920525">
              <w:rPr>
                <w:rFonts w:asciiTheme="majorBidi" w:hAnsiTheme="majorBidi"/>
                <w:snapToGrid w:val="0"/>
                <w:color w:val="000000" w:themeColor="text1"/>
                <w:spacing w:val="-6"/>
                <w:sz w:val="20"/>
              </w:rPr>
              <w:t xml:space="preserve"> de fauna y flora silvestres</w:t>
            </w:r>
            <w:r w:rsidRPr="00920525">
              <w:rPr>
                <w:rFonts w:asciiTheme="majorBidi" w:hAnsiTheme="majorBidi"/>
                <w:snapToGrid w:val="0"/>
                <w:color w:val="000000" w:themeColor="text1"/>
                <w:spacing w:val="-6"/>
                <w:sz w:val="20"/>
              </w:rPr>
              <w:t>, en los focos críticos de enfermedades emergentes, como elementos de estrategias de prevención de enfermedades;</w:t>
            </w:r>
            <w:r>
              <w:rPr>
                <w:rFonts w:asciiTheme="majorBidi" w:hAnsiTheme="majorBidi"/>
                <w:snapToGrid w:val="0"/>
                <w:color w:val="000000" w:themeColor="text1"/>
                <w:sz w:val="20"/>
                <w:vertAlign w:val="superscript"/>
              </w:rPr>
              <w:t xml:space="preserve"> </w:t>
            </w:r>
          </w:p>
          <w:p w14:paraId="5A8D166C" w14:textId="50923AC3" w:rsidR="00050E9A" w:rsidRPr="00603392" w:rsidRDefault="00050E9A" w:rsidP="009B0237">
            <w:pPr>
              <w:tabs>
                <w:tab w:val="left" w:pos="691"/>
              </w:tabs>
              <w:spacing w:after="40"/>
              <w:ind w:firstLine="317"/>
              <w:jc w:val="left"/>
              <w:rPr>
                <w:rFonts w:asciiTheme="majorBidi" w:hAnsiTheme="majorBidi" w:cstheme="majorBidi"/>
                <w:snapToGrid w:val="0"/>
                <w:color w:val="000000" w:themeColor="text1"/>
                <w:sz w:val="20"/>
                <w:szCs w:val="20"/>
              </w:rPr>
            </w:pPr>
            <w:r>
              <w:rPr>
                <w:rFonts w:asciiTheme="majorBidi" w:hAnsiTheme="majorBidi"/>
                <w:snapToGrid w:val="0"/>
                <w:color w:val="000000" w:themeColor="text1"/>
                <w:sz w:val="20"/>
              </w:rPr>
              <w:t>e)</w:t>
            </w:r>
            <w:r>
              <w:rPr>
                <w:rFonts w:asciiTheme="majorBidi" w:hAnsiTheme="majorBidi"/>
                <w:snapToGrid w:val="0"/>
                <w:color w:val="000000" w:themeColor="text1"/>
                <w:sz w:val="20"/>
              </w:rPr>
              <w:tab/>
            </w:r>
            <w:r w:rsidRPr="00920525">
              <w:rPr>
                <w:rFonts w:asciiTheme="majorBidi" w:hAnsiTheme="majorBidi"/>
                <w:snapToGrid w:val="0"/>
                <w:color w:val="000000" w:themeColor="text1"/>
                <w:spacing w:val="-4"/>
                <w:sz w:val="20"/>
              </w:rPr>
              <w:t>Incluir en programas y actividades de uso y gestión de fauna y flora silvestre</w:t>
            </w:r>
            <w:r w:rsidR="00631671" w:rsidRPr="00920525">
              <w:rPr>
                <w:rFonts w:asciiTheme="majorBidi" w:hAnsiTheme="majorBidi"/>
                <w:snapToGrid w:val="0"/>
                <w:color w:val="000000" w:themeColor="text1"/>
                <w:spacing w:val="-4"/>
                <w:sz w:val="20"/>
              </w:rPr>
              <w:t>s</w:t>
            </w:r>
            <w:r w:rsidRPr="00920525">
              <w:rPr>
                <w:rFonts w:asciiTheme="majorBidi" w:hAnsiTheme="majorBidi"/>
                <w:snapToGrid w:val="0"/>
                <w:color w:val="000000" w:themeColor="text1"/>
                <w:spacing w:val="-4"/>
                <w:sz w:val="20"/>
              </w:rPr>
              <w:t xml:space="preserve">, como la explotación y comercialización de especies silvestres, políticas y medidas </w:t>
            </w:r>
            <w:r w:rsidR="002B3B5D" w:rsidRPr="00920525">
              <w:rPr>
                <w:rFonts w:asciiTheme="majorBidi" w:hAnsiTheme="majorBidi"/>
                <w:snapToGrid w:val="0"/>
                <w:color w:val="000000" w:themeColor="text1"/>
                <w:spacing w:val="-4"/>
                <w:sz w:val="20"/>
              </w:rPr>
              <w:t>tendientes</w:t>
            </w:r>
            <w:r w:rsidRPr="00920525">
              <w:rPr>
                <w:rFonts w:asciiTheme="majorBidi" w:hAnsiTheme="majorBidi"/>
                <w:snapToGrid w:val="0"/>
                <w:color w:val="000000" w:themeColor="text1"/>
                <w:spacing w:val="-4"/>
                <w:sz w:val="20"/>
              </w:rPr>
              <w:t xml:space="preserve"> a limitar la transmisión de patógenos de animales a seres humanos y su retrotransmisión.</w:t>
            </w:r>
          </w:p>
          <w:p w14:paraId="23EAFD84" w14:textId="26CA2DC2" w:rsidR="00361AD1" w:rsidRPr="00603392" w:rsidRDefault="00AA08DD" w:rsidP="009B0237">
            <w:pPr>
              <w:spacing w:after="40"/>
              <w:jc w:val="left"/>
              <w:rPr>
                <w:rFonts w:asciiTheme="majorBidi" w:hAnsiTheme="majorBidi" w:cstheme="majorBidi"/>
                <w:snapToGrid w:val="0"/>
                <w:color w:val="000000" w:themeColor="text1"/>
                <w:sz w:val="20"/>
                <w:szCs w:val="20"/>
              </w:rPr>
            </w:pPr>
            <w:r>
              <w:rPr>
                <w:rFonts w:asciiTheme="majorBidi" w:hAnsiTheme="majorBidi"/>
                <w:snapToGrid w:val="0"/>
                <w:color w:val="000000" w:themeColor="text1"/>
                <w:sz w:val="20"/>
              </w:rPr>
              <w:t xml:space="preserve">4. </w:t>
            </w:r>
            <w:r>
              <w:rPr>
                <w:rFonts w:asciiTheme="majorBidi" w:hAnsiTheme="majorBidi"/>
                <w:sz w:val="20"/>
              </w:rPr>
              <w:t>Fortalecer, cuando sea posible y de acuerdo con las capacidades nacionales, la capacidad de comprensión y gestión de los factores de origen humano que tienen un potencial alto para impulsar la transmisión de enfermedades zoonóticas, como el consumo no regulado y no sostenible de carne de animales silvestres.</w:t>
            </w:r>
            <w:r>
              <w:rPr>
                <w:rFonts w:asciiTheme="majorBidi" w:hAnsiTheme="majorBidi"/>
                <w:snapToGrid w:val="0"/>
                <w:color w:val="000000" w:themeColor="text1"/>
                <w:sz w:val="20"/>
              </w:rPr>
              <w:t xml:space="preserve"> </w:t>
            </w:r>
          </w:p>
          <w:p w14:paraId="3143D698" w14:textId="786F9E5A" w:rsidR="00361AD1" w:rsidRPr="00603392" w:rsidRDefault="006F61F4" w:rsidP="009B0237">
            <w:pPr>
              <w:spacing w:after="40"/>
              <w:jc w:val="left"/>
              <w:rPr>
                <w:rFonts w:asciiTheme="majorBidi" w:hAnsiTheme="majorBidi" w:cstheme="majorBidi"/>
                <w:snapToGrid w:val="0"/>
                <w:color w:val="000000" w:themeColor="text1"/>
                <w:sz w:val="20"/>
                <w:szCs w:val="20"/>
              </w:rPr>
            </w:pPr>
            <w:r>
              <w:rPr>
                <w:rFonts w:asciiTheme="majorBidi" w:hAnsiTheme="majorBidi"/>
                <w:snapToGrid w:val="0"/>
                <w:color w:val="000000" w:themeColor="text1"/>
                <w:sz w:val="20"/>
              </w:rPr>
              <w:t>5. Mantener la diversidad genética de las especies silvestres y domésticas y sus parientes silvestres para salvaguardar su resiliencia y potencial de adaptación, protegiendo así los beneficios para la salud asociados a su existencia.</w:t>
            </w:r>
          </w:p>
          <w:p w14:paraId="71A20460" w14:textId="75D8F40C" w:rsidR="00361AD1" w:rsidRPr="00603392" w:rsidRDefault="006F61F4" w:rsidP="002B3B5D">
            <w:pPr>
              <w:spacing w:after="40"/>
              <w:jc w:val="left"/>
              <w:rPr>
                <w:i/>
                <w:iCs/>
                <w:sz w:val="20"/>
                <w:szCs w:val="20"/>
              </w:rPr>
            </w:pPr>
            <w:r>
              <w:rPr>
                <w:rFonts w:asciiTheme="majorBidi" w:hAnsiTheme="majorBidi"/>
                <w:color w:val="000000" w:themeColor="text1"/>
                <w:sz w:val="20"/>
              </w:rPr>
              <w:t xml:space="preserve">6. Promover colaboraciones en consonancia con el enfoque de “Una sola salud” </w:t>
            </w:r>
            <w:r w:rsidR="002B3B5D">
              <w:rPr>
                <w:rFonts w:asciiTheme="majorBidi" w:hAnsiTheme="majorBidi"/>
                <w:color w:val="000000" w:themeColor="text1"/>
                <w:sz w:val="20"/>
              </w:rPr>
              <w:t>mediante el fo</w:t>
            </w:r>
            <w:r>
              <w:rPr>
                <w:rFonts w:asciiTheme="majorBidi" w:hAnsiTheme="majorBidi"/>
                <w:color w:val="000000" w:themeColor="text1"/>
                <w:sz w:val="20"/>
              </w:rPr>
              <w:t>r</w:t>
            </w:r>
            <w:r w:rsidR="002B3B5D">
              <w:rPr>
                <w:rFonts w:asciiTheme="majorBidi" w:hAnsiTheme="majorBidi"/>
                <w:color w:val="000000" w:themeColor="text1"/>
                <w:sz w:val="20"/>
              </w:rPr>
              <w:t>t</w:t>
            </w:r>
            <w:r>
              <w:rPr>
                <w:rFonts w:asciiTheme="majorBidi" w:hAnsiTheme="majorBidi"/>
                <w:color w:val="000000" w:themeColor="text1"/>
                <w:sz w:val="20"/>
              </w:rPr>
              <w:t>a</w:t>
            </w:r>
            <w:r w:rsidR="002B3B5D">
              <w:rPr>
                <w:rFonts w:asciiTheme="majorBidi" w:hAnsiTheme="majorBidi"/>
                <w:color w:val="000000" w:themeColor="text1"/>
                <w:sz w:val="20"/>
              </w:rPr>
              <w:t>lecimie</w:t>
            </w:r>
            <w:r>
              <w:rPr>
                <w:rFonts w:asciiTheme="majorBidi" w:hAnsiTheme="majorBidi"/>
                <w:color w:val="000000" w:themeColor="text1"/>
                <w:sz w:val="20"/>
              </w:rPr>
              <w:t>n</w:t>
            </w:r>
            <w:r w:rsidR="002B3B5D">
              <w:rPr>
                <w:rFonts w:asciiTheme="majorBidi" w:hAnsiTheme="majorBidi"/>
                <w:color w:val="000000" w:themeColor="text1"/>
                <w:sz w:val="20"/>
              </w:rPr>
              <w:t>t</w:t>
            </w:r>
            <w:r>
              <w:rPr>
                <w:rFonts w:asciiTheme="majorBidi" w:hAnsiTheme="majorBidi"/>
                <w:color w:val="000000" w:themeColor="text1"/>
                <w:sz w:val="20"/>
              </w:rPr>
              <w:t xml:space="preserve">o </w:t>
            </w:r>
            <w:r w:rsidR="002B3B5D">
              <w:rPr>
                <w:rFonts w:asciiTheme="majorBidi" w:hAnsiTheme="majorBidi"/>
                <w:color w:val="000000" w:themeColor="text1"/>
                <w:sz w:val="20"/>
              </w:rPr>
              <w:t xml:space="preserve">de </w:t>
            </w:r>
            <w:r>
              <w:rPr>
                <w:rFonts w:asciiTheme="majorBidi" w:hAnsiTheme="majorBidi"/>
                <w:color w:val="000000" w:themeColor="text1"/>
                <w:sz w:val="20"/>
              </w:rPr>
              <w:t>la planificación y la vigilancia de la diversidad biológica, incluido con respecto a hábitats silvestres y el riesgo de transmisión de patógenos zoonóticos de animales a seres humanos, para evaluar y abordar mejor los riesgos sanitarios y de enfermedades a fin de gestionar las especies silvestres de manera sostenible.</w:t>
            </w:r>
          </w:p>
        </w:tc>
      </w:tr>
      <w:tr w:rsidR="007B05AE" w:rsidRPr="00EB2F01" w14:paraId="3950442D" w14:textId="77777777" w:rsidTr="00603392">
        <w:tc>
          <w:tcPr>
            <w:tcW w:w="13589" w:type="dxa"/>
            <w:gridSpan w:val="3"/>
          </w:tcPr>
          <w:p w14:paraId="4CD598B5" w14:textId="1A92F023" w:rsidR="007B05AE" w:rsidRPr="00603392" w:rsidRDefault="007B05AE" w:rsidP="0076681B">
            <w:pPr>
              <w:spacing w:before="40" w:after="40"/>
              <w:jc w:val="left"/>
              <w:rPr>
                <w:rFonts w:asciiTheme="majorBidi" w:eastAsiaTheme="minorEastAsia" w:hAnsiTheme="majorBidi" w:cstheme="majorBidi"/>
                <w:kern w:val="2"/>
                <w:sz w:val="20"/>
                <w:szCs w:val="20"/>
                <w14:ligatures w14:val="standardContextual"/>
              </w:rPr>
            </w:pPr>
            <w:r>
              <w:rPr>
                <w:rFonts w:asciiTheme="majorBidi" w:hAnsiTheme="majorBidi"/>
                <w:b/>
                <w:color w:val="000000" w:themeColor="text1"/>
                <w:sz w:val="20"/>
              </w:rPr>
              <w:lastRenderedPageBreak/>
              <w:t>Especies exóticas invasoras</w:t>
            </w:r>
            <w:r w:rsidR="00395D61" w:rsidRPr="00395D61">
              <w:rPr>
                <w:rFonts w:asciiTheme="majorBidi" w:hAnsiTheme="majorBidi"/>
                <w:b/>
                <w:color w:val="000000" w:themeColor="text1"/>
                <w:spacing w:val="-20"/>
                <w:sz w:val="20"/>
              </w:rPr>
              <w:t xml:space="preserve"> </w:t>
            </w:r>
            <w:r>
              <w:rPr>
                <w:rFonts w:asciiTheme="majorBidi" w:hAnsiTheme="majorBidi"/>
                <w:i/>
                <w:color w:val="000000" w:themeColor="text1"/>
                <w:sz w:val="20"/>
                <w:vertAlign w:val="superscript"/>
              </w:rPr>
              <w:t>c</w:t>
            </w:r>
          </w:p>
        </w:tc>
      </w:tr>
      <w:tr w:rsidR="00050E9A" w:rsidRPr="00EB2F01" w14:paraId="3BCE49B6" w14:textId="77777777" w:rsidTr="009B0237">
        <w:tc>
          <w:tcPr>
            <w:tcW w:w="1890" w:type="dxa"/>
          </w:tcPr>
          <w:p w14:paraId="38462494" w14:textId="1414860C" w:rsidR="00050E9A" w:rsidRPr="00603392" w:rsidRDefault="00050E9A" w:rsidP="00AA08DD">
            <w:pPr>
              <w:spacing w:before="40" w:after="40"/>
              <w:jc w:val="left"/>
              <w:rPr>
                <w:rFonts w:asciiTheme="majorBidi" w:eastAsiaTheme="minorEastAsia" w:hAnsiTheme="majorBidi" w:cstheme="majorBidi"/>
                <w:bCs/>
                <w:color w:val="000000" w:themeColor="text1"/>
                <w:kern w:val="2"/>
                <w:sz w:val="20"/>
                <w:szCs w:val="20"/>
                <w14:ligatures w14:val="standardContextual"/>
              </w:rPr>
            </w:pPr>
            <w:r>
              <w:rPr>
                <w:rFonts w:asciiTheme="majorBidi" w:hAnsiTheme="majorBidi"/>
                <w:color w:val="000000" w:themeColor="text1"/>
                <w:sz w:val="20"/>
              </w:rPr>
              <w:t>Meta 6</w:t>
            </w:r>
          </w:p>
        </w:tc>
        <w:tc>
          <w:tcPr>
            <w:tcW w:w="4230" w:type="dxa"/>
          </w:tcPr>
          <w:p w14:paraId="75F61741" w14:textId="60C2DA85" w:rsidR="00050E9A" w:rsidRPr="0076681B" w:rsidRDefault="00050E9A" w:rsidP="00983AE6">
            <w:pPr>
              <w:spacing w:before="60" w:after="60"/>
              <w:jc w:val="left"/>
              <w:rPr>
                <w:spacing w:val="-4"/>
                <w:sz w:val="20"/>
                <w:szCs w:val="20"/>
              </w:rPr>
            </w:pPr>
            <w:r w:rsidRPr="0076681B">
              <w:rPr>
                <w:rFonts w:asciiTheme="majorBidi" w:hAnsiTheme="majorBidi"/>
                <w:color w:val="000000" w:themeColor="text1"/>
                <w:spacing w:val="-4"/>
                <w:sz w:val="20"/>
              </w:rPr>
              <w:t>Las especies exóticas invasoras son uno de los principales impulsores de la pérdida de diversidad biológica</w:t>
            </w:r>
            <w:r w:rsidR="001B7F21" w:rsidRPr="0076681B">
              <w:rPr>
                <w:rStyle w:val="FootnoteReference"/>
                <w:rFonts w:asciiTheme="majorBidi" w:eastAsiaTheme="minorEastAsia" w:hAnsiTheme="majorBidi" w:cstheme="majorBidi"/>
                <w:color w:val="000000" w:themeColor="text1"/>
                <w:spacing w:val="-4"/>
                <w:kern w:val="2"/>
                <w:sz w:val="20"/>
                <w:szCs w:val="20"/>
                <w:lang w:eastAsia="zh-CN"/>
              </w:rPr>
              <w:footnoteReference w:id="28"/>
            </w:r>
            <w:r w:rsidRPr="0076681B">
              <w:rPr>
                <w:rFonts w:asciiTheme="majorBidi" w:hAnsiTheme="majorBidi"/>
                <w:color w:val="000000" w:themeColor="text1"/>
                <w:spacing w:val="-4"/>
                <w:sz w:val="20"/>
              </w:rPr>
              <w:t xml:space="preserve"> y una gran amenaza para la naturaleza, las contribuciones de la naturaleza a las personas y </w:t>
            </w:r>
            <w:r w:rsidRPr="0076681B">
              <w:rPr>
                <w:rFonts w:asciiTheme="majorBidi" w:hAnsiTheme="majorBidi"/>
                <w:color w:val="000000" w:themeColor="text1"/>
                <w:spacing w:val="-4"/>
                <w:sz w:val="20"/>
              </w:rPr>
              <w:lastRenderedPageBreak/>
              <w:t>una buena calidad de vida</w:t>
            </w:r>
            <w:r w:rsidR="001B7F21" w:rsidRPr="0076681B">
              <w:rPr>
                <w:rStyle w:val="FootnoteReference"/>
                <w:rFonts w:asciiTheme="majorBidi" w:eastAsiaTheme="minorEastAsia" w:hAnsiTheme="majorBidi" w:cstheme="majorBidi"/>
                <w:color w:val="000000" w:themeColor="text1"/>
                <w:spacing w:val="-4"/>
                <w:kern w:val="2"/>
                <w:sz w:val="20"/>
                <w:szCs w:val="20"/>
                <w:lang w:eastAsia="zh-CN"/>
              </w:rPr>
              <w:footnoteReference w:id="29"/>
            </w:r>
            <w:r w:rsidRPr="0076681B">
              <w:rPr>
                <w:rFonts w:asciiTheme="majorBidi" w:hAnsiTheme="majorBidi"/>
                <w:color w:val="000000" w:themeColor="text1"/>
                <w:spacing w:val="-4"/>
                <w:sz w:val="20"/>
              </w:rPr>
              <w:t xml:space="preserve">. Las especies exóticas invasoras pueden ser patógenos o plagas y afectar la salud humana, animal, vegetal y ambiental de diversas maneras, por ejemplo, al causar enfermedades, como las </w:t>
            </w:r>
            <w:r w:rsidR="005607F1">
              <w:rPr>
                <w:rFonts w:asciiTheme="majorBidi" w:hAnsiTheme="majorBidi"/>
                <w:color w:val="000000" w:themeColor="text1"/>
                <w:spacing w:val="-4"/>
                <w:sz w:val="20"/>
              </w:rPr>
              <w:t xml:space="preserve">enfermedades </w:t>
            </w:r>
            <w:r w:rsidRPr="0076681B">
              <w:rPr>
                <w:rFonts w:asciiTheme="majorBidi" w:hAnsiTheme="majorBidi"/>
                <w:color w:val="000000" w:themeColor="text1"/>
                <w:spacing w:val="-4"/>
                <w:sz w:val="20"/>
              </w:rPr>
              <w:t>alérgicas, debido a su toxicidad o como vectores de transmisión de patógenos. Además, las especies exóticas invasoras suelen reducir la cantidad y la calidad de los servicios que brindan los ecosistemas y pueden afectar los medios de v</w:t>
            </w:r>
            <w:r w:rsidR="009B0237">
              <w:rPr>
                <w:rFonts w:asciiTheme="majorBidi" w:hAnsiTheme="majorBidi"/>
                <w:color w:val="000000" w:themeColor="text1"/>
                <w:spacing w:val="-4"/>
                <w:sz w:val="20"/>
              </w:rPr>
              <w:t>ida y la seguridad alimentaria.</w:t>
            </w:r>
          </w:p>
        </w:tc>
        <w:tc>
          <w:tcPr>
            <w:tcW w:w="7469" w:type="dxa"/>
          </w:tcPr>
          <w:p w14:paraId="7CE7227A" w14:textId="1C91354A" w:rsidR="00050E9A" w:rsidRPr="0076681B" w:rsidRDefault="00050E9A" w:rsidP="001B7F21">
            <w:pPr>
              <w:spacing w:before="60" w:after="60"/>
              <w:jc w:val="left"/>
              <w:rPr>
                <w:rFonts w:asciiTheme="majorBidi" w:eastAsiaTheme="minorEastAsia" w:hAnsiTheme="majorBidi" w:cstheme="majorBidi"/>
                <w:spacing w:val="-4"/>
                <w:kern w:val="2"/>
                <w:sz w:val="20"/>
                <w:szCs w:val="20"/>
                <w14:ligatures w14:val="standardContextual"/>
              </w:rPr>
            </w:pPr>
            <w:r>
              <w:rPr>
                <w:rFonts w:asciiTheme="majorBidi" w:hAnsiTheme="majorBidi"/>
                <w:sz w:val="20"/>
              </w:rPr>
              <w:lastRenderedPageBreak/>
              <w:t xml:space="preserve">1. </w:t>
            </w:r>
            <w:r w:rsidRPr="0076681B">
              <w:rPr>
                <w:rFonts w:asciiTheme="majorBidi" w:hAnsiTheme="majorBidi"/>
                <w:spacing w:val="-4"/>
                <w:sz w:val="20"/>
              </w:rPr>
              <w:t xml:space="preserve">Considerar los impactos adversos de las especies exóticas invasoras en la salud humana, animal, vegetal y de los ecosistemas en estrategias, planes de acción y proyectos, y realizar evaluaciones al respecto para apoyar la adopción </w:t>
            </w:r>
            <w:r w:rsidR="005607F1">
              <w:rPr>
                <w:rFonts w:asciiTheme="majorBidi" w:hAnsiTheme="majorBidi"/>
                <w:spacing w:val="-4"/>
                <w:sz w:val="20"/>
              </w:rPr>
              <w:t>fundamentada</w:t>
            </w:r>
            <w:r w:rsidR="005607F1" w:rsidRPr="0076681B">
              <w:rPr>
                <w:rFonts w:asciiTheme="majorBidi" w:hAnsiTheme="majorBidi"/>
                <w:spacing w:val="-4"/>
                <w:sz w:val="20"/>
              </w:rPr>
              <w:t xml:space="preserve"> </w:t>
            </w:r>
            <w:r w:rsidRPr="0076681B">
              <w:rPr>
                <w:rFonts w:asciiTheme="majorBidi" w:hAnsiTheme="majorBidi"/>
                <w:spacing w:val="-4"/>
                <w:sz w:val="20"/>
              </w:rPr>
              <w:t xml:space="preserve">de decisiones y medidas para </w:t>
            </w:r>
            <w:r w:rsidRPr="0076681B">
              <w:rPr>
                <w:rFonts w:asciiTheme="majorBidi" w:hAnsiTheme="majorBidi"/>
                <w:spacing w:val="-4"/>
                <w:sz w:val="20"/>
              </w:rPr>
              <w:lastRenderedPageBreak/>
              <w:t>la prevención y reducción al mínimo de tales impactos, incluido mediante la aplicación de enfoques multisectoriales y multidisciplinarios.</w:t>
            </w:r>
          </w:p>
          <w:p w14:paraId="4A22AAEA" w14:textId="4113C530" w:rsidR="00050E9A" w:rsidRPr="009B0237" w:rsidRDefault="00050E9A" w:rsidP="001B7F21">
            <w:pPr>
              <w:spacing w:before="60" w:after="60"/>
              <w:jc w:val="left"/>
              <w:rPr>
                <w:rFonts w:asciiTheme="majorBidi" w:eastAsiaTheme="minorEastAsia" w:hAnsiTheme="majorBidi" w:cstheme="majorBidi"/>
                <w:spacing w:val="-4"/>
                <w:kern w:val="2"/>
                <w:sz w:val="20"/>
                <w:szCs w:val="20"/>
                <w14:ligatures w14:val="standardContextual"/>
              </w:rPr>
            </w:pPr>
            <w:r>
              <w:rPr>
                <w:rFonts w:asciiTheme="majorBidi" w:hAnsiTheme="majorBidi"/>
                <w:sz w:val="20"/>
              </w:rPr>
              <w:t xml:space="preserve">2. </w:t>
            </w:r>
            <w:r w:rsidRPr="009B0237">
              <w:rPr>
                <w:rFonts w:asciiTheme="majorBidi" w:hAnsiTheme="majorBidi"/>
                <w:spacing w:val="-4"/>
                <w:sz w:val="20"/>
              </w:rPr>
              <w:t>Identificar carencias en los conocimientos, el seguimiento y la gestión de enfermedades infecciosas emergentes que afectan a la diversidad biológica y a la salud humana y que tienen que ver con las especies exóticas invasoras o son facilitadas por ellas</w:t>
            </w:r>
            <w:bookmarkStart w:id="5" w:name="_Ref168921129"/>
            <w:r w:rsidR="0060690E" w:rsidRPr="009B0237">
              <w:rPr>
                <w:rStyle w:val="FootnoteReference"/>
                <w:rFonts w:asciiTheme="majorBidi" w:eastAsiaTheme="minorEastAsia" w:hAnsiTheme="majorBidi" w:cstheme="majorBidi"/>
                <w:spacing w:val="-4"/>
                <w:kern w:val="2"/>
                <w:sz w:val="20"/>
                <w:szCs w:val="20"/>
                <w:lang w:eastAsia="zh-CN"/>
              </w:rPr>
              <w:footnoteReference w:id="30"/>
            </w:r>
            <w:bookmarkEnd w:id="5"/>
            <w:r w:rsidR="00007A58">
              <w:rPr>
                <w:rFonts w:asciiTheme="majorBidi" w:hAnsiTheme="majorBidi"/>
                <w:spacing w:val="-4"/>
                <w:sz w:val="20"/>
              </w:rPr>
              <w:t>.</w:t>
            </w:r>
          </w:p>
          <w:p w14:paraId="0EE773DB" w14:textId="58169070" w:rsidR="00050E9A" w:rsidRPr="00603392" w:rsidRDefault="00050E9A" w:rsidP="001B7F21">
            <w:pPr>
              <w:spacing w:before="60" w:after="60"/>
              <w:jc w:val="left"/>
              <w:rPr>
                <w:rFonts w:asciiTheme="majorBidi" w:eastAsiaTheme="minorEastAsia" w:hAnsiTheme="majorBidi" w:cstheme="majorBidi"/>
                <w:kern w:val="2"/>
                <w:sz w:val="20"/>
                <w:szCs w:val="20"/>
                <w14:ligatures w14:val="standardContextual"/>
              </w:rPr>
            </w:pPr>
            <w:r>
              <w:rPr>
                <w:rFonts w:asciiTheme="majorBidi" w:hAnsiTheme="majorBidi"/>
                <w:sz w:val="20"/>
              </w:rPr>
              <w:t xml:space="preserve">3. Fomentar la concienciación y la educación sobre los impactos de las especies exóticas invasoras en la salud humana, animal, vegetal y de los ecosistemas. </w:t>
            </w:r>
          </w:p>
          <w:p w14:paraId="2F03B1F1" w14:textId="703E632F" w:rsidR="00050E9A" w:rsidRPr="00603392" w:rsidRDefault="006422A7" w:rsidP="00603392">
            <w:pPr>
              <w:spacing w:before="60" w:after="60"/>
              <w:jc w:val="left"/>
              <w:rPr>
                <w:rFonts w:eastAsiaTheme="minorEastAsia"/>
                <w:kern w:val="2"/>
                <w:sz w:val="20"/>
                <w:szCs w:val="20"/>
                <w:vertAlign w:val="superscript"/>
                <w14:ligatures w14:val="standardContextual"/>
              </w:rPr>
            </w:pPr>
            <w:r>
              <w:rPr>
                <w:sz w:val="20"/>
              </w:rPr>
              <w:t>4</w:t>
            </w:r>
            <w:r w:rsidRPr="0076681B">
              <w:rPr>
                <w:spacing w:val="-4"/>
                <w:sz w:val="20"/>
              </w:rPr>
              <w:t>. Promover y fortalecer la colaboración con otros sectores afectados por las especies exóticas invasoras para mejorar la prevención, el control o la erradicación y la gestión de las especies exóticas invasoras, especialmente para hacer frente a invasiones de agentes patógenos, con el fin de reducir y prevenir la aparición de enfermedades.</w:t>
            </w:r>
          </w:p>
        </w:tc>
      </w:tr>
      <w:tr w:rsidR="007B05AE" w:rsidRPr="00EB2F01" w14:paraId="47045092" w14:textId="77777777" w:rsidTr="00603392">
        <w:tc>
          <w:tcPr>
            <w:tcW w:w="13589" w:type="dxa"/>
            <w:gridSpan w:val="3"/>
          </w:tcPr>
          <w:p w14:paraId="11C4D3F6" w14:textId="3C1C1F24" w:rsidR="007B05AE" w:rsidRPr="00603392" w:rsidRDefault="007B05AE" w:rsidP="009A429E">
            <w:pPr>
              <w:spacing w:before="40" w:after="40"/>
              <w:jc w:val="left"/>
              <w:rPr>
                <w:rFonts w:asciiTheme="majorBidi" w:eastAsiaTheme="minorEastAsia" w:hAnsiTheme="majorBidi" w:cstheme="majorBidi"/>
                <w:b/>
                <w:color w:val="000000" w:themeColor="text1"/>
                <w:spacing w:val="6"/>
                <w:kern w:val="2"/>
                <w:sz w:val="20"/>
                <w:szCs w:val="20"/>
                <w14:ligatures w14:val="standardContextual"/>
              </w:rPr>
            </w:pPr>
            <w:r>
              <w:rPr>
                <w:rFonts w:asciiTheme="majorBidi" w:hAnsiTheme="majorBidi"/>
                <w:b/>
                <w:color w:val="000000" w:themeColor="text1"/>
                <w:sz w:val="20"/>
              </w:rPr>
              <w:lastRenderedPageBreak/>
              <w:t>Contaminación</w:t>
            </w:r>
          </w:p>
        </w:tc>
      </w:tr>
      <w:tr w:rsidR="00050E9A" w:rsidRPr="00EB2F01" w14:paraId="4BB5AF34" w14:textId="77777777" w:rsidTr="009B0237">
        <w:tc>
          <w:tcPr>
            <w:tcW w:w="1890" w:type="dxa"/>
          </w:tcPr>
          <w:p w14:paraId="236971A1" w14:textId="7C413DDB" w:rsidR="00050E9A" w:rsidRPr="00603392" w:rsidRDefault="00050E9A" w:rsidP="00BF21EE">
            <w:pPr>
              <w:spacing w:before="40" w:after="4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Meta 7</w:t>
            </w:r>
          </w:p>
        </w:tc>
        <w:tc>
          <w:tcPr>
            <w:tcW w:w="4230" w:type="dxa"/>
          </w:tcPr>
          <w:p w14:paraId="67D5E433" w14:textId="4D55A093" w:rsidR="00050E9A" w:rsidRPr="0076681B" w:rsidRDefault="00050E9A" w:rsidP="00603392">
            <w:pPr>
              <w:spacing w:before="120" w:after="120"/>
              <w:jc w:val="left"/>
              <w:rPr>
                <w:rFonts w:asciiTheme="majorBidi" w:eastAsiaTheme="minorEastAsia" w:hAnsiTheme="majorBidi" w:cstheme="majorBidi"/>
                <w:color w:val="000000" w:themeColor="text1"/>
                <w:spacing w:val="-4"/>
                <w:sz w:val="20"/>
                <w:szCs w:val="20"/>
                <w:highlight w:val="yellow"/>
                <w:vertAlign w:val="superscript"/>
              </w:rPr>
            </w:pPr>
            <w:r w:rsidRPr="0076681B">
              <w:rPr>
                <w:rFonts w:asciiTheme="majorBidi" w:hAnsiTheme="majorBidi"/>
                <w:color w:val="000000" w:themeColor="text1"/>
                <w:spacing w:val="-4"/>
                <w:sz w:val="20"/>
              </w:rPr>
              <w:t>La contaminación, en todas sus formas, es perjudicial para la diversidad biológica, el funcionamiento de los ecosistemas y la salud de las personas, los animales, las plantas y otros organismos. Afecta a la capacidad de la diversidad biológica para contribuir, por ejemplo, al suministro de aire y agua limpios, la fertilidad del suelo, la polinización y el control de plagas. La exposición directa e indirecta a contaminantes, en particular a edades tempranas, puede aumentar el riesgo de padecer múltiples enfermedades no transmisibles a lo largo de la vida</w:t>
            </w:r>
            <w:r w:rsidR="00943142" w:rsidRPr="0076681B">
              <w:rPr>
                <w:rStyle w:val="FootnoteReference"/>
                <w:rFonts w:asciiTheme="majorBidi" w:eastAsiaTheme="minorEastAsia" w:hAnsiTheme="majorBidi" w:cstheme="majorBidi"/>
                <w:color w:val="000000" w:themeColor="text1"/>
                <w:spacing w:val="-4"/>
                <w:kern w:val="2"/>
                <w:sz w:val="20"/>
                <w:szCs w:val="20"/>
                <w:lang w:eastAsia="zh-CN"/>
              </w:rPr>
              <w:footnoteReference w:id="31"/>
            </w:r>
            <w:r w:rsidR="00F37EF3" w:rsidRPr="0076681B">
              <w:rPr>
                <w:rFonts w:asciiTheme="majorBidi" w:hAnsiTheme="majorBidi"/>
                <w:color w:val="000000" w:themeColor="text1"/>
                <w:spacing w:val="-4"/>
                <w:sz w:val="20"/>
                <w:vertAlign w:val="superscript"/>
              </w:rPr>
              <w:t>,</w:t>
            </w:r>
            <w:r w:rsidRPr="0076681B">
              <w:rPr>
                <w:rFonts w:asciiTheme="majorBidi" w:hAnsiTheme="majorBidi"/>
                <w:color w:val="000000" w:themeColor="text1"/>
                <w:spacing w:val="-4"/>
                <w:sz w:val="20"/>
                <w:vertAlign w:val="superscript"/>
              </w:rPr>
              <w:t xml:space="preserve"> </w:t>
            </w:r>
            <w:bookmarkStart w:id="6" w:name="_Ref168921852"/>
            <w:r w:rsidR="00943142" w:rsidRPr="0076681B">
              <w:rPr>
                <w:rStyle w:val="FootnoteReference"/>
                <w:rFonts w:asciiTheme="majorBidi" w:eastAsiaTheme="minorEastAsia" w:hAnsiTheme="majorBidi" w:cstheme="majorBidi"/>
                <w:color w:val="000000" w:themeColor="text1"/>
                <w:spacing w:val="-4"/>
                <w:kern w:val="2"/>
                <w:sz w:val="20"/>
                <w:szCs w:val="20"/>
                <w:lang w:eastAsia="zh-CN"/>
              </w:rPr>
              <w:footnoteReference w:id="32"/>
            </w:r>
            <w:bookmarkEnd w:id="6"/>
            <w:r w:rsidR="00F37EF3" w:rsidRPr="0076681B">
              <w:rPr>
                <w:rFonts w:asciiTheme="majorBidi" w:hAnsiTheme="majorBidi"/>
                <w:color w:val="000000" w:themeColor="text1"/>
                <w:spacing w:val="-4"/>
                <w:sz w:val="20"/>
              </w:rPr>
              <w:t>.</w:t>
            </w:r>
          </w:p>
          <w:p w14:paraId="1F38EFF4" w14:textId="29A46B12" w:rsidR="00050E9A" w:rsidRPr="0076681B" w:rsidRDefault="00050E9A" w:rsidP="00603392">
            <w:pPr>
              <w:spacing w:before="120" w:after="120"/>
              <w:jc w:val="left"/>
              <w:rPr>
                <w:rFonts w:asciiTheme="majorBidi" w:eastAsiaTheme="minorEastAsia" w:hAnsiTheme="majorBidi" w:cstheme="majorBidi"/>
                <w:color w:val="000000" w:themeColor="text1"/>
                <w:spacing w:val="-4"/>
                <w:kern w:val="2"/>
                <w:sz w:val="20"/>
                <w:szCs w:val="20"/>
                <w:vertAlign w:val="superscript"/>
                <w:lang w:eastAsia="zh-CN"/>
                <w14:ligatures w14:val="standardContextual"/>
              </w:rPr>
            </w:pPr>
          </w:p>
        </w:tc>
        <w:tc>
          <w:tcPr>
            <w:tcW w:w="7469" w:type="dxa"/>
          </w:tcPr>
          <w:p w14:paraId="665A1B89" w14:textId="0981F8EB" w:rsidR="00050E9A" w:rsidRPr="00EB2F01" w:rsidRDefault="00050E9A" w:rsidP="009A429E">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 xml:space="preserve">1. </w:t>
            </w:r>
            <w:r>
              <w:rPr>
                <w:rFonts w:asciiTheme="majorBidi" w:hAnsiTheme="majorBidi"/>
                <w:sz w:val="20"/>
              </w:rPr>
              <w:t>Generar conciencia sobre el impacto negativo de [los antimicrobianos, ]los metales pesados y los plásticos, incluidos los microplásticos</w:t>
            </w:r>
            <w:r w:rsidR="002016FF" w:rsidRPr="00EB2F01">
              <w:rPr>
                <w:rStyle w:val="FootnoteReference"/>
                <w:rFonts w:asciiTheme="majorBidi" w:eastAsiaTheme="minorEastAsia" w:hAnsiTheme="majorBidi" w:cstheme="majorBidi"/>
                <w:color w:val="000000" w:themeColor="text1"/>
                <w:kern w:val="2"/>
                <w:sz w:val="20"/>
                <w:szCs w:val="20"/>
                <w:lang w:eastAsia="zh-CN"/>
              </w:rPr>
              <w:footnoteReference w:id="33"/>
            </w:r>
            <w:r w:rsidR="0006778C">
              <w:rPr>
                <w:rFonts w:asciiTheme="majorBidi" w:hAnsiTheme="majorBidi"/>
                <w:sz w:val="20"/>
                <w:vertAlign w:val="superscript"/>
              </w:rPr>
              <w:t>,</w:t>
            </w:r>
            <w:r w:rsidR="0006778C" w:rsidRPr="009B0237">
              <w:rPr>
                <w:rFonts w:asciiTheme="majorBidi" w:hAnsiTheme="majorBidi"/>
                <w:spacing w:val="-20"/>
                <w:sz w:val="20"/>
                <w:vertAlign w:val="superscript"/>
              </w:rPr>
              <w:t xml:space="preserve"> </w:t>
            </w:r>
            <w:r w:rsidR="0006778C" w:rsidRPr="00EB2F01">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34"/>
            </w:r>
            <w:r>
              <w:rPr>
                <w:rFonts w:asciiTheme="majorBidi" w:hAnsiTheme="majorBidi"/>
                <w:sz w:val="20"/>
              </w:rPr>
              <w:t>, y la contaminación atmosférica, lumínica y acústica en la diversidad biológica y la salud humana.</w:t>
            </w:r>
            <w:r>
              <w:rPr>
                <w:rFonts w:asciiTheme="majorBidi" w:hAnsiTheme="majorBidi"/>
                <w:color w:val="000000" w:themeColor="text1"/>
                <w:sz w:val="20"/>
              </w:rPr>
              <w:t xml:space="preserve"> </w:t>
            </w:r>
          </w:p>
          <w:p w14:paraId="36D4D01E" w14:textId="5ACDA9AA" w:rsidR="00EF497A" w:rsidRPr="00603392" w:rsidRDefault="00EF497A" w:rsidP="00EF497A">
            <w:pPr>
              <w:spacing w:before="60" w:after="60"/>
              <w:jc w:val="left"/>
              <w:rPr>
                <w:rFonts w:asciiTheme="majorBidi" w:eastAsiaTheme="minorEastAsia" w:hAnsiTheme="majorBidi" w:cstheme="majorBidi"/>
                <w:color w:val="000000" w:themeColor="text1"/>
                <w:kern w:val="2"/>
                <w:sz w:val="20"/>
                <w:szCs w:val="20"/>
                <w:highlight w:val="yellow"/>
                <w14:ligatures w14:val="standardContextual"/>
              </w:rPr>
            </w:pPr>
            <w:r>
              <w:rPr>
                <w:rFonts w:asciiTheme="majorBidi" w:hAnsiTheme="majorBidi"/>
                <w:color w:val="000000" w:themeColor="text1"/>
                <w:sz w:val="20"/>
              </w:rPr>
              <w:t>1. Alt. Generar conciencia sobre los riesgos de</w:t>
            </w:r>
            <w:r w:rsidR="001E7124">
              <w:rPr>
                <w:rFonts w:asciiTheme="majorBidi" w:hAnsiTheme="majorBidi"/>
                <w:color w:val="000000" w:themeColor="text1"/>
                <w:sz w:val="20"/>
              </w:rPr>
              <w:t xml:space="preserve"> la</w:t>
            </w:r>
            <w:r>
              <w:rPr>
                <w:rFonts w:asciiTheme="majorBidi" w:hAnsiTheme="majorBidi"/>
                <w:color w:val="000000" w:themeColor="text1"/>
                <w:sz w:val="20"/>
              </w:rPr>
              <w:t xml:space="preserve"> contaminación y el impacto negativo que tiene la contaminación procedente de todas las fuentes en la diversidad biológica y la salud humana, así como sobre la necesidad de reducir el exceso de nutrientes, el riesgo </w:t>
            </w:r>
            <w:r w:rsidR="001E7124">
              <w:rPr>
                <w:rFonts w:asciiTheme="majorBidi" w:hAnsiTheme="majorBidi"/>
                <w:color w:val="000000" w:themeColor="text1"/>
                <w:sz w:val="20"/>
              </w:rPr>
              <w:t>total planteado</w:t>
            </w:r>
            <w:r>
              <w:rPr>
                <w:rFonts w:asciiTheme="majorBidi" w:hAnsiTheme="majorBidi"/>
                <w:color w:val="000000" w:themeColor="text1"/>
                <w:sz w:val="20"/>
              </w:rPr>
              <w:t xml:space="preserve"> </w:t>
            </w:r>
            <w:r w:rsidR="001E7124">
              <w:rPr>
                <w:rFonts w:asciiTheme="majorBidi" w:hAnsiTheme="majorBidi"/>
                <w:color w:val="000000" w:themeColor="text1"/>
                <w:sz w:val="20"/>
              </w:rPr>
              <w:t>por</w:t>
            </w:r>
            <w:r>
              <w:rPr>
                <w:rFonts w:asciiTheme="majorBidi" w:hAnsiTheme="majorBidi"/>
                <w:color w:val="000000" w:themeColor="text1"/>
                <w:sz w:val="20"/>
              </w:rPr>
              <w:t xml:space="preserve"> los plaguicidas y las sustancias químicas altamente peligrosas, incluido mediante una gestión integrada de plagas, basada en la ciencia, y esfuerzos para eliminar la contaminación por plásticos.</w:t>
            </w:r>
          </w:p>
          <w:p w14:paraId="403780A0" w14:textId="033AA9A7" w:rsidR="00D172FA" w:rsidRPr="00603392" w:rsidRDefault="00050E9A" w:rsidP="009A429E">
            <w:pPr>
              <w:spacing w:before="60" w:after="60"/>
              <w:jc w:val="left"/>
              <w:rPr>
                <w:rFonts w:asciiTheme="majorBidi" w:eastAsiaTheme="minorEastAsia" w:hAnsiTheme="majorBidi" w:cstheme="majorBidi"/>
                <w:color w:val="000000" w:themeColor="text1"/>
                <w:sz w:val="20"/>
                <w:szCs w:val="20"/>
              </w:rPr>
            </w:pPr>
            <w:r>
              <w:rPr>
                <w:rFonts w:asciiTheme="majorBidi" w:hAnsiTheme="majorBidi"/>
                <w:sz w:val="20"/>
              </w:rPr>
              <w:t>2</w:t>
            </w:r>
            <w:r w:rsidRPr="0076681B">
              <w:rPr>
                <w:rFonts w:asciiTheme="majorBidi" w:hAnsiTheme="majorBidi"/>
                <w:sz w:val="20"/>
                <w:szCs w:val="20"/>
              </w:rPr>
              <w:t xml:space="preserve">. </w:t>
            </w:r>
            <w:r w:rsidRPr="0076681B">
              <w:rPr>
                <w:sz w:val="20"/>
                <w:szCs w:val="20"/>
              </w:rPr>
              <w:t xml:space="preserve">Promover </w:t>
            </w:r>
            <w:r w:rsidRPr="0076681B">
              <w:rPr>
                <w:rFonts w:asciiTheme="majorBidi" w:hAnsiTheme="majorBidi"/>
                <w:color w:val="000000" w:themeColor="text1"/>
                <w:sz w:val="20"/>
                <w:szCs w:val="20"/>
              </w:rPr>
              <w:t>la aplicación de directrices conjuntas de carácter voluntario para la gestión ambientalmente racional de</w:t>
            </w:r>
            <w:r>
              <w:rPr>
                <w:rFonts w:asciiTheme="majorBidi" w:hAnsiTheme="majorBidi"/>
                <w:color w:val="000000" w:themeColor="text1"/>
                <w:sz w:val="20"/>
              </w:rPr>
              <w:t xml:space="preserve"> las operaciones de salud pública, médicas y veterinarias y sus residuos</w:t>
            </w:r>
            <w:r w:rsidR="00943142" w:rsidRPr="00603392">
              <w:rPr>
                <w:rStyle w:val="FootnoteReference"/>
                <w:rFonts w:asciiTheme="majorBidi" w:eastAsiaTheme="minorEastAsia" w:hAnsiTheme="majorBidi" w:cstheme="majorBidi"/>
                <w:color w:val="000000" w:themeColor="text1"/>
                <w:kern w:val="2"/>
                <w:sz w:val="20"/>
                <w:szCs w:val="20"/>
                <w:lang w:eastAsia="zh-CN"/>
              </w:rPr>
              <w:footnoteReference w:id="35"/>
            </w:r>
            <w:r>
              <w:rPr>
                <w:rFonts w:asciiTheme="majorBidi" w:hAnsiTheme="majorBidi"/>
                <w:color w:val="000000" w:themeColor="text1"/>
                <w:sz w:val="20"/>
              </w:rPr>
              <w:t xml:space="preserve">, entre otras cosas para evitar el uso y la eliminación inadecuados de </w:t>
            </w:r>
            <w:r>
              <w:rPr>
                <w:rFonts w:asciiTheme="majorBidi" w:hAnsiTheme="majorBidi"/>
                <w:color w:val="000000" w:themeColor="text1"/>
                <w:sz w:val="20"/>
              </w:rPr>
              <w:lastRenderedPageBreak/>
              <w:t>[antibióticos, ]productos farmacéuticos</w:t>
            </w:r>
            <w:r w:rsidR="00943142" w:rsidRPr="00603392">
              <w:rPr>
                <w:rStyle w:val="FootnoteReference"/>
                <w:rFonts w:asciiTheme="majorBidi" w:eastAsiaTheme="minorEastAsia" w:hAnsiTheme="majorBidi" w:cstheme="majorBidi"/>
                <w:color w:val="000000" w:themeColor="text1"/>
                <w:kern w:val="2"/>
                <w:sz w:val="20"/>
                <w:szCs w:val="20"/>
                <w:lang w:eastAsia="zh-CN"/>
              </w:rPr>
              <w:footnoteReference w:id="36"/>
            </w:r>
            <w:r>
              <w:rPr>
                <w:rFonts w:asciiTheme="majorBidi" w:hAnsiTheme="majorBidi"/>
                <w:color w:val="000000" w:themeColor="text1"/>
                <w:sz w:val="20"/>
              </w:rPr>
              <w:t>, productos médicos</w:t>
            </w:r>
            <w:r w:rsidR="000C64C4" w:rsidRPr="00603392">
              <w:rPr>
                <w:rStyle w:val="FootnoteReference"/>
                <w:rFonts w:asciiTheme="majorBidi" w:eastAsiaTheme="minorEastAsia" w:hAnsiTheme="majorBidi" w:cstheme="majorBidi"/>
                <w:color w:val="000000" w:themeColor="text1"/>
                <w:kern w:val="2"/>
                <w:sz w:val="20"/>
                <w:szCs w:val="20"/>
                <w:lang w:eastAsia="zh-CN"/>
              </w:rPr>
              <w:footnoteReference w:id="37"/>
            </w:r>
            <w:r>
              <w:rPr>
                <w:rFonts w:asciiTheme="majorBidi" w:hAnsiTheme="majorBidi"/>
                <w:color w:val="000000" w:themeColor="text1"/>
                <w:sz w:val="20"/>
              </w:rPr>
              <w:t>, metales pesados y residuos</w:t>
            </w:r>
            <w:r w:rsidR="000C64C4" w:rsidRPr="00603392">
              <w:rPr>
                <w:rStyle w:val="FootnoteReference"/>
                <w:rFonts w:asciiTheme="majorBidi" w:eastAsiaTheme="minorEastAsia" w:hAnsiTheme="majorBidi" w:cstheme="majorBidi"/>
                <w:color w:val="000000" w:themeColor="text1"/>
                <w:kern w:val="2"/>
                <w:sz w:val="20"/>
                <w:szCs w:val="20"/>
                <w:lang w:eastAsia="zh-CN"/>
              </w:rPr>
              <w:footnoteReference w:id="38"/>
            </w:r>
            <w:r>
              <w:rPr>
                <w:rFonts w:asciiTheme="majorBidi" w:hAnsiTheme="majorBidi"/>
                <w:color w:val="000000" w:themeColor="text1"/>
                <w:sz w:val="20"/>
              </w:rPr>
              <w:t>.</w:t>
            </w:r>
          </w:p>
          <w:p w14:paraId="753E40FA" w14:textId="75B953B4" w:rsidR="00050E9A" w:rsidRPr="00603392" w:rsidRDefault="0042264E" w:rsidP="009A429E">
            <w:pPr>
              <w:spacing w:before="60" w:after="60"/>
              <w:jc w:val="left"/>
              <w:rPr>
                <w:rFonts w:asciiTheme="majorBidi" w:hAnsiTheme="majorBidi" w:cstheme="majorBidi"/>
                <w:snapToGrid w:val="0"/>
                <w:color w:val="000000" w:themeColor="text1"/>
                <w:sz w:val="20"/>
                <w:szCs w:val="20"/>
              </w:rPr>
            </w:pPr>
            <w:r>
              <w:rPr>
                <w:rFonts w:asciiTheme="majorBidi" w:hAnsiTheme="majorBidi"/>
                <w:sz w:val="20"/>
              </w:rPr>
              <w:t>3. Reducir al mínimo la contaminación de los sistemas municipales de residuos y aguas residuales e integrar consideraciones de diversidad biológica y salud en los planes locales y municipales de gestión de residuos y aguas residuales; e incorporar estrategias nacionales y subnacionales de gestión de efluentes de aguas residuales municipales en las estrategias y planes de acción nacionales en materia de biodiversidad.</w:t>
            </w:r>
          </w:p>
          <w:p w14:paraId="704F9B26" w14:textId="3C066E69" w:rsidR="00050E9A" w:rsidRPr="00603392" w:rsidRDefault="00FD0CED" w:rsidP="009A429E">
            <w:pPr>
              <w:spacing w:before="60" w:after="60"/>
              <w:jc w:val="left"/>
              <w:rPr>
                <w:rFonts w:asciiTheme="majorBidi" w:eastAsiaTheme="minorEastAsia" w:hAnsiTheme="majorBidi" w:cstheme="majorBidi"/>
                <w:snapToGrid w:val="0"/>
                <w:color w:val="000000" w:themeColor="text1"/>
                <w:sz w:val="20"/>
                <w:szCs w:val="20"/>
              </w:rPr>
            </w:pPr>
            <w:r>
              <w:rPr>
                <w:rFonts w:asciiTheme="majorBidi" w:hAnsiTheme="majorBidi"/>
                <w:sz w:val="20"/>
              </w:rPr>
              <w:t xml:space="preserve">4. Promover </w:t>
            </w:r>
            <w:r>
              <w:rPr>
                <w:rFonts w:asciiTheme="majorBidi" w:hAnsiTheme="majorBidi"/>
                <w:snapToGrid w:val="0"/>
                <w:sz w:val="20"/>
              </w:rPr>
              <w:t>estrategias para reducir la contaminación lumínica y acústica</w:t>
            </w:r>
            <w:r w:rsidR="009B0237" w:rsidRPr="00EB2F01">
              <w:rPr>
                <w:rStyle w:val="FootnoteReference"/>
                <w:rFonts w:asciiTheme="majorBidi" w:hAnsiTheme="majorBidi" w:cstheme="majorBidi"/>
                <w:snapToGrid w:val="0"/>
                <w:color w:val="000000" w:themeColor="text1"/>
                <w:sz w:val="20"/>
                <w:szCs w:val="20"/>
              </w:rPr>
              <w:footnoteReference w:id="39"/>
            </w:r>
            <w:r w:rsidR="009B0237" w:rsidRPr="00603392">
              <w:rPr>
                <w:rFonts w:asciiTheme="majorBidi" w:hAnsiTheme="majorBidi" w:cstheme="majorBidi"/>
                <w:snapToGrid w:val="0"/>
                <w:color w:val="000000" w:themeColor="text1"/>
                <w:sz w:val="20"/>
                <w:szCs w:val="20"/>
                <w:vertAlign w:val="superscript"/>
              </w:rPr>
              <w:t>,</w:t>
            </w:r>
            <w:r w:rsidR="009B0237" w:rsidRPr="009B0237">
              <w:rPr>
                <w:rFonts w:asciiTheme="majorBidi" w:hAnsiTheme="majorBidi" w:cstheme="majorBidi"/>
                <w:snapToGrid w:val="0"/>
                <w:color w:val="000000" w:themeColor="text1"/>
                <w:spacing w:val="-20"/>
                <w:sz w:val="20"/>
                <w:szCs w:val="20"/>
                <w:vertAlign w:val="superscript"/>
              </w:rPr>
              <w:t xml:space="preserve"> </w:t>
            </w:r>
            <w:r w:rsidR="009B0237" w:rsidRPr="00603392">
              <w:rPr>
                <w:rStyle w:val="FootnoteReference"/>
                <w:rFonts w:asciiTheme="majorBidi" w:hAnsiTheme="majorBidi" w:cstheme="majorBidi"/>
                <w:snapToGrid w:val="0"/>
                <w:color w:val="000000" w:themeColor="text1"/>
                <w:sz w:val="20"/>
                <w:szCs w:val="20"/>
              </w:rPr>
              <w:footnoteReference w:id="40"/>
            </w:r>
            <w:r>
              <w:rPr>
                <w:rFonts w:asciiTheme="majorBidi" w:hAnsiTheme="majorBidi"/>
                <w:color w:val="000000" w:themeColor="text1"/>
                <w:sz w:val="20"/>
              </w:rPr>
              <w:t xml:space="preserve">, </w:t>
            </w:r>
            <w:r w:rsidR="009B0237">
              <w:rPr>
                <w:rFonts w:asciiTheme="majorBidi" w:hAnsiTheme="majorBidi"/>
                <w:color w:val="000000" w:themeColor="text1"/>
                <w:sz w:val="20"/>
              </w:rPr>
              <w:t xml:space="preserve">en </w:t>
            </w:r>
            <w:r>
              <w:rPr>
                <w:rFonts w:asciiTheme="majorBidi" w:hAnsiTheme="majorBidi"/>
                <w:color w:val="000000" w:themeColor="text1"/>
                <w:sz w:val="20"/>
              </w:rPr>
              <w:t>especial en medios urbanos, que sea perjudicial para la salud humana y la salud de otros organismos.</w:t>
            </w:r>
          </w:p>
          <w:p w14:paraId="43359745" w14:textId="1500C03B" w:rsidR="00050E9A" w:rsidRPr="00603392" w:rsidRDefault="00FD0CED" w:rsidP="009A429E">
            <w:pPr>
              <w:spacing w:before="60" w:after="60"/>
              <w:jc w:val="left"/>
              <w:rPr>
                <w:rFonts w:asciiTheme="majorBidi" w:hAnsiTheme="majorBidi" w:cstheme="majorBidi"/>
                <w:snapToGrid w:val="0"/>
                <w:color w:val="000000" w:themeColor="text1"/>
                <w:sz w:val="20"/>
                <w:szCs w:val="20"/>
              </w:rPr>
            </w:pPr>
            <w:r>
              <w:rPr>
                <w:rFonts w:asciiTheme="majorBidi" w:hAnsiTheme="majorBidi"/>
                <w:snapToGrid w:val="0"/>
                <w:color w:val="000000" w:themeColor="text1"/>
                <w:sz w:val="20"/>
              </w:rPr>
              <w:t>5. Utilizar los sistemas nacionales de biovigilancia humana</w:t>
            </w:r>
            <w:r w:rsidR="00286FA9" w:rsidRPr="00286FA9">
              <w:rPr>
                <w:rFonts w:asciiTheme="majorBidi" w:hAnsiTheme="majorBidi"/>
                <w:snapToGrid w:val="0"/>
                <w:color w:val="000000" w:themeColor="text1"/>
                <w:spacing w:val="-20"/>
                <w:sz w:val="20"/>
              </w:rPr>
              <w:t xml:space="preserve"> </w:t>
            </w:r>
            <w:r>
              <w:rPr>
                <w:rFonts w:asciiTheme="majorBidi" w:hAnsiTheme="majorBidi"/>
                <w:i/>
                <w:iCs/>
                <w:snapToGrid w:val="0"/>
                <w:color w:val="000000" w:themeColor="text1"/>
                <w:sz w:val="20"/>
                <w:vertAlign w:val="superscript"/>
              </w:rPr>
              <w:t>d</w:t>
            </w:r>
            <w:r>
              <w:rPr>
                <w:rFonts w:asciiTheme="majorBidi" w:hAnsiTheme="majorBidi"/>
                <w:snapToGrid w:val="0"/>
                <w:color w:val="000000" w:themeColor="text1"/>
                <w:sz w:val="20"/>
              </w:rPr>
              <w:t xml:space="preserve"> para, entre otros objetivos, movilizar recursos para producir o mejorar datos a fin de elaborar nuevas estrategias para reforzar las medidas de control de la contaminación</w:t>
            </w:r>
            <w:r w:rsidR="00E80E8B" w:rsidRPr="00EB2F01">
              <w:rPr>
                <w:rStyle w:val="FootnoteReference"/>
                <w:rFonts w:asciiTheme="majorBidi" w:hAnsiTheme="majorBidi" w:cstheme="majorBidi"/>
                <w:snapToGrid w:val="0"/>
                <w:color w:val="000000" w:themeColor="text1"/>
                <w:sz w:val="20"/>
                <w:szCs w:val="20"/>
              </w:rPr>
              <w:footnoteReference w:id="41"/>
            </w:r>
            <w:r>
              <w:rPr>
                <w:rFonts w:asciiTheme="majorBidi" w:hAnsiTheme="majorBidi"/>
                <w:snapToGrid w:val="0"/>
                <w:color w:val="000000" w:themeColor="text1"/>
                <w:sz w:val="20"/>
              </w:rPr>
              <w:t>.</w:t>
            </w:r>
            <w:r>
              <w:rPr>
                <w:rFonts w:asciiTheme="majorBidi" w:hAnsiTheme="majorBidi"/>
                <w:snapToGrid w:val="0"/>
                <w:color w:val="000000" w:themeColor="text1"/>
                <w:sz w:val="20"/>
                <w:vertAlign w:val="superscript"/>
              </w:rPr>
              <w:t xml:space="preserve"> </w:t>
            </w:r>
          </w:p>
          <w:p w14:paraId="38FFE309" w14:textId="5FF6D6AF" w:rsidR="0066678E" w:rsidRPr="00603392" w:rsidRDefault="005451F6" w:rsidP="00F24D35">
            <w:pPr>
              <w:spacing w:before="60" w:after="120"/>
              <w:jc w:val="left"/>
              <w:rPr>
                <w:sz w:val="20"/>
                <w:szCs w:val="20"/>
              </w:rPr>
            </w:pPr>
            <w:r>
              <w:rPr>
                <w:rFonts w:asciiTheme="majorBidi" w:hAnsiTheme="majorBidi"/>
                <w:color w:val="000000" w:themeColor="text1"/>
                <w:sz w:val="20"/>
              </w:rPr>
              <w:t xml:space="preserve">6. </w:t>
            </w:r>
            <w:r w:rsidRPr="0076681B">
              <w:rPr>
                <w:rFonts w:asciiTheme="majorBidi" w:hAnsiTheme="majorBidi"/>
                <w:color w:val="000000" w:themeColor="text1"/>
                <w:spacing w:val="-4"/>
                <w:sz w:val="20"/>
              </w:rPr>
              <w:t xml:space="preserve">Desarrollar datos de seguimiento y/o vigilancia, mejorar el intercambio de información y promover la comprensión de los vínculos entre productos químicos </w:t>
            </w:r>
            <w:r w:rsidR="00F24D35" w:rsidRPr="0076681B">
              <w:rPr>
                <w:rFonts w:asciiTheme="majorBidi" w:hAnsiTheme="majorBidi"/>
                <w:color w:val="000000" w:themeColor="text1"/>
                <w:spacing w:val="-4"/>
                <w:sz w:val="20"/>
              </w:rPr>
              <w:t xml:space="preserve">y desechos </w:t>
            </w:r>
            <w:r w:rsidRPr="0076681B">
              <w:rPr>
                <w:rFonts w:asciiTheme="majorBidi" w:hAnsiTheme="majorBidi"/>
                <w:color w:val="000000" w:themeColor="text1"/>
                <w:spacing w:val="-4"/>
                <w:sz w:val="20"/>
              </w:rPr>
              <w:t>y los impactos en la salud humana para maximizar los beneficios secundarios para la diversidad biológica y la salud humana, incluido a través del enfoque de “Una sola salud”.</w:t>
            </w:r>
          </w:p>
        </w:tc>
      </w:tr>
      <w:tr w:rsidR="007B05AE" w:rsidRPr="00EB2F01" w14:paraId="4E6748ED" w14:textId="77777777" w:rsidTr="00603392">
        <w:tc>
          <w:tcPr>
            <w:tcW w:w="13589" w:type="dxa"/>
            <w:gridSpan w:val="3"/>
          </w:tcPr>
          <w:p w14:paraId="245E3D6D" w14:textId="41D4CD40" w:rsidR="007B05AE" w:rsidRPr="00603392" w:rsidRDefault="007B05AE" w:rsidP="0076681B">
            <w:pPr>
              <w:spacing w:before="40" w:after="40"/>
              <w:jc w:val="left"/>
              <w:rPr>
                <w:rFonts w:asciiTheme="majorBidi" w:eastAsiaTheme="minorEastAsia" w:hAnsiTheme="majorBidi" w:cstheme="majorBidi"/>
                <w:b/>
                <w:color w:val="000000" w:themeColor="text1"/>
                <w:spacing w:val="6"/>
                <w:kern w:val="2"/>
                <w:sz w:val="20"/>
                <w:szCs w:val="20"/>
                <w14:ligatures w14:val="standardContextual"/>
              </w:rPr>
            </w:pPr>
            <w:r>
              <w:rPr>
                <w:rFonts w:asciiTheme="majorBidi" w:hAnsiTheme="majorBidi"/>
                <w:b/>
                <w:color w:val="000000" w:themeColor="text1"/>
                <w:sz w:val="20"/>
              </w:rPr>
              <w:lastRenderedPageBreak/>
              <w:t xml:space="preserve">Cambio climático </w:t>
            </w:r>
          </w:p>
        </w:tc>
      </w:tr>
      <w:tr w:rsidR="00050E9A" w:rsidRPr="00EB2F01" w14:paraId="2C0D56F9" w14:textId="77777777" w:rsidTr="009B0237">
        <w:tc>
          <w:tcPr>
            <w:tcW w:w="1890" w:type="dxa"/>
          </w:tcPr>
          <w:p w14:paraId="22F8BBF0" w14:textId="12306609" w:rsidR="00050E9A" w:rsidRPr="00603392" w:rsidRDefault="003F7DBA" w:rsidP="0076681B">
            <w:pPr>
              <w:spacing w:before="40" w:after="40"/>
              <w:jc w:val="left"/>
              <w:rPr>
                <w:rFonts w:asciiTheme="majorBidi" w:eastAsiaTheme="minorEastAsia" w:hAnsiTheme="majorBidi" w:cstheme="majorBidi"/>
                <w:bCs/>
                <w:color w:val="000000" w:themeColor="text1"/>
                <w:kern w:val="2"/>
                <w:sz w:val="20"/>
                <w:szCs w:val="20"/>
                <w14:ligatures w14:val="standardContextual"/>
              </w:rPr>
            </w:pPr>
            <w:r>
              <w:rPr>
                <w:rFonts w:asciiTheme="majorBidi" w:hAnsiTheme="majorBidi"/>
                <w:color w:val="000000" w:themeColor="text1"/>
                <w:sz w:val="20"/>
              </w:rPr>
              <w:t>Meta 8</w:t>
            </w:r>
          </w:p>
        </w:tc>
        <w:tc>
          <w:tcPr>
            <w:tcW w:w="4230" w:type="dxa"/>
          </w:tcPr>
          <w:p w14:paraId="3B4EA8A6" w14:textId="1E4F8A61" w:rsidR="00C73F9B" w:rsidRPr="00603392" w:rsidRDefault="001036EE" w:rsidP="003B33C2">
            <w:pPr>
              <w:spacing w:before="40" w:after="4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El cambio climático, exacerbado por la pérdida de diversidad biológica, es un impulsor de la pérdida de diversidad biológica y de</w:t>
            </w:r>
            <w:bookmarkStart w:id="8" w:name="_Ref168921998"/>
            <w:r w:rsidR="00F24D35">
              <w:rPr>
                <w:rFonts w:asciiTheme="majorBidi" w:hAnsiTheme="majorBidi"/>
                <w:color w:val="000000" w:themeColor="text1"/>
                <w:sz w:val="20"/>
              </w:rPr>
              <w:t xml:space="preserve"> la mala salud</w:t>
            </w:r>
            <w:r w:rsidR="000C4D17" w:rsidRPr="00603392">
              <w:rPr>
                <w:rStyle w:val="FootnoteReference"/>
                <w:rFonts w:asciiTheme="majorBidi" w:eastAsiaTheme="minorEastAsia" w:hAnsiTheme="majorBidi" w:cstheme="majorBidi"/>
                <w:color w:val="000000" w:themeColor="text1"/>
                <w:kern w:val="2"/>
                <w:sz w:val="20"/>
                <w:szCs w:val="20"/>
                <w:lang w:eastAsia="zh-CN"/>
              </w:rPr>
              <w:footnoteReference w:id="42"/>
            </w:r>
            <w:bookmarkEnd w:id="8"/>
            <w:r w:rsidR="00F24D35">
              <w:rPr>
                <w:rFonts w:asciiTheme="majorBidi" w:hAnsiTheme="majorBidi"/>
                <w:color w:val="000000" w:themeColor="text1"/>
                <w:sz w:val="20"/>
              </w:rPr>
              <w:t>.</w:t>
            </w:r>
            <w:r>
              <w:rPr>
                <w:rFonts w:asciiTheme="majorBidi" w:hAnsiTheme="majorBidi"/>
                <w:color w:val="000000" w:themeColor="text1"/>
                <w:sz w:val="20"/>
              </w:rPr>
              <w:t xml:space="preserve"> Aumenta los riesgos de fenómenos meteorológicos extremos (p. ej., olas de calor, incendios forestales, sequías e inundaciones) y la acidificación de los océanos, y tiene un impacto adverso en la calidad y cantidad del agua, la </w:t>
            </w:r>
            <w:r>
              <w:rPr>
                <w:rFonts w:asciiTheme="majorBidi" w:hAnsiTheme="majorBidi"/>
                <w:color w:val="000000" w:themeColor="text1"/>
                <w:sz w:val="20"/>
              </w:rPr>
              <w:lastRenderedPageBreak/>
              <w:t xml:space="preserve">producción de alimentos </w:t>
            </w:r>
            <w:r w:rsidR="00F24D35">
              <w:rPr>
                <w:rFonts w:asciiTheme="majorBidi" w:hAnsiTheme="majorBidi"/>
                <w:color w:val="000000" w:themeColor="text1"/>
                <w:sz w:val="20"/>
              </w:rPr>
              <w:t xml:space="preserve">por la </w:t>
            </w:r>
            <w:r>
              <w:rPr>
                <w:rFonts w:asciiTheme="majorBidi" w:hAnsiTheme="majorBidi"/>
                <w:color w:val="000000" w:themeColor="text1"/>
                <w:sz w:val="20"/>
              </w:rPr>
              <w:t>agr</w:t>
            </w:r>
            <w:r w:rsidR="00F24D35">
              <w:rPr>
                <w:rFonts w:asciiTheme="majorBidi" w:hAnsiTheme="majorBidi"/>
                <w:color w:val="000000" w:themeColor="text1"/>
                <w:sz w:val="20"/>
              </w:rPr>
              <w:t>i</w:t>
            </w:r>
            <w:r>
              <w:rPr>
                <w:rFonts w:asciiTheme="majorBidi" w:hAnsiTheme="majorBidi"/>
                <w:color w:val="000000" w:themeColor="text1"/>
                <w:sz w:val="20"/>
              </w:rPr>
              <w:t>c</w:t>
            </w:r>
            <w:r w:rsidR="00F24D35">
              <w:rPr>
                <w:rFonts w:asciiTheme="majorBidi" w:hAnsiTheme="majorBidi"/>
                <w:color w:val="000000" w:themeColor="text1"/>
                <w:sz w:val="20"/>
              </w:rPr>
              <w:t>u</w:t>
            </w:r>
            <w:r>
              <w:rPr>
                <w:rFonts w:asciiTheme="majorBidi" w:hAnsiTheme="majorBidi"/>
                <w:color w:val="000000" w:themeColor="text1"/>
                <w:sz w:val="20"/>
              </w:rPr>
              <w:t>l</w:t>
            </w:r>
            <w:r w:rsidR="00F24D35">
              <w:rPr>
                <w:rFonts w:asciiTheme="majorBidi" w:hAnsiTheme="majorBidi"/>
                <w:color w:val="000000" w:themeColor="text1"/>
                <w:sz w:val="20"/>
              </w:rPr>
              <w:t>tur</w:t>
            </w:r>
            <w:r>
              <w:rPr>
                <w:rFonts w:asciiTheme="majorBidi" w:hAnsiTheme="majorBidi"/>
                <w:color w:val="000000" w:themeColor="text1"/>
                <w:sz w:val="20"/>
              </w:rPr>
              <w:t xml:space="preserve">a, </w:t>
            </w:r>
            <w:r w:rsidR="00F24D35">
              <w:rPr>
                <w:rFonts w:asciiTheme="majorBidi" w:hAnsiTheme="majorBidi"/>
                <w:color w:val="000000" w:themeColor="text1"/>
                <w:sz w:val="20"/>
              </w:rPr>
              <w:t xml:space="preserve">la </w:t>
            </w:r>
            <w:r>
              <w:rPr>
                <w:rFonts w:asciiTheme="majorBidi" w:hAnsiTheme="majorBidi"/>
                <w:color w:val="000000" w:themeColor="text1"/>
                <w:sz w:val="20"/>
              </w:rPr>
              <w:t>ganader</w:t>
            </w:r>
            <w:r w:rsidR="00F24D35">
              <w:rPr>
                <w:rFonts w:asciiTheme="majorBidi" w:hAnsiTheme="majorBidi"/>
                <w:color w:val="000000" w:themeColor="text1"/>
                <w:sz w:val="20"/>
              </w:rPr>
              <w:t>ía</w:t>
            </w:r>
            <w:r>
              <w:rPr>
                <w:rFonts w:asciiTheme="majorBidi" w:hAnsiTheme="majorBidi"/>
                <w:color w:val="000000" w:themeColor="text1"/>
                <w:sz w:val="20"/>
              </w:rPr>
              <w:t xml:space="preserve">, </w:t>
            </w:r>
            <w:r w:rsidR="00F24D35">
              <w:rPr>
                <w:rFonts w:asciiTheme="majorBidi" w:hAnsiTheme="majorBidi"/>
                <w:color w:val="000000" w:themeColor="text1"/>
                <w:sz w:val="20"/>
              </w:rPr>
              <w:t>la</w:t>
            </w:r>
            <w:r>
              <w:rPr>
                <w:rFonts w:asciiTheme="majorBidi" w:hAnsiTheme="majorBidi"/>
                <w:color w:val="000000" w:themeColor="text1"/>
                <w:sz w:val="20"/>
              </w:rPr>
              <w:t xml:space="preserve"> pesca y </w:t>
            </w:r>
            <w:r w:rsidR="00F24D35">
              <w:rPr>
                <w:rFonts w:asciiTheme="majorBidi" w:hAnsiTheme="majorBidi"/>
                <w:color w:val="000000" w:themeColor="text1"/>
                <w:sz w:val="20"/>
              </w:rPr>
              <w:t>la</w:t>
            </w:r>
            <w:r>
              <w:rPr>
                <w:rFonts w:asciiTheme="majorBidi" w:hAnsiTheme="majorBidi"/>
                <w:color w:val="000000" w:themeColor="text1"/>
                <w:sz w:val="20"/>
              </w:rPr>
              <w:t xml:space="preserve"> acuicultura y las infraestructuras que sustentan las ciudades y los asentamientos, aumentando los riesgos de enfermedades transmitidas por vectores, por el agua y por los alimentos, la malnutrición, las enfermedades causadas por el calor, la salud mental y los desplazamientos. Los riesgos que </w:t>
            </w:r>
            <w:r w:rsidR="003B33C2">
              <w:rPr>
                <w:rFonts w:asciiTheme="majorBidi" w:hAnsiTheme="majorBidi"/>
                <w:color w:val="000000" w:themeColor="text1"/>
                <w:sz w:val="20"/>
              </w:rPr>
              <w:t>plantea</w:t>
            </w:r>
            <w:r>
              <w:rPr>
                <w:rFonts w:asciiTheme="majorBidi" w:hAnsiTheme="majorBidi"/>
                <w:color w:val="000000" w:themeColor="text1"/>
                <w:sz w:val="20"/>
              </w:rPr>
              <w:t xml:space="preserve"> el cambio climático afectan a los seres humanos, los animales, las plantas y los ecosistemas</w:t>
            </w:r>
            <w:r w:rsidR="00541430" w:rsidRPr="00EB2F01">
              <w:rPr>
                <w:rStyle w:val="FootnoteReference"/>
                <w:rFonts w:asciiTheme="majorBidi" w:eastAsiaTheme="minorEastAsia" w:hAnsiTheme="majorBidi" w:cstheme="majorBidi"/>
                <w:color w:val="000000" w:themeColor="text1"/>
                <w:kern w:val="2"/>
                <w:sz w:val="20"/>
                <w:szCs w:val="20"/>
                <w:lang w:eastAsia="zh-CN"/>
              </w:rPr>
              <w:footnoteReference w:id="43"/>
            </w:r>
            <w:r w:rsidRPr="00907FC5">
              <w:rPr>
                <w:rFonts w:asciiTheme="majorBidi" w:hAnsiTheme="majorBidi"/>
                <w:color w:val="000000" w:themeColor="text1"/>
                <w:sz w:val="20"/>
                <w:vertAlign w:val="superscript"/>
              </w:rPr>
              <w:t>,</w:t>
            </w:r>
            <w:r w:rsidR="003B33C2">
              <w:rPr>
                <w:rFonts w:asciiTheme="majorBidi" w:hAnsiTheme="majorBidi"/>
                <w:color w:val="000000" w:themeColor="text1"/>
                <w:sz w:val="20"/>
                <w:vertAlign w:val="superscript"/>
              </w:rPr>
              <w:t xml:space="preserve"> </w:t>
            </w:r>
            <w:r w:rsidR="00B65BD6">
              <w:rPr>
                <w:rStyle w:val="FootnoteReference"/>
                <w:rFonts w:asciiTheme="majorBidi" w:hAnsiTheme="majorBidi"/>
                <w:color w:val="000000" w:themeColor="text1"/>
                <w:sz w:val="20"/>
              </w:rPr>
              <w:footnoteReference w:id="44"/>
            </w:r>
            <w:r>
              <w:rPr>
                <w:rFonts w:asciiTheme="majorBidi" w:hAnsiTheme="majorBidi"/>
                <w:color w:val="000000" w:themeColor="text1"/>
                <w:sz w:val="20"/>
              </w:rPr>
              <w:t>. Las soluciones basadas en la naturaleza</w:t>
            </w:r>
            <w:r w:rsidRPr="00907FC5">
              <w:rPr>
                <w:rFonts w:asciiTheme="majorBidi" w:hAnsiTheme="majorBidi"/>
                <w:color w:val="000000" w:themeColor="text1"/>
                <w:spacing w:val="-20"/>
                <w:sz w:val="20"/>
              </w:rPr>
              <w:t xml:space="preserve"> </w:t>
            </w:r>
            <w:r>
              <w:rPr>
                <w:rFonts w:asciiTheme="majorBidi" w:hAnsiTheme="majorBidi"/>
                <w:i/>
                <w:color w:val="000000" w:themeColor="text1"/>
                <w:sz w:val="20"/>
                <w:vertAlign w:val="superscript"/>
              </w:rPr>
              <w:t>e</w:t>
            </w:r>
            <w:r>
              <w:rPr>
                <w:rFonts w:asciiTheme="majorBidi" w:hAnsiTheme="majorBidi"/>
                <w:color w:val="000000" w:themeColor="text1"/>
                <w:sz w:val="20"/>
              </w:rPr>
              <w:t xml:space="preserve"> y/o los enfoques basados en los ecosistemas pueden ayudar a mitigar el cambio climático, que es perjudicial para la salud, y a mejorar la resiliencia al cambio climático y </w:t>
            </w:r>
            <w:r w:rsidR="006378B0">
              <w:rPr>
                <w:rFonts w:asciiTheme="majorBidi" w:hAnsiTheme="majorBidi"/>
                <w:color w:val="000000" w:themeColor="text1"/>
                <w:sz w:val="20"/>
              </w:rPr>
              <w:t xml:space="preserve">a </w:t>
            </w:r>
            <w:r>
              <w:rPr>
                <w:rFonts w:asciiTheme="majorBidi" w:hAnsiTheme="majorBidi"/>
                <w:color w:val="000000" w:themeColor="text1"/>
                <w:sz w:val="20"/>
              </w:rPr>
              <w:t>adaptarse a él.</w:t>
            </w:r>
          </w:p>
        </w:tc>
        <w:tc>
          <w:tcPr>
            <w:tcW w:w="7469" w:type="dxa"/>
          </w:tcPr>
          <w:p w14:paraId="53A8C690" w14:textId="334FC9F2" w:rsidR="00050E9A" w:rsidRPr="00603392" w:rsidRDefault="00050E9A" w:rsidP="0076681B">
            <w:pPr>
              <w:spacing w:before="40" w:after="4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sz w:val="20"/>
              </w:rPr>
              <w:lastRenderedPageBreak/>
              <w:t>1. Integrar la consideración de las interrelaciones entre el cambio climático, la diversidad biológica y la salud en instrumentos nacionales de políticas y planificación pertinentes, en consonancia con las circunstancias y prioridades nacionales.</w:t>
            </w:r>
          </w:p>
          <w:p w14:paraId="0CD66F7D" w14:textId="013CC025" w:rsidR="00050E9A" w:rsidRPr="00603392" w:rsidRDefault="00050E9A" w:rsidP="0076681B">
            <w:pPr>
              <w:spacing w:before="60" w:after="60"/>
              <w:jc w:val="left"/>
              <w:rPr>
                <w:rFonts w:asciiTheme="majorBidi" w:eastAsiaTheme="minorEastAsia" w:hAnsiTheme="majorBidi" w:cstheme="majorBidi"/>
                <w:strike/>
                <w:kern w:val="2"/>
                <w:sz w:val="20"/>
                <w:szCs w:val="20"/>
                <w14:ligatures w14:val="standardContextual"/>
              </w:rPr>
            </w:pPr>
            <w:r>
              <w:rPr>
                <w:rFonts w:asciiTheme="majorBidi" w:hAnsiTheme="majorBidi"/>
                <w:sz w:val="20"/>
              </w:rPr>
              <w:t>2. Fortalecer la creación y el desarrollo de capacidad para abordar l</w:t>
            </w:r>
            <w:r w:rsidR="00453D74">
              <w:rPr>
                <w:rFonts w:asciiTheme="majorBidi" w:hAnsiTheme="majorBidi"/>
                <w:sz w:val="20"/>
              </w:rPr>
              <w:t>a</w:t>
            </w:r>
            <w:r>
              <w:rPr>
                <w:rFonts w:asciiTheme="majorBidi" w:hAnsiTheme="majorBidi"/>
                <w:sz w:val="20"/>
              </w:rPr>
              <w:t xml:space="preserve">s </w:t>
            </w:r>
            <w:r w:rsidR="00453D74">
              <w:rPr>
                <w:rFonts w:asciiTheme="majorBidi" w:hAnsiTheme="majorBidi"/>
                <w:sz w:val="20"/>
              </w:rPr>
              <w:t>interrelacione</w:t>
            </w:r>
            <w:r>
              <w:rPr>
                <w:rFonts w:asciiTheme="majorBidi" w:hAnsiTheme="majorBidi"/>
                <w:sz w:val="20"/>
              </w:rPr>
              <w:t>s entre la diversidad biológica, el cambio climático y la salud, entre otras cosas mediante la investigación, la enseñanza y el desarrollo de</w:t>
            </w:r>
            <w:r w:rsidR="00F24D35">
              <w:rPr>
                <w:rFonts w:asciiTheme="majorBidi" w:hAnsiTheme="majorBidi"/>
                <w:sz w:val="20"/>
              </w:rPr>
              <w:t xml:space="preserve"> herramientas de </w:t>
            </w:r>
            <w:r w:rsidR="0034765F">
              <w:rPr>
                <w:rFonts w:asciiTheme="majorBidi" w:hAnsiTheme="majorBidi"/>
                <w:sz w:val="20"/>
              </w:rPr>
              <w:t>comunicación y</w:t>
            </w:r>
            <w:r w:rsidR="00F24D35">
              <w:rPr>
                <w:rFonts w:asciiTheme="majorBidi" w:hAnsiTheme="majorBidi"/>
                <w:sz w:val="20"/>
              </w:rPr>
              <w:t xml:space="preserve"> </w:t>
            </w:r>
            <w:r w:rsidR="00F24D35">
              <w:rPr>
                <w:rFonts w:asciiTheme="majorBidi" w:hAnsiTheme="majorBidi"/>
                <w:sz w:val="20"/>
              </w:rPr>
              <w:lastRenderedPageBreak/>
              <w:t>conocimientos</w:t>
            </w:r>
            <w:r>
              <w:rPr>
                <w:rFonts w:asciiTheme="majorBidi" w:hAnsiTheme="majorBidi"/>
                <w:sz w:val="20"/>
              </w:rPr>
              <w:t xml:space="preserve">, y profundizar la cooperación internacional mediante la transferencia de tecnología. </w:t>
            </w:r>
          </w:p>
          <w:p w14:paraId="197FB47A" w14:textId="188C4F98" w:rsidR="00050E9A" w:rsidRPr="00603392" w:rsidRDefault="00050E9A" w:rsidP="0076681B">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3. Desarrollar en conjunto y aplicar sistemas de alerta temprana para predecir brotes de enfermedades en ecosistemas terrestres, marinos y de aguas continentales mediante la incorporación de información climática y ambiental interoperable</w:t>
            </w:r>
            <w:r w:rsidR="00431581" w:rsidRPr="00431581">
              <w:rPr>
                <w:rFonts w:asciiTheme="majorBidi" w:hAnsiTheme="majorBidi"/>
                <w:color w:val="000000" w:themeColor="text1"/>
                <w:spacing w:val="-20"/>
                <w:sz w:val="20"/>
              </w:rPr>
              <w:t xml:space="preserve"> </w:t>
            </w:r>
            <w:r>
              <w:rPr>
                <w:rFonts w:asciiTheme="majorBidi" w:hAnsiTheme="majorBidi"/>
                <w:i/>
                <w:color w:val="000000" w:themeColor="text1"/>
                <w:sz w:val="20"/>
                <w:vertAlign w:val="superscript"/>
              </w:rPr>
              <w:t>f</w:t>
            </w:r>
            <w:r>
              <w:rPr>
                <w:rFonts w:asciiTheme="majorBidi" w:hAnsiTheme="majorBidi"/>
                <w:color w:val="000000" w:themeColor="text1"/>
                <w:sz w:val="20"/>
              </w:rPr>
              <w:t xml:space="preserve"> e información epidemiológica en escalas espaciales y temporales adecuadas para apoyar la toma de decisiones a nivel local</w:t>
            </w:r>
            <w:r w:rsidR="0053272B" w:rsidRPr="00603392">
              <w:rPr>
                <w:rStyle w:val="FootnoteReference"/>
                <w:rFonts w:asciiTheme="majorBidi" w:eastAsiaTheme="minorEastAsia" w:hAnsiTheme="majorBidi" w:cstheme="majorBidi"/>
                <w:color w:val="000000" w:themeColor="text1"/>
                <w:kern w:val="2"/>
                <w:sz w:val="20"/>
                <w:szCs w:val="20"/>
                <w:lang w:eastAsia="zh-CN"/>
              </w:rPr>
              <w:footnoteReference w:id="45"/>
            </w:r>
            <w:r>
              <w:rPr>
                <w:rFonts w:asciiTheme="majorBidi" w:hAnsiTheme="majorBidi"/>
                <w:color w:val="000000" w:themeColor="text1"/>
                <w:sz w:val="20"/>
              </w:rPr>
              <w:t>.</w:t>
            </w:r>
          </w:p>
          <w:p w14:paraId="533B6A49" w14:textId="47B2C983" w:rsidR="00050E9A" w:rsidRPr="00603392" w:rsidRDefault="00050E9A" w:rsidP="0076681B">
            <w:pPr>
              <w:spacing w:before="60" w:after="60"/>
              <w:jc w:val="left"/>
              <w:rPr>
                <w:rFonts w:asciiTheme="majorBidi" w:hAnsiTheme="majorBidi" w:cstheme="majorBidi"/>
                <w:kern w:val="2"/>
                <w:sz w:val="20"/>
                <w:szCs w:val="20"/>
                <w14:ligatures w14:val="standardContextual"/>
              </w:rPr>
            </w:pPr>
            <w:r>
              <w:rPr>
                <w:rFonts w:asciiTheme="majorBidi" w:hAnsiTheme="majorBidi"/>
                <w:sz w:val="20"/>
              </w:rPr>
              <w:t>4. Promover la investigación sobre posibles interrelaciones entre la diversidad biológica y la salud</w:t>
            </w:r>
            <w:r w:rsidR="007A5AB7">
              <w:rPr>
                <w:rFonts w:asciiTheme="majorBidi" w:hAnsiTheme="majorBidi"/>
                <w:sz w:val="20"/>
              </w:rPr>
              <w:t xml:space="preserve"> relacionadas con el cambio climático</w:t>
            </w:r>
            <w:r>
              <w:rPr>
                <w:rFonts w:asciiTheme="majorBidi" w:hAnsiTheme="majorBidi"/>
                <w:sz w:val="20"/>
              </w:rPr>
              <w:t>, por ejemplo, con respecto a enfermedades transmitidas por vectores y por el agua y la salud mental.</w:t>
            </w:r>
          </w:p>
          <w:p w14:paraId="62F6C1A7" w14:textId="36BCDC2F" w:rsidR="00923877" w:rsidRPr="00603392" w:rsidRDefault="00050E9A" w:rsidP="0076681B">
            <w:pPr>
              <w:spacing w:before="40" w:after="40"/>
              <w:ind w:right="-20"/>
              <w:jc w:val="left"/>
              <w:rPr>
                <w:rFonts w:asciiTheme="majorBidi" w:hAnsiTheme="majorBidi" w:cstheme="majorBidi"/>
                <w:kern w:val="2"/>
                <w:sz w:val="20"/>
                <w:szCs w:val="20"/>
                <w14:ligatures w14:val="standardContextual"/>
              </w:rPr>
            </w:pPr>
            <w:r>
              <w:rPr>
                <w:rFonts w:asciiTheme="majorBidi" w:hAnsiTheme="majorBidi"/>
                <w:sz w:val="20"/>
              </w:rPr>
              <w:t xml:space="preserve">5. Generar conciencia sobre los beneficios secundarios </w:t>
            </w:r>
            <w:r w:rsidR="003B33C2">
              <w:rPr>
                <w:rFonts w:asciiTheme="majorBidi" w:hAnsiTheme="majorBidi"/>
                <w:sz w:val="20"/>
              </w:rPr>
              <w:t>que podrían</w:t>
            </w:r>
            <w:r>
              <w:rPr>
                <w:rFonts w:asciiTheme="majorBidi" w:hAnsiTheme="majorBidi"/>
                <w:sz w:val="20"/>
              </w:rPr>
              <w:t xml:space="preserve"> </w:t>
            </w:r>
            <w:r w:rsidR="003B33C2">
              <w:rPr>
                <w:rFonts w:asciiTheme="majorBidi" w:hAnsiTheme="majorBidi"/>
                <w:sz w:val="20"/>
              </w:rPr>
              <w:t xml:space="preserve">tener para la salud humana </w:t>
            </w:r>
            <w:r>
              <w:rPr>
                <w:rFonts w:asciiTheme="majorBidi" w:hAnsiTheme="majorBidi"/>
                <w:sz w:val="20"/>
              </w:rPr>
              <w:t>las soluciones basadas en la naturaleza y/o los enfoques basados en los ecosistemas, y considerar la posibilidad de in</w:t>
            </w:r>
            <w:r w:rsidR="007A5AB7">
              <w:rPr>
                <w:rFonts w:asciiTheme="majorBidi" w:hAnsiTheme="majorBidi"/>
                <w:sz w:val="20"/>
              </w:rPr>
              <w:t>co</w:t>
            </w:r>
            <w:r>
              <w:rPr>
                <w:rFonts w:asciiTheme="majorBidi" w:hAnsiTheme="majorBidi"/>
                <w:sz w:val="20"/>
              </w:rPr>
              <w:t>r</w:t>
            </w:r>
            <w:r w:rsidR="007A5AB7">
              <w:rPr>
                <w:rFonts w:asciiTheme="majorBidi" w:hAnsiTheme="majorBidi"/>
                <w:sz w:val="20"/>
              </w:rPr>
              <w:t>por</w:t>
            </w:r>
            <w:r>
              <w:rPr>
                <w:rFonts w:asciiTheme="majorBidi" w:hAnsiTheme="majorBidi"/>
                <w:sz w:val="20"/>
              </w:rPr>
              <w:t>ar tales beneficios secundarios en instrumentos de políticas y planificación pertinentes.</w:t>
            </w:r>
          </w:p>
          <w:p w14:paraId="48E248BD" w14:textId="139C8F0E" w:rsidR="00050E9A" w:rsidRPr="00603392" w:rsidRDefault="00923877" w:rsidP="0076681B">
            <w:pPr>
              <w:spacing w:before="40" w:after="40"/>
              <w:ind w:right="-20"/>
              <w:jc w:val="left"/>
              <w:rPr>
                <w:rFonts w:asciiTheme="majorBidi" w:hAnsiTheme="majorBidi" w:cstheme="majorBidi"/>
                <w:sz w:val="20"/>
                <w:szCs w:val="20"/>
                <w:highlight w:val="yellow"/>
                <w:u w:val="single"/>
              </w:rPr>
            </w:pPr>
            <w:r>
              <w:rPr>
                <w:rFonts w:asciiTheme="majorBidi" w:hAnsiTheme="majorBidi"/>
                <w:sz w:val="20"/>
              </w:rPr>
              <w:t xml:space="preserve">[6. Considerar la elaboración de indicadores sobre las interrelaciones entre el clima, la diversidad biológica y la salud]. </w:t>
            </w:r>
          </w:p>
        </w:tc>
      </w:tr>
      <w:tr w:rsidR="007B05AE" w:rsidRPr="00EB2F01" w14:paraId="74F9AAB2" w14:textId="77777777" w:rsidTr="00603392">
        <w:tc>
          <w:tcPr>
            <w:tcW w:w="13589" w:type="dxa"/>
            <w:gridSpan w:val="3"/>
          </w:tcPr>
          <w:p w14:paraId="00270BBB" w14:textId="7DA48A7B" w:rsidR="007B05AE" w:rsidRPr="00603392" w:rsidRDefault="007B05AE" w:rsidP="0076681B">
            <w:pPr>
              <w:spacing w:before="40" w:after="40"/>
              <w:jc w:val="left"/>
              <w:rPr>
                <w:rFonts w:asciiTheme="majorBidi" w:eastAsiaTheme="minorEastAsia" w:hAnsiTheme="majorBidi" w:cstheme="majorBidi"/>
                <w:b/>
                <w:bCs/>
                <w:color w:val="000000" w:themeColor="text1"/>
                <w:kern w:val="2"/>
                <w:sz w:val="20"/>
                <w:szCs w:val="20"/>
                <w:shd w:val="clear" w:color="auto" w:fill="E7E6E6" w:themeFill="background2"/>
                <w14:ligatures w14:val="standardContextual"/>
              </w:rPr>
            </w:pPr>
            <w:r>
              <w:rPr>
                <w:rFonts w:asciiTheme="majorBidi" w:hAnsiTheme="majorBidi"/>
                <w:b/>
                <w:color w:val="000000" w:themeColor="text1"/>
                <w:sz w:val="20"/>
              </w:rPr>
              <w:lastRenderedPageBreak/>
              <w:t>Agricultura, acuicultura, pesca y silvicultura</w:t>
            </w:r>
          </w:p>
        </w:tc>
      </w:tr>
      <w:tr w:rsidR="00050E9A" w:rsidRPr="00EB2F01" w14:paraId="4A868012" w14:textId="77777777" w:rsidTr="009B0237">
        <w:tc>
          <w:tcPr>
            <w:tcW w:w="1890" w:type="dxa"/>
          </w:tcPr>
          <w:p w14:paraId="06420BC5" w14:textId="270C18A0" w:rsidR="00050E9A" w:rsidRPr="00603392" w:rsidRDefault="00050E9A" w:rsidP="0006778C">
            <w:pPr>
              <w:spacing w:before="40" w:after="4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 xml:space="preserve">Meta 10 </w:t>
            </w:r>
          </w:p>
          <w:p w14:paraId="2ECA38CB" w14:textId="77777777" w:rsidR="00050E9A" w:rsidRPr="00603392" w:rsidRDefault="00050E9A" w:rsidP="0006778C">
            <w:pPr>
              <w:spacing w:before="40" w:after="40"/>
              <w:jc w:val="left"/>
              <w:rPr>
                <w:rFonts w:asciiTheme="majorBidi" w:eastAsiaTheme="minorEastAsia" w:hAnsiTheme="majorBidi" w:cstheme="majorBidi"/>
                <w:color w:val="000000" w:themeColor="text1"/>
                <w:kern w:val="2"/>
                <w:sz w:val="20"/>
                <w:szCs w:val="20"/>
                <w:lang w:eastAsia="zh-CN"/>
                <w14:ligatures w14:val="standardContextual"/>
              </w:rPr>
            </w:pPr>
          </w:p>
        </w:tc>
        <w:tc>
          <w:tcPr>
            <w:tcW w:w="4230" w:type="dxa"/>
          </w:tcPr>
          <w:p w14:paraId="33EFCF6B" w14:textId="65CFB0C4" w:rsidR="00050E9A" w:rsidRPr="002B2C4D" w:rsidRDefault="00050E9A" w:rsidP="002B2C4D">
            <w:pPr>
              <w:spacing w:before="40" w:after="40"/>
              <w:jc w:val="left"/>
              <w:rPr>
                <w:rFonts w:asciiTheme="majorBidi" w:eastAsiaTheme="minorEastAsia" w:hAnsiTheme="majorBidi" w:cstheme="majorBidi"/>
                <w:color w:val="000000" w:themeColor="text1"/>
                <w:spacing w:val="-2"/>
                <w:kern w:val="2"/>
                <w:sz w:val="20"/>
                <w:szCs w:val="20"/>
                <w:vertAlign w:val="superscript"/>
                <w14:ligatures w14:val="standardContextual"/>
              </w:rPr>
            </w:pPr>
            <w:r w:rsidRPr="002B2C4D">
              <w:rPr>
                <w:rFonts w:asciiTheme="majorBidi" w:hAnsiTheme="majorBidi"/>
                <w:color w:val="000000" w:themeColor="text1"/>
                <w:spacing w:val="-2"/>
                <w:sz w:val="20"/>
              </w:rPr>
              <w:t>La diversidad biológica en todos los niveles (genético, de especies y de ecosistemas) es un pilar de la seguridad alimentaria, la nu</w:t>
            </w:r>
            <w:bookmarkStart w:id="9" w:name="_Ref168987409"/>
            <w:r w:rsidR="00B90E61" w:rsidRPr="002B2C4D">
              <w:rPr>
                <w:rFonts w:asciiTheme="majorBidi" w:hAnsiTheme="majorBidi"/>
                <w:color w:val="000000" w:themeColor="text1"/>
                <w:spacing w:val="-2"/>
                <w:sz w:val="20"/>
              </w:rPr>
              <w:t>trición y las dietas saludables</w:t>
            </w:r>
            <w:r w:rsidR="000D642D" w:rsidRPr="002B2C4D">
              <w:rPr>
                <w:rStyle w:val="FootnoteReference"/>
                <w:rFonts w:asciiTheme="majorBidi" w:eastAsiaTheme="minorEastAsia" w:hAnsiTheme="majorBidi" w:cstheme="majorBidi"/>
                <w:color w:val="000000" w:themeColor="text1"/>
                <w:spacing w:val="-2"/>
                <w:kern w:val="2"/>
                <w:sz w:val="20"/>
                <w:szCs w:val="20"/>
                <w:lang w:eastAsia="zh-CN"/>
              </w:rPr>
              <w:footnoteReference w:id="46"/>
            </w:r>
            <w:bookmarkEnd w:id="9"/>
            <w:r w:rsidR="00B90E61" w:rsidRPr="002B2C4D">
              <w:rPr>
                <w:rFonts w:asciiTheme="majorBidi" w:hAnsiTheme="majorBidi"/>
                <w:color w:val="000000" w:themeColor="text1"/>
                <w:spacing w:val="-2"/>
                <w:sz w:val="20"/>
              </w:rPr>
              <w:t>.</w:t>
            </w:r>
            <w:r w:rsidRPr="002B2C4D">
              <w:rPr>
                <w:rFonts w:asciiTheme="majorBidi" w:hAnsiTheme="majorBidi"/>
                <w:color w:val="000000" w:themeColor="text1"/>
                <w:spacing w:val="-2"/>
                <w:sz w:val="20"/>
              </w:rPr>
              <w:t xml:space="preserve"> La calidad y cantidad de los alimentos y la forma en que se producen repercut</w:t>
            </w:r>
            <w:r w:rsidR="008B454A" w:rsidRPr="002B2C4D">
              <w:rPr>
                <w:rFonts w:asciiTheme="majorBidi" w:hAnsiTheme="majorBidi"/>
                <w:color w:val="000000" w:themeColor="text1"/>
                <w:spacing w:val="-2"/>
                <w:sz w:val="20"/>
              </w:rPr>
              <w:t>e</w:t>
            </w:r>
            <w:r w:rsidRPr="002B2C4D">
              <w:rPr>
                <w:rFonts w:asciiTheme="majorBidi" w:hAnsiTheme="majorBidi"/>
                <w:color w:val="000000" w:themeColor="text1"/>
                <w:spacing w:val="-2"/>
                <w:sz w:val="20"/>
              </w:rPr>
              <w:t xml:space="preserve">n en la salud humana, así como en la salud del ganado, los animales silvestres y el medio ambiente. La </w:t>
            </w:r>
            <w:r w:rsidRPr="002B2C4D">
              <w:rPr>
                <w:rFonts w:asciiTheme="majorBidi" w:hAnsiTheme="majorBidi"/>
                <w:spacing w:val="-2"/>
                <w:sz w:val="20"/>
              </w:rPr>
              <w:t xml:space="preserve">diversidad alimentaria, </w:t>
            </w:r>
            <w:r w:rsidRPr="002B2C4D">
              <w:rPr>
                <w:rFonts w:asciiTheme="majorBidi" w:hAnsiTheme="majorBidi"/>
                <w:spacing w:val="-2"/>
                <w:sz w:val="20"/>
              </w:rPr>
              <w:lastRenderedPageBreak/>
              <w:t>sustentada por la diversidad de cultivos, ganado, bosques saludables y alimentos marinos y de agua dulce, entre otros, proporciona</w:t>
            </w:r>
            <w:r w:rsidRPr="002B2C4D">
              <w:rPr>
                <w:rFonts w:asciiTheme="majorBidi" w:hAnsiTheme="majorBidi"/>
                <w:color w:val="000000" w:themeColor="text1"/>
                <w:spacing w:val="-2"/>
                <w:sz w:val="20"/>
              </w:rPr>
              <w:t xml:space="preserve"> una amplia gama de nutrientes y no nutrientes, como la fibra, esenciales. La producción de cultivos depende, entre otras cosas, de los polinizadores y de la diversidad de microorganismos beneficiosos del suelo. La intensificación sostenible, la </w:t>
            </w:r>
            <w:r w:rsidR="002B2C4D" w:rsidRPr="002B2C4D">
              <w:rPr>
                <w:rFonts w:asciiTheme="majorBidi" w:hAnsiTheme="majorBidi"/>
                <w:color w:val="000000" w:themeColor="text1"/>
                <w:spacing w:val="-2"/>
                <w:sz w:val="20"/>
              </w:rPr>
              <w:t>gestión integrada de plagas, el mejoramiento</w:t>
            </w:r>
            <w:r w:rsidRPr="002B2C4D">
              <w:rPr>
                <w:rFonts w:asciiTheme="majorBidi" w:hAnsiTheme="majorBidi"/>
                <w:color w:val="000000" w:themeColor="text1"/>
                <w:spacing w:val="-2"/>
                <w:sz w:val="20"/>
              </w:rPr>
              <w:t xml:space="preserve"> </w:t>
            </w:r>
            <w:r w:rsidR="002B2C4D" w:rsidRPr="002B2C4D">
              <w:rPr>
                <w:rFonts w:asciiTheme="majorBidi" w:hAnsiTheme="majorBidi"/>
                <w:color w:val="000000" w:themeColor="text1"/>
                <w:spacing w:val="-2"/>
                <w:sz w:val="20"/>
              </w:rPr>
              <w:t xml:space="preserve">genético </w:t>
            </w:r>
            <w:r w:rsidRPr="002B2C4D">
              <w:rPr>
                <w:rFonts w:asciiTheme="majorBidi" w:hAnsiTheme="majorBidi"/>
                <w:color w:val="000000" w:themeColor="text1"/>
                <w:spacing w:val="-2"/>
                <w:sz w:val="20"/>
              </w:rPr>
              <w:t xml:space="preserve">de variedades de cultivos adaptadas y los enfoques agroecológicos pueden reducir la necesidad de nutrientes y plaguicidas, incluidos los que son perjudiciales </w:t>
            </w:r>
            <w:r w:rsidRPr="002B2C4D">
              <w:rPr>
                <w:rFonts w:asciiTheme="majorBidi" w:hAnsiTheme="majorBidi"/>
                <w:spacing w:val="-2"/>
                <w:sz w:val="20"/>
              </w:rPr>
              <w:t>para las personas y los polinizadores.</w:t>
            </w:r>
          </w:p>
        </w:tc>
        <w:tc>
          <w:tcPr>
            <w:tcW w:w="7469" w:type="dxa"/>
          </w:tcPr>
          <w:p w14:paraId="11F50DD9" w14:textId="34E1A6D0" w:rsidR="00050E9A" w:rsidRPr="00603392" w:rsidRDefault="00050E9A" w:rsidP="0006778C">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lastRenderedPageBreak/>
              <w:t xml:space="preserve">1. </w:t>
            </w:r>
            <w:r>
              <w:rPr>
                <w:rFonts w:asciiTheme="majorBidi" w:hAnsiTheme="majorBidi"/>
                <w:sz w:val="20"/>
              </w:rPr>
              <w:t>Generar conciencia sobre las interrelaciones entre la diversidad biológica y la salud para la nutrición, la seguridad alimentaria, los medios de vida y la resiliencia de los sistemas alimentarios</w:t>
            </w:r>
            <w:r w:rsidR="003F6F6B" w:rsidRPr="00EB2F01">
              <w:rPr>
                <w:rStyle w:val="FootnoteReference"/>
                <w:rFonts w:asciiTheme="majorBidi" w:eastAsiaTheme="minorEastAsia" w:hAnsiTheme="majorBidi" w:cstheme="majorBidi"/>
                <w:color w:val="000000" w:themeColor="text1"/>
                <w:kern w:val="2"/>
                <w:sz w:val="20"/>
                <w:szCs w:val="20"/>
                <w:lang w:eastAsia="zh-CN"/>
              </w:rPr>
              <w:footnoteReference w:id="47"/>
            </w:r>
            <w:r w:rsidRPr="006378B0">
              <w:rPr>
                <w:rFonts w:asciiTheme="majorBidi" w:hAnsiTheme="majorBidi"/>
                <w:sz w:val="20"/>
                <w:vertAlign w:val="superscript"/>
              </w:rPr>
              <w:t xml:space="preserve">, </w:t>
            </w:r>
            <w:r w:rsidR="00D12572" w:rsidRPr="00603392">
              <w:rPr>
                <w:rStyle w:val="FootnoteReference"/>
                <w:rFonts w:asciiTheme="majorBidi" w:eastAsiaTheme="minorEastAsia" w:hAnsiTheme="majorBidi" w:cstheme="majorBidi"/>
                <w:color w:val="000000" w:themeColor="text1"/>
                <w:kern w:val="2"/>
                <w:sz w:val="20"/>
                <w:szCs w:val="20"/>
                <w:lang w:eastAsia="zh-CN"/>
              </w:rPr>
              <w:footnoteReference w:id="48"/>
            </w:r>
            <w:r w:rsidRPr="006378B0">
              <w:rPr>
                <w:rFonts w:asciiTheme="majorBidi" w:hAnsiTheme="majorBidi"/>
                <w:sz w:val="20"/>
                <w:vertAlign w:val="superscript"/>
              </w:rPr>
              <w:t>,</w:t>
            </w:r>
            <w:r>
              <w:rPr>
                <w:rFonts w:asciiTheme="majorBidi" w:hAnsiTheme="majorBidi"/>
                <w:sz w:val="20"/>
              </w:rPr>
              <w:t xml:space="preserve"> </w:t>
            </w:r>
            <w:r w:rsidR="00CC0B80" w:rsidRPr="00603392">
              <w:rPr>
                <w:rStyle w:val="FootnoteReference"/>
                <w:rFonts w:asciiTheme="majorBidi" w:eastAsiaTheme="minorEastAsia" w:hAnsiTheme="majorBidi" w:cstheme="majorBidi"/>
                <w:color w:val="000000" w:themeColor="text1"/>
                <w:kern w:val="2"/>
                <w:sz w:val="20"/>
                <w:szCs w:val="20"/>
                <w:lang w:eastAsia="zh-CN"/>
              </w:rPr>
              <w:footnoteReference w:id="49"/>
            </w:r>
            <w:r w:rsidRPr="006378B0">
              <w:rPr>
                <w:rFonts w:asciiTheme="majorBidi" w:hAnsiTheme="majorBidi"/>
                <w:sz w:val="20"/>
                <w:vertAlign w:val="superscript"/>
              </w:rPr>
              <w:t>,</w:t>
            </w:r>
            <w:r>
              <w:rPr>
                <w:rFonts w:asciiTheme="majorBidi" w:hAnsiTheme="majorBidi"/>
                <w:sz w:val="20"/>
              </w:rPr>
              <w:t xml:space="preserve"> </w:t>
            </w:r>
            <w:r w:rsidR="00CC0B80" w:rsidRPr="00603392">
              <w:rPr>
                <w:rStyle w:val="FootnoteReference"/>
                <w:rFonts w:asciiTheme="majorBidi" w:eastAsiaTheme="minorEastAsia" w:hAnsiTheme="majorBidi" w:cstheme="majorBidi"/>
                <w:color w:val="000000" w:themeColor="text1"/>
                <w:kern w:val="2"/>
                <w:sz w:val="20"/>
                <w:szCs w:val="20"/>
                <w:lang w:eastAsia="zh-CN"/>
              </w:rPr>
              <w:footnoteReference w:id="50"/>
            </w:r>
            <w:r>
              <w:rPr>
                <w:rFonts w:asciiTheme="majorBidi" w:hAnsiTheme="majorBidi"/>
                <w:sz w:val="20"/>
              </w:rPr>
              <w:t>.</w:t>
            </w:r>
          </w:p>
          <w:p w14:paraId="66328840" w14:textId="5C7C0705" w:rsidR="00050E9A" w:rsidRPr="00603392" w:rsidRDefault="00595AC7" w:rsidP="0006778C">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 xml:space="preserve">2. </w:t>
            </w:r>
            <w:r>
              <w:rPr>
                <w:color w:val="000000" w:themeColor="text1"/>
                <w:sz w:val="20"/>
              </w:rPr>
              <w:t xml:space="preserve">Reducir los impactos negativos en la diversidad biológica y la salud que tienen la agricultura, la </w:t>
            </w:r>
            <w:r>
              <w:rPr>
                <w:sz w:val="20"/>
              </w:rPr>
              <w:t>acuicultura, la pesca y la silvicultura, entre otros, potenciando prácticas sostenibles, como</w:t>
            </w:r>
            <w:r>
              <w:rPr>
                <w:color w:val="000000" w:themeColor="text1"/>
                <w:sz w:val="20"/>
              </w:rPr>
              <w:t xml:space="preserve"> la intensificación sostenible, la agrobiodiversidad, la agroecología, la planificación integrada del paisaje, </w:t>
            </w:r>
            <w:r w:rsidR="002B2C4D">
              <w:rPr>
                <w:color w:val="000000" w:themeColor="text1"/>
                <w:sz w:val="20"/>
              </w:rPr>
              <w:t>el mejoramiento genético</w:t>
            </w:r>
            <w:r>
              <w:rPr>
                <w:color w:val="000000" w:themeColor="text1"/>
                <w:sz w:val="20"/>
              </w:rPr>
              <w:t xml:space="preserve"> de variedades de cultivos </w:t>
            </w:r>
            <w:r>
              <w:rPr>
                <w:color w:val="000000" w:themeColor="text1"/>
                <w:sz w:val="20"/>
              </w:rPr>
              <w:lastRenderedPageBreak/>
              <w:t>adaptadas y el uso de la gestión integrada de plagas para reducir la necesidad y el uso de p</w:t>
            </w:r>
            <w:r w:rsidR="002B2C4D">
              <w:rPr>
                <w:color w:val="000000" w:themeColor="text1"/>
                <w:sz w:val="20"/>
              </w:rPr>
              <w:t>lagu</w:t>
            </w:r>
            <w:r>
              <w:rPr>
                <w:color w:val="000000" w:themeColor="text1"/>
                <w:sz w:val="20"/>
              </w:rPr>
              <w:t>icidas, fertilizantes y otros insumos químicos, entre otras prácticas sostenibles.</w:t>
            </w:r>
          </w:p>
          <w:p w14:paraId="3BA1F2DE" w14:textId="3CF1EB0A" w:rsidR="00050E9A" w:rsidRPr="00603392" w:rsidRDefault="00AC0A71" w:rsidP="0006778C">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3. Promover normas mejoradas de bienestar animal para su salud y bienestar</w:t>
            </w:r>
            <w:r w:rsidR="00CC0B80" w:rsidRPr="00603392">
              <w:rPr>
                <w:rStyle w:val="FootnoteReference"/>
                <w:rFonts w:asciiTheme="majorBidi" w:eastAsiaTheme="minorEastAsia" w:hAnsiTheme="majorBidi" w:cstheme="majorBidi"/>
                <w:color w:val="000000" w:themeColor="text1"/>
                <w:kern w:val="2"/>
                <w:sz w:val="20"/>
                <w:szCs w:val="20"/>
                <w:lang w:eastAsia="zh-CN"/>
              </w:rPr>
              <w:footnoteReference w:id="51"/>
            </w:r>
            <w:r>
              <w:rPr>
                <w:rFonts w:asciiTheme="majorBidi" w:hAnsiTheme="majorBidi"/>
                <w:color w:val="000000" w:themeColor="text1"/>
                <w:sz w:val="20"/>
              </w:rPr>
              <w:t>, incluido para reducir el riesgo de enfermedades transmisibles en los animales de granja y la acuicultura[, entre otras cosas, limitando el uso innecesario de antibióticos y otros antimicrobianos, a fin de prevenir la resistencia a los antimicrobianos].</w:t>
            </w:r>
          </w:p>
          <w:p w14:paraId="4EEEF801" w14:textId="27D2B361" w:rsidR="00050E9A" w:rsidRPr="00603392" w:rsidRDefault="00AC0A71" w:rsidP="0006778C">
            <w:pPr>
              <w:spacing w:before="60" w:after="60"/>
              <w:jc w:val="left"/>
              <w:rPr>
                <w:rFonts w:asciiTheme="majorBidi" w:hAnsiTheme="majorBidi" w:cstheme="majorBidi"/>
                <w:kern w:val="2"/>
                <w:sz w:val="20"/>
                <w:szCs w:val="20"/>
                <w14:ligatures w14:val="standardContextual"/>
              </w:rPr>
            </w:pPr>
            <w:r>
              <w:rPr>
                <w:rFonts w:asciiTheme="majorBidi" w:hAnsiTheme="majorBidi"/>
                <w:sz w:val="20"/>
              </w:rPr>
              <w:t>4. Reconocer el valor de las prácticas alimentarias tradicionales y las costumbres alimentarias de los pueblos indígenas</w:t>
            </w:r>
            <w:r w:rsidR="00CC0B80" w:rsidRPr="00603392">
              <w:rPr>
                <w:rStyle w:val="FootnoteReference"/>
                <w:rFonts w:asciiTheme="majorBidi" w:hAnsiTheme="majorBidi" w:cstheme="majorBidi"/>
                <w:kern w:val="2"/>
                <w:sz w:val="20"/>
                <w:szCs w:val="20"/>
                <w:lang w:eastAsia="zh-CN"/>
              </w:rPr>
              <w:footnoteReference w:id="52"/>
            </w:r>
            <w:r>
              <w:rPr>
                <w:rFonts w:asciiTheme="majorBidi" w:hAnsiTheme="majorBidi"/>
                <w:sz w:val="20"/>
              </w:rPr>
              <w:t xml:space="preserve"> y las comunidades locales en las estrategias de salud, bienestar y prevención de enfermedades.</w:t>
            </w:r>
          </w:p>
          <w:p w14:paraId="40AD1189" w14:textId="51463821" w:rsidR="00050E9A" w:rsidRPr="00603392" w:rsidRDefault="00AC0A71" w:rsidP="002B2C4D">
            <w:pPr>
              <w:spacing w:before="60" w:after="60"/>
              <w:jc w:val="left"/>
              <w:rPr>
                <w:sz w:val="20"/>
                <w:szCs w:val="20"/>
              </w:rPr>
            </w:pPr>
            <w:r>
              <w:rPr>
                <w:rFonts w:asciiTheme="majorBidi" w:hAnsiTheme="majorBidi"/>
                <w:sz w:val="20"/>
              </w:rPr>
              <w:t xml:space="preserve">5. Apoyar iniciativas para conservar la diversidad genética para </w:t>
            </w:r>
            <w:r w:rsidR="002B2C4D">
              <w:rPr>
                <w:rFonts w:asciiTheme="majorBidi" w:hAnsiTheme="majorBidi"/>
                <w:sz w:val="20"/>
              </w:rPr>
              <w:t>tener</w:t>
            </w:r>
            <w:r>
              <w:rPr>
                <w:rFonts w:asciiTheme="majorBidi" w:hAnsiTheme="majorBidi"/>
                <w:sz w:val="20"/>
              </w:rPr>
              <w:t xml:space="preserve"> ecosistemas </w:t>
            </w:r>
            <w:r w:rsidR="002B2C4D">
              <w:rPr>
                <w:rFonts w:asciiTheme="majorBidi" w:hAnsiTheme="majorBidi"/>
                <w:sz w:val="20"/>
              </w:rPr>
              <w:t xml:space="preserve">saludables </w:t>
            </w:r>
            <w:r>
              <w:rPr>
                <w:rFonts w:asciiTheme="majorBidi" w:hAnsiTheme="majorBidi"/>
                <w:sz w:val="20"/>
              </w:rPr>
              <w:t xml:space="preserve">y </w:t>
            </w:r>
            <w:r w:rsidR="002B2C4D">
              <w:rPr>
                <w:rFonts w:asciiTheme="majorBidi" w:hAnsiTheme="majorBidi"/>
                <w:sz w:val="20"/>
              </w:rPr>
              <w:t xml:space="preserve">para </w:t>
            </w:r>
            <w:r>
              <w:rPr>
                <w:rFonts w:asciiTheme="majorBidi" w:hAnsiTheme="majorBidi"/>
                <w:sz w:val="20"/>
              </w:rPr>
              <w:t>la seguridad alimentaria, incluido a partir de semillas, ganado, silvicultura, pesca y polinizadores</w:t>
            </w:r>
            <w:r w:rsidR="00CC0B80" w:rsidRPr="00603392">
              <w:rPr>
                <w:rStyle w:val="FootnoteReference"/>
                <w:rFonts w:asciiTheme="majorBidi" w:hAnsiTheme="majorBidi" w:cstheme="majorBidi"/>
                <w:kern w:val="2"/>
                <w:sz w:val="20"/>
                <w:szCs w:val="20"/>
                <w:lang w:eastAsia="zh-CN"/>
              </w:rPr>
              <w:footnoteReference w:id="53"/>
            </w:r>
            <w:r>
              <w:rPr>
                <w:rFonts w:asciiTheme="majorBidi" w:hAnsiTheme="majorBidi"/>
                <w:sz w:val="20"/>
              </w:rPr>
              <w:t>.</w:t>
            </w:r>
          </w:p>
        </w:tc>
      </w:tr>
      <w:tr w:rsidR="007B05AE" w:rsidRPr="00EB2F01" w14:paraId="717DC081" w14:textId="77777777" w:rsidTr="00603392">
        <w:tc>
          <w:tcPr>
            <w:tcW w:w="13589" w:type="dxa"/>
            <w:gridSpan w:val="3"/>
          </w:tcPr>
          <w:p w14:paraId="74E432CC" w14:textId="022CA44A" w:rsidR="007B05AE" w:rsidRPr="00603392" w:rsidRDefault="007B05AE" w:rsidP="0076681B">
            <w:pPr>
              <w:spacing w:before="40" w:after="40"/>
              <w:jc w:val="left"/>
              <w:rPr>
                <w:rFonts w:asciiTheme="majorBidi" w:eastAsiaTheme="minorEastAsia" w:hAnsiTheme="majorBidi" w:cstheme="majorBidi"/>
                <w:b/>
                <w:kern w:val="2"/>
                <w:sz w:val="20"/>
                <w:szCs w:val="20"/>
                <w14:ligatures w14:val="standardContextual"/>
              </w:rPr>
            </w:pPr>
            <w:r>
              <w:rPr>
                <w:rFonts w:asciiTheme="majorBidi" w:hAnsiTheme="majorBidi"/>
                <w:b/>
                <w:sz w:val="20"/>
              </w:rPr>
              <w:lastRenderedPageBreak/>
              <w:t>Contribuciones de la naturaleza a las personas</w:t>
            </w:r>
          </w:p>
        </w:tc>
      </w:tr>
      <w:tr w:rsidR="00050E9A" w:rsidRPr="00EB2F01" w14:paraId="1C2F5EC0" w14:textId="77777777" w:rsidTr="009B0237">
        <w:tc>
          <w:tcPr>
            <w:tcW w:w="1890" w:type="dxa"/>
          </w:tcPr>
          <w:p w14:paraId="572C4A79" w14:textId="53CE1D69" w:rsidR="00050E9A" w:rsidRPr="00603392" w:rsidRDefault="00050E9A" w:rsidP="001F7849">
            <w:pPr>
              <w:spacing w:before="40" w:after="40"/>
              <w:jc w:val="left"/>
              <w:rPr>
                <w:rFonts w:asciiTheme="majorBidi" w:eastAsiaTheme="minorEastAsia" w:hAnsiTheme="majorBidi" w:cstheme="majorBidi"/>
                <w:kern w:val="2"/>
                <w:sz w:val="20"/>
                <w:szCs w:val="20"/>
                <w14:ligatures w14:val="standardContextual"/>
              </w:rPr>
            </w:pPr>
            <w:r>
              <w:rPr>
                <w:rFonts w:asciiTheme="majorBidi" w:hAnsiTheme="majorBidi"/>
                <w:sz w:val="20"/>
              </w:rPr>
              <w:t>Meta 11</w:t>
            </w:r>
          </w:p>
        </w:tc>
        <w:tc>
          <w:tcPr>
            <w:tcW w:w="4230" w:type="dxa"/>
          </w:tcPr>
          <w:p w14:paraId="36A50556" w14:textId="57FAE873" w:rsidR="00E22873" w:rsidRPr="00603392" w:rsidRDefault="00050E9A" w:rsidP="00BF21EE">
            <w:pPr>
              <w:spacing w:before="40" w:after="40"/>
              <w:jc w:val="left"/>
              <w:rPr>
                <w:rFonts w:asciiTheme="majorBidi" w:eastAsiaTheme="minorEastAsia" w:hAnsiTheme="majorBidi" w:cstheme="majorBidi"/>
                <w:kern w:val="2"/>
                <w:sz w:val="20"/>
                <w:szCs w:val="20"/>
                <w14:ligatures w14:val="standardContextual"/>
              </w:rPr>
            </w:pPr>
            <w:r>
              <w:rPr>
                <w:rFonts w:asciiTheme="majorBidi" w:hAnsiTheme="majorBidi"/>
                <w:sz w:val="20"/>
              </w:rPr>
              <w:t>La diversidad biológica sustenta las contribuciones de la naturaleza a las personas</w:t>
            </w:r>
            <w:r w:rsidR="00395D61" w:rsidRPr="00395D61">
              <w:rPr>
                <w:rFonts w:asciiTheme="majorBidi" w:hAnsiTheme="majorBidi"/>
                <w:spacing w:val="-20"/>
                <w:sz w:val="20"/>
              </w:rPr>
              <w:t xml:space="preserve"> </w:t>
            </w:r>
            <w:r>
              <w:rPr>
                <w:rFonts w:asciiTheme="majorBidi" w:hAnsiTheme="majorBidi"/>
                <w:i/>
                <w:sz w:val="20"/>
                <w:vertAlign w:val="superscript"/>
              </w:rPr>
              <w:t>g</w:t>
            </w:r>
            <w:r>
              <w:rPr>
                <w:rFonts w:asciiTheme="majorBidi" w:hAnsiTheme="majorBidi"/>
                <w:sz w:val="20"/>
              </w:rPr>
              <w:t>. Salvaguardar esas contribuciones beneficia a la salud humana, incluida la salud física y mental, y reduce la mortalidad y la morbilidad. Esas contribuciones incluyen</w:t>
            </w:r>
            <w:r w:rsidR="005F3C5F" w:rsidRPr="00603392">
              <w:rPr>
                <w:rStyle w:val="FootnoteReference"/>
                <w:rFonts w:asciiTheme="majorBidi" w:eastAsiaTheme="minorEastAsia" w:hAnsiTheme="majorBidi" w:cstheme="majorBidi"/>
                <w:kern w:val="2"/>
                <w:sz w:val="20"/>
                <w:szCs w:val="20"/>
                <w:lang w:eastAsia="zh-CN"/>
              </w:rPr>
              <w:footnoteReference w:id="54"/>
            </w:r>
            <w:r>
              <w:rPr>
                <w:rFonts w:asciiTheme="majorBidi" w:hAnsiTheme="majorBidi"/>
                <w:sz w:val="20"/>
              </w:rPr>
              <w:t xml:space="preserve">: </w:t>
            </w:r>
          </w:p>
          <w:p w14:paraId="68281783" w14:textId="4CFBB759" w:rsidR="00050E9A" w:rsidRPr="00603392" w:rsidRDefault="00E22873" w:rsidP="00395D61">
            <w:pPr>
              <w:tabs>
                <w:tab w:val="left" w:pos="451"/>
              </w:tabs>
              <w:spacing w:before="40" w:after="40"/>
              <w:ind w:firstLine="181"/>
              <w:jc w:val="left"/>
              <w:rPr>
                <w:rFonts w:asciiTheme="majorBidi" w:eastAsiaTheme="minorEastAsia" w:hAnsiTheme="majorBidi" w:cstheme="majorBidi"/>
                <w:kern w:val="2"/>
                <w:sz w:val="20"/>
                <w:szCs w:val="20"/>
                <w14:ligatures w14:val="standardContextual"/>
              </w:rPr>
            </w:pPr>
            <w:r>
              <w:rPr>
                <w:rFonts w:asciiTheme="majorBidi" w:hAnsiTheme="majorBidi"/>
                <w:sz w:val="20"/>
              </w:rPr>
              <w:t>a)</w:t>
            </w:r>
            <w:r>
              <w:rPr>
                <w:rFonts w:asciiTheme="majorBidi" w:hAnsiTheme="majorBidi"/>
                <w:sz w:val="20"/>
              </w:rPr>
              <w:tab/>
            </w:r>
            <w:r w:rsidR="00A05B1C">
              <w:rPr>
                <w:rFonts w:asciiTheme="majorBidi" w:hAnsiTheme="majorBidi"/>
                <w:sz w:val="20"/>
              </w:rPr>
              <w:t>La r</w:t>
            </w:r>
            <w:r>
              <w:rPr>
                <w:rFonts w:asciiTheme="majorBidi" w:hAnsiTheme="majorBidi"/>
                <w:sz w:val="20"/>
              </w:rPr>
              <w:t>egulación del clima, la acidificación de los océanos y los ciclos hidrológicos;</w:t>
            </w:r>
          </w:p>
          <w:p w14:paraId="651AF91E" w14:textId="0EE68DE5" w:rsidR="00050E9A" w:rsidRPr="00603392" w:rsidRDefault="00050E9A" w:rsidP="00395D61">
            <w:pPr>
              <w:tabs>
                <w:tab w:val="left" w:pos="451"/>
              </w:tabs>
              <w:spacing w:before="40" w:after="40"/>
              <w:ind w:firstLine="181"/>
              <w:jc w:val="left"/>
              <w:rPr>
                <w:rFonts w:asciiTheme="majorBidi" w:hAnsiTheme="majorBidi" w:cstheme="majorBidi"/>
                <w:kern w:val="2"/>
                <w:sz w:val="20"/>
                <w:szCs w:val="20"/>
                <w14:ligatures w14:val="standardContextual"/>
              </w:rPr>
            </w:pPr>
            <w:r>
              <w:rPr>
                <w:rFonts w:asciiTheme="majorBidi" w:hAnsiTheme="majorBidi"/>
                <w:sz w:val="20"/>
              </w:rPr>
              <w:t>b)</w:t>
            </w:r>
            <w:r>
              <w:rPr>
                <w:rFonts w:asciiTheme="majorBidi" w:hAnsiTheme="majorBidi"/>
                <w:sz w:val="20"/>
              </w:rPr>
              <w:tab/>
            </w:r>
            <w:r w:rsidR="00A05B1C">
              <w:rPr>
                <w:rFonts w:asciiTheme="majorBidi" w:hAnsiTheme="majorBidi"/>
                <w:sz w:val="20"/>
              </w:rPr>
              <w:t>La r</w:t>
            </w:r>
            <w:r>
              <w:rPr>
                <w:rFonts w:asciiTheme="majorBidi" w:hAnsiTheme="majorBidi"/>
                <w:sz w:val="20"/>
              </w:rPr>
              <w:t>egulación y mejora de la calidad del</w:t>
            </w:r>
            <w:r w:rsidR="00C33A85">
              <w:rPr>
                <w:rFonts w:asciiTheme="majorBidi" w:hAnsiTheme="majorBidi"/>
                <w:sz w:val="20"/>
              </w:rPr>
              <w:t xml:space="preserve"> aire y de</w:t>
            </w:r>
            <w:r>
              <w:rPr>
                <w:rFonts w:asciiTheme="majorBidi" w:hAnsiTheme="majorBidi"/>
                <w:sz w:val="20"/>
              </w:rPr>
              <w:t>l</w:t>
            </w:r>
            <w:r w:rsidR="00C33A85">
              <w:rPr>
                <w:rFonts w:asciiTheme="majorBidi" w:hAnsiTheme="majorBidi"/>
                <w:sz w:val="20"/>
              </w:rPr>
              <w:t xml:space="preserve"> agua</w:t>
            </w:r>
            <w:r>
              <w:rPr>
                <w:rFonts w:asciiTheme="majorBidi" w:hAnsiTheme="majorBidi"/>
                <w:sz w:val="20"/>
              </w:rPr>
              <w:t xml:space="preserve"> dulce y costera y </w:t>
            </w:r>
            <w:r w:rsidR="006D2279">
              <w:rPr>
                <w:rFonts w:asciiTheme="majorBidi" w:hAnsiTheme="majorBidi"/>
                <w:sz w:val="20"/>
              </w:rPr>
              <w:t xml:space="preserve">la </w:t>
            </w:r>
            <w:r>
              <w:rPr>
                <w:rFonts w:asciiTheme="majorBidi" w:hAnsiTheme="majorBidi"/>
                <w:sz w:val="20"/>
              </w:rPr>
              <w:t>regulación de los flujos hídricos;</w:t>
            </w:r>
          </w:p>
          <w:p w14:paraId="56D3EFC1" w14:textId="725F42FD" w:rsidR="00050E9A" w:rsidRPr="00603392" w:rsidRDefault="00050E9A" w:rsidP="00395D61">
            <w:pPr>
              <w:tabs>
                <w:tab w:val="left" w:pos="451"/>
              </w:tabs>
              <w:spacing w:before="40" w:after="40"/>
              <w:ind w:firstLine="181"/>
              <w:jc w:val="left"/>
              <w:rPr>
                <w:rFonts w:asciiTheme="majorBidi" w:eastAsiaTheme="minorEastAsia" w:hAnsiTheme="majorBidi" w:cstheme="majorBidi"/>
                <w:kern w:val="2"/>
                <w:sz w:val="20"/>
                <w:szCs w:val="20"/>
                <w14:ligatures w14:val="standardContextual"/>
              </w:rPr>
            </w:pPr>
            <w:r>
              <w:rPr>
                <w:rFonts w:asciiTheme="majorBidi" w:hAnsiTheme="majorBidi"/>
                <w:sz w:val="20"/>
              </w:rPr>
              <w:t>c)</w:t>
            </w:r>
            <w:r>
              <w:rPr>
                <w:rFonts w:asciiTheme="majorBidi" w:hAnsiTheme="majorBidi"/>
                <w:sz w:val="20"/>
              </w:rPr>
              <w:tab/>
            </w:r>
            <w:r w:rsidR="006D2279">
              <w:rPr>
                <w:rFonts w:asciiTheme="majorBidi" w:hAnsiTheme="majorBidi"/>
                <w:sz w:val="20"/>
              </w:rPr>
              <w:t>La d</w:t>
            </w:r>
            <w:r>
              <w:rPr>
                <w:rFonts w:asciiTheme="majorBidi" w:hAnsiTheme="majorBidi"/>
                <w:sz w:val="20"/>
              </w:rPr>
              <w:t xml:space="preserve">iversidad biológica, calidad y fertilidad del suelo y </w:t>
            </w:r>
            <w:r w:rsidR="006D2279">
              <w:rPr>
                <w:rFonts w:asciiTheme="majorBidi" w:hAnsiTheme="majorBidi"/>
                <w:sz w:val="20"/>
              </w:rPr>
              <w:t xml:space="preserve">la </w:t>
            </w:r>
            <w:r>
              <w:rPr>
                <w:rFonts w:asciiTheme="majorBidi" w:hAnsiTheme="majorBidi"/>
                <w:sz w:val="20"/>
              </w:rPr>
              <w:t xml:space="preserve">degradación o </w:t>
            </w:r>
            <w:r w:rsidR="006D2279">
              <w:rPr>
                <w:rFonts w:asciiTheme="majorBidi" w:hAnsiTheme="majorBidi"/>
                <w:sz w:val="20"/>
              </w:rPr>
              <w:t xml:space="preserve">el </w:t>
            </w:r>
            <w:r>
              <w:rPr>
                <w:rFonts w:asciiTheme="majorBidi" w:hAnsiTheme="majorBidi"/>
                <w:sz w:val="20"/>
              </w:rPr>
              <w:t>almacenamiento de contaminantes;</w:t>
            </w:r>
          </w:p>
          <w:p w14:paraId="1BA1A29F" w14:textId="451B69A7" w:rsidR="00050E9A" w:rsidRPr="00603392" w:rsidRDefault="00050E9A" w:rsidP="00395D61">
            <w:pPr>
              <w:tabs>
                <w:tab w:val="left" w:pos="451"/>
              </w:tabs>
              <w:spacing w:before="40" w:after="40"/>
              <w:ind w:firstLine="181"/>
              <w:jc w:val="left"/>
              <w:rPr>
                <w:rFonts w:asciiTheme="majorBidi" w:eastAsiaTheme="minorEastAsia" w:hAnsiTheme="majorBidi" w:cstheme="majorBidi"/>
                <w:kern w:val="2"/>
                <w:sz w:val="20"/>
                <w:szCs w:val="20"/>
                <w14:ligatures w14:val="standardContextual"/>
              </w:rPr>
            </w:pPr>
            <w:r>
              <w:rPr>
                <w:rFonts w:asciiTheme="majorBidi" w:hAnsiTheme="majorBidi"/>
                <w:sz w:val="20"/>
              </w:rPr>
              <w:t>d)</w:t>
            </w:r>
            <w:r>
              <w:rPr>
                <w:rFonts w:asciiTheme="majorBidi" w:hAnsiTheme="majorBidi"/>
                <w:sz w:val="20"/>
              </w:rPr>
              <w:tab/>
            </w:r>
            <w:r w:rsidR="006D2279">
              <w:rPr>
                <w:rFonts w:asciiTheme="majorBidi" w:hAnsiTheme="majorBidi"/>
                <w:sz w:val="20"/>
              </w:rPr>
              <w:t>La r</w:t>
            </w:r>
            <w:r>
              <w:rPr>
                <w:rFonts w:asciiTheme="majorBidi" w:hAnsiTheme="majorBidi"/>
                <w:sz w:val="20"/>
              </w:rPr>
              <w:t>egulación de los peligros naturales y los fenómenos extremos;</w:t>
            </w:r>
          </w:p>
          <w:p w14:paraId="22E869A2" w14:textId="0EB826CD" w:rsidR="00050E9A" w:rsidRPr="00603392" w:rsidRDefault="00050E9A" w:rsidP="00395D61">
            <w:pPr>
              <w:tabs>
                <w:tab w:val="left" w:pos="451"/>
              </w:tabs>
              <w:spacing w:before="40" w:after="40"/>
              <w:ind w:firstLine="181"/>
              <w:jc w:val="left"/>
              <w:rPr>
                <w:rFonts w:asciiTheme="majorBidi" w:eastAsiaTheme="minorEastAsia" w:hAnsiTheme="majorBidi" w:cstheme="majorBidi"/>
                <w:kern w:val="2"/>
                <w:sz w:val="20"/>
                <w:szCs w:val="20"/>
                <w14:ligatures w14:val="standardContextual"/>
              </w:rPr>
            </w:pPr>
            <w:r>
              <w:rPr>
                <w:rFonts w:asciiTheme="majorBidi" w:hAnsiTheme="majorBidi"/>
                <w:sz w:val="20"/>
              </w:rPr>
              <w:lastRenderedPageBreak/>
              <w:t>e)</w:t>
            </w:r>
            <w:r>
              <w:rPr>
                <w:rFonts w:asciiTheme="majorBidi" w:hAnsiTheme="majorBidi"/>
                <w:sz w:val="20"/>
              </w:rPr>
              <w:tab/>
            </w:r>
            <w:r w:rsidR="006D2279">
              <w:rPr>
                <w:rFonts w:asciiTheme="majorBidi" w:hAnsiTheme="majorBidi"/>
                <w:sz w:val="20"/>
              </w:rPr>
              <w:t>La p</w:t>
            </w:r>
            <w:r>
              <w:rPr>
                <w:rFonts w:asciiTheme="majorBidi" w:hAnsiTheme="majorBidi"/>
                <w:sz w:val="20"/>
              </w:rPr>
              <w:t xml:space="preserve">olinización y </w:t>
            </w:r>
            <w:r w:rsidR="0069005B">
              <w:rPr>
                <w:rFonts w:asciiTheme="majorBidi" w:hAnsiTheme="majorBidi"/>
                <w:sz w:val="20"/>
              </w:rPr>
              <w:t xml:space="preserve">la </w:t>
            </w:r>
            <w:r>
              <w:rPr>
                <w:rFonts w:asciiTheme="majorBidi" w:hAnsiTheme="majorBidi"/>
                <w:sz w:val="20"/>
              </w:rPr>
              <w:t>dispersión de semillas;</w:t>
            </w:r>
          </w:p>
          <w:p w14:paraId="1ACEF475" w14:textId="0251B97C" w:rsidR="000501EE" w:rsidRPr="00603392" w:rsidRDefault="00050E9A" w:rsidP="00395D61">
            <w:pPr>
              <w:tabs>
                <w:tab w:val="left" w:pos="451"/>
              </w:tabs>
              <w:spacing w:before="40" w:after="40"/>
              <w:ind w:firstLine="181"/>
              <w:jc w:val="left"/>
              <w:rPr>
                <w:rFonts w:asciiTheme="majorBidi" w:eastAsiaTheme="minorEastAsia" w:hAnsiTheme="majorBidi" w:cstheme="majorBidi"/>
                <w:kern w:val="2"/>
                <w:sz w:val="20"/>
                <w:szCs w:val="20"/>
                <w14:ligatures w14:val="standardContextual"/>
              </w:rPr>
            </w:pPr>
            <w:r>
              <w:rPr>
                <w:rFonts w:asciiTheme="majorBidi" w:hAnsiTheme="majorBidi"/>
                <w:sz w:val="20"/>
              </w:rPr>
              <w:t>f)</w:t>
            </w:r>
            <w:r>
              <w:rPr>
                <w:rFonts w:asciiTheme="majorBidi" w:hAnsiTheme="majorBidi"/>
                <w:sz w:val="20"/>
              </w:rPr>
              <w:tab/>
            </w:r>
            <w:r w:rsidR="006D2279">
              <w:rPr>
                <w:rFonts w:asciiTheme="majorBidi" w:hAnsiTheme="majorBidi"/>
                <w:sz w:val="20"/>
              </w:rPr>
              <w:t>La p</w:t>
            </w:r>
            <w:r>
              <w:rPr>
                <w:rFonts w:asciiTheme="majorBidi" w:hAnsiTheme="majorBidi"/>
                <w:sz w:val="20"/>
              </w:rPr>
              <w:t xml:space="preserve">roducción de alimentos y piensos a partir de organismos terrestres o marinos silvestres, gestionados o domesticados; </w:t>
            </w:r>
          </w:p>
          <w:p w14:paraId="49292459" w14:textId="7171B242" w:rsidR="00050E9A" w:rsidRPr="00603392" w:rsidRDefault="00050E9A" w:rsidP="00395D61">
            <w:pPr>
              <w:tabs>
                <w:tab w:val="left" w:pos="451"/>
              </w:tabs>
              <w:spacing w:before="40" w:after="40"/>
              <w:ind w:firstLine="181"/>
              <w:jc w:val="left"/>
              <w:rPr>
                <w:rFonts w:asciiTheme="majorBidi" w:eastAsiaTheme="minorEastAsia" w:hAnsiTheme="majorBidi" w:cstheme="majorBidi"/>
                <w:kern w:val="2"/>
                <w:sz w:val="20"/>
                <w:szCs w:val="20"/>
                <w14:ligatures w14:val="standardContextual"/>
              </w:rPr>
            </w:pPr>
            <w:r>
              <w:rPr>
                <w:rFonts w:asciiTheme="majorBidi" w:hAnsiTheme="majorBidi"/>
                <w:sz w:val="20"/>
              </w:rPr>
              <w:t>g)</w:t>
            </w:r>
            <w:r>
              <w:rPr>
                <w:rFonts w:asciiTheme="majorBidi" w:hAnsiTheme="majorBidi"/>
                <w:sz w:val="20"/>
              </w:rPr>
              <w:tab/>
            </w:r>
            <w:r w:rsidR="006D2279">
              <w:rPr>
                <w:rFonts w:asciiTheme="majorBidi" w:hAnsiTheme="majorBidi"/>
                <w:sz w:val="20"/>
              </w:rPr>
              <w:t>La r</w:t>
            </w:r>
            <w:r>
              <w:rPr>
                <w:rFonts w:asciiTheme="majorBidi" w:hAnsiTheme="majorBidi"/>
                <w:sz w:val="20"/>
              </w:rPr>
              <w:t>egulación de plagas, patógenos, depredadores, competidores, parásitos y organismos potencialmente nocivos;</w:t>
            </w:r>
          </w:p>
          <w:p w14:paraId="4A644286" w14:textId="6424D433" w:rsidR="00050E9A" w:rsidRPr="00603392" w:rsidRDefault="00050E9A" w:rsidP="00395D61">
            <w:pPr>
              <w:tabs>
                <w:tab w:val="left" w:pos="451"/>
              </w:tabs>
              <w:spacing w:before="40" w:after="40"/>
              <w:ind w:firstLine="181"/>
              <w:jc w:val="left"/>
              <w:rPr>
                <w:rFonts w:asciiTheme="majorBidi" w:eastAsiaTheme="minorEastAsia" w:hAnsiTheme="majorBidi" w:cstheme="majorBidi"/>
                <w:kern w:val="2"/>
                <w:sz w:val="20"/>
                <w:szCs w:val="20"/>
                <w14:ligatures w14:val="standardContextual"/>
              </w:rPr>
            </w:pPr>
            <w:r>
              <w:rPr>
                <w:rFonts w:asciiTheme="majorBidi" w:hAnsiTheme="majorBidi"/>
                <w:sz w:val="20"/>
              </w:rPr>
              <w:t>h)</w:t>
            </w:r>
            <w:r>
              <w:rPr>
                <w:rFonts w:asciiTheme="majorBidi" w:hAnsiTheme="majorBidi"/>
                <w:sz w:val="20"/>
              </w:rPr>
              <w:tab/>
            </w:r>
            <w:r w:rsidR="006D2279">
              <w:rPr>
                <w:rFonts w:asciiTheme="majorBidi" w:hAnsiTheme="majorBidi"/>
                <w:sz w:val="20"/>
              </w:rPr>
              <w:t>El a</w:t>
            </w:r>
            <w:r>
              <w:rPr>
                <w:rFonts w:asciiTheme="majorBidi" w:hAnsiTheme="majorBidi"/>
                <w:sz w:val="20"/>
              </w:rPr>
              <w:t>prendizaje (educación, adquisición de conocimientos e inspiración para el arte y el diseño tecnológico, como la biomímesis);</w:t>
            </w:r>
          </w:p>
          <w:p w14:paraId="0358E081" w14:textId="62D37452" w:rsidR="00050E9A" w:rsidRPr="006D2279" w:rsidRDefault="00050E9A" w:rsidP="00395D61">
            <w:pPr>
              <w:tabs>
                <w:tab w:val="left" w:pos="451"/>
              </w:tabs>
              <w:spacing w:before="40" w:after="40"/>
              <w:ind w:firstLine="181"/>
              <w:jc w:val="left"/>
              <w:rPr>
                <w:rFonts w:asciiTheme="majorBidi" w:eastAsiaTheme="minorEastAsia" w:hAnsiTheme="majorBidi" w:cstheme="majorBidi"/>
                <w:spacing w:val="-4"/>
                <w:kern w:val="2"/>
                <w:sz w:val="20"/>
                <w:szCs w:val="20"/>
                <w14:ligatures w14:val="standardContextual"/>
              </w:rPr>
            </w:pPr>
            <w:r>
              <w:rPr>
                <w:rFonts w:asciiTheme="majorBidi" w:hAnsiTheme="majorBidi"/>
                <w:sz w:val="20"/>
              </w:rPr>
              <w:t>i)</w:t>
            </w:r>
            <w:r>
              <w:rPr>
                <w:rFonts w:asciiTheme="majorBidi" w:hAnsiTheme="majorBidi"/>
                <w:sz w:val="20"/>
              </w:rPr>
              <w:tab/>
            </w:r>
            <w:r w:rsidR="006D2279" w:rsidRPr="006D2279">
              <w:rPr>
                <w:rFonts w:asciiTheme="majorBidi" w:hAnsiTheme="majorBidi"/>
                <w:spacing w:val="-4"/>
                <w:sz w:val="20"/>
              </w:rPr>
              <w:t>La c</w:t>
            </w:r>
            <w:r w:rsidRPr="006D2279">
              <w:rPr>
                <w:rFonts w:asciiTheme="majorBidi" w:hAnsiTheme="majorBidi"/>
                <w:spacing w:val="-4"/>
                <w:sz w:val="20"/>
              </w:rPr>
              <w:t>uración, relajación, esparcimiento y ocio;</w:t>
            </w:r>
          </w:p>
          <w:p w14:paraId="03A975D5" w14:textId="466A2576" w:rsidR="00050E9A" w:rsidRPr="00603392" w:rsidRDefault="00050E9A" w:rsidP="00395D61">
            <w:pPr>
              <w:tabs>
                <w:tab w:val="left" w:pos="451"/>
              </w:tabs>
              <w:spacing w:before="40" w:after="40"/>
              <w:ind w:firstLine="181"/>
              <w:jc w:val="left"/>
              <w:rPr>
                <w:rFonts w:asciiTheme="majorBidi" w:eastAsiaTheme="minorEastAsia" w:hAnsiTheme="majorBidi" w:cstheme="majorBidi"/>
                <w:bCs/>
                <w:kern w:val="2"/>
                <w:sz w:val="20"/>
                <w:szCs w:val="20"/>
                <w14:ligatures w14:val="standardContextual"/>
              </w:rPr>
            </w:pPr>
            <w:r>
              <w:rPr>
                <w:rFonts w:asciiTheme="majorBidi" w:hAnsiTheme="majorBidi"/>
                <w:sz w:val="20"/>
              </w:rPr>
              <w:t>j)</w:t>
            </w:r>
            <w:r>
              <w:rPr>
                <w:rFonts w:asciiTheme="majorBidi" w:hAnsiTheme="majorBidi"/>
                <w:sz w:val="20"/>
              </w:rPr>
              <w:tab/>
            </w:r>
            <w:r w:rsidR="006D2279">
              <w:rPr>
                <w:rFonts w:asciiTheme="majorBidi" w:hAnsiTheme="majorBidi"/>
                <w:sz w:val="20"/>
              </w:rPr>
              <w:t>La i</w:t>
            </w:r>
            <w:r>
              <w:rPr>
                <w:rFonts w:asciiTheme="majorBidi" w:hAnsiTheme="majorBidi"/>
                <w:sz w:val="20"/>
              </w:rPr>
              <w:t xml:space="preserve">nterconexión intrínseca </w:t>
            </w:r>
            <w:r w:rsidR="006D2279">
              <w:rPr>
                <w:rFonts w:asciiTheme="majorBidi" w:hAnsiTheme="majorBidi"/>
                <w:sz w:val="20"/>
              </w:rPr>
              <w:t>y las</w:t>
            </w:r>
            <w:r>
              <w:rPr>
                <w:rFonts w:asciiTheme="majorBidi" w:hAnsiTheme="majorBidi"/>
                <w:sz w:val="20"/>
              </w:rPr>
              <w:t xml:space="preserve"> identidades de apoyo (esto es, la base de las experiencias religiosas, es</w:t>
            </w:r>
            <w:r w:rsidR="006D2279">
              <w:rPr>
                <w:rFonts w:asciiTheme="majorBidi" w:hAnsiTheme="majorBidi"/>
                <w:sz w:val="20"/>
              </w:rPr>
              <w:t>pirituales y de cohesión social</w:t>
            </w:r>
            <w:r>
              <w:rPr>
                <w:rFonts w:asciiTheme="majorBidi" w:hAnsiTheme="majorBidi"/>
                <w:sz w:val="20"/>
              </w:rPr>
              <w:t xml:space="preserve"> y el sentido de lugar, propósito, pertenencia, arraigo o conexión);</w:t>
            </w:r>
          </w:p>
          <w:p w14:paraId="171A0C00" w14:textId="44C23537" w:rsidR="00050E9A" w:rsidRPr="00603392" w:rsidRDefault="00050E9A" w:rsidP="0069005B">
            <w:pPr>
              <w:tabs>
                <w:tab w:val="left" w:pos="451"/>
              </w:tabs>
              <w:spacing w:before="40" w:after="40"/>
              <w:ind w:firstLine="181"/>
              <w:jc w:val="left"/>
              <w:rPr>
                <w:rFonts w:eastAsiaTheme="minorEastAsia"/>
                <w:sz w:val="20"/>
                <w:szCs w:val="20"/>
              </w:rPr>
            </w:pPr>
            <w:r>
              <w:rPr>
                <w:rFonts w:asciiTheme="majorBidi" w:hAnsiTheme="majorBidi"/>
                <w:sz w:val="20"/>
              </w:rPr>
              <w:t>k)</w:t>
            </w:r>
            <w:r>
              <w:rPr>
                <w:rFonts w:asciiTheme="majorBidi" w:hAnsiTheme="majorBidi"/>
                <w:sz w:val="20"/>
              </w:rPr>
              <w:tab/>
            </w:r>
            <w:r w:rsidR="0069005B">
              <w:rPr>
                <w:rFonts w:asciiTheme="majorBidi" w:hAnsiTheme="majorBidi"/>
                <w:sz w:val="20"/>
              </w:rPr>
              <w:t>La p</w:t>
            </w:r>
            <w:r>
              <w:rPr>
                <w:rFonts w:asciiTheme="majorBidi" w:hAnsiTheme="majorBidi"/>
                <w:sz w:val="20"/>
              </w:rPr>
              <w:t>rovisión de recursos medicinales, bioquímicos y genéticos</w:t>
            </w:r>
          </w:p>
        </w:tc>
        <w:tc>
          <w:tcPr>
            <w:tcW w:w="7469" w:type="dxa"/>
          </w:tcPr>
          <w:p w14:paraId="5D4B2880" w14:textId="5039A869" w:rsidR="00050E9A" w:rsidRPr="00603392" w:rsidRDefault="00050E9A" w:rsidP="009A429E">
            <w:pPr>
              <w:spacing w:before="60" w:after="60"/>
              <w:jc w:val="left"/>
              <w:rPr>
                <w:rFonts w:asciiTheme="majorBidi" w:hAnsiTheme="majorBidi" w:cstheme="majorBidi"/>
                <w:kern w:val="2"/>
                <w:sz w:val="20"/>
                <w:szCs w:val="20"/>
                <w14:ligatures w14:val="standardContextual"/>
              </w:rPr>
            </w:pPr>
            <w:r>
              <w:rPr>
                <w:rFonts w:asciiTheme="majorBidi" w:hAnsiTheme="majorBidi"/>
                <w:sz w:val="20"/>
              </w:rPr>
              <w:lastRenderedPageBreak/>
              <w:t>1. Considerar las contribuciones de la diversidad biológica en las políticas, estrategias y programas nacionales, incluido a lo largo del ciclo de vida y para los diferentes grupos comunitarios, reconociendo las contribuciones positivas de la naturaleza a todas las dimensiones de la salud y el bienestar humanos.</w:t>
            </w:r>
          </w:p>
          <w:p w14:paraId="4F44CA2E" w14:textId="7167D568" w:rsidR="00A1738B" w:rsidRPr="00603392" w:rsidRDefault="00050E9A">
            <w:pPr>
              <w:spacing w:before="60" w:after="60"/>
              <w:jc w:val="left"/>
              <w:rPr>
                <w:rFonts w:asciiTheme="majorBidi" w:hAnsiTheme="majorBidi" w:cstheme="majorBidi"/>
                <w:kern w:val="2"/>
                <w:sz w:val="20"/>
                <w:szCs w:val="20"/>
                <w14:ligatures w14:val="standardContextual"/>
              </w:rPr>
            </w:pPr>
            <w:r>
              <w:rPr>
                <w:rFonts w:asciiTheme="majorBidi" w:hAnsiTheme="majorBidi"/>
                <w:sz w:val="20"/>
              </w:rPr>
              <w:t>2. Tomar medidas para hacer frente a los impactos adversos de la pérdida de diversidad biológica en la salud, incluida la salud mental, mediante, por ejemplo, lo siguiente:</w:t>
            </w:r>
          </w:p>
          <w:p w14:paraId="242A1350" w14:textId="28B5D154" w:rsidR="00A1738B" w:rsidRPr="00603392" w:rsidRDefault="0069005B" w:rsidP="009A429E">
            <w:pPr>
              <w:tabs>
                <w:tab w:val="left" w:pos="691"/>
              </w:tabs>
              <w:spacing w:before="40" w:after="40"/>
              <w:ind w:firstLine="188"/>
              <w:jc w:val="left"/>
              <w:rPr>
                <w:rFonts w:asciiTheme="majorBidi" w:hAnsiTheme="majorBidi" w:cstheme="majorBidi"/>
                <w:snapToGrid w:val="0"/>
                <w:color w:val="000000" w:themeColor="text1"/>
                <w:sz w:val="20"/>
                <w:szCs w:val="20"/>
              </w:rPr>
            </w:pPr>
            <w:r>
              <w:rPr>
                <w:rFonts w:asciiTheme="majorBidi" w:hAnsiTheme="majorBidi"/>
                <w:sz w:val="20"/>
              </w:rPr>
              <w:t>a)</w:t>
            </w:r>
            <w:r>
              <w:rPr>
                <w:rFonts w:asciiTheme="majorBidi" w:hAnsiTheme="majorBidi"/>
                <w:snapToGrid w:val="0"/>
                <w:color w:val="000000" w:themeColor="text1"/>
                <w:sz w:val="20"/>
              </w:rPr>
              <w:t xml:space="preserve"> </w:t>
            </w:r>
            <w:r>
              <w:rPr>
                <w:rFonts w:asciiTheme="majorBidi" w:hAnsiTheme="majorBidi"/>
                <w:snapToGrid w:val="0"/>
                <w:color w:val="000000" w:themeColor="text1"/>
                <w:sz w:val="20"/>
              </w:rPr>
              <w:tab/>
            </w:r>
            <w:r>
              <w:rPr>
                <w:rFonts w:asciiTheme="majorBidi" w:hAnsiTheme="majorBidi"/>
                <w:sz w:val="20"/>
              </w:rPr>
              <w:t>A</w:t>
            </w:r>
            <w:r w:rsidR="00050E9A">
              <w:rPr>
                <w:rFonts w:asciiTheme="majorBidi" w:hAnsiTheme="majorBidi"/>
                <w:sz w:val="20"/>
              </w:rPr>
              <w:t xml:space="preserve">poyando </w:t>
            </w:r>
            <w:r w:rsidR="00050E9A">
              <w:rPr>
                <w:rFonts w:asciiTheme="majorBidi" w:hAnsiTheme="majorBidi"/>
                <w:snapToGrid w:val="0"/>
                <w:color w:val="000000" w:themeColor="text1"/>
                <w:sz w:val="20"/>
              </w:rPr>
              <w:t xml:space="preserve">iniciativas que ayuden a las personas y </w:t>
            </w:r>
            <w:r>
              <w:rPr>
                <w:rFonts w:asciiTheme="majorBidi" w:hAnsiTheme="majorBidi"/>
                <w:snapToGrid w:val="0"/>
                <w:color w:val="000000" w:themeColor="text1"/>
                <w:sz w:val="20"/>
              </w:rPr>
              <w:t xml:space="preserve">a las </w:t>
            </w:r>
            <w:r w:rsidR="00050E9A">
              <w:rPr>
                <w:rFonts w:asciiTheme="majorBidi" w:hAnsiTheme="majorBidi"/>
                <w:snapToGrid w:val="0"/>
                <w:color w:val="000000" w:themeColor="text1"/>
                <w:sz w:val="20"/>
              </w:rPr>
              <w:t xml:space="preserve">comunidades que sufren esos impactos; </w:t>
            </w:r>
          </w:p>
          <w:p w14:paraId="55C2C034" w14:textId="61DA79BD" w:rsidR="00A1738B" w:rsidRPr="00603392" w:rsidRDefault="00050E9A" w:rsidP="009A429E">
            <w:pPr>
              <w:tabs>
                <w:tab w:val="left" w:pos="691"/>
              </w:tabs>
              <w:spacing w:before="40" w:after="40"/>
              <w:ind w:firstLine="188"/>
              <w:jc w:val="left"/>
              <w:rPr>
                <w:rFonts w:asciiTheme="majorBidi" w:hAnsiTheme="majorBidi" w:cstheme="majorBidi"/>
                <w:snapToGrid w:val="0"/>
                <w:color w:val="000000" w:themeColor="text1"/>
                <w:sz w:val="20"/>
                <w:szCs w:val="20"/>
              </w:rPr>
            </w:pPr>
            <w:r>
              <w:rPr>
                <w:rFonts w:asciiTheme="majorBidi" w:hAnsiTheme="majorBidi"/>
                <w:snapToGrid w:val="0"/>
                <w:color w:val="000000" w:themeColor="text1"/>
                <w:sz w:val="20"/>
              </w:rPr>
              <w:t>b)</w:t>
            </w:r>
            <w:r>
              <w:rPr>
                <w:rFonts w:asciiTheme="majorBidi" w:hAnsiTheme="majorBidi"/>
                <w:snapToGrid w:val="0"/>
                <w:color w:val="000000" w:themeColor="text1"/>
                <w:sz w:val="20"/>
              </w:rPr>
              <w:tab/>
            </w:r>
            <w:r w:rsidR="0069005B">
              <w:rPr>
                <w:rFonts w:asciiTheme="majorBidi" w:hAnsiTheme="majorBidi"/>
                <w:snapToGrid w:val="0"/>
                <w:color w:val="000000" w:themeColor="text1"/>
                <w:sz w:val="20"/>
              </w:rPr>
              <w:t>F</w:t>
            </w:r>
            <w:r>
              <w:rPr>
                <w:rFonts w:asciiTheme="majorBidi" w:hAnsiTheme="majorBidi"/>
                <w:snapToGrid w:val="0"/>
                <w:color w:val="000000" w:themeColor="text1"/>
                <w:sz w:val="20"/>
              </w:rPr>
              <w:t xml:space="preserve">omentando discursos positivos sobre el medio ambiente de cara al futuro, especialmente entre la infancia y la juventud; </w:t>
            </w:r>
          </w:p>
          <w:p w14:paraId="275DA1CD" w14:textId="04F83567" w:rsidR="00050E9A" w:rsidRPr="00603392" w:rsidRDefault="00050E9A" w:rsidP="009A429E">
            <w:pPr>
              <w:tabs>
                <w:tab w:val="left" w:pos="691"/>
              </w:tabs>
              <w:spacing w:before="40" w:after="40"/>
              <w:ind w:firstLine="188"/>
              <w:jc w:val="left"/>
              <w:rPr>
                <w:rFonts w:asciiTheme="majorBidi" w:hAnsiTheme="majorBidi" w:cstheme="majorBidi"/>
                <w:kern w:val="2"/>
                <w:sz w:val="20"/>
                <w:szCs w:val="20"/>
                <w14:ligatures w14:val="standardContextual"/>
              </w:rPr>
            </w:pPr>
            <w:r>
              <w:rPr>
                <w:rFonts w:asciiTheme="majorBidi" w:hAnsiTheme="majorBidi"/>
                <w:snapToGrid w:val="0"/>
                <w:color w:val="000000" w:themeColor="text1"/>
                <w:sz w:val="20"/>
              </w:rPr>
              <w:t>c)</w:t>
            </w:r>
            <w:r>
              <w:rPr>
                <w:rFonts w:asciiTheme="majorBidi" w:hAnsiTheme="majorBidi"/>
                <w:snapToGrid w:val="0"/>
                <w:color w:val="000000" w:themeColor="text1"/>
                <w:sz w:val="20"/>
              </w:rPr>
              <w:tab/>
            </w:r>
            <w:r w:rsidR="0069005B">
              <w:rPr>
                <w:rFonts w:asciiTheme="majorBidi" w:hAnsiTheme="majorBidi"/>
                <w:snapToGrid w:val="0"/>
                <w:color w:val="000000" w:themeColor="text1"/>
                <w:sz w:val="20"/>
              </w:rPr>
              <w:t>R</w:t>
            </w:r>
            <w:r>
              <w:rPr>
                <w:rFonts w:asciiTheme="majorBidi" w:hAnsiTheme="majorBidi"/>
                <w:snapToGrid w:val="0"/>
                <w:color w:val="000000" w:themeColor="text1"/>
                <w:sz w:val="20"/>
              </w:rPr>
              <w:t xml:space="preserve">econociendo instrumentos de salud pública pertinentes, como las recetas naturales y las terapias basadas en la naturaleza, la medicina tradicional y los productos fitoterapeúticos para que el sector sanitario participe en la creación de capacidad para </w:t>
            </w:r>
            <w:r w:rsidR="0069005B">
              <w:rPr>
                <w:rFonts w:asciiTheme="majorBidi" w:hAnsiTheme="majorBidi"/>
                <w:snapToGrid w:val="0"/>
                <w:color w:val="000000" w:themeColor="text1"/>
                <w:sz w:val="20"/>
              </w:rPr>
              <w:t xml:space="preserve">reducir al </w:t>
            </w:r>
            <w:r>
              <w:rPr>
                <w:rFonts w:asciiTheme="majorBidi" w:hAnsiTheme="majorBidi"/>
                <w:snapToGrid w:val="0"/>
                <w:color w:val="000000" w:themeColor="text1"/>
                <w:sz w:val="20"/>
              </w:rPr>
              <w:t>m</w:t>
            </w:r>
            <w:r w:rsidR="0069005B">
              <w:rPr>
                <w:rFonts w:asciiTheme="majorBidi" w:hAnsiTheme="majorBidi"/>
                <w:snapToGrid w:val="0"/>
                <w:color w:val="000000" w:themeColor="text1"/>
                <w:sz w:val="20"/>
              </w:rPr>
              <w:t>í</w:t>
            </w:r>
            <w:r>
              <w:rPr>
                <w:rFonts w:asciiTheme="majorBidi" w:hAnsiTheme="majorBidi"/>
                <w:snapToGrid w:val="0"/>
                <w:color w:val="000000" w:themeColor="text1"/>
                <w:sz w:val="20"/>
              </w:rPr>
              <w:t>nim</w:t>
            </w:r>
            <w:r w:rsidR="0069005B">
              <w:rPr>
                <w:rFonts w:asciiTheme="majorBidi" w:hAnsiTheme="majorBidi"/>
                <w:snapToGrid w:val="0"/>
                <w:color w:val="000000" w:themeColor="text1"/>
                <w:sz w:val="20"/>
              </w:rPr>
              <w:t>o</w:t>
            </w:r>
            <w:r>
              <w:rPr>
                <w:rFonts w:asciiTheme="majorBidi" w:hAnsiTheme="majorBidi"/>
                <w:snapToGrid w:val="0"/>
                <w:color w:val="000000" w:themeColor="text1"/>
                <w:sz w:val="20"/>
              </w:rPr>
              <w:t xml:space="preserve">, prevenir y tratar los </w:t>
            </w:r>
            <w:r w:rsidR="0069005B">
              <w:rPr>
                <w:rFonts w:asciiTheme="majorBidi" w:hAnsiTheme="majorBidi"/>
                <w:snapToGrid w:val="0"/>
                <w:color w:val="000000" w:themeColor="text1"/>
                <w:sz w:val="20"/>
              </w:rPr>
              <w:t>impa</w:t>
            </w:r>
            <w:r>
              <w:rPr>
                <w:rFonts w:asciiTheme="majorBidi" w:hAnsiTheme="majorBidi"/>
                <w:snapToGrid w:val="0"/>
                <w:color w:val="000000" w:themeColor="text1"/>
                <w:sz w:val="20"/>
              </w:rPr>
              <w:t>ctos adversos</w:t>
            </w:r>
            <w:r>
              <w:rPr>
                <w:rFonts w:asciiTheme="majorBidi" w:hAnsiTheme="majorBidi"/>
                <w:sz w:val="20"/>
              </w:rPr>
              <w:t>.</w:t>
            </w:r>
          </w:p>
          <w:p w14:paraId="4F8E2BB3" w14:textId="5E279F81" w:rsidR="00050E9A" w:rsidRPr="00603392" w:rsidRDefault="00050E9A" w:rsidP="00A24E15">
            <w:pPr>
              <w:spacing w:before="60" w:after="60"/>
              <w:jc w:val="left"/>
              <w:rPr>
                <w:rFonts w:asciiTheme="majorBidi" w:eastAsiaTheme="minorEastAsia" w:hAnsiTheme="majorBidi" w:cstheme="majorBidi"/>
                <w:kern w:val="2"/>
                <w:sz w:val="20"/>
                <w:szCs w:val="20"/>
                <w:vertAlign w:val="superscript"/>
                <w14:ligatures w14:val="standardContextual"/>
              </w:rPr>
            </w:pPr>
            <w:r>
              <w:rPr>
                <w:rFonts w:asciiTheme="majorBidi" w:hAnsiTheme="majorBidi"/>
                <w:sz w:val="20"/>
              </w:rPr>
              <w:t xml:space="preserve">3. Utilizar soluciones basadas en la naturaleza y/o enfoques basados en los ecosistemas y enfoques innovadores para lograr beneficios para la diversidad biológica, la integridad de </w:t>
            </w:r>
            <w:r>
              <w:rPr>
                <w:rFonts w:asciiTheme="majorBidi" w:hAnsiTheme="majorBidi"/>
                <w:sz w:val="20"/>
              </w:rPr>
              <w:lastRenderedPageBreak/>
              <w:t>los ecosistemas y los sistemas naturales, al tiempo que se proporcionan beneficios para la salud humana, como la reducción del riesgo de desastres.</w:t>
            </w:r>
          </w:p>
        </w:tc>
      </w:tr>
      <w:tr w:rsidR="007B05AE" w:rsidRPr="00EB2F01" w14:paraId="2B6B7BFA" w14:textId="77777777" w:rsidTr="00603392">
        <w:trPr>
          <w:trHeight w:val="250"/>
        </w:trPr>
        <w:tc>
          <w:tcPr>
            <w:tcW w:w="13589" w:type="dxa"/>
            <w:gridSpan w:val="3"/>
          </w:tcPr>
          <w:p w14:paraId="52C6B06F" w14:textId="545C505D" w:rsidR="007B05AE" w:rsidRPr="00603392" w:rsidRDefault="007B05AE" w:rsidP="007C6479">
            <w:pPr>
              <w:spacing w:before="40" w:after="40"/>
              <w:jc w:val="left"/>
              <w:rPr>
                <w:rFonts w:asciiTheme="majorBidi" w:eastAsiaTheme="minorEastAsia" w:hAnsiTheme="majorBidi" w:cstheme="majorBidi"/>
                <w:b/>
                <w:color w:val="000000" w:themeColor="text1"/>
                <w:spacing w:val="6"/>
                <w:kern w:val="2"/>
                <w:sz w:val="20"/>
                <w:szCs w:val="20"/>
                <w14:ligatures w14:val="standardContextual"/>
              </w:rPr>
            </w:pPr>
            <w:r>
              <w:rPr>
                <w:rFonts w:asciiTheme="majorBidi" w:hAnsiTheme="majorBidi"/>
                <w:b/>
                <w:sz w:val="20"/>
              </w:rPr>
              <w:lastRenderedPageBreak/>
              <w:t>Zonas urbanas</w:t>
            </w:r>
          </w:p>
        </w:tc>
      </w:tr>
      <w:tr w:rsidR="00050E9A" w:rsidRPr="00EB2F01" w14:paraId="482FCEF8" w14:textId="77777777" w:rsidTr="009B0237">
        <w:trPr>
          <w:trHeight w:val="449"/>
        </w:trPr>
        <w:tc>
          <w:tcPr>
            <w:tcW w:w="1890" w:type="dxa"/>
          </w:tcPr>
          <w:p w14:paraId="54D8F7FF" w14:textId="6BE789C3" w:rsidR="00050E9A" w:rsidRPr="00603392" w:rsidRDefault="00050E9A" w:rsidP="001F7849">
            <w:pPr>
              <w:spacing w:before="40" w:after="40"/>
              <w:jc w:val="left"/>
              <w:rPr>
                <w:rFonts w:asciiTheme="majorBidi" w:eastAsiaTheme="minorEastAsia" w:hAnsiTheme="majorBidi" w:cstheme="majorBidi"/>
                <w:kern w:val="2"/>
                <w:sz w:val="20"/>
                <w:szCs w:val="20"/>
                <w14:ligatures w14:val="standardContextual"/>
              </w:rPr>
            </w:pPr>
            <w:r>
              <w:rPr>
                <w:rFonts w:asciiTheme="majorBidi" w:hAnsiTheme="majorBidi"/>
                <w:color w:val="000000" w:themeColor="text1"/>
                <w:sz w:val="20"/>
              </w:rPr>
              <w:t>Meta 12</w:t>
            </w:r>
          </w:p>
        </w:tc>
        <w:tc>
          <w:tcPr>
            <w:tcW w:w="4230" w:type="dxa"/>
          </w:tcPr>
          <w:p w14:paraId="29F9D3E1" w14:textId="073465D6" w:rsidR="00050E9A" w:rsidRPr="00603392" w:rsidRDefault="00050E9A" w:rsidP="008C5DF8">
            <w:pPr>
              <w:spacing w:before="40" w:after="4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 xml:space="preserve">Los espacios verdes y azules y una planificación urbana que tenga en cuenta la diversidad biológica pueden optimizar la integridad y la conectividad de los ecosistemas y aumentar la salud física, mental, espiritual y emocional a través de diversos mecanismos, como la mejora de la calidad del aire, la reducción del efecto isla de calor, el aumento de la resiliencia ante las inundaciones, la aportación de una microbiota beneficiosa, la provisión de beneficios culturales y psicológicos y la facilitación del ejercicio físico, así como para la curación, la relajación, el esparcimiento y las identidades de apoyo, además de actividades comunitarias y de cohesión social. </w:t>
            </w:r>
          </w:p>
        </w:tc>
        <w:tc>
          <w:tcPr>
            <w:tcW w:w="7469" w:type="dxa"/>
          </w:tcPr>
          <w:p w14:paraId="70421848" w14:textId="311F03B0" w:rsidR="00050E9A" w:rsidRPr="00603392" w:rsidRDefault="00050E9A" w:rsidP="00917BC9">
            <w:pPr>
              <w:spacing w:before="60" w:after="60"/>
              <w:jc w:val="left"/>
              <w:rPr>
                <w:rFonts w:asciiTheme="majorBidi" w:hAnsiTheme="majorBidi" w:cstheme="majorBidi"/>
                <w:kern w:val="2"/>
                <w:sz w:val="20"/>
                <w:szCs w:val="20"/>
                <w14:ligatures w14:val="standardContextual"/>
              </w:rPr>
            </w:pPr>
            <w:r>
              <w:rPr>
                <w:rFonts w:asciiTheme="majorBidi" w:hAnsiTheme="majorBidi"/>
                <w:color w:val="000000" w:themeColor="text1"/>
                <w:sz w:val="20"/>
              </w:rPr>
              <w:t xml:space="preserve">1. Considerar los beneficios para la salud humana, en todas sus dimensiones, en las políticas de planificación urbana que tengan en cuenta la diversidad biológica y </w:t>
            </w:r>
            <w:r>
              <w:rPr>
                <w:rFonts w:asciiTheme="majorBidi" w:hAnsiTheme="majorBidi"/>
                <w:sz w:val="20"/>
              </w:rPr>
              <w:t>la dotación de espacios azules y verdes.</w:t>
            </w:r>
          </w:p>
          <w:p w14:paraId="32AA6F2E" w14:textId="6EB2FD49" w:rsidR="00050E9A" w:rsidRPr="00603392" w:rsidRDefault="00050E9A" w:rsidP="00603392">
            <w:pPr>
              <w:spacing w:before="60" w:after="60"/>
              <w:ind w:right="-20"/>
              <w:jc w:val="left"/>
              <w:rPr>
                <w:rFonts w:asciiTheme="majorBidi" w:hAnsiTheme="majorBidi" w:cstheme="majorBidi"/>
                <w:kern w:val="2"/>
                <w:sz w:val="20"/>
                <w:szCs w:val="20"/>
                <w14:ligatures w14:val="standardContextual"/>
              </w:rPr>
            </w:pPr>
            <w:r>
              <w:rPr>
                <w:rFonts w:asciiTheme="majorBidi" w:hAnsiTheme="majorBidi"/>
                <w:sz w:val="20"/>
              </w:rPr>
              <w:t xml:space="preserve">2. Mejorar el acceso </w:t>
            </w:r>
            <w:r w:rsidR="00DD1F45">
              <w:rPr>
                <w:rFonts w:asciiTheme="majorBidi" w:hAnsiTheme="majorBidi"/>
                <w:sz w:val="20"/>
              </w:rPr>
              <w:t>a</w:t>
            </w:r>
            <w:r>
              <w:rPr>
                <w:rFonts w:asciiTheme="majorBidi" w:hAnsiTheme="majorBidi"/>
                <w:sz w:val="20"/>
              </w:rPr>
              <w:t xml:space="preserve"> los espacios verdes y azules ricos en diversidad biológica</w:t>
            </w:r>
            <w:r w:rsidR="00DD1F45">
              <w:rPr>
                <w:rFonts w:asciiTheme="majorBidi" w:hAnsiTheme="majorBidi"/>
                <w:sz w:val="20"/>
              </w:rPr>
              <w:t>,</w:t>
            </w:r>
            <w:r>
              <w:rPr>
                <w:rFonts w:asciiTheme="majorBidi" w:hAnsiTheme="majorBidi"/>
                <w:sz w:val="20"/>
              </w:rPr>
              <w:t xml:space="preserve"> </w:t>
            </w:r>
            <w:r w:rsidR="00DD1F45">
              <w:rPr>
                <w:rFonts w:asciiTheme="majorBidi" w:hAnsiTheme="majorBidi"/>
                <w:sz w:val="20"/>
              </w:rPr>
              <w:t xml:space="preserve">y su accesibilidad, </w:t>
            </w:r>
            <w:r>
              <w:rPr>
                <w:rFonts w:asciiTheme="majorBidi" w:hAnsiTheme="majorBidi"/>
                <w:sz w:val="20"/>
              </w:rPr>
              <w:t>para todos, especialmente para los más vulnerables a los impactos negativos de los determinantes sociales o ambientales, como la infancia, la juventud, las personas de edad, las personas con discapacidad, los migrantes, las minorías raciales y las poblaciones de bajos ingresos.</w:t>
            </w:r>
          </w:p>
          <w:p w14:paraId="682C27F8" w14:textId="5A9BE745" w:rsidR="00050E9A" w:rsidRPr="00603392" w:rsidRDefault="00050E9A" w:rsidP="00603392">
            <w:pPr>
              <w:spacing w:before="60" w:after="60"/>
              <w:jc w:val="left"/>
              <w:rPr>
                <w:rFonts w:asciiTheme="majorBidi" w:hAnsiTheme="majorBidi" w:cstheme="majorBidi"/>
                <w:kern w:val="2"/>
                <w:sz w:val="20"/>
                <w:szCs w:val="20"/>
                <w14:ligatures w14:val="standardContextual"/>
              </w:rPr>
            </w:pPr>
            <w:r>
              <w:rPr>
                <w:rFonts w:asciiTheme="majorBidi" w:hAnsiTheme="majorBidi"/>
                <w:sz w:val="20"/>
              </w:rPr>
              <w:t xml:space="preserve">3. Desarrollar, en colaboración con el sector de la salud, herramientas de comunicación sobre cómo </w:t>
            </w:r>
            <w:r w:rsidR="00DD1F45">
              <w:rPr>
                <w:rFonts w:asciiTheme="majorBidi" w:hAnsiTheme="majorBidi"/>
                <w:sz w:val="20"/>
              </w:rPr>
              <w:t xml:space="preserve">la </w:t>
            </w:r>
            <w:r>
              <w:rPr>
                <w:rFonts w:asciiTheme="majorBidi" w:hAnsiTheme="majorBidi"/>
                <w:sz w:val="20"/>
              </w:rPr>
              <w:t>mejora</w:t>
            </w:r>
            <w:r w:rsidR="00DD1F45">
              <w:rPr>
                <w:rFonts w:asciiTheme="majorBidi" w:hAnsiTheme="majorBidi"/>
                <w:sz w:val="20"/>
              </w:rPr>
              <w:t xml:space="preserve"> de</w:t>
            </w:r>
            <w:r>
              <w:rPr>
                <w:rFonts w:asciiTheme="majorBidi" w:hAnsiTheme="majorBidi"/>
                <w:sz w:val="20"/>
              </w:rPr>
              <w:t xml:space="preserve"> la diversidad biológica y la integridad y conectividad ecológica en zonas urbanas </w:t>
            </w:r>
            <w:r w:rsidR="00DD1F45">
              <w:rPr>
                <w:rFonts w:asciiTheme="majorBidi" w:hAnsiTheme="majorBidi"/>
                <w:sz w:val="20"/>
              </w:rPr>
              <w:t>r</w:t>
            </w:r>
            <w:r>
              <w:rPr>
                <w:rFonts w:asciiTheme="majorBidi" w:hAnsiTheme="majorBidi"/>
                <w:sz w:val="20"/>
              </w:rPr>
              <w:t>es</w:t>
            </w:r>
            <w:r w:rsidR="00DD1F45">
              <w:rPr>
                <w:rFonts w:asciiTheme="majorBidi" w:hAnsiTheme="majorBidi"/>
                <w:sz w:val="20"/>
              </w:rPr>
              <w:t>ulta</w:t>
            </w:r>
            <w:r>
              <w:rPr>
                <w:rFonts w:asciiTheme="majorBidi" w:hAnsiTheme="majorBidi"/>
                <w:sz w:val="20"/>
              </w:rPr>
              <w:t xml:space="preserve"> esencial para la salud y el bienestar de todas las especies; y adoptar medidas para difundir esas herramientas en todos los sectores, dentro de todos los sectores de la salud y en las escuelas y las organizaciones comunitarias.</w:t>
            </w:r>
          </w:p>
          <w:p w14:paraId="0714D9CE" w14:textId="57580DD7" w:rsidR="0036045B" w:rsidRPr="00603392" w:rsidRDefault="00F82A9C" w:rsidP="00603392">
            <w:pPr>
              <w:spacing w:before="60" w:after="60"/>
              <w:jc w:val="left"/>
              <w:rPr>
                <w:color w:val="000000" w:themeColor="text1"/>
                <w:sz w:val="20"/>
                <w:szCs w:val="20"/>
              </w:rPr>
            </w:pPr>
            <w:r>
              <w:rPr>
                <w:color w:val="000000" w:themeColor="text1"/>
                <w:sz w:val="20"/>
              </w:rPr>
              <w:t xml:space="preserve">4. </w:t>
            </w:r>
            <w:r>
              <w:rPr>
                <w:sz w:val="20"/>
              </w:rPr>
              <w:t xml:space="preserve">Mejorar la infraestructura y conectividad verde y azul para fomentar la diversidad biológica y optimizar los servicios de los ecosistemas, especialmente aquellos de alta relevancia para la salud en zonas urbanas, como la eliminación de la contaminación atmosférica, la absorción de la contaminación acústica, </w:t>
            </w:r>
            <w:r w:rsidR="00DD1F45">
              <w:rPr>
                <w:sz w:val="20"/>
              </w:rPr>
              <w:t xml:space="preserve">el </w:t>
            </w:r>
            <w:r>
              <w:rPr>
                <w:sz w:val="20"/>
              </w:rPr>
              <w:t xml:space="preserve">evitar la escorrentía, la erosión </w:t>
            </w:r>
            <w:r>
              <w:rPr>
                <w:sz w:val="20"/>
              </w:rPr>
              <w:lastRenderedPageBreak/>
              <w:t>del suelo y el uso de plantas alergénicas, y espacios que permiten estar en contacto con la naturaleza y realizar ejercicio físico, entre otros.</w:t>
            </w:r>
          </w:p>
          <w:p w14:paraId="4F77F647" w14:textId="4EA1A4E5" w:rsidR="009A3BC5" w:rsidRPr="00603392" w:rsidRDefault="00F82A9C" w:rsidP="00DD1F45">
            <w:pPr>
              <w:spacing w:after="60"/>
              <w:jc w:val="left"/>
              <w:rPr>
                <w:rFonts w:asciiTheme="majorBidi" w:hAnsiTheme="majorBidi" w:cstheme="majorBidi"/>
                <w:sz w:val="20"/>
                <w:szCs w:val="20"/>
              </w:rPr>
            </w:pPr>
            <w:r>
              <w:rPr>
                <w:rFonts w:asciiTheme="majorBidi" w:hAnsiTheme="majorBidi"/>
                <w:sz w:val="20"/>
              </w:rPr>
              <w:t>5. Promover las contribuciones de la naturaleza a las personas en relación con la curación, la relajación, el esparcimiento y el ocio, en particular en zonas urbanas y densamente pobladas.</w:t>
            </w:r>
          </w:p>
        </w:tc>
      </w:tr>
      <w:tr w:rsidR="007B05AE" w:rsidRPr="00EB2F01" w14:paraId="747C61D5" w14:textId="77777777" w:rsidTr="00603392">
        <w:tc>
          <w:tcPr>
            <w:tcW w:w="13589" w:type="dxa"/>
            <w:gridSpan w:val="3"/>
          </w:tcPr>
          <w:p w14:paraId="115E94BA" w14:textId="69F61A10" w:rsidR="007B05AE" w:rsidRPr="00603392" w:rsidRDefault="004C1F99" w:rsidP="009A429E">
            <w:pPr>
              <w:keepNext/>
              <w:spacing w:before="40" w:after="4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b/>
                <w:sz w:val="20"/>
              </w:rPr>
              <w:lastRenderedPageBreak/>
              <w:t xml:space="preserve">Acceso y participación en los beneficios </w:t>
            </w:r>
          </w:p>
        </w:tc>
      </w:tr>
      <w:tr w:rsidR="00050E9A" w:rsidRPr="00EB2F01" w14:paraId="4103DA8D" w14:textId="77777777" w:rsidTr="009B0237">
        <w:tc>
          <w:tcPr>
            <w:tcW w:w="1890" w:type="dxa"/>
          </w:tcPr>
          <w:p w14:paraId="1972E17A" w14:textId="3F2F439B" w:rsidR="00050E9A" w:rsidRPr="00603392" w:rsidRDefault="00050E9A" w:rsidP="009A429E">
            <w:pPr>
              <w:spacing w:before="120" w:after="40"/>
              <w:jc w:val="left"/>
              <w:rPr>
                <w:rFonts w:asciiTheme="majorBidi" w:eastAsiaTheme="minorEastAsia" w:hAnsiTheme="majorBidi" w:cstheme="majorBidi"/>
                <w:kern w:val="2"/>
                <w:sz w:val="20"/>
                <w:szCs w:val="20"/>
                <w14:ligatures w14:val="standardContextual"/>
              </w:rPr>
            </w:pPr>
            <w:r>
              <w:rPr>
                <w:rFonts w:asciiTheme="majorBidi" w:hAnsiTheme="majorBidi"/>
                <w:sz w:val="20"/>
              </w:rPr>
              <w:t xml:space="preserve">Meta 13 </w:t>
            </w:r>
          </w:p>
        </w:tc>
        <w:tc>
          <w:tcPr>
            <w:tcW w:w="4230" w:type="dxa"/>
          </w:tcPr>
          <w:p w14:paraId="23353C7D" w14:textId="0148969B" w:rsidR="00050E9A" w:rsidRPr="00C566D1" w:rsidRDefault="00A86B53" w:rsidP="00C566D1">
            <w:pPr>
              <w:spacing w:before="40" w:after="40"/>
              <w:jc w:val="left"/>
              <w:rPr>
                <w:rFonts w:asciiTheme="majorBidi" w:eastAsiaTheme="minorEastAsia" w:hAnsiTheme="majorBidi" w:cstheme="majorBidi"/>
                <w:kern w:val="2"/>
                <w:sz w:val="20"/>
                <w:szCs w:val="20"/>
                <w14:ligatures w14:val="standardContextual"/>
              </w:rPr>
            </w:pPr>
            <w:r w:rsidRPr="00C566D1">
              <w:rPr>
                <w:rFonts w:asciiTheme="majorBidi" w:hAnsiTheme="majorBidi"/>
                <w:sz w:val="20"/>
              </w:rPr>
              <w:t>El acceso a los recursos genéticos y la participación justa y equitativa en los beneficios que se deriven de su utilización son esenciales para la salud, las práctica</w:t>
            </w:r>
            <w:r w:rsidR="00395D61" w:rsidRPr="00C566D1">
              <w:rPr>
                <w:rFonts w:asciiTheme="majorBidi" w:hAnsiTheme="majorBidi"/>
                <w:sz w:val="20"/>
              </w:rPr>
              <w:t>s</w:t>
            </w:r>
            <w:r w:rsidRPr="00C566D1">
              <w:rPr>
                <w:rFonts w:asciiTheme="majorBidi" w:hAnsiTheme="majorBidi"/>
                <w:sz w:val="20"/>
              </w:rPr>
              <w:t xml:space="preserve"> sanitarias y sistemas de salud eficaces. El desarrollo de vacunas y terapias depende del acceso a la diversidad de organismos, moléculas y genes que se encuentran en la naturaleza. Muchas terapias importantes se derivan de sistemas de conocimientos tradicionales y de la práctica de </w:t>
            </w:r>
            <w:r w:rsidR="00C566D1">
              <w:rPr>
                <w:rFonts w:asciiTheme="majorBidi" w:hAnsiTheme="majorBidi"/>
                <w:sz w:val="20"/>
              </w:rPr>
              <w:t xml:space="preserve">la </w:t>
            </w:r>
            <w:r w:rsidR="00C566D1" w:rsidRPr="00C566D1">
              <w:rPr>
                <w:rFonts w:asciiTheme="majorBidi" w:hAnsiTheme="majorBidi"/>
                <w:sz w:val="20"/>
              </w:rPr>
              <w:t>medicina tradicional de</w:t>
            </w:r>
            <w:r w:rsidRPr="00C566D1">
              <w:rPr>
                <w:rFonts w:asciiTheme="majorBidi" w:hAnsiTheme="majorBidi"/>
                <w:sz w:val="20"/>
              </w:rPr>
              <w:t xml:space="preserve"> </w:t>
            </w:r>
            <w:r w:rsidR="00C566D1">
              <w:rPr>
                <w:rFonts w:asciiTheme="majorBidi" w:hAnsiTheme="majorBidi"/>
                <w:sz w:val="20"/>
              </w:rPr>
              <w:t xml:space="preserve">los </w:t>
            </w:r>
            <w:r w:rsidRPr="00C566D1">
              <w:rPr>
                <w:rFonts w:asciiTheme="majorBidi" w:hAnsiTheme="majorBidi"/>
                <w:sz w:val="20"/>
              </w:rPr>
              <w:t>pueblos indígenas y las comunidades locales.</w:t>
            </w:r>
          </w:p>
        </w:tc>
        <w:tc>
          <w:tcPr>
            <w:tcW w:w="7469" w:type="dxa"/>
          </w:tcPr>
          <w:p w14:paraId="4C5E5E8D" w14:textId="613F86FA" w:rsidR="00050E9A" w:rsidRPr="00603392" w:rsidRDefault="001D7E1E" w:rsidP="00603392">
            <w:pPr>
              <w:spacing w:before="60" w:after="60"/>
              <w:jc w:val="left"/>
              <w:rPr>
                <w:rFonts w:eastAsiaTheme="minorEastAsia"/>
                <w:sz w:val="20"/>
                <w:szCs w:val="20"/>
              </w:rPr>
            </w:pPr>
            <w:r>
              <w:rPr>
                <w:rFonts w:asciiTheme="majorBidi" w:hAnsiTheme="majorBidi"/>
                <w:color w:val="000000" w:themeColor="text1"/>
                <w:sz w:val="20"/>
              </w:rPr>
              <w:t xml:space="preserve">1. </w:t>
            </w:r>
            <w:r>
              <w:rPr>
                <w:rFonts w:asciiTheme="majorBidi" w:hAnsiTheme="majorBidi"/>
                <w:sz w:val="20"/>
              </w:rPr>
              <w:t xml:space="preserve">Reconocer el papel que </w:t>
            </w:r>
            <w:r w:rsidR="00C566D1">
              <w:rPr>
                <w:rFonts w:asciiTheme="majorBidi" w:hAnsiTheme="majorBidi"/>
                <w:sz w:val="20"/>
              </w:rPr>
              <w:t>des</w:t>
            </w:r>
            <w:r>
              <w:rPr>
                <w:rFonts w:asciiTheme="majorBidi" w:hAnsiTheme="majorBidi"/>
                <w:sz w:val="20"/>
              </w:rPr>
              <w:t>e</w:t>
            </w:r>
            <w:r w:rsidR="00C566D1">
              <w:rPr>
                <w:rFonts w:asciiTheme="majorBidi" w:hAnsiTheme="majorBidi"/>
                <w:sz w:val="20"/>
              </w:rPr>
              <w:t>mpeña</w:t>
            </w:r>
            <w:r>
              <w:rPr>
                <w:rFonts w:asciiTheme="majorBidi" w:hAnsiTheme="majorBidi"/>
                <w:sz w:val="20"/>
              </w:rPr>
              <w:t>n los recursos genéticos, la información digital sobre secuencias de recursos genéticos y los conocimientos tradicionales asociados a los recursos genéticos en la investigación y el desarrollo de productos y servicios de salud, así como la importancia de la participación justa y equitativa en los beneficios que se deriven de su utilización en este sentido</w:t>
            </w:r>
            <w:r w:rsidR="009B0237"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55"/>
            </w:r>
            <w:r w:rsidR="009B0237">
              <w:rPr>
                <w:rFonts w:asciiTheme="majorBidi" w:hAnsiTheme="majorBidi"/>
                <w:color w:val="000000" w:themeColor="text1"/>
                <w:sz w:val="20"/>
              </w:rPr>
              <w:t>.</w:t>
            </w:r>
            <w:r>
              <w:rPr>
                <w:sz w:val="20"/>
              </w:rPr>
              <w:t xml:space="preserve"> </w:t>
            </w:r>
          </w:p>
          <w:p w14:paraId="5CA3064D" w14:textId="3B65E6B0" w:rsidR="00DD2099" w:rsidRPr="00603392" w:rsidRDefault="00323C03" w:rsidP="00603392">
            <w:pPr>
              <w:spacing w:before="60" w:after="60"/>
              <w:jc w:val="left"/>
              <w:rPr>
                <w:rFonts w:asciiTheme="majorBidi" w:eastAsiaTheme="minorEastAsia" w:hAnsiTheme="majorBidi" w:cstheme="majorBidi"/>
                <w:color w:val="000000" w:themeColor="text1"/>
                <w:sz w:val="20"/>
                <w:szCs w:val="20"/>
              </w:rPr>
            </w:pPr>
            <w:r>
              <w:rPr>
                <w:sz w:val="20"/>
              </w:rPr>
              <w:t xml:space="preserve">2. Reconocer el papel que </w:t>
            </w:r>
            <w:r w:rsidR="00C566D1">
              <w:rPr>
                <w:sz w:val="20"/>
              </w:rPr>
              <w:t>desempeña</w:t>
            </w:r>
            <w:r>
              <w:rPr>
                <w:sz w:val="20"/>
              </w:rPr>
              <w:t xml:space="preserve"> la práctica de</w:t>
            </w:r>
            <w:r w:rsidR="00C566D1">
              <w:rPr>
                <w:sz w:val="20"/>
              </w:rPr>
              <w:t xml:space="preserve"> la</w:t>
            </w:r>
            <w:r>
              <w:rPr>
                <w:sz w:val="20"/>
              </w:rPr>
              <w:t xml:space="preserve"> medicina tradicional en la conservación y la utilización sostenible de la diversidad biológica.</w:t>
            </w:r>
          </w:p>
          <w:p w14:paraId="467FF5B0" w14:textId="4209D182" w:rsidR="00A512D3" w:rsidRPr="00603392" w:rsidRDefault="00323C03" w:rsidP="00603392">
            <w:pPr>
              <w:spacing w:before="60" w:after="60"/>
              <w:jc w:val="left"/>
              <w:rPr>
                <w:rFonts w:asciiTheme="majorBidi" w:eastAsiaTheme="minorEastAsia" w:hAnsiTheme="majorBidi" w:cstheme="majorBidi"/>
                <w:color w:val="000000" w:themeColor="text1"/>
                <w:sz w:val="20"/>
                <w:szCs w:val="20"/>
              </w:rPr>
            </w:pPr>
            <w:r>
              <w:rPr>
                <w:rFonts w:asciiTheme="majorBidi" w:hAnsiTheme="majorBidi"/>
                <w:color w:val="000000" w:themeColor="text1"/>
                <w:sz w:val="20"/>
              </w:rPr>
              <w:t xml:space="preserve">3. </w:t>
            </w:r>
            <w:r>
              <w:rPr>
                <w:rFonts w:asciiTheme="majorBidi" w:hAnsiTheme="majorBidi"/>
                <w:sz w:val="20"/>
              </w:rPr>
              <w:t>Garantizar que los beneficios que se deriven de la utilización de los recursos genéticos y de la utilización de información digital sobre secuencias de recursos genéticos [y derivados][, así como de las aplicaciones y comercialización subsiguientes, ]se compartan de manera justa y equitativa[, de conformidad con los instrumentos aplicables de acceso y participación en los beneficios].</w:t>
            </w:r>
          </w:p>
          <w:p w14:paraId="14B9BA9D" w14:textId="4B48CE05" w:rsidR="002D0681" w:rsidRPr="00603392" w:rsidRDefault="00BD6FF3" w:rsidP="00603392">
            <w:pPr>
              <w:spacing w:before="60" w:after="60"/>
              <w:jc w:val="left"/>
              <w:rPr>
                <w:rFonts w:asciiTheme="majorBidi" w:eastAsiaTheme="minorEastAsia" w:hAnsiTheme="majorBidi" w:cstheme="majorBidi"/>
                <w:color w:val="000000" w:themeColor="text1"/>
                <w:sz w:val="20"/>
                <w:szCs w:val="20"/>
              </w:rPr>
            </w:pPr>
            <w:r>
              <w:rPr>
                <w:rFonts w:asciiTheme="majorBidi" w:hAnsiTheme="majorBidi"/>
                <w:color w:val="000000" w:themeColor="text1"/>
                <w:sz w:val="20"/>
              </w:rPr>
              <w:t xml:space="preserve">[4. </w:t>
            </w:r>
            <w:r>
              <w:rPr>
                <w:rFonts w:asciiTheme="majorBidi" w:hAnsiTheme="majorBidi"/>
                <w:sz w:val="20"/>
              </w:rPr>
              <w:t>[Promover][Garantizar] el cumplimiento de los marcos de acceso y participación en los beneficios[, incluido en toda la industria farmacéutica, para prevenir la apropiación indebida de recursos genéticos e información digital sobre secuencias y conocimientos tradicionales asociados].</w:t>
            </w:r>
          </w:p>
          <w:p w14:paraId="4694440F" w14:textId="43DF139A" w:rsidR="00050E9A" w:rsidRPr="00603392" w:rsidRDefault="002D0681" w:rsidP="00C566D1">
            <w:pPr>
              <w:spacing w:before="60" w:after="60"/>
              <w:jc w:val="left"/>
              <w:rPr>
                <w:rFonts w:asciiTheme="majorBidi" w:eastAsiaTheme="minorEastAsia" w:hAnsiTheme="majorBidi" w:cstheme="majorBidi"/>
                <w:color w:val="000000" w:themeColor="text1"/>
                <w:sz w:val="20"/>
                <w:szCs w:val="20"/>
              </w:rPr>
            </w:pPr>
            <w:r>
              <w:rPr>
                <w:rFonts w:asciiTheme="majorBidi" w:hAnsiTheme="majorBidi"/>
                <w:color w:val="000000" w:themeColor="text1"/>
                <w:sz w:val="20"/>
              </w:rPr>
              <w:t xml:space="preserve">[5. </w:t>
            </w:r>
            <w:r>
              <w:rPr>
                <w:rFonts w:asciiTheme="majorBidi" w:hAnsiTheme="majorBidi"/>
                <w:sz w:val="20"/>
              </w:rPr>
              <w:t xml:space="preserve">Fortalecer los mecanismos de regulación y cumplimiento de los regímenes nacionales e internacionales de acceso y participación en los beneficios a fin de garantizar el acceso equitativo a las herramientas y tecnologías necesarias para aplicar el enfoque de “Una sola salud” y otros enfoques holísticos para la gestión de enfermedades de </w:t>
            </w:r>
            <w:r w:rsidR="00C566D1">
              <w:rPr>
                <w:rFonts w:asciiTheme="majorBidi" w:hAnsiTheme="majorBidi"/>
                <w:sz w:val="20"/>
              </w:rPr>
              <w:t xml:space="preserve">plantas, </w:t>
            </w:r>
            <w:r>
              <w:rPr>
                <w:rFonts w:asciiTheme="majorBidi" w:hAnsiTheme="majorBidi"/>
                <w:sz w:val="20"/>
              </w:rPr>
              <w:t>animales y seres humanos].</w:t>
            </w:r>
          </w:p>
        </w:tc>
      </w:tr>
      <w:tr w:rsidR="00261D38" w:rsidRPr="00EB2F01" w14:paraId="4280D9C9" w14:textId="77777777" w:rsidTr="00603392">
        <w:tc>
          <w:tcPr>
            <w:tcW w:w="13589" w:type="dxa"/>
            <w:gridSpan w:val="3"/>
          </w:tcPr>
          <w:p w14:paraId="0AC85566" w14:textId="17FF198A" w:rsidR="00261D38" w:rsidRPr="00603392" w:rsidRDefault="003C0D1F" w:rsidP="00332A87">
            <w:pPr>
              <w:spacing w:before="40" w:after="40"/>
              <w:jc w:val="left"/>
              <w:rPr>
                <w:rFonts w:asciiTheme="majorBidi" w:eastAsiaTheme="minorEastAsia" w:hAnsiTheme="majorBidi" w:cstheme="majorBidi"/>
                <w:b/>
                <w:bCs/>
                <w:color w:val="000000" w:themeColor="text1"/>
                <w:kern w:val="2"/>
                <w:sz w:val="20"/>
                <w:szCs w:val="20"/>
                <w14:ligatures w14:val="standardContextual"/>
              </w:rPr>
            </w:pPr>
            <w:r>
              <w:rPr>
                <w:rFonts w:asciiTheme="majorBidi" w:hAnsiTheme="majorBidi"/>
                <w:b/>
                <w:color w:val="000000" w:themeColor="text1"/>
                <w:sz w:val="20"/>
              </w:rPr>
              <w:t>Seguridad de la biotecnología y biotecnología</w:t>
            </w:r>
          </w:p>
        </w:tc>
      </w:tr>
      <w:tr w:rsidR="00261D38" w:rsidRPr="00EB2F01" w14:paraId="0BAA1AEB" w14:textId="77777777" w:rsidTr="00967643">
        <w:tc>
          <w:tcPr>
            <w:tcW w:w="1890" w:type="dxa"/>
          </w:tcPr>
          <w:p w14:paraId="451DAEA5" w14:textId="28A0DE77" w:rsidR="00261D38" w:rsidRPr="00603392" w:rsidRDefault="00261D38" w:rsidP="0051473B">
            <w:pPr>
              <w:spacing w:before="40" w:after="40"/>
              <w:jc w:val="left"/>
              <w:rPr>
                <w:rFonts w:asciiTheme="majorBidi" w:eastAsiaTheme="minorEastAsia" w:hAnsiTheme="majorBidi" w:cstheme="majorBidi"/>
                <w:bCs/>
                <w:color w:val="000000" w:themeColor="text1"/>
                <w:kern w:val="2"/>
                <w:sz w:val="20"/>
                <w:szCs w:val="20"/>
                <w14:ligatures w14:val="standardContextual"/>
              </w:rPr>
            </w:pPr>
            <w:r>
              <w:rPr>
                <w:rFonts w:asciiTheme="majorBidi" w:hAnsiTheme="majorBidi"/>
                <w:color w:val="000000" w:themeColor="text1"/>
                <w:sz w:val="20"/>
              </w:rPr>
              <w:t>Meta 17</w:t>
            </w:r>
          </w:p>
        </w:tc>
        <w:tc>
          <w:tcPr>
            <w:tcW w:w="4230" w:type="dxa"/>
          </w:tcPr>
          <w:p w14:paraId="1EC1DC24" w14:textId="48C217FC" w:rsidR="00261D38" w:rsidRPr="00603392" w:rsidRDefault="00261D38" w:rsidP="00C566D1">
            <w:pPr>
              <w:spacing w:before="40" w:after="40"/>
              <w:jc w:val="left"/>
              <w:rPr>
                <w:rFonts w:asciiTheme="majorBidi" w:eastAsiaTheme="minorEastAsia" w:hAnsiTheme="majorBidi" w:cstheme="majorBidi"/>
                <w:kern w:val="2"/>
                <w:sz w:val="20"/>
                <w:szCs w:val="20"/>
                <w14:ligatures w14:val="standardContextual"/>
              </w:rPr>
            </w:pPr>
            <w:r>
              <w:rPr>
                <w:rFonts w:asciiTheme="majorBidi" w:hAnsiTheme="majorBidi"/>
                <w:sz w:val="20"/>
              </w:rPr>
              <w:t xml:space="preserve">El uso seguro de la biotecnología, incluido a través de medidas de seguridad de la biotecnología para regular, gestionar y controlar los posibles efectos adversos en la diversidad biológica y la salud humana, puede desempeñar un papel importante </w:t>
            </w:r>
            <w:r w:rsidR="00C566D1">
              <w:rPr>
                <w:rFonts w:asciiTheme="majorBidi" w:hAnsiTheme="majorBidi"/>
                <w:sz w:val="20"/>
              </w:rPr>
              <w:t>en la</w:t>
            </w:r>
            <w:r>
              <w:rPr>
                <w:rFonts w:asciiTheme="majorBidi" w:hAnsiTheme="majorBidi"/>
                <w:sz w:val="20"/>
              </w:rPr>
              <w:t xml:space="preserve"> pro</w:t>
            </w:r>
            <w:r w:rsidR="00C566D1">
              <w:rPr>
                <w:rFonts w:asciiTheme="majorBidi" w:hAnsiTheme="majorBidi"/>
                <w:sz w:val="20"/>
              </w:rPr>
              <w:t>v</w:t>
            </w:r>
            <w:r>
              <w:rPr>
                <w:rFonts w:asciiTheme="majorBidi" w:hAnsiTheme="majorBidi"/>
                <w:sz w:val="20"/>
              </w:rPr>
              <w:t>i</w:t>
            </w:r>
            <w:r w:rsidR="00C566D1">
              <w:rPr>
                <w:rFonts w:asciiTheme="majorBidi" w:hAnsiTheme="majorBidi"/>
                <w:sz w:val="20"/>
              </w:rPr>
              <w:t>sión de</w:t>
            </w:r>
            <w:r>
              <w:rPr>
                <w:rFonts w:asciiTheme="majorBidi" w:hAnsiTheme="majorBidi"/>
                <w:sz w:val="20"/>
              </w:rPr>
              <w:t xml:space="preserve"> </w:t>
            </w:r>
            <w:r>
              <w:rPr>
                <w:rFonts w:asciiTheme="majorBidi" w:hAnsiTheme="majorBidi"/>
                <w:sz w:val="20"/>
              </w:rPr>
              <w:lastRenderedPageBreak/>
              <w:t>herramientas y soluciones para los desafíos de la diversidad biológica y la salud.</w:t>
            </w:r>
          </w:p>
        </w:tc>
        <w:tc>
          <w:tcPr>
            <w:tcW w:w="7469" w:type="dxa"/>
          </w:tcPr>
          <w:p w14:paraId="3BC36F93" w14:textId="17393915" w:rsidR="00A95460" w:rsidRPr="00603392" w:rsidRDefault="00A95460" w:rsidP="00603392">
            <w:pPr>
              <w:spacing w:before="60" w:after="60"/>
              <w:jc w:val="left"/>
              <w:rPr>
                <w:rFonts w:asciiTheme="majorBidi" w:hAnsiTheme="majorBidi" w:cstheme="majorBidi"/>
                <w:snapToGrid w:val="0"/>
                <w:color w:val="000000" w:themeColor="text1"/>
                <w:sz w:val="20"/>
                <w:szCs w:val="20"/>
              </w:rPr>
            </w:pPr>
            <w:r>
              <w:rPr>
                <w:rFonts w:asciiTheme="majorBidi" w:hAnsiTheme="majorBidi"/>
                <w:snapToGrid w:val="0"/>
                <w:color w:val="000000" w:themeColor="text1"/>
                <w:sz w:val="20"/>
              </w:rPr>
              <w:lastRenderedPageBreak/>
              <w:t xml:space="preserve">1. </w:t>
            </w:r>
            <w:r>
              <w:rPr>
                <w:rFonts w:asciiTheme="majorBidi" w:hAnsiTheme="majorBidi"/>
                <w:sz w:val="20"/>
              </w:rPr>
              <w:t xml:space="preserve">Garantizar que se cuente con medios para evaluar, regular, gestionar y controlar los riesgos asociados a la utilización y liberación de organismos vivos modificados que resulten de la biotecnología que pudieran producir efectos adversos </w:t>
            </w:r>
            <w:r w:rsidR="00517E32">
              <w:rPr>
                <w:rFonts w:asciiTheme="majorBidi" w:hAnsiTheme="majorBidi"/>
                <w:sz w:val="20"/>
              </w:rPr>
              <w:t>en</w:t>
            </w:r>
            <w:r>
              <w:rPr>
                <w:rFonts w:asciiTheme="majorBidi" w:hAnsiTheme="majorBidi"/>
                <w:sz w:val="20"/>
              </w:rPr>
              <w:t xml:space="preserve"> la conservación y la utilización sostenible de la diversidad biológica, teniendo también en cuenta los riesgos para la salud humana.</w:t>
            </w:r>
          </w:p>
          <w:p w14:paraId="3E394400" w14:textId="124C095E" w:rsidR="0019419B" w:rsidRPr="00603392" w:rsidRDefault="000170F9" w:rsidP="00603392">
            <w:pPr>
              <w:spacing w:before="60" w:after="60"/>
              <w:jc w:val="left"/>
              <w:rPr>
                <w:rFonts w:asciiTheme="majorBidi" w:eastAsiaTheme="minorEastAsia" w:hAnsiTheme="majorBidi" w:cstheme="majorBidi"/>
                <w:b/>
                <w:bCs/>
                <w:color w:val="000000" w:themeColor="text1"/>
                <w:kern w:val="2"/>
                <w:sz w:val="20"/>
                <w:szCs w:val="20"/>
                <w14:ligatures w14:val="standardContextual"/>
              </w:rPr>
            </w:pPr>
            <w:r>
              <w:rPr>
                <w:rFonts w:asciiTheme="majorBidi" w:hAnsiTheme="majorBidi"/>
                <w:color w:val="000000" w:themeColor="text1"/>
                <w:sz w:val="20"/>
              </w:rPr>
              <w:lastRenderedPageBreak/>
              <w:t xml:space="preserve">[2. </w:t>
            </w:r>
            <w:r>
              <w:rPr>
                <w:rFonts w:asciiTheme="majorBidi" w:hAnsiTheme="majorBidi"/>
                <w:sz w:val="20"/>
              </w:rPr>
              <w:t xml:space="preserve">Apoyar mecanismos de investigación, desarrollo y coordinación </w:t>
            </w:r>
            <w:r w:rsidR="00943D0A">
              <w:rPr>
                <w:rFonts w:asciiTheme="majorBidi" w:hAnsiTheme="majorBidi"/>
                <w:sz w:val="20"/>
              </w:rPr>
              <w:t xml:space="preserve">en los </w:t>
            </w:r>
            <w:r>
              <w:rPr>
                <w:rFonts w:asciiTheme="majorBidi" w:hAnsiTheme="majorBidi"/>
                <w:sz w:val="20"/>
              </w:rPr>
              <w:t xml:space="preserve">que </w:t>
            </w:r>
            <w:r w:rsidR="00943D0A">
              <w:rPr>
                <w:rFonts w:asciiTheme="majorBidi" w:hAnsiTheme="majorBidi"/>
                <w:sz w:val="20"/>
              </w:rPr>
              <w:t xml:space="preserve">se </w:t>
            </w:r>
            <w:r>
              <w:rPr>
                <w:rFonts w:asciiTheme="majorBidi" w:hAnsiTheme="majorBidi"/>
                <w:sz w:val="20"/>
              </w:rPr>
              <w:t>p</w:t>
            </w:r>
            <w:r w:rsidR="00943D0A">
              <w:rPr>
                <w:rFonts w:asciiTheme="majorBidi" w:hAnsiTheme="majorBidi"/>
                <w:sz w:val="20"/>
              </w:rPr>
              <w:t>u</w:t>
            </w:r>
            <w:r>
              <w:rPr>
                <w:rFonts w:asciiTheme="majorBidi" w:hAnsiTheme="majorBidi"/>
                <w:sz w:val="20"/>
              </w:rPr>
              <w:t>e</w:t>
            </w:r>
            <w:r w:rsidR="00943D0A">
              <w:rPr>
                <w:rFonts w:asciiTheme="majorBidi" w:hAnsiTheme="majorBidi"/>
                <w:sz w:val="20"/>
              </w:rPr>
              <w:t>d</w:t>
            </w:r>
            <w:r>
              <w:rPr>
                <w:rFonts w:asciiTheme="majorBidi" w:hAnsiTheme="majorBidi"/>
                <w:sz w:val="20"/>
              </w:rPr>
              <w:t>a evaluar de forma multidisciplinaria los posibles beneficios y riesgos de las aplicaciones biotecnológicas, teniendo en cuenta las perspectivas sanitaria y ambiental.</w:t>
            </w:r>
          </w:p>
          <w:p w14:paraId="614EFF5A" w14:textId="37AFDBB0" w:rsidR="00F82A9C" w:rsidRPr="00603392" w:rsidRDefault="0019419B" w:rsidP="00603392">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 xml:space="preserve">3. </w:t>
            </w:r>
            <w:r>
              <w:rPr>
                <w:rFonts w:asciiTheme="majorBidi" w:hAnsiTheme="majorBidi"/>
                <w:sz w:val="20"/>
              </w:rPr>
              <w:t>Reforzar la aplicación de medidas de seguridad de la biotecnología, cuando proceda, para garantizar que haya salvaguardias en la investigación, el desarrollo y la comercialización de actividades en las que intervengan organismos vivos modificados].</w:t>
            </w:r>
          </w:p>
          <w:p w14:paraId="411912DC" w14:textId="0F7F03DA" w:rsidR="00261D38" w:rsidRPr="00603392" w:rsidRDefault="0019419B" w:rsidP="00603392">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 xml:space="preserve">4. </w:t>
            </w:r>
            <w:r>
              <w:rPr>
                <w:rFonts w:asciiTheme="majorBidi" w:hAnsiTheme="majorBidi"/>
                <w:sz w:val="20"/>
              </w:rPr>
              <w:t>Promover la participación en los beneficios para la salud que se deriven de los avances biotecnológicos.</w:t>
            </w:r>
          </w:p>
          <w:p w14:paraId="64C66EE3" w14:textId="38F8692B" w:rsidR="00BD6FF3" w:rsidRPr="00395D61" w:rsidRDefault="002D0681" w:rsidP="00603392">
            <w:pPr>
              <w:spacing w:before="60" w:after="60"/>
              <w:jc w:val="left"/>
              <w:rPr>
                <w:rFonts w:asciiTheme="majorBidi" w:eastAsiaTheme="minorEastAsia" w:hAnsiTheme="majorBidi" w:cstheme="majorBidi"/>
                <w:color w:val="000000" w:themeColor="text1"/>
                <w:spacing w:val="-4"/>
                <w:sz w:val="20"/>
                <w:szCs w:val="20"/>
              </w:rPr>
            </w:pPr>
            <w:r>
              <w:rPr>
                <w:rFonts w:asciiTheme="majorBidi" w:hAnsiTheme="majorBidi"/>
                <w:color w:val="000000" w:themeColor="text1"/>
                <w:sz w:val="20"/>
              </w:rPr>
              <w:t xml:space="preserve">5. </w:t>
            </w:r>
            <w:r w:rsidRPr="00395D61">
              <w:rPr>
                <w:rFonts w:asciiTheme="majorBidi" w:hAnsiTheme="majorBidi"/>
                <w:spacing w:val="-4"/>
                <w:sz w:val="20"/>
              </w:rPr>
              <w:t>Adoptar todas las medidas viables para promover la participación efectiva de los países en desarrollo en las actividades de investigación biotecnológica relacionada con la salud, incluidas las Partes, que estén en condiciones de proporcionar los recursos genéticos para esa investigación, en consonancia con las circunstancias nacionales.</w:t>
            </w:r>
          </w:p>
          <w:p w14:paraId="27127F4B" w14:textId="16C38628" w:rsidR="00BD6FF3" w:rsidRPr="00603392" w:rsidRDefault="002D0681" w:rsidP="00603392">
            <w:pPr>
              <w:spacing w:before="60" w:after="60"/>
              <w:jc w:val="left"/>
              <w:rPr>
                <w:rFonts w:asciiTheme="majorBidi" w:eastAsiaTheme="minorEastAsia" w:hAnsiTheme="majorBidi" w:cstheme="majorBidi"/>
                <w:color w:val="000000" w:themeColor="text1"/>
                <w:sz w:val="20"/>
                <w:szCs w:val="20"/>
              </w:rPr>
            </w:pPr>
            <w:r>
              <w:rPr>
                <w:rFonts w:asciiTheme="majorBidi" w:hAnsiTheme="majorBidi"/>
                <w:color w:val="000000" w:themeColor="text1"/>
                <w:sz w:val="20"/>
              </w:rPr>
              <w:t xml:space="preserve">6. </w:t>
            </w:r>
            <w:r>
              <w:rPr>
                <w:rFonts w:asciiTheme="majorBidi" w:hAnsiTheme="majorBidi"/>
                <w:sz w:val="20"/>
              </w:rPr>
              <w:t>Adoptar todas las medidas viables para promover e impulsar el acceso prioritario de los países en desarrollo, sobre una base justa y equitativa, a los resultados y beneficios que se deriven de las biotecnologías basadas en recursos genéticos proporcionados por esas Partes, en consonancia con las circunstancias nacionales.</w:t>
            </w:r>
          </w:p>
        </w:tc>
      </w:tr>
      <w:tr w:rsidR="00261D38" w:rsidRPr="00EB2F01" w14:paraId="1B00D18A" w14:textId="77777777" w:rsidTr="00603392">
        <w:tc>
          <w:tcPr>
            <w:tcW w:w="13589" w:type="dxa"/>
            <w:gridSpan w:val="3"/>
          </w:tcPr>
          <w:p w14:paraId="0A207A4F" w14:textId="07164E76" w:rsidR="00261D38" w:rsidRPr="00603392" w:rsidRDefault="00261D38" w:rsidP="009A429E">
            <w:pPr>
              <w:keepNext/>
              <w:spacing w:before="40" w:after="40"/>
              <w:jc w:val="left"/>
              <w:rPr>
                <w:rFonts w:asciiTheme="majorBidi" w:eastAsiaTheme="minorEastAsia" w:hAnsiTheme="majorBidi" w:cstheme="majorBidi"/>
                <w:b/>
                <w:bCs/>
                <w:color w:val="000000" w:themeColor="text1"/>
                <w:kern w:val="2"/>
                <w:sz w:val="20"/>
                <w:szCs w:val="20"/>
                <w14:ligatures w14:val="standardContextual"/>
              </w:rPr>
            </w:pPr>
            <w:r>
              <w:rPr>
                <w:rFonts w:asciiTheme="majorBidi" w:hAnsiTheme="majorBidi"/>
                <w:b/>
                <w:color w:val="000000" w:themeColor="text1"/>
                <w:sz w:val="20"/>
              </w:rPr>
              <w:lastRenderedPageBreak/>
              <w:t>Integración</w:t>
            </w:r>
          </w:p>
        </w:tc>
      </w:tr>
      <w:tr w:rsidR="00050E9A" w:rsidRPr="00EB2F01" w14:paraId="5F14D633" w14:textId="77777777" w:rsidTr="009B0237">
        <w:trPr>
          <w:trHeight w:val="551"/>
        </w:trPr>
        <w:tc>
          <w:tcPr>
            <w:tcW w:w="1890" w:type="dxa"/>
          </w:tcPr>
          <w:p w14:paraId="0F7C966D" w14:textId="37B0FDC2" w:rsidR="00050E9A" w:rsidRPr="00603392" w:rsidRDefault="00050E9A" w:rsidP="003013DE">
            <w:pPr>
              <w:spacing w:before="40" w:after="4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Metas 14, 15 y 18</w:t>
            </w:r>
          </w:p>
        </w:tc>
        <w:tc>
          <w:tcPr>
            <w:tcW w:w="4230" w:type="dxa"/>
          </w:tcPr>
          <w:p w14:paraId="39A39CF4" w14:textId="3092A9D7" w:rsidR="00050E9A" w:rsidRPr="00603392" w:rsidRDefault="002E5A2C" w:rsidP="00BF21EE">
            <w:pPr>
              <w:spacing w:before="40" w:after="4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 xml:space="preserve">La consideración de las interrelaciones entre la diversidad biológica y la salud en la toma de decisiones en todos los sectores puede generar una mayor conciencia de los beneficios de la diversidad biológica para fomentar sistemas de salud más equitativos. </w:t>
            </w:r>
          </w:p>
        </w:tc>
        <w:tc>
          <w:tcPr>
            <w:tcW w:w="7469" w:type="dxa"/>
          </w:tcPr>
          <w:p w14:paraId="54C90FCF" w14:textId="0FD95B8F" w:rsidR="00050E9A" w:rsidRPr="00603392" w:rsidRDefault="00050E9A" w:rsidP="00715156">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 xml:space="preserve">1. </w:t>
            </w:r>
            <w:r>
              <w:rPr>
                <w:rFonts w:asciiTheme="majorBidi" w:hAnsiTheme="majorBidi"/>
                <w:sz w:val="20"/>
              </w:rPr>
              <w:t>Tener en cuenta las interrelaciones entre las actividades de las empresas y las normas de gobernanza social y ambiental de las empresas</w:t>
            </w:r>
            <w:r w:rsidR="00431581" w:rsidRPr="00431581">
              <w:rPr>
                <w:rFonts w:asciiTheme="majorBidi" w:hAnsiTheme="majorBidi"/>
                <w:spacing w:val="-20"/>
                <w:sz w:val="20"/>
              </w:rPr>
              <w:t xml:space="preserve"> </w:t>
            </w:r>
            <w:r>
              <w:rPr>
                <w:rFonts w:asciiTheme="majorBidi" w:hAnsiTheme="majorBidi"/>
                <w:i/>
                <w:sz w:val="20"/>
                <w:vertAlign w:val="superscript"/>
              </w:rPr>
              <w:t>h</w:t>
            </w:r>
            <w:r>
              <w:rPr>
                <w:rFonts w:asciiTheme="majorBidi" w:hAnsiTheme="majorBidi"/>
                <w:sz w:val="20"/>
              </w:rPr>
              <w:t>, según proceda, a través de diálogos activos con la comunidad empresarial y en evaluaciones de los valores y beneficiarios de la diversidad biológica.</w:t>
            </w:r>
          </w:p>
          <w:p w14:paraId="407069DE" w14:textId="0B09F87A" w:rsidR="00050E9A" w:rsidRPr="00603392" w:rsidRDefault="00050E9A" w:rsidP="009A429E">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 xml:space="preserve">2. </w:t>
            </w:r>
            <w:r>
              <w:rPr>
                <w:rFonts w:asciiTheme="majorBidi" w:hAnsiTheme="majorBidi"/>
                <w:sz w:val="20"/>
              </w:rPr>
              <w:t>Incluir las interrelaciones entre la diversidad biológica y la salud en las declaraciones financieras relacionadas con la naturaleza.</w:t>
            </w:r>
          </w:p>
          <w:p w14:paraId="339A322E" w14:textId="5BB6A000" w:rsidR="00050E9A" w:rsidRPr="00603392" w:rsidRDefault="00050E9A" w:rsidP="00F15AC4">
            <w:pPr>
              <w:spacing w:before="60" w:after="60"/>
              <w:jc w:val="left"/>
              <w:rPr>
                <w:rFonts w:asciiTheme="majorBidi" w:eastAsiaTheme="minorEastAsia" w:hAnsiTheme="majorBidi" w:cstheme="majorBidi"/>
                <w:i/>
                <w:iCs/>
                <w:color w:val="000000" w:themeColor="text1"/>
                <w:kern w:val="2"/>
                <w:sz w:val="20"/>
                <w:szCs w:val="20"/>
                <w14:ligatures w14:val="standardContextual"/>
              </w:rPr>
            </w:pPr>
            <w:r>
              <w:rPr>
                <w:rFonts w:asciiTheme="majorBidi" w:hAnsiTheme="majorBidi"/>
                <w:color w:val="000000" w:themeColor="text1"/>
                <w:sz w:val="20"/>
              </w:rPr>
              <w:t xml:space="preserve">3. </w:t>
            </w:r>
            <w:r>
              <w:rPr>
                <w:rFonts w:asciiTheme="majorBidi" w:hAnsiTheme="majorBidi"/>
                <w:sz w:val="20"/>
              </w:rPr>
              <w:t xml:space="preserve">Promover </w:t>
            </w:r>
            <w:r>
              <w:rPr>
                <w:rFonts w:asciiTheme="majorBidi" w:hAnsiTheme="majorBidi"/>
                <w:color w:val="000000" w:themeColor="text1"/>
                <w:sz w:val="20"/>
              </w:rPr>
              <w:t>inversiones e incentivos privados y públicos que salvaguarden un amplio espectro de interrelaciones entre la diversidad biológica y la salud.</w:t>
            </w:r>
          </w:p>
          <w:p w14:paraId="0B4BCC87" w14:textId="5751A829" w:rsidR="00050E9A" w:rsidRPr="00603392" w:rsidRDefault="00400D6F" w:rsidP="009A429E">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4. Promover la consideración de los múltiples valores de la naturaleza para la salud</w:t>
            </w:r>
            <w:r w:rsidR="00C900A9">
              <w:rPr>
                <w:rFonts w:asciiTheme="majorBidi" w:hAnsiTheme="majorBidi"/>
                <w:color w:val="000000" w:themeColor="text1"/>
                <w:sz w:val="20"/>
              </w:rPr>
              <w:t>,</w:t>
            </w:r>
            <w:r>
              <w:rPr>
                <w:rFonts w:asciiTheme="majorBidi" w:hAnsiTheme="majorBidi"/>
                <w:color w:val="000000" w:themeColor="text1"/>
                <w:sz w:val="20"/>
              </w:rPr>
              <w:t xml:space="preserve"> sobre la base de diversos conocimientos y sistemas de conocimientos, en los planes de estudios y programas de capacitación en todos los niveles y en todas las disciplinas, garantizando la participación de los poseedores y comunicadores de conocimientos de los pueblos indígenas y las comunidades locales y del sector de la salud, entre otros</w:t>
            </w:r>
            <w:r w:rsidR="00943D0A" w:rsidRPr="00943D0A">
              <w:rPr>
                <w:rFonts w:asciiTheme="majorBidi" w:hAnsiTheme="majorBidi"/>
                <w:color w:val="000000" w:themeColor="text1"/>
                <w:spacing w:val="-20"/>
                <w:sz w:val="20"/>
              </w:rPr>
              <w:t xml:space="preserve"> </w:t>
            </w:r>
            <w:r w:rsidR="009B0237"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56"/>
            </w:r>
            <w:r w:rsidR="009B0237" w:rsidRPr="00603392">
              <w:rPr>
                <w:rFonts w:asciiTheme="majorBidi" w:eastAsiaTheme="minorEastAsia" w:hAnsiTheme="majorBidi" w:cstheme="majorBidi"/>
                <w:color w:val="000000" w:themeColor="text1"/>
                <w:kern w:val="2"/>
                <w:sz w:val="20"/>
                <w:szCs w:val="20"/>
                <w:vertAlign w:val="superscript"/>
                <w:lang w:eastAsia="zh-CN"/>
                <w14:ligatures w14:val="standardContextual"/>
              </w:rPr>
              <w:t>,</w:t>
            </w:r>
            <w:r w:rsidR="009B0237" w:rsidRPr="009B0237">
              <w:rPr>
                <w:rFonts w:asciiTheme="majorBidi" w:eastAsiaTheme="minorEastAsia" w:hAnsiTheme="majorBidi" w:cstheme="majorBidi"/>
                <w:color w:val="000000" w:themeColor="text1"/>
                <w:spacing w:val="-20"/>
                <w:kern w:val="2"/>
                <w:sz w:val="20"/>
                <w:szCs w:val="20"/>
                <w:vertAlign w:val="superscript"/>
                <w:lang w:eastAsia="zh-CN"/>
                <w14:ligatures w14:val="standardContextual"/>
              </w:rPr>
              <w:t xml:space="preserve"> </w:t>
            </w:r>
            <w:r w:rsidR="009B0237" w:rsidRPr="00603392">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57"/>
            </w:r>
            <w:r>
              <w:rPr>
                <w:rFonts w:asciiTheme="majorBidi" w:hAnsiTheme="majorBidi"/>
                <w:color w:val="000000" w:themeColor="text1"/>
                <w:sz w:val="20"/>
              </w:rPr>
              <w:t>.</w:t>
            </w:r>
          </w:p>
          <w:p w14:paraId="07804647" w14:textId="0B51EF67" w:rsidR="00B40155" w:rsidRPr="00603392" w:rsidRDefault="00400D6F" w:rsidP="00603392">
            <w:pPr>
              <w:spacing w:before="60" w:after="60"/>
              <w:ind w:left="28"/>
              <w:jc w:val="left"/>
              <w:rPr>
                <w:sz w:val="20"/>
                <w:szCs w:val="20"/>
              </w:rPr>
            </w:pPr>
            <w:r>
              <w:rPr>
                <w:rFonts w:asciiTheme="majorBidi" w:hAnsiTheme="majorBidi"/>
                <w:color w:val="000000" w:themeColor="text1"/>
                <w:sz w:val="20"/>
              </w:rPr>
              <w:lastRenderedPageBreak/>
              <w:t xml:space="preserve">5. </w:t>
            </w:r>
            <w:r>
              <w:rPr>
                <w:rFonts w:asciiTheme="majorBidi" w:hAnsiTheme="majorBidi"/>
                <w:sz w:val="20"/>
              </w:rPr>
              <w:t>Elaborar material informativo específico para cada sector, como, por ejemplo, fichas descriptivas, para la integración de las interrelaciones entre la diversidad biológica y la salud en sectores pertinentes.[</w:t>
            </w:r>
            <w:r w:rsidR="00E82382" w:rsidRPr="00603392">
              <w:rPr>
                <w:rStyle w:val="FootnoteReference"/>
                <w:rFonts w:asciiTheme="majorBidi" w:eastAsiaTheme="minorEastAsia" w:hAnsiTheme="majorBidi" w:cstheme="majorBidi"/>
                <w:color w:val="000000" w:themeColor="text1"/>
                <w:sz w:val="20"/>
                <w:szCs w:val="20"/>
                <w:lang w:eastAsia="zh-CN"/>
              </w:rPr>
              <w:footnoteReference w:id="58"/>
            </w:r>
            <w:r>
              <w:rPr>
                <w:rFonts w:asciiTheme="majorBidi" w:hAnsiTheme="majorBidi"/>
                <w:sz w:val="20"/>
              </w:rPr>
              <w:t>]</w:t>
            </w:r>
          </w:p>
        </w:tc>
      </w:tr>
      <w:tr w:rsidR="004C1F99" w:rsidRPr="00EB2F01" w14:paraId="21E563EE" w14:textId="77777777" w:rsidTr="00603392">
        <w:tc>
          <w:tcPr>
            <w:tcW w:w="13589" w:type="dxa"/>
            <w:gridSpan w:val="3"/>
          </w:tcPr>
          <w:p w14:paraId="6EAA9A11" w14:textId="0F78E2C4" w:rsidR="004C1F99" w:rsidRPr="00603392" w:rsidRDefault="004C1F99" w:rsidP="009A429E">
            <w:pPr>
              <w:spacing w:before="40" w:after="40"/>
              <w:jc w:val="left"/>
              <w:rPr>
                <w:rFonts w:asciiTheme="majorBidi" w:eastAsiaTheme="minorEastAsia" w:hAnsiTheme="majorBidi" w:cstheme="majorBidi"/>
                <w:b/>
                <w:color w:val="000000" w:themeColor="text1"/>
                <w:spacing w:val="6"/>
                <w:kern w:val="2"/>
                <w:sz w:val="20"/>
                <w:szCs w:val="20"/>
                <w:shd w:val="clear" w:color="auto" w:fill="FFFFFF"/>
                <w14:ligatures w14:val="standardContextual"/>
              </w:rPr>
            </w:pPr>
            <w:r>
              <w:rPr>
                <w:rFonts w:asciiTheme="majorBidi" w:hAnsiTheme="majorBidi"/>
                <w:b/>
                <w:color w:val="000000" w:themeColor="text1"/>
                <w:sz w:val="20"/>
                <w:shd w:val="clear" w:color="auto" w:fill="FFFFFF"/>
              </w:rPr>
              <w:lastRenderedPageBreak/>
              <w:t>Consumo</w:t>
            </w:r>
          </w:p>
        </w:tc>
      </w:tr>
      <w:tr w:rsidR="00E44CBD" w:rsidRPr="00EB2F01" w14:paraId="62F81093" w14:textId="77777777" w:rsidTr="009B0237">
        <w:tc>
          <w:tcPr>
            <w:tcW w:w="1890" w:type="dxa"/>
          </w:tcPr>
          <w:p w14:paraId="7FFD4223" w14:textId="47B35A34" w:rsidR="00E44CBD" w:rsidRPr="00603392" w:rsidRDefault="00E44CBD" w:rsidP="00E44CBD">
            <w:pPr>
              <w:spacing w:before="40" w:after="40"/>
              <w:jc w:val="left"/>
              <w:rPr>
                <w:rFonts w:asciiTheme="majorBidi" w:eastAsiaTheme="minorEastAsia" w:hAnsiTheme="majorBidi" w:cstheme="majorBidi"/>
                <w:b/>
                <w:bCs/>
                <w:color w:val="000000" w:themeColor="text1"/>
                <w:kern w:val="2"/>
                <w:sz w:val="20"/>
                <w:szCs w:val="20"/>
                <w14:ligatures w14:val="standardContextual"/>
              </w:rPr>
            </w:pPr>
            <w:r>
              <w:rPr>
                <w:rFonts w:asciiTheme="majorBidi" w:hAnsiTheme="majorBidi"/>
                <w:color w:val="000000" w:themeColor="text1"/>
                <w:sz w:val="20"/>
                <w:shd w:val="clear" w:color="auto" w:fill="FFFFFF"/>
              </w:rPr>
              <w:t>Meta 16</w:t>
            </w:r>
          </w:p>
        </w:tc>
        <w:tc>
          <w:tcPr>
            <w:tcW w:w="4230" w:type="dxa"/>
          </w:tcPr>
          <w:p w14:paraId="31DF4668" w14:textId="4C026700" w:rsidR="00E44CBD" w:rsidRPr="00603392" w:rsidRDefault="00E44CBD" w:rsidP="0034696F">
            <w:pPr>
              <w:spacing w:before="60" w:after="60"/>
              <w:jc w:val="left"/>
              <w:rPr>
                <w:rFonts w:asciiTheme="majorBidi" w:eastAsiaTheme="minorEastAsia" w:hAnsiTheme="majorBidi" w:cstheme="majorBidi"/>
                <w:i/>
                <w:iCs/>
                <w:color w:val="000000" w:themeColor="text1"/>
                <w:kern w:val="2"/>
                <w:sz w:val="20"/>
                <w:szCs w:val="20"/>
                <w14:ligatures w14:val="standardContextual"/>
              </w:rPr>
            </w:pPr>
            <w:r>
              <w:rPr>
                <w:rFonts w:asciiTheme="majorBidi" w:hAnsiTheme="majorBidi"/>
                <w:sz w:val="20"/>
              </w:rPr>
              <w:t>El consumo excesivo es una de l</w:t>
            </w:r>
            <w:r w:rsidR="0034696F">
              <w:rPr>
                <w:rFonts w:asciiTheme="majorBidi" w:hAnsiTheme="majorBidi"/>
                <w:sz w:val="20"/>
              </w:rPr>
              <w:t>o</w:t>
            </w:r>
            <w:r>
              <w:rPr>
                <w:rFonts w:asciiTheme="majorBidi" w:hAnsiTheme="majorBidi"/>
                <w:sz w:val="20"/>
              </w:rPr>
              <w:t xml:space="preserve">s </w:t>
            </w:r>
            <w:r w:rsidR="0034696F">
              <w:rPr>
                <w:rFonts w:asciiTheme="majorBidi" w:hAnsiTheme="majorBidi"/>
                <w:sz w:val="20"/>
              </w:rPr>
              <w:t>impulsore</w:t>
            </w:r>
            <w:r>
              <w:rPr>
                <w:rFonts w:asciiTheme="majorBidi" w:hAnsiTheme="majorBidi"/>
                <w:sz w:val="20"/>
              </w:rPr>
              <w:t>s subyacentes de la pérdida de diversidad biológica y la mala salud.</w:t>
            </w:r>
            <w:r>
              <w:rPr>
                <w:rFonts w:asciiTheme="majorBidi" w:hAnsiTheme="majorBidi"/>
                <w:color w:val="000000" w:themeColor="text1"/>
                <w:sz w:val="20"/>
              </w:rPr>
              <w:t xml:space="preserve"> Una utilización más equitativa y sostenible de los recursos, incluida la reducción de desechos y el consumo excesivo, permitiría a todos vivir bien y en armonía con la naturaleza.</w:t>
            </w:r>
          </w:p>
        </w:tc>
        <w:tc>
          <w:tcPr>
            <w:tcW w:w="7469" w:type="dxa"/>
          </w:tcPr>
          <w:p w14:paraId="3A781982" w14:textId="6BE1F814" w:rsidR="00E44CBD" w:rsidRPr="00603392" w:rsidRDefault="00E44CBD" w:rsidP="00715156">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sz w:val="20"/>
              </w:rPr>
              <w:t>Promover los beneficios secundarios que brindan opciones de consumo sostenibles mediante lo siguiente:</w:t>
            </w:r>
          </w:p>
          <w:p w14:paraId="2C7757EF" w14:textId="5E2FC0A7" w:rsidR="00E44CBD" w:rsidRPr="00603392" w:rsidRDefault="00E44CBD" w:rsidP="00603392">
            <w:pPr>
              <w:tabs>
                <w:tab w:val="left" w:pos="539"/>
              </w:tabs>
              <w:spacing w:before="40" w:after="40"/>
              <w:ind w:firstLine="175"/>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a)</w:t>
            </w:r>
            <w:r>
              <w:rPr>
                <w:rFonts w:asciiTheme="majorBidi" w:hAnsiTheme="majorBidi"/>
                <w:color w:val="000000" w:themeColor="text1"/>
                <w:sz w:val="20"/>
              </w:rPr>
              <w:tab/>
              <w:t>La identificación de oportunidades para promover estilos de vida saludables y sostenibles, modalidades de consumo sostenibles, reducción de desechos y cambios de comportamiento asociados que beneficiarían a la diversidad biológica y la salud</w:t>
            </w:r>
            <w:r w:rsidR="009F1786" w:rsidRPr="00603392">
              <w:rPr>
                <w:rStyle w:val="FootnoteReference"/>
                <w:rFonts w:asciiTheme="majorBidi" w:eastAsiaTheme="minorEastAsia" w:hAnsiTheme="majorBidi" w:cstheme="majorBidi"/>
                <w:color w:val="000000" w:themeColor="text1"/>
                <w:kern w:val="2"/>
                <w:sz w:val="20"/>
                <w:szCs w:val="20"/>
                <w:lang w:eastAsia="zh-CN"/>
              </w:rPr>
              <w:footnoteReference w:id="59"/>
            </w:r>
            <w:r>
              <w:rPr>
                <w:rFonts w:asciiTheme="majorBidi" w:hAnsiTheme="majorBidi"/>
                <w:color w:val="000000" w:themeColor="text1"/>
                <w:sz w:val="20"/>
              </w:rPr>
              <w:t>;</w:t>
            </w:r>
          </w:p>
          <w:p w14:paraId="5D9CC9D6" w14:textId="1BE60138" w:rsidR="00E44CBD" w:rsidRPr="00603392" w:rsidRDefault="00E44CBD" w:rsidP="00603392">
            <w:pPr>
              <w:tabs>
                <w:tab w:val="left" w:pos="539"/>
              </w:tabs>
              <w:spacing w:before="40" w:after="40"/>
              <w:ind w:firstLine="175"/>
              <w:jc w:val="left"/>
              <w:rPr>
                <w:rFonts w:asciiTheme="majorBidi" w:eastAsiaTheme="minorEastAsia" w:hAnsiTheme="majorBidi" w:cstheme="majorBidi"/>
                <w:color w:val="000000" w:themeColor="text1"/>
                <w:sz w:val="20"/>
                <w:szCs w:val="20"/>
              </w:rPr>
            </w:pPr>
            <w:r>
              <w:rPr>
                <w:rFonts w:asciiTheme="majorBidi" w:hAnsiTheme="majorBidi"/>
                <w:color w:val="000000" w:themeColor="text1"/>
                <w:sz w:val="20"/>
              </w:rPr>
              <w:t>b)</w:t>
            </w:r>
            <w:r>
              <w:rPr>
                <w:rFonts w:asciiTheme="majorBidi" w:hAnsiTheme="majorBidi"/>
                <w:color w:val="000000" w:themeColor="text1"/>
                <w:sz w:val="20"/>
              </w:rPr>
              <w:tab/>
              <w:t>El desarrollo de herramientas de conocimiento y actividades educativas para promover una mayor conciencia y comprensión entre los consumidores sobre los impactos negativos del consumo excesivo y los desechos en la diversidad biológica y la salud.</w:t>
            </w:r>
          </w:p>
        </w:tc>
      </w:tr>
      <w:tr w:rsidR="00351777" w:rsidRPr="00EB2F01" w14:paraId="3EEF5868" w14:textId="77777777" w:rsidTr="00603392">
        <w:tc>
          <w:tcPr>
            <w:tcW w:w="13589" w:type="dxa"/>
            <w:gridSpan w:val="3"/>
          </w:tcPr>
          <w:p w14:paraId="266D01EB" w14:textId="27668850" w:rsidR="00351777" w:rsidRPr="00603392" w:rsidRDefault="00351777" w:rsidP="009B0237">
            <w:pPr>
              <w:spacing w:before="40" w:after="40"/>
              <w:jc w:val="left"/>
              <w:rPr>
                <w:rFonts w:asciiTheme="majorBidi" w:eastAsiaTheme="minorEastAsia" w:hAnsiTheme="majorBidi" w:cstheme="majorBidi"/>
                <w:bCs/>
                <w:color w:val="000000" w:themeColor="text1"/>
                <w:kern w:val="2"/>
                <w:sz w:val="20"/>
                <w:szCs w:val="20"/>
                <w14:ligatures w14:val="standardContextual"/>
              </w:rPr>
            </w:pPr>
            <w:r>
              <w:rPr>
                <w:rFonts w:asciiTheme="majorBidi" w:hAnsiTheme="majorBidi"/>
                <w:b/>
                <w:color w:val="000000" w:themeColor="text1"/>
                <w:sz w:val="20"/>
              </w:rPr>
              <w:t>Medios de implementación</w:t>
            </w:r>
          </w:p>
        </w:tc>
      </w:tr>
      <w:tr w:rsidR="00E44CBD" w:rsidRPr="00EB2F01" w14:paraId="3E01592B" w14:textId="77777777" w:rsidTr="009B0237">
        <w:tc>
          <w:tcPr>
            <w:tcW w:w="1890" w:type="dxa"/>
          </w:tcPr>
          <w:p w14:paraId="7E4614F4" w14:textId="650C2602" w:rsidR="00E44CBD" w:rsidRPr="00603392" w:rsidRDefault="00E44CBD" w:rsidP="009B0237">
            <w:pPr>
              <w:spacing w:before="40" w:after="40"/>
              <w:jc w:val="left"/>
              <w:rPr>
                <w:rFonts w:asciiTheme="majorBidi" w:eastAsiaTheme="minorEastAsia" w:hAnsiTheme="majorBidi" w:cstheme="majorBidi"/>
                <w:b/>
                <w:color w:val="000000" w:themeColor="text1"/>
                <w:spacing w:val="6"/>
                <w:kern w:val="2"/>
                <w:sz w:val="20"/>
                <w:szCs w:val="20"/>
                <w:shd w:val="clear" w:color="auto" w:fill="FFFFFF"/>
                <w14:ligatures w14:val="standardContextual"/>
              </w:rPr>
            </w:pPr>
            <w:r>
              <w:rPr>
                <w:rFonts w:asciiTheme="majorBidi" w:hAnsiTheme="majorBidi"/>
                <w:color w:val="000000" w:themeColor="text1"/>
                <w:sz w:val="20"/>
              </w:rPr>
              <w:t xml:space="preserve">Meta 19 </w:t>
            </w:r>
          </w:p>
        </w:tc>
        <w:tc>
          <w:tcPr>
            <w:tcW w:w="4230" w:type="dxa"/>
          </w:tcPr>
          <w:p w14:paraId="619ED19F" w14:textId="746178FB" w:rsidR="00E44CBD" w:rsidRPr="00603392" w:rsidRDefault="00E44CBD" w:rsidP="009B0237">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sz w:val="20"/>
              </w:rPr>
              <w:t>Comprender los beneficios secundarios que tiene para la salud invertir en estrategias y actividades dirigidas a detener la pérdida de diversidad biológica puede ayudar a movilizar recursos financieros necesarios.</w:t>
            </w:r>
            <w:r>
              <w:rPr>
                <w:rFonts w:asciiTheme="majorBidi" w:hAnsiTheme="majorBidi"/>
                <w:b/>
                <w:sz w:val="20"/>
                <w:highlight w:val="yellow"/>
                <w:u w:val="single"/>
              </w:rPr>
              <w:t xml:space="preserve"> </w:t>
            </w:r>
          </w:p>
        </w:tc>
        <w:tc>
          <w:tcPr>
            <w:tcW w:w="7469" w:type="dxa"/>
          </w:tcPr>
          <w:p w14:paraId="24DC99B4" w14:textId="61C975F1" w:rsidR="00E44CBD" w:rsidRPr="00603392" w:rsidRDefault="00F5358A" w:rsidP="009B0237">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Aumentar la financiación procedente de todas las fuentes, incluida la asistencia oficial para el desarrollo brindada a los países en desarrollo, para apoyar proyectos y programas de incorporación de las interrelaciones entre la diversidad biológica y la salud en políticas, estrategias, programas y cuentas pertinentes.</w:t>
            </w:r>
          </w:p>
        </w:tc>
      </w:tr>
      <w:tr w:rsidR="00281467" w:rsidRPr="00EB2F01" w14:paraId="2B0166D0" w14:textId="77777777" w:rsidTr="009B0237">
        <w:tc>
          <w:tcPr>
            <w:tcW w:w="1890" w:type="dxa"/>
          </w:tcPr>
          <w:p w14:paraId="463B98C2" w14:textId="12DEA459" w:rsidR="00281467" w:rsidRPr="00603392" w:rsidRDefault="00EB40BE" w:rsidP="003013DE">
            <w:pPr>
              <w:spacing w:before="40" w:after="40"/>
              <w:jc w:val="left"/>
              <w:rPr>
                <w:rFonts w:asciiTheme="majorBidi" w:eastAsiaTheme="minorEastAsia" w:hAnsiTheme="majorBidi" w:cstheme="majorBidi"/>
                <w:bCs/>
                <w:color w:val="000000" w:themeColor="text1"/>
                <w:kern w:val="2"/>
                <w:sz w:val="20"/>
                <w:szCs w:val="20"/>
                <w14:ligatures w14:val="standardContextual"/>
              </w:rPr>
            </w:pPr>
            <w:r>
              <w:rPr>
                <w:rFonts w:asciiTheme="majorBidi" w:hAnsiTheme="majorBidi"/>
                <w:color w:val="000000" w:themeColor="text1"/>
                <w:sz w:val="20"/>
              </w:rPr>
              <w:t>Meta 20</w:t>
            </w:r>
          </w:p>
        </w:tc>
        <w:tc>
          <w:tcPr>
            <w:tcW w:w="4230" w:type="dxa"/>
          </w:tcPr>
          <w:p w14:paraId="77601B2C" w14:textId="0FE46251" w:rsidR="00281467" w:rsidRPr="00603392" w:rsidRDefault="003E2A61" w:rsidP="00351777">
            <w:pPr>
              <w:spacing w:before="60" w:after="60"/>
              <w:jc w:val="left"/>
              <w:rPr>
                <w:rFonts w:asciiTheme="majorBidi" w:eastAsiaTheme="minorEastAsia" w:hAnsiTheme="majorBidi" w:cstheme="majorBidi"/>
                <w:sz w:val="20"/>
                <w:szCs w:val="20"/>
              </w:rPr>
            </w:pPr>
            <w:r>
              <w:rPr>
                <w:rFonts w:asciiTheme="majorBidi" w:hAnsiTheme="majorBidi"/>
                <w:sz w:val="20"/>
              </w:rPr>
              <w:t xml:space="preserve">Mejorar la creación de capacidad, la cooperación científica y técnica y el acceso a tecnología y la transferencia de tecnología </w:t>
            </w:r>
            <w:r w:rsidR="0034696F">
              <w:rPr>
                <w:rFonts w:asciiTheme="majorBidi" w:hAnsiTheme="majorBidi"/>
                <w:sz w:val="20"/>
              </w:rPr>
              <w:t xml:space="preserve">que sea </w:t>
            </w:r>
            <w:r>
              <w:rPr>
                <w:rFonts w:asciiTheme="majorBidi" w:hAnsiTheme="majorBidi"/>
                <w:sz w:val="20"/>
              </w:rPr>
              <w:t>pertinente</w:t>
            </w:r>
            <w:r w:rsidR="0034696F">
              <w:rPr>
                <w:rFonts w:asciiTheme="majorBidi" w:hAnsiTheme="majorBidi"/>
                <w:sz w:val="20"/>
              </w:rPr>
              <w:t xml:space="preserve"> </w:t>
            </w:r>
            <w:r>
              <w:rPr>
                <w:rFonts w:asciiTheme="majorBidi" w:hAnsiTheme="majorBidi"/>
                <w:sz w:val="20"/>
              </w:rPr>
              <w:t xml:space="preserve">para las interrelaciones entre la diversidad biológica y la salud, a través de asociaciones Norte-Sur, Sur-Sur y triangulares, puede apoyar la integración de esas interrelaciones. </w:t>
            </w:r>
          </w:p>
        </w:tc>
        <w:tc>
          <w:tcPr>
            <w:tcW w:w="7469" w:type="dxa"/>
          </w:tcPr>
          <w:p w14:paraId="15EE1FA5" w14:textId="5E15A76F" w:rsidR="00E108E1" w:rsidRPr="00603392" w:rsidRDefault="009F1786" w:rsidP="00603392">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 xml:space="preserve">1. </w:t>
            </w:r>
            <w:r>
              <w:rPr>
                <w:rFonts w:asciiTheme="majorBidi" w:hAnsiTheme="majorBidi"/>
                <w:sz w:val="20"/>
              </w:rPr>
              <w:t>Incorporar las interrelaciones entre la diversidad biológica y la salud en las actividades de creación y desarrollo de capacidad, cooperación científica y técnica y transferencia de tecnología apoyando programas e iniciativas de capacitación para diversos profesionales de la salud y proveedores de atención de salud con el fin de que comprendan mejor las interrelaciones entre la diversidad biológica y la salud, incluid</w:t>
            </w:r>
            <w:r w:rsidR="0034696F">
              <w:rPr>
                <w:rFonts w:asciiTheme="majorBidi" w:hAnsiTheme="majorBidi"/>
                <w:sz w:val="20"/>
              </w:rPr>
              <w:t>o en</w:t>
            </w:r>
            <w:r>
              <w:rPr>
                <w:rFonts w:asciiTheme="majorBidi" w:hAnsiTheme="majorBidi"/>
                <w:sz w:val="20"/>
              </w:rPr>
              <w:t xml:space="preserve"> prácticas de medicina tradicional y conocimientos tradicionales.</w:t>
            </w:r>
          </w:p>
          <w:p w14:paraId="48ECAE63" w14:textId="4B202FC5" w:rsidR="00E80C2E" w:rsidRPr="00603392" w:rsidRDefault="009F1786" w:rsidP="00603392">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2. Proporcionar y facilitar a las Partes, en particular los países en desarrollo, acceso y transferencia [voluntaria y mutuamente acordada] de tecnología que sea pertinente para la conservación y la utilización sostenible de la diversidad biológica y para la incorporación de las interrelaciones entre la diversidad biológica y la salud en políticas e iniciativas pertinentes.</w:t>
            </w:r>
          </w:p>
          <w:p w14:paraId="3AEAF1B8" w14:textId="539F7655" w:rsidR="00E80C2E" w:rsidRPr="00603392" w:rsidRDefault="009F1786" w:rsidP="00603392">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 xml:space="preserve">3. Adoptar medidas legislativas, administrativas o de políticas, según proceda, dirigidas a garantizar que el sector privado facilite el acceso al desarrollo conjunto y la transferencia [voluntaria y mutuamente acordada] de tecnología pertinente para la incorporación de las </w:t>
            </w:r>
            <w:r>
              <w:rPr>
                <w:rFonts w:asciiTheme="majorBidi" w:hAnsiTheme="majorBidi"/>
                <w:color w:val="000000" w:themeColor="text1"/>
                <w:sz w:val="20"/>
              </w:rPr>
              <w:lastRenderedPageBreak/>
              <w:t>interrelaciones entre la diversidad biológica y la salud en políticas e iniciativas pertinentes.</w:t>
            </w:r>
          </w:p>
          <w:p w14:paraId="6247ECF1" w14:textId="2DF51267" w:rsidR="00E80C2E" w:rsidRPr="00603392" w:rsidRDefault="009F1786" w:rsidP="00603392">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4. Facilitar el intercambio de información, procedente de todas las fuentes públicamente disponibles, pertinente para la conservación y la utilización sostenible de la diversidad biológica y para la incorporación de las interrelaciones entre la diversidad biológica y la salud en políticas e iniciativas pertinentes, teniendo en cuenta las necesidades especiales de los países en desarrollo.</w:t>
            </w:r>
          </w:p>
          <w:p w14:paraId="59840C80" w14:textId="6F6D3429" w:rsidR="00084FF2" w:rsidRPr="00603392" w:rsidRDefault="009F1786" w:rsidP="00603392">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5. Promover la cooperación técnica y científica con otras Partes, en particular los países en desarrollo, en la implementación del presente Plan, entre otras cosas, mediante la formulación y ejecución de políticas nacionales. Al promover dicha cooperación, deber</w:t>
            </w:r>
            <w:r w:rsidR="0034696F">
              <w:rPr>
                <w:rFonts w:asciiTheme="majorBidi" w:hAnsiTheme="majorBidi"/>
                <w:color w:val="000000" w:themeColor="text1"/>
                <w:sz w:val="20"/>
              </w:rPr>
              <w:t>ía</w:t>
            </w:r>
            <w:r>
              <w:rPr>
                <w:rFonts w:asciiTheme="majorBidi" w:hAnsiTheme="majorBidi"/>
                <w:color w:val="000000" w:themeColor="text1"/>
                <w:sz w:val="20"/>
              </w:rPr>
              <w:t xml:space="preserve"> prestarse especial atención al desarrollo y fortalecimiento de las capacidades nacionales, mediante el desarrollo de los recursos humanos y la construcción institucional.</w:t>
            </w:r>
          </w:p>
          <w:p w14:paraId="3CFF58E0" w14:textId="51BB48A0" w:rsidR="00281467" w:rsidRPr="00603392" w:rsidRDefault="009F1786" w:rsidP="00603392">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6. Apoyar los esfuerzos para documentar las prácticas de medicina tradicional, en particular las utilizadas por los pueblos indígenas y las comunidades locales, con su consentimiento libre, previo e informado[, incluido a través de su participación plena y efectiva en la toma de decisiones, de conformidad con la legislación nacional pertinente, instrumentos internacionales,] y reconociendo y respetando sus derechos sobre sus conocimientos tradicionales.</w:t>
            </w:r>
          </w:p>
        </w:tc>
      </w:tr>
      <w:tr w:rsidR="00351777" w:rsidRPr="00EB2F01" w14:paraId="4C99A071" w14:textId="77777777" w:rsidTr="00603392">
        <w:tc>
          <w:tcPr>
            <w:tcW w:w="13589" w:type="dxa"/>
            <w:gridSpan w:val="3"/>
          </w:tcPr>
          <w:p w14:paraId="0E862DD9" w14:textId="435E2815" w:rsidR="00351777" w:rsidRPr="00603392" w:rsidRDefault="00351777" w:rsidP="00395D61">
            <w:pPr>
              <w:spacing w:before="40" w:after="40"/>
              <w:jc w:val="left"/>
              <w:rPr>
                <w:rFonts w:asciiTheme="majorBidi" w:eastAsiaTheme="minorEastAsia" w:hAnsiTheme="majorBidi" w:cstheme="majorBidi"/>
                <w:b/>
                <w:color w:val="000000" w:themeColor="text1"/>
                <w:spacing w:val="6"/>
                <w:kern w:val="2"/>
                <w:sz w:val="20"/>
                <w:szCs w:val="20"/>
                <w14:ligatures w14:val="standardContextual"/>
              </w:rPr>
            </w:pPr>
            <w:r>
              <w:rPr>
                <w:rFonts w:asciiTheme="majorBidi" w:hAnsiTheme="majorBidi"/>
                <w:b/>
                <w:color w:val="000000" w:themeColor="text1"/>
                <w:sz w:val="20"/>
              </w:rPr>
              <w:lastRenderedPageBreak/>
              <w:t>Conocimiento</w:t>
            </w:r>
            <w:r w:rsidR="00395D61">
              <w:rPr>
                <w:rFonts w:asciiTheme="majorBidi" w:hAnsiTheme="majorBidi"/>
                <w:b/>
                <w:color w:val="000000" w:themeColor="text1"/>
                <w:sz w:val="20"/>
              </w:rPr>
              <w:t>s</w:t>
            </w:r>
            <w:r>
              <w:rPr>
                <w:rFonts w:asciiTheme="majorBidi" w:hAnsiTheme="majorBidi"/>
                <w:b/>
                <w:color w:val="000000" w:themeColor="text1"/>
                <w:sz w:val="20"/>
              </w:rPr>
              <w:t xml:space="preserve"> </w:t>
            </w:r>
            <w:r w:rsidR="00395D61">
              <w:rPr>
                <w:rFonts w:asciiTheme="majorBidi" w:hAnsiTheme="majorBidi"/>
                <w:b/>
                <w:color w:val="000000" w:themeColor="text1"/>
                <w:sz w:val="20"/>
              </w:rPr>
              <w:t>y</w:t>
            </w:r>
            <w:r>
              <w:rPr>
                <w:rFonts w:asciiTheme="majorBidi" w:hAnsiTheme="majorBidi"/>
                <w:b/>
                <w:color w:val="000000" w:themeColor="text1"/>
                <w:sz w:val="20"/>
              </w:rPr>
              <w:t xml:space="preserve"> participación de las personas</w:t>
            </w:r>
          </w:p>
        </w:tc>
      </w:tr>
      <w:tr w:rsidR="00E44CBD" w:rsidRPr="00EB2F01" w14:paraId="49E58C41" w14:textId="77777777" w:rsidTr="009B0237">
        <w:tc>
          <w:tcPr>
            <w:tcW w:w="1890" w:type="dxa"/>
          </w:tcPr>
          <w:p w14:paraId="042F84DD" w14:textId="38018D54" w:rsidR="00E44CBD" w:rsidRPr="00603392" w:rsidRDefault="00E44CBD" w:rsidP="009A429E">
            <w:pPr>
              <w:spacing w:before="60" w:after="60"/>
              <w:jc w:val="left"/>
              <w:rPr>
                <w:rFonts w:asciiTheme="majorBidi" w:eastAsiaTheme="minorEastAsia" w:hAnsiTheme="majorBidi" w:cstheme="majorBidi"/>
                <w:b/>
                <w:color w:val="000000" w:themeColor="text1"/>
                <w:kern w:val="2"/>
                <w:sz w:val="20"/>
                <w:szCs w:val="20"/>
                <w14:ligatures w14:val="standardContextual"/>
              </w:rPr>
            </w:pPr>
            <w:r>
              <w:rPr>
                <w:rFonts w:asciiTheme="majorBidi" w:hAnsiTheme="majorBidi"/>
                <w:color w:val="000000" w:themeColor="text1"/>
                <w:sz w:val="20"/>
              </w:rPr>
              <w:t xml:space="preserve">Metas 21, 22 y 23 </w:t>
            </w:r>
          </w:p>
        </w:tc>
        <w:tc>
          <w:tcPr>
            <w:tcW w:w="4230" w:type="dxa"/>
          </w:tcPr>
          <w:p w14:paraId="2E08D606" w14:textId="58826109" w:rsidR="00E44CBD" w:rsidRPr="00603392" w:rsidRDefault="00E44CBD" w:rsidP="0034696F">
            <w:pPr>
              <w:spacing w:before="60" w:after="60"/>
              <w:jc w:val="left"/>
              <w:rPr>
                <w:rFonts w:asciiTheme="majorBidi" w:eastAsiaTheme="minorEastAsia" w:hAnsiTheme="majorBidi" w:cstheme="majorBidi"/>
                <w:sz w:val="20"/>
                <w:szCs w:val="20"/>
              </w:rPr>
            </w:pPr>
            <w:r>
              <w:rPr>
                <w:rFonts w:asciiTheme="majorBidi" w:hAnsiTheme="majorBidi"/>
                <w:color w:val="000000" w:themeColor="text1"/>
                <w:sz w:val="20"/>
              </w:rPr>
              <w:t>Garantizar que los conocimientos estén disponibles para todos y que todos los grupos de personas participen en la toma de decisiones relacionadas con la diversidad biológica puede ayudar a garantizar que se tengan en consideración las interrelaciones entre la diversidad biológica y la salud que son particularmente importantes para determinados grupos, contribuyendo así a la pro</w:t>
            </w:r>
            <w:r w:rsidR="0034696F">
              <w:rPr>
                <w:rFonts w:asciiTheme="majorBidi" w:hAnsiTheme="majorBidi"/>
                <w:color w:val="000000" w:themeColor="text1"/>
                <w:sz w:val="20"/>
              </w:rPr>
              <w:t xml:space="preserve">tección de </w:t>
            </w:r>
            <w:r>
              <w:rPr>
                <w:rFonts w:asciiTheme="majorBidi" w:hAnsiTheme="majorBidi"/>
                <w:color w:val="000000" w:themeColor="text1"/>
                <w:sz w:val="20"/>
              </w:rPr>
              <w:t>derechos, la sensibilidad a las cuestiones de género y la equidad intergeneracional y sanitaria.</w:t>
            </w:r>
          </w:p>
        </w:tc>
        <w:tc>
          <w:tcPr>
            <w:tcW w:w="7469" w:type="dxa"/>
          </w:tcPr>
          <w:p w14:paraId="41D8B1DF" w14:textId="18DE0A5A" w:rsidR="00E44CBD" w:rsidRPr="00603392" w:rsidRDefault="00E44CBD" w:rsidP="00603392">
            <w:pPr>
              <w:spacing w:before="60" w:after="60"/>
              <w:jc w:val="left"/>
              <w:rPr>
                <w:rFonts w:asciiTheme="majorBidi" w:eastAsiaTheme="minorEastAsia" w:hAnsiTheme="majorBidi" w:cstheme="majorBidi"/>
                <w:kern w:val="2"/>
                <w:sz w:val="20"/>
                <w:szCs w:val="20"/>
                <w14:ligatures w14:val="standardContextual"/>
              </w:rPr>
            </w:pPr>
            <w:r>
              <w:rPr>
                <w:sz w:val="20"/>
              </w:rPr>
              <w:t xml:space="preserve">1. </w:t>
            </w:r>
            <w:r>
              <w:rPr>
                <w:rFonts w:asciiTheme="majorBidi" w:hAnsiTheme="majorBidi"/>
                <w:sz w:val="20"/>
              </w:rPr>
              <w:t>Facilitar el establecimiento o fortalecimiento de plataformas de intercambio de conocimientos y redes de aprendizaje sobre las interrelaciones entre la diversidad biológica y la salud para propiciar el intercambio de prácticas óptimas, lecciones aprendidas y soluciones innovadoras, teniendo en cuenta las necesidades de los grupos en situación de vulnerabilidad y las de los pueblos indígenas y las comunidades locales.</w:t>
            </w:r>
          </w:p>
          <w:p w14:paraId="511EAD38" w14:textId="4BE4AF82" w:rsidR="00317D6D" w:rsidRPr="00603392" w:rsidRDefault="009F1786" w:rsidP="00603392">
            <w:pPr>
              <w:spacing w:before="60" w:after="60"/>
              <w:jc w:val="left"/>
              <w:rPr>
                <w:sz w:val="20"/>
                <w:szCs w:val="20"/>
              </w:rPr>
            </w:pPr>
            <w:r>
              <w:rPr>
                <w:sz w:val="20"/>
              </w:rPr>
              <w:t xml:space="preserve">2. Promover y difundir materiales de concienciación, herramientas de promoción, prácticas óptimas y políticas que maximicen los beneficios secundarios de diversidad biológica y salud y destaquen las contribuciones pertinentes de los pueblos indígenas, y las comunidades locales, y </w:t>
            </w:r>
            <w:r w:rsidR="0045796C">
              <w:rPr>
                <w:sz w:val="20"/>
              </w:rPr>
              <w:t xml:space="preserve">de </w:t>
            </w:r>
            <w:r>
              <w:rPr>
                <w:sz w:val="20"/>
              </w:rPr>
              <w:t>los grupos vulnerables</w:t>
            </w:r>
            <w:r w:rsidR="0045796C">
              <w:rPr>
                <w:sz w:val="20"/>
              </w:rPr>
              <w:t>,</w:t>
            </w:r>
            <w:r>
              <w:rPr>
                <w:sz w:val="20"/>
              </w:rPr>
              <w:t xml:space="preserve"> como las mujeres, la infancia, la juventud, las personas de edad y las personas con discapacidad.</w:t>
            </w:r>
          </w:p>
          <w:p w14:paraId="6A573DC2" w14:textId="296F2CCC" w:rsidR="00C7600F" w:rsidRPr="00603392" w:rsidRDefault="008E0CDB" w:rsidP="00603392">
            <w:pPr>
              <w:spacing w:before="60" w:after="60"/>
              <w:jc w:val="left"/>
              <w:rPr>
                <w:sz w:val="20"/>
                <w:szCs w:val="20"/>
              </w:rPr>
            </w:pPr>
            <w:r>
              <w:rPr>
                <w:sz w:val="20"/>
              </w:rPr>
              <w:t>3. Incorporar los beneficios que brinda la diversidad biológica a la salud en los sistemas educativos formales, desde la enseñanza primaria hasta la postsecundaria, para potenciar aún más las interrelaciones entre la diversidad biológica y la salud.</w:t>
            </w:r>
          </w:p>
          <w:p w14:paraId="312C90CE" w14:textId="263A3A8C" w:rsidR="00E44CBD" w:rsidRPr="00603392" w:rsidRDefault="008E0CDB" w:rsidP="00603392">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 xml:space="preserve">4. </w:t>
            </w:r>
            <w:r>
              <w:rPr>
                <w:rFonts w:asciiTheme="majorBidi" w:hAnsiTheme="majorBidi"/>
                <w:sz w:val="20"/>
              </w:rPr>
              <w:t>Reconocer los conocimiento</w:t>
            </w:r>
            <w:r w:rsidR="00395D61">
              <w:rPr>
                <w:rFonts w:asciiTheme="majorBidi" w:hAnsiTheme="majorBidi"/>
                <w:sz w:val="20"/>
              </w:rPr>
              <w:t>s</w:t>
            </w:r>
            <w:r>
              <w:rPr>
                <w:rFonts w:asciiTheme="majorBidi" w:hAnsiTheme="majorBidi"/>
                <w:sz w:val="20"/>
              </w:rPr>
              <w:t xml:space="preserve"> tradicionales de los pueblos indígenas y las comunidades locales como un sistema importante de conocimiento</w:t>
            </w:r>
            <w:r w:rsidR="0045796C">
              <w:rPr>
                <w:rFonts w:asciiTheme="majorBidi" w:hAnsiTheme="majorBidi"/>
                <w:sz w:val="20"/>
              </w:rPr>
              <w:t>s</w:t>
            </w:r>
            <w:r>
              <w:rPr>
                <w:rFonts w:asciiTheme="majorBidi" w:hAnsiTheme="majorBidi"/>
                <w:sz w:val="20"/>
              </w:rPr>
              <w:t xml:space="preserve"> que contribuye a los avances científicos, técnicos, sociales y económicos para el bienestar humano.</w:t>
            </w:r>
          </w:p>
          <w:p w14:paraId="15BBEBAE" w14:textId="22255862" w:rsidR="00E44CBD" w:rsidRPr="00603392" w:rsidRDefault="008E0CDB" w:rsidP="00603392">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 xml:space="preserve">5. </w:t>
            </w:r>
            <w:r>
              <w:rPr>
                <w:rFonts w:asciiTheme="majorBidi" w:hAnsiTheme="majorBidi"/>
                <w:sz w:val="20"/>
              </w:rPr>
              <w:t xml:space="preserve">Promover y apoyar la participación significativa y activa de todos los actores de la sociedad civil, incluidos los poseedores de conocimientos tradicionales, los pueblos </w:t>
            </w:r>
            <w:r>
              <w:rPr>
                <w:rFonts w:asciiTheme="majorBidi" w:hAnsiTheme="majorBidi"/>
                <w:sz w:val="20"/>
              </w:rPr>
              <w:lastRenderedPageBreak/>
              <w:t>indígenas y las comunidades locales, las mujeres, la infancia, la juventud, las personas de edad y las personas con discapacidad, reconociendo también sus singulares contribuciones y sus papeles activos en la integración de las interrelaciones entre la diversidad biológica y la salud.</w:t>
            </w:r>
          </w:p>
          <w:p w14:paraId="654D3891" w14:textId="0DBC5E4D" w:rsidR="00E44CBD" w:rsidRPr="00603392" w:rsidRDefault="008E0CDB" w:rsidP="009A429E">
            <w:pPr>
              <w:spacing w:before="60" w:after="60"/>
              <w:jc w:val="left"/>
              <w:rPr>
                <w:rFonts w:asciiTheme="majorBidi" w:hAnsiTheme="majorBidi" w:cstheme="majorBidi"/>
                <w:kern w:val="2"/>
                <w:sz w:val="20"/>
                <w:szCs w:val="20"/>
                <w14:ligatures w14:val="standardContextual"/>
              </w:rPr>
            </w:pPr>
            <w:r>
              <w:rPr>
                <w:rFonts w:asciiTheme="majorBidi" w:hAnsiTheme="majorBidi"/>
                <w:color w:val="000000" w:themeColor="text1"/>
                <w:sz w:val="20"/>
              </w:rPr>
              <w:t xml:space="preserve">6. </w:t>
            </w:r>
            <w:r>
              <w:rPr>
                <w:rFonts w:asciiTheme="majorBidi" w:hAnsiTheme="majorBidi"/>
                <w:sz w:val="20"/>
              </w:rPr>
              <w:t xml:space="preserve">Invertir </w:t>
            </w:r>
            <w:r>
              <w:rPr>
                <w:rFonts w:asciiTheme="majorBidi" w:hAnsiTheme="majorBidi"/>
                <w:color w:val="000000" w:themeColor="text1"/>
                <w:sz w:val="20"/>
              </w:rPr>
              <w:t>en herramientas y estrategias de comunicación que generen conciencia sobre el valor de las funciones y los servicios de los ecosistemas para garantizar la salud, el bienestar y la equidad sanitaria de los distintos interesados en idiomas y formatos accesibles a los diversos grupos de actores</w:t>
            </w:r>
            <w:r>
              <w:rPr>
                <w:rFonts w:asciiTheme="majorBidi" w:hAnsiTheme="majorBidi"/>
                <w:sz w:val="20"/>
              </w:rPr>
              <w:t>.</w:t>
            </w:r>
          </w:p>
          <w:p w14:paraId="5D7B76EB" w14:textId="6B404F8C" w:rsidR="00E44CBD" w:rsidRPr="00603392" w:rsidRDefault="008E0CDB" w:rsidP="00E44CBD">
            <w:pPr>
              <w:spacing w:before="60" w:after="60"/>
              <w:jc w:val="left"/>
              <w:rPr>
                <w:rFonts w:asciiTheme="majorBidi" w:eastAsiaTheme="minorEastAsia" w:hAnsiTheme="majorBidi" w:cstheme="majorBidi"/>
                <w:color w:val="000000" w:themeColor="text1"/>
                <w:kern w:val="2"/>
                <w:sz w:val="20"/>
                <w:szCs w:val="20"/>
                <w14:ligatures w14:val="standardContextual"/>
              </w:rPr>
            </w:pPr>
            <w:r>
              <w:rPr>
                <w:rFonts w:asciiTheme="majorBidi" w:hAnsiTheme="majorBidi"/>
                <w:color w:val="000000" w:themeColor="text1"/>
                <w:sz w:val="20"/>
              </w:rPr>
              <w:t>7. Implementar el Plan de Acción sobre Género (2023-2030) adoptado por la Conferencia de las Partes</w:t>
            </w:r>
            <w:r w:rsidR="002E43EE" w:rsidRPr="00EB2F01">
              <w:rPr>
                <w:rStyle w:val="FootnoteReference"/>
                <w:rFonts w:asciiTheme="majorBidi" w:eastAsiaTheme="minorEastAsia" w:hAnsiTheme="majorBidi" w:cstheme="majorBidi"/>
                <w:color w:val="000000" w:themeColor="text1"/>
                <w:kern w:val="2"/>
                <w:sz w:val="20"/>
                <w:szCs w:val="20"/>
                <w:lang w:eastAsia="zh-CN"/>
                <w14:ligatures w14:val="standardContextual"/>
              </w:rPr>
              <w:footnoteReference w:id="60"/>
            </w:r>
            <w:r>
              <w:rPr>
                <w:rFonts w:asciiTheme="majorBidi" w:hAnsiTheme="majorBidi"/>
                <w:color w:val="000000" w:themeColor="text1"/>
                <w:sz w:val="20"/>
              </w:rPr>
              <w:t xml:space="preserve"> para apoyar una consideración con perspectiva de género de las interrelaciones entre la diversidad biológica y la salud.</w:t>
            </w:r>
          </w:p>
          <w:p w14:paraId="24075F73" w14:textId="0BB59CE1" w:rsidR="00C16607" w:rsidRPr="00603392" w:rsidRDefault="002A5500" w:rsidP="000F3664">
            <w:pPr>
              <w:spacing w:before="60" w:after="60"/>
              <w:jc w:val="left"/>
              <w:rPr>
                <w:rFonts w:asciiTheme="majorBidi" w:hAnsiTheme="majorBidi" w:cstheme="majorBidi"/>
                <w:sz w:val="20"/>
                <w:szCs w:val="20"/>
                <w:highlight w:val="yellow"/>
              </w:rPr>
            </w:pPr>
            <w:r>
              <w:rPr>
                <w:rFonts w:asciiTheme="majorBidi" w:hAnsiTheme="majorBidi"/>
                <w:sz w:val="20"/>
              </w:rPr>
              <w:t>[8. Comunicar sobre el riesgo para la salud y los costos derivados de la inacción y la continua degradación de los ecosistemas y pérdida de biodiversidad].</w:t>
            </w:r>
          </w:p>
        </w:tc>
      </w:tr>
    </w:tbl>
    <w:p w14:paraId="1AE0431F" w14:textId="512C0033" w:rsidR="00897660" w:rsidRPr="00967643" w:rsidRDefault="00897660" w:rsidP="009A429E">
      <w:pPr>
        <w:tabs>
          <w:tab w:val="left" w:pos="1380"/>
        </w:tabs>
        <w:spacing w:before="60" w:after="60" w:line="259" w:lineRule="auto"/>
        <w:jc w:val="left"/>
        <w:rPr>
          <w:sz w:val="18"/>
          <w:szCs w:val="18"/>
        </w:rPr>
      </w:pPr>
      <w:r w:rsidRPr="00967643">
        <w:rPr>
          <w:i/>
          <w:sz w:val="18"/>
          <w:szCs w:val="18"/>
          <w:vertAlign w:val="superscript"/>
        </w:rPr>
        <w:lastRenderedPageBreak/>
        <w:t>a</w:t>
      </w:r>
      <w:r w:rsidRPr="00967643">
        <w:rPr>
          <w:sz w:val="18"/>
          <w:szCs w:val="18"/>
        </w:rPr>
        <w:t xml:space="preserve"> El texto de metas se puede consultar en la decisión </w:t>
      </w:r>
      <w:hyperlink r:id="rId33" w:history="1">
        <w:r w:rsidRPr="00967643">
          <w:rPr>
            <w:rStyle w:val="Hyperlink"/>
            <w:color w:val="0000FF"/>
            <w:sz w:val="18"/>
            <w:szCs w:val="18"/>
          </w:rPr>
          <w:t>15/4</w:t>
        </w:r>
      </w:hyperlink>
      <w:r w:rsidRPr="00967643">
        <w:rPr>
          <w:rStyle w:val="Hyperlink"/>
          <w:color w:val="0000FF"/>
          <w:sz w:val="18"/>
          <w:szCs w:val="18"/>
        </w:rPr>
        <w:t>,</w:t>
      </w:r>
      <w:r w:rsidRPr="00967643">
        <w:rPr>
          <w:sz w:val="18"/>
          <w:szCs w:val="18"/>
        </w:rPr>
        <w:t xml:space="preserve"> anexo, secc. H.</w:t>
      </w:r>
    </w:p>
    <w:p w14:paraId="078191C4" w14:textId="36014E47" w:rsidR="00D65330" w:rsidRPr="00967643" w:rsidRDefault="00D65330" w:rsidP="009A429E">
      <w:pPr>
        <w:tabs>
          <w:tab w:val="left" w:pos="1380"/>
        </w:tabs>
        <w:spacing w:after="60" w:line="259" w:lineRule="auto"/>
        <w:jc w:val="left"/>
        <w:rPr>
          <w:sz w:val="18"/>
          <w:szCs w:val="18"/>
        </w:rPr>
      </w:pPr>
      <w:r w:rsidRPr="00967643">
        <w:rPr>
          <w:i/>
          <w:sz w:val="18"/>
          <w:szCs w:val="18"/>
          <w:vertAlign w:val="superscript"/>
        </w:rPr>
        <w:t>b</w:t>
      </w:r>
      <w:r w:rsidR="00F37EF3" w:rsidRPr="00967643">
        <w:rPr>
          <w:i/>
          <w:sz w:val="18"/>
          <w:szCs w:val="18"/>
          <w:vertAlign w:val="superscript"/>
        </w:rPr>
        <w:t xml:space="preserve"> </w:t>
      </w:r>
      <w:r w:rsidRPr="00967643">
        <w:rPr>
          <w:sz w:val="18"/>
          <w:szCs w:val="18"/>
        </w:rPr>
        <w:t>Véase el documento CBD/SBSTTA/26/INF/3 para más información sobre las interrelaciones entre la diversidad biológica y la salud.</w:t>
      </w:r>
    </w:p>
    <w:p w14:paraId="6E86EBAF" w14:textId="7B3AD38A" w:rsidR="008C5ABC" w:rsidRPr="00967643" w:rsidRDefault="008C5ABC" w:rsidP="009A429E">
      <w:pPr>
        <w:tabs>
          <w:tab w:val="left" w:pos="1380"/>
        </w:tabs>
        <w:spacing w:after="60" w:line="259" w:lineRule="auto"/>
        <w:jc w:val="left"/>
        <w:rPr>
          <w:rFonts w:asciiTheme="majorBidi" w:hAnsiTheme="majorBidi" w:cstheme="majorBidi"/>
          <w:sz w:val="18"/>
          <w:szCs w:val="18"/>
        </w:rPr>
      </w:pPr>
      <w:r w:rsidRPr="00967643">
        <w:rPr>
          <w:rFonts w:asciiTheme="majorBidi" w:hAnsiTheme="majorBidi"/>
          <w:i/>
          <w:sz w:val="18"/>
          <w:szCs w:val="18"/>
          <w:vertAlign w:val="superscript"/>
        </w:rPr>
        <w:t xml:space="preserve">c </w:t>
      </w:r>
      <w:r w:rsidRPr="00967643">
        <w:rPr>
          <w:rFonts w:asciiTheme="majorBidi" w:hAnsiTheme="majorBidi"/>
          <w:sz w:val="18"/>
          <w:szCs w:val="18"/>
        </w:rPr>
        <w:t xml:space="preserve">Una especie exótica invasora es una especie cuya introducción o propagación </w:t>
      </w:r>
      <w:r w:rsidR="00AA0C3A">
        <w:rPr>
          <w:rFonts w:asciiTheme="majorBidi" w:hAnsiTheme="majorBidi"/>
          <w:sz w:val="18"/>
          <w:szCs w:val="18"/>
        </w:rPr>
        <w:t xml:space="preserve">supone una </w:t>
      </w:r>
      <w:r w:rsidRPr="00967643">
        <w:rPr>
          <w:rFonts w:asciiTheme="majorBidi" w:hAnsiTheme="majorBidi"/>
          <w:sz w:val="18"/>
          <w:szCs w:val="18"/>
        </w:rPr>
        <w:t>amenaza</w:t>
      </w:r>
      <w:r w:rsidR="00AA0C3A">
        <w:rPr>
          <w:rFonts w:asciiTheme="majorBidi" w:hAnsiTheme="majorBidi"/>
          <w:sz w:val="18"/>
          <w:szCs w:val="18"/>
        </w:rPr>
        <w:t xml:space="preserve"> para</w:t>
      </w:r>
      <w:r w:rsidRPr="00967643">
        <w:rPr>
          <w:rFonts w:asciiTheme="majorBidi" w:hAnsiTheme="majorBidi"/>
          <w:sz w:val="18"/>
          <w:szCs w:val="18"/>
        </w:rPr>
        <w:t xml:space="preserve"> la diversidad biológica. Véase la decisión </w:t>
      </w:r>
      <w:hyperlink r:id="rId34" w:history="1">
        <w:r w:rsidRPr="00967643">
          <w:rPr>
            <w:rStyle w:val="Hyperlink"/>
            <w:color w:val="0000FF"/>
            <w:sz w:val="18"/>
            <w:szCs w:val="18"/>
          </w:rPr>
          <w:t>VI/23</w:t>
        </w:r>
      </w:hyperlink>
      <w:r w:rsidRPr="00967643">
        <w:rPr>
          <w:rStyle w:val="Hyperlink"/>
          <w:color w:val="0000FF"/>
          <w:sz w:val="18"/>
          <w:szCs w:val="18"/>
        </w:rPr>
        <w:t xml:space="preserve"> </w:t>
      </w:r>
      <w:r w:rsidRPr="00967643">
        <w:rPr>
          <w:rFonts w:asciiTheme="majorBidi" w:hAnsiTheme="majorBidi"/>
          <w:sz w:val="18"/>
          <w:szCs w:val="18"/>
        </w:rPr>
        <w:t>para más información.</w:t>
      </w:r>
    </w:p>
    <w:p w14:paraId="5BEB7149" w14:textId="7E468563" w:rsidR="001F78E7" w:rsidRPr="00967643" w:rsidRDefault="001F78E7" w:rsidP="009A429E">
      <w:pPr>
        <w:tabs>
          <w:tab w:val="left" w:pos="1380"/>
        </w:tabs>
        <w:spacing w:after="60" w:line="259" w:lineRule="auto"/>
        <w:jc w:val="left"/>
        <w:rPr>
          <w:sz w:val="18"/>
          <w:szCs w:val="18"/>
        </w:rPr>
      </w:pPr>
      <w:r w:rsidRPr="00967643">
        <w:rPr>
          <w:bCs/>
          <w:i/>
          <w:sz w:val="18"/>
          <w:szCs w:val="18"/>
          <w:vertAlign w:val="superscript"/>
        </w:rPr>
        <w:t>d</w:t>
      </w:r>
      <w:r w:rsidRPr="00967643">
        <w:rPr>
          <w:sz w:val="18"/>
          <w:szCs w:val="18"/>
        </w:rPr>
        <w:t> La biovigilancia humana mide directamente la concentración de sustancias químicas contaminantes o sus metabolitos en fluidos humanos (p. ej., sangre, orina, leche materna y saliva) y tejidos (p. ej., pelo, uñas y dientes) (véase Organización Mundial de la Salud, “</w:t>
      </w:r>
      <w:r w:rsidRPr="00967643">
        <w:rPr>
          <w:sz w:val="18"/>
          <w:szCs w:val="18"/>
          <w:lang w:val="en-US"/>
        </w:rPr>
        <w:t>Human biomonitoring: assessment of exposure to chemicals and their health risks – Summary for decision makers”,</w:t>
      </w:r>
      <w:r w:rsidRPr="00967643">
        <w:rPr>
          <w:sz w:val="18"/>
          <w:szCs w:val="18"/>
        </w:rPr>
        <w:t xml:space="preserve"> documento técnico WHO/EURO:2023-7574-47341-69480 (Ginebra, 2023)).</w:t>
      </w:r>
    </w:p>
    <w:p w14:paraId="0404F8D4" w14:textId="21BD6FD4" w:rsidR="00511D5C" w:rsidRPr="00967643" w:rsidRDefault="00511D5C" w:rsidP="009A429E">
      <w:pPr>
        <w:tabs>
          <w:tab w:val="left" w:pos="1380"/>
        </w:tabs>
        <w:spacing w:after="60" w:line="259" w:lineRule="auto"/>
        <w:rPr>
          <w:sz w:val="18"/>
          <w:szCs w:val="18"/>
        </w:rPr>
      </w:pPr>
      <w:r w:rsidRPr="00967643">
        <w:rPr>
          <w:i/>
          <w:sz w:val="18"/>
          <w:szCs w:val="18"/>
          <w:vertAlign w:val="superscript"/>
        </w:rPr>
        <w:t>e</w:t>
      </w:r>
      <w:r w:rsidRPr="00967643">
        <w:rPr>
          <w:sz w:val="18"/>
          <w:szCs w:val="18"/>
        </w:rPr>
        <w:t xml:space="preserve"> Las soluciones basadas en la naturaleza son acciones dirigidas a proteger, conservar, restaurar, utilizar de manera sostenible y gestionar ecosistemas terrestres, de agua dulce, costeros y marinos naturales o modificados con las que se abordan desafíos sociales, económicos y ambientales de manera eficaz y adaptativa, al tiempo que se proporcionan bienestar humano, servicios de los ecosistemas, resiliencia y beneficios para la diversidad biológica (véase la resolución 5/5 de la Asamblea de las Naciones Unidas sobre el Medio Ambiente).</w:t>
      </w:r>
    </w:p>
    <w:p w14:paraId="5FF911DC" w14:textId="0CC65173" w:rsidR="005C083E" w:rsidRPr="00967643" w:rsidRDefault="005C083E" w:rsidP="009A429E">
      <w:pPr>
        <w:tabs>
          <w:tab w:val="left" w:pos="1380"/>
        </w:tabs>
        <w:spacing w:after="60" w:line="259" w:lineRule="auto"/>
        <w:jc w:val="left"/>
        <w:rPr>
          <w:sz w:val="18"/>
          <w:szCs w:val="18"/>
        </w:rPr>
      </w:pPr>
      <w:r w:rsidRPr="00967643">
        <w:rPr>
          <w:i/>
          <w:sz w:val="18"/>
          <w:szCs w:val="18"/>
          <w:vertAlign w:val="superscript"/>
        </w:rPr>
        <w:t>f</w:t>
      </w:r>
      <w:r w:rsidRPr="00967643">
        <w:rPr>
          <w:sz w:val="18"/>
          <w:szCs w:val="18"/>
        </w:rPr>
        <w:t xml:space="preserve"> Con el término “información interoperable” generalmente se hace referencia a información que puede utilizarse en distintos sectores y disciplinas, en particular para que la puedan usar </w:t>
      </w:r>
      <w:r w:rsidR="00890994">
        <w:rPr>
          <w:sz w:val="18"/>
          <w:szCs w:val="18"/>
        </w:rPr>
        <w:t xml:space="preserve">los </w:t>
      </w:r>
      <w:r w:rsidRPr="00967643">
        <w:rPr>
          <w:sz w:val="18"/>
          <w:szCs w:val="18"/>
        </w:rPr>
        <w:t>Gobiernos con recursos humanos, financieros y técnicos limitados, para abordar cuestiones concurrentes por separado.</w:t>
      </w:r>
    </w:p>
    <w:p w14:paraId="20CC041C" w14:textId="423A09A9" w:rsidR="001A57D6" w:rsidRPr="00967643" w:rsidRDefault="001A57D6" w:rsidP="009A429E">
      <w:pPr>
        <w:tabs>
          <w:tab w:val="left" w:pos="1380"/>
        </w:tabs>
        <w:spacing w:after="60" w:line="259" w:lineRule="auto"/>
        <w:jc w:val="left"/>
        <w:rPr>
          <w:sz w:val="18"/>
          <w:szCs w:val="18"/>
        </w:rPr>
      </w:pPr>
      <w:r w:rsidRPr="00967643">
        <w:rPr>
          <w:i/>
          <w:sz w:val="18"/>
          <w:szCs w:val="18"/>
          <w:vertAlign w:val="superscript"/>
        </w:rPr>
        <w:t>g</w:t>
      </w:r>
      <w:r w:rsidRPr="00967643">
        <w:rPr>
          <w:sz w:val="18"/>
          <w:szCs w:val="18"/>
        </w:rPr>
        <w:t xml:space="preserve"> Véase Eduardo S. Brondízio et al., eds., </w:t>
      </w:r>
      <w:r w:rsidRPr="00967643">
        <w:rPr>
          <w:i/>
          <w:sz w:val="18"/>
          <w:szCs w:val="18"/>
          <w:lang w:val="en-US"/>
        </w:rPr>
        <w:t>The Global Assessment Report on Biodiversity and Ecosystem Services</w:t>
      </w:r>
      <w:r w:rsidRPr="00967643">
        <w:rPr>
          <w:i/>
          <w:sz w:val="18"/>
          <w:szCs w:val="18"/>
        </w:rPr>
        <w:t xml:space="preserve"> </w:t>
      </w:r>
      <w:r w:rsidRPr="00967643">
        <w:rPr>
          <w:sz w:val="18"/>
          <w:szCs w:val="18"/>
        </w:rPr>
        <w:t>(Bonn</w:t>
      </w:r>
      <w:r w:rsidR="00C33A85">
        <w:rPr>
          <w:sz w:val="18"/>
          <w:szCs w:val="18"/>
        </w:rPr>
        <w:t xml:space="preserve"> (</w:t>
      </w:r>
      <w:r w:rsidRPr="00967643">
        <w:rPr>
          <w:sz w:val="18"/>
          <w:szCs w:val="18"/>
        </w:rPr>
        <w:t>Alemania</w:t>
      </w:r>
      <w:r w:rsidR="00C33A85">
        <w:rPr>
          <w:sz w:val="18"/>
          <w:szCs w:val="18"/>
        </w:rPr>
        <w:t>)</w:t>
      </w:r>
      <w:r w:rsidRPr="00967643">
        <w:rPr>
          <w:sz w:val="18"/>
          <w:szCs w:val="18"/>
        </w:rPr>
        <w:t>, Plataforma Intergubernamental Científico-Normativa sobre Diversidad Biológica y Servicios de los Ecosistemas, 2019), cuadro 231, p. 318.</w:t>
      </w:r>
    </w:p>
    <w:p w14:paraId="5D7B97C8" w14:textId="5F9442AC" w:rsidR="000C264C" w:rsidRPr="00967643" w:rsidRDefault="000C264C" w:rsidP="009A429E">
      <w:pPr>
        <w:tabs>
          <w:tab w:val="left" w:pos="1380"/>
        </w:tabs>
        <w:spacing w:after="60" w:line="259" w:lineRule="auto"/>
        <w:jc w:val="left"/>
        <w:rPr>
          <w:rFonts w:asciiTheme="majorBidi" w:hAnsiTheme="majorBidi" w:cstheme="majorBidi"/>
          <w:sz w:val="18"/>
          <w:szCs w:val="18"/>
        </w:rPr>
      </w:pPr>
      <w:r w:rsidRPr="00967643">
        <w:rPr>
          <w:i/>
          <w:sz w:val="18"/>
          <w:szCs w:val="18"/>
          <w:vertAlign w:val="superscript"/>
        </w:rPr>
        <w:t>h</w:t>
      </w:r>
      <w:r w:rsidR="00F37EF3" w:rsidRPr="00967643">
        <w:rPr>
          <w:i/>
          <w:sz w:val="18"/>
          <w:szCs w:val="18"/>
          <w:vertAlign w:val="superscript"/>
        </w:rPr>
        <w:t xml:space="preserve"> </w:t>
      </w:r>
      <w:r w:rsidRPr="00967643">
        <w:rPr>
          <w:rFonts w:asciiTheme="majorBidi" w:hAnsiTheme="majorBidi"/>
          <w:sz w:val="18"/>
          <w:szCs w:val="18"/>
        </w:rPr>
        <w:t>Consideraciones y normas de gobernanza social y ambiental para la inversión empresarial sostenible.</w:t>
      </w:r>
    </w:p>
    <w:p w14:paraId="092F4E4F" w14:textId="77777777" w:rsidR="00CF32FF" w:rsidRPr="00EB2F01" w:rsidRDefault="00CF32FF" w:rsidP="004C2B61">
      <w:pPr>
        <w:pStyle w:val="Annex"/>
        <w:rPr>
          <w:lang w:eastAsia="zh-CN"/>
        </w:rPr>
      </w:pPr>
    </w:p>
    <w:p w14:paraId="3165D0D4" w14:textId="77777777" w:rsidR="00D91A8D" w:rsidRPr="00EB2F01" w:rsidRDefault="00D91A8D">
      <w:pPr>
        <w:pStyle w:val="Annex"/>
        <w:rPr>
          <w:lang w:eastAsia="zh-CN"/>
        </w:rPr>
        <w:sectPr w:rsidR="00D91A8D" w:rsidRPr="00EB2F01" w:rsidSect="00603392">
          <w:pgSz w:w="15840" w:h="12240" w:orient="landscape"/>
          <w:pgMar w:top="1134" w:right="1134" w:bottom="1134" w:left="1134" w:header="709" w:footer="709" w:gutter="0"/>
          <w:cols w:space="708"/>
          <w:docGrid w:linePitch="360"/>
        </w:sectPr>
      </w:pPr>
    </w:p>
    <w:p w14:paraId="7E0B525D" w14:textId="5722C18F" w:rsidR="00050E9A" w:rsidRPr="00603392" w:rsidRDefault="00143097" w:rsidP="005321F5">
      <w:pPr>
        <w:pStyle w:val="Annex"/>
        <w:ind w:left="567"/>
        <w:rPr>
          <w:sz w:val="24"/>
          <w:szCs w:val="24"/>
        </w:rPr>
      </w:pPr>
      <w:r>
        <w:rPr>
          <w:sz w:val="24"/>
        </w:rPr>
        <w:lastRenderedPageBreak/>
        <w:t>[Anexo II</w:t>
      </w:r>
    </w:p>
    <w:p w14:paraId="745BAB39" w14:textId="20C8D92D" w:rsidR="00050E9A" w:rsidRPr="00603392" w:rsidRDefault="00050E9A" w:rsidP="001B3173">
      <w:pPr>
        <w:pStyle w:val="Title"/>
        <w:spacing w:before="0" w:after="120"/>
        <w:jc w:val="left"/>
        <w:rPr>
          <w:rFonts w:hint="eastAsia"/>
          <w:b w:val="0"/>
          <w:bCs w:val="0"/>
          <w:sz w:val="24"/>
          <w:szCs w:val="24"/>
        </w:rPr>
      </w:pPr>
      <w:r>
        <w:rPr>
          <w:sz w:val="24"/>
        </w:rPr>
        <w:t>Elementos de seguimiento para el Plan de Acción Mundial sobre Diversidad Biológica y Salud</w:t>
      </w:r>
    </w:p>
    <w:p w14:paraId="40C017F3" w14:textId="700B7B05" w:rsidR="00050E9A" w:rsidRPr="00603392" w:rsidRDefault="00050E9A" w:rsidP="009A429E">
      <w:pPr>
        <w:pStyle w:val="CBD-Para1-Not-numbered"/>
        <w:ind w:firstLine="567"/>
      </w:pPr>
      <w:r>
        <w:t>El seguimiento de la implementación del Plan de Acción Mundial sobre Diversidad Biológica y Salud puede valerse de los indicadores del marco de seguimiento del Marco Mundial de Biodiversidad de Kunming-Montreal</w:t>
      </w:r>
      <w:r w:rsidR="002E43EE" w:rsidRPr="00603392">
        <w:rPr>
          <w:rStyle w:val="FootnoteReference"/>
          <w:rFonts w:eastAsiaTheme="minorEastAsia"/>
          <w:lang w:eastAsia="zh-CN"/>
        </w:rPr>
        <w:footnoteReference w:id="61"/>
      </w:r>
      <w:r>
        <w:t xml:space="preserve"> y de los elementos adicionales de seguimiento que obran a continuación:</w:t>
      </w:r>
    </w:p>
    <w:p w14:paraId="24639707" w14:textId="1D574881" w:rsidR="00050E9A" w:rsidRPr="00603392" w:rsidRDefault="00905AB3" w:rsidP="00905AB3">
      <w:pPr>
        <w:tabs>
          <w:tab w:val="left" w:pos="1701"/>
        </w:tabs>
        <w:spacing w:after="120"/>
        <w:ind w:left="567" w:firstLine="544"/>
        <w:rPr>
          <w:rFonts w:asciiTheme="majorBidi" w:hAnsiTheme="majorBidi" w:cstheme="majorBidi"/>
          <w:kern w:val="2"/>
          <w14:ligatures w14:val="standardContextual"/>
        </w:rPr>
      </w:pPr>
      <w:r>
        <w:rPr>
          <w:rFonts w:asciiTheme="majorBidi" w:hAnsiTheme="majorBidi"/>
        </w:rPr>
        <w:t>a)</w:t>
      </w:r>
      <w:r>
        <w:rPr>
          <w:rFonts w:asciiTheme="majorBidi" w:hAnsiTheme="majorBidi"/>
        </w:rPr>
        <w:tab/>
        <w:t>La carga de morbilidad causada por factores ambientales por año (porcentaje) se utiliza como parámetro de medición en los informes gubernamentales a nivel nacional;</w:t>
      </w:r>
    </w:p>
    <w:p w14:paraId="1BA5A18A" w14:textId="042F49E7" w:rsidR="00050E9A" w:rsidRPr="00967643" w:rsidRDefault="00905AB3" w:rsidP="00905AB3">
      <w:pPr>
        <w:tabs>
          <w:tab w:val="left" w:pos="1701"/>
        </w:tabs>
        <w:spacing w:after="120"/>
        <w:ind w:left="567" w:firstLine="544"/>
        <w:rPr>
          <w:rFonts w:asciiTheme="majorBidi" w:eastAsiaTheme="minorEastAsia" w:hAnsiTheme="majorBidi" w:cstheme="majorBidi"/>
          <w:spacing w:val="-2"/>
          <w:kern w:val="2"/>
          <w14:ligatures w14:val="standardContextual"/>
        </w:rPr>
      </w:pPr>
      <w:r w:rsidRPr="00967643">
        <w:rPr>
          <w:rFonts w:asciiTheme="majorBidi" w:hAnsiTheme="majorBidi"/>
          <w:spacing w:val="-2"/>
        </w:rPr>
        <w:t>b)</w:t>
      </w:r>
      <w:r w:rsidRPr="00967643">
        <w:rPr>
          <w:rFonts w:asciiTheme="majorBidi" w:hAnsiTheme="majorBidi"/>
          <w:spacing w:val="-2"/>
        </w:rPr>
        <w:tab/>
        <w:t>Las interrelaciones entre la diversidad biológica y la salud se tienen en consideración en políticas y estrategias sectoriales y como un elemento de los determinantes ambientales de la salud;</w:t>
      </w:r>
    </w:p>
    <w:p w14:paraId="3C32F53D" w14:textId="4682B64F" w:rsidR="00050E9A" w:rsidRPr="00603392" w:rsidRDefault="00905AB3" w:rsidP="00905AB3">
      <w:pPr>
        <w:tabs>
          <w:tab w:val="left" w:pos="1701"/>
        </w:tabs>
        <w:spacing w:after="120"/>
        <w:ind w:left="567" w:firstLine="544"/>
        <w:rPr>
          <w:rFonts w:asciiTheme="majorBidi" w:hAnsiTheme="majorBidi" w:cstheme="majorBidi"/>
          <w:kern w:val="2"/>
          <w14:ligatures w14:val="standardContextual"/>
        </w:rPr>
      </w:pPr>
      <w:r>
        <w:rPr>
          <w:rFonts w:asciiTheme="majorBidi" w:hAnsiTheme="majorBidi"/>
        </w:rPr>
        <w:t>c)</w:t>
      </w:r>
      <w:r>
        <w:rPr>
          <w:rFonts w:asciiTheme="majorBidi" w:hAnsiTheme="majorBidi"/>
        </w:rPr>
        <w:tab/>
        <w:t>La equidad intergeneracional, las funciones diferenciad</w:t>
      </w:r>
      <w:r w:rsidR="00890994">
        <w:rPr>
          <w:rFonts w:asciiTheme="majorBidi" w:hAnsiTheme="majorBidi"/>
        </w:rPr>
        <w:t>a</w:t>
      </w:r>
      <w:r>
        <w:rPr>
          <w:rFonts w:asciiTheme="majorBidi" w:hAnsiTheme="majorBidi"/>
        </w:rPr>
        <w:t>s de mujeres y hombres y los impactos diferenciados que sufre</w:t>
      </w:r>
      <w:r w:rsidR="00890994">
        <w:rPr>
          <w:rFonts w:asciiTheme="majorBidi" w:hAnsiTheme="majorBidi"/>
        </w:rPr>
        <w:t>n</w:t>
      </w:r>
      <w:r w:rsidR="00C33A85">
        <w:rPr>
          <w:rFonts w:asciiTheme="majorBidi" w:hAnsiTheme="majorBidi"/>
        </w:rPr>
        <w:t xml:space="preserve"> y</w:t>
      </w:r>
      <w:r>
        <w:rPr>
          <w:rFonts w:asciiTheme="majorBidi" w:hAnsiTheme="majorBidi"/>
        </w:rPr>
        <w:t xml:space="preserve"> la singular relación de interdependencia de los pueblos indígenas y las comunidades locales con la naturaleza se tienen en consideración en políticas, estrategias y programas nacionales que abordan las interrelaciones entre la diversidad biológica y la salud;</w:t>
      </w:r>
    </w:p>
    <w:p w14:paraId="09F6F14A" w14:textId="76D428B9" w:rsidR="00050E9A" w:rsidRPr="00603392" w:rsidRDefault="00905AB3" w:rsidP="00905AB3">
      <w:pPr>
        <w:tabs>
          <w:tab w:val="left" w:pos="1701"/>
        </w:tabs>
        <w:spacing w:after="120"/>
        <w:ind w:left="567" w:firstLine="544"/>
        <w:rPr>
          <w:rFonts w:asciiTheme="majorBidi" w:hAnsiTheme="majorBidi" w:cstheme="majorBidi"/>
          <w:kern w:val="2"/>
          <w14:ligatures w14:val="standardContextual"/>
        </w:rPr>
      </w:pPr>
      <w:r>
        <w:rPr>
          <w:rFonts w:asciiTheme="majorBidi" w:hAnsiTheme="majorBidi"/>
        </w:rPr>
        <w:t>d)</w:t>
      </w:r>
      <w:r>
        <w:rPr>
          <w:rFonts w:asciiTheme="majorBidi" w:hAnsiTheme="majorBidi"/>
        </w:rPr>
        <w:tab/>
        <w:t>Existen mecanismos de coordinación multisectorial y multidisciplinaria a nivel nacional para abordar las interrelaciones entre la diversidad biológica y la salud;</w:t>
      </w:r>
    </w:p>
    <w:p w14:paraId="61936C56" w14:textId="74E4566A" w:rsidR="00050E9A" w:rsidRPr="00603392" w:rsidRDefault="00905AB3" w:rsidP="00905AB3">
      <w:pPr>
        <w:tabs>
          <w:tab w:val="left" w:pos="1701"/>
        </w:tabs>
        <w:spacing w:after="120"/>
        <w:ind w:left="567" w:firstLine="544"/>
        <w:rPr>
          <w:rFonts w:asciiTheme="majorBidi" w:hAnsiTheme="majorBidi" w:cstheme="majorBidi"/>
          <w:kern w:val="2"/>
          <w14:ligatures w14:val="standardContextual"/>
        </w:rPr>
      </w:pPr>
      <w:r>
        <w:rPr>
          <w:rFonts w:asciiTheme="majorBidi" w:hAnsiTheme="majorBidi"/>
        </w:rPr>
        <w:t>e)</w:t>
      </w:r>
      <w:r>
        <w:rPr>
          <w:rFonts w:asciiTheme="majorBidi" w:hAnsiTheme="majorBidi"/>
        </w:rPr>
        <w:tab/>
        <w:t>Se designan puntos focales nacionales sobre las interrelaciones entre la diversidad biológica y la salud;</w:t>
      </w:r>
    </w:p>
    <w:p w14:paraId="6FB011E1" w14:textId="51501BB6" w:rsidR="00050E9A" w:rsidRPr="00603392" w:rsidRDefault="00905AB3" w:rsidP="00905AB3">
      <w:pPr>
        <w:tabs>
          <w:tab w:val="left" w:pos="1701"/>
        </w:tabs>
        <w:spacing w:after="120"/>
        <w:ind w:left="567" w:firstLine="544"/>
        <w:rPr>
          <w:rFonts w:asciiTheme="majorBidi" w:hAnsiTheme="majorBidi" w:cstheme="majorBidi"/>
          <w:kern w:val="2"/>
          <w14:ligatures w14:val="standardContextual"/>
        </w:rPr>
      </w:pPr>
      <w:r>
        <w:rPr>
          <w:rFonts w:asciiTheme="majorBidi" w:hAnsiTheme="majorBidi"/>
        </w:rPr>
        <w:t>f)</w:t>
      </w:r>
      <w:r>
        <w:rPr>
          <w:rFonts w:asciiTheme="majorBidi" w:hAnsiTheme="majorBidi"/>
        </w:rPr>
        <w:tab/>
        <w:t>Los mecanismos nacionales de coordinación que abordan las interrelaciones entre la diversidad biológica y la salud incorporan diversos sistemas de conocimientos y visiones del mundo;</w:t>
      </w:r>
    </w:p>
    <w:p w14:paraId="50AAE17E" w14:textId="0943E2E5" w:rsidR="00050E9A" w:rsidRPr="00603392" w:rsidRDefault="00905AB3" w:rsidP="00905AB3">
      <w:pPr>
        <w:tabs>
          <w:tab w:val="left" w:pos="1701"/>
        </w:tabs>
        <w:spacing w:after="120"/>
        <w:ind w:left="567" w:right="-20" w:firstLine="544"/>
        <w:rPr>
          <w:rFonts w:asciiTheme="majorBidi" w:hAnsiTheme="majorBidi" w:cstheme="majorBidi"/>
          <w:kern w:val="2"/>
          <w14:ligatures w14:val="standardContextual"/>
        </w:rPr>
      </w:pPr>
      <w:r>
        <w:rPr>
          <w:rFonts w:asciiTheme="majorBidi" w:hAnsiTheme="majorBidi"/>
        </w:rPr>
        <w:t>g)</w:t>
      </w:r>
      <w:r>
        <w:rPr>
          <w:rFonts w:asciiTheme="majorBidi" w:hAnsiTheme="majorBidi"/>
        </w:rPr>
        <w:tab/>
        <w:t>Las interrelaciones entre la diversidad biológica y la salud se incluyen en las estrategias nacionales de salud;</w:t>
      </w:r>
    </w:p>
    <w:p w14:paraId="4699893F" w14:textId="20DA4755" w:rsidR="00050E9A" w:rsidRPr="00603392" w:rsidRDefault="00905AB3" w:rsidP="00905AB3">
      <w:pPr>
        <w:tabs>
          <w:tab w:val="left" w:pos="1701"/>
        </w:tabs>
        <w:spacing w:after="120"/>
        <w:ind w:left="567" w:right="-20" w:firstLine="544"/>
        <w:rPr>
          <w:rFonts w:asciiTheme="majorBidi" w:hAnsiTheme="majorBidi" w:cstheme="majorBidi"/>
          <w:kern w:val="2"/>
          <w14:ligatures w14:val="standardContextual"/>
        </w:rPr>
      </w:pPr>
      <w:r>
        <w:rPr>
          <w:rFonts w:asciiTheme="majorBidi" w:hAnsiTheme="majorBidi"/>
        </w:rPr>
        <w:t>h)</w:t>
      </w:r>
      <w:r>
        <w:rPr>
          <w:rFonts w:asciiTheme="majorBidi" w:hAnsiTheme="majorBidi"/>
        </w:rPr>
        <w:tab/>
        <w:t>Las interrelaciones entre la diversidad biológica y la salud se incluyen en las estrategias y planes de acción nacionales en materia de biodiversidad;</w:t>
      </w:r>
    </w:p>
    <w:p w14:paraId="0B331400" w14:textId="57E254C1" w:rsidR="00050E9A" w:rsidRPr="00603392" w:rsidRDefault="00905AB3" w:rsidP="00905AB3">
      <w:pPr>
        <w:tabs>
          <w:tab w:val="left" w:pos="1701"/>
        </w:tabs>
        <w:spacing w:after="120"/>
        <w:ind w:left="567" w:firstLine="544"/>
        <w:rPr>
          <w:rFonts w:asciiTheme="majorBidi" w:hAnsiTheme="majorBidi" w:cstheme="majorBidi"/>
          <w:kern w:val="2"/>
          <w14:ligatures w14:val="standardContextual"/>
        </w:rPr>
      </w:pPr>
      <w:r>
        <w:t>i)</w:t>
      </w:r>
      <w:r>
        <w:tab/>
        <w:t>Los proyectos de “Una sola salud” tienen en consideración las interrelaciones entre la diversidad biológica y la salud;</w:t>
      </w:r>
    </w:p>
    <w:p w14:paraId="4192FCDF" w14:textId="7420DDBD" w:rsidR="00050E9A" w:rsidRPr="00603392" w:rsidRDefault="00905AB3" w:rsidP="00905AB3">
      <w:pPr>
        <w:tabs>
          <w:tab w:val="left" w:pos="1701"/>
        </w:tabs>
        <w:spacing w:after="120"/>
        <w:ind w:left="567" w:right="-20" w:firstLine="544"/>
        <w:rPr>
          <w:rFonts w:asciiTheme="majorBidi" w:hAnsiTheme="majorBidi" w:cstheme="majorBidi"/>
          <w:kern w:val="2"/>
          <w14:ligatures w14:val="standardContextual"/>
        </w:rPr>
      </w:pPr>
      <w:r>
        <w:rPr>
          <w:rFonts w:asciiTheme="majorBidi" w:hAnsiTheme="majorBidi"/>
        </w:rPr>
        <w:t>j)</w:t>
      </w:r>
      <w:r>
        <w:rPr>
          <w:rFonts w:asciiTheme="majorBidi" w:hAnsiTheme="majorBidi"/>
        </w:rPr>
        <w:tab/>
        <w:t>Se implementan una serie de medidas para la conservación y la utilización sostenible de la diversidad biológica que apoyan la prevención y la reducción de los riesgos de enfermedades transmisibles y no transmisibles;</w:t>
      </w:r>
    </w:p>
    <w:p w14:paraId="3EFBCBAE" w14:textId="2BE78563" w:rsidR="00050E9A" w:rsidRPr="00603392" w:rsidRDefault="00905AB3" w:rsidP="00905AB3">
      <w:pPr>
        <w:tabs>
          <w:tab w:val="left" w:pos="1701"/>
        </w:tabs>
        <w:spacing w:after="120"/>
        <w:ind w:left="567" w:firstLine="544"/>
        <w:rPr>
          <w:rFonts w:asciiTheme="majorBidi" w:hAnsiTheme="majorBidi" w:cstheme="majorBidi"/>
          <w:kern w:val="2"/>
          <w14:ligatures w14:val="standardContextual"/>
        </w:rPr>
      </w:pPr>
      <w:r>
        <w:rPr>
          <w:rFonts w:asciiTheme="majorBidi" w:hAnsiTheme="majorBidi"/>
        </w:rPr>
        <w:t>k)</w:t>
      </w:r>
      <w:r>
        <w:rPr>
          <w:rFonts w:asciiTheme="majorBidi" w:hAnsiTheme="majorBidi"/>
        </w:rPr>
        <w:tab/>
        <w:t>Se detectan alertas de enfermedades y se notifican a través de sistemas de vigilancia intersectoriales e interoperables;</w:t>
      </w:r>
    </w:p>
    <w:p w14:paraId="5CC1B5CA" w14:textId="2F7FA78A" w:rsidR="00050E9A" w:rsidRPr="00603392" w:rsidRDefault="00905AB3" w:rsidP="00905AB3">
      <w:pPr>
        <w:tabs>
          <w:tab w:val="left" w:pos="1701"/>
        </w:tabs>
        <w:spacing w:after="120"/>
        <w:ind w:left="567" w:firstLine="544"/>
        <w:rPr>
          <w:rFonts w:asciiTheme="majorBidi" w:hAnsiTheme="majorBidi" w:cstheme="majorBidi"/>
          <w:kern w:val="2"/>
          <w14:ligatures w14:val="standardContextual"/>
        </w:rPr>
      </w:pPr>
      <w:r>
        <w:rPr>
          <w:rFonts w:asciiTheme="majorBidi" w:hAnsiTheme="majorBidi"/>
        </w:rPr>
        <w:t>l)</w:t>
      </w:r>
      <w:r>
        <w:rPr>
          <w:rFonts w:asciiTheme="majorBidi" w:hAnsiTheme="majorBidi"/>
        </w:rPr>
        <w:tab/>
        <w:t>Las evaluaciones del impacto ambiental incorporan las interrelaciones entre la diversidad biológica y la salud;</w:t>
      </w:r>
    </w:p>
    <w:p w14:paraId="0E67EF96" w14:textId="458F8F77" w:rsidR="00050E9A" w:rsidRPr="00603392" w:rsidRDefault="00905AB3" w:rsidP="00905AB3">
      <w:pPr>
        <w:tabs>
          <w:tab w:val="left" w:pos="1701"/>
        </w:tabs>
        <w:spacing w:after="120"/>
        <w:ind w:left="567" w:firstLine="544"/>
        <w:rPr>
          <w:rFonts w:asciiTheme="majorBidi" w:hAnsiTheme="majorBidi" w:cstheme="majorBidi"/>
          <w:kern w:val="2"/>
          <w14:ligatures w14:val="standardContextual"/>
        </w:rPr>
      </w:pPr>
      <w:r>
        <w:rPr>
          <w:rFonts w:asciiTheme="majorBidi" w:hAnsiTheme="majorBidi"/>
        </w:rPr>
        <w:t>m)</w:t>
      </w:r>
      <w:r>
        <w:rPr>
          <w:rFonts w:asciiTheme="majorBidi" w:hAnsiTheme="majorBidi"/>
        </w:rPr>
        <w:tab/>
        <w:t>Se dispone de materiales y herramientas de comunicación adaptados al contexto nacional para promover la comprensión de las interrelaciones entre la diversidad biológica y la salud y facilitar la participación de una amplia gama de interesados de todos los sectores;</w:t>
      </w:r>
    </w:p>
    <w:p w14:paraId="445F01DE" w14:textId="6BF4E5D4" w:rsidR="00050E9A" w:rsidRPr="00603392" w:rsidRDefault="00905AB3" w:rsidP="00905AB3">
      <w:pPr>
        <w:tabs>
          <w:tab w:val="left" w:pos="1701"/>
        </w:tabs>
        <w:spacing w:after="120"/>
        <w:ind w:left="567" w:right="-20" w:firstLine="544"/>
        <w:rPr>
          <w:rFonts w:asciiTheme="majorBidi" w:hAnsiTheme="majorBidi" w:cstheme="majorBidi"/>
          <w:kern w:val="2"/>
          <w14:ligatures w14:val="standardContextual"/>
        </w:rPr>
      </w:pPr>
      <w:r>
        <w:rPr>
          <w:rFonts w:asciiTheme="majorBidi" w:hAnsiTheme="majorBidi"/>
        </w:rPr>
        <w:t>n)</w:t>
      </w:r>
      <w:r>
        <w:rPr>
          <w:rFonts w:asciiTheme="majorBidi" w:hAnsiTheme="majorBidi"/>
        </w:rPr>
        <w:tab/>
        <w:t>En las estrategias y programas nacionales se incluyen planes de estudios y programas de capacitación sobre las interrelaciones entre la diversidad biológica y la salud;</w:t>
      </w:r>
    </w:p>
    <w:p w14:paraId="0BD77A38" w14:textId="2D21DF11" w:rsidR="00050E9A" w:rsidRPr="00603392" w:rsidRDefault="00905AB3" w:rsidP="00905AB3">
      <w:pPr>
        <w:tabs>
          <w:tab w:val="left" w:pos="1701"/>
        </w:tabs>
        <w:spacing w:after="120"/>
        <w:ind w:left="567" w:firstLine="544"/>
        <w:rPr>
          <w:rFonts w:asciiTheme="majorBidi" w:hAnsiTheme="majorBidi" w:cstheme="majorBidi"/>
          <w:kern w:val="2"/>
          <w14:ligatures w14:val="standardContextual"/>
        </w:rPr>
      </w:pPr>
      <w:r>
        <w:rPr>
          <w:rFonts w:asciiTheme="majorBidi" w:hAnsiTheme="majorBidi"/>
        </w:rPr>
        <w:t>o)</w:t>
      </w:r>
      <w:r>
        <w:rPr>
          <w:rFonts w:asciiTheme="majorBidi" w:hAnsiTheme="majorBidi"/>
        </w:rPr>
        <w:tab/>
        <w:t>Se asigna financiación para investigaciones transdisciplinarias sobre las interrelaciones entre la diversidad biológica y la salud;</w:t>
      </w:r>
    </w:p>
    <w:p w14:paraId="64785E47" w14:textId="14D6E2CC" w:rsidR="00050E9A" w:rsidRPr="00603392" w:rsidRDefault="00905AB3" w:rsidP="00905AB3">
      <w:pPr>
        <w:tabs>
          <w:tab w:val="left" w:pos="1701"/>
        </w:tabs>
        <w:spacing w:after="120"/>
        <w:ind w:left="567" w:right="-20" w:firstLine="544"/>
        <w:rPr>
          <w:rFonts w:asciiTheme="majorBidi" w:hAnsiTheme="majorBidi" w:cstheme="majorBidi"/>
          <w:kern w:val="2"/>
          <w14:ligatures w14:val="standardContextual"/>
        </w:rPr>
      </w:pPr>
      <w:r>
        <w:rPr>
          <w:rFonts w:asciiTheme="majorBidi" w:hAnsiTheme="majorBidi"/>
        </w:rPr>
        <w:t>p)</w:t>
      </w:r>
      <w:r>
        <w:rPr>
          <w:rFonts w:asciiTheme="majorBidi" w:hAnsiTheme="majorBidi"/>
        </w:rPr>
        <w:tab/>
        <w:t>Se asigna financiación a plataformas y espacios de intercambio de conocimientos sobre las interrelaciones entre la diversidad biológica y la salud;</w:t>
      </w:r>
    </w:p>
    <w:p w14:paraId="4B42A172" w14:textId="5280F37F" w:rsidR="005C63B9" w:rsidRPr="00603392" w:rsidRDefault="00AD5735" w:rsidP="00D90FB4">
      <w:pPr>
        <w:tabs>
          <w:tab w:val="left" w:pos="1701"/>
        </w:tabs>
        <w:spacing w:after="120"/>
        <w:ind w:left="567" w:right="-20" w:firstLine="567"/>
        <w:rPr>
          <w:rFonts w:asciiTheme="majorBidi" w:hAnsiTheme="majorBidi" w:cstheme="majorBidi"/>
          <w:kern w:val="2"/>
          <w14:ligatures w14:val="standardContextual"/>
        </w:rPr>
      </w:pPr>
      <w:r>
        <w:rPr>
          <w:rFonts w:asciiTheme="majorBidi" w:hAnsiTheme="majorBidi"/>
        </w:rPr>
        <w:lastRenderedPageBreak/>
        <w:t>q)</w:t>
      </w:r>
      <w:r>
        <w:rPr>
          <w:rFonts w:asciiTheme="majorBidi" w:hAnsiTheme="majorBidi"/>
        </w:rPr>
        <w:tab/>
        <w:t>Los países en desarrollo participan efectivamente en la investigación biotecnológica relacionada con la salud;</w:t>
      </w:r>
    </w:p>
    <w:p w14:paraId="4127A010" w14:textId="1D4E870D" w:rsidR="005C63B9" w:rsidRPr="00890994" w:rsidRDefault="00890994" w:rsidP="00890994">
      <w:pPr>
        <w:tabs>
          <w:tab w:val="left" w:pos="1701"/>
        </w:tabs>
        <w:spacing w:after="120"/>
        <w:ind w:left="540" w:right="-20" w:firstLine="599"/>
        <w:rPr>
          <w:rFonts w:asciiTheme="majorBidi" w:hAnsiTheme="majorBidi" w:cstheme="majorBidi"/>
          <w:kern w:val="2"/>
          <w14:ligatures w14:val="standardContextual"/>
        </w:rPr>
      </w:pPr>
      <w:r>
        <w:rPr>
          <w:rFonts w:asciiTheme="majorBidi" w:hAnsiTheme="majorBidi"/>
        </w:rPr>
        <w:t>r)</w:t>
      </w:r>
      <w:r>
        <w:rPr>
          <w:rFonts w:asciiTheme="majorBidi" w:hAnsiTheme="majorBidi"/>
        </w:rPr>
        <w:tab/>
      </w:r>
      <w:r w:rsidR="005C63B9" w:rsidRPr="00890994">
        <w:rPr>
          <w:rFonts w:asciiTheme="majorBidi" w:hAnsiTheme="majorBidi"/>
        </w:rPr>
        <w:t xml:space="preserve">Los países desarrollados facilitan medios de implementación a los países en desarrollo para apoyar la incorporación de la diversidad biológica y la salud en instrumentos de planificación y </w:t>
      </w:r>
      <w:r w:rsidRPr="00890994">
        <w:rPr>
          <w:rFonts w:asciiTheme="majorBidi" w:hAnsiTheme="majorBidi"/>
        </w:rPr>
        <w:t xml:space="preserve">de </w:t>
      </w:r>
      <w:r w:rsidR="005C63B9" w:rsidRPr="00890994">
        <w:rPr>
          <w:rFonts w:asciiTheme="majorBidi" w:hAnsiTheme="majorBidi"/>
        </w:rPr>
        <w:t>políticas relacionados con la diversidad biológica y la salud;</w:t>
      </w:r>
    </w:p>
    <w:p w14:paraId="78C5C2E0" w14:textId="60DEC995" w:rsidR="00050E9A" w:rsidRPr="00603392" w:rsidRDefault="00905AB3" w:rsidP="00905AB3">
      <w:pPr>
        <w:tabs>
          <w:tab w:val="left" w:pos="1701"/>
        </w:tabs>
        <w:spacing w:after="120"/>
        <w:ind w:left="567" w:right="-20" w:firstLine="544"/>
        <w:rPr>
          <w:rFonts w:asciiTheme="majorBidi" w:hAnsiTheme="majorBidi" w:cstheme="majorBidi"/>
          <w:kern w:val="2"/>
          <w14:ligatures w14:val="standardContextual"/>
        </w:rPr>
      </w:pPr>
      <w:r>
        <w:rPr>
          <w:rFonts w:asciiTheme="majorBidi" w:hAnsiTheme="majorBidi"/>
        </w:rPr>
        <w:t>s)</w:t>
      </w:r>
      <w:r>
        <w:rPr>
          <w:rFonts w:asciiTheme="majorBidi" w:hAnsiTheme="majorBidi"/>
        </w:rPr>
        <w:tab/>
        <w:t>Se convocan diálogos nacionales y se crean plataformas de intercambio de conocimientos para examinar las interrelaciones entre la diversidad biológica y la salud;</w:t>
      </w:r>
    </w:p>
    <w:p w14:paraId="55D1F998" w14:textId="16E10DD6" w:rsidR="00050E9A" w:rsidRPr="00603392" w:rsidRDefault="00905AB3" w:rsidP="00905AB3">
      <w:pPr>
        <w:tabs>
          <w:tab w:val="left" w:pos="1701"/>
        </w:tabs>
        <w:spacing w:after="120"/>
        <w:ind w:left="567" w:right="-20" w:firstLine="544"/>
        <w:rPr>
          <w:rFonts w:asciiTheme="majorBidi" w:hAnsiTheme="majorBidi" w:cstheme="majorBidi"/>
          <w:kern w:val="2"/>
          <w14:ligatures w14:val="standardContextual"/>
        </w:rPr>
      </w:pPr>
      <w:r>
        <w:rPr>
          <w:rFonts w:asciiTheme="majorBidi" w:hAnsiTheme="majorBidi"/>
        </w:rPr>
        <w:t>t)</w:t>
      </w:r>
      <w:r>
        <w:rPr>
          <w:rFonts w:asciiTheme="majorBidi" w:hAnsiTheme="majorBidi"/>
        </w:rPr>
        <w:tab/>
        <w:t>Las interrelaciones entre la diversidad biológica y la salud se incorporan en los planes de estudios médicos y sanitarios y en los de los profesionales de gestión ambiental;</w:t>
      </w:r>
    </w:p>
    <w:p w14:paraId="047671B5" w14:textId="23F06ABB" w:rsidR="00050E9A" w:rsidRPr="00603392" w:rsidRDefault="00905AB3" w:rsidP="00905AB3">
      <w:pPr>
        <w:tabs>
          <w:tab w:val="left" w:pos="1701"/>
        </w:tabs>
        <w:spacing w:after="120"/>
        <w:ind w:left="567" w:right="-20" w:firstLine="544"/>
        <w:rPr>
          <w:rFonts w:asciiTheme="majorBidi" w:hAnsiTheme="majorBidi" w:cstheme="majorBidi"/>
          <w:kern w:val="2"/>
          <w14:ligatures w14:val="standardContextual"/>
        </w:rPr>
      </w:pPr>
      <w:r>
        <w:rPr>
          <w:rFonts w:asciiTheme="majorBidi" w:hAnsiTheme="majorBidi"/>
        </w:rPr>
        <w:t>u)</w:t>
      </w:r>
      <w:r>
        <w:rPr>
          <w:rFonts w:asciiTheme="majorBidi" w:hAnsiTheme="majorBidi"/>
        </w:rPr>
        <w:tab/>
        <w:t>Se reconoce el derecho humano a un medio ambiente limpio, saludable y sostenible y se incluye en los programas de creación de capacidad y de capacitación en todos los sectores.</w:t>
      </w:r>
    </w:p>
    <w:p w14:paraId="26F1D4B1" w14:textId="079BD7F7" w:rsidR="00624965" w:rsidRPr="00EB2F01" w:rsidRDefault="00624965" w:rsidP="00905AB3">
      <w:pPr>
        <w:tabs>
          <w:tab w:val="left" w:pos="1701"/>
        </w:tabs>
        <w:spacing w:after="120"/>
        <w:ind w:left="567" w:right="-20" w:firstLine="544"/>
        <w:rPr>
          <w:kern w:val="2"/>
          <w14:ligatures w14:val="standardContextual"/>
        </w:rPr>
      </w:pPr>
      <w:r>
        <w:t>v)</w:t>
      </w:r>
      <w:r>
        <w:tab/>
        <w:t>Se implementan protocolos y prácticas de seguridad de la biotecnología en las fronteras nacionales y dentro de los países.]</w:t>
      </w:r>
    </w:p>
    <w:p w14:paraId="4EF4D7FD" w14:textId="3D5E36E6" w:rsidR="00050E9A" w:rsidRPr="00603392" w:rsidRDefault="004071E5" w:rsidP="001B3173">
      <w:pPr>
        <w:pStyle w:val="Annex"/>
        <w:spacing w:before="240"/>
        <w:ind w:left="567"/>
        <w:rPr>
          <w:sz w:val="24"/>
          <w:szCs w:val="24"/>
        </w:rPr>
      </w:pPr>
      <w:r>
        <w:rPr>
          <w:sz w:val="24"/>
        </w:rPr>
        <w:t>[Anexo III</w:t>
      </w:r>
    </w:p>
    <w:p w14:paraId="59FA3E72" w14:textId="4C4599DC" w:rsidR="00050E9A" w:rsidRPr="00603392" w:rsidRDefault="00BD1F10" w:rsidP="001B3173">
      <w:pPr>
        <w:spacing w:after="120"/>
        <w:ind w:left="567"/>
        <w:jc w:val="left"/>
        <w:rPr>
          <w:rFonts w:eastAsiaTheme="minorEastAsia"/>
          <w:b/>
          <w:bCs/>
          <w:kern w:val="2"/>
          <w:sz w:val="24"/>
          <w:szCs w:val="24"/>
          <w14:ligatures w14:val="standardContextual"/>
        </w:rPr>
      </w:pPr>
      <w:r>
        <w:rPr>
          <w:rStyle w:val="TitleChar"/>
          <w:sz w:val="24"/>
        </w:rPr>
        <w:t>Elementos de interrelación entre la diversidad biológica y la salud que se considera que promueven la salud y previenen enfermedades</w:t>
      </w:r>
    </w:p>
    <w:p w14:paraId="7A92A0D2" w14:textId="31E275D3" w:rsidR="00502F93" w:rsidRPr="00967643" w:rsidRDefault="00502F93" w:rsidP="00603392">
      <w:pPr>
        <w:pStyle w:val="ListParagraph"/>
        <w:numPr>
          <w:ilvl w:val="0"/>
          <w:numId w:val="63"/>
        </w:numPr>
        <w:spacing w:before="120"/>
        <w:rPr>
          <w:rFonts w:asciiTheme="majorBidi" w:eastAsiaTheme="minorEastAsia" w:hAnsiTheme="majorBidi" w:cstheme="majorBidi"/>
          <w:kern w:val="2"/>
          <w14:ligatures w14:val="standardContextual"/>
        </w:rPr>
      </w:pPr>
      <w:r w:rsidRPr="00967643">
        <w:rPr>
          <w:rFonts w:asciiTheme="majorBidi" w:hAnsiTheme="majorBidi"/>
        </w:rPr>
        <w:t>Calidad del aire</w:t>
      </w:r>
    </w:p>
    <w:p w14:paraId="6630A4B4" w14:textId="7535AAE7" w:rsidR="00502F93" w:rsidRPr="00967643" w:rsidRDefault="00502F93" w:rsidP="00603392">
      <w:pPr>
        <w:pStyle w:val="ListParagraph"/>
        <w:numPr>
          <w:ilvl w:val="0"/>
          <w:numId w:val="63"/>
        </w:numPr>
        <w:spacing w:before="120"/>
        <w:rPr>
          <w:rFonts w:asciiTheme="majorBidi" w:eastAsiaTheme="minorEastAsia" w:hAnsiTheme="majorBidi" w:cstheme="majorBidi"/>
          <w:kern w:val="2"/>
          <w14:ligatures w14:val="standardContextual"/>
        </w:rPr>
      </w:pPr>
      <w:r w:rsidRPr="00967643">
        <w:rPr>
          <w:rFonts w:asciiTheme="majorBidi" w:hAnsiTheme="majorBidi"/>
        </w:rPr>
        <w:t>Calidad y cantidad de</w:t>
      </w:r>
      <w:r w:rsidR="00943FDD">
        <w:rPr>
          <w:rFonts w:asciiTheme="majorBidi" w:hAnsiTheme="majorBidi"/>
        </w:rPr>
        <w:t>l</w:t>
      </w:r>
      <w:r w:rsidRPr="00967643">
        <w:rPr>
          <w:rFonts w:asciiTheme="majorBidi" w:hAnsiTheme="majorBidi"/>
        </w:rPr>
        <w:t xml:space="preserve"> agua dulce y costera y acceso a ella</w:t>
      </w:r>
    </w:p>
    <w:p w14:paraId="732B7683" w14:textId="2D78F1E7" w:rsidR="00502F93" w:rsidRPr="00967643" w:rsidRDefault="00502F93" w:rsidP="00603392">
      <w:pPr>
        <w:pStyle w:val="ListParagraph"/>
        <w:numPr>
          <w:ilvl w:val="0"/>
          <w:numId w:val="63"/>
        </w:numPr>
        <w:spacing w:before="120"/>
        <w:rPr>
          <w:rFonts w:asciiTheme="majorBidi" w:eastAsiaTheme="minorEastAsia" w:hAnsiTheme="majorBidi" w:cstheme="majorBidi"/>
          <w:kern w:val="2"/>
          <w14:ligatures w14:val="standardContextual"/>
        </w:rPr>
      </w:pPr>
      <w:r w:rsidRPr="00967643">
        <w:rPr>
          <w:rFonts w:asciiTheme="majorBidi" w:hAnsiTheme="majorBidi"/>
        </w:rPr>
        <w:t>Calidad, fertilidad y microbioma del suelo y degradación o almacenamiento de contaminantes</w:t>
      </w:r>
    </w:p>
    <w:p w14:paraId="656E79B9" w14:textId="4FBE68A5" w:rsidR="00502F93" w:rsidRPr="00967643" w:rsidRDefault="00502F93" w:rsidP="00603392">
      <w:pPr>
        <w:pStyle w:val="ListParagraph"/>
        <w:numPr>
          <w:ilvl w:val="0"/>
          <w:numId w:val="63"/>
        </w:numPr>
        <w:spacing w:before="120"/>
        <w:rPr>
          <w:rFonts w:asciiTheme="majorBidi" w:eastAsiaTheme="minorEastAsia" w:hAnsiTheme="majorBidi" w:cstheme="majorBidi"/>
          <w:kern w:val="2"/>
          <w14:ligatures w14:val="standardContextual"/>
        </w:rPr>
      </w:pPr>
      <w:r w:rsidRPr="00967643">
        <w:rPr>
          <w:rFonts w:asciiTheme="majorBidi" w:hAnsiTheme="majorBidi"/>
        </w:rPr>
        <w:t>Polinización y dispersión de semillas</w:t>
      </w:r>
    </w:p>
    <w:p w14:paraId="5A408B0B" w14:textId="547A675A" w:rsidR="00502F93" w:rsidRPr="00967643" w:rsidRDefault="00502F93" w:rsidP="00603392">
      <w:pPr>
        <w:pStyle w:val="ListParagraph"/>
        <w:numPr>
          <w:ilvl w:val="0"/>
          <w:numId w:val="63"/>
        </w:numPr>
        <w:spacing w:before="120"/>
        <w:rPr>
          <w:rFonts w:asciiTheme="majorBidi" w:eastAsiaTheme="minorEastAsia" w:hAnsiTheme="majorBidi" w:cstheme="majorBidi"/>
          <w:kern w:val="2"/>
          <w14:ligatures w14:val="standardContextual"/>
        </w:rPr>
      </w:pPr>
      <w:r w:rsidRPr="00967643">
        <w:rPr>
          <w:rFonts w:asciiTheme="majorBidi" w:hAnsiTheme="majorBidi"/>
        </w:rPr>
        <w:t>Producción de alimentos y piensos a partir de organismos silvestres, gestionados o domesticados en tierra y en el océano, y nutrición y diversidad alimentaria</w:t>
      </w:r>
    </w:p>
    <w:p w14:paraId="792300DB" w14:textId="67EFD2B0" w:rsidR="00502F93" w:rsidRPr="00967643" w:rsidRDefault="00502F93" w:rsidP="00603392">
      <w:pPr>
        <w:pStyle w:val="ListParagraph"/>
        <w:numPr>
          <w:ilvl w:val="0"/>
          <w:numId w:val="63"/>
        </w:numPr>
        <w:spacing w:before="120"/>
        <w:rPr>
          <w:rFonts w:asciiTheme="majorBidi" w:eastAsiaTheme="minorEastAsia" w:hAnsiTheme="majorBidi" w:cstheme="majorBidi"/>
          <w:kern w:val="2"/>
          <w14:ligatures w14:val="standardContextual"/>
        </w:rPr>
      </w:pPr>
      <w:r w:rsidRPr="00967643">
        <w:rPr>
          <w:rFonts w:asciiTheme="majorBidi" w:hAnsiTheme="majorBidi"/>
        </w:rPr>
        <w:t>Hábitat (condiciones ecológicas necesarias o favorables para la vida humana)</w:t>
      </w:r>
    </w:p>
    <w:p w14:paraId="4EE4C5EC" w14:textId="64FBD9E5" w:rsidR="00502F93" w:rsidRPr="00967643" w:rsidRDefault="005B21B9" w:rsidP="00603392">
      <w:pPr>
        <w:pStyle w:val="ListParagraph"/>
        <w:numPr>
          <w:ilvl w:val="0"/>
          <w:numId w:val="63"/>
        </w:numPr>
        <w:spacing w:before="120"/>
        <w:rPr>
          <w:rFonts w:asciiTheme="majorBidi" w:eastAsiaTheme="minorEastAsia" w:hAnsiTheme="majorBidi" w:cstheme="majorBidi"/>
          <w:kern w:val="2"/>
          <w14:ligatures w14:val="standardContextual"/>
        </w:rPr>
      </w:pPr>
      <w:r>
        <w:rPr>
          <w:rFonts w:asciiTheme="majorBidi" w:hAnsiTheme="majorBidi"/>
        </w:rPr>
        <w:t>A</w:t>
      </w:r>
      <w:r w:rsidR="00502F93" w:rsidRPr="00967643">
        <w:rPr>
          <w:rFonts w:asciiTheme="majorBidi" w:hAnsiTheme="majorBidi"/>
        </w:rPr>
        <w:t>tenci</w:t>
      </w:r>
      <w:r>
        <w:rPr>
          <w:rFonts w:asciiTheme="majorBidi" w:hAnsiTheme="majorBidi"/>
        </w:rPr>
        <w:t>ón</w:t>
      </w:r>
      <w:r w:rsidR="00502F93" w:rsidRPr="00967643">
        <w:rPr>
          <w:rFonts w:asciiTheme="majorBidi" w:hAnsiTheme="majorBidi"/>
        </w:rPr>
        <w:t xml:space="preserve"> de salud (medicina tradicional y conocimientos médicos tradicionales, medicamentos y productos sanitarios, descubrimientos biomédicos, recursos bioquímicos y genéticos)</w:t>
      </w:r>
    </w:p>
    <w:p w14:paraId="3989CC05" w14:textId="53F46111" w:rsidR="00502F93" w:rsidRPr="00967643" w:rsidRDefault="00502F93" w:rsidP="00603392">
      <w:pPr>
        <w:pStyle w:val="ListParagraph"/>
        <w:numPr>
          <w:ilvl w:val="0"/>
          <w:numId w:val="63"/>
        </w:numPr>
        <w:spacing w:before="120"/>
        <w:rPr>
          <w:rFonts w:asciiTheme="majorBidi" w:eastAsiaTheme="minorEastAsia" w:hAnsiTheme="majorBidi" w:cstheme="majorBidi"/>
          <w:kern w:val="2"/>
          <w14:ligatures w14:val="standardContextual"/>
        </w:rPr>
      </w:pPr>
      <w:r w:rsidRPr="00967643">
        <w:rPr>
          <w:rFonts w:asciiTheme="majorBidi" w:hAnsiTheme="majorBidi"/>
        </w:rPr>
        <w:t xml:space="preserve">Aprendizaje basado en la naturaleza (educación, adquisición de conocimientos e inspiración para el arte y el diseño tecnológico, como la biomímesis) </w:t>
      </w:r>
    </w:p>
    <w:p w14:paraId="7664BB1F" w14:textId="6FF5CEB9" w:rsidR="00502F93" w:rsidRPr="00967643" w:rsidRDefault="00502F93" w:rsidP="00603392">
      <w:pPr>
        <w:pStyle w:val="ListParagraph"/>
        <w:numPr>
          <w:ilvl w:val="0"/>
          <w:numId w:val="63"/>
        </w:numPr>
        <w:spacing w:before="120"/>
        <w:rPr>
          <w:rFonts w:asciiTheme="majorBidi" w:eastAsiaTheme="minorEastAsia" w:hAnsiTheme="majorBidi" w:cstheme="majorBidi"/>
          <w:kern w:val="2"/>
          <w14:ligatures w14:val="standardContextual"/>
        </w:rPr>
      </w:pPr>
      <w:r w:rsidRPr="00967643">
        <w:rPr>
          <w:rFonts w:asciiTheme="majorBidi" w:hAnsiTheme="majorBidi"/>
        </w:rPr>
        <w:t>Regulación de los sistemas terrestres, como el cambio climático, la acidificación de los océanos y los ciclos hidrológicos</w:t>
      </w:r>
      <w:r w:rsidR="00DD2E3D" w:rsidRPr="00967643">
        <w:rPr>
          <w:rStyle w:val="FootnoteReference"/>
          <w:rFonts w:asciiTheme="majorBidi" w:eastAsiaTheme="minorEastAsia" w:hAnsiTheme="majorBidi" w:cstheme="majorBidi"/>
          <w:kern w:val="2"/>
          <w:lang w:eastAsia="zh-CN"/>
        </w:rPr>
        <w:footnoteReference w:id="62"/>
      </w:r>
    </w:p>
    <w:p w14:paraId="116B9644" w14:textId="16BA892C" w:rsidR="00502F93" w:rsidRPr="00967643" w:rsidRDefault="00502F93" w:rsidP="00603392">
      <w:pPr>
        <w:pStyle w:val="ListParagraph"/>
        <w:numPr>
          <w:ilvl w:val="0"/>
          <w:numId w:val="63"/>
        </w:numPr>
        <w:spacing w:before="120"/>
        <w:rPr>
          <w:rFonts w:asciiTheme="majorBidi" w:eastAsiaTheme="minorEastAsia" w:hAnsiTheme="majorBidi" w:cstheme="majorBidi"/>
          <w:kern w:val="2"/>
          <w14:ligatures w14:val="standardContextual"/>
        </w:rPr>
      </w:pPr>
      <w:r w:rsidRPr="00967643">
        <w:rPr>
          <w:rFonts w:asciiTheme="majorBidi" w:hAnsiTheme="majorBidi"/>
        </w:rPr>
        <w:t>Resiliencia ante peligros, fenómenos extremos y desastres naturales</w:t>
      </w:r>
    </w:p>
    <w:p w14:paraId="677067DF" w14:textId="151F6D91" w:rsidR="00502F93" w:rsidRPr="00967643" w:rsidRDefault="00502F93" w:rsidP="00603392">
      <w:pPr>
        <w:pStyle w:val="ListParagraph"/>
        <w:numPr>
          <w:ilvl w:val="0"/>
          <w:numId w:val="63"/>
        </w:numPr>
        <w:spacing w:before="120"/>
        <w:rPr>
          <w:rFonts w:asciiTheme="majorBidi" w:eastAsiaTheme="minorEastAsia" w:hAnsiTheme="majorBidi" w:cstheme="majorBidi"/>
          <w:kern w:val="2"/>
          <w14:ligatures w14:val="standardContextual"/>
        </w:rPr>
      </w:pPr>
      <w:r w:rsidRPr="00967643">
        <w:rPr>
          <w:rFonts w:asciiTheme="majorBidi" w:hAnsiTheme="majorBidi"/>
        </w:rPr>
        <w:t>Biodiversidad microbiana beneficiosa y microbioma humano, incluida la regulación inmunitaria</w:t>
      </w:r>
    </w:p>
    <w:p w14:paraId="5E4DC68D" w14:textId="3207F292" w:rsidR="00502F93" w:rsidRPr="00967643" w:rsidRDefault="00502F93" w:rsidP="00603392">
      <w:pPr>
        <w:pStyle w:val="ListParagraph"/>
        <w:numPr>
          <w:ilvl w:val="0"/>
          <w:numId w:val="63"/>
        </w:numPr>
        <w:spacing w:before="120"/>
        <w:rPr>
          <w:rFonts w:asciiTheme="majorBidi" w:eastAsiaTheme="minorEastAsia" w:hAnsiTheme="majorBidi" w:cstheme="majorBidi"/>
          <w:kern w:val="2"/>
          <w14:ligatures w14:val="standardContextual"/>
        </w:rPr>
      </w:pPr>
      <w:r w:rsidRPr="00967643">
        <w:rPr>
          <w:rFonts w:asciiTheme="majorBidi" w:hAnsiTheme="majorBidi"/>
        </w:rPr>
        <w:t xml:space="preserve">Regulación de plagas, patógenos, depredadores, competidores, parásitos y organismos potencialmente nocivos </w:t>
      </w:r>
    </w:p>
    <w:p w14:paraId="68C708AE" w14:textId="65129BA1" w:rsidR="00502F93" w:rsidRPr="00967643" w:rsidRDefault="00502F93" w:rsidP="00603392">
      <w:pPr>
        <w:pStyle w:val="ListParagraph"/>
        <w:numPr>
          <w:ilvl w:val="0"/>
          <w:numId w:val="63"/>
        </w:numPr>
        <w:spacing w:before="120"/>
        <w:rPr>
          <w:rFonts w:asciiTheme="majorBidi" w:eastAsiaTheme="minorEastAsia" w:hAnsiTheme="majorBidi" w:cstheme="majorBidi"/>
          <w:kern w:val="2"/>
          <w14:ligatures w14:val="standardContextual"/>
        </w:rPr>
      </w:pPr>
      <w:r w:rsidRPr="00967643">
        <w:rPr>
          <w:rFonts w:asciiTheme="majorBidi" w:hAnsiTheme="majorBidi"/>
        </w:rPr>
        <w:t>Curación, relajación, esparcimiento, ocio y disfrute estético basados en un</w:t>
      </w:r>
      <w:r w:rsidR="00AD5C9C">
        <w:rPr>
          <w:rFonts w:asciiTheme="majorBidi" w:hAnsiTheme="majorBidi"/>
        </w:rPr>
        <w:t xml:space="preserve"> contacto,</w:t>
      </w:r>
      <w:r w:rsidRPr="00967643">
        <w:rPr>
          <w:rFonts w:asciiTheme="majorBidi" w:hAnsiTheme="majorBidi"/>
        </w:rPr>
        <w:t xml:space="preserve"> experiencia o interacción positiv</w:t>
      </w:r>
      <w:r w:rsidR="00AD5C9C">
        <w:rPr>
          <w:rFonts w:asciiTheme="majorBidi" w:hAnsiTheme="majorBidi"/>
        </w:rPr>
        <w:t>o</w:t>
      </w:r>
      <w:r w:rsidRPr="00967643">
        <w:rPr>
          <w:rFonts w:asciiTheme="majorBidi" w:hAnsiTheme="majorBidi"/>
        </w:rPr>
        <w:t xml:space="preserve">s con </w:t>
      </w:r>
      <w:r w:rsidR="00AD5C9C">
        <w:rPr>
          <w:rFonts w:asciiTheme="majorBidi" w:hAnsiTheme="majorBidi"/>
        </w:rPr>
        <w:t>naturaleza</w:t>
      </w:r>
    </w:p>
    <w:p w14:paraId="703A9146" w14:textId="39718A43" w:rsidR="00D816A3" w:rsidRPr="00967643" w:rsidRDefault="00502F93" w:rsidP="00603392">
      <w:pPr>
        <w:pStyle w:val="ListParagraph"/>
        <w:numPr>
          <w:ilvl w:val="0"/>
          <w:numId w:val="63"/>
        </w:numPr>
        <w:spacing w:before="120"/>
        <w:rPr>
          <w:rFonts w:asciiTheme="majorBidi" w:eastAsiaTheme="minorEastAsia" w:hAnsiTheme="majorBidi" w:cstheme="majorBidi"/>
          <w:kern w:val="2"/>
          <w14:ligatures w14:val="standardContextual"/>
        </w:rPr>
      </w:pPr>
      <w:r w:rsidRPr="00967643">
        <w:rPr>
          <w:rFonts w:asciiTheme="majorBidi" w:hAnsiTheme="majorBidi"/>
        </w:rPr>
        <w:t>Interconexión intrínseca, cultura e identidades de apoyo (es decir, la base de las experiencias religiosas, espirituales y de cohesión social; sentido de lugar, propósito, pertenencia, arraigo o conexión, asociados con diversas entidades del mundo vivo; relatos y mitos, rituales y celebraciones; satisfacción derivada de saber que existe un paisaje terrestre, paisaje marino, hábitat o especie en particular)</w:t>
      </w:r>
    </w:p>
    <w:p w14:paraId="04640E0D" w14:textId="43737575" w:rsidR="004D465F" w:rsidRPr="00967643" w:rsidRDefault="00502CD8" w:rsidP="00603392">
      <w:pPr>
        <w:pStyle w:val="ListParagraph"/>
        <w:numPr>
          <w:ilvl w:val="0"/>
          <w:numId w:val="63"/>
        </w:numPr>
        <w:spacing w:before="120"/>
        <w:rPr>
          <w:rFonts w:asciiTheme="majorBidi" w:eastAsiaTheme="minorEastAsia" w:hAnsiTheme="majorBidi" w:cstheme="majorBidi"/>
          <w:kern w:val="2"/>
          <w14:ligatures w14:val="standardContextual"/>
        </w:rPr>
      </w:pPr>
      <w:r w:rsidRPr="00967643">
        <w:rPr>
          <w:rFonts w:asciiTheme="majorBidi" w:hAnsiTheme="majorBidi"/>
        </w:rPr>
        <w:t>Salud de los pueblos indígenas y las comunidades locales]</w:t>
      </w:r>
    </w:p>
    <w:p w14:paraId="7AC24CB5" w14:textId="41AB1445" w:rsidR="00CA65BA" w:rsidRPr="00603392" w:rsidRDefault="004071E5" w:rsidP="001B3173">
      <w:pPr>
        <w:pStyle w:val="Annex"/>
        <w:keepNext/>
        <w:spacing w:before="240"/>
        <w:ind w:left="567"/>
        <w:rPr>
          <w:rFonts w:eastAsiaTheme="majorEastAsia"/>
          <w:sz w:val="24"/>
          <w:szCs w:val="24"/>
        </w:rPr>
      </w:pPr>
      <w:r>
        <w:rPr>
          <w:sz w:val="24"/>
        </w:rPr>
        <w:lastRenderedPageBreak/>
        <w:t>[Anexo IV</w:t>
      </w:r>
    </w:p>
    <w:p w14:paraId="511957A0" w14:textId="67C8DB2B" w:rsidR="008F51E2" w:rsidRPr="00603392" w:rsidRDefault="002B1392" w:rsidP="001B3173">
      <w:pPr>
        <w:pStyle w:val="Title"/>
        <w:spacing w:before="0"/>
        <w:rPr>
          <w:rFonts w:hint="eastAsia"/>
          <w:sz w:val="24"/>
          <w:szCs w:val="24"/>
        </w:rPr>
      </w:pPr>
      <w:r>
        <w:rPr>
          <w:sz w:val="24"/>
        </w:rPr>
        <w:t>Mensajes específicos para la integración de la diversidad biológica en el sector de la salud</w:t>
      </w:r>
    </w:p>
    <w:p w14:paraId="629E435E" w14:textId="1274C0A5" w:rsidR="00255DC1" w:rsidRPr="00603392" w:rsidRDefault="008F51E2" w:rsidP="009A429E">
      <w:pPr>
        <w:pStyle w:val="CBD-Para1-Not-numbered"/>
        <w:ind w:firstLine="567"/>
        <w:rPr>
          <w:rFonts w:eastAsiaTheme="minorHAnsi"/>
        </w:rPr>
      </w:pPr>
      <w:r>
        <w:t xml:space="preserve">Los mensajes específicos que figuran a continuación tienen por objeto apoyar la integración de la diversidad biológica en el sector de la salud y la implementación del Plan de Acción Mundial sobre Diversidad Biológica y Salud. También podrían ser utilizados por las Partes, las instituciones que trabajan en los </w:t>
      </w:r>
      <w:r w:rsidR="00AD5C9C">
        <w:t>campos</w:t>
      </w:r>
      <w:r>
        <w:t xml:space="preserve"> de la salud humana, animal y vegetal y el medio ambiente, las organizaciones que trabajan sobre las interrelaciones entre la diversidad biológica y la salud, como, por ejemplo, l</w:t>
      </w:r>
      <w:r w:rsidR="005B21B9">
        <w:t>a</w:t>
      </w:r>
      <w:r>
        <w:t>s establecid</w:t>
      </w:r>
      <w:r w:rsidR="005B21B9">
        <w:t>a</w:t>
      </w:r>
      <w:r>
        <w:t>s en virtud de otros acuerdos multilaterales y organismos intergubernamentales, los pueblos indígenas y las comunidades locales, las mujeres, la infancia, la juventud e interesados pertinentes.</w:t>
      </w:r>
    </w:p>
    <w:p w14:paraId="4C1E55D6" w14:textId="1A9C293C" w:rsidR="008F51E2" w:rsidRPr="00603392" w:rsidRDefault="005B7790" w:rsidP="009A429E">
      <w:pPr>
        <w:pStyle w:val="CBD-heading3-notnumbered"/>
        <w:rPr>
          <w:b w:val="0"/>
          <w:bCs w:val="0"/>
        </w:rPr>
      </w:pPr>
      <w:r>
        <w:t>1.</w:t>
      </w:r>
      <w:r>
        <w:tab/>
        <w:t>La diversidad biológica</w:t>
      </w:r>
      <w:r w:rsidR="008F51E2" w:rsidRPr="00603392">
        <w:rPr>
          <w:b w:val="0"/>
          <w:bCs w:val="0"/>
          <w:vertAlign w:val="superscript"/>
          <w:lang w:val="en-GB"/>
        </w:rPr>
        <w:footnoteReference w:id="63"/>
      </w:r>
      <w:r>
        <w:t xml:space="preserve"> es esencial para la salud y el bienestar humanos y para toda la vida en la Tierra</w:t>
      </w:r>
    </w:p>
    <w:p w14:paraId="020F7D1A" w14:textId="4ECB8E9C" w:rsidR="00F46297" w:rsidRPr="00603392" w:rsidRDefault="00867530" w:rsidP="009A429E">
      <w:pPr>
        <w:tabs>
          <w:tab w:val="left" w:pos="1701"/>
        </w:tabs>
        <w:spacing w:before="120" w:after="120"/>
        <w:ind w:left="567" w:firstLine="567"/>
        <w:rPr>
          <w:rFonts w:asciiTheme="majorBidi" w:eastAsiaTheme="minorHAnsi" w:hAnsiTheme="majorBidi" w:cstheme="majorBidi"/>
          <w:kern w:val="2"/>
          <w14:ligatures w14:val="standardContextual"/>
        </w:rPr>
      </w:pPr>
      <w:r>
        <w:rPr>
          <w:rFonts w:asciiTheme="majorBidi" w:hAnsiTheme="majorBidi"/>
        </w:rPr>
        <w:t>a)</w:t>
      </w:r>
      <w:r>
        <w:rPr>
          <w:rFonts w:asciiTheme="majorBidi" w:hAnsiTheme="majorBidi"/>
        </w:rPr>
        <w:tab/>
        <w:t xml:space="preserve">La salud y el bienestar de todas las especies están interconectados y son interdependientes. Es necesaria una consideración holística de la salud de todas las personas, así como </w:t>
      </w:r>
      <w:r w:rsidR="008409E7">
        <w:rPr>
          <w:rFonts w:asciiTheme="majorBidi" w:hAnsiTheme="majorBidi"/>
        </w:rPr>
        <w:t xml:space="preserve">de la salud </w:t>
      </w:r>
      <w:r>
        <w:rPr>
          <w:rFonts w:asciiTheme="majorBidi" w:hAnsiTheme="majorBidi"/>
        </w:rPr>
        <w:t>de los animales, las plantas y otros organismos, para garantizar una vida en armonía con la naturaleza;</w:t>
      </w:r>
    </w:p>
    <w:p w14:paraId="2BE8EACA" w14:textId="4EEFD459" w:rsidR="00D83EE4" w:rsidRPr="00603392" w:rsidRDefault="00867530" w:rsidP="009A429E">
      <w:pPr>
        <w:tabs>
          <w:tab w:val="left" w:pos="1701"/>
        </w:tabs>
        <w:spacing w:before="120" w:after="120"/>
        <w:ind w:left="567" w:firstLine="567"/>
        <w:rPr>
          <w:rFonts w:asciiTheme="majorBidi" w:eastAsiaTheme="minorHAnsi" w:hAnsiTheme="majorBidi" w:cstheme="majorBidi"/>
          <w:kern w:val="2"/>
          <w14:ligatures w14:val="standardContextual"/>
        </w:rPr>
      </w:pPr>
      <w:r>
        <w:rPr>
          <w:rFonts w:asciiTheme="majorBidi" w:hAnsiTheme="majorBidi"/>
        </w:rPr>
        <w:t>b)</w:t>
      </w:r>
      <w:r>
        <w:rPr>
          <w:rFonts w:asciiTheme="majorBidi" w:hAnsiTheme="majorBidi"/>
        </w:rPr>
        <w:tab/>
        <w:t>La diversidad biológica es un determinante ambiental y social clave de la salud humana, y la conservación, la restauración y la utilización sostenible de la diversidad biológica pueden beneficiar a la salud humana al mantener los servicios de los ecosistemas;</w:t>
      </w:r>
    </w:p>
    <w:p w14:paraId="6E8465C5" w14:textId="6E79A0E4" w:rsidR="00F46297" w:rsidRPr="00603392" w:rsidRDefault="00867530" w:rsidP="00C07F57">
      <w:pPr>
        <w:tabs>
          <w:tab w:val="left" w:pos="1701"/>
        </w:tabs>
        <w:spacing w:before="120" w:after="120"/>
        <w:ind w:left="567" w:firstLine="567"/>
        <w:contextualSpacing/>
        <w:rPr>
          <w:rFonts w:asciiTheme="majorBidi" w:eastAsiaTheme="minorHAnsi" w:hAnsiTheme="majorBidi" w:cstheme="majorBidi"/>
          <w:kern w:val="2"/>
          <w14:ligatures w14:val="standardContextual"/>
        </w:rPr>
      </w:pPr>
      <w:r>
        <w:rPr>
          <w:rFonts w:asciiTheme="majorBidi" w:hAnsiTheme="majorBidi"/>
        </w:rPr>
        <w:t>c)</w:t>
      </w:r>
      <w:r>
        <w:rPr>
          <w:rFonts w:asciiTheme="majorBidi" w:hAnsiTheme="majorBidi"/>
        </w:rPr>
        <w:tab/>
        <w:t>Detener la pérdida de diversidad biológica contribuye a respetar, proteger y hacer valer los derechos humanos a la salud y a un medio ambiente limpio, saludable y sostenible.</w:t>
      </w:r>
    </w:p>
    <w:p w14:paraId="3BC74CA6" w14:textId="6FAFA42D" w:rsidR="008F51E2" w:rsidRPr="00603392" w:rsidRDefault="00FD5540" w:rsidP="009A429E">
      <w:pPr>
        <w:pStyle w:val="CBD-heading3-notnumbered"/>
        <w:rPr>
          <w:b w:val="0"/>
          <w:bCs w:val="0"/>
        </w:rPr>
      </w:pPr>
      <w:r>
        <w:t>2.</w:t>
      </w:r>
      <w:r>
        <w:tab/>
        <w:t xml:space="preserve">La pérdida de diversidad biológica afecta a todos y </w:t>
      </w:r>
      <w:r w:rsidR="008409E7">
        <w:t>supone</w:t>
      </w:r>
      <w:r>
        <w:t xml:space="preserve"> una amenaza para la salud humana</w:t>
      </w:r>
    </w:p>
    <w:p w14:paraId="275DCDFA" w14:textId="7C142476" w:rsidR="009714A8" w:rsidRPr="00603392" w:rsidRDefault="00A07E85" w:rsidP="001F17F4">
      <w:pPr>
        <w:pStyle w:val="CBD-para2-notnumbered"/>
      </w:pPr>
      <w:r>
        <w:t>a)</w:t>
      </w:r>
      <w:r>
        <w:tab/>
        <w:t>Las contribuciones de la naturaleza a las personas afectan</w:t>
      </w:r>
      <w:r w:rsidR="005B21B9">
        <w:t xml:space="preserve"> a</w:t>
      </w:r>
      <w:r>
        <w:t xml:space="preserve"> casi todos los aspectos de la vida, y los cambios en la naturaleza pueden tener un profundo impacto en la calidad de vida, la salud y la equidad sanitaria de las personas;</w:t>
      </w:r>
    </w:p>
    <w:p w14:paraId="67D457CA" w14:textId="1ABF2BDE" w:rsidR="008F51E2" w:rsidRPr="00603392" w:rsidRDefault="00A07E85" w:rsidP="009A429E">
      <w:pPr>
        <w:pStyle w:val="CBD-para2-notnumbered"/>
      </w:pPr>
      <w:r>
        <w:t>b)</w:t>
      </w:r>
      <w:r>
        <w:tab/>
        <w:t>Los impactos adversos que tiene la pérdida de diversidad biológica en la salud difieren en función de las distintas poblaciones, por ejemplo, afectan de forma desproporcionada a las poblaciones en situaci</w:t>
      </w:r>
      <w:r w:rsidR="008409E7">
        <w:t>o</w:t>
      </w:r>
      <w:r>
        <w:t>n</w:t>
      </w:r>
      <w:r w:rsidR="008409E7">
        <w:t>es</w:t>
      </w:r>
      <w:r>
        <w:t xml:space="preserve"> de vulnerabilidad, las mujeres, la infancia, l</w:t>
      </w:r>
      <w:r w:rsidR="008409E7">
        <w:t>a</w:t>
      </w:r>
      <w:r>
        <w:t xml:space="preserve"> j</w:t>
      </w:r>
      <w:r w:rsidR="008409E7">
        <w:t>u</w:t>
      </w:r>
      <w:r>
        <w:t>ven</w:t>
      </w:r>
      <w:r w:rsidR="008409E7">
        <w:t>tud</w:t>
      </w:r>
      <w:r>
        <w:t>, las personas de edad y las personas con discapacidades o en situaci</w:t>
      </w:r>
      <w:r w:rsidR="0019574B">
        <w:t>o</w:t>
      </w:r>
      <w:r>
        <w:t>n</w:t>
      </w:r>
      <w:r w:rsidR="0019574B">
        <w:t>es</w:t>
      </w:r>
      <w:r>
        <w:t xml:space="preserve"> de vulnerabilidad;</w:t>
      </w:r>
    </w:p>
    <w:p w14:paraId="2F0D7B19" w14:textId="0BA94627" w:rsidR="00DA7A99" w:rsidRPr="00603392" w:rsidRDefault="00A07E85" w:rsidP="009A429E">
      <w:pPr>
        <w:pStyle w:val="CBD-para2-notnumbered"/>
      </w:pPr>
      <w:r>
        <w:t>c)</w:t>
      </w:r>
      <w:r>
        <w:tab/>
        <w:t>La degradación ambiental tiene graves consecuencias negativas para los pueblos indígenas y las comunidades locales y su relación indisoluble y de interdependencia con los ecosistemas locales, incluido en lo que respecta a su salud física, mental, emocional y espiritual, sus costumbres alimentarias y sus prácticas y sistemas de curación;</w:t>
      </w:r>
    </w:p>
    <w:p w14:paraId="1722A134" w14:textId="2E8DE5C6" w:rsidR="008F51E2" w:rsidRPr="00603392" w:rsidRDefault="00A07E85" w:rsidP="009A429E">
      <w:pPr>
        <w:pStyle w:val="CBD-para2-notnumbered"/>
      </w:pPr>
      <w:r>
        <w:t>d)</w:t>
      </w:r>
      <w:r>
        <w:tab/>
        <w:t>La degradación ambiental es una crisis sanitaria mundial que determina la epidemiología de las enfermedades transmisibles y no transmisibles, pone a prueba la resiliencia de las comunidades y pone en riesgo a las generaciones futuras.</w:t>
      </w:r>
    </w:p>
    <w:p w14:paraId="5667D3D9" w14:textId="71B52DAE" w:rsidR="00985663" w:rsidRPr="00603392" w:rsidRDefault="00F35F5D" w:rsidP="00A50782">
      <w:pPr>
        <w:tabs>
          <w:tab w:val="left" w:pos="1701"/>
        </w:tabs>
        <w:spacing w:before="120" w:after="120"/>
        <w:ind w:left="562" w:hanging="567"/>
        <w:contextualSpacing/>
        <w:jc w:val="left"/>
        <w:rPr>
          <w:rFonts w:asciiTheme="majorBidi" w:eastAsiaTheme="minorHAnsi" w:hAnsiTheme="majorBidi" w:cstheme="majorBidi"/>
          <w:kern w:val="2"/>
          <w14:ligatures w14:val="standardContextual"/>
        </w:rPr>
      </w:pPr>
      <w:r>
        <w:rPr>
          <w:rFonts w:asciiTheme="majorBidi" w:hAnsiTheme="majorBidi"/>
          <w:b/>
        </w:rPr>
        <w:t>3.</w:t>
      </w:r>
      <w:r>
        <w:rPr>
          <w:rFonts w:asciiTheme="majorBidi" w:hAnsiTheme="majorBidi"/>
        </w:rPr>
        <w:t xml:space="preserve"> </w:t>
      </w:r>
      <w:r>
        <w:rPr>
          <w:rFonts w:asciiTheme="majorBidi" w:hAnsiTheme="majorBidi"/>
        </w:rPr>
        <w:tab/>
      </w:r>
      <w:r>
        <w:rPr>
          <w:rFonts w:asciiTheme="majorBidi" w:hAnsiTheme="majorBidi"/>
          <w:b/>
        </w:rPr>
        <w:t>Promover la utilización sostenible de la diversidad biológica y asegurar el participación justa y equitativa de los beneficios que se deriven de la utilización de los recursos genéticos son herramientas indispensables para generar beneficios para la salud humana.</w:t>
      </w:r>
      <w:r>
        <w:rPr>
          <w:rFonts w:asciiTheme="majorBidi" w:hAnsiTheme="majorBidi"/>
        </w:rPr>
        <w:t xml:space="preserve"> </w:t>
      </w:r>
    </w:p>
    <w:p w14:paraId="6CA03227" w14:textId="394ED369" w:rsidR="00985663" w:rsidRPr="00603392" w:rsidRDefault="00985663" w:rsidP="00A50782">
      <w:pPr>
        <w:pStyle w:val="CBD-para2-notnumbered"/>
        <w:ind w:left="562"/>
      </w:pPr>
      <w:r>
        <w:t>Los recursos genéticos y la información digital sobre secuencias de recursos genéticos contribuyen a la investigación y el desarrollo relacionados con la salud, lo que se traduce en el desarrollo de vacunas</w:t>
      </w:r>
      <w:r w:rsidR="00A50782">
        <w:t xml:space="preserve"> y</w:t>
      </w:r>
      <w:r>
        <w:t xml:space="preserve"> medicamentos, entre otras cosas.</w:t>
      </w:r>
    </w:p>
    <w:p w14:paraId="57C985C0" w14:textId="1800144B" w:rsidR="008F51E2" w:rsidRPr="00603392" w:rsidRDefault="00F35F5D" w:rsidP="009A429E">
      <w:pPr>
        <w:pStyle w:val="CBD-heading3-notnumbered"/>
        <w:ind w:right="288"/>
        <w:jc w:val="left"/>
      </w:pPr>
      <w:r>
        <w:rPr>
          <w:color w:val="000000"/>
        </w:rPr>
        <w:lastRenderedPageBreak/>
        <w:t>4.</w:t>
      </w:r>
      <w:r>
        <w:rPr>
          <w:color w:val="000000"/>
        </w:rPr>
        <w:tab/>
      </w:r>
      <w:r>
        <w:t>Los profesionales de la salud y los sistemas sanitarios, incluida la práctica de la medicina tradicional, dependen de la diversidad biológica para prevenir, diagnosticar, mejorar y tratar enfermedades físicas y mentales</w:t>
      </w:r>
      <w:r>
        <w:rPr>
          <w:vertAlign w:val="superscript"/>
        </w:rPr>
        <w:t xml:space="preserve"> </w:t>
      </w:r>
    </w:p>
    <w:p w14:paraId="691CE93E" w14:textId="0020B1B5" w:rsidR="008F51E2" w:rsidRPr="00603392" w:rsidRDefault="008F51E2" w:rsidP="00CF05A9">
      <w:pPr>
        <w:pStyle w:val="CBD-para2-notnumbered"/>
      </w:pPr>
      <w:r>
        <w:t>La ciencia, incluidos los conocimientos y prácticas de salud tradicionales y diversos, deben considerarse conjuntamente, a fin</w:t>
      </w:r>
      <w:r w:rsidR="00A50782">
        <w:t xml:space="preserve"> de</w:t>
      </w:r>
      <w:r>
        <w:t xml:space="preserve"> intercambiar prácticas óptimas y conocimientos y revisar la validación científica de los diferentes enfoques para mejorar y promover la salud y el bienestar. Superar el dualismo, la separación y los desequilibrios en las relaciones entre los seres humanos y la naturaleza es fundamental para hacer frente a las crisis de diversidad biológica y salud. </w:t>
      </w:r>
    </w:p>
    <w:p w14:paraId="1CF232AE" w14:textId="56CF4687" w:rsidR="008F51E2" w:rsidRPr="00603392" w:rsidRDefault="00F35F5D" w:rsidP="00603392">
      <w:pPr>
        <w:pStyle w:val="CBD-heading3-notnumbered"/>
        <w:keepNext/>
        <w:jc w:val="left"/>
      </w:pPr>
      <w:r>
        <w:t>5.</w:t>
      </w:r>
      <w:r>
        <w:tab/>
        <w:t>Se necesitan intervenciones relacionadas tanto con la salud como con la diversidad biológica para gestionar los riesgos sanitarios de corto y largo plazo provocados por la pérdida de diversidad biológica y por prácticas insostenibles</w:t>
      </w:r>
    </w:p>
    <w:p w14:paraId="69D36196" w14:textId="45934199" w:rsidR="00161A2A" w:rsidRPr="00603392" w:rsidRDefault="00E2290F" w:rsidP="009A429E">
      <w:pPr>
        <w:pStyle w:val="CBD-para2-notnumbered"/>
      </w:pPr>
      <w:r>
        <w:t>a)</w:t>
      </w:r>
      <w:r>
        <w:tab/>
        <w:t xml:space="preserve">Todos los ecosistemas, incluidos los creados por </w:t>
      </w:r>
      <w:r w:rsidR="00A50782">
        <w:t>los seres humanos</w:t>
      </w:r>
      <w:r>
        <w:t>, así como la utilización de la vida silvestre, debe</w:t>
      </w:r>
      <w:r w:rsidR="00A50782">
        <w:t>ría</w:t>
      </w:r>
      <w:r>
        <w:t xml:space="preserve">n gestionarse de manera sostenible para promover la salud de los ecosistemas y el bienestar de </w:t>
      </w:r>
      <w:r w:rsidR="00A50782">
        <w:t xml:space="preserve">los animales, las plantas y los </w:t>
      </w:r>
      <w:r>
        <w:t>ser</w:t>
      </w:r>
      <w:r w:rsidR="00A50782">
        <w:t>es</w:t>
      </w:r>
      <w:r>
        <w:t xml:space="preserve"> humano</w:t>
      </w:r>
      <w:r w:rsidR="00A50782">
        <w:t>s</w:t>
      </w:r>
      <w:r>
        <w:t>;</w:t>
      </w:r>
    </w:p>
    <w:p w14:paraId="128F08F7" w14:textId="3E17410A" w:rsidR="008F51E2" w:rsidRPr="00603392" w:rsidRDefault="00E2290F" w:rsidP="009A429E">
      <w:pPr>
        <w:pStyle w:val="CBD-para2-notnumbered"/>
      </w:pPr>
      <w:r>
        <w:t>b)</w:t>
      </w:r>
      <w:r>
        <w:tab/>
        <w:t xml:space="preserve">Salvaguardar los determinantes ambientales y sociales de la salud es un desafío común. Las políticas y prácticas ambientales y de salud integradas se refuerzan mutuamente, mientras que los enfoques aislados para abordar los problemas y riesgos ambientales, sociales y de salud son ineficaces y pueden tener impactos adversos no </w:t>
      </w:r>
      <w:r w:rsidR="0034765F">
        <w:t>intencionales</w:t>
      </w:r>
      <w:r>
        <w:t xml:space="preserve"> en la salud, en particular para las poblaciones pobres y vulnerables, y en el medio ambiente.</w:t>
      </w:r>
    </w:p>
    <w:p w14:paraId="2CA6F0BC" w14:textId="1F2343DD" w:rsidR="008F51E2" w:rsidRPr="00603392" w:rsidRDefault="00F35F5D" w:rsidP="00603392">
      <w:pPr>
        <w:pStyle w:val="CBD-heading3-notnumbered"/>
        <w:keepNext/>
        <w:ind w:left="562" w:hanging="562"/>
        <w:jc w:val="left"/>
      </w:pPr>
      <w:r>
        <w:t>6.</w:t>
      </w:r>
      <w:r>
        <w:tab/>
        <w:t>El impacto del cambio climático en la naturaleza impulsa y exacerba los riesgos para la salud de las personas y es perjudicial para el funcionamiento saludable de los ecosistemas</w:t>
      </w:r>
    </w:p>
    <w:p w14:paraId="01797B46" w14:textId="548D319D" w:rsidR="004D4038" w:rsidRPr="00603392" w:rsidRDefault="008F51E2" w:rsidP="009A429E">
      <w:pPr>
        <w:pStyle w:val="CBD-para2-notnumbered"/>
      </w:pPr>
      <w:r>
        <w:t xml:space="preserve">Salvaguardar la diversidad biológica y los ecosistemas es fundamental para mejorar la resiliencia ante los efectos del cambio climático y reducir al mínimo sus </w:t>
      </w:r>
      <w:r w:rsidR="0034765F">
        <w:t>impa</w:t>
      </w:r>
      <w:r>
        <w:t>ctos adversos en la salud.</w:t>
      </w:r>
    </w:p>
    <w:p w14:paraId="767C88E8" w14:textId="4054AE81" w:rsidR="004D4038" w:rsidRPr="00603392" w:rsidRDefault="0045697E" w:rsidP="009A429E">
      <w:pPr>
        <w:pStyle w:val="CBD-heading3-notnumbered"/>
      </w:pPr>
      <w:r>
        <w:t>7.</w:t>
      </w:r>
      <w:r>
        <w:tab/>
        <w:t>La contaminación en todas sus formas es perjudicial para la diversidad biológica y plantea problemas de salud a los seres humanos y a todas las demás especies</w:t>
      </w:r>
    </w:p>
    <w:p w14:paraId="29979A3A" w14:textId="6EC0F4D4" w:rsidR="008F63E9" w:rsidRPr="00603392" w:rsidRDefault="008A3EF9" w:rsidP="009A429E">
      <w:pPr>
        <w:pStyle w:val="CBD-para2-notnumbered"/>
      </w:pPr>
      <w:r>
        <w:t>Reducir y prevenir eficazmente la contaminación procedente de todas las fuentes puede mejorar la salud y el bienestar y prevenir enfermedades.</w:t>
      </w:r>
    </w:p>
    <w:p w14:paraId="3B9A60DE" w14:textId="08242EC8" w:rsidR="004A0694" w:rsidRPr="00603392" w:rsidRDefault="0045697E" w:rsidP="00603392">
      <w:pPr>
        <w:pStyle w:val="CBD-para2-notnumbered"/>
        <w:ind w:hanging="567"/>
        <w:jc w:val="left"/>
        <w:rPr>
          <w:b/>
          <w:bCs/>
        </w:rPr>
      </w:pPr>
      <w:r>
        <w:rPr>
          <w:b/>
        </w:rPr>
        <w:t>8.</w:t>
      </w:r>
      <w:r>
        <w:tab/>
      </w:r>
      <w:r>
        <w:rPr>
          <w:b/>
        </w:rPr>
        <w:t>La seguridad de la biotecnología es esencial para regular y controlar el movimiento de especies exóticas invasoras,</w:t>
      </w:r>
      <w:r w:rsidR="00F945AB">
        <w:rPr>
          <w:b/>
        </w:rPr>
        <w:t xml:space="preserve"> las</w:t>
      </w:r>
      <w:r>
        <w:rPr>
          <w:b/>
        </w:rPr>
        <w:t xml:space="preserve"> enfermedades infecciosas emergentes, otros organismos que pueden tener impactos negativos en la diversidad biológica y la salud y las inter</w:t>
      </w:r>
      <w:r w:rsidR="0034765F">
        <w:rPr>
          <w:b/>
        </w:rPr>
        <w:t>acciones sinérgicas entre ellos</w:t>
      </w:r>
    </w:p>
    <w:p w14:paraId="6DFA213B" w14:textId="431EB814" w:rsidR="00206E3D" w:rsidRPr="00603392" w:rsidRDefault="004A0694" w:rsidP="004A0694">
      <w:pPr>
        <w:pStyle w:val="CBD-para2-notnumbered"/>
      </w:pPr>
      <w:r>
        <w:t>Una seguridad de la biotecnología eficaz suele ser un pilar de la diversidad biológica y la salud y se reconoce que la prevención suele ser mucho más eficaz en función de los costos que la restauración.]</w:t>
      </w:r>
    </w:p>
    <w:p w14:paraId="04B02566" w14:textId="67588250" w:rsidR="00B47783" w:rsidRPr="00EB2F01" w:rsidRDefault="003249EC" w:rsidP="009A429E">
      <w:pPr>
        <w:jc w:val="center"/>
        <w:rPr>
          <w:rFonts w:asciiTheme="majorBidi" w:eastAsiaTheme="minorHAnsi" w:hAnsiTheme="majorBidi" w:cstheme="majorBidi"/>
          <w:kern w:val="2"/>
          <w14:ligatures w14:val="standardContextual"/>
        </w:rPr>
      </w:pPr>
      <w:r>
        <w:rPr>
          <w:rFonts w:asciiTheme="majorBidi" w:hAnsiTheme="majorBidi"/>
        </w:rPr>
        <w:t>__________</w:t>
      </w:r>
    </w:p>
    <w:sectPr w:rsidR="00B47783" w:rsidRPr="00EB2F01" w:rsidSect="000649F1">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697BE" w14:textId="77777777" w:rsidR="007E2709" w:rsidRDefault="007E2709" w:rsidP="00A96B21">
      <w:r>
        <w:separator/>
      </w:r>
    </w:p>
  </w:endnote>
  <w:endnote w:type="continuationSeparator" w:id="0">
    <w:p w14:paraId="413B47EC" w14:textId="77777777" w:rsidR="007E2709" w:rsidRDefault="007E2709" w:rsidP="00A96B21">
      <w:r>
        <w:continuationSeparator/>
      </w:r>
    </w:p>
  </w:endnote>
  <w:endnote w:type="continuationNotice" w:id="1">
    <w:p w14:paraId="18844A8B" w14:textId="77777777" w:rsidR="007E2709" w:rsidRDefault="007E2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5E765" w14:textId="7F456A78" w:rsidR="00151CEF" w:rsidRDefault="007E2709">
    <w:pPr>
      <w:pStyle w:val="Footer"/>
      <w:ind w:right="360"/>
    </w:pPr>
    <w:sdt>
      <w:sdtPr>
        <w:id w:val="510801899"/>
        <w:docPartObj>
          <w:docPartGallery w:val="Page Numbers (Top of Page)"/>
          <w:docPartUnique/>
        </w:docPartObj>
      </w:sdtPr>
      <w:sdtEndPr/>
      <w:sdtContent>
        <w:r w:rsidR="00151CEF" w:rsidRPr="002B559C">
          <w:rPr>
            <w:sz w:val="20"/>
          </w:rPr>
          <w:fldChar w:fldCharType="begin"/>
        </w:r>
        <w:r w:rsidR="00151CEF" w:rsidRPr="002B559C">
          <w:rPr>
            <w:sz w:val="20"/>
          </w:rPr>
          <w:instrText xml:space="preserve"> PAGE </w:instrText>
        </w:r>
        <w:r w:rsidR="00151CEF" w:rsidRPr="002B559C">
          <w:rPr>
            <w:sz w:val="20"/>
          </w:rPr>
          <w:fldChar w:fldCharType="separate"/>
        </w:r>
        <w:r w:rsidR="00696B99">
          <w:rPr>
            <w:noProof/>
            <w:sz w:val="20"/>
          </w:rPr>
          <w:t>20</w:t>
        </w:r>
        <w:r w:rsidR="00151CEF" w:rsidRPr="002B559C">
          <w:rPr>
            <w:sz w:val="20"/>
          </w:rPr>
          <w:fldChar w:fldCharType="end"/>
        </w:r>
        <w:r w:rsidR="00151CEF">
          <w:rPr>
            <w:sz w:val="20"/>
          </w:rPr>
          <w:t>/</w:t>
        </w:r>
        <w:r w:rsidR="00151CEF" w:rsidRPr="002B559C">
          <w:rPr>
            <w:sz w:val="20"/>
          </w:rPr>
          <w:fldChar w:fldCharType="begin"/>
        </w:r>
        <w:r w:rsidR="00151CEF" w:rsidRPr="002B559C">
          <w:rPr>
            <w:sz w:val="20"/>
          </w:rPr>
          <w:instrText xml:space="preserve"> NUMPAGES  </w:instrText>
        </w:r>
        <w:r w:rsidR="00151CEF" w:rsidRPr="002B559C">
          <w:rPr>
            <w:sz w:val="20"/>
          </w:rPr>
          <w:fldChar w:fldCharType="separate"/>
        </w:r>
        <w:r w:rsidR="00696B99">
          <w:rPr>
            <w:noProof/>
            <w:sz w:val="20"/>
          </w:rPr>
          <w:t>26</w:t>
        </w:r>
        <w:r w:rsidR="00151CEF" w:rsidRPr="002B559C">
          <w:rPr>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1A9E" w14:textId="3C84F573" w:rsidR="00151CEF" w:rsidRDefault="007E2709" w:rsidP="009A429E">
    <w:pPr>
      <w:pStyle w:val="Footer"/>
      <w:ind w:right="360"/>
      <w:jc w:val="right"/>
    </w:pPr>
    <w:sdt>
      <w:sdtPr>
        <w:id w:val="969402045"/>
        <w:docPartObj>
          <w:docPartGallery w:val="Page Numbers (Top of Page)"/>
          <w:docPartUnique/>
        </w:docPartObj>
      </w:sdtPr>
      <w:sdtEndPr/>
      <w:sdtContent>
        <w:r w:rsidR="00151CEF" w:rsidRPr="002B559C">
          <w:rPr>
            <w:sz w:val="20"/>
          </w:rPr>
          <w:fldChar w:fldCharType="begin"/>
        </w:r>
        <w:r w:rsidR="00151CEF" w:rsidRPr="002B559C">
          <w:rPr>
            <w:sz w:val="20"/>
          </w:rPr>
          <w:instrText xml:space="preserve"> PAGE </w:instrText>
        </w:r>
        <w:r w:rsidR="00151CEF" w:rsidRPr="002B559C">
          <w:rPr>
            <w:sz w:val="20"/>
          </w:rPr>
          <w:fldChar w:fldCharType="separate"/>
        </w:r>
        <w:r w:rsidR="00696B99">
          <w:rPr>
            <w:noProof/>
            <w:sz w:val="20"/>
          </w:rPr>
          <w:t>19</w:t>
        </w:r>
        <w:r w:rsidR="00151CEF" w:rsidRPr="002B559C">
          <w:rPr>
            <w:sz w:val="20"/>
          </w:rPr>
          <w:fldChar w:fldCharType="end"/>
        </w:r>
        <w:r w:rsidR="00151CEF">
          <w:rPr>
            <w:sz w:val="20"/>
          </w:rPr>
          <w:t>/</w:t>
        </w:r>
        <w:r w:rsidR="00151CEF" w:rsidRPr="002B559C">
          <w:rPr>
            <w:sz w:val="20"/>
          </w:rPr>
          <w:fldChar w:fldCharType="begin"/>
        </w:r>
        <w:r w:rsidR="00151CEF" w:rsidRPr="002B559C">
          <w:rPr>
            <w:sz w:val="20"/>
          </w:rPr>
          <w:instrText xml:space="preserve"> NUMPAGES  </w:instrText>
        </w:r>
        <w:r w:rsidR="00151CEF" w:rsidRPr="002B559C">
          <w:rPr>
            <w:sz w:val="20"/>
          </w:rPr>
          <w:fldChar w:fldCharType="separate"/>
        </w:r>
        <w:r w:rsidR="00696B99">
          <w:rPr>
            <w:noProof/>
            <w:sz w:val="20"/>
          </w:rPr>
          <w:t>26</w:t>
        </w:r>
        <w:r w:rsidR="00151CEF" w:rsidRPr="002B559C">
          <w:rPr>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F72F8" w14:textId="77777777" w:rsidR="007E2709" w:rsidRDefault="007E2709" w:rsidP="00A96B21">
      <w:r>
        <w:separator/>
      </w:r>
    </w:p>
  </w:footnote>
  <w:footnote w:type="continuationSeparator" w:id="0">
    <w:p w14:paraId="1C5F3636" w14:textId="77777777" w:rsidR="007E2709" w:rsidRDefault="007E2709" w:rsidP="00A96B21">
      <w:r>
        <w:continuationSeparator/>
      </w:r>
    </w:p>
  </w:footnote>
  <w:footnote w:type="continuationNotice" w:id="1">
    <w:p w14:paraId="67BADD36" w14:textId="77777777" w:rsidR="007E2709" w:rsidRDefault="007E2709"/>
  </w:footnote>
  <w:footnote w:id="2">
    <w:p w14:paraId="6CDCA84E" w14:textId="1678794E" w:rsidR="00151CEF" w:rsidRPr="00603392" w:rsidRDefault="00151CEF">
      <w:pPr>
        <w:pStyle w:val="FootnoteText"/>
        <w:rPr>
          <w:sz w:val="18"/>
          <w:szCs w:val="18"/>
        </w:rPr>
      </w:pPr>
      <w:r>
        <w:rPr>
          <w:rStyle w:val="FootnoteReference"/>
          <w:sz w:val="18"/>
          <w:szCs w:val="18"/>
        </w:rPr>
        <w:footnoteRef/>
      </w:r>
      <w:r>
        <w:rPr>
          <w:sz w:val="18"/>
        </w:rPr>
        <w:t xml:space="preserve"> Decisión 15/4, anexo.</w:t>
      </w:r>
    </w:p>
  </w:footnote>
  <w:footnote w:id="3">
    <w:p w14:paraId="14A9B59E" w14:textId="05B3E644" w:rsidR="00151CEF" w:rsidRPr="00603392" w:rsidRDefault="00151CEF">
      <w:pPr>
        <w:pStyle w:val="FootnoteText"/>
        <w:rPr>
          <w:sz w:val="18"/>
          <w:szCs w:val="18"/>
        </w:rPr>
      </w:pPr>
      <w:r>
        <w:rPr>
          <w:rStyle w:val="FootnoteReference"/>
          <w:sz w:val="18"/>
          <w:szCs w:val="18"/>
        </w:rPr>
        <w:footnoteRef/>
      </w:r>
      <w:r>
        <w:rPr>
          <w:sz w:val="18"/>
        </w:rPr>
        <w:t xml:space="preserve"> </w:t>
      </w:r>
      <w:r>
        <w:rPr>
          <w:color w:val="000000"/>
          <w:sz w:val="18"/>
        </w:rPr>
        <w:t xml:space="preserve">Naciones Unidas, </w:t>
      </w:r>
      <w:r>
        <w:rPr>
          <w:i/>
          <w:color w:val="000000"/>
          <w:sz w:val="18"/>
        </w:rPr>
        <w:t>Treaty Series</w:t>
      </w:r>
      <w:r>
        <w:rPr>
          <w:color w:val="000000"/>
          <w:sz w:val="18"/>
        </w:rPr>
        <w:t>,</w:t>
      </w:r>
      <w:r>
        <w:rPr>
          <w:i/>
          <w:color w:val="000000"/>
          <w:sz w:val="18"/>
        </w:rPr>
        <w:t xml:space="preserve"> </w:t>
      </w:r>
      <w:r>
        <w:rPr>
          <w:color w:val="000000"/>
          <w:sz w:val="18"/>
        </w:rPr>
        <w:t>vol. 1760, núm. 30619.</w:t>
      </w:r>
    </w:p>
  </w:footnote>
  <w:footnote w:id="4">
    <w:p w14:paraId="3164F64C" w14:textId="75EC2C3C" w:rsidR="00151CEF" w:rsidRPr="00603392" w:rsidRDefault="00151CEF">
      <w:pPr>
        <w:pStyle w:val="FootnoteText"/>
        <w:rPr>
          <w:sz w:val="18"/>
          <w:szCs w:val="18"/>
        </w:rPr>
      </w:pPr>
      <w:r>
        <w:rPr>
          <w:rStyle w:val="FootnoteReference"/>
          <w:sz w:val="18"/>
          <w:szCs w:val="18"/>
        </w:rPr>
        <w:footnoteRef/>
      </w:r>
      <w:r>
        <w:rPr>
          <w:sz w:val="18"/>
        </w:rPr>
        <w:t xml:space="preserve"> CBD/SBSTTA/26/4, anexo I.</w:t>
      </w:r>
    </w:p>
  </w:footnote>
  <w:footnote w:id="5">
    <w:p w14:paraId="30810B1C" w14:textId="25843FFE" w:rsidR="00151CEF" w:rsidRPr="00D76BE1" w:rsidRDefault="00151CEF" w:rsidP="00262A48">
      <w:pPr>
        <w:pStyle w:val="FootnoteText"/>
        <w:rPr>
          <w:sz w:val="18"/>
          <w:szCs w:val="18"/>
        </w:rPr>
      </w:pPr>
      <w:r>
        <w:rPr>
          <w:rStyle w:val="FootnoteReference"/>
          <w:sz w:val="18"/>
          <w:szCs w:val="18"/>
        </w:rPr>
        <w:footnoteRef/>
      </w:r>
      <w:r>
        <w:rPr>
          <w:sz w:val="18"/>
        </w:rPr>
        <w:t xml:space="preserve"> Organización Mundial de la Salud, “Manifiesto a favor de una recuperación saludable de la COVID-19. Recomendaciones para una recuperación de la COVID-19 saludable y respetuosa con el medio ambiente”, 2020.</w:t>
      </w:r>
    </w:p>
  </w:footnote>
  <w:footnote w:id="6">
    <w:p w14:paraId="6D0D2293" w14:textId="242EE94D" w:rsidR="00151CEF" w:rsidRPr="00603392" w:rsidRDefault="00151CEF">
      <w:pPr>
        <w:pStyle w:val="FootnoteText"/>
        <w:rPr>
          <w:sz w:val="18"/>
          <w:szCs w:val="18"/>
        </w:rPr>
      </w:pPr>
      <w:r>
        <w:rPr>
          <w:rStyle w:val="FootnoteReference"/>
          <w:sz w:val="18"/>
          <w:szCs w:val="18"/>
        </w:rPr>
        <w:footnoteRef/>
      </w:r>
      <w:r>
        <w:rPr>
          <w:sz w:val="18"/>
        </w:rPr>
        <w:t xml:space="preserve"> Aprobado por la Conferencia de las Partes en la Convención Marco de las Naciones Unidas sobre el Cambio Climático en su decisión 1/CP.21 (FCCC/CP/2015/10/Add.1).</w:t>
      </w:r>
    </w:p>
  </w:footnote>
  <w:footnote w:id="7">
    <w:p w14:paraId="6EFF377F" w14:textId="6B51FA07" w:rsidR="00151CEF" w:rsidRPr="00603392" w:rsidRDefault="00151CEF">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rPr>
        <w:t xml:space="preserve"> </w:t>
      </w:r>
      <w:hyperlink r:id="rId1" w:history="1">
        <w:r>
          <w:rPr>
            <w:rFonts w:asciiTheme="majorBidi" w:hAnsiTheme="majorBidi"/>
            <w:color w:val="0000FF"/>
            <w:sz w:val="18"/>
            <w:u w:val="single"/>
          </w:rPr>
          <w:t>E/C.19/2023/5</w:t>
        </w:r>
      </w:hyperlink>
      <w:r>
        <w:rPr>
          <w:rFonts w:asciiTheme="majorBidi" w:hAnsiTheme="majorBidi"/>
          <w:color w:val="0563C1"/>
          <w:sz w:val="18"/>
          <w:u w:val="single"/>
        </w:rPr>
        <w:t>,</w:t>
      </w:r>
      <w:r>
        <w:rPr>
          <w:rFonts w:asciiTheme="majorBidi" w:hAnsiTheme="majorBidi"/>
          <w:sz w:val="18"/>
        </w:rPr>
        <w:t xml:space="preserve"> para. 24.</w:t>
      </w:r>
    </w:p>
  </w:footnote>
  <w:footnote w:id="8">
    <w:p w14:paraId="46D11E6B" w14:textId="2F564B23" w:rsidR="00151CEF" w:rsidRPr="00603392" w:rsidRDefault="00151CEF">
      <w:pPr>
        <w:pStyle w:val="FootnoteText"/>
        <w:rPr>
          <w:sz w:val="18"/>
          <w:szCs w:val="18"/>
        </w:rPr>
      </w:pPr>
      <w:r>
        <w:rPr>
          <w:rStyle w:val="FootnoteReference"/>
          <w:sz w:val="18"/>
          <w:szCs w:val="18"/>
        </w:rPr>
        <w:footnoteRef/>
      </w:r>
      <w:r>
        <w:rPr>
          <w:sz w:val="18"/>
        </w:rPr>
        <w:t xml:space="preserve"> Decisión 15/4, anexo.</w:t>
      </w:r>
    </w:p>
  </w:footnote>
  <w:footnote w:id="9">
    <w:p w14:paraId="6062C977" w14:textId="62E4E238" w:rsidR="00151CEF" w:rsidRPr="00485433" w:rsidRDefault="00151CEF" w:rsidP="00862AC8">
      <w:pPr>
        <w:pStyle w:val="FootnoteText"/>
        <w:rPr>
          <w:sz w:val="18"/>
          <w:szCs w:val="18"/>
          <w:highlight w:val="yellow"/>
        </w:rPr>
      </w:pPr>
      <w:r w:rsidRPr="00485433">
        <w:rPr>
          <w:rStyle w:val="FootnoteReference"/>
          <w:sz w:val="18"/>
          <w:szCs w:val="18"/>
        </w:rPr>
        <w:footnoteRef/>
      </w:r>
      <w:r w:rsidRPr="00485433">
        <w:rPr>
          <w:sz w:val="18"/>
          <w:szCs w:val="18"/>
        </w:rPr>
        <w:t xml:space="preserve"> </w:t>
      </w:r>
      <w:r>
        <w:rPr>
          <w:sz w:val="18"/>
          <w:szCs w:val="18"/>
        </w:rPr>
        <w:t>El Órgano</w:t>
      </w:r>
      <w:r w:rsidRPr="00D76BE1">
        <w:rPr>
          <w:sz w:val="18"/>
          <w:szCs w:val="18"/>
        </w:rPr>
        <w:t xml:space="preserve"> Subsidiar</w:t>
      </w:r>
      <w:r>
        <w:rPr>
          <w:sz w:val="18"/>
          <w:szCs w:val="18"/>
        </w:rPr>
        <w:t>i</w:t>
      </w:r>
      <w:r w:rsidRPr="00D76BE1">
        <w:rPr>
          <w:sz w:val="18"/>
          <w:szCs w:val="18"/>
        </w:rPr>
        <w:t>o</w:t>
      </w:r>
      <w:r>
        <w:rPr>
          <w:sz w:val="18"/>
          <w:szCs w:val="18"/>
        </w:rPr>
        <w:t xml:space="preserve"> </w:t>
      </w:r>
      <w:r w:rsidRPr="00D76BE1">
        <w:rPr>
          <w:sz w:val="18"/>
          <w:szCs w:val="18"/>
        </w:rPr>
        <w:t>d</w:t>
      </w:r>
      <w:r>
        <w:rPr>
          <w:sz w:val="18"/>
          <w:szCs w:val="18"/>
        </w:rPr>
        <w:t>e Asesoramiento</w:t>
      </w:r>
      <w:r w:rsidRPr="00D76BE1">
        <w:rPr>
          <w:sz w:val="18"/>
          <w:szCs w:val="18"/>
        </w:rPr>
        <w:t xml:space="preserve"> </w:t>
      </w:r>
      <w:r>
        <w:rPr>
          <w:sz w:val="18"/>
          <w:szCs w:val="18"/>
        </w:rPr>
        <w:t>C</w:t>
      </w:r>
      <w:r w:rsidRPr="00D76BE1">
        <w:rPr>
          <w:sz w:val="18"/>
          <w:szCs w:val="18"/>
        </w:rPr>
        <w:t>ient</w:t>
      </w:r>
      <w:r>
        <w:rPr>
          <w:sz w:val="18"/>
          <w:szCs w:val="18"/>
        </w:rPr>
        <w:t>í</w:t>
      </w:r>
      <w:r w:rsidRPr="00D76BE1">
        <w:rPr>
          <w:sz w:val="18"/>
          <w:szCs w:val="18"/>
        </w:rPr>
        <w:t>fic</w:t>
      </w:r>
      <w:r>
        <w:rPr>
          <w:sz w:val="18"/>
          <w:szCs w:val="18"/>
        </w:rPr>
        <w:t>o</w:t>
      </w:r>
      <w:r w:rsidRPr="00D76BE1">
        <w:rPr>
          <w:sz w:val="18"/>
          <w:szCs w:val="18"/>
        </w:rPr>
        <w:t>, T</w:t>
      </w:r>
      <w:r>
        <w:rPr>
          <w:sz w:val="18"/>
          <w:szCs w:val="18"/>
        </w:rPr>
        <w:t>é</w:t>
      </w:r>
      <w:r w:rsidRPr="00D76BE1">
        <w:rPr>
          <w:sz w:val="18"/>
          <w:szCs w:val="18"/>
        </w:rPr>
        <w:t>cnic</w:t>
      </w:r>
      <w:r>
        <w:rPr>
          <w:sz w:val="18"/>
          <w:szCs w:val="18"/>
        </w:rPr>
        <w:t>o y Tec</w:t>
      </w:r>
      <w:r w:rsidRPr="00D76BE1">
        <w:rPr>
          <w:sz w:val="18"/>
          <w:szCs w:val="18"/>
        </w:rPr>
        <w:t>nol</w:t>
      </w:r>
      <w:r>
        <w:rPr>
          <w:sz w:val="18"/>
          <w:szCs w:val="18"/>
        </w:rPr>
        <w:t>ó</w:t>
      </w:r>
      <w:r w:rsidRPr="00D76BE1">
        <w:rPr>
          <w:sz w:val="18"/>
          <w:szCs w:val="18"/>
        </w:rPr>
        <w:t>gic</w:t>
      </w:r>
      <w:r>
        <w:rPr>
          <w:sz w:val="18"/>
          <w:szCs w:val="18"/>
        </w:rPr>
        <w:t>o</w:t>
      </w:r>
      <w:r w:rsidRPr="00D76BE1">
        <w:rPr>
          <w:sz w:val="18"/>
          <w:szCs w:val="18"/>
        </w:rPr>
        <w:t xml:space="preserve"> no conclu</w:t>
      </w:r>
      <w:r>
        <w:rPr>
          <w:sz w:val="18"/>
          <w:szCs w:val="18"/>
        </w:rPr>
        <w:t>yó</w:t>
      </w:r>
      <w:r w:rsidRPr="00D76BE1">
        <w:rPr>
          <w:sz w:val="18"/>
          <w:szCs w:val="18"/>
        </w:rPr>
        <w:t xml:space="preserve"> </w:t>
      </w:r>
      <w:r>
        <w:rPr>
          <w:sz w:val="18"/>
          <w:szCs w:val="18"/>
        </w:rPr>
        <w:t>sus deliberaciones s</w:t>
      </w:r>
      <w:r w:rsidRPr="00D76BE1">
        <w:rPr>
          <w:sz w:val="18"/>
          <w:szCs w:val="18"/>
        </w:rPr>
        <w:t>o</w:t>
      </w:r>
      <w:r>
        <w:rPr>
          <w:sz w:val="18"/>
          <w:szCs w:val="18"/>
        </w:rPr>
        <w:t>bre</w:t>
      </w:r>
      <w:r w:rsidRPr="00D76BE1">
        <w:rPr>
          <w:sz w:val="18"/>
          <w:szCs w:val="18"/>
        </w:rPr>
        <w:t xml:space="preserve"> </w:t>
      </w:r>
      <w:r>
        <w:rPr>
          <w:sz w:val="18"/>
          <w:szCs w:val="18"/>
        </w:rPr>
        <w:t xml:space="preserve">el </w:t>
      </w:r>
      <w:r w:rsidRPr="00D76BE1">
        <w:rPr>
          <w:sz w:val="18"/>
          <w:szCs w:val="18"/>
        </w:rPr>
        <w:t>p</w:t>
      </w:r>
      <w:r>
        <w:rPr>
          <w:sz w:val="18"/>
          <w:szCs w:val="18"/>
        </w:rPr>
        <w:t>á</w:t>
      </w:r>
      <w:r w:rsidRPr="00D76BE1">
        <w:rPr>
          <w:sz w:val="18"/>
          <w:szCs w:val="18"/>
        </w:rPr>
        <w:t>r</w:t>
      </w:r>
      <w:r>
        <w:rPr>
          <w:sz w:val="18"/>
          <w:szCs w:val="18"/>
        </w:rPr>
        <w:t>r</w:t>
      </w:r>
      <w:r w:rsidRPr="00D76BE1">
        <w:rPr>
          <w:sz w:val="18"/>
          <w:szCs w:val="18"/>
        </w:rPr>
        <w:t>a</w:t>
      </w:r>
      <w:r>
        <w:rPr>
          <w:sz w:val="18"/>
          <w:szCs w:val="18"/>
        </w:rPr>
        <w:t>fo</w:t>
      </w:r>
      <w:r w:rsidRPr="00D76BE1">
        <w:rPr>
          <w:sz w:val="18"/>
          <w:szCs w:val="18"/>
        </w:rPr>
        <w:t xml:space="preserve"> 8.</w:t>
      </w:r>
    </w:p>
  </w:footnote>
  <w:footnote w:id="10">
    <w:p w14:paraId="0ECF14B4" w14:textId="77777777" w:rsidR="00151CEF" w:rsidRPr="00D76BE1" w:rsidRDefault="00151CEF" w:rsidP="0060667C">
      <w:pPr>
        <w:pStyle w:val="FootnoteText"/>
        <w:rPr>
          <w:sz w:val="18"/>
          <w:szCs w:val="18"/>
        </w:rPr>
      </w:pPr>
      <w:r>
        <w:rPr>
          <w:rStyle w:val="FootnoteReference"/>
          <w:sz w:val="18"/>
          <w:szCs w:val="18"/>
        </w:rPr>
        <w:footnoteRef/>
      </w:r>
      <w:r>
        <w:rPr>
          <w:sz w:val="18"/>
        </w:rPr>
        <w:t xml:space="preserve"> El Órgano Subsidiario de Asesoramiento Científico, Técnico y Tecnológico no trató los párrafos 9 y 10 en su 26ª reunión.</w:t>
      </w:r>
    </w:p>
  </w:footnote>
  <w:footnote w:id="11">
    <w:p w14:paraId="096C4F18" w14:textId="0E091E53" w:rsidR="00151CEF" w:rsidRPr="00603392" w:rsidRDefault="00151CEF">
      <w:pPr>
        <w:pStyle w:val="FootnoteText"/>
        <w:rPr>
          <w:sz w:val="18"/>
          <w:szCs w:val="18"/>
          <w:highlight w:val="yellow"/>
        </w:rPr>
      </w:pPr>
      <w:r>
        <w:rPr>
          <w:rStyle w:val="FootnoteReference"/>
          <w:sz w:val="18"/>
          <w:szCs w:val="18"/>
        </w:rPr>
        <w:footnoteRef/>
      </w:r>
      <w:r>
        <w:t xml:space="preserve"> </w:t>
      </w:r>
      <w:r>
        <w:rPr>
          <w:sz w:val="18"/>
        </w:rPr>
        <w:t>Cabe señalar que la finalización del texto que actualmente figura entre corchetes puede afectar al texto que no está entre corchetes.</w:t>
      </w:r>
    </w:p>
  </w:footnote>
  <w:footnote w:id="12">
    <w:p w14:paraId="78DBCBAC" w14:textId="77777777" w:rsidR="00151CEF" w:rsidRPr="00603392" w:rsidRDefault="00151CEF" w:rsidP="00050E9A">
      <w:pPr>
        <w:pStyle w:val="FootnoteText"/>
        <w:rPr>
          <w:sz w:val="18"/>
          <w:szCs w:val="18"/>
        </w:rPr>
      </w:pPr>
      <w:r>
        <w:rPr>
          <w:rStyle w:val="FootnoteReference"/>
          <w:rFonts w:asciiTheme="majorBidi" w:hAnsiTheme="majorBidi" w:cstheme="majorBidi"/>
          <w:sz w:val="18"/>
          <w:szCs w:val="18"/>
        </w:rPr>
        <w:footnoteRef/>
      </w:r>
      <w:r>
        <w:rPr>
          <w:rFonts w:asciiTheme="majorBidi" w:hAnsiTheme="majorBidi"/>
          <w:sz w:val="18"/>
        </w:rPr>
        <w:t xml:space="preserve"> Véase CBD/SBSTTA/26/INF/3.</w:t>
      </w:r>
    </w:p>
  </w:footnote>
  <w:footnote w:id="13">
    <w:p w14:paraId="23218790" w14:textId="77777777" w:rsidR="00151CEF" w:rsidRPr="00603392" w:rsidRDefault="00151CEF">
      <w:pPr>
        <w:pStyle w:val="FootnoteText"/>
        <w:rPr>
          <w:sz w:val="18"/>
          <w:szCs w:val="18"/>
        </w:rPr>
      </w:pPr>
      <w:r>
        <w:rPr>
          <w:rStyle w:val="FootnoteReference"/>
          <w:sz w:val="18"/>
          <w:szCs w:val="18"/>
        </w:rPr>
        <w:footnoteRef/>
      </w:r>
      <w:r>
        <w:rPr>
          <w:sz w:val="18"/>
        </w:rPr>
        <w:t xml:space="preserve"> Decisión 15/4, anexo.</w:t>
      </w:r>
    </w:p>
  </w:footnote>
  <w:footnote w:id="14">
    <w:p w14:paraId="585A5F60" w14:textId="4C21BB2A" w:rsidR="00151CEF" w:rsidRPr="00D76BE1" w:rsidRDefault="00151CEF" w:rsidP="00050E9A">
      <w:pPr>
        <w:pStyle w:val="FootnoteText"/>
        <w:rPr>
          <w:sz w:val="18"/>
          <w:szCs w:val="18"/>
        </w:rPr>
      </w:pPr>
      <w:r>
        <w:rPr>
          <w:rStyle w:val="FootnoteReference"/>
          <w:sz w:val="18"/>
          <w:szCs w:val="18"/>
        </w:rPr>
        <w:footnoteRef/>
      </w:r>
      <w:r>
        <w:rPr>
          <w:sz w:val="18"/>
        </w:rPr>
        <w:t> La Plataforma Intergubernamental Científico-Normativa sobre Diversidad Biológica y Servicios de los Ecosistemas define las contribuciones de la naturaleza a las personas como todas las contribuciones, tanto positivas como negativas, de la naturaleza viva (esto es, la diversidad de organismos y ecosistemas y sus procesos ecológicos y evolutivos asociados) a la calidad de vida de las personas.</w:t>
      </w:r>
    </w:p>
  </w:footnote>
  <w:footnote w:id="15">
    <w:p w14:paraId="3B306BBB" w14:textId="21F3128C" w:rsidR="00151CEF" w:rsidRPr="00603392" w:rsidRDefault="00151CEF">
      <w:pPr>
        <w:pStyle w:val="FootnoteText"/>
        <w:rPr>
          <w:sz w:val="18"/>
          <w:szCs w:val="18"/>
        </w:rPr>
      </w:pPr>
      <w:r>
        <w:rPr>
          <w:rStyle w:val="FootnoteReference"/>
          <w:sz w:val="18"/>
          <w:szCs w:val="18"/>
        </w:rPr>
        <w:footnoteRef/>
      </w:r>
      <w:r>
        <w:rPr>
          <w:sz w:val="18"/>
        </w:rPr>
        <w:t xml:space="preserve"> Hans-Otto Pörtner et al., eds., </w:t>
      </w:r>
      <w:r w:rsidRPr="00F37EF3">
        <w:rPr>
          <w:i/>
          <w:sz w:val="18"/>
          <w:lang w:val="en-US"/>
        </w:rPr>
        <w:t>Climate Change 2022:</w:t>
      </w:r>
      <w:r w:rsidRPr="00F37EF3">
        <w:rPr>
          <w:sz w:val="18"/>
          <w:lang w:val="en-US"/>
        </w:rPr>
        <w:t xml:space="preserve"> </w:t>
      </w:r>
      <w:r w:rsidRPr="00F37EF3">
        <w:rPr>
          <w:i/>
          <w:sz w:val="18"/>
          <w:lang w:val="en-US"/>
        </w:rPr>
        <w:t>Impacts, Adaptation and Vulnerability: Contribution of Working Group II to the Sixth Assessment Report of the Intergovernmental Panel on Climate Change</w:t>
      </w:r>
      <w:r>
        <w:rPr>
          <w:sz w:val="18"/>
        </w:rPr>
        <w:t xml:space="preserve"> (Ginebra: Grupo Intergubernamental de Expertos sobre el Cambio Climático, 2022).</w:t>
      </w:r>
    </w:p>
  </w:footnote>
  <w:footnote w:id="16">
    <w:p w14:paraId="78CA2D1B" w14:textId="77777777" w:rsidR="00151CEF" w:rsidRPr="00603392" w:rsidRDefault="00151CEF">
      <w:pPr>
        <w:pStyle w:val="FootnoteText"/>
        <w:rPr>
          <w:sz w:val="18"/>
          <w:szCs w:val="18"/>
        </w:rPr>
      </w:pPr>
      <w:r>
        <w:rPr>
          <w:rStyle w:val="FootnoteReference"/>
          <w:sz w:val="18"/>
          <w:szCs w:val="18"/>
        </w:rPr>
        <w:footnoteRef/>
      </w:r>
      <w:r>
        <w:rPr>
          <w:sz w:val="18"/>
        </w:rPr>
        <w:t xml:space="preserve"> E/C.19/2023/5.</w:t>
      </w:r>
    </w:p>
  </w:footnote>
  <w:footnote w:id="17">
    <w:p w14:paraId="7F314B9B" w14:textId="01265CD6" w:rsidR="00151CEF" w:rsidRPr="00D76BE1" w:rsidRDefault="00151CEF" w:rsidP="00B7751F">
      <w:pPr>
        <w:pStyle w:val="FootnoteText"/>
        <w:rPr>
          <w:sz w:val="18"/>
          <w:szCs w:val="18"/>
        </w:rPr>
      </w:pPr>
      <w:r>
        <w:rPr>
          <w:rStyle w:val="FootnoteReference"/>
          <w:rFonts w:asciiTheme="majorBidi" w:hAnsiTheme="majorBidi" w:cstheme="majorBidi"/>
          <w:sz w:val="18"/>
          <w:szCs w:val="18"/>
        </w:rPr>
        <w:footnoteRef/>
      </w:r>
      <w:r>
        <w:rPr>
          <w:rFonts w:asciiTheme="majorBidi" w:hAnsiTheme="majorBidi"/>
          <w:sz w:val="18"/>
        </w:rPr>
        <w:t xml:space="preserve"> Los determinantes ambientales de la salud son factores ambientales mundiales, regionales, nacionales y locales que influyen en la salud humana. </w:t>
      </w:r>
      <w:r w:rsidR="007E3ABA">
        <w:rPr>
          <w:rFonts w:asciiTheme="majorBidi" w:hAnsiTheme="majorBidi"/>
          <w:sz w:val="18"/>
        </w:rPr>
        <w:t>Comprend</w:t>
      </w:r>
      <w:r>
        <w:rPr>
          <w:rFonts w:asciiTheme="majorBidi" w:hAnsiTheme="majorBidi"/>
          <w:sz w:val="18"/>
        </w:rPr>
        <w:t>en factores físicos, químicos y biológicos externos a la persona. Para más información sobre los determinantes ambientales de la salud se puede consultar el sitio web</w:t>
      </w:r>
      <w:r>
        <w:rPr>
          <w:rStyle w:val="Hyperlink"/>
          <w:rFonts w:asciiTheme="majorBidi" w:hAnsiTheme="majorBidi"/>
          <w:color w:val="auto"/>
          <w:sz w:val="18"/>
          <w:u w:val="none"/>
        </w:rPr>
        <w:t xml:space="preserve"> de la </w:t>
      </w:r>
      <w:r>
        <w:rPr>
          <w:sz w:val="18"/>
        </w:rPr>
        <w:t>Organización Panamericana de la Salud</w:t>
      </w:r>
      <w:r>
        <w:rPr>
          <w:rFonts w:asciiTheme="majorBidi" w:hAnsiTheme="majorBidi"/>
          <w:sz w:val="18"/>
        </w:rPr>
        <w:t xml:space="preserve"> en el siguiente enlace </w:t>
      </w:r>
      <w:hyperlink r:id="rId2" w:history="1">
        <w:r>
          <w:rPr>
            <w:rStyle w:val="Hyperlink"/>
            <w:rFonts w:asciiTheme="majorBidi" w:hAnsiTheme="majorBidi"/>
            <w:sz w:val="18"/>
          </w:rPr>
          <w:t>www.paho.org/es</w:t>
        </w:r>
      </w:hyperlink>
      <w:r w:rsidRPr="00862AC8">
        <w:rPr>
          <w:rStyle w:val="Hyperlink"/>
          <w:rFonts w:asciiTheme="majorBidi" w:hAnsiTheme="majorBidi"/>
          <w:color w:val="auto"/>
          <w:sz w:val="18"/>
          <w:u w:val="none"/>
        </w:rPr>
        <w:t>.</w:t>
      </w:r>
    </w:p>
  </w:footnote>
  <w:footnote w:id="18">
    <w:p w14:paraId="212E819B" w14:textId="20D8DFD6" w:rsidR="00151CEF" w:rsidRPr="00603392" w:rsidRDefault="00151CEF" w:rsidP="006E4290">
      <w:pPr>
        <w:pStyle w:val="FootnoteText"/>
        <w:rPr>
          <w:color w:val="000000" w:themeColor="text1"/>
          <w:sz w:val="18"/>
          <w:szCs w:val="18"/>
        </w:rPr>
      </w:pPr>
      <w:r>
        <w:rPr>
          <w:rStyle w:val="FootnoteReference"/>
          <w:color w:val="000000" w:themeColor="text1"/>
          <w:sz w:val="18"/>
          <w:szCs w:val="18"/>
        </w:rPr>
        <w:footnoteRef/>
      </w:r>
      <w:r>
        <w:rPr>
          <w:color w:val="000000" w:themeColor="text1"/>
          <w:sz w:val="18"/>
        </w:rPr>
        <w:t> </w:t>
      </w:r>
      <w:r>
        <w:rPr>
          <w:rStyle w:val="Hyperlink"/>
          <w:color w:val="000000" w:themeColor="text1"/>
          <w:sz w:val="18"/>
          <w:u w:val="none"/>
        </w:rPr>
        <w:t xml:space="preserve">Programa de las Naciones Unidas para el Medio Ambiente e Instituto Internacional de Investigación en Ganadería (ILRI), </w:t>
      </w:r>
      <w:r>
        <w:rPr>
          <w:rStyle w:val="Hyperlink"/>
          <w:i/>
          <w:iCs/>
          <w:color w:val="000000" w:themeColor="text1"/>
          <w:sz w:val="18"/>
          <w:u w:val="none"/>
        </w:rPr>
        <w:t>Prevenir próximas pandemias. Zoonosis: cómo romper la cadena de transmisión</w:t>
      </w:r>
      <w:r>
        <w:rPr>
          <w:rStyle w:val="Hyperlink"/>
          <w:color w:val="000000" w:themeColor="text1"/>
          <w:sz w:val="18"/>
          <w:u w:val="none"/>
        </w:rPr>
        <w:t xml:space="preserve"> (Nairobi, 2020).</w:t>
      </w:r>
    </w:p>
  </w:footnote>
  <w:footnote w:id="19">
    <w:p w14:paraId="6A7C2540" w14:textId="68393B7D" w:rsidR="00151CEF" w:rsidRPr="00154049" w:rsidRDefault="00151CEF" w:rsidP="00A1118E">
      <w:pPr>
        <w:pStyle w:val="FootnoteText"/>
        <w:rPr>
          <w:sz w:val="18"/>
          <w:szCs w:val="18"/>
        </w:rPr>
      </w:pPr>
      <w:r>
        <w:rPr>
          <w:rStyle w:val="FootnoteReference"/>
          <w:color w:val="000000" w:themeColor="text1"/>
          <w:sz w:val="18"/>
          <w:szCs w:val="18"/>
        </w:rPr>
        <w:footnoteRef/>
      </w:r>
      <w:r>
        <w:rPr>
          <w:color w:val="000000" w:themeColor="text1"/>
          <w:sz w:val="18"/>
        </w:rPr>
        <w:t xml:space="preserve"> Véase la resolución 76/300 de la Asamblea General.</w:t>
      </w:r>
    </w:p>
  </w:footnote>
  <w:footnote w:id="20">
    <w:p w14:paraId="6E94DB1B" w14:textId="13925505" w:rsidR="00151CEF" w:rsidRPr="00603392" w:rsidRDefault="00151CEF">
      <w:pPr>
        <w:pStyle w:val="FootnoteText"/>
        <w:rPr>
          <w:sz w:val="18"/>
          <w:szCs w:val="18"/>
        </w:rPr>
      </w:pPr>
      <w:r>
        <w:rPr>
          <w:rStyle w:val="FootnoteReference"/>
          <w:sz w:val="18"/>
          <w:szCs w:val="18"/>
        </w:rPr>
        <w:footnoteRef/>
      </w:r>
      <w:r>
        <w:rPr>
          <w:sz w:val="18"/>
        </w:rPr>
        <w:t xml:space="preserve"> CBD/SBSTTA/26/INF/3, anexo I</w:t>
      </w:r>
    </w:p>
  </w:footnote>
  <w:footnote w:id="21">
    <w:p w14:paraId="26C48E20" w14:textId="77777777" w:rsidR="00151CEF" w:rsidRPr="00D76BE1" w:rsidRDefault="00151CEF" w:rsidP="00862AC8">
      <w:pPr>
        <w:pStyle w:val="FootnoteText"/>
        <w:rPr>
          <w:sz w:val="18"/>
          <w:szCs w:val="18"/>
        </w:rPr>
      </w:pPr>
      <w:r>
        <w:rPr>
          <w:rStyle w:val="FootnoteReference"/>
          <w:sz w:val="18"/>
          <w:szCs w:val="18"/>
        </w:rPr>
        <w:footnoteRef/>
      </w:r>
      <w:r>
        <w:rPr>
          <w:sz w:val="18"/>
        </w:rPr>
        <w:t xml:space="preserve"> La carga de morbilidad causada por factores ambientales cuantifica la cantidad de enfermedades causadas por riesgos ambientales (véase </w:t>
      </w:r>
      <w:hyperlink r:id="rId3" w:history="1">
        <w:r>
          <w:rPr>
            <w:rStyle w:val="Hyperlink"/>
            <w:sz w:val="18"/>
          </w:rPr>
          <w:t>www.who.int/activities/environmental-health-impacts</w:t>
        </w:r>
      </w:hyperlink>
      <w:r>
        <w:rPr>
          <w:sz w:val="18"/>
        </w:rPr>
        <w:t>).</w:t>
      </w:r>
    </w:p>
  </w:footnote>
  <w:footnote w:id="22">
    <w:p w14:paraId="249A4F48" w14:textId="77777777" w:rsidR="00151CEF" w:rsidRPr="00D76BE1" w:rsidRDefault="00151CEF" w:rsidP="00862AC8">
      <w:pPr>
        <w:pStyle w:val="FootnoteText"/>
        <w:rPr>
          <w:sz w:val="18"/>
          <w:szCs w:val="18"/>
        </w:rPr>
      </w:pPr>
      <w:r>
        <w:rPr>
          <w:rStyle w:val="FootnoteReference"/>
          <w:sz w:val="18"/>
          <w:szCs w:val="18"/>
        </w:rPr>
        <w:footnoteRef/>
      </w:r>
      <w:r>
        <w:rPr>
          <w:sz w:val="18"/>
        </w:rPr>
        <w:t xml:space="preserve"> Véase también la decisión 15/22.</w:t>
      </w:r>
    </w:p>
  </w:footnote>
  <w:footnote w:id="23">
    <w:p w14:paraId="733063C6" w14:textId="7142BC91" w:rsidR="00151CEF" w:rsidRPr="00D76BE1" w:rsidRDefault="00151CEF" w:rsidP="005A4A0B">
      <w:pPr>
        <w:pStyle w:val="FootnoteText"/>
        <w:rPr>
          <w:sz w:val="18"/>
          <w:szCs w:val="18"/>
        </w:rPr>
      </w:pPr>
      <w:r>
        <w:rPr>
          <w:rStyle w:val="FootnoteReference"/>
          <w:sz w:val="18"/>
          <w:szCs w:val="18"/>
        </w:rPr>
        <w:footnoteRef/>
      </w:r>
      <w:r>
        <w:rPr>
          <w:sz w:val="18"/>
        </w:rPr>
        <w:t xml:space="preserve"> Las identidades de apoyo se refieren a la base de las experiencias religiosas, espirituales y de cohesión social; sentido de lugar, propósito, pertenencia, arraigo o conexión asociado con diferentes entidades del mundo viviente; relatos y mitos, rituales y celebraciones; satisfacción derivada de saber que existe un paisaje terrestre, paisaje marino, hábitat o especie en particular (véase Manuela Carneiro da Cunha et al., eds., </w:t>
      </w:r>
      <w:r w:rsidRPr="00F37EF3">
        <w:rPr>
          <w:i/>
          <w:sz w:val="18"/>
          <w:lang w:val="en-US"/>
        </w:rPr>
        <w:t>The Global Assessment Report on Biodiversity and Ecosystem Services</w:t>
      </w:r>
      <w:r w:rsidRPr="00F37EF3">
        <w:rPr>
          <w:sz w:val="18"/>
          <w:lang w:val="en-US"/>
        </w:rPr>
        <w:t>,</w:t>
      </w:r>
      <w:r>
        <w:rPr>
          <w:sz w:val="18"/>
        </w:rPr>
        <w:t xml:space="preserve"> Bonn (Alemania): Secretaría de la Plataforma Intergubernamental Científico-Normativa sobre Diversidad Biológica y Servicios de los Ecosistemas, 2019).</w:t>
      </w:r>
    </w:p>
  </w:footnote>
  <w:footnote w:id="24">
    <w:p w14:paraId="2270986B" w14:textId="78EE809B" w:rsidR="00151CEF" w:rsidRPr="00D76BE1" w:rsidRDefault="00151CEF" w:rsidP="00050E9A">
      <w:pPr>
        <w:pStyle w:val="FootnoteText"/>
        <w:rPr>
          <w:sz w:val="18"/>
          <w:szCs w:val="18"/>
        </w:rPr>
      </w:pPr>
      <w:r>
        <w:rPr>
          <w:rStyle w:val="FootnoteReference"/>
          <w:sz w:val="18"/>
          <w:szCs w:val="18"/>
        </w:rPr>
        <w:footnoteRef/>
      </w:r>
      <w:r>
        <w:t> </w:t>
      </w:r>
      <w:r w:rsidR="00172947">
        <w:rPr>
          <w:sz w:val="18"/>
        </w:rPr>
        <w:t>L</w:t>
      </w:r>
      <w:r>
        <w:rPr>
          <w:sz w:val="18"/>
        </w:rPr>
        <w:t xml:space="preserve">os interesados del ámbito de la salud </w:t>
      </w:r>
      <w:r w:rsidR="00172947">
        <w:rPr>
          <w:sz w:val="18"/>
        </w:rPr>
        <w:t>comprenden</w:t>
      </w:r>
      <w:r>
        <w:rPr>
          <w:sz w:val="18"/>
        </w:rPr>
        <w:t xml:space="preserve"> a quienes se dedican a cuestiones de salud humana, animal y vegetal, así como a quienes tienen conocimientos de salud</w:t>
      </w:r>
      <w:r w:rsidRPr="00F8091D">
        <w:rPr>
          <w:sz w:val="18"/>
        </w:rPr>
        <w:t xml:space="preserve"> </w:t>
      </w:r>
      <w:r>
        <w:rPr>
          <w:sz w:val="18"/>
        </w:rPr>
        <w:t>diversos.</w:t>
      </w:r>
    </w:p>
  </w:footnote>
  <w:footnote w:id="25">
    <w:p w14:paraId="1A96DCFA" w14:textId="209656E1" w:rsidR="00151CEF" w:rsidRPr="00603392" w:rsidRDefault="00151CEF" w:rsidP="0076681B">
      <w:pPr>
        <w:pStyle w:val="FootnoteText"/>
        <w:rPr>
          <w:sz w:val="18"/>
          <w:szCs w:val="18"/>
        </w:rPr>
      </w:pPr>
      <w:r w:rsidRPr="00D76BE1">
        <w:rPr>
          <w:rStyle w:val="FootnoteReference"/>
          <w:sz w:val="18"/>
          <w:szCs w:val="18"/>
        </w:rPr>
        <w:footnoteRef/>
      </w:r>
      <w:r>
        <w:rPr>
          <w:sz w:val="18"/>
          <w:szCs w:val="18"/>
        </w:rPr>
        <w:t> </w:t>
      </w:r>
      <w:r>
        <w:rPr>
          <w:sz w:val="18"/>
        </w:rPr>
        <w:t>Estos sectores pueden incluir la agricultura, la silvicultura, la pesca, la acuicultura, el turismo, la salud, la infraestructura, la energía y la minería, la manufactura, el procesamiento y las finanzas, en consonancia con decisiones anteriores de la Conferencia de las Partes en materia de integración</w:t>
      </w:r>
      <w:r w:rsidRPr="00D76BE1">
        <w:rPr>
          <w:sz w:val="18"/>
          <w:szCs w:val="18"/>
        </w:rPr>
        <w:t>.</w:t>
      </w:r>
    </w:p>
  </w:footnote>
  <w:footnote w:id="26">
    <w:p w14:paraId="4FBD9634" w14:textId="79678D29" w:rsidR="00151CEF" w:rsidRPr="00603392" w:rsidRDefault="00151CEF">
      <w:pPr>
        <w:pStyle w:val="FootnoteText"/>
        <w:rPr>
          <w:sz w:val="18"/>
          <w:szCs w:val="18"/>
        </w:rPr>
      </w:pPr>
      <w:r>
        <w:rPr>
          <w:rStyle w:val="FootnoteReference"/>
          <w:sz w:val="18"/>
          <w:szCs w:val="18"/>
        </w:rPr>
        <w:footnoteRef/>
      </w:r>
      <w:r>
        <w:rPr>
          <w:sz w:val="18"/>
        </w:rPr>
        <w:t xml:space="preserve"> Decisión 15/4, anexo, párr. 7 r).</w:t>
      </w:r>
    </w:p>
  </w:footnote>
  <w:footnote w:id="27">
    <w:p w14:paraId="37382E45" w14:textId="2DFF4A33" w:rsidR="00151CEF" w:rsidRPr="00603392" w:rsidRDefault="00151CEF">
      <w:pPr>
        <w:pStyle w:val="FootnoteText"/>
        <w:rPr>
          <w:sz w:val="18"/>
          <w:szCs w:val="18"/>
        </w:rPr>
      </w:pPr>
      <w:r>
        <w:rPr>
          <w:rStyle w:val="FootnoteReference"/>
          <w:sz w:val="18"/>
          <w:szCs w:val="18"/>
        </w:rPr>
        <w:footnoteRef/>
      </w:r>
      <w:r>
        <w:rPr>
          <w:sz w:val="18"/>
        </w:rPr>
        <w:t xml:space="preserve"> Ibíd., párr. 7 g).</w:t>
      </w:r>
    </w:p>
  </w:footnote>
  <w:footnote w:id="28">
    <w:p w14:paraId="5293C2A4" w14:textId="7676C8CD" w:rsidR="00151CEF" w:rsidRPr="00603392" w:rsidRDefault="00151CEF">
      <w:pPr>
        <w:pStyle w:val="FootnoteText"/>
        <w:rPr>
          <w:sz w:val="18"/>
          <w:szCs w:val="18"/>
        </w:rPr>
      </w:pPr>
      <w:r>
        <w:rPr>
          <w:rStyle w:val="FootnoteReference"/>
          <w:sz w:val="18"/>
          <w:szCs w:val="18"/>
        </w:rPr>
        <w:footnoteRef/>
      </w:r>
      <w:r>
        <w:rPr>
          <w:sz w:val="18"/>
        </w:rPr>
        <w:t> </w:t>
      </w:r>
      <w:r>
        <w:rPr>
          <w:color w:val="000000" w:themeColor="text1"/>
          <w:sz w:val="18"/>
        </w:rPr>
        <w:t xml:space="preserve">Sandra Diaz et al., </w:t>
      </w:r>
      <w:r w:rsidRPr="00F37EF3">
        <w:rPr>
          <w:i/>
          <w:sz w:val="18"/>
          <w:lang w:val="en-US"/>
        </w:rPr>
        <w:t>Global Assessment Report on Biodiversity and Ecosystem Services, Summary for Policymakers</w:t>
      </w:r>
      <w:r>
        <w:rPr>
          <w:sz w:val="18"/>
        </w:rPr>
        <w:t xml:space="preserve"> (Bonn (Alemania), Secretaría de la Plataforma Intergubernamental Científico-Normativa sobre Diversidad Biológica y Servicios de los Ecosistemas, 2019).</w:t>
      </w:r>
    </w:p>
  </w:footnote>
  <w:footnote w:id="29">
    <w:p w14:paraId="2D9B922B" w14:textId="792D3591" w:rsidR="00151CEF" w:rsidRPr="00603392" w:rsidRDefault="00151CEF">
      <w:pPr>
        <w:pStyle w:val="FootnoteText"/>
        <w:rPr>
          <w:sz w:val="18"/>
          <w:szCs w:val="18"/>
        </w:rPr>
      </w:pPr>
      <w:r>
        <w:rPr>
          <w:rStyle w:val="FootnoteReference"/>
          <w:sz w:val="18"/>
          <w:szCs w:val="18"/>
        </w:rPr>
        <w:footnoteRef/>
      </w:r>
      <w:r>
        <w:rPr>
          <w:sz w:val="18"/>
        </w:rPr>
        <w:t xml:space="preserve"> </w:t>
      </w:r>
      <w:r>
        <w:rPr>
          <w:color w:val="000000" w:themeColor="text1"/>
          <w:sz w:val="18"/>
        </w:rPr>
        <w:t>Helen E. Roy et al.,</w:t>
      </w:r>
      <w:r>
        <w:rPr>
          <w:sz w:val="18"/>
        </w:rPr>
        <w:t xml:space="preserve"> </w:t>
      </w:r>
      <w:r w:rsidRPr="00F37EF3">
        <w:rPr>
          <w:i/>
          <w:sz w:val="18"/>
          <w:lang w:val="en-US"/>
        </w:rPr>
        <w:t>Thematic Assessment Report on Invasive Alien Species and their Control</w:t>
      </w:r>
      <w:r>
        <w:rPr>
          <w:i/>
          <w:sz w:val="18"/>
        </w:rPr>
        <w:t xml:space="preserve"> </w:t>
      </w:r>
      <w:r>
        <w:rPr>
          <w:sz w:val="18"/>
        </w:rPr>
        <w:t>(Bonn, Alemania, Secretaría de la Plataforma Intergubernamental Científico-Normativa sobre Diversidad Biológica y Servicios de los Ecosistemas, 2023).</w:t>
      </w:r>
    </w:p>
  </w:footnote>
  <w:footnote w:id="30">
    <w:p w14:paraId="6F5AACFC" w14:textId="462C7F92" w:rsidR="00151CEF" w:rsidRPr="00603392" w:rsidRDefault="00151CEF">
      <w:pPr>
        <w:pStyle w:val="FootnoteText"/>
        <w:rPr>
          <w:sz w:val="18"/>
          <w:szCs w:val="18"/>
        </w:rPr>
      </w:pPr>
      <w:r>
        <w:rPr>
          <w:rStyle w:val="FootnoteReference"/>
          <w:sz w:val="18"/>
          <w:szCs w:val="18"/>
        </w:rPr>
        <w:footnoteRef/>
      </w:r>
      <w:r>
        <w:rPr>
          <w:sz w:val="18"/>
        </w:rPr>
        <w:t xml:space="preserve"> Decisión 15/27.</w:t>
      </w:r>
    </w:p>
  </w:footnote>
  <w:footnote w:id="31">
    <w:p w14:paraId="698790F8" w14:textId="2F410A51" w:rsidR="00151CEF" w:rsidRPr="00603392" w:rsidRDefault="00151CEF" w:rsidP="00603392">
      <w:pPr>
        <w:pStyle w:val="FootnoteText"/>
        <w:jc w:val="left"/>
        <w:rPr>
          <w:sz w:val="18"/>
          <w:szCs w:val="18"/>
        </w:rPr>
      </w:pPr>
      <w:r>
        <w:rPr>
          <w:rStyle w:val="FootnoteReference"/>
          <w:sz w:val="18"/>
          <w:szCs w:val="18"/>
        </w:rPr>
        <w:footnoteRef/>
      </w:r>
      <w:r>
        <w:rPr>
          <w:sz w:val="18"/>
        </w:rPr>
        <w:t xml:space="preserve"> </w:t>
      </w:r>
      <w:r>
        <w:rPr>
          <w:color w:val="000000" w:themeColor="text1"/>
          <w:sz w:val="18"/>
        </w:rPr>
        <w:t xml:space="preserve">Organización Mundial de la Salud, </w:t>
      </w:r>
      <w:r w:rsidRPr="00F37EF3">
        <w:rPr>
          <w:i/>
          <w:color w:val="000000" w:themeColor="text1"/>
          <w:sz w:val="18"/>
          <w:lang w:val="en-US"/>
        </w:rPr>
        <w:t>Compendium of WHO and other UN guidance on health and environment</w:t>
      </w:r>
      <w:r>
        <w:rPr>
          <w:color w:val="000000" w:themeColor="text1"/>
          <w:sz w:val="18"/>
        </w:rPr>
        <w:t xml:space="preserve"> (Ginebra, 2023). </w:t>
      </w:r>
    </w:p>
  </w:footnote>
  <w:footnote w:id="32">
    <w:p w14:paraId="2C9FC79A" w14:textId="6D35839D" w:rsidR="00151CEF" w:rsidRPr="00603392" w:rsidRDefault="00151CEF" w:rsidP="00603392">
      <w:pPr>
        <w:pStyle w:val="FootnoteText"/>
        <w:jc w:val="left"/>
        <w:rPr>
          <w:sz w:val="18"/>
          <w:szCs w:val="18"/>
        </w:rPr>
      </w:pPr>
      <w:r>
        <w:rPr>
          <w:rStyle w:val="FootnoteReference"/>
          <w:sz w:val="18"/>
          <w:szCs w:val="18"/>
        </w:rPr>
        <w:footnoteRef/>
      </w:r>
      <w:r>
        <w:rPr>
          <w:sz w:val="18"/>
        </w:rPr>
        <w:t xml:space="preserve"> </w:t>
      </w:r>
      <w:bookmarkStart w:id="7" w:name="_Hlk169793031"/>
      <w:r>
        <w:rPr>
          <w:sz w:val="18"/>
        </w:rPr>
        <w:t>Philip Landrigan et al., “</w:t>
      </w:r>
      <w:r w:rsidRPr="00F37EF3">
        <w:rPr>
          <w:sz w:val="18"/>
          <w:lang w:val="en-US"/>
        </w:rPr>
        <w:t xml:space="preserve">Mindaroo-Monaco Commission on Plastics and Human Health”, </w:t>
      </w:r>
      <w:r w:rsidRPr="00F37EF3">
        <w:rPr>
          <w:i/>
          <w:sz w:val="18"/>
          <w:lang w:val="en-US"/>
        </w:rPr>
        <w:t>Annals of Global Health</w:t>
      </w:r>
      <w:r>
        <w:rPr>
          <w:i/>
          <w:sz w:val="18"/>
        </w:rPr>
        <w:t xml:space="preserve">, </w:t>
      </w:r>
      <w:r>
        <w:rPr>
          <w:sz w:val="18"/>
        </w:rPr>
        <w:t>89 (1): 23 (2023).</w:t>
      </w:r>
    </w:p>
    <w:bookmarkEnd w:id="7"/>
  </w:footnote>
  <w:footnote w:id="33">
    <w:p w14:paraId="16501275" w14:textId="78D609B0" w:rsidR="00151CEF" w:rsidRPr="00603392" w:rsidRDefault="00151CEF" w:rsidP="00603392">
      <w:pPr>
        <w:pStyle w:val="FootnoteText"/>
        <w:jc w:val="left"/>
        <w:rPr>
          <w:sz w:val="18"/>
          <w:szCs w:val="18"/>
        </w:rPr>
      </w:pPr>
      <w:r>
        <w:rPr>
          <w:rStyle w:val="FootnoteReference"/>
          <w:sz w:val="18"/>
          <w:szCs w:val="18"/>
        </w:rPr>
        <w:footnoteRef/>
      </w:r>
      <w:r>
        <w:rPr>
          <w:sz w:val="18"/>
        </w:rPr>
        <w:t xml:space="preserve"> Resolución 76.17 de la Asamblea Mundial de la Salud.</w:t>
      </w:r>
    </w:p>
  </w:footnote>
  <w:footnote w:id="34">
    <w:p w14:paraId="4D922E73" w14:textId="424AE832" w:rsidR="00151CEF" w:rsidRPr="009B0237" w:rsidRDefault="00151CEF" w:rsidP="0006778C">
      <w:pPr>
        <w:pStyle w:val="FootnoteText"/>
        <w:rPr>
          <w:sz w:val="18"/>
          <w:szCs w:val="18"/>
          <w:lang w:val="en-US"/>
        </w:rPr>
      </w:pPr>
      <w:r w:rsidRPr="009B0237">
        <w:rPr>
          <w:rStyle w:val="FootnoteReference"/>
          <w:sz w:val="18"/>
          <w:szCs w:val="18"/>
        </w:rPr>
        <w:footnoteRef/>
      </w:r>
      <w:r w:rsidRPr="009B0237">
        <w:rPr>
          <w:sz w:val="18"/>
          <w:szCs w:val="18"/>
        </w:rPr>
        <w:t xml:space="preserve"> Philip Landrigan</w:t>
      </w:r>
      <w:r>
        <w:rPr>
          <w:sz w:val="18"/>
          <w:szCs w:val="18"/>
        </w:rPr>
        <w:t xml:space="preserve"> et al.</w:t>
      </w:r>
      <w:r w:rsidRPr="009B0237">
        <w:rPr>
          <w:sz w:val="18"/>
          <w:szCs w:val="18"/>
        </w:rPr>
        <w:t xml:space="preserve">, </w:t>
      </w:r>
      <w:r w:rsidRPr="009B0237">
        <w:rPr>
          <w:sz w:val="18"/>
          <w:szCs w:val="18"/>
          <w:lang w:val="en-US"/>
        </w:rPr>
        <w:t xml:space="preserve">“Mindaroo-Monaco Commission on Plastics and Human Health”, </w:t>
      </w:r>
      <w:r w:rsidRPr="009B0237">
        <w:rPr>
          <w:i/>
          <w:sz w:val="18"/>
          <w:szCs w:val="18"/>
          <w:lang w:val="en-US"/>
        </w:rPr>
        <w:t>Annals of Global Health</w:t>
      </w:r>
      <w:r w:rsidRPr="009B0237">
        <w:rPr>
          <w:sz w:val="18"/>
          <w:szCs w:val="18"/>
        </w:rPr>
        <w:t>, 89 (1): 23 (2023).</w:t>
      </w:r>
    </w:p>
  </w:footnote>
  <w:footnote w:id="35">
    <w:p w14:paraId="0ED06318" w14:textId="025CF38D" w:rsidR="00151CEF" w:rsidRPr="00603392" w:rsidRDefault="00151CEF" w:rsidP="00603392">
      <w:pPr>
        <w:pStyle w:val="FootnoteText"/>
        <w:jc w:val="left"/>
        <w:rPr>
          <w:sz w:val="18"/>
          <w:szCs w:val="18"/>
        </w:rPr>
      </w:pPr>
      <w:r>
        <w:rPr>
          <w:rStyle w:val="FootnoteReference"/>
          <w:sz w:val="18"/>
          <w:szCs w:val="18"/>
        </w:rPr>
        <w:footnoteRef/>
      </w:r>
      <w:r>
        <w:rPr>
          <w:sz w:val="18"/>
        </w:rPr>
        <w:t xml:space="preserve"> Organización de las Naciones Unidas para la Alimentación y la Agricultura, Programa de las Naciones Unidas para el Medio Ambiente, Organización Mundial de la Salud y Organización Mundial de Sanidad Animal, </w:t>
      </w:r>
      <w:r w:rsidRPr="00F37EF3">
        <w:rPr>
          <w:i/>
          <w:sz w:val="18"/>
          <w:lang w:val="en-US"/>
        </w:rPr>
        <w:t>One Health Joint Plan of Action (‎2022‒2026): Working Together for the Health of Humans, Animals, Plants and the Environment</w:t>
      </w:r>
      <w:r>
        <w:rPr>
          <w:sz w:val="18"/>
        </w:rPr>
        <w:t xml:space="preserve"> (Roma, 2022).</w:t>
      </w:r>
    </w:p>
  </w:footnote>
  <w:footnote w:id="36">
    <w:p w14:paraId="345411DE" w14:textId="42F82750" w:rsidR="00151CEF" w:rsidRPr="00603392" w:rsidRDefault="00151CEF" w:rsidP="00603392">
      <w:pPr>
        <w:pStyle w:val="FootnoteText"/>
        <w:jc w:val="left"/>
        <w:rPr>
          <w:sz w:val="18"/>
          <w:szCs w:val="18"/>
        </w:rPr>
      </w:pPr>
      <w:r>
        <w:rPr>
          <w:rStyle w:val="FootnoteReference"/>
          <w:sz w:val="18"/>
          <w:szCs w:val="18"/>
        </w:rPr>
        <w:footnoteRef/>
      </w:r>
      <w:r>
        <w:t xml:space="preserve"> </w:t>
      </w:r>
      <w:r>
        <w:rPr>
          <w:sz w:val="18"/>
        </w:rPr>
        <w:t xml:space="preserve">Organización Mundial de la Salud, </w:t>
      </w:r>
      <w:r w:rsidRPr="00F37EF3">
        <w:rPr>
          <w:i/>
          <w:sz w:val="18"/>
          <w:lang w:val="en-US"/>
        </w:rPr>
        <w:t>Compendium of UN and other UN guidance on health and environment</w:t>
      </w:r>
      <w:r>
        <w:rPr>
          <w:sz w:val="18"/>
        </w:rPr>
        <w:t xml:space="preserve"> (Ginebra, 2021).</w:t>
      </w:r>
    </w:p>
  </w:footnote>
  <w:footnote w:id="37">
    <w:p w14:paraId="2E10EB71" w14:textId="3E9A93C9" w:rsidR="00151CEF" w:rsidRPr="00603392" w:rsidRDefault="00151CEF" w:rsidP="00603392">
      <w:pPr>
        <w:pStyle w:val="FootnoteText"/>
        <w:jc w:val="left"/>
        <w:rPr>
          <w:sz w:val="18"/>
          <w:szCs w:val="18"/>
        </w:rPr>
      </w:pPr>
      <w:r>
        <w:rPr>
          <w:rStyle w:val="FootnoteReference"/>
          <w:sz w:val="18"/>
          <w:szCs w:val="18"/>
        </w:rPr>
        <w:footnoteRef/>
      </w:r>
      <w:r>
        <w:rPr>
          <w:sz w:val="18"/>
        </w:rPr>
        <w:t xml:space="preserve"> Resolución 76.17 de la Asamblea Mundial de la Salud.</w:t>
      </w:r>
    </w:p>
  </w:footnote>
  <w:footnote w:id="38">
    <w:p w14:paraId="0281F62C" w14:textId="5FCA08B8" w:rsidR="00151CEF" w:rsidRPr="00603392" w:rsidRDefault="00151CEF" w:rsidP="00603392">
      <w:pPr>
        <w:pStyle w:val="FootnoteText"/>
        <w:jc w:val="left"/>
        <w:rPr>
          <w:sz w:val="18"/>
          <w:szCs w:val="18"/>
        </w:rPr>
      </w:pPr>
      <w:r>
        <w:rPr>
          <w:rStyle w:val="FootnoteReference"/>
          <w:sz w:val="18"/>
          <w:szCs w:val="18"/>
        </w:rPr>
        <w:footnoteRef/>
      </w:r>
      <w:r>
        <w:rPr>
          <w:sz w:val="18"/>
        </w:rPr>
        <w:t xml:space="preserve"> Programa de las Naciones Unidas para el Medio Ambiente, </w:t>
      </w:r>
      <w:r w:rsidRPr="00F37EF3">
        <w:rPr>
          <w:i/>
          <w:sz w:val="18"/>
          <w:lang w:val="en-US"/>
        </w:rPr>
        <w:t>Bracing for Superbugs: Strengthening Environmental Action in the One Health Response to Antimicrobial Resistance</w:t>
      </w:r>
      <w:r>
        <w:rPr>
          <w:sz w:val="18"/>
        </w:rPr>
        <w:t xml:space="preserve"> (Ginebra, 2023).</w:t>
      </w:r>
    </w:p>
  </w:footnote>
  <w:footnote w:id="39">
    <w:p w14:paraId="078DA8C7" w14:textId="0B445186" w:rsidR="00151CEF" w:rsidRPr="00603392" w:rsidRDefault="00151CEF" w:rsidP="009B0237">
      <w:pPr>
        <w:pStyle w:val="FootnoteText"/>
        <w:rPr>
          <w:lang w:val="en-US"/>
        </w:rPr>
      </w:pPr>
      <w:r>
        <w:rPr>
          <w:rStyle w:val="FootnoteReference"/>
        </w:rPr>
        <w:footnoteRef/>
      </w:r>
      <w:r>
        <w:t xml:space="preserve"> </w:t>
      </w:r>
      <w:r>
        <w:rPr>
          <w:sz w:val="18"/>
        </w:rPr>
        <w:t xml:space="preserve">Organización Mundial de la Salud, </w:t>
      </w:r>
      <w:r w:rsidRPr="009B0237">
        <w:rPr>
          <w:i/>
          <w:iCs/>
          <w:sz w:val="18"/>
          <w:szCs w:val="18"/>
          <w:lang w:val="en-US"/>
        </w:rPr>
        <w:t>Compendium of UN and other UN guidance on health and the environment</w:t>
      </w:r>
      <w:r w:rsidRPr="00D76BE1">
        <w:rPr>
          <w:sz w:val="18"/>
          <w:szCs w:val="18"/>
        </w:rPr>
        <w:t xml:space="preserve"> (G</w:t>
      </w:r>
      <w:r>
        <w:rPr>
          <w:sz w:val="18"/>
          <w:szCs w:val="18"/>
        </w:rPr>
        <w:t>i</w:t>
      </w:r>
      <w:r w:rsidRPr="00D76BE1">
        <w:rPr>
          <w:sz w:val="18"/>
          <w:szCs w:val="18"/>
        </w:rPr>
        <w:t>ne</w:t>
      </w:r>
      <w:r>
        <w:rPr>
          <w:sz w:val="18"/>
          <w:szCs w:val="18"/>
        </w:rPr>
        <w:t>br</w:t>
      </w:r>
      <w:r w:rsidRPr="00D76BE1">
        <w:rPr>
          <w:sz w:val="18"/>
          <w:szCs w:val="18"/>
        </w:rPr>
        <w:t>a, 2021).</w:t>
      </w:r>
    </w:p>
  </w:footnote>
  <w:footnote w:id="40">
    <w:p w14:paraId="6090A080" w14:textId="4474A594" w:rsidR="00151CEF" w:rsidRPr="00603392" w:rsidRDefault="00151CEF" w:rsidP="009B0237">
      <w:pPr>
        <w:pStyle w:val="FootnoteText"/>
        <w:rPr>
          <w:sz w:val="18"/>
          <w:szCs w:val="18"/>
        </w:rPr>
      </w:pPr>
      <w:r w:rsidRPr="00603392">
        <w:rPr>
          <w:rStyle w:val="FootnoteReference"/>
          <w:sz w:val="18"/>
          <w:szCs w:val="18"/>
        </w:rPr>
        <w:footnoteRef/>
      </w:r>
      <w:r w:rsidRPr="00603392">
        <w:rPr>
          <w:sz w:val="18"/>
          <w:szCs w:val="18"/>
        </w:rPr>
        <w:t xml:space="preserve"> </w:t>
      </w:r>
      <w:r>
        <w:rPr>
          <w:sz w:val="18"/>
        </w:rPr>
        <w:t xml:space="preserve">Organización Mundial de la Salud, </w:t>
      </w:r>
      <w:r w:rsidRPr="009B0237">
        <w:rPr>
          <w:color w:val="000000" w:themeColor="text1"/>
          <w:sz w:val="18"/>
          <w:szCs w:val="18"/>
        </w:rPr>
        <w:t>informe de la Séptima Conferencia Ministerial sobre Medio Ambiente y Salud, anexo 5 (Declaración de Budapest: Acelerar la acción para poblaciones más saludables, un planeta próspero y un futuro sostenible</w:t>
      </w:r>
      <w:r w:rsidRPr="00D76BE1">
        <w:rPr>
          <w:color w:val="000000" w:themeColor="text1"/>
          <w:sz w:val="18"/>
          <w:szCs w:val="18"/>
        </w:rPr>
        <w:t>)</w:t>
      </w:r>
      <w:r w:rsidRPr="00D76BE1">
        <w:rPr>
          <w:i/>
          <w:iCs/>
          <w:color w:val="000000" w:themeColor="text1"/>
          <w:sz w:val="18"/>
          <w:szCs w:val="18"/>
        </w:rPr>
        <w:t>.</w:t>
      </w:r>
    </w:p>
  </w:footnote>
  <w:footnote w:id="41">
    <w:p w14:paraId="7A551A46" w14:textId="7423DC53" w:rsidR="00151CEF" w:rsidRPr="00603392" w:rsidRDefault="00151CEF">
      <w:pPr>
        <w:pStyle w:val="FootnoteText"/>
      </w:pPr>
      <w:r>
        <w:rPr>
          <w:rStyle w:val="FootnoteReference"/>
        </w:rPr>
        <w:footnoteRef/>
      </w:r>
      <w:r>
        <w:rPr>
          <w:sz w:val="18"/>
        </w:rPr>
        <w:t xml:space="preserve"> Resolución 76.17 de la Asamblea Mundial de la Salud.</w:t>
      </w:r>
    </w:p>
  </w:footnote>
  <w:footnote w:id="42">
    <w:p w14:paraId="5AF2D500" w14:textId="11E30F78" w:rsidR="00151CEF" w:rsidRPr="00603392" w:rsidRDefault="00151CEF" w:rsidP="00603392">
      <w:pPr>
        <w:jc w:val="left"/>
        <w:rPr>
          <w:color w:val="000000" w:themeColor="text1"/>
          <w:sz w:val="18"/>
          <w:szCs w:val="18"/>
        </w:rPr>
      </w:pPr>
      <w:r>
        <w:rPr>
          <w:rStyle w:val="FootnoteReference"/>
          <w:sz w:val="18"/>
          <w:szCs w:val="18"/>
        </w:rPr>
        <w:footnoteRef/>
      </w:r>
      <w:r>
        <w:rPr>
          <w:color w:val="000000" w:themeColor="text1"/>
          <w:sz w:val="18"/>
        </w:rPr>
        <w:t>Adaptado de</w:t>
      </w:r>
      <w:r w:rsidR="00575510">
        <w:rPr>
          <w:color w:val="000000" w:themeColor="text1"/>
          <w:sz w:val="18"/>
        </w:rPr>
        <w:t xml:space="preserve"> Plataforma Intergubernamental Científico-Normativa sobre Diversidad Biológica y Servicios de los Ecosistemas,</w:t>
      </w:r>
      <w:r>
        <w:rPr>
          <w:color w:val="000000" w:themeColor="text1"/>
          <w:sz w:val="18"/>
        </w:rPr>
        <w:t xml:space="preserve"> </w:t>
      </w:r>
      <w:r>
        <w:rPr>
          <w:i/>
          <w:color w:val="000000" w:themeColor="text1"/>
          <w:sz w:val="18"/>
        </w:rPr>
        <w:t>Informe de la Evaluación Mundial sobre la Diversidad Biológica y los Servicios de los Ecosistemas</w:t>
      </w:r>
      <w:r w:rsidR="003B33C2" w:rsidRPr="003B33C2">
        <w:rPr>
          <w:i/>
          <w:color w:val="000000" w:themeColor="text1"/>
          <w:sz w:val="18"/>
        </w:rPr>
        <w:t>. Resumen para los Encargados de la Formulación de Políticas</w:t>
      </w:r>
      <w:r>
        <w:rPr>
          <w:color w:val="000000" w:themeColor="text1"/>
          <w:sz w:val="18"/>
        </w:rPr>
        <w:t>.</w:t>
      </w:r>
    </w:p>
  </w:footnote>
  <w:footnote w:id="43">
    <w:p w14:paraId="51BA9614" w14:textId="6D169A47" w:rsidR="00151CEF" w:rsidRPr="00603392" w:rsidRDefault="00151CEF">
      <w:pPr>
        <w:pStyle w:val="FootnoteText"/>
      </w:pPr>
      <w:r>
        <w:rPr>
          <w:rStyle w:val="FootnoteReference"/>
        </w:rPr>
        <w:footnoteRef/>
      </w:r>
      <w:r w:rsidR="003B33C2">
        <w:t> </w:t>
      </w:r>
      <w:r>
        <w:rPr>
          <w:sz w:val="18"/>
        </w:rPr>
        <w:t>Adaptado de</w:t>
      </w:r>
      <w:r w:rsidR="00575510">
        <w:rPr>
          <w:sz w:val="18"/>
        </w:rPr>
        <w:t xml:space="preserve"> Plataforma Intergubernamental Científico-Normativa sobre Diversidad Biológica y Servicios de los Ecosistemas,</w:t>
      </w:r>
      <w:r>
        <w:rPr>
          <w:sz w:val="18"/>
        </w:rPr>
        <w:t xml:space="preserve"> </w:t>
      </w:r>
      <w:r>
        <w:rPr>
          <w:i/>
          <w:sz w:val="18"/>
        </w:rPr>
        <w:t>Informe de la Evaluación Mundial sobre la Diversidad Biológica y los Servicios de los Ecosistemas</w:t>
      </w:r>
      <w:r w:rsidR="003B33C2">
        <w:rPr>
          <w:i/>
          <w:sz w:val="18"/>
        </w:rPr>
        <w:t xml:space="preserve">. </w:t>
      </w:r>
      <w:r w:rsidR="003B33C2" w:rsidRPr="003B33C2">
        <w:rPr>
          <w:i/>
          <w:sz w:val="18"/>
        </w:rPr>
        <w:t>Resumen para los Encargados de la Formulación de Políticas</w:t>
      </w:r>
      <w:r>
        <w:rPr>
          <w:sz w:val="18"/>
        </w:rPr>
        <w:t>.</w:t>
      </w:r>
    </w:p>
  </w:footnote>
  <w:footnote w:id="44">
    <w:p w14:paraId="1C28AD8E" w14:textId="7815F9DF" w:rsidR="00151CEF" w:rsidRPr="00B65BD6" w:rsidRDefault="00151CEF">
      <w:pPr>
        <w:pStyle w:val="FootnoteText"/>
        <w:rPr>
          <w:lang w:val="es-419"/>
        </w:rPr>
      </w:pPr>
      <w:r>
        <w:rPr>
          <w:rStyle w:val="FootnoteReference"/>
        </w:rPr>
        <w:footnoteRef/>
      </w:r>
      <w:r w:rsidR="003B33C2">
        <w:t> </w:t>
      </w:r>
      <w:r>
        <w:rPr>
          <w:color w:val="000000" w:themeColor="text1"/>
          <w:sz w:val="18"/>
        </w:rPr>
        <w:t xml:space="preserve">Adaptado del Resumen para los Encargados de la Formulación de Políticas del Sexto Informe de Evaluación del Grupo de Trabajo II, Impactos, Adaptación y Vulnerabilidad, del Grupo Intergubernamental sobre el Cambio Climático, 2022. Disponible en: </w:t>
      </w:r>
      <w:hyperlink r:id="rId4" w:history="1">
        <w:r>
          <w:rPr>
            <w:rStyle w:val="Hyperlink"/>
            <w:sz w:val="18"/>
          </w:rPr>
          <w:t>www.ipcc.ch/report/ar6/syr/</w:t>
        </w:r>
      </w:hyperlink>
    </w:p>
  </w:footnote>
  <w:footnote w:id="45">
    <w:p w14:paraId="2F818B36" w14:textId="42230430" w:rsidR="00151CEF" w:rsidRPr="00603392" w:rsidRDefault="00151CEF">
      <w:pPr>
        <w:pStyle w:val="FootnoteText"/>
        <w:rPr>
          <w:sz w:val="18"/>
          <w:szCs w:val="18"/>
        </w:rPr>
      </w:pPr>
      <w:r>
        <w:rPr>
          <w:rStyle w:val="FootnoteReference"/>
          <w:sz w:val="18"/>
          <w:szCs w:val="18"/>
        </w:rPr>
        <w:footnoteRef/>
      </w:r>
      <w:r>
        <w:rPr>
          <w:sz w:val="18"/>
        </w:rPr>
        <w:t xml:space="preserve"> Recomendación 24/9 del Órgano Subsidiario de Asesoramiento Científico, Técnico y Tecnológico.</w:t>
      </w:r>
    </w:p>
  </w:footnote>
  <w:footnote w:id="46">
    <w:p w14:paraId="6FE4C259" w14:textId="35D9A5D3" w:rsidR="00151CEF" w:rsidRPr="00603392" w:rsidRDefault="00151CEF">
      <w:pPr>
        <w:pStyle w:val="FootnoteText"/>
        <w:rPr>
          <w:sz w:val="18"/>
          <w:szCs w:val="18"/>
        </w:rPr>
      </w:pPr>
      <w:r>
        <w:rPr>
          <w:rStyle w:val="FootnoteReference"/>
          <w:sz w:val="18"/>
          <w:szCs w:val="18"/>
        </w:rPr>
        <w:footnoteRef/>
      </w:r>
      <w:r>
        <w:rPr>
          <w:sz w:val="18"/>
        </w:rPr>
        <w:t xml:space="preserve"> Adaptado de Organización Mundial de la Salud, </w:t>
      </w:r>
      <w:r w:rsidRPr="00F37EF3">
        <w:rPr>
          <w:i/>
          <w:sz w:val="18"/>
          <w:lang w:val="en-US"/>
        </w:rPr>
        <w:t>Guidance on mainstreaming biodiversity for nutrition and health</w:t>
      </w:r>
      <w:r>
        <w:rPr>
          <w:sz w:val="18"/>
        </w:rPr>
        <w:t xml:space="preserve"> (Ginebra, 2020).</w:t>
      </w:r>
    </w:p>
  </w:footnote>
  <w:footnote w:id="47">
    <w:p w14:paraId="2FDE2DFD" w14:textId="191F4863" w:rsidR="00151CEF" w:rsidRPr="00603392" w:rsidRDefault="00151CEF">
      <w:pPr>
        <w:pStyle w:val="FootnoteText"/>
      </w:pPr>
      <w:r>
        <w:rPr>
          <w:rStyle w:val="FootnoteReference"/>
        </w:rPr>
        <w:footnoteRef/>
      </w:r>
      <w:r>
        <w:t xml:space="preserve"> </w:t>
      </w:r>
      <w:r>
        <w:rPr>
          <w:sz w:val="18"/>
        </w:rPr>
        <w:t xml:space="preserve">Adaptado de Organización Mundial de la Salud, </w:t>
      </w:r>
      <w:r w:rsidRPr="00F37EF3">
        <w:rPr>
          <w:i/>
          <w:sz w:val="18"/>
          <w:lang w:val="en-US"/>
        </w:rPr>
        <w:t>Guidance on mainstreaming biodiversity for nutrition and health</w:t>
      </w:r>
      <w:r>
        <w:rPr>
          <w:sz w:val="18"/>
        </w:rPr>
        <w:t xml:space="preserve"> (Ginebra, 2020).</w:t>
      </w:r>
    </w:p>
  </w:footnote>
  <w:footnote w:id="48">
    <w:p w14:paraId="5D54A539" w14:textId="32769F73" w:rsidR="00151CEF" w:rsidRPr="00603392" w:rsidRDefault="00151CEF">
      <w:pPr>
        <w:pStyle w:val="FootnoteText"/>
        <w:rPr>
          <w:sz w:val="18"/>
          <w:szCs w:val="18"/>
        </w:rPr>
      </w:pPr>
      <w:r>
        <w:rPr>
          <w:rStyle w:val="FootnoteReference"/>
          <w:sz w:val="18"/>
          <w:szCs w:val="18"/>
        </w:rPr>
        <w:footnoteRef/>
      </w:r>
      <w:r>
        <w:rPr>
          <w:sz w:val="18"/>
        </w:rPr>
        <w:t xml:space="preserve"> Adaptado de Organización de las Naciones Unidas para la Alimentación y la Agricultura, </w:t>
      </w:r>
      <w:r w:rsidRPr="00F37EF3">
        <w:rPr>
          <w:i/>
          <w:iCs/>
          <w:sz w:val="18"/>
          <w:lang w:val="en-US"/>
        </w:rPr>
        <w:t>Biodiversity and nutrition: a common path</w:t>
      </w:r>
      <w:r>
        <w:rPr>
          <w:sz w:val="18"/>
        </w:rPr>
        <w:t xml:space="preserve"> (Roma).</w:t>
      </w:r>
    </w:p>
  </w:footnote>
  <w:footnote w:id="49">
    <w:p w14:paraId="3480E1CD" w14:textId="3D885029" w:rsidR="00151CEF" w:rsidRPr="00603392" w:rsidRDefault="00151CEF">
      <w:pPr>
        <w:pStyle w:val="FootnoteText"/>
        <w:rPr>
          <w:sz w:val="18"/>
          <w:szCs w:val="18"/>
        </w:rPr>
      </w:pPr>
      <w:r>
        <w:rPr>
          <w:rStyle w:val="FootnoteReference"/>
          <w:sz w:val="18"/>
          <w:szCs w:val="18"/>
        </w:rPr>
        <w:footnoteRef/>
      </w:r>
      <w:r>
        <w:rPr>
          <w:sz w:val="18"/>
        </w:rPr>
        <w:t xml:space="preserve"> Adaptado de Comisión de Recursos Genéticos para la Alimentación y la Agricultura de la Organización de las Naciones Unidas para la Alimentación y la Agricultura, </w:t>
      </w:r>
      <w:r w:rsidRPr="00F37EF3">
        <w:rPr>
          <w:i/>
          <w:iCs/>
          <w:sz w:val="18"/>
          <w:lang w:val="en-US"/>
        </w:rPr>
        <w:t>The State of the World’s Biodiversity for Food and Agriculture</w:t>
      </w:r>
      <w:r>
        <w:rPr>
          <w:sz w:val="18"/>
        </w:rPr>
        <w:t xml:space="preserve"> (Roma, 2019).</w:t>
      </w:r>
    </w:p>
  </w:footnote>
  <w:footnote w:id="50">
    <w:p w14:paraId="458116D7" w14:textId="64DD1F59" w:rsidR="00151CEF" w:rsidRPr="00603392" w:rsidRDefault="00151CEF">
      <w:pPr>
        <w:pStyle w:val="FootnoteText"/>
        <w:rPr>
          <w:sz w:val="18"/>
          <w:szCs w:val="18"/>
        </w:rPr>
      </w:pPr>
      <w:r>
        <w:rPr>
          <w:rStyle w:val="FootnoteReference"/>
          <w:sz w:val="18"/>
          <w:szCs w:val="18"/>
        </w:rPr>
        <w:footnoteRef/>
      </w:r>
      <w:r>
        <w:rPr>
          <w:sz w:val="18"/>
        </w:rPr>
        <w:t xml:space="preserve"> Adaptado de Comisión de Recursos Genéticos para la Alimentación y la Agricultura de la Organización de las Naciones Unidas para la Alimentación y la Agricultura, </w:t>
      </w:r>
      <w:r w:rsidRPr="00F37EF3">
        <w:rPr>
          <w:i/>
          <w:sz w:val="18"/>
          <w:lang w:val="en-US"/>
        </w:rPr>
        <w:t>Framework for Action on Biodiversity for Food and Agriculture</w:t>
      </w:r>
      <w:r w:rsidRPr="00F37EF3">
        <w:rPr>
          <w:sz w:val="18"/>
          <w:lang w:val="en-US"/>
        </w:rPr>
        <w:t xml:space="preserve"> (</w:t>
      </w:r>
      <w:r>
        <w:rPr>
          <w:sz w:val="18"/>
        </w:rPr>
        <w:t>Roma, 2022).</w:t>
      </w:r>
    </w:p>
  </w:footnote>
  <w:footnote w:id="51">
    <w:p w14:paraId="6B3639AB" w14:textId="1208841C" w:rsidR="00151CEF" w:rsidRPr="00603392" w:rsidRDefault="00151CEF">
      <w:pPr>
        <w:pStyle w:val="FootnoteText"/>
        <w:rPr>
          <w:sz w:val="18"/>
          <w:szCs w:val="18"/>
        </w:rPr>
      </w:pPr>
      <w:r>
        <w:rPr>
          <w:rStyle w:val="FootnoteReference"/>
          <w:sz w:val="18"/>
          <w:szCs w:val="18"/>
        </w:rPr>
        <w:footnoteRef/>
      </w:r>
      <w:r>
        <w:rPr>
          <w:sz w:val="18"/>
        </w:rPr>
        <w:t xml:space="preserve"> Organización Mundial de Sanidad Animal, </w:t>
      </w:r>
      <w:r w:rsidRPr="00F37EF3">
        <w:rPr>
          <w:i/>
          <w:sz w:val="18"/>
          <w:lang w:val="en-US"/>
        </w:rPr>
        <w:t>Global Animal Welfare Strategy</w:t>
      </w:r>
      <w:r>
        <w:rPr>
          <w:sz w:val="18"/>
        </w:rPr>
        <w:t xml:space="preserve"> (París, 2017).</w:t>
      </w:r>
    </w:p>
  </w:footnote>
  <w:footnote w:id="52">
    <w:p w14:paraId="49CF6547" w14:textId="5DB3FAA7" w:rsidR="00151CEF" w:rsidRPr="00603392" w:rsidRDefault="00151CEF">
      <w:pPr>
        <w:pStyle w:val="FootnoteText"/>
        <w:rPr>
          <w:sz w:val="18"/>
          <w:szCs w:val="18"/>
        </w:rPr>
      </w:pPr>
      <w:r>
        <w:rPr>
          <w:rStyle w:val="FootnoteReference"/>
          <w:sz w:val="18"/>
          <w:szCs w:val="18"/>
        </w:rPr>
        <w:footnoteRef/>
      </w:r>
      <w:r>
        <w:rPr>
          <w:sz w:val="18"/>
        </w:rPr>
        <w:t xml:space="preserve"> </w:t>
      </w:r>
      <w:r>
        <w:t>E/C.19/2023/5</w:t>
      </w:r>
      <w:r>
        <w:rPr>
          <w:sz w:val="18"/>
        </w:rPr>
        <w:t>.</w:t>
      </w:r>
    </w:p>
  </w:footnote>
  <w:footnote w:id="53">
    <w:p w14:paraId="61335163" w14:textId="2B11CAC4" w:rsidR="00151CEF" w:rsidRPr="00603392" w:rsidRDefault="00151CEF">
      <w:pPr>
        <w:pStyle w:val="FootnoteText"/>
        <w:rPr>
          <w:sz w:val="18"/>
          <w:szCs w:val="18"/>
        </w:rPr>
      </w:pPr>
      <w:r>
        <w:rPr>
          <w:rStyle w:val="FootnoteReference"/>
          <w:sz w:val="18"/>
          <w:szCs w:val="18"/>
        </w:rPr>
        <w:footnoteRef/>
      </w:r>
      <w:r>
        <w:rPr>
          <w:sz w:val="18"/>
        </w:rPr>
        <w:t xml:space="preserve"> Grupo Consultivo sobre Investigación Agrícola Internacional, iniciativa sobre salud medioambiental y biodiversidad, Disponible en </w:t>
      </w:r>
      <w:hyperlink r:id="rId5">
        <w:r>
          <w:rPr>
            <w:rStyle w:val="Hyperlink"/>
            <w:color w:val="0000FF"/>
            <w:sz w:val="18"/>
          </w:rPr>
          <w:t>www.cgiar.org/research/cgiar-portfolio/environmental-health-biodiversity/</w:t>
        </w:r>
      </w:hyperlink>
      <w:r w:rsidRPr="009B0237">
        <w:rPr>
          <w:rStyle w:val="Hyperlink"/>
          <w:color w:val="auto"/>
          <w:sz w:val="18"/>
          <w:u w:val="none"/>
        </w:rPr>
        <w:t>.</w:t>
      </w:r>
    </w:p>
  </w:footnote>
  <w:footnote w:id="54">
    <w:p w14:paraId="6FFC66E5" w14:textId="5C2813EC" w:rsidR="00151CEF" w:rsidRPr="00603392" w:rsidRDefault="00151CEF">
      <w:pPr>
        <w:pStyle w:val="FootnoteText"/>
        <w:rPr>
          <w:sz w:val="18"/>
          <w:szCs w:val="18"/>
        </w:rPr>
      </w:pPr>
      <w:r>
        <w:rPr>
          <w:rStyle w:val="FootnoteReference"/>
          <w:sz w:val="18"/>
          <w:szCs w:val="18"/>
        </w:rPr>
        <w:footnoteRef/>
      </w:r>
      <w:r>
        <w:rPr>
          <w:sz w:val="18"/>
        </w:rPr>
        <w:t xml:space="preserve"> La lista de contribuciones está </w:t>
      </w:r>
      <w:r>
        <w:rPr>
          <w:color w:val="000000" w:themeColor="text1"/>
          <w:sz w:val="18"/>
        </w:rPr>
        <w:t xml:space="preserve">adaptada de </w:t>
      </w:r>
      <w:r>
        <w:rPr>
          <w:sz w:val="18"/>
        </w:rPr>
        <w:t xml:space="preserve">Plataforma Intergubernamental Científico-Normativa sobre Diversidad Biológica y Servicios de los Ecosistemas, </w:t>
      </w:r>
      <w:r>
        <w:rPr>
          <w:i/>
          <w:sz w:val="18"/>
        </w:rPr>
        <w:t>Informe de la Evaluación Mundial sobre la Diversidad Biológica y los Servicios de los Ecosistemas, Resumen para los encargados de la formulación de políticas</w:t>
      </w:r>
      <w:r>
        <w:rPr>
          <w:sz w:val="18"/>
        </w:rPr>
        <w:t xml:space="preserve">. Disponible en </w:t>
      </w:r>
      <w:hyperlink r:id="rId6">
        <w:r w:rsidRPr="009B0237">
          <w:rPr>
            <w:rStyle w:val="Hyperlink"/>
            <w:color w:val="0000FF"/>
            <w:sz w:val="18"/>
          </w:rPr>
          <w:t>www.ipbes.net/document-library-catalogue/summary-policymakers-global-assessment-laid-out</w:t>
        </w:r>
      </w:hyperlink>
      <w:r w:rsidRPr="009B0237">
        <w:rPr>
          <w:rStyle w:val="Hyperlink"/>
          <w:sz w:val="18"/>
          <w:u w:val="none"/>
        </w:rPr>
        <w:t>.</w:t>
      </w:r>
    </w:p>
  </w:footnote>
  <w:footnote w:id="55">
    <w:p w14:paraId="0FE8F87F" w14:textId="6DABE86C" w:rsidR="00151CEF" w:rsidRPr="00603392" w:rsidRDefault="00151CEF" w:rsidP="009B0237">
      <w:pPr>
        <w:pStyle w:val="FootnoteText"/>
        <w:rPr>
          <w:sz w:val="18"/>
          <w:szCs w:val="18"/>
        </w:rPr>
      </w:pPr>
      <w:r w:rsidRPr="00603392">
        <w:rPr>
          <w:rStyle w:val="FootnoteReference"/>
          <w:sz w:val="18"/>
          <w:szCs w:val="18"/>
        </w:rPr>
        <w:footnoteRef/>
      </w:r>
      <w:r w:rsidRPr="00603392">
        <w:rPr>
          <w:sz w:val="18"/>
          <w:szCs w:val="18"/>
        </w:rPr>
        <w:t xml:space="preserve"> Decisi</w:t>
      </w:r>
      <w:r>
        <w:rPr>
          <w:sz w:val="18"/>
          <w:szCs w:val="18"/>
        </w:rPr>
        <w:t>ó</w:t>
      </w:r>
      <w:r w:rsidRPr="00603392">
        <w:rPr>
          <w:sz w:val="18"/>
          <w:szCs w:val="18"/>
        </w:rPr>
        <w:t>n 15/29.</w:t>
      </w:r>
    </w:p>
  </w:footnote>
  <w:footnote w:id="56">
    <w:p w14:paraId="1101B684" w14:textId="61F8401E" w:rsidR="00151CEF" w:rsidRPr="00603392" w:rsidRDefault="00151CEF" w:rsidP="009B0237">
      <w:pPr>
        <w:pStyle w:val="FootnoteText"/>
        <w:rPr>
          <w:sz w:val="18"/>
          <w:szCs w:val="18"/>
        </w:rPr>
      </w:pPr>
      <w:r w:rsidRPr="00603392">
        <w:rPr>
          <w:rStyle w:val="FootnoteReference"/>
          <w:sz w:val="18"/>
          <w:szCs w:val="18"/>
        </w:rPr>
        <w:footnoteRef/>
      </w:r>
      <w:r>
        <w:rPr>
          <w:sz w:val="18"/>
          <w:szCs w:val="18"/>
        </w:rPr>
        <w:t> Adaptado de la Plataforma</w:t>
      </w:r>
      <w:r w:rsidRPr="00603392">
        <w:rPr>
          <w:sz w:val="18"/>
          <w:szCs w:val="18"/>
        </w:rPr>
        <w:t xml:space="preserve"> </w:t>
      </w:r>
      <w:r w:rsidRPr="009B0237">
        <w:rPr>
          <w:sz w:val="18"/>
          <w:szCs w:val="18"/>
        </w:rPr>
        <w:t>Intergubernamental Científico-Normativa sobre Diversidad Biológica y Servicios de los Ecosistemas</w:t>
      </w:r>
      <w:r w:rsidRPr="00D76BE1">
        <w:rPr>
          <w:sz w:val="18"/>
          <w:szCs w:val="18"/>
        </w:rPr>
        <w:t xml:space="preserve">, </w:t>
      </w:r>
      <w:r w:rsidRPr="009B0237">
        <w:rPr>
          <w:i/>
          <w:iCs/>
          <w:sz w:val="18"/>
          <w:szCs w:val="18"/>
          <w:lang w:val="en-US"/>
        </w:rPr>
        <w:t>Methodological assessment of the diverse values and valuation of nature</w:t>
      </w:r>
      <w:r w:rsidRPr="00D76BE1">
        <w:rPr>
          <w:sz w:val="18"/>
          <w:szCs w:val="18"/>
        </w:rPr>
        <w:t xml:space="preserve"> (Bonn, 2022).</w:t>
      </w:r>
    </w:p>
  </w:footnote>
  <w:footnote w:id="57">
    <w:p w14:paraId="09C3AE90" w14:textId="25293FDF" w:rsidR="00151CEF" w:rsidRPr="00603392" w:rsidRDefault="00151CEF" w:rsidP="009B0237">
      <w:pPr>
        <w:pStyle w:val="FootnoteText"/>
        <w:rPr>
          <w:sz w:val="18"/>
          <w:szCs w:val="18"/>
        </w:rPr>
      </w:pPr>
      <w:r w:rsidRPr="00603392">
        <w:rPr>
          <w:rStyle w:val="FootnoteReference"/>
          <w:sz w:val="18"/>
          <w:szCs w:val="18"/>
        </w:rPr>
        <w:footnoteRef/>
      </w:r>
      <w:r w:rsidRPr="00603392">
        <w:rPr>
          <w:sz w:val="18"/>
          <w:szCs w:val="18"/>
        </w:rPr>
        <w:t xml:space="preserve"> Adapt</w:t>
      </w:r>
      <w:r>
        <w:rPr>
          <w:sz w:val="18"/>
          <w:szCs w:val="18"/>
        </w:rPr>
        <w:t>a</w:t>
      </w:r>
      <w:r w:rsidRPr="00603392">
        <w:rPr>
          <w:sz w:val="18"/>
          <w:szCs w:val="18"/>
        </w:rPr>
        <w:t>do</w:t>
      </w:r>
      <w:r>
        <w:rPr>
          <w:sz w:val="18"/>
          <w:szCs w:val="18"/>
        </w:rPr>
        <w:t xml:space="preserve"> de la Organización Mundial de la Salud,</w:t>
      </w:r>
      <w:r w:rsidRPr="00D76BE1">
        <w:rPr>
          <w:sz w:val="18"/>
          <w:szCs w:val="18"/>
        </w:rPr>
        <w:t xml:space="preserve"> </w:t>
      </w:r>
      <w:r w:rsidRPr="009B0237">
        <w:rPr>
          <w:i/>
          <w:iCs/>
          <w:sz w:val="18"/>
          <w:szCs w:val="18"/>
          <w:lang w:val="en-US"/>
        </w:rPr>
        <w:t>Global Strategy on Health, Environment, and Climate Change</w:t>
      </w:r>
      <w:r w:rsidRPr="00D76BE1">
        <w:rPr>
          <w:sz w:val="18"/>
          <w:szCs w:val="18"/>
        </w:rPr>
        <w:t xml:space="preserve"> (G</w:t>
      </w:r>
      <w:r>
        <w:rPr>
          <w:sz w:val="18"/>
          <w:szCs w:val="18"/>
        </w:rPr>
        <w:t>i</w:t>
      </w:r>
      <w:r w:rsidRPr="00D76BE1">
        <w:rPr>
          <w:sz w:val="18"/>
          <w:szCs w:val="18"/>
        </w:rPr>
        <w:t>ne</w:t>
      </w:r>
      <w:r>
        <w:rPr>
          <w:sz w:val="18"/>
          <w:szCs w:val="18"/>
        </w:rPr>
        <w:t>br</w:t>
      </w:r>
      <w:r w:rsidRPr="00D76BE1">
        <w:rPr>
          <w:sz w:val="18"/>
          <w:szCs w:val="18"/>
        </w:rPr>
        <w:t>a, 2020).</w:t>
      </w:r>
    </w:p>
  </w:footnote>
  <w:footnote w:id="58">
    <w:p w14:paraId="2C92073A" w14:textId="427FB5A9" w:rsidR="00151CEF" w:rsidRPr="00603392" w:rsidRDefault="00151CEF">
      <w:pPr>
        <w:pStyle w:val="FootnoteText"/>
        <w:rPr>
          <w:sz w:val="18"/>
          <w:szCs w:val="18"/>
        </w:rPr>
      </w:pPr>
      <w:r>
        <w:rPr>
          <w:rStyle w:val="FootnoteReference"/>
          <w:sz w:val="18"/>
          <w:szCs w:val="18"/>
        </w:rPr>
        <w:footnoteRef/>
      </w:r>
      <w:r>
        <w:rPr>
          <w:sz w:val="18"/>
        </w:rPr>
        <w:t xml:space="preserve"> Estos sectores pueden incluir la agricultura, la silvicultura, la pesca, la acuicultura, el turismo, la salud, la infraestructura, la energía y la minería, la manufactura, el procesamiento y las finanzas, en consonancia con decisiones anteriores de la Conferencia de las Partes en materia de integración.</w:t>
      </w:r>
    </w:p>
  </w:footnote>
  <w:footnote w:id="59">
    <w:p w14:paraId="19302D5B" w14:textId="67B19931" w:rsidR="00151CEF" w:rsidRPr="00603392" w:rsidRDefault="00151CEF">
      <w:pPr>
        <w:pStyle w:val="FootnoteText"/>
        <w:rPr>
          <w:sz w:val="18"/>
          <w:szCs w:val="18"/>
        </w:rPr>
      </w:pPr>
      <w:r>
        <w:rPr>
          <w:rStyle w:val="FootnoteReference"/>
          <w:sz w:val="18"/>
          <w:szCs w:val="18"/>
        </w:rPr>
        <w:footnoteRef/>
      </w:r>
      <w:r>
        <w:rPr>
          <w:sz w:val="18"/>
        </w:rPr>
        <w:t xml:space="preserve"> Decisión XIII/6.</w:t>
      </w:r>
    </w:p>
  </w:footnote>
  <w:footnote w:id="60">
    <w:p w14:paraId="1D389FE7" w14:textId="24C9F467" w:rsidR="00151CEF" w:rsidRPr="00603392" w:rsidRDefault="00151CEF" w:rsidP="002E43EE">
      <w:pPr>
        <w:pStyle w:val="FootnoteText"/>
        <w:rPr>
          <w:sz w:val="18"/>
          <w:szCs w:val="18"/>
        </w:rPr>
      </w:pPr>
      <w:r w:rsidRPr="00603392">
        <w:rPr>
          <w:rStyle w:val="FootnoteReference"/>
          <w:sz w:val="18"/>
          <w:szCs w:val="18"/>
        </w:rPr>
        <w:footnoteRef/>
      </w:r>
      <w:r w:rsidRPr="00603392">
        <w:rPr>
          <w:sz w:val="18"/>
          <w:szCs w:val="18"/>
        </w:rPr>
        <w:t xml:space="preserve"> Decisi</w:t>
      </w:r>
      <w:r>
        <w:rPr>
          <w:sz w:val="18"/>
          <w:szCs w:val="18"/>
        </w:rPr>
        <w:t>ón 15/11, an</w:t>
      </w:r>
      <w:r w:rsidRPr="00603392">
        <w:rPr>
          <w:sz w:val="18"/>
          <w:szCs w:val="18"/>
        </w:rPr>
        <w:t>ex</w:t>
      </w:r>
      <w:r>
        <w:rPr>
          <w:sz w:val="18"/>
          <w:szCs w:val="18"/>
        </w:rPr>
        <w:t>o</w:t>
      </w:r>
      <w:r w:rsidRPr="00603392">
        <w:rPr>
          <w:sz w:val="18"/>
          <w:szCs w:val="18"/>
        </w:rPr>
        <w:t>.</w:t>
      </w:r>
    </w:p>
  </w:footnote>
  <w:footnote w:id="61">
    <w:p w14:paraId="037B571F" w14:textId="1EFE15E1" w:rsidR="00151CEF" w:rsidRPr="00603392" w:rsidRDefault="00151CEF" w:rsidP="002E43EE">
      <w:pPr>
        <w:pStyle w:val="FootnoteText"/>
        <w:rPr>
          <w:sz w:val="18"/>
          <w:szCs w:val="18"/>
        </w:rPr>
      </w:pPr>
      <w:r w:rsidRPr="00603392">
        <w:rPr>
          <w:rStyle w:val="FootnoteReference"/>
          <w:sz w:val="18"/>
          <w:szCs w:val="18"/>
        </w:rPr>
        <w:footnoteRef/>
      </w:r>
      <w:r w:rsidRPr="00603392">
        <w:rPr>
          <w:sz w:val="18"/>
          <w:szCs w:val="18"/>
        </w:rPr>
        <w:t xml:space="preserve"> Decisi</w:t>
      </w:r>
      <w:r>
        <w:rPr>
          <w:sz w:val="18"/>
          <w:szCs w:val="18"/>
        </w:rPr>
        <w:t>ó</w:t>
      </w:r>
      <w:r w:rsidRPr="00603392">
        <w:rPr>
          <w:sz w:val="18"/>
          <w:szCs w:val="18"/>
        </w:rPr>
        <w:t xml:space="preserve">n </w:t>
      </w:r>
      <w:r>
        <w:rPr>
          <w:sz w:val="18"/>
          <w:szCs w:val="18"/>
        </w:rPr>
        <w:t>15/5, an</w:t>
      </w:r>
      <w:r w:rsidRPr="00603392">
        <w:rPr>
          <w:sz w:val="18"/>
          <w:szCs w:val="18"/>
        </w:rPr>
        <w:t>ex</w:t>
      </w:r>
      <w:r>
        <w:rPr>
          <w:sz w:val="18"/>
          <w:szCs w:val="18"/>
        </w:rPr>
        <w:t>o</w:t>
      </w:r>
      <w:r w:rsidRPr="00603392">
        <w:rPr>
          <w:sz w:val="18"/>
          <w:szCs w:val="18"/>
        </w:rPr>
        <w:t xml:space="preserve"> I.</w:t>
      </w:r>
    </w:p>
  </w:footnote>
  <w:footnote w:id="62">
    <w:p w14:paraId="1F9218F8" w14:textId="0660F500" w:rsidR="00151CEF" w:rsidRPr="00603392" w:rsidRDefault="00151CEF">
      <w:pPr>
        <w:pStyle w:val="FootnoteText"/>
        <w:rPr>
          <w:sz w:val="18"/>
          <w:szCs w:val="18"/>
        </w:rPr>
      </w:pPr>
      <w:r>
        <w:rPr>
          <w:rStyle w:val="FootnoteReference"/>
          <w:sz w:val="18"/>
          <w:szCs w:val="18"/>
        </w:rPr>
        <w:footnoteRef/>
      </w:r>
      <w:r w:rsidR="005B21B9">
        <w:rPr>
          <w:sz w:val="18"/>
        </w:rPr>
        <w:t> </w:t>
      </w:r>
      <w:r>
        <w:rPr>
          <w:sz w:val="18"/>
        </w:rPr>
        <w:t>Por ejemplo, el deshielo del permafrost puede liberar cepas de microorganismos potencialmente perjudiciales para la salud humana.</w:t>
      </w:r>
    </w:p>
  </w:footnote>
  <w:footnote w:id="63">
    <w:p w14:paraId="4A6FBC2C" w14:textId="6E9A7A21" w:rsidR="00151CEF" w:rsidRPr="00967643" w:rsidRDefault="00151CEF" w:rsidP="008F51E2">
      <w:pPr>
        <w:pStyle w:val="FootnoteText"/>
        <w:rPr>
          <w:color w:val="1D1D1D"/>
          <w:sz w:val="18"/>
          <w:szCs w:val="18"/>
          <w:shd w:val="clear" w:color="auto" w:fill="FFFFFF"/>
        </w:rPr>
      </w:pPr>
      <w:r w:rsidRPr="00967643">
        <w:rPr>
          <w:rStyle w:val="FootnoteReference"/>
          <w:rFonts w:eastAsiaTheme="majorEastAsia"/>
          <w:sz w:val="18"/>
          <w:szCs w:val="18"/>
        </w:rPr>
        <w:footnoteRef/>
      </w:r>
      <w:r w:rsidRPr="00967643">
        <w:rPr>
          <w:sz w:val="18"/>
          <w:szCs w:val="18"/>
        </w:rPr>
        <w:t xml:space="preserve"> Por “diversidad biológica” se entiende la variabilidad de organismos vivos de cualquier fuente, incluidos los ecosistemas terrestres y marinos y otros ecosistemas acuáticos y los complejos ecológicos de los que forman parte; comprende la diversidad dentro de cada especie, entre las especies y de los ecosistemas. </w:t>
      </w:r>
      <w:r w:rsidRPr="00967643">
        <w:rPr>
          <w:sz w:val="18"/>
          <w:szCs w:val="18"/>
          <w:shd w:val="clear" w:color="auto" w:fill="FFFFFF"/>
        </w:rPr>
        <w:t>(Convenio sobre la Diversidad Biológica, artículo</w:t>
      </w:r>
      <w:r w:rsidRPr="00967643">
        <w:rPr>
          <w:sz w:val="18"/>
          <w:szCs w:val="18"/>
        </w:rPr>
        <w:t xml:space="preserve">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7983D" w14:textId="0C88A306" w:rsidR="00151CEF" w:rsidRPr="000865E9" w:rsidRDefault="00151CEF" w:rsidP="00603392">
    <w:pPr>
      <w:pStyle w:val="Header"/>
      <w:pBdr>
        <w:bottom w:val="single" w:sz="4" w:space="1" w:color="auto"/>
      </w:pBdr>
      <w:spacing w:after="240"/>
      <w:jc w:val="left"/>
      <w:rPr>
        <w:sz w:val="20"/>
        <w:szCs w:val="20"/>
      </w:rPr>
    </w:pPr>
    <w:r>
      <w:rPr>
        <w:sz w:val="20"/>
      </w:rPr>
      <w:t>CBD/SBSTTA/REC/26/9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E4635" w14:textId="70E2C2CB" w:rsidR="00151CEF" w:rsidRPr="00332A87" w:rsidRDefault="00151CEF" w:rsidP="00332A87">
    <w:pPr>
      <w:pStyle w:val="Header"/>
      <w:pBdr>
        <w:bottom w:val="single" w:sz="4" w:space="1" w:color="auto"/>
      </w:pBdr>
      <w:jc w:val="right"/>
      <w:rPr>
        <w:sz w:val="20"/>
        <w:szCs w:val="20"/>
      </w:rPr>
    </w:pPr>
    <w:r>
      <w:rPr>
        <w:sz w:val="20"/>
      </w:rPr>
      <w:t>CBD/SBSTTA/REC/26/9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5B6"/>
    <w:multiLevelType w:val="hybridMultilevel"/>
    <w:tmpl w:val="7BE8DD02"/>
    <w:lvl w:ilvl="0" w:tplc="4B4C3816">
      <w:start w:val="1"/>
      <w:numFmt w:val="lowerLetter"/>
      <w:lvlText w:val="%1)"/>
      <w:lvlJc w:val="left"/>
      <w:pPr>
        <w:ind w:left="1020" w:hanging="360"/>
      </w:pPr>
    </w:lvl>
    <w:lvl w:ilvl="1" w:tplc="30A2FD76">
      <w:start w:val="1"/>
      <w:numFmt w:val="lowerLetter"/>
      <w:lvlText w:val="%2)"/>
      <w:lvlJc w:val="left"/>
      <w:pPr>
        <w:ind w:left="1020" w:hanging="360"/>
      </w:pPr>
    </w:lvl>
    <w:lvl w:ilvl="2" w:tplc="424AA46C">
      <w:start w:val="1"/>
      <w:numFmt w:val="lowerLetter"/>
      <w:lvlText w:val="%3)"/>
      <w:lvlJc w:val="left"/>
      <w:pPr>
        <w:ind w:left="1020" w:hanging="360"/>
      </w:pPr>
    </w:lvl>
    <w:lvl w:ilvl="3" w:tplc="493E4B88">
      <w:start w:val="1"/>
      <w:numFmt w:val="lowerLetter"/>
      <w:lvlText w:val="%4)"/>
      <w:lvlJc w:val="left"/>
      <w:pPr>
        <w:ind w:left="1020" w:hanging="360"/>
      </w:pPr>
    </w:lvl>
    <w:lvl w:ilvl="4" w:tplc="316C879C">
      <w:start w:val="1"/>
      <w:numFmt w:val="lowerLetter"/>
      <w:lvlText w:val="%5)"/>
      <w:lvlJc w:val="left"/>
      <w:pPr>
        <w:ind w:left="1020" w:hanging="360"/>
      </w:pPr>
    </w:lvl>
    <w:lvl w:ilvl="5" w:tplc="D48E0686">
      <w:start w:val="1"/>
      <w:numFmt w:val="lowerLetter"/>
      <w:lvlText w:val="%6)"/>
      <w:lvlJc w:val="left"/>
      <w:pPr>
        <w:ind w:left="1020" w:hanging="360"/>
      </w:pPr>
    </w:lvl>
    <w:lvl w:ilvl="6" w:tplc="B49EB44E">
      <w:start w:val="1"/>
      <w:numFmt w:val="lowerLetter"/>
      <w:lvlText w:val="%7)"/>
      <w:lvlJc w:val="left"/>
      <w:pPr>
        <w:ind w:left="1020" w:hanging="360"/>
      </w:pPr>
    </w:lvl>
    <w:lvl w:ilvl="7" w:tplc="C868BB64">
      <w:start w:val="1"/>
      <w:numFmt w:val="lowerLetter"/>
      <w:lvlText w:val="%8)"/>
      <w:lvlJc w:val="left"/>
      <w:pPr>
        <w:ind w:left="1020" w:hanging="360"/>
      </w:pPr>
    </w:lvl>
    <w:lvl w:ilvl="8" w:tplc="8598AA54">
      <w:start w:val="1"/>
      <w:numFmt w:val="lowerLetter"/>
      <w:lvlText w:val="%9)"/>
      <w:lvlJc w:val="left"/>
      <w:pPr>
        <w:ind w:left="1020" w:hanging="360"/>
      </w:pPr>
    </w:lvl>
  </w:abstractNum>
  <w:abstractNum w:abstractNumId="1" w15:restartNumberingAfterBreak="0">
    <w:nsid w:val="02CA21D6"/>
    <w:multiLevelType w:val="hybridMultilevel"/>
    <w:tmpl w:val="E8B29FD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A3E56"/>
    <w:multiLevelType w:val="hybridMultilevel"/>
    <w:tmpl w:val="7AA47400"/>
    <w:lvl w:ilvl="0" w:tplc="A2A04BC4">
      <w:start w:val="1"/>
      <w:numFmt w:val="lowerLetter"/>
      <w:lvlText w:val="%1)"/>
      <w:lvlJc w:val="left"/>
      <w:pPr>
        <w:ind w:left="1020" w:hanging="360"/>
      </w:pPr>
    </w:lvl>
    <w:lvl w:ilvl="1" w:tplc="0242E3C0">
      <w:start w:val="1"/>
      <w:numFmt w:val="lowerLetter"/>
      <w:lvlText w:val="%2)"/>
      <w:lvlJc w:val="left"/>
      <w:pPr>
        <w:ind w:left="1020" w:hanging="360"/>
      </w:pPr>
    </w:lvl>
    <w:lvl w:ilvl="2" w:tplc="EC1ED3D4">
      <w:start w:val="1"/>
      <w:numFmt w:val="lowerLetter"/>
      <w:lvlText w:val="%3)"/>
      <w:lvlJc w:val="left"/>
      <w:pPr>
        <w:ind w:left="1020" w:hanging="360"/>
      </w:pPr>
    </w:lvl>
    <w:lvl w:ilvl="3" w:tplc="E7F42116">
      <w:start w:val="1"/>
      <w:numFmt w:val="lowerLetter"/>
      <w:lvlText w:val="%4)"/>
      <w:lvlJc w:val="left"/>
      <w:pPr>
        <w:ind w:left="1020" w:hanging="360"/>
      </w:pPr>
    </w:lvl>
    <w:lvl w:ilvl="4" w:tplc="8D5C747C">
      <w:start w:val="1"/>
      <w:numFmt w:val="lowerLetter"/>
      <w:lvlText w:val="%5)"/>
      <w:lvlJc w:val="left"/>
      <w:pPr>
        <w:ind w:left="1020" w:hanging="360"/>
      </w:pPr>
    </w:lvl>
    <w:lvl w:ilvl="5" w:tplc="4344FD96">
      <w:start w:val="1"/>
      <w:numFmt w:val="lowerLetter"/>
      <w:lvlText w:val="%6)"/>
      <w:lvlJc w:val="left"/>
      <w:pPr>
        <w:ind w:left="1020" w:hanging="360"/>
      </w:pPr>
    </w:lvl>
    <w:lvl w:ilvl="6" w:tplc="1722DA64">
      <w:start w:val="1"/>
      <w:numFmt w:val="lowerLetter"/>
      <w:lvlText w:val="%7)"/>
      <w:lvlJc w:val="left"/>
      <w:pPr>
        <w:ind w:left="1020" w:hanging="360"/>
      </w:pPr>
    </w:lvl>
    <w:lvl w:ilvl="7" w:tplc="D7009634">
      <w:start w:val="1"/>
      <w:numFmt w:val="lowerLetter"/>
      <w:lvlText w:val="%8)"/>
      <w:lvlJc w:val="left"/>
      <w:pPr>
        <w:ind w:left="1020" w:hanging="360"/>
      </w:pPr>
    </w:lvl>
    <w:lvl w:ilvl="8" w:tplc="EF30B9EE">
      <w:start w:val="1"/>
      <w:numFmt w:val="lowerLetter"/>
      <w:lvlText w:val="%9)"/>
      <w:lvlJc w:val="left"/>
      <w:pPr>
        <w:ind w:left="1020" w:hanging="360"/>
      </w:pPr>
    </w:lvl>
  </w:abstractNum>
  <w:abstractNum w:abstractNumId="3" w15:restartNumberingAfterBreak="0">
    <w:nsid w:val="083635C2"/>
    <w:multiLevelType w:val="hybridMultilevel"/>
    <w:tmpl w:val="105E6CA6"/>
    <w:lvl w:ilvl="0" w:tplc="E982B916">
      <w:numFmt w:val="bullet"/>
      <w:lvlText w:val="●"/>
      <w:lvlJc w:val="left"/>
      <w:pPr>
        <w:ind w:left="1144" w:hanging="435"/>
      </w:pPr>
      <w:rPr>
        <w:rFonts w:ascii="DengXian" w:eastAsia="DengXian" w:hAnsi="DengXian" w:cstheme="majorBidi" w:hint="eastAsia"/>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DBA4EDC"/>
    <w:multiLevelType w:val="hybridMultilevel"/>
    <w:tmpl w:val="1B525FEA"/>
    <w:lvl w:ilvl="0" w:tplc="EB3CF688">
      <w:start w:val="1"/>
      <w:numFmt w:val="decimal"/>
      <w:lvlText w:val="%1)"/>
      <w:lvlJc w:val="left"/>
      <w:pPr>
        <w:ind w:left="1020" w:hanging="360"/>
      </w:pPr>
    </w:lvl>
    <w:lvl w:ilvl="1" w:tplc="7430ECFE">
      <w:start w:val="1"/>
      <w:numFmt w:val="decimal"/>
      <w:lvlText w:val="%2)"/>
      <w:lvlJc w:val="left"/>
      <w:pPr>
        <w:ind w:left="1020" w:hanging="360"/>
      </w:pPr>
    </w:lvl>
    <w:lvl w:ilvl="2" w:tplc="6E4CBF3C">
      <w:start w:val="1"/>
      <w:numFmt w:val="decimal"/>
      <w:lvlText w:val="%3)"/>
      <w:lvlJc w:val="left"/>
      <w:pPr>
        <w:ind w:left="1020" w:hanging="360"/>
      </w:pPr>
    </w:lvl>
    <w:lvl w:ilvl="3" w:tplc="D1F89E16">
      <w:start w:val="1"/>
      <w:numFmt w:val="decimal"/>
      <w:lvlText w:val="%4)"/>
      <w:lvlJc w:val="left"/>
      <w:pPr>
        <w:ind w:left="1020" w:hanging="360"/>
      </w:pPr>
    </w:lvl>
    <w:lvl w:ilvl="4" w:tplc="41AA6AF6">
      <w:start w:val="1"/>
      <w:numFmt w:val="decimal"/>
      <w:lvlText w:val="%5)"/>
      <w:lvlJc w:val="left"/>
      <w:pPr>
        <w:ind w:left="1020" w:hanging="360"/>
      </w:pPr>
    </w:lvl>
    <w:lvl w:ilvl="5" w:tplc="D0DE7F18">
      <w:start w:val="1"/>
      <w:numFmt w:val="decimal"/>
      <w:lvlText w:val="%6)"/>
      <w:lvlJc w:val="left"/>
      <w:pPr>
        <w:ind w:left="1020" w:hanging="360"/>
      </w:pPr>
    </w:lvl>
    <w:lvl w:ilvl="6" w:tplc="5B8C89C6">
      <w:start w:val="1"/>
      <w:numFmt w:val="decimal"/>
      <w:lvlText w:val="%7)"/>
      <w:lvlJc w:val="left"/>
      <w:pPr>
        <w:ind w:left="1020" w:hanging="360"/>
      </w:pPr>
    </w:lvl>
    <w:lvl w:ilvl="7" w:tplc="EE9463EC">
      <w:start w:val="1"/>
      <w:numFmt w:val="decimal"/>
      <w:lvlText w:val="%8)"/>
      <w:lvlJc w:val="left"/>
      <w:pPr>
        <w:ind w:left="1020" w:hanging="360"/>
      </w:pPr>
    </w:lvl>
    <w:lvl w:ilvl="8" w:tplc="AEAA5876">
      <w:start w:val="1"/>
      <w:numFmt w:val="decimal"/>
      <w:lvlText w:val="%9)"/>
      <w:lvlJc w:val="left"/>
      <w:pPr>
        <w:ind w:left="1020" w:hanging="360"/>
      </w:pPr>
    </w:lvl>
  </w:abstractNum>
  <w:abstractNum w:abstractNumId="5" w15:restartNumberingAfterBreak="0">
    <w:nsid w:val="10746451"/>
    <w:multiLevelType w:val="hybridMultilevel"/>
    <w:tmpl w:val="28A80946"/>
    <w:lvl w:ilvl="0" w:tplc="40AC54E4">
      <w:start w:val="1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2E6E98"/>
    <w:multiLevelType w:val="hybridMultilevel"/>
    <w:tmpl w:val="B754C608"/>
    <w:lvl w:ilvl="0" w:tplc="A98A99DC">
      <w:start w:val="1"/>
      <w:numFmt w:val="lowerLetter"/>
      <w:lvlText w:val="(%1)"/>
      <w:lvlJc w:val="left"/>
      <w:pPr>
        <w:ind w:left="1287" w:hanging="360"/>
      </w:pPr>
      <w:rPr>
        <w:rFonts w:hint="default"/>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1A586A"/>
    <w:multiLevelType w:val="hybridMultilevel"/>
    <w:tmpl w:val="65F2934C"/>
    <w:lvl w:ilvl="0" w:tplc="5A5CE248">
      <w:start w:val="1"/>
      <w:numFmt w:val="lowerLetter"/>
      <w:lvlText w:val="%1)"/>
      <w:lvlJc w:val="left"/>
      <w:pPr>
        <w:ind w:left="1020" w:hanging="360"/>
      </w:pPr>
    </w:lvl>
    <w:lvl w:ilvl="1" w:tplc="8B002950">
      <w:start w:val="1"/>
      <w:numFmt w:val="lowerLetter"/>
      <w:lvlText w:val="%2)"/>
      <w:lvlJc w:val="left"/>
      <w:pPr>
        <w:ind w:left="1020" w:hanging="360"/>
      </w:pPr>
    </w:lvl>
    <w:lvl w:ilvl="2" w:tplc="4AD6404A">
      <w:start w:val="1"/>
      <w:numFmt w:val="lowerLetter"/>
      <w:lvlText w:val="%3)"/>
      <w:lvlJc w:val="left"/>
      <w:pPr>
        <w:ind w:left="1020" w:hanging="360"/>
      </w:pPr>
    </w:lvl>
    <w:lvl w:ilvl="3" w:tplc="D41E040A">
      <w:start w:val="1"/>
      <w:numFmt w:val="lowerLetter"/>
      <w:lvlText w:val="%4)"/>
      <w:lvlJc w:val="left"/>
      <w:pPr>
        <w:ind w:left="1020" w:hanging="360"/>
      </w:pPr>
    </w:lvl>
    <w:lvl w:ilvl="4" w:tplc="325C61D0">
      <w:start w:val="1"/>
      <w:numFmt w:val="lowerLetter"/>
      <w:lvlText w:val="%5)"/>
      <w:lvlJc w:val="left"/>
      <w:pPr>
        <w:ind w:left="1020" w:hanging="360"/>
      </w:pPr>
    </w:lvl>
    <w:lvl w:ilvl="5" w:tplc="E94816A2">
      <w:start w:val="1"/>
      <w:numFmt w:val="lowerLetter"/>
      <w:lvlText w:val="%6)"/>
      <w:lvlJc w:val="left"/>
      <w:pPr>
        <w:ind w:left="1020" w:hanging="360"/>
      </w:pPr>
    </w:lvl>
    <w:lvl w:ilvl="6" w:tplc="A788963E">
      <w:start w:val="1"/>
      <w:numFmt w:val="lowerLetter"/>
      <w:lvlText w:val="%7)"/>
      <w:lvlJc w:val="left"/>
      <w:pPr>
        <w:ind w:left="1020" w:hanging="360"/>
      </w:pPr>
    </w:lvl>
    <w:lvl w:ilvl="7" w:tplc="5AACF76A">
      <w:start w:val="1"/>
      <w:numFmt w:val="lowerLetter"/>
      <w:lvlText w:val="%8)"/>
      <w:lvlJc w:val="left"/>
      <w:pPr>
        <w:ind w:left="1020" w:hanging="360"/>
      </w:pPr>
    </w:lvl>
    <w:lvl w:ilvl="8" w:tplc="23FCD346">
      <w:start w:val="1"/>
      <w:numFmt w:val="lowerLetter"/>
      <w:lvlText w:val="%9)"/>
      <w:lvlJc w:val="left"/>
      <w:pPr>
        <w:ind w:left="1020" w:hanging="360"/>
      </w:pPr>
    </w:lvl>
  </w:abstractNum>
  <w:abstractNum w:abstractNumId="9" w15:restartNumberingAfterBreak="0">
    <w:nsid w:val="2247306A"/>
    <w:multiLevelType w:val="hybridMultilevel"/>
    <w:tmpl w:val="6E60F7DC"/>
    <w:styleLink w:val="CurrentList11"/>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0" w15:restartNumberingAfterBreak="0">
    <w:nsid w:val="224F618D"/>
    <w:multiLevelType w:val="multilevel"/>
    <w:tmpl w:val="A35A395A"/>
    <w:lvl w:ilvl="0">
      <w:start w:val="1"/>
      <w:numFmt w:val="bullet"/>
      <w:lvlText w:val="●"/>
      <w:lvlJc w:val="left"/>
      <w:pPr>
        <w:ind w:left="216" w:hanging="216"/>
      </w:pPr>
      <w:rPr>
        <w:rFonts w:hint="default"/>
        <w:sz w:val="16"/>
        <w:szCs w:val="16"/>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11"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6BA715B"/>
    <w:multiLevelType w:val="hybridMultilevel"/>
    <w:tmpl w:val="EE4455DC"/>
    <w:lvl w:ilvl="0" w:tplc="42A29600">
      <w:start w:val="1"/>
      <w:numFmt w:val="bullet"/>
      <w:lvlText w:val=""/>
      <w:lvlJc w:val="left"/>
      <w:pPr>
        <w:ind w:left="1440" w:hanging="360"/>
      </w:pPr>
      <w:rPr>
        <w:rFonts w:ascii="Symbol" w:hAnsi="Symbol"/>
      </w:rPr>
    </w:lvl>
    <w:lvl w:ilvl="1" w:tplc="ECD098EA">
      <w:start w:val="1"/>
      <w:numFmt w:val="bullet"/>
      <w:lvlText w:val=""/>
      <w:lvlJc w:val="left"/>
      <w:pPr>
        <w:ind w:left="1440" w:hanging="360"/>
      </w:pPr>
      <w:rPr>
        <w:rFonts w:ascii="Symbol" w:hAnsi="Symbol"/>
      </w:rPr>
    </w:lvl>
    <w:lvl w:ilvl="2" w:tplc="E5EC1B06">
      <w:start w:val="1"/>
      <w:numFmt w:val="bullet"/>
      <w:lvlText w:val=""/>
      <w:lvlJc w:val="left"/>
      <w:pPr>
        <w:ind w:left="1440" w:hanging="360"/>
      </w:pPr>
      <w:rPr>
        <w:rFonts w:ascii="Symbol" w:hAnsi="Symbol"/>
      </w:rPr>
    </w:lvl>
    <w:lvl w:ilvl="3" w:tplc="1770AB78">
      <w:start w:val="1"/>
      <w:numFmt w:val="bullet"/>
      <w:lvlText w:val=""/>
      <w:lvlJc w:val="left"/>
      <w:pPr>
        <w:ind w:left="1440" w:hanging="360"/>
      </w:pPr>
      <w:rPr>
        <w:rFonts w:ascii="Symbol" w:hAnsi="Symbol"/>
      </w:rPr>
    </w:lvl>
    <w:lvl w:ilvl="4" w:tplc="99909E22">
      <w:start w:val="1"/>
      <w:numFmt w:val="bullet"/>
      <w:lvlText w:val=""/>
      <w:lvlJc w:val="left"/>
      <w:pPr>
        <w:ind w:left="1440" w:hanging="360"/>
      </w:pPr>
      <w:rPr>
        <w:rFonts w:ascii="Symbol" w:hAnsi="Symbol"/>
      </w:rPr>
    </w:lvl>
    <w:lvl w:ilvl="5" w:tplc="085AB294">
      <w:start w:val="1"/>
      <w:numFmt w:val="bullet"/>
      <w:lvlText w:val=""/>
      <w:lvlJc w:val="left"/>
      <w:pPr>
        <w:ind w:left="1440" w:hanging="360"/>
      </w:pPr>
      <w:rPr>
        <w:rFonts w:ascii="Symbol" w:hAnsi="Symbol"/>
      </w:rPr>
    </w:lvl>
    <w:lvl w:ilvl="6" w:tplc="89B0CFD8">
      <w:start w:val="1"/>
      <w:numFmt w:val="bullet"/>
      <w:lvlText w:val=""/>
      <w:lvlJc w:val="left"/>
      <w:pPr>
        <w:ind w:left="1440" w:hanging="360"/>
      </w:pPr>
      <w:rPr>
        <w:rFonts w:ascii="Symbol" w:hAnsi="Symbol"/>
      </w:rPr>
    </w:lvl>
    <w:lvl w:ilvl="7" w:tplc="35B02FA0">
      <w:start w:val="1"/>
      <w:numFmt w:val="bullet"/>
      <w:lvlText w:val=""/>
      <w:lvlJc w:val="left"/>
      <w:pPr>
        <w:ind w:left="1440" w:hanging="360"/>
      </w:pPr>
      <w:rPr>
        <w:rFonts w:ascii="Symbol" w:hAnsi="Symbol"/>
      </w:rPr>
    </w:lvl>
    <w:lvl w:ilvl="8" w:tplc="53CC5342">
      <w:start w:val="1"/>
      <w:numFmt w:val="bullet"/>
      <w:lvlText w:val=""/>
      <w:lvlJc w:val="left"/>
      <w:pPr>
        <w:ind w:left="1440" w:hanging="360"/>
      </w:pPr>
      <w:rPr>
        <w:rFonts w:ascii="Symbol" w:hAnsi="Symbol"/>
      </w:rPr>
    </w:lvl>
  </w:abstractNum>
  <w:abstractNum w:abstractNumId="13" w15:restartNumberingAfterBreak="0">
    <w:nsid w:val="282379A6"/>
    <w:multiLevelType w:val="hybridMultilevel"/>
    <w:tmpl w:val="48D8DC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F31E2A"/>
    <w:multiLevelType w:val="hybridMultilevel"/>
    <w:tmpl w:val="28629C36"/>
    <w:styleLink w:val="CurrentList21"/>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C3A7AE2"/>
    <w:multiLevelType w:val="hybridMultilevel"/>
    <w:tmpl w:val="23FCDFF0"/>
    <w:lvl w:ilvl="0" w:tplc="B680DA5C">
      <w:start w:val="1"/>
      <w:numFmt w:val="decimal"/>
      <w:lvlText w:val="%1)"/>
      <w:lvlJc w:val="left"/>
      <w:pPr>
        <w:ind w:left="720" w:hanging="360"/>
      </w:pPr>
    </w:lvl>
    <w:lvl w:ilvl="1" w:tplc="9C342852">
      <w:start w:val="1"/>
      <w:numFmt w:val="decimal"/>
      <w:lvlText w:val="%2)"/>
      <w:lvlJc w:val="left"/>
      <w:pPr>
        <w:ind w:left="720" w:hanging="360"/>
      </w:pPr>
    </w:lvl>
    <w:lvl w:ilvl="2" w:tplc="2E1AE036">
      <w:start w:val="1"/>
      <w:numFmt w:val="decimal"/>
      <w:lvlText w:val="%3)"/>
      <w:lvlJc w:val="left"/>
      <w:pPr>
        <w:ind w:left="720" w:hanging="360"/>
      </w:pPr>
    </w:lvl>
    <w:lvl w:ilvl="3" w:tplc="FF66AEB4">
      <w:start w:val="1"/>
      <w:numFmt w:val="decimal"/>
      <w:lvlText w:val="%4)"/>
      <w:lvlJc w:val="left"/>
      <w:pPr>
        <w:ind w:left="720" w:hanging="360"/>
      </w:pPr>
    </w:lvl>
    <w:lvl w:ilvl="4" w:tplc="DC0444F6">
      <w:start w:val="1"/>
      <w:numFmt w:val="decimal"/>
      <w:lvlText w:val="%5)"/>
      <w:lvlJc w:val="left"/>
      <w:pPr>
        <w:ind w:left="720" w:hanging="360"/>
      </w:pPr>
    </w:lvl>
    <w:lvl w:ilvl="5" w:tplc="E9BED39A">
      <w:start w:val="1"/>
      <w:numFmt w:val="decimal"/>
      <w:lvlText w:val="%6)"/>
      <w:lvlJc w:val="left"/>
      <w:pPr>
        <w:ind w:left="720" w:hanging="360"/>
      </w:pPr>
    </w:lvl>
    <w:lvl w:ilvl="6" w:tplc="55109D5C">
      <w:start w:val="1"/>
      <w:numFmt w:val="decimal"/>
      <w:lvlText w:val="%7)"/>
      <w:lvlJc w:val="left"/>
      <w:pPr>
        <w:ind w:left="720" w:hanging="360"/>
      </w:pPr>
    </w:lvl>
    <w:lvl w:ilvl="7" w:tplc="3D86BF7E">
      <w:start w:val="1"/>
      <w:numFmt w:val="decimal"/>
      <w:lvlText w:val="%8)"/>
      <w:lvlJc w:val="left"/>
      <w:pPr>
        <w:ind w:left="720" w:hanging="360"/>
      </w:pPr>
    </w:lvl>
    <w:lvl w:ilvl="8" w:tplc="EE82AECC">
      <w:start w:val="1"/>
      <w:numFmt w:val="decimal"/>
      <w:lvlText w:val="%9)"/>
      <w:lvlJc w:val="left"/>
      <w:pPr>
        <w:ind w:left="720" w:hanging="360"/>
      </w:pPr>
    </w:lvl>
  </w:abstractNum>
  <w:abstractNum w:abstractNumId="16" w15:restartNumberingAfterBreak="0">
    <w:nsid w:val="2DC63855"/>
    <w:multiLevelType w:val="hybridMultilevel"/>
    <w:tmpl w:val="BEF45284"/>
    <w:lvl w:ilvl="0" w:tplc="17BA9552">
      <w:start w:val="1"/>
      <w:numFmt w:val="lowerLetter"/>
      <w:lvlText w:val="%1)"/>
      <w:lvlJc w:val="left"/>
      <w:pPr>
        <w:ind w:left="720" w:hanging="360"/>
      </w:pPr>
    </w:lvl>
    <w:lvl w:ilvl="1" w:tplc="F45C272C">
      <w:start w:val="1"/>
      <w:numFmt w:val="lowerLetter"/>
      <w:lvlText w:val="%2)"/>
      <w:lvlJc w:val="left"/>
      <w:pPr>
        <w:ind w:left="720" w:hanging="360"/>
      </w:pPr>
    </w:lvl>
    <w:lvl w:ilvl="2" w:tplc="3BA0D84A">
      <w:start w:val="1"/>
      <w:numFmt w:val="lowerLetter"/>
      <w:lvlText w:val="%3)"/>
      <w:lvlJc w:val="left"/>
      <w:pPr>
        <w:ind w:left="720" w:hanging="360"/>
      </w:pPr>
    </w:lvl>
    <w:lvl w:ilvl="3" w:tplc="3A2281A6">
      <w:start w:val="1"/>
      <w:numFmt w:val="lowerLetter"/>
      <w:lvlText w:val="%4)"/>
      <w:lvlJc w:val="left"/>
      <w:pPr>
        <w:ind w:left="720" w:hanging="360"/>
      </w:pPr>
    </w:lvl>
    <w:lvl w:ilvl="4" w:tplc="320E887C">
      <w:start w:val="1"/>
      <w:numFmt w:val="lowerLetter"/>
      <w:lvlText w:val="%5)"/>
      <w:lvlJc w:val="left"/>
      <w:pPr>
        <w:ind w:left="720" w:hanging="360"/>
      </w:pPr>
    </w:lvl>
    <w:lvl w:ilvl="5" w:tplc="7736DBCA">
      <w:start w:val="1"/>
      <w:numFmt w:val="lowerLetter"/>
      <w:lvlText w:val="%6)"/>
      <w:lvlJc w:val="left"/>
      <w:pPr>
        <w:ind w:left="720" w:hanging="360"/>
      </w:pPr>
    </w:lvl>
    <w:lvl w:ilvl="6" w:tplc="570A8140">
      <w:start w:val="1"/>
      <w:numFmt w:val="lowerLetter"/>
      <w:lvlText w:val="%7)"/>
      <w:lvlJc w:val="left"/>
      <w:pPr>
        <w:ind w:left="720" w:hanging="360"/>
      </w:pPr>
    </w:lvl>
    <w:lvl w:ilvl="7" w:tplc="1352A5D6">
      <w:start w:val="1"/>
      <w:numFmt w:val="lowerLetter"/>
      <w:lvlText w:val="%8)"/>
      <w:lvlJc w:val="left"/>
      <w:pPr>
        <w:ind w:left="720" w:hanging="360"/>
      </w:pPr>
    </w:lvl>
    <w:lvl w:ilvl="8" w:tplc="A050882C">
      <w:start w:val="1"/>
      <w:numFmt w:val="lowerLetter"/>
      <w:lvlText w:val="%9)"/>
      <w:lvlJc w:val="left"/>
      <w:pPr>
        <w:ind w:left="720" w:hanging="360"/>
      </w:pPr>
    </w:lvl>
  </w:abstractNum>
  <w:abstractNum w:abstractNumId="17" w15:restartNumberingAfterBreak="0">
    <w:nsid w:val="2E651ED8"/>
    <w:multiLevelType w:val="hybridMultilevel"/>
    <w:tmpl w:val="C5340A14"/>
    <w:lvl w:ilvl="0" w:tplc="727A45D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C4227"/>
    <w:multiLevelType w:val="hybridMultilevel"/>
    <w:tmpl w:val="9B26A656"/>
    <w:lvl w:ilvl="0" w:tplc="E2E4D7E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A04BA"/>
    <w:multiLevelType w:val="hybridMultilevel"/>
    <w:tmpl w:val="16341B9C"/>
    <w:lvl w:ilvl="0" w:tplc="94BC852E">
      <w:start w:val="1"/>
      <w:numFmt w:val="decimal"/>
      <w:lvlText w:val="%1)"/>
      <w:lvlJc w:val="left"/>
      <w:pPr>
        <w:ind w:left="1020" w:hanging="360"/>
      </w:pPr>
    </w:lvl>
    <w:lvl w:ilvl="1" w:tplc="C3DC804C">
      <w:start w:val="1"/>
      <w:numFmt w:val="decimal"/>
      <w:lvlText w:val="%2)"/>
      <w:lvlJc w:val="left"/>
      <w:pPr>
        <w:ind w:left="1020" w:hanging="360"/>
      </w:pPr>
    </w:lvl>
    <w:lvl w:ilvl="2" w:tplc="796A326C">
      <w:start w:val="1"/>
      <w:numFmt w:val="decimal"/>
      <w:lvlText w:val="%3)"/>
      <w:lvlJc w:val="left"/>
      <w:pPr>
        <w:ind w:left="1020" w:hanging="360"/>
      </w:pPr>
    </w:lvl>
    <w:lvl w:ilvl="3" w:tplc="B32AE1E0">
      <w:start w:val="1"/>
      <w:numFmt w:val="decimal"/>
      <w:lvlText w:val="%4)"/>
      <w:lvlJc w:val="left"/>
      <w:pPr>
        <w:ind w:left="1020" w:hanging="360"/>
      </w:pPr>
    </w:lvl>
    <w:lvl w:ilvl="4" w:tplc="D5C20F9C">
      <w:start w:val="1"/>
      <w:numFmt w:val="decimal"/>
      <w:lvlText w:val="%5)"/>
      <w:lvlJc w:val="left"/>
      <w:pPr>
        <w:ind w:left="1020" w:hanging="360"/>
      </w:pPr>
    </w:lvl>
    <w:lvl w:ilvl="5" w:tplc="3E8CD7B8">
      <w:start w:val="1"/>
      <w:numFmt w:val="decimal"/>
      <w:lvlText w:val="%6)"/>
      <w:lvlJc w:val="left"/>
      <w:pPr>
        <w:ind w:left="1020" w:hanging="360"/>
      </w:pPr>
    </w:lvl>
    <w:lvl w:ilvl="6" w:tplc="6C4E74AC">
      <w:start w:val="1"/>
      <w:numFmt w:val="decimal"/>
      <w:lvlText w:val="%7)"/>
      <w:lvlJc w:val="left"/>
      <w:pPr>
        <w:ind w:left="1020" w:hanging="360"/>
      </w:pPr>
    </w:lvl>
    <w:lvl w:ilvl="7" w:tplc="6C9AEBC6">
      <w:start w:val="1"/>
      <w:numFmt w:val="decimal"/>
      <w:lvlText w:val="%8)"/>
      <w:lvlJc w:val="left"/>
      <w:pPr>
        <w:ind w:left="1020" w:hanging="360"/>
      </w:pPr>
    </w:lvl>
    <w:lvl w:ilvl="8" w:tplc="A2122224">
      <w:start w:val="1"/>
      <w:numFmt w:val="decimal"/>
      <w:lvlText w:val="%9)"/>
      <w:lvlJc w:val="left"/>
      <w:pPr>
        <w:ind w:left="1020" w:hanging="360"/>
      </w:pPr>
    </w:lvl>
  </w:abstractNum>
  <w:abstractNum w:abstractNumId="20" w15:restartNumberingAfterBreak="0">
    <w:nsid w:val="34920F08"/>
    <w:multiLevelType w:val="hybridMultilevel"/>
    <w:tmpl w:val="FE5C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B35281"/>
    <w:multiLevelType w:val="hybridMultilevel"/>
    <w:tmpl w:val="10C2447E"/>
    <w:lvl w:ilvl="0" w:tplc="1C26351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35E67D2C"/>
    <w:multiLevelType w:val="hybridMultilevel"/>
    <w:tmpl w:val="94C83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C519BD"/>
    <w:multiLevelType w:val="hybridMultilevel"/>
    <w:tmpl w:val="EDECF8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28DB47"/>
    <w:multiLevelType w:val="hybridMultilevel"/>
    <w:tmpl w:val="B4BE6BE2"/>
    <w:lvl w:ilvl="0" w:tplc="C15ECE04">
      <w:start w:val="1"/>
      <w:numFmt w:val="lowerRoman"/>
      <w:lvlText w:val="(%1)"/>
      <w:lvlJc w:val="left"/>
      <w:pPr>
        <w:ind w:left="720" w:hanging="360"/>
      </w:pPr>
    </w:lvl>
    <w:lvl w:ilvl="1" w:tplc="59BC1918">
      <w:start w:val="1"/>
      <w:numFmt w:val="lowerLetter"/>
      <w:lvlText w:val="(%2)"/>
      <w:lvlJc w:val="left"/>
      <w:pPr>
        <w:ind w:left="1440" w:hanging="360"/>
      </w:pPr>
      <w:rPr>
        <w:rFonts w:asciiTheme="majorBidi" w:eastAsia="Times New Roman" w:hAnsiTheme="majorBidi" w:cstheme="majorBidi"/>
      </w:rPr>
    </w:lvl>
    <w:lvl w:ilvl="2" w:tplc="450ADC1C">
      <w:start w:val="1"/>
      <w:numFmt w:val="lowerRoman"/>
      <w:lvlText w:val="%3."/>
      <w:lvlJc w:val="right"/>
      <w:pPr>
        <w:ind w:left="2160" w:hanging="180"/>
      </w:pPr>
    </w:lvl>
    <w:lvl w:ilvl="3" w:tplc="ADDEC8AC">
      <w:start w:val="1"/>
      <w:numFmt w:val="decimal"/>
      <w:lvlText w:val="%4."/>
      <w:lvlJc w:val="left"/>
      <w:pPr>
        <w:ind w:left="2880" w:hanging="360"/>
      </w:pPr>
    </w:lvl>
    <w:lvl w:ilvl="4" w:tplc="FC4A43EC">
      <w:start w:val="1"/>
      <w:numFmt w:val="lowerLetter"/>
      <w:lvlText w:val="%5."/>
      <w:lvlJc w:val="left"/>
      <w:pPr>
        <w:ind w:left="3600" w:hanging="360"/>
      </w:pPr>
    </w:lvl>
    <w:lvl w:ilvl="5" w:tplc="28E2C5E4">
      <w:start w:val="1"/>
      <w:numFmt w:val="lowerRoman"/>
      <w:lvlText w:val="%6."/>
      <w:lvlJc w:val="right"/>
      <w:pPr>
        <w:ind w:left="4320" w:hanging="180"/>
      </w:pPr>
    </w:lvl>
    <w:lvl w:ilvl="6" w:tplc="44085500">
      <w:start w:val="1"/>
      <w:numFmt w:val="decimal"/>
      <w:lvlText w:val="%7."/>
      <w:lvlJc w:val="left"/>
      <w:pPr>
        <w:ind w:left="5040" w:hanging="360"/>
      </w:pPr>
    </w:lvl>
    <w:lvl w:ilvl="7" w:tplc="59BA9360">
      <w:start w:val="1"/>
      <w:numFmt w:val="lowerLetter"/>
      <w:lvlText w:val="%8."/>
      <w:lvlJc w:val="left"/>
      <w:pPr>
        <w:ind w:left="5760" w:hanging="360"/>
      </w:pPr>
    </w:lvl>
    <w:lvl w:ilvl="8" w:tplc="58E6CFFE">
      <w:start w:val="1"/>
      <w:numFmt w:val="lowerRoman"/>
      <w:lvlText w:val="%9."/>
      <w:lvlJc w:val="right"/>
      <w:pPr>
        <w:ind w:left="6480" w:hanging="180"/>
      </w:pPr>
    </w:lvl>
  </w:abstractNum>
  <w:abstractNum w:abstractNumId="25" w15:restartNumberingAfterBreak="0">
    <w:nsid w:val="3A756850"/>
    <w:multiLevelType w:val="hybridMultilevel"/>
    <w:tmpl w:val="320C8066"/>
    <w:lvl w:ilvl="0" w:tplc="6E4CFAA4">
      <w:start w:val="1"/>
      <w:numFmt w:val="bullet"/>
      <w:lvlText w:val=""/>
      <w:lvlJc w:val="left"/>
      <w:pPr>
        <w:ind w:left="1440" w:hanging="360"/>
      </w:pPr>
      <w:rPr>
        <w:rFonts w:ascii="Symbol" w:hAnsi="Symbol"/>
      </w:rPr>
    </w:lvl>
    <w:lvl w:ilvl="1" w:tplc="1DF00B6C">
      <w:start w:val="1"/>
      <w:numFmt w:val="bullet"/>
      <w:lvlText w:val=""/>
      <w:lvlJc w:val="left"/>
      <w:pPr>
        <w:ind w:left="1440" w:hanging="360"/>
      </w:pPr>
      <w:rPr>
        <w:rFonts w:ascii="Symbol" w:hAnsi="Symbol"/>
      </w:rPr>
    </w:lvl>
    <w:lvl w:ilvl="2" w:tplc="852C8E90">
      <w:start w:val="1"/>
      <w:numFmt w:val="bullet"/>
      <w:lvlText w:val=""/>
      <w:lvlJc w:val="left"/>
      <w:pPr>
        <w:ind w:left="1440" w:hanging="360"/>
      </w:pPr>
      <w:rPr>
        <w:rFonts w:ascii="Symbol" w:hAnsi="Symbol"/>
      </w:rPr>
    </w:lvl>
    <w:lvl w:ilvl="3" w:tplc="B678988E">
      <w:start w:val="1"/>
      <w:numFmt w:val="bullet"/>
      <w:lvlText w:val=""/>
      <w:lvlJc w:val="left"/>
      <w:pPr>
        <w:ind w:left="1440" w:hanging="360"/>
      </w:pPr>
      <w:rPr>
        <w:rFonts w:ascii="Symbol" w:hAnsi="Symbol"/>
      </w:rPr>
    </w:lvl>
    <w:lvl w:ilvl="4" w:tplc="1660E7F0">
      <w:start w:val="1"/>
      <w:numFmt w:val="bullet"/>
      <w:lvlText w:val=""/>
      <w:lvlJc w:val="left"/>
      <w:pPr>
        <w:ind w:left="1440" w:hanging="360"/>
      </w:pPr>
      <w:rPr>
        <w:rFonts w:ascii="Symbol" w:hAnsi="Symbol"/>
      </w:rPr>
    </w:lvl>
    <w:lvl w:ilvl="5" w:tplc="9E6C202E">
      <w:start w:val="1"/>
      <w:numFmt w:val="bullet"/>
      <w:lvlText w:val=""/>
      <w:lvlJc w:val="left"/>
      <w:pPr>
        <w:ind w:left="1440" w:hanging="360"/>
      </w:pPr>
      <w:rPr>
        <w:rFonts w:ascii="Symbol" w:hAnsi="Symbol"/>
      </w:rPr>
    </w:lvl>
    <w:lvl w:ilvl="6" w:tplc="F1C00120">
      <w:start w:val="1"/>
      <w:numFmt w:val="bullet"/>
      <w:lvlText w:val=""/>
      <w:lvlJc w:val="left"/>
      <w:pPr>
        <w:ind w:left="1440" w:hanging="360"/>
      </w:pPr>
      <w:rPr>
        <w:rFonts w:ascii="Symbol" w:hAnsi="Symbol"/>
      </w:rPr>
    </w:lvl>
    <w:lvl w:ilvl="7" w:tplc="9EA4677C">
      <w:start w:val="1"/>
      <w:numFmt w:val="bullet"/>
      <w:lvlText w:val=""/>
      <w:lvlJc w:val="left"/>
      <w:pPr>
        <w:ind w:left="1440" w:hanging="360"/>
      </w:pPr>
      <w:rPr>
        <w:rFonts w:ascii="Symbol" w:hAnsi="Symbol"/>
      </w:rPr>
    </w:lvl>
    <w:lvl w:ilvl="8" w:tplc="6EE6EE2C">
      <w:start w:val="1"/>
      <w:numFmt w:val="bullet"/>
      <w:lvlText w:val=""/>
      <w:lvlJc w:val="left"/>
      <w:pPr>
        <w:ind w:left="1440" w:hanging="360"/>
      </w:pPr>
      <w:rPr>
        <w:rFonts w:ascii="Symbol" w:hAnsi="Symbol"/>
      </w:rPr>
    </w:lvl>
  </w:abstractNum>
  <w:abstractNum w:abstractNumId="26" w15:restartNumberingAfterBreak="0">
    <w:nsid w:val="3C0421AB"/>
    <w:multiLevelType w:val="hybridMultilevel"/>
    <w:tmpl w:val="C5C6EEFA"/>
    <w:lvl w:ilvl="0" w:tplc="AE381872">
      <w:start w:val="1"/>
      <w:numFmt w:val="decimal"/>
      <w:lvlText w:val="%1)"/>
      <w:lvlJc w:val="left"/>
      <w:pPr>
        <w:ind w:left="1020" w:hanging="360"/>
      </w:pPr>
    </w:lvl>
    <w:lvl w:ilvl="1" w:tplc="4FFE4F44">
      <w:start w:val="1"/>
      <w:numFmt w:val="decimal"/>
      <w:lvlText w:val="%2)"/>
      <w:lvlJc w:val="left"/>
      <w:pPr>
        <w:ind w:left="1020" w:hanging="360"/>
      </w:pPr>
    </w:lvl>
    <w:lvl w:ilvl="2" w:tplc="430A4D62">
      <w:start w:val="1"/>
      <w:numFmt w:val="decimal"/>
      <w:lvlText w:val="%3)"/>
      <w:lvlJc w:val="left"/>
      <w:pPr>
        <w:ind w:left="1020" w:hanging="360"/>
      </w:pPr>
    </w:lvl>
    <w:lvl w:ilvl="3" w:tplc="16BA2630">
      <w:start w:val="1"/>
      <w:numFmt w:val="decimal"/>
      <w:lvlText w:val="%4)"/>
      <w:lvlJc w:val="left"/>
      <w:pPr>
        <w:ind w:left="1020" w:hanging="360"/>
      </w:pPr>
    </w:lvl>
    <w:lvl w:ilvl="4" w:tplc="45901FF4">
      <w:start w:val="1"/>
      <w:numFmt w:val="decimal"/>
      <w:lvlText w:val="%5)"/>
      <w:lvlJc w:val="left"/>
      <w:pPr>
        <w:ind w:left="1020" w:hanging="360"/>
      </w:pPr>
    </w:lvl>
    <w:lvl w:ilvl="5" w:tplc="510EFD84">
      <w:start w:val="1"/>
      <w:numFmt w:val="decimal"/>
      <w:lvlText w:val="%6)"/>
      <w:lvlJc w:val="left"/>
      <w:pPr>
        <w:ind w:left="1020" w:hanging="360"/>
      </w:pPr>
    </w:lvl>
    <w:lvl w:ilvl="6" w:tplc="77800672">
      <w:start w:val="1"/>
      <w:numFmt w:val="decimal"/>
      <w:lvlText w:val="%7)"/>
      <w:lvlJc w:val="left"/>
      <w:pPr>
        <w:ind w:left="1020" w:hanging="360"/>
      </w:pPr>
    </w:lvl>
    <w:lvl w:ilvl="7" w:tplc="B2D04AB0">
      <w:start w:val="1"/>
      <w:numFmt w:val="decimal"/>
      <w:lvlText w:val="%8)"/>
      <w:lvlJc w:val="left"/>
      <w:pPr>
        <w:ind w:left="1020" w:hanging="360"/>
      </w:pPr>
    </w:lvl>
    <w:lvl w:ilvl="8" w:tplc="BAD03498">
      <w:start w:val="1"/>
      <w:numFmt w:val="decimal"/>
      <w:lvlText w:val="%9)"/>
      <w:lvlJc w:val="left"/>
      <w:pPr>
        <w:ind w:left="1020" w:hanging="360"/>
      </w:pPr>
    </w:lvl>
  </w:abstractNum>
  <w:abstractNum w:abstractNumId="27" w15:restartNumberingAfterBreak="0">
    <w:nsid w:val="3DB33886"/>
    <w:multiLevelType w:val="hybridMultilevel"/>
    <w:tmpl w:val="E92CBF8E"/>
    <w:lvl w:ilvl="0" w:tplc="24F08720">
      <w:start w:val="1"/>
      <w:numFmt w:val="lowerLetter"/>
      <w:lvlText w:val="(%1)"/>
      <w:lvlJc w:val="left"/>
      <w:pPr>
        <w:ind w:left="1287" w:hanging="360"/>
      </w:pPr>
      <w:rPr>
        <w:rFonts w:hint="default"/>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0FD6C92"/>
    <w:multiLevelType w:val="hybridMultilevel"/>
    <w:tmpl w:val="FDCE8AA8"/>
    <w:lvl w:ilvl="0" w:tplc="E3781148">
      <w:start w:val="1"/>
      <w:numFmt w:val="decimal"/>
      <w:lvlText w:val="%1)"/>
      <w:lvlJc w:val="left"/>
      <w:pPr>
        <w:ind w:left="1020" w:hanging="360"/>
      </w:pPr>
    </w:lvl>
    <w:lvl w:ilvl="1" w:tplc="6FBE42D6">
      <w:start w:val="1"/>
      <w:numFmt w:val="decimal"/>
      <w:lvlText w:val="%2)"/>
      <w:lvlJc w:val="left"/>
      <w:pPr>
        <w:ind w:left="1020" w:hanging="360"/>
      </w:pPr>
    </w:lvl>
    <w:lvl w:ilvl="2" w:tplc="635E6E8E">
      <w:start w:val="1"/>
      <w:numFmt w:val="decimal"/>
      <w:lvlText w:val="%3)"/>
      <w:lvlJc w:val="left"/>
      <w:pPr>
        <w:ind w:left="1020" w:hanging="360"/>
      </w:pPr>
    </w:lvl>
    <w:lvl w:ilvl="3" w:tplc="A4FE3568">
      <w:start w:val="1"/>
      <w:numFmt w:val="decimal"/>
      <w:lvlText w:val="%4)"/>
      <w:lvlJc w:val="left"/>
      <w:pPr>
        <w:ind w:left="1020" w:hanging="360"/>
      </w:pPr>
    </w:lvl>
    <w:lvl w:ilvl="4" w:tplc="4AEA52EA">
      <w:start w:val="1"/>
      <w:numFmt w:val="decimal"/>
      <w:lvlText w:val="%5)"/>
      <w:lvlJc w:val="left"/>
      <w:pPr>
        <w:ind w:left="1020" w:hanging="360"/>
      </w:pPr>
    </w:lvl>
    <w:lvl w:ilvl="5" w:tplc="5F547066">
      <w:start w:val="1"/>
      <w:numFmt w:val="decimal"/>
      <w:lvlText w:val="%6)"/>
      <w:lvlJc w:val="left"/>
      <w:pPr>
        <w:ind w:left="1020" w:hanging="360"/>
      </w:pPr>
    </w:lvl>
    <w:lvl w:ilvl="6" w:tplc="65A4D97A">
      <w:start w:val="1"/>
      <w:numFmt w:val="decimal"/>
      <w:lvlText w:val="%7)"/>
      <w:lvlJc w:val="left"/>
      <w:pPr>
        <w:ind w:left="1020" w:hanging="360"/>
      </w:pPr>
    </w:lvl>
    <w:lvl w:ilvl="7" w:tplc="D12642CA">
      <w:start w:val="1"/>
      <w:numFmt w:val="decimal"/>
      <w:lvlText w:val="%8)"/>
      <w:lvlJc w:val="left"/>
      <w:pPr>
        <w:ind w:left="1020" w:hanging="360"/>
      </w:pPr>
    </w:lvl>
    <w:lvl w:ilvl="8" w:tplc="AB149070">
      <w:start w:val="1"/>
      <w:numFmt w:val="decimal"/>
      <w:lvlText w:val="%9)"/>
      <w:lvlJc w:val="left"/>
      <w:pPr>
        <w:ind w:left="1020" w:hanging="360"/>
      </w:pPr>
    </w:lvl>
  </w:abstractNum>
  <w:abstractNum w:abstractNumId="29"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5033A6"/>
    <w:multiLevelType w:val="hybridMultilevel"/>
    <w:tmpl w:val="5928D9AC"/>
    <w:lvl w:ilvl="0" w:tplc="2A1CD46A">
      <w:start w:val="1"/>
      <w:numFmt w:val="decimal"/>
      <w:lvlText w:val="%1)"/>
      <w:lvlJc w:val="left"/>
      <w:pPr>
        <w:ind w:left="720" w:hanging="360"/>
      </w:pPr>
    </w:lvl>
    <w:lvl w:ilvl="1" w:tplc="A5B0D48C">
      <w:start w:val="1"/>
      <w:numFmt w:val="decimal"/>
      <w:lvlText w:val="%2)"/>
      <w:lvlJc w:val="left"/>
      <w:pPr>
        <w:ind w:left="720" w:hanging="360"/>
      </w:pPr>
    </w:lvl>
    <w:lvl w:ilvl="2" w:tplc="B5DEA458">
      <w:start w:val="1"/>
      <w:numFmt w:val="decimal"/>
      <w:lvlText w:val="%3)"/>
      <w:lvlJc w:val="left"/>
      <w:pPr>
        <w:ind w:left="720" w:hanging="360"/>
      </w:pPr>
    </w:lvl>
    <w:lvl w:ilvl="3" w:tplc="57107B9E">
      <w:start w:val="1"/>
      <w:numFmt w:val="decimal"/>
      <w:lvlText w:val="%4)"/>
      <w:lvlJc w:val="left"/>
      <w:pPr>
        <w:ind w:left="720" w:hanging="360"/>
      </w:pPr>
    </w:lvl>
    <w:lvl w:ilvl="4" w:tplc="EC421E42">
      <w:start w:val="1"/>
      <w:numFmt w:val="decimal"/>
      <w:lvlText w:val="%5)"/>
      <w:lvlJc w:val="left"/>
      <w:pPr>
        <w:ind w:left="720" w:hanging="360"/>
      </w:pPr>
    </w:lvl>
    <w:lvl w:ilvl="5" w:tplc="1F102770">
      <w:start w:val="1"/>
      <w:numFmt w:val="decimal"/>
      <w:lvlText w:val="%6)"/>
      <w:lvlJc w:val="left"/>
      <w:pPr>
        <w:ind w:left="720" w:hanging="360"/>
      </w:pPr>
    </w:lvl>
    <w:lvl w:ilvl="6" w:tplc="5E427168">
      <w:start w:val="1"/>
      <w:numFmt w:val="decimal"/>
      <w:lvlText w:val="%7)"/>
      <w:lvlJc w:val="left"/>
      <w:pPr>
        <w:ind w:left="720" w:hanging="360"/>
      </w:pPr>
    </w:lvl>
    <w:lvl w:ilvl="7" w:tplc="FCD4E69A">
      <w:start w:val="1"/>
      <w:numFmt w:val="decimal"/>
      <w:lvlText w:val="%8)"/>
      <w:lvlJc w:val="left"/>
      <w:pPr>
        <w:ind w:left="720" w:hanging="360"/>
      </w:pPr>
    </w:lvl>
    <w:lvl w:ilvl="8" w:tplc="576C3A82">
      <w:start w:val="1"/>
      <w:numFmt w:val="decimal"/>
      <w:lvlText w:val="%9)"/>
      <w:lvlJc w:val="left"/>
      <w:pPr>
        <w:ind w:left="720" w:hanging="360"/>
      </w:pPr>
    </w:lvl>
  </w:abstractNum>
  <w:abstractNum w:abstractNumId="31" w15:restartNumberingAfterBreak="0">
    <w:nsid w:val="43DF7BC4"/>
    <w:multiLevelType w:val="multilevel"/>
    <w:tmpl w:val="955A4BBC"/>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67961CE"/>
    <w:multiLevelType w:val="hybridMultilevel"/>
    <w:tmpl w:val="58B0B97A"/>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E0442B4"/>
    <w:multiLevelType w:val="hybridMultilevel"/>
    <w:tmpl w:val="A0D8FD9A"/>
    <w:lvl w:ilvl="0" w:tplc="788AD2FC">
      <w:start w:val="1"/>
      <w:numFmt w:val="decimal"/>
      <w:pStyle w:val="Para1"/>
      <w:lvlText w:val="%1."/>
      <w:lvlJc w:val="left"/>
      <w:pPr>
        <w:tabs>
          <w:tab w:val="num" w:pos="360"/>
        </w:tabs>
        <w:ind w:left="0" w:firstLine="0"/>
      </w:pPr>
      <w:rPr>
        <w:b w:val="0"/>
        <w:i w:val="0"/>
        <w:strike w:val="0"/>
        <w:sz w:val="22"/>
      </w:rPr>
    </w:lvl>
    <w:lvl w:ilvl="1" w:tplc="31804F8C">
      <w:start w:val="1"/>
      <w:numFmt w:val="lowerLetter"/>
      <w:lvlText w:val="(%2)"/>
      <w:lvlJc w:val="left"/>
      <w:pPr>
        <w:tabs>
          <w:tab w:val="num" w:pos="1440"/>
        </w:tabs>
        <w:ind w:left="0" w:firstLine="720"/>
      </w:pPr>
      <w:rPr>
        <w:rFonts w:hint="default"/>
        <w:b w:val="0"/>
        <w:i w:val="0"/>
      </w:rPr>
    </w:lvl>
    <w:lvl w:ilvl="2" w:tplc="A5C64ADA">
      <w:start w:val="1"/>
      <w:numFmt w:val="lowerRoman"/>
      <w:lvlText w:val="(%3)"/>
      <w:lvlJc w:val="right"/>
      <w:pPr>
        <w:tabs>
          <w:tab w:val="num" w:pos="1440"/>
        </w:tabs>
        <w:ind w:left="1440" w:hanging="360"/>
      </w:pPr>
    </w:lvl>
    <w:lvl w:ilvl="3" w:tplc="18582678">
      <w:start w:val="1"/>
      <w:numFmt w:val="bullet"/>
      <w:lvlText w:val=""/>
      <w:lvlJc w:val="left"/>
      <w:pPr>
        <w:tabs>
          <w:tab w:val="num" w:pos="2160"/>
        </w:tabs>
        <w:ind w:left="2160" w:hanging="720"/>
      </w:pPr>
      <w:rPr>
        <w:rFonts w:ascii="Symbol" w:hAnsi="Symbol" w:hint="default"/>
        <w:color w:val="auto"/>
        <w:sz w:val="28"/>
      </w:rPr>
    </w:lvl>
    <w:lvl w:ilvl="4" w:tplc="41F81DF4">
      <w:start w:val="1"/>
      <w:numFmt w:val="lowerLetter"/>
      <w:lvlText w:val="(%5)"/>
      <w:lvlJc w:val="left"/>
      <w:pPr>
        <w:tabs>
          <w:tab w:val="num" w:pos="1800"/>
        </w:tabs>
        <w:ind w:left="1800" w:hanging="360"/>
      </w:pPr>
    </w:lvl>
    <w:lvl w:ilvl="5" w:tplc="80467A50">
      <w:start w:val="1"/>
      <w:numFmt w:val="lowerRoman"/>
      <w:lvlText w:val="(%6)"/>
      <w:lvlJc w:val="left"/>
      <w:pPr>
        <w:tabs>
          <w:tab w:val="num" w:pos="2160"/>
        </w:tabs>
        <w:ind w:left="2160" w:hanging="360"/>
      </w:pPr>
    </w:lvl>
    <w:lvl w:ilvl="6" w:tplc="E60603C2">
      <w:start w:val="1"/>
      <w:numFmt w:val="decimal"/>
      <w:lvlText w:val="%7."/>
      <w:lvlJc w:val="left"/>
      <w:pPr>
        <w:tabs>
          <w:tab w:val="num" w:pos="2520"/>
        </w:tabs>
        <w:ind w:left="2520" w:hanging="360"/>
      </w:pPr>
    </w:lvl>
    <w:lvl w:ilvl="7" w:tplc="8C76FCBA">
      <w:start w:val="1"/>
      <w:numFmt w:val="lowerLetter"/>
      <w:lvlText w:val="%8."/>
      <w:lvlJc w:val="left"/>
      <w:pPr>
        <w:tabs>
          <w:tab w:val="num" w:pos="2880"/>
        </w:tabs>
        <w:ind w:left="2880" w:hanging="360"/>
      </w:pPr>
    </w:lvl>
    <w:lvl w:ilvl="8" w:tplc="356242D6">
      <w:start w:val="1"/>
      <w:numFmt w:val="lowerRoman"/>
      <w:lvlText w:val="%9."/>
      <w:lvlJc w:val="left"/>
      <w:pPr>
        <w:tabs>
          <w:tab w:val="num" w:pos="3240"/>
        </w:tabs>
        <w:ind w:left="3240" w:hanging="360"/>
      </w:pPr>
    </w:lvl>
  </w:abstractNum>
  <w:abstractNum w:abstractNumId="34"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40E6049"/>
    <w:multiLevelType w:val="hybridMultilevel"/>
    <w:tmpl w:val="292E1B9E"/>
    <w:lvl w:ilvl="0" w:tplc="F0ACA156">
      <w:start w:val="1"/>
      <w:numFmt w:val="decimal"/>
      <w:lvlText w:val="%1)"/>
      <w:lvlJc w:val="left"/>
      <w:pPr>
        <w:ind w:left="1020" w:hanging="360"/>
      </w:pPr>
    </w:lvl>
    <w:lvl w:ilvl="1" w:tplc="D116B38C">
      <w:start w:val="1"/>
      <w:numFmt w:val="decimal"/>
      <w:lvlText w:val="%2)"/>
      <w:lvlJc w:val="left"/>
      <w:pPr>
        <w:ind w:left="1020" w:hanging="360"/>
      </w:pPr>
    </w:lvl>
    <w:lvl w:ilvl="2" w:tplc="9CC6CB52">
      <w:start w:val="1"/>
      <w:numFmt w:val="decimal"/>
      <w:lvlText w:val="%3)"/>
      <w:lvlJc w:val="left"/>
      <w:pPr>
        <w:ind w:left="1020" w:hanging="360"/>
      </w:pPr>
    </w:lvl>
    <w:lvl w:ilvl="3" w:tplc="C46876DE">
      <w:start w:val="1"/>
      <w:numFmt w:val="decimal"/>
      <w:lvlText w:val="%4)"/>
      <w:lvlJc w:val="left"/>
      <w:pPr>
        <w:ind w:left="1020" w:hanging="360"/>
      </w:pPr>
    </w:lvl>
    <w:lvl w:ilvl="4" w:tplc="B2FCE0F6">
      <w:start w:val="1"/>
      <w:numFmt w:val="decimal"/>
      <w:lvlText w:val="%5)"/>
      <w:lvlJc w:val="left"/>
      <w:pPr>
        <w:ind w:left="1020" w:hanging="360"/>
      </w:pPr>
    </w:lvl>
    <w:lvl w:ilvl="5" w:tplc="D2689B6E">
      <w:start w:val="1"/>
      <w:numFmt w:val="decimal"/>
      <w:lvlText w:val="%6)"/>
      <w:lvlJc w:val="left"/>
      <w:pPr>
        <w:ind w:left="1020" w:hanging="360"/>
      </w:pPr>
    </w:lvl>
    <w:lvl w:ilvl="6" w:tplc="65DAC694">
      <w:start w:val="1"/>
      <w:numFmt w:val="decimal"/>
      <w:lvlText w:val="%7)"/>
      <w:lvlJc w:val="left"/>
      <w:pPr>
        <w:ind w:left="1020" w:hanging="360"/>
      </w:pPr>
    </w:lvl>
    <w:lvl w:ilvl="7" w:tplc="C4A44448">
      <w:start w:val="1"/>
      <w:numFmt w:val="decimal"/>
      <w:lvlText w:val="%8)"/>
      <w:lvlJc w:val="left"/>
      <w:pPr>
        <w:ind w:left="1020" w:hanging="360"/>
      </w:pPr>
    </w:lvl>
    <w:lvl w:ilvl="8" w:tplc="CB74B8C4">
      <w:start w:val="1"/>
      <w:numFmt w:val="decimal"/>
      <w:lvlText w:val="%9)"/>
      <w:lvlJc w:val="left"/>
      <w:pPr>
        <w:ind w:left="1020" w:hanging="360"/>
      </w:pPr>
    </w:lvl>
  </w:abstractNum>
  <w:abstractNum w:abstractNumId="36" w15:restartNumberingAfterBreak="0">
    <w:nsid w:val="57F066CA"/>
    <w:multiLevelType w:val="hybridMultilevel"/>
    <w:tmpl w:val="28FCBFE6"/>
    <w:lvl w:ilvl="0" w:tplc="810C3424">
      <w:start w:val="1"/>
      <w:numFmt w:val="lowerLetter"/>
      <w:lvlText w:val="%1)"/>
      <w:lvlJc w:val="left"/>
      <w:pPr>
        <w:ind w:left="1020" w:hanging="360"/>
      </w:pPr>
    </w:lvl>
    <w:lvl w:ilvl="1" w:tplc="C5503514">
      <w:start w:val="1"/>
      <w:numFmt w:val="lowerLetter"/>
      <w:lvlText w:val="%2)"/>
      <w:lvlJc w:val="left"/>
      <w:pPr>
        <w:ind w:left="1020" w:hanging="360"/>
      </w:pPr>
    </w:lvl>
    <w:lvl w:ilvl="2" w:tplc="BE4E5A76">
      <w:start w:val="1"/>
      <w:numFmt w:val="lowerLetter"/>
      <w:lvlText w:val="%3)"/>
      <w:lvlJc w:val="left"/>
      <w:pPr>
        <w:ind w:left="1020" w:hanging="360"/>
      </w:pPr>
    </w:lvl>
    <w:lvl w:ilvl="3" w:tplc="E75A1980">
      <w:start w:val="1"/>
      <w:numFmt w:val="lowerLetter"/>
      <w:lvlText w:val="%4)"/>
      <w:lvlJc w:val="left"/>
      <w:pPr>
        <w:ind w:left="1020" w:hanging="360"/>
      </w:pPr>
    </w:lvl>
    <w:lvl w:ilvl="4" w:tplc="AE7AEF04">
      <w:start w:val="1"/>
      <w:numFmt w:val="lowerLetter"/>
      <w:lvlText w:val="%5)"/>
      <w:lvlJc w:val="left"/>
      <w:pPr>
        <w:ind w:left="1020" w:hanging="360"/>
      </w:pPr>
    </w:lvl>
    <w:lvl w:ilvl="5" w:tplc="EFE85628">
      <w:start w:val="1"/>
      <w:numFmt w:val="lowerLetter"/>
      <w:lvlText w:val="%6)"/>
      <w:lvlJc w:val="left"/>
      <w:pPr>
        <w:ind w:left="1020" w:hanging="360"/>
      </w:pPr>
    </w:lvl>
    <w:lvl w:ilvl="6" w:tplc="95AA3682">
      <w:start w:val="1"/>
      <w:numFmt w:val="lowerLetter"/>
      <w:lvlText w:val="%7)"/>
      <w:lvlJc w:val="left"/>
      <w:pPr>
        <w:ind w:left="1020" w:hanging="360"/>
      </w:pPr>
    </w:lvl>
    <w:lvl w:ilvl="7" w:tplc="9938615A">
      <w:start w:val="1"/>
      <w:numFmt w:val="lowerLetter"/>
      <w:lvlText w:val="%8)"/>
      <w:lvlJc w:val="left"/>
      <w:pPr>
        <w:ind w:left="1020" w:hanging="360"/>
      </w:pPr>
    </w:lvl>
    <w:lvl w:ilvl="8" w:tplc="2B5CEA74">
      <w:start w:val="1"/>
      <w:numFmt w:val="lowerLetter"/>
      <w:lvlText w:val="%9)"/>
      <w:lvlJc w:val="left"/>
      <w:pPr>
        <w:ind w:left="1020" w:hanging="360"/>
      </w:pPr>
    </w:lvl>
  </w:abstractNum>
  <w:abstractNum w:abstractNumId="37"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85D7D"/>
    <w:multiLevelType w:val="hybridMultilevel"/>
    <w:tmpl w:val="623CF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04F12AC"/>
    <w:multiLevelType w:val="hybridMultilevel"/>
    <w:tmpl w:val="C5FE2DD4"/>
    <w:lvl w:ilvl="0" w:tplc="04090015">
      <w:start w:val="1"/>
      <w:numFmt w:val="upperLetter"/>
      <w:lvlText w:val="%1."/>
      <w:lvlJc w:val="left"/>
      <w:pPr>
        <w:ind w:left="720" w:hanging="360"/>
      </w:pPr>
      <w:rPr>
        <w:rFonts w:hint="default"/>
      </w:rPr>
    </w:lvl>
    <w:lvl w:ilvl="1" w:tplc="A3D0F52A">
      <w:start w:val="1"/>
      <w:numFmt w:val="lowerLetter"/>
      <w:lvlText w:val="(%2)"/>
      <w:lvlJc w:val="left"/>
      <w:pPr>
        <w:ind w:left="1440" w:hanging="360"/>
      </w:pPr>
      <w:rPr>
        <w:rFonts w:asciiTheme="majorBidi" w:eastAsiaTheme="minorHAnsi" w:hAnsiTheme="majorBidi" w:cstheme="majorBidi"/>
      </w:rPr>
    </w:lvl>
    <w:lvl w:ilvl="2" w:tplc="F148E38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3730A5"/>
    <w:multiLevelType w:val="hybridMultilevel"/>
    <w:tmpl w:val="EF5A0DAC"/>
    <w:styleLink w:val="CurrentList51"/>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2" w15:restartNumberingAfterBreak="0">
    <w:nsid w:val="65CA4BA0"/>
    <w:multiLevelType w:val="hybridMultilevel"/>
    <w:tmpl w:val="E534B5AE"/>
    <w:lvl w:ilvl="0" w:tplc="86D04DCE">
      <w:start w:val="1"/>
      <w:numFmt w:val="decimal"/>
      <w:lvlText w:val="%1)"/>
      <w:lvlJc w:val="left"/>
      <w:pPr>
        <w:ind w:left="720" w:hanging="360"/>
      </w:pPr>
    </w:lvl>
    <w:lvl w:ilvl="1" w:tplc="6E1A5EDC">
      <w:start w:val="1"/>
      <w:numFmt w:val="decimal"/>
      <w:lvlText w:val="%2)"/>
      <w:lvlJc w:val="left"/>
      <w:pPr>
        <w:ind w:left="720" w:hanging="360"/>
      </w:pPr>
    </w:lvl>
    <w:lvl w:ilvl="2" w:tplc="95046976">
      <w:start w:val="1"/>
      <w:numFmt w:val="decimal"/>
      <w:lvlText w:val="%3)"/>
      <w:lvlJc w:val="left"/>
      <w:pPr>
        <w:ind w:left="720" w:hanging="360"/>
      </w:pPr>
    </w:lvl>
    <w:lvl w:ilvl="3" w:tplc="709A6768">
      <w:start w:val="1"/>
      <w:numFmt w:val="decimal"/>
      <w:lvlText w:val="%4)"/>
      <w:lvlJc w:val="left"/>
      <w:pPr>
        <w:ind w:left="720" w:hanging="360"/>
      </w:pPr>
    </w:lvl>
    <w:lvl w:ilvl="4" w:tplc="5D6A129A">
      <w:start w:val="1"/>
      <w:numFmt w:val="decimal"/>
      <w:lvlText w:val="%5)"/>
      <w:lvlJc w:val="left"/>
      <w:pPr>
        <w:ind w:left="720" w:hanging="360"/>
      </w:pPr>
    </w:lvl>
    <w:lvl w:ilvl="5" w:tplc="F2DECA9C">
      <w:start w:val="1"/>
      <w:numFmt w:val="decimal"/>
      <w:lvlText w:val="%6)"/>
      <w:lvlJc w:val="left"/>
      <w:pPr>
        <w:ind w:left="720" w:hanging="360"/>
      </w:pPr>
    </w:lvl>
    <w:lvl w:ilvl="6" w:tplc="6D5E4BE6">
      <w:start w:val="1"/>
      <w:numFmt w:val="decimal"/>
      <w:lvlText w:val="%7)"/>
      <w:lvlJc w:val="left"/>
      <w:pPr>
        <w:ind w:left="720" w:hanging="360"/>
      </w:pPr>
    </w:lvl>
    <w:lvl w:ilvl="7" w:tplc="16D2CDE6">
      <w:start w:val="1"/>
      <w:numFmt w:val="decimal"/>
      <w:lvlText w:val="%8)"/>
      <w:lvlJc w:val="left"/>
      <w:pPr>
        <w:ind w:left="720" w:hanging="360"/>
      </w:pPr>
    </w:lvl>
    <w:lvl w:ilvl="8" w:tplc="9300D724">
      <w:start w:val="1"/>
      <w:numFmt w:val="decimal"/>
      <w:lvlText w:val="%9)"/>
      <w:lvlJc w:val="left"/>
      <w:pPr>
        <w:ind w:left="720" w:hanging="360"/>
      </w:pPr>
    </w:lvl>
  </w:abstractNum>
  <w:abstractNum w:abstractNumId="43" w15:restartNumberingAfterBreak="0">
    <w:nsid w:val="65D441B4"/>
    <w:multiLevelType w:val="hybridMultilevel"/>
    <w:tmpl w:val="7C10E144"/>
    <w:styleLink w:val="CurrentList41"/>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4"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6731AD0"/>
    <w:multiLevelType w:val="hybridMultilevel"/>
    <w:tmpl w:val="9512618E"/>
    <w:lvl w:ilvl="0" w:tplc="7340FB18">
      <w:start w:val="1"/>
      <w:numFmt w:val="decimal"/>
      <w:lvlText w:val="%1."/>
      <w:lvlJc w:val="left"/>
      <w:pPr>
        <w:ind w:left="720" w:hanging="360"/>
      </w:pPr>
      <w:rPr>
        <w:rFonts w:eastAsiaTheme="minorEastAsia"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8B70991"/>
    <w:multiLevelType w:val="hybridMultilevel"/>
    <w:tmpl w:val="5948B550"/>
    <w:lvl w:ilvl="0" w:tplc="5FE4368E">
      <w:start w:val="1"/>
      <w:numFmt w:val="decimal"/>
      <w:pStyle w:val="Para10"/>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7" w15:restartNumberingAfterBreak="0">
    <w:nsid w:val="69CF6CCC"/>
    <w:multiLevelType w:val="hybridMultilevel"/>
    <w:tmpl w:val="5C20BD38"/>
    <w:lvl w:ilvl="0" w:tplc="99467CAC">
      <w:start w:val="1"/>
      <w:numFmt w:val="decimal"/>
      <w:lvlText w:val="%1)"/>
      <w:lvlJc w:val="left"/>
      <w:pPr>
        <w:ind w:left="1020" w:hanging="360"/>
      </w:pPr>
    </w:lvl>
    <w:lvl w:ilvl="1" w:tplc="6ACED8F4">
      <w:start w:val="1"/>
      <w:numFmt w:val="decimal"/>
      <w:lvlText w:val="%2)"/>
      <w:lvlJc w:val="left"/>
      <w:pPr>
        <w:ind w:left="1020" w:hanging="360"/>
      </w:pPr>
    </w:lvl>
    <w:lvl w:ilvl="2" w:tplc="A1ACD7B4">
      <w:start w:val="1"/>
      <w:numFmt w:val="decimal"/>
      <w:lvlText w:val="%3)"/>
      <w:lvlJc w:val="left"/>
      <w:pPr>
        <w:ind w:left="1020" w:hanging="360"/>
      </w:pPr>
    </w:lvl>
    <w:lvl w:ilvl="3" w:tplc="B17A29D2">
      <w:start w:val="1"/>
      <w:numFmt w:val="decimal"/>
      <w:lvlText w:val="%4)"/>
      <w:lvlJc w:val="left"/>
      <w:pPr>
        <w:ind w:left="1020" w:hanging="360"/>
      </w:pPr>
    </w:lvl>
    <w:lvl w:ilvl="4" w:tplc="E38616D8">
      <w:start w:val="1"/>
      <w:numFmt w:val="decimal"/>
      <w:lvlText w:val="%5)"/>
      <w:lvlJc w:val="left"/>
      <w:pPr>
        <w:ind w:left="1020" w:hanging="360"/>
      </w:pPr>
    </w:lvl>
    <w:lvl w:ilvl="5" w:tplc="A8D8D430">
      <w:start w:val="1"/>
      <w:numFmt w:val="decimal"/>
      <w:lvlText w:val="%6)"/>
      <w:lvlJc w:val="left"/>
      <w:pPr>
        <w:ind w:left="1020" w:hanging="360"/>
      </w:pPr>
    </w:lvl>
    <w:lvl w:ilvl="6" w:tplc="CF3004D4">
      <w:start w:val="1"/>
      <w:numFmt w:val="decimal"/>
      <w:lvlText w:val="%7)"/>
      <w:lvlJc w:val="left"/>
      <w:pPr>
        <w:ind w:left="1020" w:hanging="360"/>
      </w:pPr>
    </w:lvl>
    <w:lvl w:ilvl="7" w:tplc="A118BAD8">
      <w:start w:val="1"/>
      <w:numFmt w:val="decimal"/>
      <w:lvlText w:val="%8)"/>
      <w:lvlJc w:val="left"/>
      <w:pPr>
        <w:ind w:left="1020" w:hanging="360"/>
      </w:pPr>
    </w:lvl>
    <w:lvl w:ilvl="8" w:tplc="80920520">
      <w:start w:val="1"/>
      <w:numFmt w:val="decimal"/>
      <w:lvlText w:val="%9)"/>
      <w:lvlJc w:val="left"/>
      <w:pPr>
        <w:ind w:left="1020" w:hanging="360"/>
      </w:pPr>
    </w:lvl>
  </w:abstractNum>
  <w:abstractNum w:abstractNumId="48" w15:restartNumberingAfterBreak="0">
    <w:nsid w:val="6F5276E9"/>
    <w:multiLevelType w:val="hybridMultilevel"/>
    <w:tmpl w:val="1CC28978"/>
    <w:lvl w:ilvl="0" w:tplc="31804F8C">
      <w:start w:val="1"/>
      <w:numFmt w:val="lowerLetter"/>
      <w:lvlText w:val="(%1)"/>
      <w:lvlJc w:val="left"/>
      <w:pPr>
        <w:tabs>
          <w:tab w:val="num" w:pos="1440"/>
        </w:tabs>
        <w:ind w:left="0" w:firstLine="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6A377A"/>
    <w:multiLevelType w:val="hybridMultilevel"/>
    <w:tmpl w:val="7F3CB598"/>
    <w:lvl w:ilvl="0" w:tplc="B686D994">
      <w:start w:val="1"/>
      <w:numFmt w:val="decimal"/>
      <w:lvlText w:val="%1."/>
      <w:lvlJc w:val="left"/>
      <w:pPr>
        <w:ind w:left="720" w:hanging="360"/>
      </w:pPr>
      <w:rPr>
        <w:rFonts w:eastAsiaTheme="minorEastAsia"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48A25DC"/>
    <w:multiLevelType w:val="hybridMultilevel"/>
    <w:tmpl w:val="447228A4"/>
    <w:lvl w:ilvl="0" w:tplc="91587FB8">
      <w:start w:val="1"/>
      <w:numFmt w:val="decimal"/>
      <w:lvlText w:val="%1)"/>
      <w:lvlJc w:val="left"/>
      <w:pPr>
        <w:ind w:left="720" w:hanging="360"/>
      </w:pPr>
    </w:lvl>
    <w:lvl w:ilvl="1" w:tplc="3B2ED97A">
      <w:start w:val="1"/>
      <w:numFmt w:val="decimal"/>
      <w:lvlText w:val="%2)"/>
      <w:lvlJc w:val="left"/>
      <w:pPr>
        <w:ind w:left="720" w:hanging="360"/>
      </w:pPr>
    </w:lvl>
    <w:lvl w:ilvl="2" w:tplc="C8807674">
      <w:start w:val="1"/>
      <w:numFmt w:val="decimal"/>
      <w:lvlText w:val="%3)"/>
      <w:lvlJc w:val="left"/>
      <w:pPr>
        <w:ind w:left="720" w:hanging="360"/>
      </w:pPr>
    </w:lvl>
    <w:lvl w:ilvl="3" w:tplc="C05AE0E4">
      <w:start w:val="1"/>
      <w:numFmt w:val="decimal"/>
      <w:lvlText w:val="%4)"/>
      <w:lvlJc w:val="left"/>
      <w:pPr>
        <w:ind w:left="720" w:hanging="360"/>
      </w:pPr>
    </w:lvl>
    <w:lvl w:ilvl="4" w:tplc="0B507C14">
      <w:start w:val="1"/>
      <w:numFmt w:val="decimal"/>
      <w:lvlText w:val="%5)"/>
      <w:lvlJc w:val="left"/>
      <w:pPr>
        <w:ind w:left="720" w:hanging="360"/>
      </w:pPr>
    </w:lvl>
    <w:lvl w:ilvl="5" w:tplc="97901AF4">
      <w:start w:val="1"/>
      <w:numFmt w:val="decimal"/>
      <w:lvlText w:val="%6)"/>
      <w:lvlJc w:val="left"/>
      <w:pPr>
        <w:ind w:left="720" w:hanging="360"/>
      </w:pPr>
    </w:lvl>
    <w:lvl w:ilvl="6" w:tplc="471EC81A">
      <w:start w:val="1"/>
      <w:numFmt w:val="decimal"/>
      <w:lvlText w:val="%7)"/>
      <w:lvlJc w:val="left"/>
      <w:pPr>
        <w:ind w:left="720" w:hanging="360"/>
      </w:pPr>
    </w:lvl>
    <w:lvl w:ilvl="7" w:tplc="12E8B3B2">
      <w:start w:val="1"/>
      <w:numFmt w:val="decimal"/>
      <w:lvlText w:val="%8)"/>
      <w:lvlJc w:val="left"/>
      <w:pPr>
        <w:ind w:left="720" w:hanging="360"/>
      </w:pPr>
    </w:lvl>
    <w:lvl w:ilvl="8" w:tplc="5DD66714">
      <w:start w:val="1"/>
      <w:numFmt w:val="decimal"/>
      <w:lvlText w:val="%9)"/>
      <w:lvlJc w:val="left"/>
      <w:pPr>
        <w:ind w:left="720" w:hanging="360"/>
      </w:pPr>
    </w:lvl>
  </w:abstractNum>
  <w:abstractNum w:abstractNumId="51" w15:restartNumberingAfterBreak="0">
    <w:nsid w:val="77C75282"/>
    <w:multiLevelType w:val="hybridMultilevel"/>
    <w:tmpl w:val="A7E0EF86"/>
    <w:lvl w:ilvl="0" w:tplc="8230070A">
      <w:start w:val="1"/>
      <w:numFmt w:val="decimal"/>
      <w:lvlText w:val="[%1]"/>
      <w:lvlJc w:val="left"/>
      <w:pPr>
        <w:ind w:left="214" w:hanging="72"/>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281BB5"/>
    <w:multiLevelType w:val="hybridMultilevel"/>
    <w:tmpl w:val="2B1AF9A0"/>
    <w:lvl w:ilvl="0" w:tplc="21F62352">
      <w:start w:val="1"/>
      <w:numFmt w:val="lowerLetter"/>
      <w:lvlText w:val="%1)"/>
      <w:lvlJc w:val="left"/>
      <w:pPr>
        <w:ind w:left="720" w:hanging="360"/>
      </w:pPr>
    </w:lvl>
    <w:lvl w:ilvl="1" w:tplc="46106592">
      <w:start w:val="1"/>
      <w:numFmt w:val="lowerLetter"/>
      <w:lvlText w:val="%2)"/>
      <w:lvlJc w:val="left"/>
      <w:pPr>
        <w:ind w:left="720" w:hanging="360"/>
      </w:pPr>
    </w:lvl>
    <w:lvl w:ilvl="2" w:tplc="1828346C">
      <w:start w:val="1"/>
      <w:numFmt w:val="lowerLetter"/>
      <w:lvlText w:val="%3)"/>
      <w:lvlJc w:val="left"/>
      <w:pPr>
        <w:ind w:left="720" w:hanging="360"/>
      </w:pPr>
    </w:lvl>
    <w:lvl w:ilvl="3" w:tplc="6E12210A">
      <w:start w:val="1"/>
      <w:numFmt w:val="lowerLetter"/>
      <w:lvlText w:val="%4)"/>
      <w:lvlJc w:val="left"/>
      <w:pPr>
        <w:ind w:left="720" w:hanging="360"/>
      </w:pPr>
    </w:lvl>
    <w:lvl w:ilvl="4" w:tplc="CEAA0C22">
      <w:start w:val="1"/>
      <w:numFmt w:val="lowerLetter"/>
      <w:lvlText w:val="%5)"/>
      <w:lvlJc w:val="left"/>
      <w:pPr>
        <w:ind w:left="720" w:hanging="360"/>
      </w:pPr>
    </w:lvl>
    <w:lvl w:ilvl="5" w:tplc="E698F13A">
      <w:start w:val="1"/>
      <w:numFmt w:val="lowerLetter"/>
      <w:lvlText w:val="%6)"/>
      <w:lvlJc w:val="left"/>
      <w:pPr>
        <w:ind w:left="720" w:hanging="360"/>
      </w:pPr>
    </w:lvl>
    <w:lvl w:ilvl="6" w:tplc="BF9C6F64">
      <w:start w:val="1"/>
      <w:numFmt w:val="lowerLetter"/>
      <w:lvlText w:val="%7)"/>
      <w:lvlJc w:val="left"/>
      <w:pPr>
        <w:ind w:left="720" w:hanging="360"/>
      </w:pPr>
    </w:lvl>
    <w:lvl w:ilvl="7" w:tplc="BF7690AE">
      <w:start w:val="1"/>
      <w:numFmt w:val="lowerLetter"/>
      <w:lvlText w:val="%8)"/>
      <w:lvlJc w:val="left"/>
      <w:pPr>
        <w:ind w:left="720" w:hanging="360"/>
      </w:pPr>
    </w:lvl>
    <w:lvl w:ilvl="8" w:tplc="05667DA4">
      <w:start w:val="1"/>
      <w:numFmt w:val="lowerLetter"/>
      <w:lvlText w:val="%9)"/>
      <w:lvlJc w:val="left"/>
      <w:pPr>
        <w:ind w:left="720" w:hanging="360"/>
      </w:pPr>
    </w:lvl>
  </w:abstractNum>
  <w:abstractNum w:abstractNumId="53" w15:restartNumberingAfterBreak="0">
    <w:nsid w:val="7ABE1250"/>
    <w:multiLevelType w:val="hybridMultilevel"/>
    <w:tmpl w:val="084CA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6F2151"/>
    <w:multiLevelType w:val="hybridMultilevel"/>
    <w:tmpl w:val="B442BCF2"/>
    <w:lvl w:ilvl="0" w:tplc="046A9FC6">
      <w:start w:val="1"/>
      <w:numFmt w:val="lowerLetter"/>
      <w:lvlText w:val="%1)"/>
      <w:lvlJc w:val="left"/>
      <w:pPr>
        <w:ind w:left="1020" w:hanging="360"/>
      </w:pPr>
    </w:lvl>
    <w:lvl w:ilvl="1" w:tplc="EA9E3682">
      <w:start w:val="1"/>
      <w:numFmt w:val="lowerLetter"/>
      <w:lvlText w:val="%2)"/>
      <w:lvlJc w:val="left"/>
      <w:pPr>
        <w:ind w:left="1020" w:hanging="360"/>
      </w:pPr>
    </w:lvl>
    <w:lvl w:ilvl="2" w:tplc="7116EF9E">
      <w:start w:val="1"/>
      <w:numFmt w:val="lowerLetter"/>
      <w:lvlText w:val="%3)"/>
      <w:lvlJc w:val="left"/>
      <w:pPr>
        <w:ind w:left="1020" w:hanging="360"/>
      </w:pPr>
    </w:lvl>
    <w:lvl w:ilvl="3" w:tplc="0FEE6AE0">
      <w:start w:val="1"/>
      <w:numFmt w:val="lowerLetter"/>
      <w:lvlText w:val="%4)"/>
      <w:lvlJc w:val="left"/>
      <w:pPr>
        <w:ind w:left="1020" w:hanging="360"/>
      </w:pPr>
    </w:lvl>
    <w:lvl w:ilvl="4" w:tplc="9F6A4012">
      <w:start w:val="1"/>
      <w:numFmt w:val="lowerLetter"/>
      <w:lvlText w:val="%5)"/>
      <w:lvlJc w:val="left"/>
      <w:pPr>
        <w:ind w:left="1020" w:hanging="360"/>
      </w:pPr>
    </w:lvl>
    <w:lvl w:ilvl="5" w:tplc="779C1F74">
      <w:start w:val="1"/>
      <w:numFmt w:val="lowerLetter"/>
      <w:lvlText w:val="%6)"/>
      <w:lvlJc w:val="left"/>
      <w:pPr>
        <w:ind w:left="1020" w:hanging="360"/>
      </w:pPr>
    </w:lvl>
    <w:lvl w:ilvl="6" w:tplc="1EBA4A2C">
      <w:start w:val="1"/>
      <w:numFmt w:val="lowerLetter"/>
      <w:lvlText w:val="%7)"/>
      <w:lvlJc w:val="left"/>
      <w:pPr>
        <w:ind w:left="1020" w:hanging="360"/>
      </w:pPr>
    </w:lvl>
    <w:lvl w:ilvl="7" w:tplc="EF52D0A6">
      <w:start w:val="1"/>
      <w:numFmt w:val="lowerLetter"/>
      <w:lvlText w:val="%8)"/>
      <w:lvlJc w:val="left"/>
      <w:pPr>
        <w:ind w:left="1020" w:hanging="360"/>
      </w:pPr>
    </w:lvl>
    <w:lvl w:ilvl="8" w:tplc="15DABC8E">
      <w:start w:val="1"/>
      <w:numFmt w:val="lowerLetter"/>
      <w:lvlText w:val="%9)"/>
      <w:lvlJc w:val="left"/>
      <w:pPr>
        <w:ind w:left="1020" w:hanging="360"/>
      </w:pPr>
    </w:lvl>
  </w:abstractNum>
  <w:abstractNum w:abstractNumId="55" w15:restartNumberingAfterBreak="0">
    <w:nsid w:val="7E0A1F64"/>
    <w:multiLevelType w:val="hybridMultilevel"/>
    <w:tmpl w:val="E9E24A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6" w15:restartNumberingAfterBreak="0">
    <w:nsid w:val="7EA0064C"/>
    <w:multiLevelType w:val="hybridMultilevel"/>
    <w:tmpl w:val="5F5008A0"/>
    <w:lvl w:ilvl="0" w:tplc="8A06AD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7F4264D9"/>
    <w:multiLevelType w:val="hybridMultilevel"/>
    <w:tmpl w:val="DEA27710"/>
    <w:lvl w:ilvl="0" w:tplc="D3DC5560">
      <w:start w:val="3"/>
      <w:numFmt w:val="upperRoman"/>
      <w:lvlText w:val="%1."/>
      <w:lvlJc w:val="left"/>
      <w:pPr>
        <w:ind w:left="1080" w:hanging="72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E82E7D"/>
    <w:multiLevelType w:val="hybridMultilevel"/>
    <w:tmpl w:val="63EE12FE"/>
    <w:lvl w:ilvl="0" w:tplc="1CB251DC">
      <w:start w:val="1"/>
      <w:numFmt w:val="lowerLetter"/>
      <w:lvlText w:val="%1)"/>
      <w:lvlJc w:val="left"/>
      <w:pPr>
        <w:ind w:left="1020" w:hanging="360"/>
      </w:pPr>
    </w:lvl>
    <w:lvl w:ilvl="1" w:tplc="C974F148">
      <w:start w:val="1"/>
      <w:numFmt w:val="lowerLetter"/>
      <w:lvlText w:val="%2)"/>
      <w:lvlJc w:val="left"/>
      <w:pPr>
        <w:ind w:left="1020" w:hanging="360"/>
      </w:pPr>
    </w:lvl>
    <w:lvl w:ilvl="2" w:tplc="0A78F192">
      <w:start w:val="1"/>
      <w:numFmt w:val="lowerLetter"/>
      <w:lvlText w:val="%3)"/>
      <w:lvlJc w:val="left"/>
      <w:pPr>
        <w:ind w:left="1020" w:hanging="360"/>
      </w:pPr>
    </w:lvl>
    <w:lvl w:ilvl="3" w:tplc="23CEE1CA">
      <w:start w:val="1"/>
      <w:numFmt w:val="lowerLetter"/>
      <w:lvlText w:val="%4)"/>
      <w:lvlJc w:val="left"/>
      <w:pPr>
        <w:ind w:left="1020" w:hanging="360"/>
      </w:pPr>
    </w:lvl>
    <w:lvl w:ilvl="4" w:tplc="85B854BE">
      <w:start w:val="1"/>
      <w:numFmt w:val="lowerLetter"/>
      <w:lvlText w:val="%5)"/>
      <w:lvlJc w:val="left"/>
      <w:pPr>
        <w:ind w:left="1020" w:hanging="360"/>
      </w:pPr>
    </w:lvl>
    <w:lvl w:ilvl="5" w:tplc="912EFA26">
      <w:start w:val="1"/>
      <w:numFmt w:val="lowerLetter"/>
      <w:lvlText w:val="%6)"/>
      <w:lvlJc w:val="left"/>
      <w:pPr>
        <w:ind w:left="1020" w:hanging="360"/>
      </w:pPr>
    </w:lvl>
    <w:lvl w:ilvl="6" w:tplc="47AAA7D2">
      <w:start w:val="1"/>
      <w:numFmt w:val="lowerLetter"/>
      <w:lvlText w:val="%7)"/>
      <w:lvlJc w:val="left"/>
      <w:pPr>
        <w:ind w:left="1020" w:hanging="360"/>
      </w:pPr>
    </w:lvl>
    <w:lvl w:ilvl="7" w:tplc="961ACAF4">
      <w:start w:val="1"/>
      <w:numFmt w:val="lowerLetter"/>
      <w:lvlText w:val="%8)"/>
      <w:lvlJc w:val="left"/>
      <w:pPr>
        <w:ind w:left="1020" w:hanging="360"/>
      </w:pPr>
    </w:lvl>
    <w:lvl w:ilvl="8" w:tplc="6F128EFA">
      <w:start w:val="1"/>
      <w:numFmt w:val="lowerLetter"/>
      <w:lvlText w:val="%9)"/>
      <w:lvlJc w:val="left"/>
      <w:pPr>
        <w:ind w:left="1020" w:hanging="360"/>
      </w:pPr>
    </w:lvl>
  </w:abstractNum>
  <w:num w:numId="1">
    <w:abstractNumId w:val="32"/>
  </w:num>
  <w:num w:numId="2">
    <w:abstractNumId w:val="46"/>
  </w:num>
  <w:num w:numId="3">
    <w:abstractNumId w:val="9"/>
  </w:num>
  <w:num w:numId="4">
    <w:abstractNumId w:val="14"/>
  </w:num>
  <w:num w:numId="5">
    <w:abstractNumId w:val="37"/>
  </w:num>
  <w:num w:numId="6">
    <w:abstractNumId w:val="43"/>
  </w:num>
  <w:num w:numId="7">
    <w:abstractNumId w:val="41"/>
  </w:num>
  <w:num w:numId="8">
    <w:abstractNumId w:val="56"/>
  </w:num>
  <w:num w:numId="9">
    <w:abstractNumId w:val="6"/>
  </w:num>
  <w:num w:numId="10">
    <w:abstractNumId w:val="27"/>
  </w:num>
  <w:num w:numId="11">
    <w:abstractNumId w:val="20"/>
  </w:num>
  <w:num w:numId="12">
    <w:abstractNumId w:val="40"/>
  </w:num>
  <w:num w:numId="13">
    <w:abstractNumId w:val="22"/>
  </w:num>
  <w:num w:numId="14">
    <w:abstractNumId w:val="18"/>
  </w:num>
  <w:num w:numId="15">
    <w:abstractNumId w:val="46"/>
    <w:lvlOverride w:ilvl="0">
      <w:startOverride w:val="1"/>
    </w:lvlOverride>
  </w:num>
  <w:num w:numId="16">
    <w:abstractNumId w:val="29"/>
  </w:num>
  <w:num w:numId="17">
    <w:abstractNumId w:val="33"/>
  </w:num>
  <w:num w:numId="18">
    <w:abstractNumId w:val="51"/>
  </w:num>
  <w:num w:numId="19">
    <w:abstractNumId w:val="31"/>
  </w:num>
  <w:num w:numId="20">
    <w:abstractNumId w:val="44"/>
  </w:num>
  <w:num w:numId="21">
    <w:abstractNumId w:val="7"/>
  </w:num>
  <w:num w:numId="22">
    <w:abstractNumId w:val="11"/>
  </w:num>
  <w:num w:numId="23">
    <w:abstractNumId w:val="34"/>
  </w:num>
  <w:num w:numId="24">
    <w:abstractNumId w:val="24"/>
  </w:num>
  <w:num w:numId="25">
    <w:abstractNumId w:val="57"/>
  </w:num>
  <w:num w:numId="26">
    <w:abstractNumId w:val="38"/>
  </w:num>
  <w:num w:numId="27">
    <w:abstractNumId w:val="23"/>
  </w:num>
  <w:num w:numId="28">
    <w:abstractNumId w:val="39"/>
  </w:num>
  <w:num w:numId="29">
    <w:abstractNumId w:val="10"/>
  </w:num>
  <w:num w:numId="30">
    <w:abstractNumId w:val="33"/>
    <w:lvlOverride w:ilvl="0">
      <w:startOverride w:val="3"/>
    </w:lvlOverride>
  </w:num>
  <w:num w:numId="31">
    <w:abstractNumId w:val="1"/>
  </w:num>
  <w:num w:numId="32">
    <w:abstractNumId w:val="48"/>
  </w:num>
  <w:num w:numId="33">
    <w:abstractNumId w:val="32"/>
  </w:num>
  <w:num w:numId="34">
    <w:abstractNumId w:val="37"/>
  </w:num>
  <w:num w:numId="35">
    <w:abstractNumId w:val="46"/>
  </w:num>
  <w:num w:numId="36">
    <w:abstractNumId w:val="47"/>
  </w:num>
  <w:num w:numId="37">
    <w:abstractNumId w:val="50"/>
  </w:num>
  <w:num w:numId="38">
    <w:abstractNumId w:val="28"/>
  </w:num>
  <w:num w:numId="39">
    <w:abstractNumId w:val="15"/>
  </w:num>
  <w:num w:numId="40">
    <w:abstractNumId w:val="26"/>
  </w:num>
  <w:num w:numId="41">
    <w:abstractNumId w:val="4"/>
  </w:num>
  <w:num w:numId="42">
    <w:abstractNumId w:val="35"/>
  </w:num>
  <w:num w:numId="43">
    <w:abstractNumId w:val="36"/>
  </w:num>
  <w:num w:numId="44">
    <w:abstractNumId w:val="0"/>
  </w:num>
  <w:num w:numId="45">
    <w:abstractNumId w:val="8"/>
  </w:num>
  <w:num w:numId="46">
    <w:abstractNumId w:val="58"/>
  </w:num>
  <w:num w:numId="47">
    <w:abstractNumId w:val="54"/>
  </w:num>
  <w:num w:numId="48">
    <w:abstractNumId w:val="30"/>
  </w:num>
  <w:num w:numId="49">
    <w:abstractNumId w:val="42"/>
  </w:num>
  <w:num w:numId="50">
    <w:abstractNumId w:val="19"/>
  </w:num>
  <w:num w:numId="51">
    <w:abstractNumId w:val="16"/>
  </w:num>
  <w:num w:numId="52">
    <w:abstractNumId w:val="2"/>
  </w:num>
  <w:num w:numId="53">
    <w:abstractNumId w:val="52"/>
  </w:num>
  <w:num w:numId="54">
    <w:abstractNumId w:val="49"/>
  </w:num>
  <w:num w:numId="55">
    <w:abstractNumId w:val="45"/>
  </w:num>
  <w:num w:numId="56">
    <w:abstractNumId w:val="13"/>
  </w:num>
  <w:num w:numId="57">
    <w:abstractNumId w:val="17"/>
  </w:num>
  <w:num w:numId="58">
    <w:abstractNumId w:val="53"/>
  </w:num>
  <w:num w:numId="59">
    <w:abstractNumId w:val="5"/>
  </w:num>
  <w:num w:numId="60">
    <w:abstractNumId w:val="12"/>
  </w:num>
  <w:num w:numId="61">
    <w:abstractNumId w:val="25"/>
  </w:num>
  <w:num w:numId="62">
    <w:abstractNumId w:val="21"/>
  </w:num>
  <w:num w:numId="63">
    <w:abstractNumId w:val="55"/>
  </w:num>
  <w:num w:numId="64">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E9"/>
    <w:rsid w:val="00000832"/>
    <w:rsid w:val="00000AE1"/>
    <w:rsid w:val="000011D4"/>
    <w:rsid w:val="00001299"/>
    <w:rsid w:val="000015FC"/>
    <w:rsid w:val="00001F99"/>
    <w:rsid w:val="000021E7"/>
    <w:rsid w:val="000023B8"/>
    <w:rsid w:val="0000284B"/>
    <w:rsid w:val="0000287E"/>
    <w:rsid w:val="000033FC"/>
    <w:rsid w:val="00003551"/>
    <w:rsid w:val="0000369B"/>
    <w:rsid w:val="000037D1"/>
    <w:rsid w:val="000038CC"/>
    <w:rsid w:val="00004192"/>
    <w:rsid w:val="00004594"/>
    <w:rsid w:val="0000460A"/>
    <w:rsid w:val="00004E21"/>
    <w:rsid w:val="000052C2"/>
    <w:rsid w:val="00005453"/>
    <w:rsid w:val="000055D8"/>
    <w:rsid w:val="000057C6"/>
    <w:rsid w:val="0000580C"/>
    <w:rsid w:val="00005865"/>
    <w:rsid w:val="000058FA"/>
    <w:rsid w:val="00005B5B"/>
    <w:rsid w:val="000063AB"/>
    <w:rsid w:val="000063BA"/>
    <w:rsid w:val="000063E5"/>
    <w:rsid w:val="000067F0"/>
    <w:rsid w:val="00006C31"/>
    <w:rsid w:val="00006CB3"/>
    <w:rsid w:val="00006CDF"/>
    <w:rsid w:val="00007A58"/>
    <w:rsid w:val="00007DCC"/>
    <w:rsid w:val="000100DA"/>
    <w:rsid w:val="00010345"/>
    <w:rsid w:val="000106B2"/>
    <w:rsid w:val="0001092A"/>
    <w:rsid w:val="00010E98"/>
    <w:rsid w:val="00010FF2"/>
    <w:rsid w:val="000111A5"/>
    <w:rsid w:val="00011462"/>
    <w:rsid w:val="000114A1"/>
    <w:rsid w:val="00011D02"/>
    <w:rsid w:val="00011FC9"/>
    <w:rsid w:val="0001209E"/>
    <w:rsid w:val="000122DE"/>
    <w:rsid w:val="00012688"/>
    <w:rsid w:val="00013229"/>
    <w:rsid w:val="0001357E"/>
    <w:rsid w:val="00013AEB"/>
    <w:rsid w:val="00013D5B"/>
    <w:rsid w:val="000143A4"/>
    <w:rsid w:val="00014605"/>
    <w:rsid w:val="000148E3"/>
    <w:rsid w:val="00014AF6"/>
    <w:rsid w:val="00015079"/>
    <w:rsid w:val="000154A0"/>
    <w:rsid w:val="00015783"/>
    <w:rsid w:val="00015C14"/>
    <w:rsid w:val="000167D5"/>
    <w:rsid w:val="00016978"/>
    <w:rsid w:val="000170F9"/>
    <w:rsid w:val="000175FE"/>
    <w:rsid w:val="00017794"/>
    <w:rsid w:val="0001798B"/>
    <w:rsid w:val="00020A64"/>
    <w:rsid w:val="00020FA6"/>
    <w:rsid w:val="0002188B"/>
    <w:rsid w:val="00021B6D"/>
    <w:rsid w:val="000227DB"/>
    <w:rsid w:val="00022B9D"/>
    <w:rsid w:val="00023326"/>
    <w:rsid w:val="00023436"/>
    <w:rsid w:val="000238AB"/>
    <w:rsid w:val="00023A0D"/>
    <w:rsid w:val="00023DA4"/>
    <w:rsid w:val="000241CC"/>
    <w:rsid w:val="000246C0"/>
    <w:rsid w:val="00024C48"/>
    <w:rsid w:val="0002526C"/>
    <w:rsid w:val="0002544F"/>
    <w:rsid w:val="00025B12"/>
    <w:rsid w:val="00025BC3"/>
    <w:rsid w:val="00026819"/>
    <w:rsid w:val="00026EEA"/>
    <w:rsid w:val="000272C0"/>
    <w:rsid w:val="0002750C"/>
    <w:rsid w:val="0003088A"/>
    <w:rsid w:val="00030D87"/>
    <w:rsid w:val="00030DD9"/>
    <w:rsid w:val="000315CF"/>
    <w:rsid w:val="00031814"/>
    <w:rsid w:val="00031B9C"/>
    <w:rsid w:val="00031C10"/>
    <w:rsid w:val="00031D18"/>
    <w:rsid w:val="00031F47"/>
    <w:rsid w:val="00032333"/>
    <w:rsid w:val="00032399"/>
    <w:rsid w:val="000327FE"/>
    <w:rsid w:val="00032B0B"/>
    <w:rsid w:val="00032F41"/>
    <w:rsid w:val="000330CC"/>
    <w:rsid w:val="00033493"/>
    <w:rsid w:val="0003363A"/>
    <w:rsid w:val="0003365E"/>
    <w:rsid w:val="0003371A"/>
    <w:rsid w:val="00033C5A"/>
    <w:rsid w:val="00033FF2"/>
    <w:rsid w:val="00034088"/>
    <w:rsid w:val="000341DB"/>
    <w:rsid w:val="00034954"/>
    <w:rsid w:val="00034B81"/>
    <w:rsid w:val="00034BD1"/>
    <w:rsid w:val="000358C9"/>
    <w:rsid w:val="00036496"/>
    <w:rsid w:val="00036970"/>
    <w:rsid w:val="000369AA"/>
    <w:rsid w:val="00036AE3"/>
    <w:rsid w:val="00036D82"/>
    <w:rsid w:val="00036F69"/>
    <w:rsid w:val="00037255"/>
    <w:rsid w:val="00037A9E"/>
    <w:rsid w:val="00037BCC"/>
    <w:rsid w:val="00037F94"/>
    <w:rsid w:val="00040062"/>
    <w:rsid w:val="000401D1"/>
    <w:rsid w:val="000402D4"/>
    <w:rsid w:val="00040598"/>
    <w:rsid w:val="00040F3B"/>
    <w:rsid w:val="00040F4F"/>
    <w:rsid w:val="00040FF3"/>
    <w:rsid w:val="0004114D"/>
    <w:rsid w:val="000414C2"/>
    <w:rsid w:val="0004191F"/>
    <w:rsid w:val="00042C6E"/>
    <w:rsid w:val="00042FD7"/>
    <w:rsid w:val="0004312F"/>
    <w:rsid w:val="000435B7"/>
    <w:rsid w:val="000439C4"/>
    <w:rsid w:val="000441D7"/>
    <w:rsid w:val="00044D27"/>
    <w:rsid w:val="000453ED"/>
    <w:rsid w:val="000453FE"/>
    <w:rsid w:val="000459C7"/>
    <w:rsid w:val="00045BCE"/>
    <w:rsid w:val="0004633F"/>
    <w:rsid w:val="00046586"/>
    <w:rsid w:val="000467E1"/>
    <w:rsid w:val="000467F0"/>
    <w:rsid w:val="000468DA"/>
    <w:rsid w:val="00046D28"/>
    <w:rsid w:val="00046D8A"/>
    <w:rsid w:val="00046EF9"/>
    <w:rsid w:val="000479E4"/>
    <w:rsid w:val="000479E7"/>
    <w:rsid w:val="00047A51"/>
    <w:rsid w:val="00050049"/>
    <w:rsid w:val="000501EE"/>
    <w:rsid w:val="000502D0"/>
    <w:rsid w:val="00050868"/>
    <w:rsid w:val="00050CF0"/>
    <w:rsid w:val="00050E9A"/>
    <w:rsid w:val="00050FD2"/>
    <w:rsid w:val="000516B0"/>
    <w:rsid w:val="00051ECF"/>
    <w:rsid w:val="000522F9"/>
    <w:rsid w:val="00052678"/>
    <w:rsid w:val="00052686"/>
    <w:rsid w:val="000526FB"/>
    <w:rsid w:val="0005282B"/>
    <w:rsid w:val="00052956"/>
    <w:rsid w:val="00052D23"/>
    <w:rsid w:val="000536EC"/>
    <w:rsid w:val="00053A27"/>
    <w:rsid w:val="00053AFD"/>
    <w:rsid w:val="0005421F"/>
    <w:rsid w:val="000544EB"/>
    <w:rsid w:val="00054617"/>
    <w:rsid w:val="00054A40"/>
    <w:rsid w:val="000550BE"/>
    <w:rsid w:val="00055227"/>
    <w:rsid w:val="00055481"/>
    <w:rsid w:val="000554E3"/>
    <w:rsid w:val="00055568"/>
    <w:rsid w:val="00055872"/>
    <w:rsid w:val="000558C3"/>
    <w:rsid w:val="00056019"/>
    <w:rsid w:val="000568FD"/>
    <w:rsid w:val="00056C82"/>
    <w:rsid w:val="000574EA"/>
    <w:rsid w:val="0005781C"/>
    <w:rsid w:val="000578D1"/>
    <w:rsid w:val="00057924"/>
    <w:rsid w:val="00057B64"/>
    <w:rsid w:val="00057D6E"/>
    <w:rsid w:val="00057DFD"/>
    <w:rsid w:val="00057F36"/>
    <w:rsid w:val="0006038E"/>
    <w:rsid w:val="000603DD"/>
    <w:rsid w:val="000605B4"/>
    <w:rsid w:val="000606C6"/>
    <w:rsid w:val="00060830"/>
    <w:rsid w:val="00060E42"/>
    <w:rsid w:val="0006111E"/>
    <w:rsid w:val="000615C2"/>
    <w:rsid w:val="00061789"/>
    <w:rsid w:val="0006211D"/>
    <w:rsid w:val="0006215E"/>
    <w:rsid w:val="0006232D"/>
    <w:rsid w:val="0006288B"/>
    <w:rsid w:val="00062950"/>
    <w:rsid w:val="00062A7D"/>
    <w:rsid w:val="00062BD4"/>
    <w:rsid w:val="00062E37"/>
    <w:rsid w:val="00063193"/>
    <w:rsid w:val="000634FA"/>
    <w:rsid w:val="000637D2"/>
    <w:rsid w:val="000638F8"/>
    <w:rsid w:val="00063E6C"/>
    <w:rsid w:val="00063E9B"/>
    <w:rsid w:val="0006406D"/>
    <w:rsid w:val="00064144"/>
    <w:rsid w:val="0006414D"/>
    <w:rsid w:val="000649F1"/>
    <w:rsid w:val="00064D92"/>
    <w:rsid w:val="00065260"/>
    <w:rsid w:val="000652A8"/>
    <w:rsid w:val="0006553F"/>
    <w:rsid w:val="00065C43"/>
    <w:rsid w:val="000663BA"/>
    <w:rsid w:val="0006672C"/>
    <w:rsid w:val="0006683B"/>
    <w:rsid w:val="000672D2"/>
    <w:rsid w:val="000674C7"/>
    <w:rsid w:val="0006778C"/>
    <w:rsid w:val="0006793C"/>
    <w:rsid w:val="000679BB"/>
    <w:rsid w:val="00067AEB"/>
    <w:rsid w:val="000702B8"/>
    <w:rsid w:val="000708C6"/>
    <w:rsid w:val="00070B4A"/>
    <w:rsid w:val="0007155C"/>
    <w:rsid w:val="00071ADB"/>
    <w:rsid w:val="00071C00"/>
    <w:rsid w:val="00071D00"/>
    <w:rsid w:val="00072325"/>
    <w:rsid w:val="00072635"/>
    <w:rsid w:val="000734E4"/>
    <w:rsid w:val="000737BE"/>
    <w:rsid w:val="00073A75"/>
    <w:rsid w:val="00073A86"/>
    <w:rsid w:val="00073BD0"/>
    <w:rsid w:val="00074892"/>
    <w:rsid w:val="00074B12"/>
    <w:rsid w:val="00074FF7"/>
    <w:rsid w:val="00075321"/>
    <w:rsid w:val="0007541A"/>
    <w:rsid w:val="0007554F"/>
    <w:rsid w:val="0007579B"/>
    <w:rsid w:val="00075F1D"/>
    <w:rsid w:val="000763C6"/>
    <w:rsid w:val="0007651E"/>
    <w:rsid w:val="00076850"/>
    <w:rsid w:val="00076BB6"/>
    <w:rsid w:val="00076FB5"/>
    <w:rsid w:val="00076FDA"/>
    <w:rsid w:val="00077519"/>
    <w:rsid w:val="00080361"/>
    <w:rsid w:val="000805A9"/>
    <w:rsid w:val="00080872"/>
    <w:rsid w:val="00080930"/>
    <w:rsid w:val="00080F16"/>
    <w:rsid w:val="0008112C"/>
    <w:rsid w:val="0008145F"/>
    <w:rsid w:val="00081735"/>
    <w:rsid w:val="00081913"/>
    <w:rsid w:val="00081E09"/>
    <w:rsid w:val="00082174"/>
    <w:rsid w:val="0008269C"/>
    <w:rsid w:val="00082C5F"/>
    <w:rsid w:val="00083535"/>
    <w:rsid w:val="0008372F"/>
    <w:rsid w:val="00083F9A"/>
    <w:rsid w:val="00083FED"/>
    <w:rsid w:val="000840A6"/>
    <w:rsid w:val="00084685"/>
    <w:rsid w:val="00084C74"/>
    <w:rsid w:val="00084FF2"/>
    <w:rsid w:val="000851DD"/>
    <w:rsid w:val="00085307"/>
    <w:rsid w:val="00085778"/>
    <w:rsid w:val="0008616E"/>
    <w:rsid w:val="00086453"/>
    <w:rsid w:val="000865E9"/>
    <w:rsid w:val="00086882"/>
    <w:rsid w:val="000868E6"/>
    <w:rsid w:val="00086C4F"/>
    <w:rsid w:val="00086D8D"/>
    <w:rsid w:val="00087613"/>
    <w:rsid w:val="00087675"/>
    <w:rsid w:val="00087725"/>
    <w:rsid w:val="00087BB7"/>
    <w:rsid w:val="00087BCF"/>
    <w:rsid w:val="00090461"/>
    <w:rsid w:val="00090A58"/>
    <w:rsid w:val="000916AB"/>
    <w:rsid w:val="0009180D"/>
    <w:rsid w:val="00091932"/>
    <w:rsid w:val="00091A66"/>
    <w:rsid w:val="00091C2A"/>
    <w:rsid w:val="00091D5E"/>
    <w:rsid w:val="00091F77"/>
    <w:rsid w:val="00092075"/>
    <w:rsid w:val="000921D9"/>
    <w:rsid w:val="000922B8"/>
    <w:rsid w:val="0009246D"/>
    <w:rsid w:val="000926C1"/>
    <w:rsid w:val="00092D96"/>
    <w:rsid w:val="00092E21"/>
    <w:rsid w:val="00093367"/>
    <w:rsid w:val="00093BC6"/>
    <w:rsid w:val="0009514E"/>
    <w:rsid w:val="00095407"/>
    <w:rsid w:val="000957B7"/>
    <w:rsid w:val="00095CC1"/>
    <w:rsid w:val="00096000"/>
    <w:rsid w:val="0009600E"/>
    <w:rsid w:val="00096BA2"/>
    <w:rsid w:val="00096E57"/>
    <w:rsid w:val="0009752C"/>
    <w:rsid w:val="000975F4"/>
    <w:rsid w:val="00097750"/>
    <w:rsid w:val="0009798C"/>
    <w:rsid w:val="00097A83"/>
    <w:rsid w:val="00097D3D"/>
    <w:rsid w:val="000A005D"/>
    <w:rsid w:val="000A0760"/>
    <w:rsid w:val="000A08D5"/>
    <w:rsid w:val="000A08E6"/>
    <w:rsid w:val="000A1168"/>
    <w:rsid w:val="000A14BE"/>
    <w:rsid w:val="000A21D2"/>
    <w:rsid w:val="000A2705"/>
    <w:rsid w:val="000A2750"/>
    <w:rsid w:val="000A5B4A"/>
    <w:rsid w:val="000A5C02"/>
    <w:rsid w:val="000A6036"/>
    <w:rsid w:val="000A62E2"/>
    <w:rsid w:val="000A6890"/>
    <w:rsid w:val="000A70F9"/>
    <w:rsid w:val="000A720E"/>
    <w:rsid w:val="000A7245"/>
    <w:rsid w:val="000A739A"/>
    <w:rsid w:val="000A7493"/>
    <w:rsid w:val="000A782C"/>
    <w:rsid w:val="000A7C79"/>
    <w:rsid w:val="000B018E"/>
    <w:rsid w:val="000B0331"/>
    <w:rsid w:val="000B05C2"/>
    <w:rsid w:val="000B0EAE"/>
    <w:rsid w:val="000B1766"/>
    <w:rsid w:val="000B17CD"/>
    <w:rsid w:val="000B1C3F"/>
    <w:rsid w:val="000B1D7D"/>
    <w:rsid w:val="000B2747"/>
    <w:rsid w:val="000B2FB2"/>
    <w:rsid w:val="000B348B"/>
    <w:rsid w:val="000B36FA"/>
    <w:rsid w:val="000B3A68"/>
    <w:rsid w:val="000B3BEF"/>
    <w:rsid w:val="000B3D01"/>
    <w:rsid w:val="000B402C"/>
    <w:rsid w:val="000B4055"/>
    <w:rsid w:val="000B44DE"/>
    <w:rsid w:val="000B529E"/>
    <w:rsid w:val="000B5395"/>
    <w:rsid w:val="000B5519"/>
    <w:rsid w:val="000B5959"/>
    <w:rsid w:val="000B5A39"/>
    <w:rsid w:val="000B5A66"/>
    <w:rsid w:val="000B5D1F"/>
    <w:rsid w:val="000B63AF"/>
    <w:rsid w:val="000B74E9"/>
    <w:rsid w:val="000B76D1"/>
    <w:rsid w:val="000B7D88"/>
    <w:rsid w:val="000C036A"/>
    <w:rsid w:val="000C0455"/>
    <w:rsid w:val="000C09AE"/>
    <w:rsid w:val="000C0BDA"/>
    <w:rsid w:val="000C0EEC"/>
    <w:rsid w:val="000C0F13"/>
    <w:rsid w:val="000C1444"/>
    <w:rsid w:val="000C1513"/>
    <w:rsid w:val="000C1772"/>
    <w:rsid w:val="000C264C"/>
    <w:rsid w:val="000C2812"/>
    <w:rsid w:val="000C2ABD"/>
    <w:rsid w:val="000C3252"/>
    <w:rsid w:val="000C3783"/>
    <w:rsid w:val="000C386D"/>
    <w:rsid w:val="000C3D8D"/>
    <w:rsid w:val="000C3E86"/>
    <w:rsid w:val="000C4B32"/>
    <w:rsid w:val="000C4D17"/>
    <w:rsid w:val="000C50FA"/>
    <w:rsid w:val="000C519A"/>
    <w:rsid w:val="000C5349"/>
    <w:rsid w:val="000C53E9"/>
    <w:rsid w:val="000C5813"/>
    <w:rsid w:val="000C58DD"/>
    <w:rsid w:val="000C59CD"/>
    <w:rsid w:val="000C628B"/>
    <w:rsid w:val="000C64C4"/>
    <w:rsid w:val="000C6795"/>
    <w:rsid w:val="000C67D4"/>
    <w:rsid w:val="000C6ADD"/>
    <w:rsid w:val="000C6BB7"/>
    <w:rsid w:val="000C6E03"/>
    <w:rsid w:val="000C710F"/>
    <w:rsid w:val="000C74EE"/>
    <w:rsid w:val="000C782E"/>
    <w:rsid w:val="000C7929"/>
    <w:rsid w:val="000C7AD7"/>
    <w:rsid w:val="000C7B7E"/>
    <w:rsid w:val="000C7D7C"/>
    <w:rsid w:val="000C7E99"/>
    <w:rsid w:val="000D0846"/>
    <w:rsid w:val="000D0A88"/>
    <w:rsid w:val="000D0A8F"/>
    <w:rsid w:val="000D1189"/>
    <w:rsid w:val="000D146F"/>
    <w:rsid w:val="000D1CCD"/>
    <w:rsid w:val="000D2B82"/>
    <w:rsid w:val="000D2F27"/>
    <w:rsid w:val="000D39F4"/>
    <w:rsid w:val="000D3D14"/>
    <w:rsid w:val="000D406B"/>
    <w:rsid w:val="000D4282"/>
    <w:rsid w:val="000D4343"/>
    <w:rsid w:val="000D483E"/>
    <w:rsid w:val="000D48A2"/>
    <w:rsid w:val="000D4C63"/>
    <w:rsid w:val="000D4CA9"/>
    <w:rsid w:val="000D5020"/>
    <w:rsid w:val="000D5549"/>
    <w:rsid w:val="000D559E"/>
    <w:rsid w:val="000D5BAE"/>
    <w:rsid w:val="000D5CB6"/>
    <w:rsid w:val="000D5D70"/>
    <w:rsid w:val="000D5F32"/>
    <w:rsid w:val="000D642D"/>
    <w:rsid w:val="000D6FC6"/>
    <w:rsid w:val="000D779F"/>
    <w:rsid w:val="000D79B5"/>
    <w:rsid w:val="000D7F20"/>
    <w:rsid w:val="000E04AE"/>
    <w:rsid w:val="000E04C6"/>
    <w:rsid w:val="000E066D"/>
    <w:rsid w:val="000E0B90"/>
    <w:rsid w:val="000E0C04"/>
    <w:rsid w:val="000E12B0"/>
    <w:rsid w:val="000E160E"/>
    <w:rsid w:val="000E1952"/>
    <w:rsid w:val="000E1B96"/>
    <w:rsid w:val="000E31E7"/>
    <w:rsid w:val="000E3213"/>
    <w:rsid w:val="000E3794"/>
    <w:rsid w:val="000E3EFB"/>
    <w:rsid w:val="000E40CF"/>
    <w:rsid w:val="000E45B4"/>
    <w:rsid w:val="000E46CC"/>
    <w:rsid w:val="000E4867"/>
    <w:rsid w:val="000E48F7"/>
    <w:rsid w:val="000E4B98"/>
    <w:rsid w:val="000E5284"/>
    <w:rsid w:val="000E5EFC"/>
    <w:rsid w:val="000E6D92"/>
    <w:rsid w:val="000E6E44"/>
    <w:rsid w:val="000E6E46"/>
    <w:rsid w:val="000E7110"/>
    <w:rsid w:val="000E74DA"/>
    <w:rsid w:val="000E7607"/>
    <w:rsid w:val="000E7690"/>
    <w:rsid w:val="000E7808"/>
    <w:rsid w:val="000E7916"/>
    <w:rsid w:val="000E7C94"/>
    <w:rsid w:val="000F0BE1"/>
    <w:rsid w:val="000F0D10"/>
    <w:rsid w:val="000F1667"/>
    <w:rsid w:val="000F1C2A"/>
    <w:rsid w:val="000F1DD0"/>
    <w:rsid w:val="000F23CD"/>
    <w:rsid w:val="000F2815"/>
    <w:rsid w:val="000F2843"/>
    <w:rsid w:val="000F31D2"/>
    <w:rsid w:val="000F31E9"/>
    <w:rsid w:val="000F3267"/>
    <w:rsid w:val="000F34F1"/>
    <w:rsid w:val="000F3664"/>
    <w:rsid w:val="000F3922"/>
    <w:rsid w:val="000F399A"/>
    <w:rsid w:val="000F3BCF"/>
    <w:rsid w:val="000F3DF0"/>
    <w:rsid w:val="000F3E3E"/>
    <w:rsid w:val="000F3E94"/>
    <w:rsid w:val="000F408F"/>
    <w:rsid w:val="000F47FC"/>
    <w:rsid w:val="000F493E"/>
    <w:rsid w:val="000F4986"/>
    <w:rsid w:val="000F4A83"/>
    <w:rsid w:val="000F4BAA"/>
    <w:rsid w:val="000F4BBA"/>
    <w:rsid w:val="000F4F79"/>
    <w:rsid w:val="000F4F9D"/>
    <w:rsid w:val="000F53AB"/>
    <w:rsid w:val="000F55FF"/>
    <w:rsid w:val="000F5F91"/>
    <w:rsid w:val="000F600E"/>
    <w:rsid w:val="000F6DA1"/>
    <w:rsid w:val="000F6E05"/>
    <w:rsid w:val="000F6E3A"/>
    <w:rsid w:val="000F6F4C"/>
    <w:rsid w:val="000F724A"/>
    <w:rsid w:val="000F72F0"/>
    <w:rsid w:val="000F7D45"/>
    <w:rsid w:val="000F7F02"/>
    <w:rsid w:val="00100441"/>
    <w:rsid w:val="0010082A"/>
    <w:rsid w:val="00100927"/>
    <w:rsid w:val="00100C0C"/>
    <w:rsid w:val="00100F7A"/>
    <w:rsid w:val="00102618"/>
    <w:rsid w:val="00102891"/>
    <w:rsid w:val="001029C2"/>
    <w:rsid w:val="0010343F"/>
    <w:rsid w:val="001036EE"/>
    <w:rsid w:val="00104097"/>
    <w:rsid w:val="0010482D"/>
    <w:rsid w:val="0010494D"/>
    <w:rsid w:val="00104969"/>
    <w:rsid w:val="00105000"/>
    <w:rsid w:val="00105F5E"/>
    <w:rsid w:val="00106F5F"/>
    <w:rsid w:val="00107C13"/>
    <w:rsid w:val="00107FC8"/>
    <w:rsid w:val="0011037F"/>
    <w:rsid w:val="0011066C"/>
    <w:rsid w:val="00110917"/>
    <w:rsid w:val="00110E22"/>
    <w:rsid w:val="001110C0"/>
    <w:rsid w:val="001110F6"/>
    <w:rsid w:val="0011154E"/>
    <w:rsid w:val="00111963"/>
    <w:rsid w:val="00111EE4"/>
    <w:rsid w:val="0011211C"/>
    <w:rsid w:val="0011238F"/>
    <w:rsid w:val="001128BB"/>
    <w:rsid w:val="00112A08"/>
    <w:rsid w:val="00112D46"/>
    <w:rsid w:val="00112D88"/>
    <w:rsid w:val="00112EF3"/>
    <w:rsid w:val="00112F1C"/>
    <w:rsid w:val="00113434"/>
    <w:rsid w:val="001136C6"/>
    <w:rsid w:val="001137A7"/>
    <w:rsid w:val="00113A49"/>
    <w:rsid w:val="00113A9E"/>
    <w:rsid w:val="00113BD0"/>
    <w:rsid w:val="001140AA"/>
    <w:rsid w:val="00114159"/>
    <w:rsid w:val="0011423E"/>
    <w:rsid w:val="001142FC"/>
    <w:rsid w:val="00114A93"/>
    <w:rsid w:val="00115433"/>
    <w:rsid w:val="001156F6"/>
    <w:rsid w:val="00115D89"/>
    <w:rsid w:val="00116812"/>
    <w:rsid w:val="0011682F"/>
    <w:rsid w:val="00116A13"/>
    <w:rsid w:val="00116C35"/>
    <w:rsid w:val="00116FCA"/>
    <w:rsid w:val="0011733E"/>
    <w:rsid w:val="00117358"/>
    <w:rsid w:val="001174B0"/>
    <w:rsid w:val="001174F3"/>
    <w:rsid w:val="001175EE"/>
    <w:rsid w:val="00117831"/>
    <w:rsid w:val="00117B80"/>
    <w:rsid w:val="0012033D"/>
    <w:rsid w:val="0012094F"/>
    <w:rsid w:val="00120ACD"/>
    <w:rsid w:val="00120DA3"/>
    <w:rsid w:val="0012138C"/>
    <w:rsid w:val="00121FDE"/>
    <w:rsid w:val="001220B1"/>
    <w:rsid w:val="00122522"/>
    <w:rsid w:val="001225D0"/>
    <w:rsid w:val="00122AC8"/>
    <w:rsid w:val="001230A8"/>
    <w:rsid w:val="001234DE"/>
    <w:rsid w:val="001236C4"/>
    <w:rsid w:val="001236D9"/>
    <w:rsid w:val="00123E95"/>
    <w:rsid w:val="001242C7"/>
    <w:rsid w:val="00124C1C"/>
    <w:rsid w:val="00124D0F"/>
    <w:rsid w:val="00124FAF"/>
    <w:rsid w:val="00125057"/>
    <w:rsid w:val="001252D8"/>
    <w:rsid w:val="0012538E"/>
    <w:rsid w:val="001254D4"/>
    <w:rsid w:val="00125C49"/>
    <w:rsid w:val="00125C6D"/>
    <w:rsid w:val="00125E23"/>
    <w:rsid w:val="00125EF6"/>
    <w:rsid w:val="001263B1"/>
    <w:rsid w:val="0012640F"/>
    <w:rsid w:val="0012662A"/>
    <w:rsid w:val="001266E1"/>
    <w:rsid w:val="00127384"/>
    <w:rsid w:val="0012740A"/>
    <w:rsid w:val="001276F3"/>
    <w:rsid w:val="001276F9"/>
    <w:rsid w:val="00127B11"/>
    <w:rsid w:val="001302D8"/>
    <w:rsid w:val="00130494"/>
    <w:rsid w:val="001308B7"/>
    <w:rsid w:val="001309A5"/>
    <w:rsid w:val="00130D09"/>
    <w:rsid w:val="00130E3B"/>
    <w:rsid w:val="00130E64"/>
    <w:rsid w:val="001313B5"/>
    <w:rsid w:val="00131686"/>
    <w:rsid w:val="0013195E"/>
    <w:rsid w:val="001319EB"/>
    <w:rsid w:val="00131E14"/>
    <w:rsid w:val="001321F6"/>
    <w:rsid w:val="00132581"/>
    <w:rsid w:val="001325C1"/>
    <w:rsid w:val="00132962"/>
    <w:rsid w:val="00132CC8"/>
    <w:rsid w:val="00132FB7"/>
    <w:rsid w:val="00133441"/>
    <w:rsid w:val="00133464"/>
    <w:rsid w:val="00133605"/>
    <w:rsid w:val="0013379B"/>
    <w:rsid w:val="001338B7"/>
    <w:rsid w:val="00133929"/>
    <w:rsid w:val="00133CF1"/>
    <w:rsid w:val="00133D68"/>
    <w:rsid w:val="00133F76"/>
    <w:rsid w:val="001347EF"/>
    <w:rsid w:val="001351C8"/>
    <w:rsid w:val="00135401"/>
    <w:rsid w:val="0013540D"/>
    <w:rsid w:val="00135D10"/>
    <w:rsid w:val="00135E79"/>
    <w:rsid w:val="00135FA9"/>
    <w:rsid w:val="0013617A"/>
    <w:rsid w:val="0013635A"/>
    <w:rsid w:val="001364CF"/>
    <w:rsid w:val="00136508"/>
    <w:rsid w:val="00136705"/>
    <w:rsid w:val="001369F5"/>
    <w:rsid w:val="00136C5B"/>
    <w:rsid w:val="00136C86"/>
    <w:rsid w:val="00136D94"/>
    <w:rsid w:val="00137010"/>
    <w:rsid w:val="00137458"/>
    <w:rsid w:val="0013788A"/>
    <w:rsid w:val="001400C9"/>
    <w:rsid w:val="001401AD"/>
    <w:rsid w:val="00140783"/>
    <w:rsid w:val="001407F8"/>
    <w:rsid w:val="00140AB2"/>
    <w:rsid w:val="001417B9"/>
    <w:rsid w:val="001418EF"/>
    <w:rsid w:val="00141FA5"/>
    <w:rsid w:val="00142312"/>
    <w:rsid w:val="001425C1"/>
    <w:rsid w:val="00142626"/>
    <w:rsid w:val="00142982"/>
    <w:rsid w:val="00143097"/>
    <w:rsid w:val="00143A89"/>
    <w:rsid w:val="00143DA0"/>
    <w:rsid w:val="00143E34"/>
    <w:rsid w:val="00143FEA"/>
    <w:rsid w:val="001441D4"/>
    <w:rsid w:val="00144A9F"/>
    <w:rsid w:val="00144E42"/>
    <w:rsid w:val="00145924"/>
    <w:rsid w:val="00146554"/>
    <w:rsid w:val="00146978"/>
    <w:rsid w:val="00146C37"/>
    <w:rsid w:val="001472DF"/>
    <w:rsid w:val="00147312"/>
    <w:rsid w:val="0014769F"/>
    <w:rsid w:val="001476E9"/>
    <w:rsid w:val="00147752"/>
    <w:rsid w:val="001478CB"/>
    <w:rsid w:val="001479EF"/>
    <w:rsid w:val="00150144"/>
    <w:rsid w:val="001506BB"/>
    <w:rsid w:val="00150B48"/>
    <w:rsid w:val="00150CFA"/>
    <w:rsid w:val="00150E9D"/>
    <w:rsid w:val="0015192D"/>
    <w:rsid w:val="00151A8C"/>
    <w:rsid w:val="00151CEF"/>
    <w:rsid w:val="00151DEC"/>
    <w:rsid w:val="00151EB2"/>
    <w:rsid w:val="00151F04"/>
    <w:rsid w:val="00152206"/>
    <w:rsid w:val="0015230E"/>
    <w:rsid w:val="001523A7"/>
    <w:rsid w:val="001525C9"/>
    <w:rsid w:val="00152DA6"/>
    <w:rsid w:val="0015317C"/>
    <w:rsid w:val="0015325D"/>
    <w:rsid w:val="001538EC"/>
    <w:rsid w:val="001539A7"/>
    <w:rsid w:val="00153A8E"/>
    <w:rsid w:val="00153AA3"/>
    <w:rsid w:val="00153AE9"/>
    <w:rsid w:val="00153ECE"/>
    <w:rsid w:val="00153F9F"/>
    <w:rsid w:val="0015458F"/>
    <w:rsid w:val="0015529C"/>
    <w:rsid w:val="00155338"/>
    <w:rsid w:val="0015555B"/>
    <w:rsid w:val="001573EA"/>
    <w:rsid w:val="00157DBB"/>
    <w:rsid w:val="00157E37"/>
    <w:rsid w:val="00157EE5"/>
    <w:rsid w:val="0016019A"/>
    <w:rsid w:val="001601F5"/>
    <w:rsid w:val="00160318"/>
    <w:rsid w:val="00160807"/>
    <w:rsid w:val="001609BB"/>
    <w:rsid w:val="00160CAB"/>
    <w:rsid w:val="00160F03"/>
    <w:rsid w:val="00160F6C"/>
    <w:rsid w:val="0016113C"/>
    <w:rsid w:val="0016166A"/>
    <w:rsid w:val="00161753"/>
    <w:rsid w:val="00161A2A"/>
    <w:rsid w:val="00161CEB"/>
    <w:rsid w:val="00162695"/>
    <w:rsid w:val="0016282A"/>
    <w:rsid w:val="00162CBA"/>
    <w:rsid w:val="00162E63"/>
    <w:rsid w:val="00163CB3"/>
    <w:rsid w:val="00163D50"/>
    <w:rsid w:val="00163F77"/>
    <w:rsid w:val="001640B9"/>
    <w:rsid w:val="0016425E"/>
    <w:rsid w:val="00164B2D"/>
    <w:rsid w:val="001652EA"/>
    <w:rsid w:val="00165455"/>
    <w:rsid w:val="00165F0B"/>
    <w:rsid w:val="0016623B"/>
    <w:rsid w:val="001665C3"/>
    <w:rsid w:val="001666EB"/>
    <w:rsid w:val="0016683D"/>
    <w:rsid w:val="00166ABF"/>
    <w:rsid w:val="00166B2C"/>
    <w:rsid w:val="001673DD"/>
    <w:rsid w:val="001673F8"/>
    <w:rsid w:val="001679AA"/>
    <w:rsid w:val="00167C99"/>
    <w:rsid w:val="00167F4C"/>
    <w:rsid w:val="00170717"/>
    <w:rsid w:val="00170858"/>
    <w:rsid w:val="001708E5"/>
    <w:rsid w:val="00170D5C"/>
    <w:rsid w:val="00170F33"/>
    <w:rsid w:val="001716C6"/>
    <w:rsid w:val="00171905"/>
    <w:rsid w:val="00171BA1"/>
    <w:rsid w:val="00171BB2"/>
    <w:rsid w:val="00171FEC"/>
    <w:rsid w:val="00172199"/>
    <w:rsid w:val="00172947"/>
    <w:rsid w:val="00172B86"/>
    <w:rsid w:val="00172F9C"/>
    <w:rsid w:val="0017316D"/>
    <w:rsid w:val="00173531"/>
    <w:rsid w:val="00173B72"/>
    <w:rsid w:val="00174C09"/>
    <w:rsid w:val="00174F2B"/>
    <w:rsid w:val="00174F4F"/>
    <w:rsid w:val="00174F59"/>
    <w:rsid w:val="001751D2"/>
    <w:rsid w:val="00175ACD"/>
    <w:rsid w:val="00175AD1"/>
    <w:rsid w:val="00175B28"/>
    <w:rsid w:val="001764E2"/>
    <w:rsid w:val="001765CE"/>
    <w:rsid w:val="00176A57"/>
    <w:rsid w:val="00176C15"/>
    <w:rsid w:val="001778CA"/>
    <w:rsid w:val="00180394"/>
    <w:rsid w:val="0018053E"/>
    <w:rsid w:val="00180A7F"/>
    <w:rsid w:val="00180DA8"/>
    <w:rsid w:val="00181012"/>
    <w:rsid w:val="0018109E"/>
    <w:rsid w:val="001810DE"/>
    <w:rsid w:val="00181512"/>
    <w:rsid w:val="00181951"/>
    <w:rsid w:val="00181B8D"/>
    <w:rsid w:val="00181D19"/>
    <w:rsid w:val="001820B5"/>
    <w:rsid w:val="001821F4"/>
    <w:rsid w:val="001824E5"/>
    <w:rsid w:val="0018288B"/>
    <w:rsid w:val="00183379"/>
    <w:rsid w:val="00183424"/>
    <w:rsid w:val="00183594"/>
    <w:rsid w:val="001837AB"/>
    <w:rsid w:val="001838C2"/>
    <w:rsid w:val="00183B3C"/>
    <w:rsid w:val="001841D2"/>
    <w:rsid w:val="00184909"/>
    <w:rsid w:val="0018548D"/>
    <w:rsid w:val="00185539"/>
    <w:rsid w:val="0018569F"/>
    <w:rsid w:val="001859C5"/>
    <w:rsid w:val="00185A94"/>
    <w:rsid w:val="00185B8A"/>
    <w:rsid w:val="00186367"/>
    <w:rsid w:val="00186C6D"/>
    <w:rsid w:val="00186FDC"/>
    <w:rsid w:val="00187477"/>
    <w:rsid w:val="00187618"/>
    <w:rsid w:val="00187730"/>
    <w:rsid w:val="00187916"/>
    <w:rsid w:val="001879A8"/>
    <w:rsid w:val="001879D4"/>
    <w:rsid w:val="00187A50"/>
    <w:rsid w:val="00187FB9"/>
    <w:rsid w:val="001900C6"/>
    <w:rsid w:val="001900EB"/>
    <w:rsid w:val="001901FA"/>
    <w:rsid w:val="00190CC2"/>
    <w:rsid w:val="0019174E"/>
    <w:rsid w:val="00191B79"/>
    <w:rsid w:val="00191BF1"/>
    <w:rsid w:val="00191FCF"/>
    <w:rsid w:val="001921BC"/>
    <w:rsid w:val="00192528"/>
    <w:rsid w:val="00192CC7"/>
    <w:rsid w:val="00192D5F"/>
    <w:rsid w:val="00193151"/>
    <w:rsid w:val="001933BD"/>
    <w:rsid w:val="0019346F"/>
    <w:rsid w:val="001936D3"/>
    <w:rsid w:val="001936F7"/>
    <w:rsid w:val="00193C61"/>
    <w:rsid w:val="00193F86"/>
    <w:rsid w:val="0019419B"/>
    <w:rsid w:val="001941C8"/>
    <w:rsid w:val="0019499B"/>
    <w:rsid w:val="00194DC3"/>
    <w:rsid w:val="00195179"/>
    <w:rsid w:val="001952CB"/>
    <w:rsid w:val="0019533D"/>
    <w:rsid w:val="0019557B"/>
    <w:rsid w:val="0019574B"/>
    <w:rsid w:val="001959C1"/>
    <w:rsid w:val="00195C83"/>
    <w:rsid w:val="00195CE7"/>
    <w:rsid w:val="00195D86"/>
    <w:rsid w:val="001961A6"/>
    <w:rsid w:val="0019643A"/>
    <w:rsid w:val="00196551"/>
    <w:rsid w:val="0019668C"/>
    <w:rsid w:val="00196703"/>
    <w:rsid w:val="001968C2"/>
    <w:rsid w:val="00196CE2"/>
    <w:rsid w:val="00196D2F"/>
    <w:rsid w:val="00196ED6"/>
    <w:rsid w:val="0019713E"/>
    <w:rsid w:val="001975AA"/>
    <w:rsid w:val="0019786E"/>
    <w:rsid w:val="00197CD0"/>
    <w:rsid w:val="00197D3C"/>
    <w:rsid w:val="00197D79"/>
    <w:rsid w:val="00197F48"/>
    <w:rsid w:val="001A10E3"/>
    <w:rsid w:val="001A12CE"/>
    <w:rsid w:val="001A1916"/>
    <w:rsid w:val="001A1C30"/>
    <w:rsid w:val="001A22BB"/>
    <w:rsid w:val="001A2357"/>
    <w:rsid w:val="001A2696"/>
    <w:rsid w:val="001A28A8"/>
    <w:rsid w:val="001A3420"/>
    <w:rsid w:val="001A357B"/>
    <w:rsid w:val="001A3D31"/>
    <w:rsid w:val="001A403A"/>
    <w:rsid w:val="001A407B"/>
    <w:rsid w:val="001A41B7"/>
    <w:rsid w:val="001A41E0"/>
    <w:rsid w:val="001A4402"/>
    <w:rsid w:val="001A4497"/>
    <w:rsid w:val="001A45AB"/>
    <w:rsid w:val="001A468B"/>
    <w:rsid w:val="001A48D3"/>
    <w:rsid w:val="001A50AC"/>
    <w:rsid w:val="001A5354"/>
    <w:rsid w:val="001A55BB"/>
    <w:rsid w:val="001A57D6"/>
    <w:rsid w:val="001A590F"/>
    <w:rsid w:val="001A632C"/>
    <w:rsid w:val="001A6B4A"/>
    <w:rsid w:val="001A6D38"/>
    <w:rsid w:val="001A786C"/>
    <w:rsid w:val="001A7B50"/>
    <w:rsid w:val="001A7D60"/>
    <w:rsid w:val="001A7DF9"/>
    <w:rsid w:val="001A7EEB"/>
    <w:rsid w:val="001B07A9"/>
    <w:rsid w:val="001B11EF"/>
    <w:rsid w:val="001B1254"/>
    <w:rsid w:val="001B1296"/>
    <w:rsid w:val="001B172F"/>
    <w:rsid w:val="001B1898"/>
    <w:rsid w:val="001B23AA"/>
    <w:rsid w:val="001B2588"/>
    <w:rsid w:val="001B26FA"/>
    <w:rsid w:val="001B27DF"/>
    <w:rsid w:val="001B287D"/>
    <w:rsid w:val="001B3173"/>
    <w:rsid w:val="001B35DB"/>
    <w:rsid w:val="001B49DF"/>
    <w:rsid w:val="001B60FD"/>
    <w:rsid w:val="001B626F"/>
    <w:rsid w:val="001B62EF"/>
    <w:rsid w:val="001B6878"/>
    <w:rsid w:val="001B6AFD"/>
    <w:rsid w:val="001B6B00"/>
    <w:rsid w:val="001B6C77"/>
    <w:rsid w:val="001B7437"/>
    <w:rsid w:val="001B7DD9"/>
    <w:rsid w:val="001B7F21"/>
    <w:rsid w:val="001C0005"/>
    <w:rsid w:val="001C015E"/>
    <w:rsid w:val="001C04E1"/>
    <w:rsid w:val="001C08FB"/>
    <w:rsid w:val="001C0A52"/>
    <w:rsid w:val="001C0C26"/>
    <w:rsid w:val="001C10FA"/>
    <w:rsid w:val="001C119B"/>
    <w:rsid w:val="001C121C"/>
    <w:rsid w:val="001C19A2"/>
    <w:rsid w:val="001C21FF"/>
    <w:rsid w:val="001C2890"/>
    <w:rsid w:val="001C28D4"/>
    <w:rsid w:val="001C3955"/>
    <w:rsid w:val="001C4981"/>
    <w:rsid w:val="001C4994"/>
    <w:rsid w:val="001C4FBB"/>
    <w:rsid w:val="001C5215"/>
    <w:rsid w:val="001C54B3"/>
    <w:rsid w:val="001C557A"/>
    <w:rsid w:val="001C59AC"/>
    <w:rsid w:val="001C5F88"/>
    <w:rsid w:val="001C6066"/>
    <w:rsid w:val="001C6415"/>
    <w:rsid w:val="001C646E"/>
    <w:rsid w:val="001C6C32"/>
    <w:rsid w:val="001C6C54"/>
    <w:rsid w:val="001C6D1E"/>
    <w:rsid w:val="001C6DF9"/>
    <w:rsid w:val="001C70A6"/>
    <w:rsid w:val="001C71B1"/>
    <w:rsid w:val="001C730F"/>
    <w:rsid w:val="001C7707"/>
    <w:rsid w:val="001C7761"/>
    <w:rsid w:val="001C7B0E"/>
    <w:rsid w:val="001C7E1B"/>
    <w:rsid w:val="001D0757"/>
    <w:rsid w:val="001D0964"/>
    <w:rsid w:val="001D0A22"/>
    <w:rsid w:val="001D0BB5"/>
    <w:rsid w:val="001D0EAA"/>
    <w:rsid w:val="001D1206"/>
    <w:rsid w:val="001D12C3"/>
    <w:rsid w:val="001D1371"/>
    <w:rsid w:val="001D13C9"/>
    <w:rsid w:val="001D1499"/>
    <w:rsid w:val="001D23BE"/>
    <w:rsid w:val="001D25FB"/>
    <w:rsid w:val="001D2663"/>
    <w:rsid w:val="001D2B25"/>
    <w:rsid w:val="001D3461"/>
    <w:rsid w:val="001D3BCF"/>
    <w:rsid w:val="001D3F4B"/>
    <w:rsid w:val="001D430E"/>
    <w:rsid w:val="001D471D"/>
    <w:rsid w:val="001D5E16"/>
    <w:rsid w:val="001D6BD7"/>
    <w:rsid w:val="001D769B"/>
    <w:rsid w:val="001D7B93"/>
    <w:rsid w:val="001D7C40"/>
    <w:rsid w:val="001D7D36"/>
    <w:rsid w:val="001D7E1E"/>
    <w:rsid w:val="001D7E76"/>
    <w:rsid w:val="001E01BD"/>
    <w:rsid w:val="001E04B9"/>
    <w:rsid w:val="001E0767"/>
    <w:rsid w:val="001E088A"/>
    <w:rsid w:val="001E0F37"/>
    <w:rsid w:val="001E1186"/>
    <w:rsid w:val="001E134B"/>
    <w:rsid w:val="001E1828"/>
    <w:rsid w:val="001E1B6B"/>
    <w:rsid w:val="001E1BF9"/>
    <w:rsid w:val="001E2184"/>
    <w:rsid w:val="001E2187"/>
    <w:rsid w:val="001E2514"/>
    <w:rsid w:val="001E2556"/>
    <w:rsid w:val="001E263B"/>
    <w:rsid w:val="001E29EA"/>
    <w:rsid w:val="001E2BEC"/>
    <w:rsid w:val="001E2C78"/>
    <w:rsid w:val="001E2F94"/>
    <w:rsid w:val="001E30DC"/>
    <w:rsid w:val="001E30F9"/>
    <w:rsid w:val="001E3449"/>
    <w:rsid w:val="001E3924"/>
    <w:rsid w:val="001E3ACB"/>
    <w:rsid w:val="001E3B1C"/>
    <w:rsid w:val="001E3B7D"/>
    <w:rsid w:val="001E3B8D"/>
    <w:rsid w:val="001E3E1F"/>
    <w:rsid w:val="001E3EC6"/>
    <w:rsid w:val="001E4385"/>
    <w:rsid w:val="001E45AE"/>
    <w:rsid w:val="001E4654"/>
    <w:rsid w:val="001E4764"/>
    <w:rsid w:val="001E4FB2"/>
    <w:rsid w:val="001E517A"/>
    <w:rsid w:val="001E5530"/>
    <w:rsid w:val="001E56BD"/>
    <w:rsid w:val="001E5BA7"/>
    <w:rsid w:val="001E5C18"/>
    <w:rsid w:val="001E5E25"/>
    <w:rsid w:val="001E5E94"/>
    <w:rsid w:val="001E60E4"/>
    <w:rsid w:val="001E6130"/>
    <w:rsid w:val="001E6267"/>
    <w:rsid w:val="001E63D8"/>
    <w:rsid w:val="001E68EA"/>
    <w:rsid w:val="001E6CC6"/>
    <w:rsid w:val="001E6DFA"/>
    <w:rsid w:val="001E6E84"/>
    <w:rsid w:val="001E7064"/>
    <w:rsid w:val="001E7124"/>
    <w:rsid w:val="001E7183"/>
    <w:rsid w:val="001E7190"/>
    <w:rsid w:val="001E72B3"/>
    <w:rsid w:val="001E76FF"/>
    <w:rsid w:val="001E7FDD"/>
    <w:rsid w:val="001F0441"/>
    <w:rsid w:val="001F0489"/>
    <w:rsid w:val="001F06A4"/>
    <w:rsid w:val="001F09E7"/>
    <w:rsid w:val="001F17F4"/>
    <w:rsid w:val="001F1851"/>
    <w:rsid w:val="001F1B86"/>
    <w:rsid w:val="001F226F"/>
    <w:rsid w:val="001F2AEB"/>
    <w:rsid w:val="001F2CA6"/>
    <w:rsid w:val="001F2FA1"/>
    <w:rsid w:val="001F31B3"/>
    <w:rsid w:val="001F343D"/>
    <w:rsid w:val="001F3D2A"/>
    <w:rsid w:val="001F4A60"/>
    <w:rsid w:val="001F59DF"/>
    <w:rsid w:val="001F5A04"/>
    <w:rsid w:val="001F5AA7"/>
    <w:rsid w:val="001F5C5F"/>
    <w:rsid w:val="001F6668"/>
    <w:rsid w:val="001F696E"/>
    <w:rsid w:val="001F6A18"/>
    <w:rsid w:val="001F6A1E"/>
    <w:rsid w:val="001F6BFE"/>
    <w:rsid w:val="001F6C13"/>
    <w:rsid w:val="001F6CE2"/>
    <w:rsid w:val="001F7193"/>
    <w:rsid w:val="001F74C2"/>
    <w:rsid w:val="001F7506"/>
    <w:rsid w:val="001F75C0"/>
    <w:rsid w:val="001F7849"/>
    <w:rsid w:val="001F78E7"/>
    <w:rsid w:val="001F7EB6"/>
    <w:rsid w:val="002002F1"/>
    <w:rsid w:val="002006EF"/>
    <w:rsid w:val="00200918"/>
    <w:rsid w:val="002016F0"/>
    <w:rsid w:val="002016FF"/>
    <w:rsid w:val="00201D62"/>
    <w:rsid w:val="00201F51"/>
    <w:rsid w:val="00202047"/>
    <w:rsid w:val="002022E6"/>
    <w:rsid w:val="0020241A"/>
    <w:rsid w:val="002026AE"/>
    <w:rsid w:val="0020287E"/>
    <w:rsid w:val="00202AE4"/>
    <w:rsid w:val="00202BFD"/>
    <w:rsid w:val="00203177"/>
    <w:rsid w:val="002039F3"/>
    <w:rsid w:val="00203A77"/>
    <w:rsid w:val="00203D4D"/>
    <w:rsid w:val="00203EA4"/>
    <w:rsid w:val="00203FA8"/>
    <w:rsid w:val="00204378"/>
    <w:rsid w:val="002044F8"/>
    <w:rsid w:val="002048FF"/>
    <w:rsid w:val="002049B7"/>
    <w:rsid w:val="002049ED"/>
    <w:rsid w:val="00204A1B"/>
    <w:rsid w:val="002050C5"/>
    <w:rsid w:val="002052CC"/>
    <w:rsid w:val="002053BB"/>
    <w:rsid w:val="002055CA"/>
    <w:rsid w:val="0020578B"/>
    <w:rsid w:val="00205AC0"/>
    <w:rsid w:val="00206022"/>
    <w:rsid w:val="002062DE"/>
    <w:rsid w:val="00206841"/>
    <w:rsid w:val="00206A12"/>
    <w:rsid w:val="00206E3D"/>
    <w:rsid w:val="00207EF8"/>
    <w:rsid w:val="00210254"/>
    <w:rsid w:val="002102E7"/>
    <w:rsid w:val="00210F35"/>
    <w:rsid w:val="00211289"/>
    <w:rsid w:val="002114F2"/>
    <w:rsid w:val="00211553"/>
    <w:rsid w:val="00211A45"/>
    <w:rsid w:val="00211AFD"/>
    <w:rsid w:val="00211C6D"/>
    <w:rsid w:val="00211FE2"/>
    <w:rsid w:val="002123B5"/>
    <w:rsid w:val="00212660"/>
    <w:rsid w:val="00212941"/>
    <w:rsid w:val="00212D4D"/>
    <w:rsid w:val="0021323C"/>
    <w:rsid w:val="0021391F"/>
    <w:rsid w:val="0021404A"/>
    <w:rsid w:val="002143F9"/>
    <w:rsid w:val="0021446B"/>
    <w:rsid w:val="002147A4"/>
    <w:rsid w:val="00214E14"/>
    <w:rsid w:val="00214E56"/>
    <w:rsid w:val="00215027"/>
    <w:rsid w:val="00215998"/>
    <w:rsid w:val="00215E98"/>
    <w:rsid w:val="00216304"/>
    <w:rsid w:val="0021636B"/>
    <w:rsid w:val="0021669B"/>
    <w:rsid w:val="00216A99"/>
    <w:rsid w:val="00216DCE"/>
    <w:rsid w:val="00216EF5"/>
    <w:rsid w:val="0021717C"/>
    <w:rsid w:val="00217246"/>
    <w:rsid w:val="00217726"/>
    <w:rsid w:val="002177EC"/>
    <w:rsid w:val="00217F35"/>
    <w:rsid w:val="00220102"/>
    <w:rsid w:val="002201BC"/>
    <w:rsid w:val="00220453"/>
    <w:rsid w:val="00220DA3"/>
    <w:rsid w:val="00221167"/>
    <w:rsid w:val="0022172D"/>
    <w:rsid w:val="002217E4"/>
    <w:rsid w:val="00221C84"/>
    <w:rsid w:val="00221DC1"/>
    <w:rsid w:val="00221FD7"/>
    <w:rsid w:val="0022260B"/>
    <w:rsid w:val="00222753"/>
    <w:rsid w:val="00222CD7"/>
    <w:rsid w:val="00222DB1"/>
    <w:rsid w:val="00222EC3"/>
    <w:rsid w:val="00222FAA"/>
    <w:rsid w:val="0022364C"/>
    <w:rsid w:val="0022392A"/>
    <w:rsid w:val="00223E9E"/>
    <w:rsid w:val="002241AD"/>
    <w:rsid w:val="00224210"/>
    <w:rsid w:val="0022427E"/>
    <w:rsid w:val="0022447A"/>
    <w:rsid w:val="002245CC"/>
    <w:rsid w:val="002246E7"/>
    <w:rsid w:val="00224831"/>
    <w:rsid w:val="00224FDB"/>
    <w:rsid w:val="0022542E"/>
    <w:rsid w:val="0022651F"/>
    <w:rsid w:val="00226573"/>
    <w:rsid w:val="00226DDA"/>
    <w:rsid w:val="00227091"/>
    <w:rsid w:val="002272AB"/>
    <w:rsid w:val="00227527"/>
    <w:rsid w:val="0022785F"/>
    <w:rsid w:val="002300C9"/>
    <w:rsid w:val="00230298"/>
    <w:rsid w:val="002310C0"/>
    <w:rsid w:val="00231A38"/>
    <w:rsid w:val="00231A5C"/>
    <w:rsid w:val="00232C7F"/>
    <w:rsid w:val="002330DE"/>
    <w:rsid w:val="002332A6"/>
    <w:rsid w:val="002335A5"/>
    <w:rsid w:val="002335C2"/>
    <w:rsid w:val="00233C45"/>
    <w:rsid w:val="00233C66"/>
    <w:rsid w:val="00233D5A"/>
    <w:rsid w:val="00233E3C"/>
    <w:rsid w:val="00233EBB"/>
    <w:rsid w:val="002342BB"/>
    <w:rsid w:val="00234703"/>
    <w:rsid w:val="002347AA"/>
    <w:rsid w:val="00234CAE"/>
    <w:rsid w:val="00234D5C"/>
    <w:rsid w:val="002359E7"/>
    <w:rsid w:val="002360C3"/>
    <w:rsid w:val="002361CC"/>
    <w:rsid w:val="002365AD"/>
    <w:rsid w:val="00236999"/>
    <w:rsid w:val="00236CAD"/>
    <w:rsid w:val="00236F42"/>
    <w:rsid w:val="002373AC"/>
    <w:rsid w:val="00237C27"/>
    <w:rsid w:val="00237D39"/>
    <w:rsid w:val="00237DFF"/>
    <w:rsid w:val="00237EBF"/>
    <w:rsid w:val="00240337"/>
    <w:rsid w:val="002407E0"/>
    <w:rsid w:val="00240B85"/>
    <w:rsid w:val="002412D0"/>
    <w:rsid w:val="0024146D"/>
    <w:rsid w:val="00241A14"/>
    <w:rsid w:val="002420A6"/>
    <w:rsid w:val="002420E0"/>
    <w:rsid w:val="00242771"/>
    <w:rsid w:val="00243559"/>
    <w:rsid w:val="00243DA7"/>
    <w:rsid w:val="002440F4"/>
    <w:rsid w:val="00244C51"/>
    <w:rsid w:val="00245235"/>
    <w:rsid w:val="002452A2"/>
    <w:rsid w:val="00245448"/>
    <w:rsid w:val="0024562F"/>
    <w:rsid w:val="00245998"/>
    <w:rsid w:val="00245E92"/>
    <w:rsid w:val="00245F84"/>
    <w:rsid w:val="00245FF0"/>
    <w:rsid w:val="0024620B"/>
    <w:rsid w:val="00246221"/>
    <w:rsid w:val="0024629B"/>
    <w:rsid w:val="00246384"/>
    <w:rsid w:val="002464CF"/>
    <w:rsid w:val="002467CC"/>
    <w:rsid w:val="00246B5C"/>
    <w:rsid w:val="00246BF5"/>
    <w:rsid w:val="00246EEA"/>
    <w:rsid w:val="0025012A"/>
    <w:rsid w:val="0025071B"/>
    <w:rsid w:val="00250798"/>
    <w:rsid w:val="002511E6"/>
    <w:rsid w:val="00251266"/>
    <w:rsid w:val="00251321"/>
    <w:rsid w:val="00251A5D"/>
    <w:rsid w:val="0025267B"/>
    <w:rsid w:val="00252A20"/>
    <w:rsid w:val="00252FEF"/>
    <w:rsid w:val="00253673"/>
    <w:rsid w:val="002536BA"/>
    <w:rsid w:val="002539B1"/>
    <w:rsid w:val="00253EF5"/>
    <w:rsid w:val="00254364"/>
    <w:rsid w:val="0025560C"/>
    <w:rsid w:val="00255DC1"/>
    <w:rsid w:val="00255DF8"/>
    <w:rsid w:val="00256851"/>
    <w:rsid w:val="002570CE"/>
    <w:rsid w:val="0025737C"/>
    <w:rsid w:val="00260071"/>
    <w:rsid w:val="00260A02"/>
    <w:rsid w:val="00260AAD"/>
    <w:rsid w:val="00260B1B"/>
    <w:rsid w:val="00261256"/>
    <w:rsid w:val="0026131D"/>
    <w:rsid w:val="00261D38"/>
    <w:rsid w:val="00261F41"/>
    <w:rsid w:val="0026217C"/>
    <w:rsid w:val="00262246"/>
    <w:rsid w:val="002622E3"/>
    <w:rsid w:val="00262A48"/>
    <w:rsid w:val="00262FCE"/>
    <w:rsid w:val="002633D4"/>
    <w:rsid w:val="00263919"/>
    <w:rsid w:val="00263B7B"/>
    <w:rsid w:val="00264010"/>
    <w:rsid w:val="00264367"/>
    <w:rsid w:val="00264551"/>
    <w:rsid w:val="002647AD"/>
    <w:rsid w:val="002654DC"/>
    <w:rsid w:val="00265882"/>
    <w:rsid w:val="00265C39"/>
    <w:rsid w:val="00265FFA"/>
    <w:rsid w:val="00266C75"/>
    <w:rsid w:val="00266E64"/>
    <w:rsid w:val="00267C9D"/>
    <w:rsid w:val="0027028B"/>
    <w:rsid w:val="0027036C"/>
    <w:rsid w:val="00270462"/>
    <w:rsid w:val="002704B6"/>
    <w:rsid w:val="00270A20"/>
    <w:rsid w:val="00270AF5"/>
    <w:rsid w:val="00270BF7"/>
    <w:rsid w:val="00270EAB"/>
    <w:rsid w:val="00270F6E"/>
    <w:rsid w:val="002718CF"/>
    <w:rsid w:val="00271E6D"/>
    <w:rsid w:val="00271ED1"/>
    <w:rsid w:val="002723A8"/>
    <w:rsid w:val="0027267B"/>
    <w:rsid w:val="00272C99"/>
    <w:rsid w:val="00272D7B"/>
    <w:rsid w:val="002733D7"/>
    <w:rsid w:val="00273B13"/>
    <w:rsid w:val="00273F36"/>
    <w:rsid w:val="00274024"/>
    <w:rsid w:val="00274043"/>
    <w:rsid w:val="0027505A"/>
    <w:rsid w:val="00275559"/>
    <w:rsid w:val="00275B86"/>
    <w:rsid w:val="00275D9D"/>
    <w:rsid w:val="002761EB"/>
    <w:rsid w:val="00276240"/>
    <w:rsid w:val="002762BD"/>
    <w:rsid w:val="0027641C"/>
    <w:rsid w:val="002766AA"/>
    <w:rsid w:val="00276A63"/>
    <w:rsid w:val="00277016"/>
    <w:rsid w:val="00277CE1"/>
    <w:rsid w:val="00277D13"/>
    <w:rsid w:val="00277FE1"/>
    <w:rsid w:val="00280278"/>
    <w:rsid w:val="0028038B"/>
    <w:rsid w:val="0028098F"/>
    <w:rsid w:val="00280BF3"/>
    <w:rsid w:val="00280CAC"/>
    <w:rsid w:val="00280DFF"/>
    <w:rsid w:val="0028107B"/>
    <w:rsid w:val="00281316"/>
    <w:rsid w:val="00281353"/>
    <w:rsid w:val="00281467"/>
    <w:rsid w:val="00281683"/>
    <w:rsid w:val="0028198E"/>
    <w:rsid w:val="00281CD6"/>
    <w:rsid w:val="0028219E"/>
    <w:rsid w:val="00282283"/>
    <w:rsid w:val="0028243D"/>
    <w:rsid w:val="002829E5"/>
    <w:rsid w:val="00282B49"/>
    <w:rsid w:val="00282B5E"/>
    <w:rsid w:val="00282C21"/>
    <w:rsid w:val="00282D4F"/>
    <w:rsid w:val="00282F52"/>
    <w:rsid w:val="0028313E"/>
    <w:rsid w:val="002836EE"/>
    <w:rsid w:val="00283AD6"/>
    <w:rsid w:val="002841CE"/>
    <w:rsid w:val="002841E8"/>
    <w:rsid w:val="0028440A"/>
    <w:rsid w:val="00284685"/>
    <w:rsid w:val="00284F8F"/>
    <w:rsid w:val="002856CC"/>
    <w:rsid w:val="002856E8"/>
    <w:rsid w:val="00285BEE"/>
    <w:rsid w:val="00285E10"/>
    <w:rsid w:val="00285F60"/>
    <w:rsid w:val="00285F97"/>
    <w:rsid w:val="002863A4"/>
    <w:rsid w:val="0028659D"/>
    <w:rsid w:val="00286638"/>
    <w:rsid w:val="00286719"/>
    <w:rsid w:val="002867A9"/>
    <w:rsid w:val="00286FA9"/>
    <w:rsid w:val="0028713F"/>
    <w:rsid w:val="00287773"/>
    <w:rsid w:val="00287880"/>
    <w:rsid w:val="00287890"/>
    <w:rsid w:val="0029027C"/>
    <w:rsid w:val="0029072C"/>
    <w:rsid w:val="00290821"/>
    <w:rsid w:val="0029088F"/>
    <w:rsid w:val="00290A25"/>
    <w:rsid w:val="00290BEF"/>
    <w:rsid w:val="00290BFB"/>
    <w:rsid w:val="0029137B"/>
    <w:rsid w:val="002913BE"/>
    <w:rsid w:val="00291AC1"/>
    <w:rsid w:val="00291B0D"/>
    <w:rsid w:val="0029261F"/>
    <w:rsid w:val="002928C8"/>
    <w:rsid w:val="00292BBC"/>
    <w:rsid w:val="002937F6"/>
    <w:rsid w:val="00293A6B"/>
    <w:rsid w:val="0029413C"/>
    <w:rsid w:val="00294187"/>
    <w:rsid w:val="0029432A"/>
    <w:rsid w:val="002945CD"/>
    <w:rsid w:val="0029469D"/>
    <w:rsid w:val="00294711"/>
    <w:rsid w:val="0029480C"/>
    <w:rsid w:val="00294A59"/>
    <w:rsid w:val="00294B83"/>
    <w:rsid w:val="002952D8"/>
    <w:rsid w:val="002959F8"/>
    <w:rsid w:val="00295C17"/>
    <w:rsid w:val="00295C66"/>
    <w:rsid w:val="00295D3C"/>
    <w:rsid w:val="00295EA0"/>
    <w:rsid w:val="00295EC5"/>
    <w:rsid w:val="002960D7"/>
    <w:rsid w:val="0029630B"/>
    <w:rsid w:val="002965E1"/>
    <w:rsid w:val="00296DAB"/>
    <w:rsid w:val="00296DBC"/>
    <w:rsid w:val="00297611"/>
    <w:rsid w:val="002976F8"/>
    <w:rsid w:val="00297A62"/>
    <w:rsid w:val="00297AC0"/>
    <w:rsid w:val="002A02E8"/>
    <w:rsid w:val="002A0890"/>
    <w:rsid w:val="002A0B12"/>
    <w:rsid w:val="002A0F63"/>
    <w:rsid w:val="002A0FF7"/>
    <w:rsid w:val="002A1E6C"/>
    <w:rsid w:val="002A2624"/>
    <w:rsid w:val="002A2FA8"/>
    <w:rsid w:val="002A3232"/>
    <w:rsid w:val="002A3503"/>
    <w:rsid w:val="002A380A"/>
    <w:rsid w:val="002A3902"/>
    <w:rsid w:val="002A3AEC"/>
    <w:rsid w:val="002A3DCF"/>
    <w:rsid w:val="002A3FEB"/>
    <w:rsid w:val="002A4A7C"/>
    <w:rsid w:val="002A4EEF"/>
    <w:rsid w:val="002A53F6"/>
    <w:rsid w:val="002A5500"/>
    <w:rsid w:val="002A558F"/>
    <w:rsid w:val="002A571C"/>
    <w:rsid w:val="002A5729"/>
    <w:rsid w:val="002A5CBD"/>
    <w:rsid w:val="002A61BB"/>
    <w:rsid w:val="002A622B"/>
    <w:rsid w:val="002A65A4"/>
    <w:rsid w:val="002A678F"/>
    <w:rsid w:val="002A67E6"/>
    <w:rsid w:val="002A6912"/>
    <w:rsid w:val="002A6DC0"/>
    <w:rsid w:val="002A722F"/>
    <w:rsid w:val="002A736F"/>
    <w:rsid w:val="002A7601"/>
    <w:rsid w:val="002A785B"/>
    <w:rsid w:val="002A7A88"/>
    <w:rsid w:val="002A7E26"/>
    <w:rsid w:val="002B00CA"/>
    <w:rsid w:val="002B0CC1"/>
    <w:rsid w:val="002B0FA4"/>
    <w:rsid w:val="002B1392"/>
    <w:rsid w:val="002B13B3"/>
    <w:rsid w:val="002B17EC"/>
    <w:rsid w:val="002B1A22"/>
    <w:rsid w:val="002B1DD5"/>
    <w:rsid w:val="002B1F6A"/>
    <w:rsid w:val="002B2C4D"/>
    <w:rsid w:val="002B3136"/>
    <w:rsid w:val="002B32EC"/>
    <w:rsid w:val="002B3AC6"/>
    <w:rsid w:val="002B3B5D"/>
    <w:rsid w:val="002B46C0"/>
    <w:rsid w:val="002B4703"/>
    <w:rsid w:val="002B4940"/>
    <w:rsid w:val="002B4981"/>
    <w:rsid w:val="002B49DE"/>
    <w:rsid w:val="002B53C9"/>
    <w:rsid w:val="002B559C"/>
    <w:rsid w:val="002B5CD3"/>
    <w:rsid w:val="002B5E97"/>
    <w:rsid w:val="002B608B"/>
    <w:rsid w:val="002B6D92"/>
    <w:rsid w:val="002B6DB8"/>
    <w:rsid w:val="002B745B"/>
    <w:rsid w:val="002B7705"/>
    <w:rsid w:val="002B78B5"/>
    <w:rsid w:val="002B7916"/>
    <w:rsid w:val="002B7D87"/>
    <w:rsid w:val="002C00E4"/>
    <w:rsid w:val="002C014A"/>
    <w:rsid w:val="002C0533"/>
    <w:rsid w:val="002C0C1F"/>
    <w:rsid w:val="002C0CD7"/>
    <w:rsid w:val="002C10DC"/>
    <w:rsid w:val="002C151D"/>
    <w:rsid w:val="002C1A7A"/>
    <w:rsid w:val="002C1B22"/>
    <w:rsid w:val="002C1C5F"/>
    <w:rsid w:val="002C2330"/>
    <w:rsid w:val="002C26EA"/>
    <w:rsid w:val="002C2923"/>
    <w:rsid w:val="002C2986"/>
    <w:rsid w:val="002C2E14"/>
    <w:rsid w:val="002C2ED2"/>
    <w:rsid w:val="002C31EE"/>
    <w:rsid w:val="002C3A37"/>
    <w:rsid w:val="002C3D90"/>
    <w:rsid w:val="002C4015"/>
    <w:rsid w:val="002C402D"/>
    <w:rsid w:val="002C4038"/>
    <w:rsid w:val="002C40BF"/>
    <w:rsid w:val="002C4589"/>
    <w:rsid w:val="002C4CCD"/>
    <w:rsid w:val="002C4E5D"/>
    <w:rsid w:val="002C4FC0"/>
    <w:rsid w:val="002C5316"/>
    <w:rsid w:val="002C5DC5"/>
    <w:rsid w:val="002C5E83"/>
    <w:rsid w:val="002C6336"/>
    <w:rsid w:val="002C6801"/>
    <w:rsid w:val="002C6E6B"/>
    <w:rsid w:val="002C7008"/>
    <w:rsid w:val="002C7129"/>
    <w:rsid w:val="002C75D1"/>
    <w:rsid w:val="002C7918"/>
    <w:rsid w:val="002C7BF9"/>
    <w:rsid w:val="002C7C42"/>
    <w:rsid w:val="002C7CD0"/>
    <w:rsid w:val="002C7E85"/>
    <w:rsid w:val="002C7FCE"/>
    <w:rsid w:val="002D0034"/>
    <w:rsid w:val="002D0143"/>
    <w:rsid w:val="002D0681"/>
    <w:rsid w:val="002D091C"/>
    <w:rsid w:val="002D0F3E"/>
    <w:rsid w:val="002D11FF"/>
    <w:rsid w:val="002D17E8"/>
    <w:rsid w:val="002D1BF9"/>
    <w:rsid w:val="002D1D3B"/>
    <w:rsid w:val="002D1E5F"/>
    <w:rsid w:val="002D29FE"/>
    <w:rsid w:val="002D4344"/>
    <w:rsid w:val="002D43CB"/>
    <w:rsid w:val="002D4401"/>
    <w:rsid w:val="002D4456"/>
    <w:rsid w:val="002D51B6"/>
    <w:rsid w:val="002D54EB"/>
    <w:rsid w:val="002D57E1"/>
    <w:rsid w:val="002D5CB7"/>
    <w:rsid w:val="002D600D"/>
    <w:rsid w:val="002D6043"/>
    <w:rsid w:val="002D6328"/>
    <w:rsid w:val="002D64C7"/>
    <w:rsid w:val="002D6529"/>
    <w:rsid w:val="002D6613"/>
    <w:rsid w:val="002D66F8"/>
    <w:rsid w:val="002D6FDC"/>
    <w:rsid w:val="002D728C"/>
    <w:rsid w:val="002D728E"/>
    <w:rsid w:val="002D74E2"/>
    <w:rsid w:val="002D7DF6"/>
    <w:rsid w:val="002E0043"/>
    <w:rsid w:val="002E020F"/>
    <w:rsid w:val="002E09D7"/>
    <w:rsid w:val="002E0D28"/>
    <w:rsid w:val="002E1174"/>
    <w:rsid w:val="002E131C"/>
    <w:rsid w:val="002E1333"/>
    <w:rsid w:val="002E1840"/>
    <w:rsid w:val="002E1C0B"/>
    <w:rsid w:val="002E1DB0"/>
    <w:rsid w:val="002E22F0"/>
    <w:rsid w:val="002E24A0"/>
    <w:rsid w:val="002E260E"/>
    <w:rsid w:val="002E2EC5"/>
    <w:rsid w:val="002E2EEE"/>
    <w:rsid w:val="002E3420"/>
    <w:rsid w:val="002E350F"/>
    <w:rsid w:val="002E3574"/>
    <w:rsid w:val="002E3BFE"/>
    <w:rsid w:val="002E4231"/>
    <w:rsid w:val="002E43EE"/>
    <w:rsid w:val="002E4BF8"/>
    <w:rsid w:val="002E4E4E"/>
    <w:rsid w:val="002E5556"/>
    <w:rsid w:val="002E57FE"/>
    <w:rsid w:val="002E5A2C"/>
    <w:rsid w:val="002E5E8E"/>
    <w:rsid w:val="002E6402"/>
    <w:rsid w:val="002E64F3"/>
    <w:rsid w:val="002E65A9"/>
    <w:rsid w:val="002E6C62"/>
    <w:rsid w:val="002E6EE4"/>
    <w:rsid w:val="002E7343"/>
    <w:rsid w:val="002E7413"/>
    <w:rsid w:val="002E7979"/>
    <w:rsid w:val="002E7B34"/>
    <w:rsid w:val="002F0629"/>
    <w:rsid w:val="002F0A0A"/>
    <w:rsid w:val="002F0D60"/>
    <w:rsid w:val="002F1278"/>
    <w:rsid w:val="002F135B"/>
    <w:rsid w:val="002F16EE"/>
    <w:rsid w:val="002F1D54"/>
    <w:rsid w:val="002F2221"/>
    <w:rsid w:val="002F2644"/>
    <w:rsid w:val="002F2859"/>
    <w:rsid w:val="002F2B1C"/>
    <w:rsid w:val="002F2CD3"/>
    <w:rsid w:val="002F358D"/>
    <w:rsid w:val="002F360E"/>
    <w:rsid w:val="002F374C"/>
    <w:rsid w:val="002F3762"/>
    <w:rsid w:val="002F3945"/>
    <w:rsid w:val="002F3C8C"/>
    <w:rsid w:val="002F3E43"/>
    <w:rsid w:val="002F4274"/>
    <w:rsid w:val="002F4B9C"/>
    <w:rsid w:val="002F5456"/>
    <w:rsid w:val="002F5594"/>
    <w:rsid w:val="002F5780"/>
    <w:rsid w:val="002F5A5D"/>
    <w:rsid w:val="002F5B2B"/>
    <w:rsid w:val="002F5B42"/>
    <w:rsid w:val="002F6157"/>
    <w:rsid w:val="002F61E7"/>
    <w:rsid w:val="002F6436"/>
    <w:rsid w:val="002F6A2F"/>
    <w:rsid w:val="002F6E27"/>
    <w:rsid w:val="002F70FC"/>
    <w:rsid w:val="002F7477"/>
    <w:rsid w:val="002F75E4"/>
    <w:rsid w:val="002F76C5"/>
    <w:rsid w:val="002F7A85"/>
    <w:rsid w:val="002F7C89"/>
    <w:rsid w:val="0030024B"/>
    <w:rsid w:val="00300348"/>
    <w:rsid w:val="00300492"/>
    <w:rsid w:val="00300606"/>
    <w:rsid w:val="00300F4C"/>
    <w:rsid w:val="00300FB5"/>
    <w:rsid w:val="0030115B"/>
    <w:rsid w:val="00301176"/>
    <w:rsid w:val="003011FE"/>
    <w:rsid w:val="003013DE"/>
    <w:rsid w:val="0030143E"/>
    <w:rsid w:val="00301DF0"/>
    <w:rsid w:val="00301EF8"/>
    <w:rsid w:val="003020A4"/>
    <w:rsid w:val="003026AA"/>
    <w:rsid w:val="0030276A"/>
    <w:rsid w:val="00302AB8"/>
    <w:rsid w:val="00303363"/>
    <w:rsid w:val="003033BA"/>
    <w:rsid w:val="0030367D"/>
    <w:rsid w:val="00303AD9"/>
    <w:rsid w:val="00303DF9"/>
    <w:rsid w:val="0030408D"/>
    <w:rsid w:val="003040BB"/>
    <w:rsid w:val="00304724"/>
    <w:rsid w:val="00304BBC"/>
    <w:rsid w:val="00304E04"/>
    <w:rsid w:val="0030529D"/>
    <w:rsid w:val="003052DF"/>
    <w:rsid w:val="00305611"/>
    <w:rsid w:val="0030567A"/>
    <w:rsid w:val="0030577E"/>
    <w:rsid w:val="00305945"/>
    <w:rsid w:val="00305DEE"/>
    <w:rsid w:val="00305E12"/>
    <w:rsid w:val="00305E44"/>
    <w:rsid w:val="00305F78"/>
    <w:rsid w:val="003061DA"/>
    <w:rsid w:val="003061F3"/>
    <w:rsid w:val="003063C6"/>
    <w:rsid w:val="00306522"/>
    <w:rsid w:val="00306527"/>
    <w:rsid w:val="0030692E"/>
    <w:rsid w:val="00306AE8"/>
    <w:rsid w:val="00306E75"/>
    <w:rsid w:val="00307300"/>
    <w:rsid w:val="0030750E"/>
    <w:rsid w:val="00307943"/>
    <w:rsid w:val="00307E8E"/>
    <w:rsid w:val="0031030A"/>
    <w:rsid w:val="0031047D"/>
    <w:rsid w:val="00310608"/>
    <w:rsid w:val="003108D6"/>
    <w:rsid w:val="003108DD"/>
    <w:rsid w:val="00310CCB"/>
    <w:rsid w:val="00311765"/>
    <w:rsid w:val="00311A91"/>
    <w:rsid w:val="003120DF"/>
    <w:rsid w:val="003120E0"/>
    <w:rsid w:val="0031233D"/>
    <w:rsid w:val="0031264E"/>
    <w:rsid w:val="003129ED"/>
    <w:rsid w:val="00312C3D"/>
    <w:rsid w:val="00312C6B"/>
    <w:rsid w:val="00312D69"/>
    <w:rsid w:val="0031387B"/>
    <w:rsid w:val="00313C11"/>
    <w:rsid w:val="00313E29"/>
    <w:rsid w:val="0031403D"/>
    <w:rsid w:val="003143FA"/>
    <w:rsid w:val="003146AD"/>
    <w:rsid w:val="00314D0B"/>
    <w:rsid w:val="003153A3"/>
    <w:rsid w:val="00315411"/>
    <w:rsid w:val="003155CE"/>
    <w:rsid w:val="003156CF"/>
    <w:rsid w:val="0031571A"/>
    <w:rsid w:val="00315747"/>
    <w:rsid w:val="00315942"/>
    <w:rsid w:val="00315B9F"/>
    <w:rsid w:val="00315CCC"/>
    <w:rsid w:val="0031669E"/>
    <w:rsid w:val="00316849"/>
    <w:rsid w:val="00316F5D"/>
    <w:rsid w:val="00317138"/>
    <w:rsid w:val="003171BB"/>
    <w:rsid w:val="00317475"/>
    <w:rsid w:val="00317662"/>
    <w:rsid w:val="00317B02"/>
    <w:rsid w:val="00317B77"/>
    <w:rsid w:val="00317C04"/>
    <w:rsid w:val="00317D6D"/>
    <w:rsid w:val="00317D90"/>
    <w:rsid w:val="0032000B"/>
    <w:rsid w:val="00320152"/>
    <w:rsid w:val="003203A2"/>
    <w:rsid w:val="003205FD"/>
    <w:rsid w:val="0032091C"/>
    <w:rsid w:val="00320A58"/>
    <w:rsid w:val="00320B9B"/>
    <w:rsid w:val="00320BD1"/>
    <w:rsid w:val="0032113C"/>
    <w:rsid w:val="003212D5"/>
    <w:rsid w:val="003215E3"/>
    <w:rsid w:val="003218CF"/>
    <w:rsid w:val="0032190C"/>
    <w:rsid w:val="0032194C"/>
    <w:rsid w:val="0032197D"/>
    <w:rsid w:val="00321A54"/>
    <w:rsid w:val="00321D75"/>
    <w:rsid w:val="00321DEE"/>
    <w:rsid w:val="00322632"/>
    <w:rsid w:val="00322893"/>
    <w:rsid w:val="00322918"/>
    <w:rsid w:val="00322F3F"/>
    <w:rsid w:val="00322F4E"/>
    <w:rsid w:val="003235B5"/>
    <w:rsid w:val="00323BAA"/>
    <w:rsid w:val="00323C03"/>
    <w:rsid w:val="00323F22"/>
    <w:rsid w:val="00324065"/>
    <w:rsid w:val="00324216"/>
    <w:rsid w:val="003243DB"/>
    <w:rsid w:val="003244B3"/>
    <w:rsid w:val="0032455A"/>
    <w:rsid w:val="00324959"/>
    <w:rsid w:val="003249EC"/>
    <w:rsid w:val="00324C1C"/>
    <w:rsid w:val="00324C9F"/>
    <w:rsid w:val="003251CF"/>
    <w:rsid w:val="00326016"/>
    <w:rsid w:val="003262CC"/>
    <w:rsid w:val="003264E5"/>
    <w:rsid w:val="00326772"/>
    <w:rsid w:val="00326F4E"/>
    <w:rsid w:val="0032706E"/>
    <w:rsid w:val="003273B5"/>
    <w:rsid w:val="00327AD4"/>
    <w:rsid w:val="00327B98"/>
    <w:rsid w:val="00330147"/>
    <w:rsid w:val="003305AC"/>
    <w:rsid w:val="003308C6"/>
    <w:rsid w:val="0033140B"/>
    <w:rsid w:val="00331673"/>
    <w:rsid w:val="00331717"/>
    <w:rsid w:val="003319B3"/>
    <w:rsid w:val="00332354"/>
    <w:rsid w:val="003325B3"/>
    <w:rsid w:val="00332A1B"/>
    <w:rsid w:val="00332A87"/>
    <w:rsid w:val="003331B2"/>
    <w:rsid w:val="00333696"/>
    <w:rsid w:val="00334094"/>
    <w:rsid w:val="00334314"/>
    <w:rsid w:val="00334A3E"/>
    <w:rsid w:val="00334B78"/>
    <w:rsid w:val="0033553B"/>
    <w:rsid w:val="0033553D"/>
    <w:rsid w:val="003357E1"/>
    <w:rsid w:val="00335894"/>
    <w:rsid w:val="0033656D"/>
    <w:rsid w:val="00336716"/>
    <w:rsid w:val="00336D9D"/>
    <w:rsid w:val="00337042"/>
    <w:rsid w:val="00337378"/>
    <w:rsid w:val="003374D5"/>
    <w:rsid w:val="00337915"/>
    <w:rsid w:val="00337C28"/>
    <w:rsid w:val="00337C62"/>
    <w:rsid w:val="00337F71"/>
    <w:rsid w:val="003401A7"/>
    <w:rsid w:val="003401AA"/>
    <w:rsid w:val="00340DF0"/>
    <w:rsid w:val="0034151D"/>
    <w:rsid w:val="0034179F"/>
    <w:rsid w:val="00341E34"/>
    <w:rsid w:val="00341F0C"/>
    <w:rsid w:val="00341F5E"/>
    <w:rsid w:val="00342245"/>
    <w:rsid w:val="003427AE"/>
    <w:rsid w:val="00342F1E"/>
    <w:rsid w:val="00342FA0"/>
    <w:rsid w:val="003430BF"/>
    <w:rsid w:val="003432EA"/>
    <w:rsid w:val="00343956"/>
    <w:rsid w:val="00343BF6"/>
    <w:rsid w:val="00343BF9"/>
    <w:rsid w:val="00343D28"/>
    <w:rsid w:val="0034407E"/>
    <w:rsid w:val="0034412A"/>
    <w:rsid w:val="00344181"/>
    <w:rsid w:val="003442D1"/>
    <w:rsid w:val="00344BCA"/>
    <w:rsid w:val="00344BF0"/>
    <w:rsid w:val="00345297"/>
    <w:rsid w:val="0034570E"/>
    <w:rsid w:val="00345807"/>
    <w:rsid w:val="00345B3D"/>
    <w:rsid w:val="00345B61"/>
    <w:rsid w:val="00346200"/>
    <w:rsid w:val="003462B4"/>
    <w:rsid w:val="003462F0"/>
    <w:rsid w:val="003464C2"/>
    <w:rsid w:val="003464D5"/>
    <w:rsid w:val="003466C1"/>
    <w:rsid w:val="0034696F"/>
    <w:rsid w:val="00346E50"/>
    <w:rsid w:val="00346E74"/>
    <w:rsid w:val="003472CE"/>
    <w:rsid w:val="0034731D"/>
    <w:rsid w:val="00347455"/>
    <w:rsid w:val="00347602"/>
    <w:rsid w:val="0034765F"/>
    <w:rsid w:val="003476A9"/>
    <w:rsid w:val="0034773B"/>
    <w:rsid w:val="003500BF"/>
    <w:rsid w:val="00350AAA"/>
    <w:rsid w:val="00350D4C"/>
    <w:rsid w:val="00351777"/>
    <w:rsid w:val="00351CC2"/>
    <w:rsid w:val="003520CF"/>
    <w:rsid w:val="00352EB7"/>
    <w:rsid w:val="003530B1"/>
    <w:rsid w:val="00353555"/>
    <w:rsid w:val="003543DE"/>
    <w:rsid w:val="00354455"/>
    <w:rsid w:val="00354AD5"/>
    <w:rsid w:val="00354DB4"/>
    <w:rsid w:val="00354FA1"/>
    <w:rsid w:val="00355542"/>
    <w:rsid w:val="00356747"/>
    <w:rsid w:val="00356808"/>
    <w:rsid w:val="00356A81"/>
    <w:rsid w:val="00356C70"/>
    <w:rsid w:val="00356D47"/>
    <w:rsid w:val="003570D3"/>
    <w:rsid w:val="00357326"/>
    <w:rsid w:val="0036045B"/>
    <w:rsid w:val="00360AD4"/>
    <w:rsid w:val="00361504"/>
    <w:rsid w:val="00361A99"/>
    <w:rsid w:val="00361AD1"/>
    <w:rsid w:val="00362185"/>
    <w:rsid w:val="00362363"/>
    <w:rsid w:val="00362E30"/>
    <w:rsid w:val="00362E86"/>
    <w:rsid w:val="00362F5C"/>
    <w:rsid w:val="003637C4"/>
    <w:rsid w:val="003638A2"/>
    <w:rsid w:val="00363B71"/>
    <w:rsid w:val="0036411A"/>
    <w:rsid w:val="00364146"/>
    <w:rsid w:val="003642D6"/>
    <w:rsid w:val="003646EE"/>
    <w:rsid w:val="00364862"/>
    <w:rsid w:val="00364B2F"/>
    <w:rsid w:val="00364D2D"/>
    <w:rsid w:val="00364FBB"/>
    <w:rsid w:val="00365440"/>
    <w:rsid w:val="00365576"/>
    <w:rsid w:val="0036562B"/>
    <w:rsid w:val="00365C99"/>
    <w:rsid w:val="00365E14"/>
    <w:rsid w:val="00365E1A"/>
    <w:rsid w:val="00366034"/>
    <w:rsid w:val="0036625E"/>
    <w:rsid w:val="00366451"/>
    <w:rsid w:val="0036660E"/>
    <w:rsid w:val="00366BAA"/>
    <w:rsid w:val="00366BEC"/>
    <w:rsid w:val="00366E42"/>
    <w:rsid w:val="003670CF"/>
    <w:rsid w:val="00367531"/>
    <w:rsid w:val="00367894"/>
    <w:rsid w:val="00367989"/>
    <w:rsid w:val="00367B2D"/>
    <w:rsid w:val="00367DA7"/>
    <w:rsid w:val="003703CC"/>
    <w:rsid w:val="00370992"/>
    <w:rsid w:val="00370B08"/>
    <w:rsid w:val="00370C3C"/>
    <w:rsid w:val="00370F82"/>
    <w:rsid w:val="003712BD"/>
    <w:rsid w:val="0037174C"/>
    <w:rsid w:val="00371845"/>
    <w:rsid w:val="00371872"/>
    <w:rsid w:val="00371CEC"/>
    <w:rsid w:val="00372131"/>
    <w:rsid w:val="003729E0"/>
    <w:rsid w:val="00372E64"/>
    <w:rsid w:val="00373147"/>
    <w:rsid w:val="00374676"/>
    <w:rsid w:val="00375411"/>
    <w:rsid w:val="0037547D"/>
    <w:rsid w:val="00375736"/>
    <w:rsid w:val="00375AF2"/>
    <w:rsid w:val="00375B5C"/>
    <w:rsid w:val="00375F84"/>
    <w:rsid w:val="003763D1"/>
    <w:rsid w:val="003765BF"/>
    <w:rsid w:val="0037677A"/>
    <w:rsid w:val="00377050"/>
    <w:rsid w:val="00377360"/>
    <w:rsid w:val="00377735"/>
    <w:rsid w:val="00377929"/>
    <w:rsid w:val="003801F6"/>
    <w:rsid w:val="00380781"/>
    <w:rsid w:val="00380A22"/>
    <w:rsid w:val="00380A3B"/>
    <w:rsid w:val="00380C93"/>
    <w:rsid w:val="0038139B"/>
    <w:rsid w:val="003815A7"/>
    <w:rsid w:val="00381850"/>
    <w:rsid w:val="00381981"/>
    <w:rsid w:val="00381B98"/>
    <w:rsid w:val="00381CBA"/>
    <w:rsid w:val="00381EF1"/>
    <w:rsid w:val="00381F10"/>
    <w:rsid w:val="00382398"/>
    <w:rsid w:val="0038283B"/>
    <w:rsid w:val="00382BD6"/>
    <w:rsid w:val="0038363A"/>
    <w:rsid w:val="00383900"/>
    <w:rsid w:val="00383F9B"/>
    <w:rsid w:val="00383FB4"/>
    <w:rsid w:val="003841E1"/>
    <w:rsid w:val="0038420D"/>
    <w:rsid w:val="0038535C"/>
    <w:rsid w:val="0038538D"/>
    <w:rsid w:val="003854FE"/>
    <w:rsid w:val="0038553E"/>
    <w:rsid w:val="00385C0F"/>
    <w:rsid w:val="00385FB5"/>
    <w:rsid w:val="00386046"/>
    <w:rsid w:val="003862FB"/>
    <w:rsid w:val="00386329"/>
    <w:rsid w:val="003868D4"/>
    <w:rsid w:val="00386EF7"/>
    <w:rsid w:val="003870DD"/>
    <w:rsid w:val="003870FE"/>
    <w:rsid w:val="003873A6"/>
    <w:rsid w:val="00387869"/>
    <w:rsid w:val="003878B2"/>
    <w:rsid w:val="00387C7C"/>
    <w:rsid w:val="00387CFC"/>
    <w:rsid w:val="00390153"/>
    <w:rsid w:val="00390164"/>
    <w:rsid w:val="00390505"/>
    <w:rsid w:val="0039079F"/>
    <w:rsid w:val="003909DC"/>
    <w:rsid w:val="00390AF4"/>
    <w:rsid w:val="00391041"/>
    <w:rsid w:val="00391187"/>
    <w:rsid w:val="003912AE"/>
    <w:rsid w:val="003913E2"/>
    <w:rsid w:val="00391659"/>
    <w:rsid w:val="00391A2E"/>
    <w:rsid w:val="00391A9F"/>
    <w:rsid w:val="00391EDC"/>
    <w:rsid w:val="0039236E"/>
    <w:rsid w:val="003928C8"/>
    <w:rsid w:val="003932CF"/>
    <w:rsid w:val="00393839"/>
    <w:rsid w:val="00393FE3"/>
    <w:rsid w:val="00393FEF"/>
    <w:rsid w:val="0039403F"/>
    <w:rsid w:val="0039463E"/>
    <w:rsid w:val="00394B04"/>
    <w:rsid w:val="00395420"/>
    <w:rsid w:val="00395D5C"/>
    <w:rsid w:val="00395D61"/>
    <w:rsid w:val="00395DC6"/>
    <w:rsid w:val="0039655F"/>
    <w:rsid w:val="00396DB9"/>
    <w:rsid w:val="00396DE7"/>
    <w:rsid w:val="003975DD"/>
    <w:rsid w:val="00397770"/>
    <w:rsid w:val="003A0DA8"/>
    <w:rsid w:val="003A10A0"/>
    <w:rsid w:val="003A198F"/>
    <w:rsid w:val="003A19EC"/>
    <w:rsid w:val="003A1A3A"/>
    <w:rsid w:val="003A1F9B"/>
    <w:rsid w:val="003A2013"/>
    <w:rsid w:val="003A2293"/>
    <w:rsid w:val="003A22E8"/>
    <w:rsid w:val="003A2372"/>
    <w:rsid w:val="003A275E"/>
    <w:rsid w:val="003A2BF1"/>
    <w:rsid w:val="003A2C0E"/>
    <w:rsid w:val="003A2E92"/>
    <w:rsid w:val="003A2FFD"/>
    <w:rsid w:val="003A3233"/>
    <w:rsid w:val="003A352B"/>
    <w:rsid w:val="003A370E"/>
    <w:rsid w:val="003A37E5"/>
    <w:rsid w:val="003A3B5C"/>
    <w:rsid w:val="003A49ED"/>
    <w:rsid w:val="003A4C5F"/>
    <w:rsid w:val="003A4F98"/>
    <w:rsid w:val="003A5179"/>
    <w:rsid w:val="003A5504"/>
    <w:rsid w:val="003A56D4"/>
    <w:rsid w:val="003A577C"/>
    <w:rsid w:val="003A5B68"/>
    <w:rsid w:val="003A5D8F"/>
    <w:rsid w:val="003A5F90"/>
    <w:rsid w:val="003A60A0"/>
    <w:rsid w:val="003A6586"/>
    <w:rsid w:val="003A65D0"/>
    <w:rsid w:val="003A65F4"/>
    <w:rsid w:val="003A7419"/>
    <w:rsid w:val="003A74B7"/>
    <w:rsid w:val="003A75A1"/>
    <w:rsid w:val="003A7722"/>
    <w:rsid w:val="003A7E53"/>
    <w:rsid w:val="003B08C1"/>
    <w:rsid w:val="003B0ADA"/>
    <w:rsid w:val="003B0FB7"/>
    <w:rsid w:val="003B1326"/>
    <w:rsid w:val="003B180E"/>
    <w:rsid w:val="003B19C9"/>
    <w:rsid w:val="003B2436"/>
    <w:rsid w:val="003B246E"/>
    <w:rsid w:val="003B2F26"/>
    <w:rsid w:val="003B33C2"/>
    <w:rsid w:val="003B3933"/>
    <w:rsid w:val="003B39F2"/>
    <w:rsid w:val="003B3C4A"/>
    <w:rsid w:val="003B40D1"/>
    <w:rsid w:val="003B47F2"/>
    <w:rsid w:val="003B4AA2"/>
    <w:rsid w:val="003B4D95"/>
    <w:rsid w:val="003B4EEA"/>
    <w:rsid w:val="003B50AF"/>
    <w:rsid w:val="003B5131"/>
    <w:rsid w:val="003B57E7"/>
    <w:rsid w:val="003B5E2B"/>
    <w:rsid w:val="003B5E80"/>
    <w:rsid w:val="003B5ECB"/>
    <w:rsid w:val="003B619D"/>
    <w:rsid w:val="003B64BC"/>
    <w:rsid w:val="003B6A9A"/>
    <w:rsid w:val="003B6BC1"/>
    <w:rsid w:val="003B6CC0"/>
    <w:rsid w:val="003B775D"/>
    <w:rsid w:val="003B7B70"/>
    <w:rsid w:val="003B7D0D"/>
    <w:rsid w:val="003B7D47"/>
    <w:rsid w:val="003C03C8"/>
    <w:rsid w:val="003C096A"/>
    <w:rsid w:val="003C0C66"/>
    <w:rsid w:val="003C0D1F"/>
    <w:rsid w:val="003C0F3A"/>
    <w:rsid w:val="003C1950"/>
    <w:rsid w:val="003C1BCB"/>
    <w:rsid w:val="003C1CF2"/>
    <w:rsid w:val="003C23DA"/>
    <w:rsid w:val="003C243C"/>
    <w:rsid w:val="003C269F"/>
    <w:rsid w:val="003C30E9"/>
    <w:rsid w:val="003C312D"/>
    <w:rsid w:val="003C321E"/>
    <w:rsid w:val="003C33D9"/>
    <w:rsid w:val="003C3848"/>
    <w:rsid w:val="003C38E9"/>
    <w:rsid w:val="003C464C"/>
    <w:rsid w:val="003C482F"/>
    <w:rsid w:val="003C4B13"/>
    <w:rsid w:val="003C4F08"/>
    <w:rsid w:val="003C57E9"/>
    <w:rsid w:val="003C5CFE"/>
    <w:rsid w:val="003C6414"/>
    <w:rsid w:val="003C64F0"/>
    <w:rsid w:val="003C66B2"/>
    <w:rsid w:val="003C6F10"/>
    <w:rsid w:val="003C7187"/>
    <w:rsid w:val="003C7C02"/>
    <w:rsid w:val="003D0AF2"/>
    <w:rsid w:val="003D0C2C"/>
    <w:rsid w:val="003D0E09"/>
    <w:rsid w:val="003D0E11"/>
    <w:rsid w:val="003D0E14"/>
    <w:rsid w:val="003D1041"/>
    <w:rsid w:val="003D145E"/>
    <w:rsid w:val="003D14D9"/>
    <w:rsid w:val="003D1D64"/>
    <w:rsid w:val="003D261E"/>
    <w:rsid w:val="003D2AFA"/>
    <w:rsid w:val="003D2B4D"/>
    <w:rsid w:val="003D30F2"/>
    <w:rsid w:val="003D40C5"/>
    <w:rsid w:val="003D4399"/>
    <w:rsid w:val="003D43AA"/>
    <w:rsid w:val="003D494B"/>
    <w:rsid w:val="003D4CCE"/>
    <w:rsid w:val="003D4FA2"/>
    <w:rsid w:val="003D502D"/>
    <w:rsid w:val="003D50EB"/>
    <w:rsid w:val="003D5E8B"/>
    <w:rsid w:val="003D5FB3"/>
    <w:rsid w:val="003D6A98"/>
    <w:rsid w:val="003D6AC6"/>
    <w:rsid w:val="003D6C54"/>
    <w:rsid w:val="003D6CBE"/>
    <w:rsid w:val="003D6E8A"/>
    <w:rsid w:val="003D73C9"/>
    <w:rsid w:val="003D77B3"/>
    <w:rsid w:val="003D7802"/>
    <w:rsid w:val="003D7E86"/>
    <w:rsid w:val="003E0256"/>
    <w:rsid w:val="003E0980"/>
    <w:rsid w:val="003E09F2"/>
    <w:rsid w:val="003E0C41"/>
    <w:rsid w:val="003E0DAF"/>
    <w:rsid w:val="003E1095"/>
    <w:rsid w:val="003E115F"/>
    <w:rsid w:val="003E25D1"/>
    <w:rsid w:val="003E267E"/>
    <w:rsid w:val="003E27E3"/>
    <w:rsid w:val="003E2A61"/>
    <w:rsid w:val="003E2CD8"/>
    <w:rsid w:val="003E2EDB"/>
    <w:rsid w:val="003E35A3"/>
    <w:rsid w:val="003E3B45"/>
    <w:rsid w:val="003E3C94"/>
    <w:rsid w:val="003E441D"/>
    <w:rsid w:val="003E4685"/>
    <w:rsid w:val="003E4BBD"/>
    <w:rsid w:val="003E526A"/>
    <w:rsid w:val="003E5628"/>
    <w:rsid w:val="003E5947"/>
    <w:rsid w:val="003E59F4"/>
    <w:rsid w:val="003E5AC1"/>
    <w:rsid w:val="003E5D8B"/>
    <w:rsid w:val="003E5F81"/>
    <w:rsid w:val="003E64F0"/>
    <w:rsid w:val="003E6589"/>
    <w:rsid w:val="003E6657"/>
    <w:rsid w:val="003E67E7"/>
    <w:rsid w:val="003E6801"/>
    <w:rsid w:val="003E68AB"/>
    <w:rsid w:val="003E6B4C"/>
    <w:rsid w:val="003E6D7C"/>
    <w:rsid w:val="003E6D7D"/>
    <w:rsid w:val="003E6E2B"/>
    <w:rsid w:val="003E6E76"/>
    <w:rsid w:val="003E7157"/>
    <w:rsid w:val="003E7D23"/>
    <w:rsid w:val="003F02D4"/>
    <w:rsid w:val="003F0660"/>
    <w:rsid w:val="003F067A"/>
    <w:rsid w:val="003F0829"/>
    <w:rsid w:val="003F0ECB"/>
    <w:rsid w:val="003F104F"/>
    <w:rsid w:val="003F135F"/>
    <w:rsid w:val="003F1954"/>
    <w:rsid w:val="003F1992"/>
    <w:rsid w:val="003F1A29"/>
    <w:rsid w:val="003F1C12"/>
    <w:rsid w:val="003F1DF3"/>
    <w:rsid w:val="003F259B"/>
    <w:rsid w:val="003F272A"/>
    <w:rsid w:val="003F290D"/>
    <w:rsid w:val="003F2C09"/>
    <w:rsid w:val="003F2ED8"/>
    <w:rsid w:val="003F32F4"/>
    <w:rsid w:val="003F35A8"/>
    <w:rsid w:val="003F38E3"/>
    <w:rsid w:val="003F38F2"/>
    <w:rsid w:val="003F3F08"/>
    <w:rsid w:val="003F4080"/>
    <w:rsid w:val="003F423B"/>
    <w:rsid w:val="003F423F"/>
    <w:rsid w:val="003F4255"/>
    <w:rsid w:val="003F428E"/>
    <w:rsid w:val="003F4528"/>
    <w:rsid w:val="003F452D"/>
    <w:rsid w:val="003F53D7"/>
    <w:rsid w:val="003F5440"/>
    <w:rsid w:val="003F55FF"/>
    <w:rsid w:val="003F5754"/>
    <w:rsid w:val="003F5774"/>
    <w:rsid w:val="003F5B4A"/>
    <w:rsid w:val="003F5D56"/>
    <w:rsid w:val="003F6B27"/>
    <w:rsid w:val="003F6F43"/>
    <w:rsid w:val="003F6F6B"/>
    <w:rsid w:val="003F701E"/>
    <w:rsid w:val="003F74A4"/>
    <w:rsid w:val="003F75C9"/>
    <w:rsid w:val="003F7729"/>
    <w:rsid w:val="003F78BE"/>
    <w:rsid w:val="003F7D9E"/>
    <w:rsid w:val="003F7DBA"/>
    <w:rsid w:val="00400064"/>
    <w:rsid w:val="004000ED"/>
    <w:rsid w:val="00400A0D"/>
    <w:rsid w:val="00400AE2"/>
    <w:rsid w:val="00400B23"/>
    <w:rsid w:val="00400D6F"/>
    <w:rsid w:val="00400DE7"/>
    <w:rsid w:val="00400DEF"/>
    <w:rsid w:val="00400FEC"/>
    <w:rsid w:val="004012AA"/>
    <w:rsid w:val="004012C9"/>
    <w:rsid w:val="004012CD"/>
    <w:rsid w:val="00401813"/>
    <w:rsid w:val="00401BBF"/>
    <w:rsid w:val="004021F8"/>
    <w:rsid w:val="0040239D"/>
    <w:rsid w:val="0040242E"/>
    <w:rsid w:val="00402662"/>
    <w:rsid w:val="00402B4C"/>
    <w:rsid w:val="00402BEF"/>
    <w:rsid w:val="00402E44"/>
    <w:rsid w:val="00403425"/>
    <w:rsid w:val="00403475"/>
    <w:rsid w:val="00403BCE"/>
    <w:rsid w:val="00403CA9"/>
    <w:rsid w:val="0040401F"/>
    <w:rsid w:val="004041F3"/>
    <w:rsid w:val="00404571"/>
    <w:rsid w:val="00404656"/>
    <w:rsid w:val="0040470E"/>
    <w:rsid w:val="00404772"/>
    <w:rsid w:val="00404A00"/>
    <w:rsid w:val="00404DDB"/>
    <w:rsid w:val="00405016"/>
    <w:rsid w:val="00405510"/>
    <w:rsid w:val="00405757"/>
    <w:rsid w:val="004059D4"/>
    <w:rsid w:val="004060CD"/>
    <w:rsid w:val="004061B4"/>
    <w:rsid w:val="0040637D"/>
    <w:rsid w:val="004063E7"/>
    <w:rsid w:val="004064EA"/>
    <w:rsid w:val="00406631"/>
    <w:rsid w:val="0040678C"/>
    <w:rsid w:val="00406B08"/>
    <w:rsid w:val="00406C73"/>
    <w:rsid w:val="00406FF2"/>
    <w:rsid w:val="004071E5"/>
    <w:rsid w:val="00407525"/>
    <w:rsid w:val="00407951"/>
    <w:rsid w:val="00407B0C"/>
    <w:rsid w:val="00410055"/>
    <w:rsid w:val="00410A3C"/>
    <w:rsid w:val="00410B1E"/>
    <w:rsid w:val="00410DFE"/>
    <w:rsid w:val="00411079"/>
    <w:rsid w:val="0041139E"/>
    <w:rsid w:val="00411852"/>
    <w:rsid w:val="004126E4"/>
    <w:rsid w:val="00412A0E"/>
    <w:rsid w:val="00412A99"/>
    <w:rsid w:val="00412B02"/>
    <w:rsid w:val="00412E81"/>
    <w:rsid w:val="00413753"/>
    <w:rsid w:val="00413BCE"/>
    <w:rsid w:val="00414816"/>
    <w:rsid w:val="00414B1E"/>
    <w:rsid w:val="00414C84"/>
    <w:rsid w:val="0041503B"/>
    <w:rsid w:val="0041507D"/>
    <w:rsid w:val="0041547B"/>
    <w:rsid w:val="00415B4B"/>
    <w:rsid w:val="0041637B"/>
    <w:rsid w:val="00416825"/>
    <w:rsid w:val="00417386"/>
    <w:rsid w:val="00417491"/>
    <w:rsid w:val="00417B6E"/>
    <w:rsid w:val="00417EA7"/>
    <w:rsid w:val="00420112"/>
    <w:rsid w:val="00420741"/>
    <w:rsid w:val="004208E9"/>
    <w:rsid w:val="00420961"/>
    <w:rsid w:val="004209C3"/>
    <w:rsid w:val="00420A57"/>
    <w:rsid w:val="00420B02"/>
    <w:rsid w:val="00420B21"/>
    <w:rsid w:val="00421DF7"/>
    <w:rsid w:val="00422003"/>
    <w:rsid w:val="0042264E"/>
    <w:rsid w:val="0042298E"/>
    <w:rsid w:val="004229BB"/>
    <w:rsid w:val="00423016"/>
    <w:rsid w:val="00424001"/>
    <w:rsid w:val="0042477C"/>
    <w:rsid w:val="004249DF"/>
    <w:rsid w:val="00424A52"/>
    <w:rsid w:val="00424AAE"/>
    <w:rsid w:val="0042547C"/>
    <w:rsid w:val="00425597"/>
    <w:rsid w:val="0042595A"/>
    <w:rsid w:val="00425A3C"/>
    <w:rsid w:val="00425AEC"/>
    <w:rsid w:val="0042605C"/>
    <w:rsid w:val="0042613C"/>
    <w:rsid w:val="0042615F"/>
    <w:rsid w:val="00430953"/>
    <w:rsid w:val="00430A2A"/>
    <w:rsid w:val="00430ED6"/>
    <w:rsid w:val="00430F5B"/>
    <w:rsid w:val="00431019"/>
    <w:rsid w:val="004312B9"/>
    <w:rsid w:val="00431581"/>
    <w:rsid w:val="004316D5"/>
    <w:rsid w:val="0043170A"/>
    <w:rsid w:val="00431DC2"/>
    <w:rsid w:val="00431E7C"/>
    <w:rsid w:val="00431FB8"/>
    <w:rsid w:val="004328ED"/>
    <w:rsid w:val="00432908"/>
    <w:rsid w:val="00432A8C"/>
    <w:rsid w:val="00432BAE"/>
    <w:rsid w:val="00432E1C"/>
    <w:rsid w:val="00432F08"/>
    <w:rsid w:val="004331C4"/>
    <w:rsid w:val="004333E6"/>
    <w:rsid w:val="004335E2"/>
    <w:rsid w:val="004336A2"/>
    <w:rsid w:val="00433A75"/>
    <w:rsid w:val="00433DBE"/>
    <w:rsid w:val="00434559"/>
    <w:rsid w:val="00434B87"/>
    <w:rsid w:val="00434FE1"/>
    <w:rsid w:val="004351DF"/>
    <w:rsid w:val="0043520A"/>
    <w:rsid w:val="0043534F"/>
    <w:rsid w:val="00435386"/>
    <w:rsid w:val="00435590"/>
    <w:rsid w:val="0043592A"/>
    <w:rsid w:val="00435A96"/>
    <w:rsid w:val="00435BBB"/>
    <w:rsid w:val="00435C60"/>
    <w:rsid w:val="004364A7"/>
    <w:rsid w:val="0043669A"/>
    <w:rsid w:val="00436B8A"/>
    <w:rsid w:val="00436EBA"/>
    <w:rsid w:val="00436F9D"/>
    <w:rsid w:val="00437270"/>
    <w:rsid w:val="004378B3"/>
    <w:rsid w:val="004407FE"/>
    <w:rsid w:val="004409A0"/>
    <w:rsid w:val="00440C24"/>
    <w:rsid w:val="00440C91"/>
    <w:rsid w:val="0044140C"/>
    <w:rsid w:val="0044140E"/>
    <w:rsid w:val="00441FF3"/>
    <w:rsid w:val="00442583"/>
    <w:rsid w:val="00442649"/>
    <w:rsid w:val="004426D3"/>
    <w:rsid w:val="00442C8F"/>
    <w:rsid w:val="00442EF8"/>
    <w:rsid w:val="00443385"/>
    <w:rsid w:val="00443681"/>
    <w:rsid w:val="004436CB"/>
    <w:rsid w:val="004437F7"/>
    <w:rsid w:val="00443A2C"/>
    <w:rsid w:val="00443B34"/>
    <w:rsid w:val="004441E9"/>
    <w:rsid w:val="004443D0"/>
    <w:rsid w:val="00444B19"/>
    <w:rsid w:val="0044521C"/>
    <w:rsid w:val="004459FF"/>
    <w:rsid w:val="00445AAB"/>
    <w:rsid w:val="00445BF2"/>
    <w:rsid w:val="00445D66"/>
    <w:rsid w:val="00446143"/>
    <w:rsid w:val="00446644"/>
    <w:rsid w:val="004479C5"/>
    <w:rsid w:val="00450008"/>
    <w:rsid w:val="0045002D"/>
    <w:rsid w:val="00450865"/>
    <w:rsid w:val="00450CAC"/>
    <w:rsid w:val="00450E6A"/>
    <w:rsid w:val="00450FA5"/>
    <w:rsid w:val="00450FF6"/>
    <w:rsid w:val="0045120C"/>
    <w:rsid w:val="00451319"/>
    <w:rsid w:val="004516E7"/>
    <w:rsid w:val="004519D3"/>
    <w:rsid w:val="004519D5"/>
    <w:rsid w:val="00451B3D"/>
    <w:rsid w:val="00451B71"/>
    <w:rsid w:val="00452874"/>
    <w:rsid w:val="00452F69"/>
    <w:rsid w:val="00453038"/>
    <w:rsid w:val="00453639"/>
    <w:rsid w:val="00453A31"/>
    <w:rsid w:val="00453D74"/>
    <w:rsid w:val="0045404E"/>
    <w:rsid w:val="004540A1"/>
    <w:rsid w:val="004540FA"/>
    <w:rsid w:val="004541F0"/>
    <w:rsid w:val="004546EB"/>
    <w:rsid w:val="00454725"/>
    <w:rsid w:val="0045472E"/>
    <w:rsid w:val="00454837"/>
    <w:rsid w:val="004549BB"/>
    <w:rsid w:val="00454BA5"/>
    <w:rsid w:val="0045501E"/>
    <w:rsid w:val="004550AB"/>
    <w:rsid w:val="00455753"/>
    <w:rsid w:val="00455947"/>
    <w:rsid w:val="004564C1"/>
    <w:rsid w:val="00456864"/>
    <w:rsid w:val="004568BF"/>
    <w:rsid w:val="0045697E"/>
    <w:rsid w:val="004569E2"/>
    <w:rsid w:val="00457721"/>
    <w:rsid w:val="004577F8"/>
    <w:rsid w:val="0045796C"/>
    <w:rsid w:val="00457A9B"/>
    <w:rsid w:val="00457D4C"/>
    <w:rsid w:val="00457E4A"/>
    <w:rsid w:val="0046030F"/>
    <w:rsid w:val="00460511"/>
    <w:rsid w:val="004606ED"/>
    <w:rsid w:val="0046085B"/>
    <w:rsid w:val="0046088D"/>
    <w:rsid w:val="00460921"/>
    <w:rsid w:val="00460A27"/>
    <w:rsid w:val="00460E74"/>
    <w:rsid w:val="004611D5"/>
    <w:rsid w:val="004612FC"/>
    <w:rsid w:val="004614B0"/>
    <w:rsid w:val="00462059"/>
    <w:rsid w:val="00462226"/>
    <w:rsid w:val="004629C9"/>
    <w:rsid w:val="00462B4A"/>
    <w:rsid w:val="00462FED"/>
    <w:rsid w:val="004631BE"/>
    <w:rsid w:val="0046331E"/>
    <w:rsid w:val="004633FF"/>
    <w:rsid w:val="0046341F"/>
    <w:rsid w:val="0046382D"/>
    <w:rsid w:val="00463860"/>
    <w:rsid w:val="00463DBB"/>
    <w:rsid w:val="00463E11"/>
    <w:rsid w:val="004642B9"/>
    <w:rsid w:val="00464846"/>
    <w:rsid w:val="00464AFF"/>
    <w:rsid w:val="004651C0"/>
    <w:rsid w:val="00465510"/>
    <w:rsid w:val="00465A1F"/>
    <w:rsid w:val="00465AEB"/>
    <w:rsid w:val="00465BCD"/>
    <w:rsid w:val="00465C14"/>
    <w:rsid w:val="00465E77"/>
    <w:rsid w:val="004665F2"/>
    <w:rsid w:val="004668EB"/>
    <w:rsid w:val="0046701D"/>
    <w:rsid w:val="004670DC"/>
    <w:rsid w:val="004672AF"/>
    <w:rsid w:val="004673A8"/>
    <w:rsid w:val="004673AB"/>
    <w:rsid w:val="00467664"/>
    <w:rsid w:val="00467CF8"/>
    <w:rsid w:val="00467E2E"/>
    <w:rsid w:val="00467EA8"/>
    <w:rsid w:val="00467EDB"/>
    <w:rsid w:val="004700D3"/>
    <w:rsid w:val="004701EE"/>
    <w:rsid w:val="004702C5"/>
    <w:rsid w:val="004704C9"/>
    <w:rsid w:val="004708A6"/>
    <w:rsid w:val="00470D99"/>
    <w:rsid w:val="00470ECE"/>
    <w:rsid w:val="0047106B"/>
    <w:rsid w:val="004710E5"/>
    <w:rsid w:val="00471146"/>
    <w:rsid w:val="0047122D"/>
    <w:rsid w:val="00471829"/>
    <w:rsid w:val="00471F44"/>
    <w:rsid w:val="004726A0"/>
    <w:rsid w:val="004728FA"/>
    <w:rsid w:val="00472BF0"/>
    <w:rsid w:val="004730F0"/>
    <w:rsid w:val="004734A0"/>
    <w:rsid w:val="004737AE"/>
    <w:rsid w:val="00473B38"/>
    <w:rsid w:val="004742CD"/>
    <w:rsid w:val="00474510"/>
    <w:rsid w:val="004745B9"/>
    <w:rsid w:val="00474632"/>
    <w:rsid w:val="00474A0F"/>
    <w:rsid w:val="00474AE9"/>
    <w:rsid w:val="004752AE"/>
    <w:rsid w:val="0047567E"/>
    <w:rsid w:val="0047574D"/>
    <w:rsid w:val="0047588B"/>
    <w:rsid w:val="00475B49"/>
    <w:rsid w:val="00475C67"/>
    <w:rsid w:val="00475F4A"/>
    <w:rsid w:val="00475FA5"/>
    <w:rsid w:val="0047627B"/>
    <w:rsid w:val="0047637C"/>
    <w:rsid w:val="00476AC5"/>
    <w:rsid w:val="00476C21"/>
    <w:rsid w:val="00476D24"/>
    <w:rsid w:val="004771ED"/>
    <w:rsid w:val="004775F4"/>
    <w:rsid w:val="004777D5"/>
    <w:rsid w:val="00477AC1"/>
    <w:rsid w:val="00477C10"/>
    <w:rsid w:val="00477CE9"/>
    <w:rsid w:val="00477F76"/>
    <w:rsid w:val="00480078"/>
    <w:rsid w:val="0048087D"/>
    <w:rsid w:val="0048123A"/>
    <w:rsid w:val="004813A2"/>
    <w:rsid w:val="00481619"/>
    <w:rsid w:val="00481743"/>
    <w:rsid w:val="004817A0"/>
    <w:rsid w:val="00481E08"/>
    <w:rsid w:val="00481EEC"/>
    <w:rsid w:val="00482138"/>
    <w:rsid w:val="00482668"/>
    <w:rsid w:val="00482885"/>
    <w:rsid w:val="00482FD3"/>
    <w:rsid w:val="004833AF"/>
    <w:rsid w:val="00483414"/>
    <w:rsid w:val="00483737"/>
    <w:rsid w:val="004838A4"/>
    <w:rsid w:val="0048397D"/>
    <w:rsid w:val="00483A58"/>
    <w:rsid w:val="00483ABB"/>
    <w:rsid w:val="00483B4B"/>
    <w:rsid w:val="00483D03"/>
    <w:rsid w:val="00483F59"/>
    <w:rsid w:val="00484252"/>
    <w:rsid w:val="00484477"/>
    <w:rsid w:val="0048473B"/>
    <w:rsid w:val="00486093"/>
    <w:rsid w:val="00486243"/>
    <w:rsid w:val="004864AC"/>
    <w:rsid w:val="004866AB"/>
    <w:rsid w:val="004866EF"/>
    <w:rsid w:val="00487235"/>
    <w:rsid w:val="0048751D"/>
    <w:rsid w:val="004878F2"/>
    <w:rsid w:val="004903F7"/>
    <w:rsid w:val="00490416"/>
    <w:rsid w:val="00490548"/>
    <w:rsid w:val="004905CD"/>
    <w:rsid w:val="00490A36"/>
    <w:rsid w:val="00490F1C"/>
    <w:rsid w:val="0049108C"/>
    <w:rsid w:val="004917C0"/>
    <w:rsid w:val="00491AB8"/>
    <w:rsid w:val="00491C8D"/>
    <w:rsid w:val="00491F28"/>
    <w:rsid w:val="00491F9A"/>
    <w:rsid w:val="00492148"/>
    <w:rsid w:val="004921F3"/>
    <w:rsid w:val="00492380"/>
    <w:rsid w:val="004924C2"/>
    <w:rsid w:val="00492B67"/>
    <w:rsid w:val="00492D48"/>
    <w:rsid w:val="00492FFB"/>
    <w:rsid w:val="00493012"/>
    <w:rsid w:val="00493083"/>
    <w:rsid w:val="0049313D"/>
    <w:rsid w:val="004937CA"/>
    <w:rsid w:val="00493944"/>
    <w:rsid w:val="00493B50"/>
    <w:rsid w:val="00493F76"/>
    <w:rsid w:val="00493FA5"/>
    <w:rsid w:val="004940FB"/>
    <w:rsid w:val="00494118"/>
    <w:rsid w:val="004944F7"/>
    <w:rsid w:val="00494666"/>
    <w:rsid w:val="00494825"/>
    <w:rsid w:val="004949EB"/>
    <w:rsid w:val="00494A4B"/>
    <w:rsid w:val="004959E3"/>
    <w:rsid w:val="00496116"/>
    <w:rsid w:val="004963F9"/>
    <w:rsid w:val="0049642E"/>
    <w:rsid w:val="004968DD"/>
    <w:rsid w:val="00496B6D"/>
    <w:rsid w:val="004970E3"/>
    <w:rsid w:val="004971F5"/>
    <w:rsid w:val="004972ED"/>
    <w:rsid w:val="004973B0"/>
    <w:rsid w:val="004976F8"/>
    <w:rsid w:val="004977B7"/>
    <w:rsid w:val="00497F5A"/>
    <w:rsid w:val="00497F80"/>
    <w:rsid w:val="004A021F"/>
    <w:rsid w:val="004A0694"/>
    <w:rsid w:val="004A085B"/>
    <w:rsid w:val="004A0D53"/>
    <w:rsid w:val="004A0F1F"/>
    <w:rsid w:val="004A152C"/>
    <w:rsid w:val="004A15A7"/>
    <w:rsid w:val="004A165B"/>
    <w:rsid w:val="004A1839"/>
    <w:rsid w:val="004A18FE"/>
    <w:rsid w:val="004A215F"/>
    <w:rsid w:val="004A270B"/>
    <w:rsid w:val="004A2731"/>
    <w:rsid w:val="004A2833"/>
    <w:rsid w:val="004A2A2D"/>
    <w:rsid w:val="004A2A82"/>
    <w:rsid w:val="004A3082"/>
    <w:rsid w:val="004A314B"/>
    <w:rsid w:val="004A3154"/>
    <w:rsid w:val="004A315B"/>
    <w:rsid w:val="004A3767"/>
    <w:rsid w:val="004A3935"/>
    <w:rsid w:val="004A3DA4"/>
    <w:rsid w:val="004A3DA9"/>
    <w:rsid w:val="004A3FA4"/>
    <w:rsid w:val="004A4009"/>
    <w:rsid w:val="004A402D"/>
    <w:rsid w:val="004A409C"/>
    <w:rsid w:val="004A449B"/>
    <w:rsid w:val="004A52CF"/>
    <w:rsid w:val="004A594D"/>
    <w:rsid w:val="004A5B5C"/>
    <w:rsid w:val="004A5B7E"/>
    <w:rsid w:val="004A6097"/>
    <w:rsid w:val="004A6BE3"/>
    <w:rsid w:val="004A6C45"/>
    <w:rsid w:val="004A6C90"/>
    <w:rsid w:val="004A6D66"/>
    <w:rsid w:val="004A6E83"/>
    <w:rsid w:val="004A7687"/>
    <w:rsid w:val="004A79DE"/>
    <w:rsid w:val="004A7AD9"/>
    <w:rsid w:val="004A7B3F"/>
    <w:rsid w:val="004B00B8"/>
    <w:rsid w:val="004B0D46"/>
    <w:rsid w:val="004B0ECF"/>
    <w:rsid w:val="004B1497"/>
    <w:rsid w:val="004B1E11"/>
    <w:rsid w:val="004B227C"/>
    <w:rsid w:val="004B23A6"/>
    <w:rsid w:val="004B2D30"/>
    <w:rsid w:val="004B3901"/>
    <w:rsid w:val="004B4063"/>
    <w:rsid w:val="004B41CC"/>
    <w:rsid w:val="004B507B"/>
    <w:rsid w:val="004B514B"/>
    <w:rsid w:val="004B605E"/>
    <w:rsid w:val="004B6C22"/>
    <w:rsid w:val="004B6D4D"/>
    <w:rsid w:val="004B7080"/>
    <w:rsid w:val="004B722E"/>
    <w:rsid w:val="004B753D"/>
    <w:rsid w:val="004C0121"/>
    <w:rsid w:val="004C0237"/>
    <w:rsid w:val="004C057C"/>
    <w:rsid w:val="004C0A07"/>
    <w:rsid w:val="004C0C7B"/>
    <w:rsid w:val="004C1340"/>
    <w:rsid w:val="004C15FC"/>
    <w:rsid w:val="004C1AF1"/>
    <w:rsid w:val="004C1F99"/>
    <w:rsid w:val="004C2373"/>
    <w:rsid w:val="004C283C"/>
    <w:rsid w:val="004C2977"/>
    <w:rsid w:val="004C2B61"/>
    <w:rsid w:val="004C2D61"/>
    <w:rsid w:val="004C2F48"/>
    <w:rsid w:val="004C3002"/>
    <w:rsid w:val="004C3484"/>
    <w:rsid w:val="004C3668"/>
    <w:rsid w:val="004C37FA"/>
    <w:rsid w:val="004C3F3D"/>
    <w:rsid w:val="004C411D"/>
    <w:rsid w:val="004C4309"/>
    <w:rsid w:val="004C452B"/>
    <w:rsid w:val="004C4C9C"/>
    <w:rsid w:val="004C4D3B"/>
    <w:rsid w:val="004C5472"/>
    <w:rsid w:val="004C55A3"/>
    <w:rsid w:val="004C5625"/>
    <w:rsid w:val="004C577F"/>
    <w:rsid w:val="004C58AA"/>
    <w:rsid w:val="004C5AB1"/>
    <w:rsid w:val="004C5B7B"/>
    <w:rsid w:val="004C64C1"/>
    <w:rsid w:val="004C69BE"/>
    <w:rsid w:val="004C6C1A"/>
    <w:rsid w:val="004C6C92"/>
    <w:rsid w:val="004C6F09"/>
    <w:rsid w:val="004C72E7"/>
    <w:rsid w:val="004C738D"/>
    <w:rsid w:val="004C73A9"/>
    <w:rsid w:val="004C7482"/>
    <w:rsid w:val="004D045C"/>
    <w:rsid w:val="004D05D9"/>
    <w:rsid w:val="004D0662"/>
    <w:rsid w:val="004D0783"/>
    <w:rsid w:val="004D091D"/>
    <w:rsid w:val="004D0EBC"/>
    <w:rsid w:val="004D1020"/>
    <w:rsid w:val="004D1028"/>
    <w:rsid w:val="004D13E1"/>
    <w:rsid w:val="004D197D"/>
    <w:rsid w:val="004D1A08"/>
    <w:rsid w:val="004D20DC"/>
    <w:rsid w:val="004D2570"/>
    <w:rsid w:val="004D2729"/>
    <w:rsid w:val="004D28D6"/>
    <w:rsid w:val="004D2B3D"/>
    <w:rsid w:val="004D2BC6"/>
    <w:rsid w:val="004D2C5E"/>
    <w:rsid w:val="004D2C89"/>
    <w:rsid w:val="004D2C9A"/>
    <w:rsid w:val="004D2E16"/>
    <w:rsid w:val="004D31BB"/>
    <w:rsid w:val="004D3233"/>
    <w:rsid w:val="004D38F1"/>
    <w:rsid w:val="004D3E56"/>
    <w:rsid w:val="004D3EE2"/>
    <w:rsid w:val="004D4038"/>
    <w:rsid w:val="004D465F"/>
    <w:rsid w:val="004D47FD"/>
    <w:rsid w:val="004D4D95"/>
    <w:rsid w:val="004D5415"/>
    <w:rsid w:val="004D55E2"/>
    <w:rsid w:val="004D5739"/>
    <w:rsid w:val="004D5DD4"/>
    <w:rsid w:val="004D5F62"/>
    <w:rsid w:val="004D607F"/>
    <w:rsid w:val="004D6310"/>
    <w:rsid w:val="004D6344"/>
    <w:rsid w:val="004D63B2"/>
    <w:rsid w:val="004D6679"/>
    <w:rsid w:val="004D6965"/>
    <w:rsid w:val="004D6D20"/>
    <w:rsid w:val="004D6E8C"/>
    <w:rsid w:val="004D6F5E"/>
    <w:rsid w:val="004D7252"/>
    <w:rsid w:val="004D7822"/>
    <w:rsid w:val="004D7D9A"/>
    <w:rsid w:val="004E04F4"/>
    <w:rsid w:val="004E0F91"/>
    <w:rsid w:val="004E1488"/>
    <w:rsid w:val="004E1631"/>
    <w:rsid w:val="004E1D7B"/>
    <w:rsid w:val="004E2227"/>
    <w:rsid w:val="004E22B8"/>
    <w:rsid w:val="004E2B06"/>
    <w:rsid w:val="004E2C4E"/>
    <w:rsid w:val="004E2E53"/>
    <w:rsid w:val="004E2EC9"/>
    <w:rsid w:val="004E337C"/>
    <w:rsid w:val="004E33D4"/>
    <w:rsid w:val="004E3405"/>
    <w:rsid w:val="004E3596"/>
    <w:rsid w:val="004E41AE"/>
    <w:rsid w:val="004E4821"/>
    <w:rsid w:val="004E494B"/>
    <w:rsid w:val="004E4A54"/>
    <w:rsid w:val="004E4ADD"/>
    <w:rsid w:val="004E4DC5"/>
    <w:rsid w:val="004E51D1"/>
    <w:rsid w:val="004E55F6"/>
    <w:rsid w:val="004E5782"/>
    <w:rsid w:val="004E57D5"/>
    <w:rsid w:val="004E5FE3"/>
    <w:rsid w:val="004E6122"/>
    <w:rsid w:val="004E69E9"/>
    <w:rsid w:val="004E6B66"/>
    <w:rsid w:val="004E6C8F"/>
    <w:rsid w:val="004E6EE0"/>
    <w:rsid w:val="004E78C6"/>
    <w:rsid w:val="004E7915"/>
    <w:rsid w:val="004E7A05"/>
    <w:rsid w:val="004F0079"/>
    <w:rsid w:val="004F0137"/>
    <w:rsid w:val="004F0466"/>
    <w:rsid w:val="004F074D"/>
    <w:rsid w:val="004F1827"/>
    <w:rsid w:val="004F1D50"/>
    <w:rsid w:val="004F1ECE"/>
    <w:rsid w:val="004F1F7B"/>
    <w:rsid w:val="004F2D8B"/>
    <w:rsid w:val="004F315B"/>
    <w:rsid w:val="004F33F6"/>
    <w:rsid w:val="004F38A1"/>
    <w:rsid w:val="004F39FB"/>
    <w:rsid w:val="004F4085"/>
    <w:rsid w:val="004F4102"/>
    <w:rsid w:val="004F42E9"/>
    <w:rsid w:val="004F462E"/>
    <w:rsid w:val="004F4931"/>
    <w:rsid w:val="004F4B9A"/>
    <w:rsid w:val="004F4E8D"/>
    <w:rsid w:val="004F5127"/>
    <w:rsid w:val="004F56FA"/>
    <w:rsid w:val="004F57B9"/>
    <w:rsid w:val="004F5831"/>
    <w:rsid w:val="004F5890"/>
    <w:rsid w:val="004F5B5A"/>
    <w:rsid w:val="004F5C24"/>
    <w:rsid w:val="004F634B"/>
    <w:rsid w:val="004F63A3"/>
    <w:rsid w:val="004F6640"/>
    <w:rsid w:val="004F67BA"/>
    <w:rsid w:val="004F67F6"/>
    <w:rsid w:val="004F692A"/>
    <w:rsid w:val="004F6F87"/>
    <w:rsid w:val="004F7576"/>
    <w:rsid w:val="004F758F"/>
    <w:rsid w:val="004F789D"/>
    <w:rsid w:val="00500138"/>
    <w:rsid w:val="0050045C"/>
    <w:rsid w:val="005004C5"/>
    <w:rsid w:val="005004E7"/>
    <w:rsid w:val="005005F7"/>
    <w:rsid w:val="00500F6F"/>
    <w:rsid w:val="005010CE"/>
    <w:rsid w:val="00501540"/>
    <w:rsid w:val="00501B52"/>
    <w:rsid w:val="00501B6E"/>
    <w:rsid w:val="00501D27"/>
    <w:rsid w:val="00501F12"/>
    <w:rsid w:val="00501FA2"/>
    <w:rsid w:val="005021DC"/>
    <w:rsid w:val="005023A4"/>
    <w:rsid w:val="0050242D"/>
    <w:rsid w:val="005026B5"/>
    <w:rsid w:val="00502716"/>
    <w:rsid w:val="00502ABF"/>
    <w:rsid w:val="00502CD8"/>
    <w:rsid w:val="00502D11"/>
    <w:rsid w:val="00502F93"/>
    <w:rsid w:val="00503334"/>
    <w:rsid w:val="00503350"/>
    <w:rsid w:val="005034EA"/>
    <w:rsid w:val="00503538"/>
    <w:rsid w:val="0050354F"/>
    <w:rsid w:val="00503813"/>
    <w:rsid w:val="0050390F"/>
    <w:rsid w:val="00504042"/>
    <w:rsid w:val="00504385"/>
    <w:rsid w:val="00504500"/>
    <w:rsid w:val="00504527"/>
    <w:rsid w:val="00504606"/>
    <w:rsid w:val="0050464C"/>
    <w:rsid w:val="005047D5"/>
    <w:rsid w:val="00504985"/>
    <w:rsid w:val="005049DF"/>
    <w:rsid w:val="00504B02"/>
    <w:rsid w:val="00504B93"/>
    <w:rsid w:val="00504D8B"/>
    <w:rsid w:val="00505080"/>
    <w:rsid w:val="00505353"/>
    <w:rsid w:val="00505413"/>
    <w:rsid w:val="0050558F"/>
    <w:rsid w:val="0050601B"/>
    <w:rsid w:val="005062AA"/>
    <w:rsid w:val="00506B21"/>
    <w:rsid w:val="00506D60"/>
    <w:rsid w:val="00506DAB"/>
    <w:rsid w:val="00507073"/>
    <w:rsid w:val="0050731E"/>
    <w:rsid w:val="00507405"/>
    <w:rsid w:val="005075AA"/>
    <w:rsid w:val="00510444"/>
    <w:rsid w:val="0051066B"/>
    <w:rsid w:val="00511D5C"/>
    <w:rsid w:val="00511EFD"/>
    <w:rsid w:val="00511FC0"/>
    <w:rsid w:val="0051221E"/>
    <w:rsid w:val="005126FE"/>
    <w:rsid w:val="00512760"/>
    <w:rsid w:val="00512A10"/>
    <w:rsid w:val="00512A8A"/>
    <w:rsid w:val="00512F06"/>
    <w:rsid w:val="005136EA"/>
    <w:rsid w:val="00514712"/>
    <w:rsid w:val="0051473B"/>
    <w:rsid w:val="005148B7"/>
    <w:rsid w:val="00514DE7"/>
    <w:rsid w:val="005152D8"/>
    <w:rsid w:val="00515466"/>
    <w:rsid w:val="00515691"/>
    <w:rsid w:val="00515770"/>
    <w:rsid w:val="0051577C"/>
    <w:rsid w:val="0051625E"/>
    <w:rsid w:val="0051628A"/>
    <w:rsid w:val="00516314"/>
    <w:rsid w:val="0051644E"/>
    <w:rsid w:val="00516788"/>
    <w:rsid w:val="005167BB"/>
    <w:rsid w:val="00516B82"/>
    <w:rsid w:val="00516B8B"/>
    <w:rsid w:val="005171D1"/>
    <w:rsid w:val="00517D41"/>
    <w:rsid w:val="00517E32"/>
    <w:rsid w:val="00517E95"/>
    <w:rsid w:val="00517FE0"/>
    <w:rsid w:val="0052027C"/>
    <w:rsid w:val="0052033E"/>
    <w:rsid w:val="005208C3"/>
    <w:rsid w:val="00520958"/>
    <w:rsid w:val="00520E88"/>
    <w:rsid w:val="00521DB7"/>
    <w:rsid w:val="0052292A"/>
    <w:rsid w:val="005230DB"/>
    <w:rsid w:val="00523439"/>
    <w:rsid w:val="0052351A"/>
    <w:rsid w:val="00523842"/>
    <w:rsid w:val="005238FC"/>
    <w:rsid w:val="00524003"/>
    <w:rsid w:val="005240BE"/>
    <w:rsid w:val="0052414A"/>
    <w:rsid w:val="005243B5"/>
    <w:rsid w:val="0052456E"/>
    <w:rsid w:val="00524665"/>
    <w:rsid w:val="005248EF"/>
    <w:rsid w:val="00524ABE"/>
    <w:rsid w:val="00524E37"/>
    <w:rsid w:val="00524E87"/>
    <w:rsid w:val="00525C98"/>
    <w:rsid w:val="00525D4D"/>
    <w:rsid w:val="00525F4A"/>
    <w:rsid w:val="005263F1"/>
    <w:rsid w:val="005264E8"/>
    <w:rsid w:val="00526923"/>
    <w:rsid w:val="005272BA"/>
    <w:rsid w:val="00527491"/>
    <w:rsid w:val="005274B6"/>
    <w:rsid w:val="0052783C"/>
    <w:rsid w:val="00527889"/>
    <w:rsid w:val="00527955"/>
    <w:rsid w:val="0052795A"/>
    <w:rsid w:val="0052795F"/>
    <w:rsid w:val="00527E05"/>
    <w:rsid w:val="005302B2"/>
    <w:rsid w:val="005302C0"/>
    <w:rsid w:val="005303C1"/>
    <w:rsid w:val="00530F1D"/>
    <w:rsid w:val="00531241"/>
    <w:rsid w:val="00531B89"/>
    <w:rsid w:val="00531D0A"/>
    <w:rsid w:val="005321EF"/>
    <w:rsid w:val="005321F5"/>
    <w:rsid w:val="0053272B"/>
    <w:rsid w:val="005329B6"/>
    <w:rsid w:val="005329EE"/>
    <w:rsid w:val="00532AEC"/>
    <w:rsid w:val="00532D58"/>
    <w:rsid w:val="00533867"/>
    <w:rsid w:val="005339EA"/>
    <w:rsid w:val="00533D09"/>
    <w:rsid w:val="00533FAC"/>
    <w:rsid w:val="005348C9"/>
    <w:rsid w:val="00534B48"/>
    <w:rsid w:val="005352F8"/>
    <w:rsid w:val="00535901"/>
    <w:rsid w:val="00535DBE"/>
    <w:rsid w:val="00535E75"/>
    <w:rsid w:val="00536248"/>
    <w:rsid w:val="005365FB"/>
    <w:rsid w:val="005367D2"/>
    <w:rsid w:val="00536808"/>
    <w:rsid w:val="00536B4F"/>
    <w:rsid w:val="00536F2A"/>
    <w:rsid w:val="00537248"/>
    <w:rsid w:val="005373A4"/>
    <w:rsid w:val="0053765A"/>
    <w:rsid w:val="005378A2"/>
    <w:rsid w:val="005379BC"/>
    <w:rsid w:val="00537A1C"/>
    <w:rsid w:val="00537DCA"/>
    <w:rsid w:val="005400E7"/>
    <w:rsid w:val="00540341"/>
    <w:rsid w:val="00540C07"/>
    <w:rsid w:val="00540C35"/>
    <w:rsid w:val="00541030"/>
    <w:rsid w:val="005413AD"/>
    <w:rsid w:val="00541430"/>
    <w:rsid w:val="005426A0"/>
    <w:rsid w:val="00542748"/>
    <w:rsid w:val="00542804"/>
    <w:rsid w:val="0054288E"/>
    <w:rsid w:val="005428F6"/>
    <w:rsid w:val="0054327D"/>
    <w:rsid w:val="005434BB"/>
    <w:rsid w:val="0054372E"/>
    <w:rsid w:val="00543B06"/>
    <w:rsid w:val="00544089"/>
    <w:rsid w:val="0054414D"/>
    <w:rsid w:val="00544151"/>
    <w:rsid w:val="00544337"/>
    <w:rsid w:val="005446CA"/>
    <w:rsid w:val="00544710"/>
    <w:rsid w:val="00544CC3"/>
    <w:rsid w:val="00544DD2"/>
    <w:rsid w:val="005451F6"/>
    <w:rsid w:val="00545319"/>
    <w:rsid w:val="0054574F"/>
    <w:rsid w:val="00545C4E"/>
    <w:rsid w:val="00545D2C"/>
    <w:rsid w:val="00545EED"/>
    <w:rsid w:val="00545F1B"/>
    <w:rsid w:val="00546036"/>
    <w:rsid w:val="005460B2"/>
    <w:rsid w:val="005461D6"/>
    <w:rsid w:val="005464C2"/>
    <w:rsid w:val="0054665D"/>
    <w:rsid w:val="00546973"/>
    <w:rsid w:val="00546B0B"/>
    <w:rsid w:val="00546B2C"/>
    <w:rsid w:val="00546EE8"/>
    <w:rsid w:val="00547023"/>
    <w:rsid w:val="00547CD7"/>
    <w:rsid w:val="005503D2"/>
    <w:rsid w:val="00550E23"/>
    <w:rsid w:val="00551010"/>
    <w:rsid w:val="00551373"/>
    <w:rsid w:val="00551929"/>
    <w:rsid w:val="00551EF8"/>
    <w:rsid w:val="005520C9"/>
    <w:rsid w:val="00552161"/>
    <w:rsid w:val="00552166"/>
    <w:rsid w:val="005522EA"/>
    <w:rsid w:val="00552557"/>
    <w:rsid w:val="005526A1"/>
    <w:rsid w:val="00552712"/>
    <w:rsid w:val="00552B6E"/>
    <w:rsid w:val="00552E3D"/>
    <w:rsid w:val="005531D2"/>
    <w:rsid w:val="00553730"/>
    <w:rsid w:val="005538F1"/>
    <w:rsid w:val="00553A62"/>
    <w:rsid w:val="00553A71"/>
    <w:rsid w:val="00553E04"/>
    <w:rsid w:val="00553F08"/>
    <w:rsid w:val="00554440"/>
    <w:rsid w:val="00554496"/>
    <w:rsid w:val="005549CE"/>
    <w:rsid w:val="0055520D"/>
    <w:rsid w:val="0055547D"/>
    <w:rsid w:val="005554C6"/>
    <w:rsid w:val="005556A9"/>
    <w:rsid w:val="00555704"/>
    <w:rsid w:val="00555E2E"/>
    <w:rsid w:val="00555E60"/>
    <w:rsid w:val="005561DB"/>
    <w:rsid w:val="0055638C"/>
    <w:rsid w:val="0055656C"/>
    <w:rsid w:val="00556C42"/>
    <w:rsid w:val="00556FEE"/>
    <w:rsid w:val="00556FFC"/>
    <w:rsid w:val="00557151"/>
    <w:rsid w:val="005578CA"/>
    <w:rsid w:val="0055792B"/>
    <w:rsid w:val="00557AE1"/>
    <w:rsid w:val="00557DF4"/>
    <w:rsid w:val="00557DFA"/>
    <w:rsid w:val="00560379"/>
    <w:rsid w:val="005607F1"/>
    <w:rsid w:val="005609C6"/>
    <w:rsid w:val="00560A33"/>
    <w:rsid w:val="00560E25"/>
    <w:rsid w:val="00560EC8"/>
    <w:rsid w:val="005618EB"/>
    <w:rsid w:val="00561E12"/>
    <w:rsid w:val="00562D5D"/>
    <w:rsid w:val="00563356"/>
    <w:rsid w:val="00563826"/>
    <w:rsid w:val="00563B3B"/>
    <w:rsid w:val="00563D8E"/>
    <w:rsid w:val="0056413A"/>
    <w:rsid w:val="005643D7"/>
    <w:rsid w:val="005644C5"/>
    <w:rsid w:val="00564B7F"/>
    <w:rsid w:val="0056511C"/>
    <w:rsid w:val="00565399"/>
    <w:rsid w:val="00565466"/>
    <w:rsid w:val="00565D01"/>
    <w:rsid w:val="00566208"/>
    <w:rsid w:val="00566890"/>
    <w:rsid w:val="005669F7"/>
    <w:rsid w:val="00566A53"/>
    <w:rsid w:val="005673CA"/>
    <w:rsid w:val="00567467"/>
    <w:rsid w:val="0056768B"/>
    <w:rsid w:val="00567724"/>
    <w:rsid w:val="00567745"/>
    <w:rsid w:val="005677AC"/>
    <w:rsid w:val="005677E0"/>
    <w:rsid w:val="00567BFB"/>
    <w:rsid w:val="00571281"/>
    <w:rsid w:val="00571556"/>
    <w:rsid w:val="00571749"/>
    <w:rsid w:val="00571B2A"/>
    <w:rsid w:val="00571C71"/>
    <w:rsid w:val="00572029"/>
    <w:rsid w:val="005722D9"/>
    <w:rsid w:val="005732D6"/>
    <w:rsid w:val="00573492"/>
    <w:rsid w:val="0057356A"/>
    <w:rsid w:val="00573915"/>
    <w:rsid w:val="00573F6B"/>
    <w:rsid w:val="005740FE"/>
    <w:rsid w:val="00574120"/>
    <w:rsid w:val="00574303"/>
    <w:rsid w:val="0057475D"/>
    <w:rsid w:val="00574E27"/>
    <w:rsid w:val="00575510"/>
    <w:rsid w:val="00575618"/>
    <w:rsid w:val="0057561B"/>
    <w:rsid w:val="005757EE"/>
    <w:rsid w:val="00575887"/>
    <w:rsid w:val="00575912"/>
    <w:rsid w:val="00575990"/>
    <w:rsid w:val="005760A2"/>
    <w:rsid w:val="005768BA"/>
    <w:rsid w:val="00576B98"/>
    <w:rsid w:val="00576EED"/>
    <w:rsid w:val="00577ABC"/>
    <w:rsid w:val="00577ACB"/>
    <w:rsid w:val="00577FB9"/>
    <w:rsid w:val="00580242"/>
    <w:rsid w:val="00580724"/>
    <w:rsid w:val="005809D0"/>
    <w:rsid w:val="00580EBC"/>
    <w:rsid w:val="00580F48"/>
    <w:rsid w:val="0058115F"/>
    <w:rsid w:val="00581453"/>
    <w:rsid w:val="00581541"/>
    <w:rsid w:val="0058158E"/>
    <w:rsid w:val="00581834"/>
    <w:rsid w:val="00581D4D"/>
    <w:rsid w:val="00581D87"/>
    <w:rsid w:val="00581F8F"/>
    <w:rsid w:val="005833DB"/>
    <w:rsid w:val="0058391B"/>
    <w:rsid w:val="00583D7D"/>
    <w:rsid w:val="00583D9A"/>
    <w:rsid w:val="00584198"/>
    <w:rsid w:val="005843AC"/>
    <w:rsid w:val="00584568"/>
    <w:rsid w:val="00584765"/>
    <w:rsid w:val="005851CD"/>
    <w:rsid w:val="00585878"/>
    <w:rsid w:val="00585953"/>
    <w:rsid w:val="00585B0A"/>
    <w:rsid w:val="00585BAD"/>
    <w:rsid w:val="00585FE1"/>
    <w:rsid w:val="0058634B"/>
    <w:rsid w:val="0058663C"/>
    <w:rsid w:val="00586837"/>
    <w:rsid w:val="00586B21"/>
    <w:rsid w:val="00586B4B"/>
    <w:rsid w:val="00586CD0"/>
    <w:rsid w:val="00586D3A"/>
    <w:rsid w:val="00586DC6"/>
    <w:rsid w:val="00586FA5"/>
    <w:rsid w:val="005872E7"/>
    <w:rsid w:val="00587DF5"/>
    <w:rsid w:val="00590295"/>
    <w:rsid w:val="0059061A"/>
    <w:rsid w:val="00590AA2"/>
    <w:rsid w:val="00590F31"/>
    <w:rsid w:val="005912DF"/>
    <w:rsid w:val="00592066"/>
    <w:rsid w:val="0059208E"/>
    <w:rsid w:val="00592223"/>
    <w:rsid w:val="00592240"/>
    <w:rsid w:val="00592300"/>
    <w:rsid w:val="0059269C"/>
    <w:rsid w:val="005926CF"/>
    <w:rsid w:val="00592BCA"/>
    <w:rsid w:val="00592F87"/>
    <w:rsid w:val="005937E3"/>
    <w:rsid w:val="00593B1D"/>
    <w:rsid w:val="00593B65"/>
    <w:rsid w:val="00593BB4"/>
    <w:rsid w:val="00593BB5"/>
    <w:rsid w:val="00593FF1"/>
    <w:rsid w:val="0059461A"/>
    <w:rsid w:val="005949CE"/>
    <w:rsid w:val="00594A9E"/>
    <w:rsid w:val="00594E15"/>
    <w:rsid w:val="00594FB8"/>
    <w:rsid w:val="00595265"/>
    <w:rsid w:val="005955A8"/>
    <w:rsid w:val="00595720"/>
    <w:rsid w:val="005957E6"/>
    <w:rsid w:val="00595AC7"/>
    <w:rsid w:val="005961FB"/>
    <w:rsid w:val="005971C4"/>
    <w:rsid w:val="00597CA6"/>
    <w:rsid w:val="00597CBB"/>
    <w:rsid w:val="005A0297"/>
    <w:rsid w:val="005A0363"/>
    <w:rsid w:val="005A03F8"/>
    <w:rsid w:val="005A08C8"/>
    <w:rsid w:val="005A096E"/>
    <w:rsid w:val="005A145F"/>
    <w:rsid w:val="005A18E7"/>
    <w:rsid w:val="005A1A76"/>
    <w:rsid w:val="005A206E"/>
    <w:rsid w:val="005A220B"/>
    <w:rsid w:val="005A31B3"/>
    <w:rsid w:val="005A31D5"/>
    <w:rsid w:val="005A3626"/>
    <w:rsid w:val="005A3929"/>
    <w:rsid w:val="005A3AB3"/>
    <w:rsid w:val="005A3DED"/>
    <w:rsid w:val="005A4860"/>
    <w:rsid w:val="005A4A0B"/>
    <w:rsid w:val="005A4A2A"/>
    <w:rsid w:val="005A4A7A"/>
    <w:rsid w:val="005A4F94"/>
    <w:rsid w:val="005A53CB"/>
    <w:rsid w:val="005A5516"/>
    <w:rsid w:val="005A5D9E"/>
    <w:rsid w:val="005A607A"/>
    <w:rsid w:val="005A6243"/>
    <w:rsid w:val="005A63F4"/>
    <w:rsid w:val="005A67F6"/>
    <w:rsid w:val="005A69BF"/>
    <w:rsid w:val="005A704B"/>
    <w:rsid w:val="005A70A2"/>
    <w:rsid w:val="005A71B5"/>
    <w:rsid w:val="005A723C"/>
    <w:rsid w:val="005B02A5"/>
    <w:rsid w:val="005B038A"/>
    <w:rsid w:val="005B055E"/>
    <w:rsid w:val="005B0632"/>
    <w:rsid w:val="005B08A7"/>
    <w:rsid w:val="005B0A15"/>
    <w:rsid w:val="005B0B0A"/>
    <w:rsid w:val="005B0CCD"/>
    <w:rsid w:val="005B0F89"/>
    <w:rsid w:val="005B1230"/>
    <w:rsid w:val="005B15F2"/>
    <w:rsid w:val="005B1ACB"/>
    <w:rsid w:val="005B1AFC"/>
    <w:rsid w:val="005B1DF6"/>
    <w:rsid w:val="005B1E73"/>
    <w:rsid w:val="005B21B9"/>
    <w:rsid w:val="005B257A"/>
    <w:rsid w:val="005B28E7"/>
    <w:rsid w:val="005B292F"/>
    <w:rsid w:val="005B2C65"/>
    <w:rsid w:val="005B2CB5"/>
    <w:rsid w:val="005B2CEF"/>
    <w:rsid w:val="005B2DA8"/>
    <w:rsid w:val="005B30AD"/>
    <w:rsid w:val="005B30B2"/>
    <w:rsid w:val="005B34BE"/>
    <w:rsid w:val="005B3CCE"/>
    <w:rsid w:val="005B405A"/>
    <w:rsid w:val="005B422A"/>
    <w:rsid w:val="005B4B9D"/>
    <w:rsid w:val="005B5231"/>
    <w:rsid w:val="005B5282"/>
    <w:rsid w:val="005B535B"/>
    <w:rsid w:val="005B565C"/>
    <w:rsid w:val="005B5970"/>
    <w:rsid w:val="005B5A0F"/>
    <w:rsid w:val="005B5D0E"/>
    <w:rsid w:val="005B6281"/>
    <w:rsid w:val="005B695D"/>
    <w:rsid w:val="005B6B9F"/>
    <w:rsid w:val="005B6D53"/>
    <w:rsid w:val="005B74CF"/>
    <w:rsid w:val="005B7657"/>
    <w:rsid w:val="005B7790"/>
    <w:rsid w:val="005B7AE5"/>
    <w:rsid w:val="005B7FD8"/>
    <w:rsid w:val="005C0059"/>
    <w:rsid w:val="005C05F7"/>
    <w:rsid w:val="005C083E"/>
    <w:rsid w:val="005C0A96"/>
    <w:rsid w:val="005C0C28"/>
    <w:rsid w:val="005C0F5A"/>
    <w:rsid w:val="005C100A"/>
    <w:rsid w:val="005C121B"/>
    <w:rsid w:val="005C1558"/>
    <w:rsid w:val="005C1A6C"/>
    <w:rsid w:val="005C1BC8"/>
    <w:rsid w:val="005C1E43"/>
    <w:rsid w:val="005C1ED9"/>
    <w:rsid w:val="005C230F"/>
    <w:rsid w:val="005C2960"/>
    <w:rsid w:val="005C347D"/>
    <w:rsid w:val="005C3EF7"/>
    <w:rsid w:val="005C43B5"/>
    <w:rsid w:val="005C4441"/>
    <w:rsid w:val="005C46E2"/>
    <w:rsid w:val="005C470F"/>
    <w:rsid w:val="005C4A27"/>
    <w:rsid w:val="005C4D40"/>
    <w:rsid w:val="005C5506"/>
    <w:rsid w:val="005C5600"/>
    <w:rsid w:val="005C58A7"/>
    <w:rsid w:val="005C63B9"/>
    <w:rsid w:val="005C6429"/>
    <w:rsid w:val="005C6C45"/>
    <w:rsid w:val="005C734F"/>
    <w:rsid w:val="005C7586"/>
    <w:rsid w:val="005C76D9"/>
    <w:rsid w:val="005C7735"/>
    <w:rsid w:val="005C7C05"/>
    <w:rsid w:val="005C7E68"/>
    <w:rsid w:val="005D053D"/>
    <w:rsid w:val="005D0824"/>
    <w:rsid w:val="005D09CF"/>
    <w:rsid w:val="005D1120"/>
    <w:rsid w:val="005D1497"/>
    <w:rsid w:val="005D1931"/>
    <w:rsid w:val="005D1E9B"/>
    <w:rsid w:val="005D23AE"/>
    <w:rsid w:val="005D2788"/>
    <w:rsid w:val="005D29C7"/>
    <w:rsid w:val="005D2AEC"/>
    <w:rsid w:val="005D2B8F"/>
    <w:rsid w:val="005D2C4F"/>
    <w:rsid w:val="005D2CD3"/>
    <w:rsid w:val="005D31EB"/>
    <w:rsid w:val="005D36D3"/>
    <w:rsid w:val="005D3709"/>
    <w:rsid w:val="005D428F"/>
    <w:rsid w:val="005D47D6"/>
    <w:rsid w:val="005D4872"/>
    <w:rsid w:val="005D489F"/>
    <w:rsid w:val="005D4C3C"/>
    <w:rsid w:val="005D4CF7"/>
    <w:rsid w:val="005D5461"/>
    <w:rsid w:val="005D5AFB"/>
    <w:rsid w:val="005D5B80"/>
    <w:rsid w:val="005D5E3C"/>
    <w:rsid w:val="005D61CB"/>
    <w:rsid w:val="005D6AA7"/>
    <w:rsid w:val="005D6AF9"/>
    <w:rsid w:val="005D6B72"/>
    <w:rsid w:val="005D6CA4"/>
    <w:rsid w:val="005D71C8"/>
    <w:rsid w:val="005D7851"/>
    <w:rsid w:val="005D79DB"/>
    <w:rsid w:val="005E0070"/>
    <w:rsid w:val="005E0078"/>
    <w:rsid w:val="005E01CD"/>
    <w:rsid w:val="005E0B4F"/>
    <w:rsid w:val="005E18F9"/>
    <w:rsid w:val="005E1D7A"/>
    <w:rsid w:val="005E1F18"/>
    <w:rsid w:val="005E2605"/>
    <w:rsid w:val="005E2A11"/>
    <w:rsid w:val="005E316A"/>
    <w:rsid w:val="005E3327"/>
    <w:rsid w:val="005E382B"/>
    <w:rsid w:val="005E38AA"/>
    <w:rsid w:val="005E3960"/>
    <w:rsid w:val="005E3A0E"/>
    <w:rsid w:val="005E3BD7"/>
    <w:rsid w:val="005E3DEA"/>
    <w:rsid w:val="005E4494"/>
    <w:rsid w:val="005E49C7"/>
    <w:rsid w:val="005E4EAB"/>
    <w:rsid w:val="005E56E4"/>
    <w:rsid w:val="005E5705"/>
    <w:rsid w:val="005E5ECC"/>
    <w:rsid w:val="005E5F62"/>
    <w:rsid w:val="005E62D8"/>
    <w:rsid w:val="005E65F0"/>
    <w:rsid w:val="005E68EF"/>
    <w:rsid w:val="005E6B5F"/>
    <w:rsid w:val="005E6BA4"/>
    <w:rsid w:val="005E6D5D"/>
    <w:rsid w:val="005E762B"/>
    <w:rsid w:val="005E79F8"/>
    <w:rsid w:val="005E7C40"/>
    <w:rsid w:val="005E7C4A"/>
    <w:rsid w:val="005E7E0A"/>
    <w:rsid w:val="005E7F86"/>
    <w:rsid w:val="005F0077"/>
    <w:rsid w:val="005F01A3"/>
    <w:rsid w:val="005F0614"/>
    <w:rsid w:val="005F0D6A"/>
    <w:rsid w:val="005F1150"/>
    <w:rsid w:val="005F11F8"/>
    <w:rsid w:val="005F1461"/>
    <w:rsid w:val="005F1618"/>
    <w:rsid w:val="005F1688"/>
    <w:rsid w:val="005F1946"/>
    <w:rsid w:val="005F19AF"/>
    <w:rsid w:val="005F1E17"/>
    <w:rsid w:val="005F1E3B"/>
    <w:rsid w:val="005F1E46"/>
    <w:rsid w:val="005F2203"/>
    <w:rsid w:val="005F226F"/>
    <w:rsid w:val="005F243E"/>
    <w:rsid w:val="005F275C"/>
    <w:rsid w:val="005F2909"/>
    <w:rsid w:val="005F36F8"/>
    <w:rsid w:val="005F3C5F"/>
    <w:rsid w:val="005F3E54"/>
    <w:rsid w:val="005F4527"/>
    <w:rsid w:val="005F4572"/>
    <w:rsid w:val="005F464A"/>
    <w:rsid w:val="005F486C"/>
    <w:rsid w:val="005F4A00"/>
    <w:rsid w:val="005F4A0D"/>
    <w:rsid w:val="005F50A1"/>
    <w:rsid w:val="005F51D8"/>
    <w:rsid w:val="005F54EC"/>
    <w:rsid w:val="005F58D7"/>
    <w:rsid w:val="005F5C32"/>
    <w:rsid w:val="005F5F6C"/>
    <w:rsid w:val="005F60EF"/>
    <w:rsid w:val="005F60F0"/>
    <w:rsid w:val="005F6100"/>
    <w:rsid w:val="005F6374"/>
    <w:rsid w:val="005F64C0"/>
    <w:rsid w:val="005F6D59"/>
    <w:rsid w:val="005F7132"/>
    <w:rsid w:val="005F7319"/>
    <w:rsid w:val="005F7532"/>
    <w:rsid w:val="005F7BB9"/>
    <w:rsid w:val="005F7E1E"/>
    <w:rsid w:val="005F7F21"/>
    <w:rsid w:val="00600793"/>
    <w:rsid w:val="00600BC1"/>
    <w:rsid w:val="00601149"/>
    <w:rsid w:val="006011BA"/>
    <w:rsid w:val="00601B3F"/>
    <w:rsid w:val="00602037"/>
    <w:rsid w:val="0060258A"/>
    <w:rsid w:val="006025FB"/>
    <w:rsid w:val="00602831"/>
    <w:rsid w:val="00602930"/>
    <w:rsid w:val="00602B01"/>
    <w:rsid w:val="00603392"/>
    <w:rsid w:val="0060368C"/>
    <w:rsid w:val="00603AF5"/>
    <w:rsid w:val="00603C39"/>
    <w:rsid w:val="00603E18"/>
    <w:rsid w:val="006041FC"/>
    <w:rsid w:val="0060459D"/>
    <w:rsid w:val="00604612"/>
    <w:rsid w:val="00604A91"/>
    <w:rsid w:val="00604C3E"/>
    <w:rsid w:val="006051E0"/>
    <w:rsid w:val="00605726"/>
    <w:rsid w:val="00605BDA"/>
    <w:rsid w:val="0060667C"/>
    <w:rsid w:val="0060690E"/>
    <w:rsid w:val="00607445"/>
    <w:rsid w:val="00607985"/>
    <w:rsid w:val="00607C86"/>
    <w:rsid w:val="00607D4D"/>
    <w:rsid w:val="0061032E"/>
    <w:rsid w:val="0061035E"/>
    <w:rsid w:val="006104C8"/>
    <w:rsid w:val="00610E26"/>
    <w:rsid w:val="0061256B"/>
    <w:rsid w:val="006127B0"/>
    <w:rsid w:val="00612A0B"/>
    <w:rsid w:val="00612BF8"/>
    <w:rsid w:val="00612D6B"/>
    <w:rsid w:val="00612D96"/>
    <w:rsid w:val="00613204"/>
    <w:rsid w:val="00613CFA"/>
    <w:rsid w:val="00614324"/>
    <w:rsid w:val="00614339"/>
    <w:rsid w:val="006145A3"/>
    <w:rsid w:val="0061522E"/>
    <w:rsid w:val="006153AA"/>
    <w:rsid w:val="00615A26"/>
    <w:rsid w:val="00615A7E"/>
    <w:rsid w:val="00615ECA"/>
    <w:rsid w:val="006160E0"/>
    <w:rsid w:val="00616A8C"/>
    <w:rsid w:val="0061703E"/>
    <w:rsid w:val="00617078"/>
    <w:rsid w:val="0061712E"/>
    <w:rsid w:val="006171F9"/>
    <w:rsid w:val="00617394"/>
    <w:rsid w:val="0061752E"/>
    <w:rsid w:val="006176AD"/>
    <w:rsid w:val="00617A71"/>
    <w:rsid w:val="00617BEA"/>
    <w:rsid w:val="00617F71"/>
    <w:rsid w:val="0062068F"/>
    <w:rsid w:val="00620D26"/>
    <w:rsid w:val="00620D5D"/>
    <w:rsid w:val="006212F1"/>
    <w:rsid w:val="006215B0"/>
    <w:rsid w:val="006217BE"/>
    <w:rsid w:val="00621AE6"/>
    <w:rsid w:val="0062274A"/>
    <w:rsid w:val="00622855"/>
    <w:rsid w:val="006231BF"/>
    <w:rsid w:val="0062332A"/>
    <w:rsid w:val="00623393"/>
    <w:rsid w:val="006233A0"/>
    <w:rsid w:val="0062399A"/>
    <w:rsid w:val="00623DB9"/>
    <w:rsid w:val="006245C9"/>
    <w:rsid w:val="0062470E"/>
    <w:rsid w:val="006248BA"/>
    <w:rsid w:val="00624965"/>
    <w:rsid w:val="006252D8"/>
    <w:rsid w:val="00625316"/>
    <w:rsid w:val="00625627"/>
    <w:rsid w:val="00625EBD"/>
    <w:rsid w:val="00626623"/>
    <w:rsid w:val="00626838"/>
    <w:rsid w:val="006269A4"/>
    <w:rsid w:val="00626B0C"/>
    <w:rsid w:val="006279A9"/>
    <w:rsid w:val="006300BB"/>
    <w:rsid w:val="006300C8"/>
    <w:rsid w:val="00630151"/>
    <w:rsid w:val="00630A5F"/>
    <w:rsid w:val="00630C09"/>
    <w:rsid w:val="00631135"/>
    <w:rsid w:val="00631314"/>
    <w:rsid w:val="00631671"/>
    <w:rsid w:val="00631DE5"/>
    <w:rsid w:val="00632477"/>
    <w:rsid w:val="00632E11"/>
    <w:rsid w:val="006333FD"/>
    <w:rsid w:val="00633565"/>
    <w:rsid w:val="00633ADB"/>
    <w:rsid w:val="00633DD2"/>
    <w:rsid w:val="00633EDA"/>
    <w:rsid w:val="0063412C"/>
    <w:rsid w:val="00634A0B"/>
    <w:rsid w:val="0063509B"/>
    <w:rsid w:val="00635191"/>
    <w:rsid w:val="006354A0"/>
    <w:rsid w:val="006359A1"/>
    <w:rsid w:val="00635CF8"/>
    <w:rsid w:val="00636134"/>
    <w:rsid w:val="00636758"/>
    <w:rsid w:val="00636F18"/>
    <w:rsid w:val="0063726C"/>
    <w:rsid w:val="00637548"/>
    <w:rsid w:val="006378B0"/>
    <w:rsid w:val="00637950"/>
    <w:rsid w:val="00637A9E"/>
    <w:rsid w:val="00637E52"/>
    <w:rsid w:val="006400EF"/>
    <w:rsid w:val="006403BE"/>
    <w:rsid w:val="0064047D"/>
    <w:rsid w:val="006406A8"/>
    <w:rsid w:val="00640F51"/>
    <w:rsid w:val="006411CB"/>
    <w:rsid w:val="0064153A"/>
    <w:rsid w:val="00641753"/>
    <w:rsid w:val="00641924"/>
    <w:rsid w:val="006419A7"/>
    <w:rsid w:val="00641A60"/>
    <w:rsid w:val="00641D89"/>
    <w:rsid w:val="006422A7"/>
    <w:rsid w:val="006424E1"/>
    <w:rsid w:val="006425B4"/>
    <w:rsid w:val="006425F5"/>
    <w:rsid w:val="00642A69"/>
    <w:rsid w:val="00642CA3"/>
    <w:rsid w:val="00643867"/>
    <w:rsid w:val="006438EC"/>
    <w:rsid w:val="00643EF4"/>
    <w:rsid w:val="0064496C"/>
    <w:rsid w:val="006450F8"/>
    <w:rsid w:val="00645494"/>
    <w:rsid w:val="00645587"/>
    <w:rsid w:val="006456B2"/>
    <w:rsid w:val="00645985"/>
    <w:rsid w:val="00645D98"/>
    <w:rsid w:val="0064609F"/>
    <w:rsid w:val="00646507"/>
    <w:rsid w:val="006466FA"/>
    <w:rsid w:val="0064681A"/>
    <w:rsid w:val="00646FAE"/>
    <w:rsid w:val="00647130"/>
    <w:rsid w:val="006471D7"/>
    <w:rsid w:val="006471E8"/>
    <w:rsid w:val="0064793C"/>
    <w:rsid w:val="00650220"/>
    <w:rsid w:val="006505F8"/>
    <w:rsid w:val="0065070C"/>
    <w:rsid w:val="0065075A"/>
    <w:rsid w:val="00650965"/>
    <w:rsid w:val="00650A56"/>
    <w:rsid w:val="00651266"/>
    <w:rsid w:val="00651489"/>
    <w:rsid w:val="00651707"/>
    <w:rsid w:val="006518A1"/>
    <w:rsid w:val="00651A72"/>
    <w:rsid w:val="00651E67"/>
    <w:rsid w:val="00651FDA"/>
    <w:rsid w:val="006524A5"/>
    <w:rsid w:val="0065253D"/>
    <w:rsid w:val="006526BB"/>
    <w:rsid w:val="0065273E"/>
    <w:rsid w:val="0065293B"/>
    <w:rsid w:val="006529EB"/>
    <w:rsid w:val="00652A78"/>
    <w:rsid w:val="00652A82"/>
    <w:rsid w:val="0065308A"/>
    <w:rsid w:val="006535D1"/>
    <w:rsid w:val="00653CFB"/>
    <w:rsid w:val="006543A9"/>
    <w:rsid w:val="006543E4"/>
    <w:rsid w:val="0065443C"/>
    <w:rsid w:val="0065451E"/>
    <w:rsid w:val="0065457E"/>
    <w:rsid w:val="00654BAB"/>
    <w:rsid w:val="00654BBF"/>
    <w:rsid w:val="00654EA8"/>
    <w:rsid w:val="006555AC"/>
    <w:rsid w:val="0065584A"/>
    <w:rsid w:val="00655F88"/>
    <w:rsid w:val="00656A1E"/>
    <w:rsid w:val="00656A63"/>
    <w:rsid w:val="00656AFD"/>
    <w:rsid w:val="00657126"/>
    <w:rsid w:val="00657370"/>
    <w:rsid w:val="00657ED6"/>
    <w:rsid w:val="0066032D"/>
    <w:rsid w:val="006604B0"/>
    <w:rsid w:val="00660636"/>
    <w:rsid w:val="006609FF"/>
    <w:rsid w:val="00660AF8"/>
    <w:rsid w:val="00660D28"/>
    <w:rsid w:val="00660E8B"/>
    <w:rsid w:val="00660FB4"/>
    <w:rsid w:val="006613C5"/>
    <w:rsid w:val="00661E45"/>
    <w:rsid w:val="006621BB"/>
    <w:rsid w:val="00662567"/>
    <w:rsid w:val="00662EF1"/>
    <w:rsid w:val="00663321"/>
    <w:rsid w:val="0066345D"/>
    <w:rsid w:val="006635F3"/>
    <w:rsid w:val="0066386E"/>
    <w:rsid w:val="006639B0"/>
    <w:rsid w:val="006649DE"/>
    <w:rsid w:val="006649FA"/>
    <w:rsid w:val="00664D85"/>
    <w:rsid w:val="00664E35"/>
    <w:rsid w:val="00664EF0"/>
    <w:rsid w:val="00664FC9"/>
    <w:rsid w:val="0066511A"/>
    <w:rsid w:val="00665378"/>
    <w:rsid w:val="0066629B"/>
    <w:rsid w:val="0066678E"/>
    <w:rsid w:val="00666D59"/>
    <w:rsid w:val="00666D8D"/>
    <w:rsid w:val="00666F02"/>
    <w:rsid w:val="00667289"/>
    <w:rsid w:val="0066760F"/>
    <w:rsid w:val="006678F5"/>
    <w:rsid w:val="00667A3D"/>
    <w:rsid w:val="006706E2"/>
    <w:rsid w:val="00670F63"/>
    <w:rsid w:val="00671174"/>
    <w:rsid w:val="0067125F"/>
    <w:rsid w:val="006713D7"/>
    <w:rsid w:val="00671447"/>
    <w:rsid w:val="006714AD"/>
    <w:rsid w:val="00671C27"/>
    <w:rsid w:val="00671CB6"/>
    <w:rsid w:val="00671CC9"/>
    <w:rsid w:val="00671D20"/>
    <w:rsid w:val="00672024"/>
    <w:rsid w:val="0067211E"/>
    <w:rsid w:val="00672770"/>
    <w:rsid w:val="006729A9"/>
    <w:rsid w:val="00672DD9"/>
    <w:rsid w:val="00672ED9"/>
    <w:rsid w:val="00673019"/>
    <w:rsid w:val="0067323D"/>
    <w:rsid w:val="00673478"/>
    <w:rsid w:val="00674119"/>
    <w:rsid w:val="00674158"/>
    <w:rsid w:val="0067444A"/>
    <w:rsid w:val="0067477B"/>
    <w:rsid w:val="00674A22"/>
    <w:rsid w:val="00674F8C"/>
    <w:rsid w:val="0067514F"/>
    <w:rsid w:val="006752AD"/>
    <w:rsid w:val="006756EE"/>
    <w:rsid w:val="0067596F"/>
    <w:rsid w:val="00675AF6"/>
    <w:rsid w:val="00675B7D"/>
    <w:rsid w:val="00675CAA"/>
    <w:rsid w:val="00676190"/>
    <w:rsid w:val="006763AF"/>
    <w:rsid w:val="0067643D"/>
    <w:rsid w:val="00676445"/>
    <w:rsid w:val="0067646D"/>
    <w:rsid w:val="00676C07"/>
    <w:rsid w:val="00677752"/>
    <w:rsid w:val="00677D20"/>
    <w:rsid w:val="006806A3"/>
    <w:rsid w:val="00680753"/>
    <w:rsid w:val="00680881"/>
    <w:rsid w:val="00681254"/>
    <w:rsid w:val="006812E4"/>
    <w:rsid w:val="006814EE"/>
    <w:rsid w:val="0068161E"/>
    <w:rsid w:val="0068173E"/>
    <w:rsid w:val="0068190C"/>
    <w:rsid w:val="006826D8"/>
    <w:rsid w:val="006827C3"/>
    <w:rsid w:val="00682E59"/>
    <w:rsid w:val="00682E81"/>
    <w:rsid w:val="00683760"/>
    <w:rsid w:val="00683B48"/>
    <w:rsid w:val="00683BC3"/>
    <w:rsid w:val="00683F91"/>
    <w:rsid w:val="006842A5"/>
    <w:rsid w:val="00684307"/>
    <w:rsid w:val="00684338"/>
    <w:rsid w:val="006848CF"/>
    <w:rsid w:val="006849B6"/>
    <w:rsid w:val="00684D60"/>
    <w:rsid w:val="00684E85"/>
    <w:rsid w:val="006852A7"/>
    <w:rsid w:val="0068533A"/>
    <w:rsid w:val="00685571"/>
    <w:rsid w:val="00685A43"/>
    <w:rsid w:val="00685B5C"/>
    <w:rsid w:val="00685F6A"/>
    <w:rsid w:val="006861A2"/>
    <w:rsid w:val="00686773"/>
    <w:rsid w:val="00686789"/>
    <w:rsid w:val="00686A0B"/>
    <w:rsid w:val="0068755D"/>
    <w:rsid w:val="00687711"/>
    <w:rsid w:val="0068788B"/>
    <w:rsid w:val="00687EAC"/>
    <w:rsid w:val="00687F14"/>
    <w:rsid w:val="0069005B"/>
    <w:rsid w:val="00690AD6"/>
    <w:rsid w:val="00690B1E"/>
    <w:rsid w:val="00690E5F"/>
    <w:rsid w:val="006913A8"/>
    <w:rsid w:val="006913E4"/>
    <w:rsid w:val="00691459"/>
    <w:rsid w:val="0069191C"/>
    <w:rsid w:val="0069194C"/>
    <w:rsid w:val="00691ADD"/>
    <w:rsid w:val="00691B27"/>
    <w:rsid w:val="00691B9C"/>
    <w:rsid w:val="00691C28"/>
    <w:rsid w:val="00691EEF"/>
    <w:rsid w:val="00692022"/>
    <w:rsid w:val="006927E6"/>
    <w:rsid w:val="00692973"/>
    <w:rsid w:val="00692BA5"/>
    <w:rsid w:val="00692C5A"/>
    <w:rsid w:val="0069334C"/>
    <w:rsid w:val="00693432"/>
    <w:rsid w:val="00693544"/>
    <w:rsid w:val="00693C2B"/>
    <w:rsid w:val="0069410B"/>
    <w:rsid w:val="006941AC"/>
    <w:rsid w:val="0069483E"/>
    <w:rsid w:val="00694E4E"/>
    <w:rsid w:val="00694EB8"/>
    <w:rsid w:val="006954BF"/>
    <w:rsid w:val="006954F8"/>
    <w:rsid w:val="006957E0"/>
    <w:rsid w:val="006959BF"/>
    <w:rsid w:val="00695E73"/>
    <w:rsid w:val="00696538"/>
    <w:rsid w:val="0069660F"/>
    <w:rsid w:val="0069684A"/>
    <w:rsid w:val="006969A6"/>
    <w:rsid w:val="00696B99"/>
    <w:rsid w:val="00697265"/>
    <w:rsid w:val="00697651"/>
    <w:rsid w:val="00697C36"/>
    <w:rsid w:val="00697EF5"/>
    <w:rsid w:val="006A02D1"/>
    <w:rsid w:val="006A044F"/>
    <w:rsid w:val="006A0E91"/>
    <w:rsid w:val="006A159F"/>
    <w:rsid w:val="006A1B53"/>
    <w:rsid w:val="006A1FD7"/>
    <w:rsid w:val="006A27AE"/>
    <w:rsid w:val="006A2DB5"/>
    <w:rsid w:val="006A30ED"/>
    <w:rsid w:val="006A32EC"/>
    <w:rsid w:val="006A37D8"/>
    <w:rsid w:val="006A39ED"/>
    <w:rsid w:val="006A4007"/>
    <w:rsid w:val="006A4162"/>
    <w:rsid w:val="006A430B"/>
    <w:rsid w:val="006A46BE"/>
    <w:rsid w:val="006A47B1"/>
    <w:rsid w:val="006A4970"/>
    <w:rsid w:val="006A4AB5"/>
    <w:rsid w:val="006A505D"/>
    <w:rsid w:val="006A53D5"/>
    <w:rsid w:val="006A5780"/>
    <w:rsid w:val="006A5C05"/>
    <w:rsid w:val="006A5F37"/>
    <w:rsid w:val="006A60D0"/>
    <w:rsid w:val="006A61A7"/>
    <w:rsid w:val="006A64E8"/>
    <w:rsid w:val="006A64F3"/>
    <w:rsid w:val="006A6FB2"/>
    <w:rsid w:val="006A6FBB"/>
    <w:rsid w:val="006A722D"/>
    <w:rsid w:val="006A7591"/>
    <w:rsid w:val="006A7E05"/>
    <w:rsid w:val="006B083F"/>
    <w:rsid w:val="006B0B76"/>
    <w:rsid w:val="006B0B99"/>
    <w:rsid w:val="006B142B"/>
    <w:rsid w:val="006B1921"/>
    <w:rsid w:val="006B1F0C"/>
    <w:rsid w:val="006B28D7"/>
    <w:rsid w:val="006B293D"/>
    <w:rsid w:val="006B2D6C"/>
    <w:rsid w:val="006B3025"/>
    <w:rsid w:val="006B3488"/>
    <w:rsid w:val="006B3708"/>
    <w:rsid w:val="006B39DB"/>
    <w:rsid w:val="006B3A6C"/>
    <w:rsid w:val="006B3AAE"/>
    <w:rsid w:val="006B3F1E"/>
    <w:rsid w:val="006B4382"/>
    <w:rsid w:val="006B4583"/>
    <w:rsid w:val="006B4827"/>
    <w:rsid w:val="006B4958"/>
    <w:rsid w:val="006B4C49"/>
    <w:rsid w:val="006B50EF"/>
    <w:rsid w:val="006B5605"/>
    <w:rsid w:val="006B5713"/>
    <w:rsid w:val="006B5974"/>
    <w:rsid w:val="006B5FC1"/>
    <w:rsid w:val="006B627C"/>
    <w:rsid w:val="006B66FD"/>
    <w:rsid w:val="006B6ECB"/>
    <w:rsid w:val="006B7067"/>
    <w:rsid w:val="006B740E"/>
    <w:rsid w:val="006B7679"/>
    <w:rsid w:val="006B779E"/>
    <w:rsid w:val="006B7CD6"/>
    <w:rsid w:val="006C045C"/>
    <w:rsid w:val="006C0511"/>
    <w:rsid w:val="006C075A"/>
    <w:rsid w:val="006C0884"/>
    <w:rsid w:val="006C09FE"/>
    <w:rsid w:val="006C0D80"/>
    <w:rsid w:val="006C1024"/>
    <w:rsid w:val="006C1088"/>
    <w:rsid w:val="006C1158"/>
    <w:rsid w:val="006C1763"/>
    <w:rsid w:val="006C1F71"/>
    <w:rsid w:val="006C1FF9"/>
    <w:rsid w:val="006C26A7"/>
    <w:rsid w:val="006C2A4A"/>
    <w:rsid w:val="006C2A74"/>
    <w:rsid w:val="006C2BAF"/>
    <w:rsid w:val="006C2DA0"/>
    <w:rsid w:val="006C32CC"/>
    <w:rsid w:val="006C3539"/>
    <w:rsid w:val="006C39EF"/>
    <w:rsid w:val="006C3B20"/>
    <w:rsid w:val="006C3C9C"/>
    <w:rsid w:val="006C4722"/>
    <w:rsid w:val="006C48BA"/>
    <w:rsid w:val="006C4B5E"/>
    <w:rsid w:val="006C4F8D"/>
    <w:rsid w:val="006C4FE2"/>
    <w:rsid w:val="006C5774"/>
    <w:rsid w:val="006C57CF"/>
    <w:rsid w:val="006C599F"/>
    <w:rsid w:val="006C5BEB"/>
    <w:rsid w:val="006C63C6"/>
    <w:rsid w:val="006C6447"/>
    <w:rsid w:val="006C6CB6"/>
    <w:rsid w:val="006C7455"/>
    <w:rsid w:val="006C78F8"/>
    <w:rsid w:val="006C7C37"/>
    <w:rsid w:val="006D009C"/>
    <w:rsid w:val="006D01FD"/>
    <w:rsid w:val="006D043D"/>
    <w:rsid w:val="006D06D9"/>
    <w:rsid w:val="006D07CD"/>
    <w:rsid w:val="006D0E1B"/>
    <w:rsid w:val="006D0F3C"/>
    <w:rsid w:val="006D1167"/>
    <w:rsid w:val="006D1606"/>
    <w:rsid w:val="006D16A1"/>
    <w:rsid w:val="006D18F7"/>
    <w:rsid w:val="006D1A57"/>
    <w:rsid w:val="006D1ED8"/>
    <w:rsid w:val="006D2040"/>
    <w:rsid w:val="006D2279"/>
    <w:rsid w:val="006D267E"/>
    <w:rsid w:val="006D351C"/>
    <w:rsid w:val="006D36B0"/>
    <w:rsid w:val="006D38C2"/>
    <w:rsid w:val="006D3A69"/>
    <w:rsid w:val="006D3BFF"/>
    <w:rsid w:val="006D3CDA"/>
    <w:rsid w:val="006D3E1D"/>
    <w:rsid w:val="006D3EED"/>
    <w:rsid w:val="006D3FF8"/>
    <w:rsid w:val="006D442E"/>
    <w:rsid w:val="006D468D"/>
    <w:rsid w:val="006D4B00"/>
    <w:rsid w:val="006D4B5F"/>
    <w:rsid w:val="006D4D42"/>
    <w:rsid w:val="006D5511"/>
    <w:rsid w:val="006D58B3"/>
    <w:rsid w:val="006D5BD1"/>
    <w:rsid w:val="006D6093"/>
    <w:rsid w:val="006D6510"/>
    <w:rsid w:val="006D65C7"/>
    <w:rsid w:val="006D6BBF"/>
    <w:rsid w:val="006D782F"/>
    <w:rsid w:val="006D7A57"/>
    <w:rsid w:val="006D7EF0"/>
    <w:rsid w:val="006D7F9A"/>
    <w:rsid w:val="006E00DD"/>
    <w:rsid w:val="006E08E5"/>
    <w:rsid w:val="006E0BA8"/>
    <w:rsid w:val="006E0E1B"/>
    <w:rsid w:val="006E0E9C"/>
    <w:rsid w:val="006E0EE5"/>
    <w:rsid w:val="006E1059"/>
    <w:rsid w:val="006E15B9"/>
    <w:rsid w:val="006E163D"/>
    <w:rsid w:val="006E1745"/>
    <w:rsid w:val="006E1775"/>
    <w:rsid w:val="006E19DB"/>
    <w:rsid w:val="006E1C0A"/>
    <w:rsid w:val="006E1E12"/>
    <w:rsid w:val="006E224D"/>
    <w:rsid w:val="006E23B9"/>
    <w:rsid w:val="006E267F"/>
    <w:rsid w:val="006E2B11"/>
    <w:rsid w:val="006E2BFE"/>
    <w:rsid w:val="006E2CF7"/>
    <w:rsid w:val="006E2E62"/>
    <w:rsid w:val="006E3D20"/>
    <w:rsid w:val="006E3FA7"/>
    <w:rsid w:val="006E4290"/>
    <w:rsid w:val="006E4294"/>
    <w:rsid w:val="006E477C"/>
    <w:rsid w:val="006E4A24"/>
    <w:rsid w:val="006E4A66"/>
    <w:rsid w:val="006E4B92"/>
    <w:rsid w:val="006E5133"/>
    <w:rsid w:val="006E513E"/>
    <w:rsid w:val="006E5203"/>
    <w:rsid w:val="006E52E7"/>
    <w:rsid w:val="006E53E0"/>
    <w:rsid w:val="006E5486"/>
    <w:rsid w:val="006E562B"/>
    <w:rsid w:val="006E5C04"/>
    <w:rsid w:val="006E606C"/>
    <w:rsid w:val="006E6B86"/>
    <w:rsid w:val="006E6EB9"/>
    <w:rsid w:val="006E7432"/>
    <w:rsid w:val="006E798A"/>
    <w:rsid w:val="006F002D"/>
    <w:rsid w:val="006F0456"/>
    <w:rsid w:val="006F053A"/>
    <w:rsid w:val="006F0A7D"/>
    <w:rsid w:val="006F1135"/>
    <w:rsid w:val="006F130C"/>
    <w:rsid w:val="006F18E8"/>
    <w:rsid w:val="006F1A70"/>
    <w:rsid w:val="006F1B88"/>
    <w:rsid w:val="006F1BFD"/>
    <w:rsid w:val="006F2234"/>
    <w:rsid w:val="006F2425"/>
    <w:rsid w:val="006F2794"/>
    <w:rsid w:val="006F2B1C"/>
    <w:rsid w:val="006F2B98"/>
    <w:rsid w:val="006F2D60"/>
    <w:rsid w:val="006F3257"/>
    <w:rsid w:val="006F3791"/>
    <w:rsid w:val="006F37D6"/>
    <w:rsid w:val="006F3E2B"/>
    <w:rsid w:val="006F471F"/>
    <w:rsid w:val="006F4A77"/>
    <w:rsid w:val="006F4ED3"/>
    <w:rsid w:val="006F4F46"/>
    <w:rsid w:val="006F5500"/>
    <w:rsid w:val="006F5C9B"/>
    <w:rsid w:val="006F5CE8"/>
    <w:rsid w:val="006F61F4"/>
    <w:rsid w:val="006F6361"/>
    <w:rsid w:val="006F65E2"/>
    <w:rsid w:val="006F673C"/>
    <w:rsid w:val="006F6820"/>
    <w:rsid w:val="006F6D00"/>
    <w:rsid w:val="006F6F1E"/>
    <w:rsid w:val="006F71CA"/>
    <w:rsid w:val="006F7495"/>
    <w:rsid w:val="006F7749"/>
    <w:rsid w:val="006F7B8E"/>
    <w:rsid w:val="006F7E8C"/>
    <w:rsid w:val="0070001B"/>
    <w:rsid w:val="007000BF"/>
    <w:rsid w:val="00700948"/>
    <w:rsid w:val="00700F03"/>
    <w:rsid w:val="00701BAD"/>
    <w:rsid w:val="007027E0"/>
    <w:rsid w:val="00702812"/>
    <w:rsid w:val="00702AC4"/>
    <w:rsid w:val="007033DB"/>
    <w:rsid w:val="00703423"/>
    <w:rsid w:val="00703457"/>
    <w:rsid w:val="0070379C"/>
    <w:rsid w:val="007039C2"/>
    <w:rsid w:val="00703D22"/>
    <w:rsid w:val="0070425E"/>
    <w:rsid w:val="007047D3"/>
    <w:rsid w:val="00704B31"/>
    <w:rsid w:val="00704CDA"/>
    <w:rsid w:val="00704E80"/>
    <w:rsid w:val="007050CD"/>
    <w:rsid w:val="0070538F"/>
    <w:rsid w:val="007054CB"/>
    <w:rsid w:val="007055E0"/>
    <w:rsid w:val="00705EBF"/>
    <w:rsid w:val="00705FDB"/>
    <w:rsid w:val="00706375"/>
    <w:rsid w:val="007066FF"/>
    <w:rsid w:val="007068CD"/>
    <w:rsid w:val="00706B21"/>
    <w:rsid w:val="0070717B"/>
    <w:rsid w:val="007071C0"/>
    <w:rsid w:val="007072B2"/>
    <w:rsid w:val="007074D5"/>
    <w:rsid w:val="007076DD"/>
    <w:rsid w:val="00707900"/>
    <w:rsid w:val="00710295"/>
    <w:rsid w:val="00710462"/>
    <w:rsid w:val="00710998"/>
    <w:rsid w:val="007110EC"/>
    <w:rsid w:val="007110F4"/>
    <w:rsid w:val="00711556"/>
    <w:rsid w:val="00711711"/>
    <w:rsid w:val="007123A8"/>
    <w:rsid w:val="007127B3"/>
    <w:rsid w:val="007129A8"/>
    <w:rsid w:val="00712A7B"/>
    <w:rsid w:val="00712CFF"/>
    <w:rsid w:val="00713111"/>
    <w:rsid w:val="0071311E"/>
    <w:rsid w:val="00713243"/>
    <w:rsid w:val="00713BD5"/>
    <w:rsid w:val="00713DAE"/>
    <w:rsid w:val="00713F09"/>
    <w:rsid w:val="00714097"/>
    <w:rsid w:val="0071445F"/>
    <w:rsid w:val="007147B1"/>
    <w:rsid w:val="00714A1E"/>
    <w:rsid w:val="00714B5D"/>
    <w:rsid w:val="00714FC4"/>
    <w:rsid w:val="00715156"/>
    <w:rsid w:val="00715393"/>
    <w:rsid w:val="007153FD"/>
    <w:rsid w:val="00715A82"/>
    <w:rsid w:val="00715F79"/>
    <w:rsid w:val="0071623C"/>
    <w:rsid w:val="007162D4"/>
    <w:rsid w:val="00716501"/>
    <w:rsid w:val="007167B5"/>
    <w:rsid w:val="00717361"/>
    <w:rsid w:val="007174F5"/>
    <w:rsid w:val="00717E2B"/>
    <w:rsid w:val="007207E3"/>
    <w:rsid w:val="00720A3B"/>
    <w:rsid w:val="00720C34"/>
    <w:rsid w:val="00720EA0"/>
    <w:rsid w:val="00721A7F"/>
    <w:rsid w:val="00721AFB"/>
    <w:rsid w:val="00721BE7"/>
    <w:rsid w:val="00721FD7"/>
    <w:rsid w:val="00722965"/>
    <w:rsid w:val="00722CA2"/>
    <w:rsid w:val="00723EB7"/>
    <w:rsid w:val="00723F84"/>
    <w:rsid w:val="007244CF"/>
    <w:rsid w:val="0072452E"/>
    <w:rsid w:val="007245FB"/>
    <w:rsid w:val="00724667"/>
    <w:rsid w:val="00724725"/>
    <w:rsid w:val="00724768"/>
    <w:rsid w:val="0072494F"/>
    <w:rsid w:val="00724A1B"/>
    <w:rsid w:val="00724A28"/>
    <w:rsid w:val="00725086"/>
    <w:rsid w:val="007250FE"/>
    <w:rsid w:val="0072523D"/>
    <w:rsid w:val="007252B3"/>
    <w:rsid w:val="00725367"/>
    <w:rsid w:val="00725A65"/>
    <w:rsid w:val="00725F64"/>
    <w:rsid w:val="007260F4"/>
    <w:rsid w:val="00726321"/>
    <w:rsid w:val="00726577"/>
    <w:rsid w:val="00726D69"/>
    <w:rsid w:val="00726DF4"/>
    <w:rsid w:val="00726E75"/>
    <w:rsid w:val="00726ED9"/>
    <w:rsid w:val="007270D0"/>
    <w:rsid w:val="00727209"/>
    <w:rsid w:val="00727694"/>
    <w:rsid w:val="00727DB5"/>
    <w:rsid w:val="007300D8"/>
    <w:rsid w:val="00730297"/>
    <w:rsid w:val="0073050C"/>
    <w:rsid w:val="007305AC"/>
    <w:rsid w:val="0073130E"/>
    <w:rsid w:val="007313D4"/>
    <w:rsid w:val="007314CE"/>
    <w:rsid w:val="00731520"/>
    <w:rsid w:val="007315E2"/>
    <w:rsid w:val="007317ED"/>
    <w:rsid w:val="007318E5"/>
    <w:rsid w:val="00732255"/>
    <w:rsid w:val="00732261"/>
    <w:rsid w:val="00732536"/>
    <w:rsid w:val="007326FE"/>
    <w:rsid w:val="00732841"/>
    <w:rsid w:val="00732860"/>
    <w:rsid w:val="00732961"/>
    <w:rsid w:val="00732969"/>
    <w:rsid w:val="00732E53"/>
    <w:rsid w:val="00732E5A"/>
    <w:rsid w:val="00733022"/>
    <w:rsid w:val="007331F8"/>
    <w:rsid w:val="007340C2"/>
    <w:rsid w:val="007341F4"/>
    <w:rsid w:val="00734524"/>
    <w:rsid w:val="0073463C"/>
    <w:rsid w:val="00734650"/>
    <w:rsid w:val="00734C58"/>
    <w:rsid w:val="00734EA6"/>
    <w:rsid w:val="00734F71"/>
    <w:rsid w:val="0073517D"/>
    <w:rsid w:val="00735261"/>
    <w:rsid w:val="007354D7"/>
    <w:rsid w:val="0073573C"/>
    <w:rsid w:val="00735B6F"/>
    <w:rsid w:val="00735DBD"/>
    <w:rsid w:val="007361C2"/>
    <w:rsid w:val="0073637F"/>
    <w:rsid w:val="00736699"/>
    <w:rsid w:val="0073690E"/>
    <w:rsid w:val="00736D46"/>
    <w:rsid w:val="007377A3"/>
    <w:rsid w:val="00737E88"/>
    <w:rsid w:val="007400F1"/>
    <w:rsid w:val="007403AF"/>
    <w:rsid w:val="007407CB"/>
    <w:rsid w:val="00740A93"/>
    <w:rsid w:val="0074109E"/>
    <w:rsid w:val="007410A2"/>
    <w:rsid w:val="00741570"/>
    <w:rsid w:val="007415D3"/>
    <w:rsid w:val="00741D7D"/>
    <w:rsid w:val="00741D99"/>
    <w:rsid w:val="00741E40"/>
    <w:rsid w:val="00741FEB"/>
    <w:rsid w:val="00742762"/>
    <w:rsid w:val="007428DB"/>
    <w:rsid w:val="00742A7B"/>
    <w:rsid w:val="00742C98"/>
    <w:rsid w:val="00742D4D"/>
    <w:rsid w:val="00742E3F"/>
    <w:rsid w:val="0074326D"/>
    <w:rsid w:val="00743274"/>
    <w:rsid w:val="00743A6C"/>
    <w:rsid w:val="00743BA2"/>
    <w:rsid w:val="00743F8F"/>
    <w:rsid w:val="00743FF1"/>
    <w:rsid w:val="00744421"/>
    <w:rsid w:val="007445EC"/>
    <w:rsid w:val="00745D1A"/>
    <w:rsid w:val="0074618F"/>
    <w:rsid w:val="007461D8"/>
    <w:rsid w:val="007463BA"/>
    <w:rsid w:val="00746D3F"/>
    <w:rsid w:val="0074744F"/>
    <w:rsid w:val="00747E8C"/>
    <w:rsid w:val="00750BC3"/>
    <w:rsid w:val="00750C32"/>
    <w:rsid w:val="00750C53"/>
    <w:rsid w:val="00752026"/>
    <w:rsid w:val="007520A4"/>
    <w:rsid w:val="007520FB"/>
    <w:rsid w:val="0075216A"/>
    <w:rsid w:val="0075254A"/>
    <w:rsid w:val="0075356B"/>
    <w:rsid w:val="00753626"/>
    <w:rsid w:val="00753632"/>
    <w:rsid w:val="00753893"/>
    <w:rsid w:val="00753A94"/>
    <w:rsid w:val="00753D93"/>
    <w:rsid w:val="00753E76"/>
    <w:rsid w:val="00754828"/>
    <w:rsid w:val="00754C8C"/>
    <w:rsid w:val="00755318"/>
    <w:rsid w:val="007553A8"/>
    <w:rsid w:val="00755E5D"/>
    <w:rsid w:val="0075616A"/>
    <w:rsid w:val="0075628E"/>
    <w:rsid w:val="0075683C"/>
    <w:rsid w:val="00756882"/>
    <w:rsid w:val="007568C2"/>
    <w:rsid w:val="00756ACC"/>
    <w:rsid w:val="00756CBC"/>
    <w:rsid w:val="00756CF4"/>
    <w:rsid w:val="00757141"/>
    <w:rsid w:val="00757278"/>
    <w:rsid w:val="007573A1"/>
    <w:rsid w:val="0075781C"/>
    <w:rsid w:val="00757C38"/>
    <w:rsid w:val="0076045F"/>
    <w:rsid w:val="00760708"/>
    <w:rsid w:val="00760886"/>
    <w:rsid w:val="00760967"/>
    <w:rsid w:val="00760BF7"/>
    <w:rsid w:val="00760FEF"/>
    <w:rsid w:val="007610B6"/>
    <w:rsid w:val="007611A8"/>
    <w:rsid w:val="00761235"/>
    <w:rsid w:val="007616EA"/>
    <w:rsid w:val="00761890"/>
    <w:rsid w:val="00761E57"/>
    <w:rsid w:val="00762526"/>
    <w:rsid w:val="007629C6"/>
    <w:rsid w:val="0076315C"/>
    <w:rsid w:val="00763534"/>
    <w:rsid w:val="0076367A"/>
    <w:rsid w:val="00763902"/>
    <w:rsid w:val="007646E9"/>
    <w:rsid w:val="00764C8E"/>
    <w:rsid w:val="00764D78"/>
    <w:rsid w:val="007659C8"/>
    <w:rsid w:val="007664B1"/>
    <w:rsid w:val="0076681B"/>
    <w:rsid w:val="00766842"/>
    <w:rsid w:val="00766885"/>
    <w:rsid w:val="00766A71"/>
    <w:rsid w:val="00766C88"/>
    <w:rsid w:val="007676CB"/>
    <w:rsid w:val="00767E0A"/>
    <w:rsid w:val="0077026E"/>
    <w:rsid w:val="00770EE7"/>
    <w:rsid w:val="0077102F"/>
    <w:rsid w:val="0077127E"/>
    <w:rsid w:val="00771C6A"/>
    <w:rsid w:val="00772039"/>
    <w:rsid w:val="00772461"/>
    <w:rsid w:val="00772DAD"/>
    <w:rsid w:val="00773218"/>
    <w:rsid w:val="0077354E"/>
    <w:rsid w:val="00773ADC"/>
    <w:rsid w:val="0077434D"/>
    <w:rsid w:val="007743A8"/>
    <w:rsid w:val="007749BF"/>
    <w:rsid w:val="00774FBC"/>
    <w:rsid w:val="00775773"/>
    <w:rsid w:val="0077583B"/>
    <w:rsid w:val="0077586E"/>
    <w:rsid w:val="00775A7E"/>
    <w:rsid w:val="00775CB6"/>
    <w:rsid w:val="007761C4"/>
    <w:rsid w:val="00776D18"/>
    <w:rsid w:val="00777349"/>
    <w:rsid w:val="00777C69"/>
    <w:rsid w:val="00777EDF"/>
    <w:rsid w:val="00777F33"/>
    <w:rsid w:val="007801BA"/>
    <w:rsid w:val="007802B1"/>
    <w:rsid w:val="007803A5"/>
    <w:rsid w:val="007807BB"/>
    <w:rsid w:val="00780869"/>
    <w:rsid w:val="00780A43"/>
    <w:rsid w:val="00780FA4"/>
    <w:rsid w:val="00781769"/>
    <w:rsid w:val="007817C1"/>
    <w:rsid w:val="007817F6"/>
    <w:rsid w:val="007819BC"/>
    <w:rsid w:val="00781C61"/>
    <w:rsid w:val="00782013"/>
    <w:rsid w:val="00782030"/>
    <w:rsid w:val="00782BF1"/>
    <w:rsid w:val="00782D15"/>
    <w:rsid w:val="007831C6"/>
    <w:rsid w:val="0078326D"/>
    <w:rsid w:val="00783418"/>
    <w:rsid w:val="007835E1"/>
    <w:rsid w:val="00783629"/>
    <w:rsid w:val="007839E9"/>
    <w:rsid w:val="007849D6"/>
    <w:rsid w:val="00784B1C"/>
    <w:rsid w:val="00784C41"/>
    <w:rsid w:val="00784C68"/>
    <w:rsid w:val="007851B2"/>
    <w:rsid w:val="00785727"/>
    <w:rsid w:val="00785C40"/>
    <w:rsid w:val="00786081"/>
    <w:rsid w:val="00786114"/>
    <w:rsid w:val="0078618B"/>
    <w:rsid w:val="00786340"/>
    <w:rsid w:val="0078652D"/>
    <w:rsid w:val="007868C8"/>
    <w:rsid w:val="00786B33"/>
    <w:rsid w:val="00786E1C"/>
    <w:rsid w:val="00786EAE"/>
    <w:rsid w:val="00786F48"/>
    <w:rsid w:val="00786F73"/>
    <w:rsid w:val="0078730E"/>
    <w:rsid w:val="00787523"/>
    <w:rsid w:val="00787683"/>
    <w:rsid w:val="0078780E"/>
    <w:rsid w:val="00787EEB"/>
    <w:rsid w:val="00790388"/>
    <w:rsid w:val="007903F6"/>
    <w:rsid w:val="00790B60"/>
    <w:rsid w:val="00790BB4"/>
    <w:rsid w:val="00790F66"/>
    <w:rsid w:val="0079191D"/>
    <w:rsid w:val="00791A08"/>
    <w:rsid w:val="00791A15"/>
    <w:rsid w:val="00791D48"/>
    <w:rsid w:val="007922B8"/>
    <w:rsid w:val="00792492"/>
    <w:rsid w:val="007926EB"/>
    <w:rsid w:val="007931FE"/>
    <w:rsid w:val="00793365"/>
    <w:rsid w:val="007934C0"/>
    <w:rsid w:val="00793764"/>
    <w:rsid w:val="007940CD"/>
    <w:rsid w:val="007941F4"/>
    <w:rsid w:val="007946FF"/>
    <w:rsid w:val="00794D1E"/>
    <w:rsid w:val="00794E7A"/>
    <w:rsid w:val="00795129"/>
    <w:rsid w:val="00795717"/>
    <w:rsid w:val="00795BEA"/>
    <w:rsid w:val="00795D11"/>
    <w:rsid w:val="00796163"/>
    <w:rsid w:val="007962C4"/>
    <w:rsid w:val="007963EB"/>
    <w:rsid w:val="007964DF"/>
    <w:rsid w:val="00796673"/>
    <w:rsid w:val="00796B4D"/>
    <w:rsid w:val="00796BD0"/>
    <w:rsid w:val="00796C52"/>
    <w:rsid w:val="0079729E"/>
    <w:rsid w:val="007976AB"/>
    <w:rsid w:val="0079786B"/>
    <w:rsid w:val="00797907"/>
    <w:rsid w:val="00797953"/>
    <w:rsid w:val="00797E9B"/>
    <w:rsid w:val="007A0267"/>
    <w:rsid w:val="007A0570"/>
    <w:rsid w:val="007A1101"/>
    <w:rsid w:val="007A1162"/>
    <w:rsid w:val="007A22E6"/>
    <w:rsid w:val="007A2640"/>
    <w:rsid w:val="007A279C"/>
    <w:rsid w:val="007A289A"/>
    <w:rsid w:val="007A28E3"/>
    <w:rsid w:val="007A28FF"/>
    <w:rsid w:val="007A2A01"/>
    <w:rsid w:val="007A2BD0"/>
    <w:rsid w:val="007A3364"/>
    <w:rsid w:val="007A3464"/>
    <w:rsid w:val="007A40AD"/>
    <w:rsid w:val="007A4918"/>
    <w:rsid w:val="007A4AA9"/>
    <w:rsid w:val="007A4D35"/>
    <w:rsid w:val="007A4DDF"/>
    <w:rsid w:val="007A4F48"/>
    <w:rsid w:val="007A5AB7"/>
    <w:rsid w:val="007A5ABB"/>
    <w:rsid w:val="007A61D1"/>
    <w:rsid w:val="007A685D"/>
    <w:rsid w:val="007A6C39"/>
    <w:rsid w:val="007A70B5"/>
    <w:rsid w:val="007A7247"/>
    <w:rsid w:val="007A724D"/>
    <w:rsid w:val="007A7281"/>
    <w:rsid w:val="007A7EC2"/>
    <w:rsid w:val="007A7FE5"/>
    <w:rsid w:val="007B04A5"/>
    <w:rsid w:val="007B05AE"/>
    <w:rsid w:val="007B0DA3"/>
    <w:rsid w:val="007B0ECD"/>
    <w:rsid w:val="007B11CA"/>
    <w:rsid w:val="007B1405"/>
    <w:rsid w:val="007B15CF"/>
    <w:rsid w:val="007B182D"/>
    <w:rsid w:val="007B18AE"/>
    <w:rsid w:val="007B1D4E"/>
    <w:rsid w:val="007B239B"/>
    <w:rsid w:val="007B247B"/>
    <w:rsid w:val="007B29DF"/>
    <w:rsid w:val="007B2ED6"/>
    <w:rsid w:val="007B2F83"/>
    <w:rsid w:val="007B2FE4"/>
    <w:rsid w:val="007B309F"/>
    <w:rsid w:val="007B30C0"/>
    <w:rsid w:val="007B350C"/>
    <w:rsid w:val="007B37DE"/>
    <w:rsid w:val="007B382C"/>
    <w:rsid w:val="007B4468"/>
    <w:rsid w:val="007B4A80"/>
    <w:rsid w:val="007B4F46"/>
    <w:rsid w:val="007B50D9"/>
    <w:rsid w:val="007B50DD"/>
    <w:rsid w:val="007B5126"/>
    <w:rsid w:val="007B5716"/>
    <w:rsid w:val="007B5CC4"/>
    <w:rsid w:val="007B6055"/>
    <w:rsid w:val="007B65C0"/>
    <w:rsid w:val="007B67C3"/>
    <w:rsid w:val="007B6D06"/>
    <w:rsid w:val="007B6D17"/>
    <w:rsid w:val="007B6D74"/>
    <w:rsid w:val="007B6DDE"/>
    <w:rsid w:val="007B726E"/>
    <w:rsid w:val="007B7549"/>
    <w:rsid w:val="007C0C8B"/>
    <w:rsid w:val="007C12B8"/>
    <w:rsid w:val="007C14A6"/>
    <w:rsid w:val="007C1662"/>
    <w:rsid w:val="007C175F"/>
    <w:rsid w:val="007C1D35"/>
    <w:rsid w:val="007C2314"/>
    <w:rsid w:val="007C234A"/>
    <w:rsid w:val="007C288D"/>
    <w:rsid w:val="007C29CE"/>
    <w:rsid w:val="007C2DCC"/>
    <w:rsid w:val="007C3032"/>
    <w:rsid w:val="007C398F"/>
    <w:rsid w:val="007C3D65"/>
    <w:rsid w:val="007C40F1"/>
    <w:rsid w:val="007C439D"/>
    <w:rsid w:val="007C44F8"/>
    <w:rsid w:val="007C4B10"/>
    <w:rsid w:val="007C5381"/>
    <w:rsid w:val="007C54CC"/>
    <w:rsid w:val="007C550E"/>
    <w:rsid w:val="007C557B"/>
    <w:rsid w:val="007C564A"/>
    <w:rsid w:val="007C587D"/>
    <w:rsid w:val="007C5B58"/>
    <w:rsid w:val="007C61B2"/>
    <w:rsid w:val="007C6479"/>
    <w:rsid w:val="007C661E"/>
    <w:rsid w:val="007C66FA"/>
    <w:rsid w:val="007C6A3E"/>
    <w:rsid w:val="007C6A6B"/>
    <w:rsid w:val="007C6D04"/>
    <w:rsid w:val="007C6F69"/>
    <w:rsid w:val="007C72EA"/>
    <w:rsid w:val="007C74BA"/>
    <w:rsid w:val="007C75B5"/>
    <w:rsid w:val="007C77AB"/>
    <w:rsid w:val="007C77BC"/>
    <w:rsid w:val="007C7A87"/>
    <w:rsid w:val="007C7BEB"/>
    <w:rsid w:val="007C7F63"/>
    <w:rsid w:val="007C7FE2"/>
    <w:rsid w:val="007D0550"/>
    <w:rsid w:val="007D06A5"/>
    <w:rsid w:val="007D0902"/>
    <w:rsid w:val="007D0CAE"/>
    <w:rsid w:val="007D0DA0"/>
    <w:rsid w:val="007D13BA"/>
    <w:rsid w:val="007D1598"/>
    <w:rsid w:val="007D1961"/>
    <w:rsid w:val="007D1A5A"/>
    <w:rsid w:val="007D1CB8"/>
    <w:rsid w:val="007D1F1D"/>
    <w:rsid w:val="007D216A"/>
    <w:rsid w:val="007D263D"/>
    <w:rsid w:val="007D29BC"/>
    <w:rsid w:val="007D2A9C"/>
    <w:rsid w:val="007D2B4F"/>
    <w:rsid w:val="007D2F3A"/>
    <w:rsid w:val="007D34B3"/>
    <w:rsid w:val="007D35D8"/>
    <w:rsid w:val="007D36C0"/>
    <w:rsid w:val="007D3BF8"/>
    <w:rsid w:val="007D4489"/>
    <w:rsid w:val="007D44A6"/>
    <w:rsid w:val="007D45DC"/>
    <w:rsid w:val="007D45F9"/>
    <w:rsid w:val="007D4600"/>
    <w:rsid w:val="007D4BA6"/>
    <w:rsid w:val="007D4BD4"/>
    <w:rsid w:val="007D4D6B"/>
    <w:rsid w:val="007D5335"/>
    <w:rsid w:val="007D5EBA"/>
    <w:rsid w:val="007D60E3"/>
    <w:rsid w:val="007D6143"/>
    <w:rsid w:val="007D62EE"/>
    <w:rsid w:val="007D6370"/>
    <w:rsid w:val="007D65FD"/>
    <w:rsid w:val="007D6A86"/>
    <w:rsid w:val="007D6C96"/>
    <w:rsid w:val="007D731A"/>
    <w:rsid w:val="007D7321"/>
    <w:rsid w:val="007D7BB3"/>
    <w:rsid w:val="007E0321"/>
    <w:rsid w:val="007E0594"/>
    <w:rsid w:val="007E0A72"/>
    <w:rsid w:val="007E0AF1"/>
    <w:rsid w:val="007E0C4A"/>
    <w:rsid w:val="007E0C6A"/>
    <w:rsid w:val="007E1876"/>
    <w:rsid w:val="007E189C"/>
    <w:rsid w:val="007E2097"/>
    <w:rsid w:val="007E24D6"/>
    <w:rsid w:val="007E2709"/>
    <w:rsid w:val="007E2B2B"/>
    <w:rsid w:val="007E2BFB"/>
    <w:rsid w:val="007E2D0C"/>
    <w:rsid w:val="007E2E6B"/>
    <w:rsid w:val="007E2ED8"/>
    <w:rsid w:val="007E2F8B"/>
    <w:rsid w:val="007E301D"/>
    <w:rsid w:val="007E313E"/>
    <w:rsid w:val="007E34F7"/>
    <w:rsid w:val="007E3560"/>
    <w:rsid w:val="007E3ABA"/>
    <w:rsid w:val="007E3C0B"/>
    <w:rsid w:val="007E419A"/>
    <w:rsid w:val="007E4A78"/>
    <w:rsid w:val="007E4FEC"/>
    <w:rsid w:val="007E5220"/>
    <w:rsid w:val="007E53C7"/>
    <w:rsid w:val="007E55C8"/>
    <w:rsid w:val="007E5CE0"/>
    <w:rsid w:val="007E5EA5"/>
    <w:rsid w:val="007E5ECC"/>
    <w:rsid w:val="007E62EA"/>
    <w:rsid w:val="007E69F2"/>
    <w:rsid w:val="007E6F61"/>
    <w:rsid w:val="007E795D"/>
    <w:rsid w:val="007E7E0F"/>
    <w:rsid w:val="007E7E48"/>
    <w:rsid w:val="007E7F02"/>
    <w:rsid w:val="007F100A"/>
    <w:rsid w:val="007F14F5"/>
    <w:rsid w:val="007F1748"/>
    <w:rsid w:val="007F1CC8"/>
    <w:rsid w:val="007F2F4E"/>
    <w:rsid w:val="007F3B8B"/>
    <w:rsid w:val="007F45FD"/>
    <w:rsid w:val="007F4801"/>
    <w:rsid w:val="007F4E2B"/>
    <w:rsid w:val="007F510A"/>
    <w:rsid w:val="007F5146"/>
    <w:rsid w:val="007F56DE"/>
    <w:rsid w:val="007F57E8"/>
    <w:rsid w:val="007F626A"/>
    <w:rsid w:val="007F68BA"/>
    <w:rsid w:val="007F6A30"/>
    <w:rsid w:val="007F6B09"/>
    <w:rsid w:val="007F72DB"/>
    <w:rsid w:val="007F7B44"/>
    <w:rsid w:val="007F7ECC"/>
    <w:rsid w:val="007F7F9C"/>
    <w:rsid w:val="00800010"/>
    <w:rsid w:val="008000DF"/>
    <w:rsid w:val="008008DE"/>
    <w:rsid w:val="00800D72"/>
    <w:rsid w:val="00801270"/>
    <w:rsid w:val="00801283"/>
    <w:rsid w:val="008014A4"/>
    <w:rsid w:val="0080154B"/>
    <w:rsid w:val="00801B46"/>
    <w:rsid w:val="008024A0"/>
    <w:rsid w:val="00802530"/>
    <w:rsid w:val="00802869"/>
    <w:rsid w:val="00802905"/>
    <w:rsid w:val="00802AF2"/>
    <w:rsid w:val="00803135"/>
    <w:rsid w:val="008031ED"/>
    <w:rsid w:val="0080398E"/>
    <w:rsid w:val="00803ADB"/>
    <w:rsid w:val="00803CE4"/>
    <w:rsid w:val="00803E62"/>
    <w:rsid w:val="00804A12"/>
    <w:rsid w:val="00805276"/>
    <w:rsid w:val="008057CB"/>
    <w:rsid w:val="00805CC9"/>
    <w:rsid w:val="00805E39"/>
    <w:rsid w:val="00806384"/>
    <w:rsid w:val="00806437"/>
    <w:rsid w:val="008069DB"/>
    <w:rsid w:val="00806EB0"/>
    <w:rsid w:val="008077F6"/>
    <w:rsid w:val="00807F61"/>
    <w:rsid w:val="00810572"/>
    <w:rsid w:val="008106E1"/>
    <w:rsid w:val="008109B5"/>
    <w:rsid w:val="00810EFC"/>
    <w:rsid w:val="0081142E"/>
    <w:rsid w:val="008119AE"/>
    <w:rsid w:val="00811F69"/>
    <w:rsid w:val="00812000"/>
    <w:rsid w:val="008122FF"/>
    <w:rsid w:val="00812C4C"/>
    <w:rsid w:val="00812D00"/>
    <w:rsid w:val="00812E2B"/>
    <w:rsid w:val="00813162"/>
    <w:rsid w:val="0081324A"/>
    <w:rsid w:val="0081329A"/>
    <w:rsid w:val="0081348B"/>
    <w:rsid w:val="0081353F"/>
    <w:rsid w:val="008135EE"/>
    <w:rsid w:val="0081379C"/>
    <w:rsid w:val="008137EE"/>
    <w:rsid w:val="008139B8"/>
    <w:rsid w:val="00813DC7"/>
    <w:rsid w:val="00813EB9"/>
    <w:rsid w:val="00813FFF"/>
    <w:rsid w:val="00814138"/>
    <w:rsid w:val="0081415E"/>
    <w:rsid w:val="0081430E"/>
    <w:rsid w:val="00814384"/>
    <w:rsid w:val="00814416"/>
    <w:rsid w:val="00814637"/>
    <w:rsid w:val="00814BDB"/>
    <w:rsid w:val="00815412"/>
    <w:rsid w:val="00815905"/>
    <w:rsid w:val="0081599D"/>
    <w:rsid w:val="008159F6"/>
    <w:rsid w:val="00816053"/>
    <w:rsid w:val="00816720"/>
    <w:rsid w:val="00816E21"/>
    <w:rsid w:val="00817242"/>
    <w:rsid w:val="00817315"/>
    <w:rsid w:val="008173C9"/>
    <w:rsid w:val="00817EB3"/>
    <w:rsid w:val="008200A0"/>
    <w:rsid w:val="00820248"/>
    <w:rsid w:val="008207D1"/>
    <w:rsid w:val="008207D8"/>
    <w:rsid w:val="00821563"/>
    <w:rsid w:val="00821605"/>
    <w:rsid w:val="008218F0"/>
    <w:rsid w:val="00821EAC"/>
    <w:rsid w:val="0082243E"/>
    <w:rsid w:val="008227B7"/>
    <w:rsid w:val="00822CEF"/>
    <w:rsid w:val="00822EFA"/>
    <w:rsid w:val="00822FCC"/>
    <w:rsid w:val="0082323B"/>
    <w:rsid w:val="0082348B"/>
    <w:rsid w:val="008236A4"/>
    <w:rsid w:val="00823877"/>
    <w:rsid w:val="00823B59"/>
    <w:rsid w:val="00824188"/>
    <w:rsid w:val="0082465B"/>
    <w:rsid w:val="00824A29"/>
    <w:rsid w:val="00824C27"/>
    <w:rsid w:val="00824D61"/>
    <w:rsid w:val="00824F5C"/>
    <w:rsid w:val="008250BB"/>
    <w:rsid w:val="0082512B"/>
    <w:rsid w:val="00825204"/>
    <w:rsid w:val="008253CD"/>
    <w:rsid w:val="008253E0"/>
    <w:rsid w:val="008253EB"/>
    <w:rsid w:val="00825663"/>
    <w:rsid w:val="0082582D"/>
    <w:rsid w:val="008258F2"/>
    <w:rsid w:val="00825C24"/>
    <w:rsid w:val="00825E74"/>
    <w:rsid w:val="00825E83"/>
    <w:rsid w:val="00826B40"/>
    <w:rsid w:val="00826CA5"/>
    <w:rsid w:val="008272F7"/>
    <w:rsid w:val="008276DD"/>
    <w:rsid w:val="00827768"/>
    <w:rsid w:val="0082779F"/>
    <w:rsid w:val="00827B08"/>
    <w:rsid w:val="00827FAE"/>
    <w:rsid w:val="00830152"/>
    <w:rsid w:val="008301C1"/>
    <w:rsid w:val="00830288"/>
    <w:rsid w:val="0083051C"/>
    <w:rsid w:val="008309C0"/>
    <w:rsid w:val="00830D88"/>
    <w:rsid w:val="00831089"/>
    <w:rsid w:val="008314E9"/>
    <w:rsid w:val="00831539"/>
    <w:rsid w:val="008315BD"/>
    <w:rsid w:val="0083171E"/>
    <w:rsid w:val="00831984"/>
    <w:rsid w:val="00831A6E"/>
    <w:rsid w:val="00831EE1"/>
    <w:rsid w:val="0083246F"/>
    <w:rsid w:val="008324C6"/>
    <w:rsid w:val="0083264B"/>
    <w:rsid w:val="00832BC8"/>
    <w:rsid w:val="00833059"/>
    <w:rsid w:val="0083307E"/>
    <w:rsid w:val="0083341A"/>
    <w:rsid w:val="008335FB"/>
    <w:rsid w:val="00833815"/>
    <w:rsid w:val="00833823"/>
    <w:rsid w:val="008339D0"/>
    <w:rsid w:val="00833A63"/>
    <w:rsid w:val="00833EA9"/>
    <w:rsid w:val="00834283"/>
    <w:rsid w:val="0083430A"/>
    <w:rsid w:val="00834482"/>
    <w:rsid w:val="0083479D"/>
    <w:rsid w:val="00834BD5"/>
    <w:rsid w:val="0083555D"/>
    <w:rsid w:val="00835718"/>
    <w:rsid w:val="00835960"/>
    <w:rsid w:val="00835975"/>
    <w:rsid w:val="0083682A"/>
    <w:rsid w:val="00836B54"/>
    <w:rsid w:val="00836B58"/>
    <w:rsid w:val="00837159"/>
    <w:rsid w:val="00837978"/>
    <w:rsid w:val="00837A55"/>
    <w:rsid w:val="00840113"/>
    <w:rsid w:val="008409E7"/>
    <w:rsid w:val="00840BB9"/>
    <w:rsid w:val="00840FBF"/>
    <w:rsid w:val="00841062"/>
    <w:rsid w:val="0084117D"/>
    <w:rsid w:val="00841442"/>
    <w:rsid w:val="00841EFB"/>
    <w:rsid w:val="00842079"/>
    <w:rsid w:val="0084260C"/>
    <w:rsid w:val="00842718"/>
    <w:rsid w:val="008430B8"/>
    <w:rsid w:val="00843487"/>
    <w:rsid w:val="00843AC5"/>
    <w:rsid w:val="00843F51"/>
    <w:rsid w:val="00843F87"/>
    <w:rsid w:val="008440E9"/>
    <w:rsid w:val="0084411E"/>
    <w:rsid w:val="008441AB"/>
    <w:rsid w:val="00844669"/>
    <w:rsid w:val="00844DFB"/>
    <w:rsid w:val="00845256"/>
    <w:rsid w:val="00845831"/>
    <w:rsid w:val="00845DB3"/>
    <w:rsid w:val="00846567"/>
    <w:rsid w:val="00846AE2"/>
    <w:rsid w:val="00846D2F"/>
    <w:rsid w:val="0084717D"/>
    <w:rsid w:val="00847B32"/>
    <w:rsid w:val="00847CA4"/>
    <w:rsid w:val="00847D1F"/>
    <w:rsid w:val="00847E96"/>
    <w:rsid w:val="00847FD7"/>
    <w:rsid w:val="008501A4"/>
    <w:rsid w:val="0085057B"/>
    <w:rsid w:val="008505FD"/>
    <w:rsid w:val="00850AB9"/>
    <w:rsid w:val="00850DD8"/>
    <w:rsid w:val="00850F65"/>
    <w:rsid w:val="00850FDB"/>
    <w:rsid w:val="00850FEF"/>
    <w:rsid w:val="0085126D"/>
    <w:rsid w:val="008516FA"/>
    <w:rsid w:val="00851B51"/>
    <w:rsid w:val="008527EB"/>
    <w:rsid w:val="00852A79"/>
    <w:rsid w:val="00852C2F"/>
    <w:rsid w:val="00852C59"/>
    <w:rsid w:val="0085340B"/>
    <w:rsid w:val="008537B4"/>
    <w:rsid w:val="0085384C"/>
    <w:rsid w:val="0085432D"/>
    <w:rsid w:val="0085460B"/>
    <w:rsid w:val="00854611"/>
    <w:rsid w:val="008547FE"/>
    <w:rsid w:val="008549AF"/>
    <w:rsid w:val="00854AC7"/>
    <w:rsid w:val="00854CCA"/>
    <w:rsid w:val="00854D16"/>
    <w:rsid w:val="008550DB"/>
    <w:rsid w:val="00855170"/>
    <w:rsid w:val="00855822"/>
    <w:rsid w:val="00855EE0"/>
    <w:rsid w:val="00856264"/>
    <w:rsid w:val="0085703F"/>
    <w:rsid w:val="00857712"/>
    <w:rsid w:val="00857CCC"/>
    <w:rsid w:val="00857DC5"/>
    <w:rsid w:val="00860186"/>
    <w:rsid w:val="00860283"/>
    <w:rsid w:val="0086088B"/>
    <w:rsid w:val="008612A8"/>
    <w:rsid w:val="00861589"/>
    <w:rsid w:val="00861B00"/>
    <w:rsid w:val="00861E71"/>
    <w:rsid w:val="00862142"/>
    <w:rsid w:val="008621BB"/>
    <w:rsid w:val="00862288"/>
    <w:rsid w:val="0086242B"/>
    <w:rsid w:val="008629F2"/>
    <w:rsid w:val="00862AC8"/>
    <w:rsid w:val="00862C66"/>
    <w:rsid w:val="00862D98"/>
    <w:rsid w:val="00863893"/>
    <w:rsid w:val="008639A0"/>
    <w:rsid w:val="00863CB3"/>
    <w:rsid w:val="00863FA3"/>
    <w:rsid w:val="00864F59"/>
    <w:rsid w:val="008652D4"/>
    <w:rsid w:val="008656D3"/>
    <w:rsid w:val="008658B3"/>
    <w:rsid w:val="00865C6A"/>
    <w:rsid w:val="00865CF2"/>
    <w:rsid w:val="00865DF0"/>
    <w:rsid w:val="00865E18"/>
    <w:rsid w:val="00865F35"/>
    <w:rsid w:val="00866011"/>
    <w:rsid w:val="00866351"/>
    <w:rsid w:val="008672B3"/>
    <w:rsid w:val="008672CF"/>
    <w:rsid w:val="008673C1"/>
    <w:rsid w:val="00867510"/>
    <w:rsid w:val="00867530"/>
    <w:rsid w:val="00867AFA"/>
    <w:rsid w:val="00867BAF"/>
    <w:rsid w:val="00867E41"/>
    <w:rsid w:val="008702B3"/>
    <w:rsid w:val="00870397"/>
    <w:rsid w:val="008708A9"/>
    <w:rsid w:val="00871445"/>
    <w:rsid w:val="00871903"/>
    <w:rsid w:val="00872F5B"/>
    <w:rsid w:val="008735EE"/>
    <w:rsid w:val="00873C73"/>
    <w:rsid w:val="00874541"/>
    <w:rsid w:val="008749FB"/>
    <w:rsid w:val="008756AA"/>
    <w:rsid w:val="0087611C"/>
    <w:rsid w:val="008762A2"/>
    <w:rsid w:val="0087643E"/>
    <w:rsid w:val="00876CF9"/>
    <w:rsid w:val="00877624"/>
    <w:rsid w:val="008776B8"/>
    <w:rsid w:val="00877CB0"/>
    <w:rsid w:val="00877EC9"/>
    <w:rsid w:val="008808A9"/>
    <w:rsid w:val="00880A4D"/>
    <w:rsid w:val="00880A5C"/>
    <w:rsid w:val="00880B32"/>
    <w:rsid w:val="00880C39"/>
    <w:rsid w:val="00880E2E"/>
    <w:rsid w:val="00881239"/>
    <w:rsid w:val="0088135D"/>
    <w:rsid w:val="00881616"/>
    <w:rsid w:val="00881D6B"/>
    <w:rsid w:val="00881F11"/>
    <w:rsid w:val="0088248E"/>
    <w:rsid w:val="0088287A"/>
    <w:rsid w:val="008828E9"/>
    <w:rsid w:val="0088292A"/>
    <w:rsid w:val="00882F2B"/>
    <w:rsid w:val="008836A4"/>
    <w:rsid w:val="0088370F"/>
    <w:rsid w:val="008837D2"/>
    <w:rsid w:val="008839DE"/>
    <w:rsid w:val="00884DDF"/>
    <w:rsid w:val="00885163"/>
    <w:rsid w:val="008851A5"/>
    <w:rsid w:val="008861E4"/>
    <w:rsid w:val="008865D9"/>
    <w:rsid w:val="00886817"/>
    <w:rsid w:val="008869DA"/>
    <w:rsid w:val="00886E23"/>
    <w:rsid w:val="00886FEE"/>
    <w:rsid w:val="00887927"/>
    <w:rsid w:val="00887C8C"/>
    <w:rsid w:val="00890090"/>
    <w:rsid w:val="00890393"/>
    <w:rsid w:val="008905E1"/>
    <w:rsid w:val="00890928"/>
    <w:rsid w:val="00890994"/>
    <w:rsid w:val="00891C1C"/>
    <w:rsid w:val="00891DBD"/>
    <w:rsid w:val="008920A0"/>
    <w:rsid w:val="0089227D"/>
    <w:rsid w:val="00892311"/>
    <w:rsid w:val="0089238F"/>
    <w:rsid w:val="00892442"/>
    <w:rsid w:val="00892AB2"/>
    <w:rsid w:val="00893840"/>
    <w:rsid w:val="00893927"/>
    <w:rsid w:val="0089400C"/>
    <w:rsid w:val="00894C8D"/>
    <w:rsid w:val="00894F6D"/>
    <w:rsid w:val="0089574C"/>
    <w:rsid w:val="00895F48"/>
    <w:rsid w:val="0089601F"/>
    <w:rsid w:val="00896185"/>
    <w:rsid w:val="008961CC"/>
    <w:rsid w:val="00896396"/>
    <w:rsid w:val="008969F3"/>
    <w:rsid w:val="00896D3B"/>
    <w:rsid w:val="00897077"/>
    <w:rsid w:val="00897172"/>
    <w:rsid w:val="00897660"/>
    <w:rsid w:val="0089798D"/>
    <w:rsid w:val="00897AAA"/>
    <w:rsid w:val="00897AC1"/>
    <w:rsid w:val="00897B85"/>
    <w:rsid w:val="00897BB7"/>
    <w:rsid w:val="008A03A1"/>
    <w:rsid w:val="008A041B"/>
    <w:rsid w:val="008A0992"/>
    <w:rsid w:val="008A113B"/>
    <w:rsid w:val="008A14B6"/>
    <w:rsid w:val="008A1CC2"/>
    <w:rsid w:val="008A22E8"/>
    <w:rsid w:val="008A235B"/>
    <w:rsid w:val="008A26DC"/>
    <w:rsid w:val="008A2A45"/>
    <w:rsid w:val="008A2C53"/>
    <w:rsid w:val="008A3339"/>
    <w:rsid w:val="008A34F9"/>
    <w:rsid w:val="008A3EF9"/>
    <w:rsid w:val="008A4680"/>
    <w:rsid w:val="008A47A2"/>
    <w:rsid w:val="008A48CE"/>
    <w:rsid w:val="008A4DF7"/>
    <w:rsid w:val="008A4FDC"/>
    <w:rsid w:val="008A5227"/>
    <w:rsid w:val="008A525C"/>
    <w:rsid w:val="008A5774"/>
    <w:rsid w:val="008A596B"/>
    <w:rsid w:val="008A59A2"/>
    <w:rsid w:val="008A5C5E"/>
    <w:rsid w:val="008A6DE7"/>
    <w:rsid w:val="008A6E8B"/>
    <w:rsid w:val="008A70E2"/>
    <w:rsid w:val="008A737F"/>
    <w:rsid w:val="008A765E"/>
    <w:rsid w:val="008A7805"/>
    <w:rsid w:val="008B07E6"/>
    <w:rsid w:val="008B07F9"/>
    <w:rsid w:val="008B0EFF"/>
    <w:rsid w:val="008B14BA"/>
    <w:rsid w:val="008B1685"/>
    <w:rsid w:val="008B1C61"/>
    <w:rsid w:val="008B1D2C"/>
    <w:rsid w:val="008B1F72"/>
    <w:rsid w:val="008B21A1"/>
    <w:rsid w:val="008B227F"/>
    <w:rsid w:val="008B27CE"/>
    <w:rsid w:val="008B2A14"/>
    <w:rsid w:val="008B2AE3"/>
    <w:rsid w:val="008B2D71"/>
    <w:rsid w:val="008B2DB8"/>
    <w:rsid w:val="008B2E1A"/>
    <w:rsid w:val="008B2E6C"/>
    <w:rsid w:val="008B2FD0"/>
    <w:rsid w:val="008B3714"/>
    <w:rsid w:val="008B37FB"/>
    <w:rsid w:val="008B380D"/>
    <w:rsid w:val="008B3C18"/>
    <w:rsid w:val="008B3E58"/>
    <w:rsid w:val="008B4046"/>
    <w:rsid w:val="008B4107"/>
    <w:rsid w:val="008B418A"/>
    <w:rsid w:val="008B454A"/>
    <w:rsid w:val="008B4B8C"/>
    <w:rsid w:val="008B4E03"/>
    <w:rsid w:val="008B4E5D"/>
    <w:rsid w:val="008B4E7D"/>
    <w:rsid w:val="008B518E"/>
    <w:rsid w:val="008B53DD"/>
    <w:rsid w:val="008B5869"/>
    <w:rsid w:val="008B5908"/>
    <w:rsid w:val="008B5E83"/>
    <w:rsid w:val="008B63D0"/>
    <w:rsid w:val="008B72B1"/>
    <w:rsid w:val="008B72F2"/>
    <w:rsid w:val="008B7651"/>
    <w:rsid w:val="008B77DC"/>
    <w:rsid w:val="008B78EF"/>
    <w:rsid w:val="008B7F38"/>
    <w:rsid w:val="008C0017"/>
    <w:rsid w:val="008C04D3"/>
    <w:rsid w:val="008C0527"/>
    <w:rsid w:val="008C101D"/>
    <w:rsid w:val="008C143C"/>
    <w:rsid w:val="008C14A4"/>
    <w:rsid w:val="008C159F"/>
    <w:rsid w:val="008C1609"/>
    <w:rsid w:val="008C1DC6"/>
    <w:rsid w:val="008C22F1"/>
    <w:rsid w:val="008C2646"/>
    <w:rsid w:val="008C2BE5"/>
    <w:rsid w:val="008C2C27"/>
    <w:rsid w:val="008C2FFF"/>
    <w:rsid w:val="008C30C2"/>
    <w:rsid w:val="008C327C"/>
    <w:rsid w:val="008C3584"/>
    <w:rsid w:val="008C39CD"/>
    <w:rsid w:val="008C3BE1"/>
    <w:rsid w:val="008C3EB9"/>
    <w:rsid w:val="008C3F3D"/>
    <w:rsid w:val="008C43BC"/>
    <w:rsid w:val="008C43DB"/>
    <w:rsid w:val="008C46B1"/>
    <w:rsid w:val="008C4A57"/>
    <w:rsid w:val="008C4F4D"/>
    <w:rsid w:val="008C5558"/>
    <w:rsid w:val="008C5ABC"/>
    <w:rsid w:val="008C5DF8"/>
    <w:rsid w:val="008C5E3E"/>
    <w:rsid w:val="008C6255"/>
    <w:rsid w:val="008C62A5"/>
    <w:rsid w:val="008C6BF5"/>
    <w:rsid w:val="008C6C90"/>
    <w:rsid w:val="008C7278"/>
    <w:rsid w:val="008C7C9F"/>
    <w:rsid w:val="008C7CF1"/>
    <w:rsid w:val="008D05CB"/>
    <w:rsid w:val="008D0ADD"/>
    <w:rsid w:val="008D0B59"/>
    <w:rsid w:val="008D0DA8"/>
    <w:rsid w:val="008D0F4B"/>
    <w:rsid w:val="008D1171"/>
    <w:rsid w:val="008D118B"/>
    <w:rsid w:val="008D13DA"/>
    <w:rsid w:val="008D1565"/>
    <w:rsid w:val="008D1D9F"/>
    <w:rsid w:val="008D2120"/>
    <w:rsid w:val="008D23A7"/>
    <w:rsid w:val="008D29DA"/>
    <w:rsid w:val="008D2BDD"/>
    <w:rsid w:val="008D2CD4"/>
    <w:rsid w:val="008D337F"/>
    <w:rsid w:val="008D341A"/>
    <w:rsid w:val="008D3960"/>
    <w:rsid w:val="008D4229"/>
    <w:rsid w:val="008D42A0"/>
    <w:rsid w:val="008D453F"/>
    <w:rsid w:val="008D5279"/>
    <w:rsid w:val="008D562B"/>
    <w:rsid w:val="008D56EA"/>
    <w:rsid w:val="008D56F1"/>
    <w:rsid w:val="008D5C47"/>
    <w:rsid w:val="008D6097"/>
    <w:rsid w:val="008D62F8"/>
    <w:rsid w:val="008D6EA8"/>
    <w:rsid w:val="008D6F23"/>
    <w:rsid w:val="008D730F"/>
    <w:rsid w:val="008D741A"/>
    <w:rsid w:val="008D7E8D"/>
    <w:rsid w:val="008E013F"/>
    <w:rsid w:val="008E0581"/>
    <w:rsid w:val="008E0889"/>
    <w:rsid w:val="008E0A19"/>
    <w:rsid w:val="008E0AED"/>
    <w:rsid w:val="008E0CDB"/>
    <w:rsid w:val="008E1024"/>
    <w:rsid w:val="008E1351"/>
    <w:rsid w:val="008E1542"/>
    <w:rsid w:val="008E179F"/>
    <w:rsid w:val="008E1D68"/>
    <w:rsid w:val="008E1E92"/>
    <w:rsid w:val="008E209C"/>
    <w:rsid w:val="008E21EA"/>
    <w:rsid w:val="008E225B"/>
    <w:rsid w:val="008E22D0"/>
    <w:rsid w:val="008E272B"/>
    <w:rsid w:val="008E2757"/>
    <w:rsid w:val="008E2921"/>
    <w:rsid w:val="008E2EFA"/>
    <w:rsid w:val="008E3573"/>
    <w:rsid w:val="008E3B87"/>
    <w:rsid w:val="008E4336"/>
    <w:rsid w:val="008E43C8"/>
    <w:rsid w:val="008E4AE1"/>
    <w:rsid w:val="008E4F41"/>
    <w:rsid w:val="008E57D4"/>
    <w:rsid w:val="008E5A18"/>
    <w:rsid w:val="008E5A32"/>
    <w:rsid w:val="008E5E0F"/>
    <w:rsid w:val="008E6379"/>
    <w:rsid w:val="008E6E87"/>
    <w:rsid w:val="008E6FA2"/>
    <w:rsid w:val="008E7B7E"/>
    <w:rsid w:val="008E7E66"/>
    <w:rsid w:val="008F031D"/>
    <w:rsid w:val="008F032F"/>
    <w:rsid w:val="008F1602"/>
    <w:rsid w:val="008F175C"/>
    <w:rsid w:val="008F17BB"/>
    <w:rsid w:val="008F1965"/>
    <w:rsid w:val="008F2612"/>
    <w:rsid w:val="008F2936"/>
    <w:rsid w:val="008F2DFA"/>
    <w:rsid w:val="008F359A"/>
    <w:rsid w:val="008F3671"/>
    <w:rsid w:val="008F3803"/>
    <w:rsid w:val="008F3B8E"/>
    <w:rsid w:val="008F4026"/>
    <w:rsid w:val="008F42BC"/>
    <w:rsid w:val="008F46ED"/>
    <w:rsid w:val="008F4791"/>
    <w:rsid w:val="008F4BD7"/>
    <w:rsid w:val="008F4BF3"/>
    <w:rsid w:val="008F51E2"/>
    <w:rsid w:val="008F535A"/>
    <w:rsid w:val="008F556A"/>
    <w:rsid w:val="008F5E34"/>
    <w:rsid w:val="008F63E9"/>
    <w:rsid w:val="008F646D"/>
    <w:rsid w:val="008F66AD"/>
    <w:rsid w:val="008F6B4C"/>
    <w:rsid w:val="008F6CBB"/>
    <w:rsid w:val="008F6D5E"/>
    <w:rsid w:val="008F6E71"/>
    <w:rsid w:val="008F7100"/>
    <w:rsid w:val="008F75AB"/>
    <w:rsid w:val="008F7632"/>
    <w:rsid w:val="008F77EB"/>
    <w:rsid w:val="008F78E4"/>
    <w:rsid w:val="008F7AE1"/>
    <w:rsid w:val="00900CE7"/>
    <w:rsid w:val="00901108"/>
    <w:rsid w:val="0090181E"/>
    <w:rsid w:val="009019D8"/>
    <w:rsid w:val="00901C20"/>
    <w:rsid w:val="00901E41"/>
    <w:rsid w:val="009020A1"/>
    <w:rsid w:val="009023C5"/>
    <w:rsid w:val="00902568"/>
    <w:rsid w:val="00902BD0"/>
    <w:rsid w:val="0090301E"/>
    <w:rsid w:val="009030C6"/>
    <w:rsid w:val="00903606"/>
    <w:rsid w:val="00903834"/>
    <w:rsid w:val="00904023"/>
    <w:rsid w:val="009043B3"/>
    <w:rsid w:val="009048E2"/>
    <w:rsid w:val="00904C11"/>
    <w:rsid w:val="00904C5D"/>
    <w:rsid w:val="009050B9"/>
    <w:rsid w:val="00905785"/>
    <w:rsid w:val="009058D8"/>
    <w:rsid w:val="009059F0"/>
    <w:rsid w:val="00905AB3"/>
    <w:rsid w:val="00905F03"/>
    <w:rsid w:val="00906691"/>
    <w:rsid w:val="009066C5"/>
    <w:rsid w:val="00906803"/>
    <w:rsid w:val="00906C26"/>
    <w:rsid w:val="00906D3A"/>
    <w:rsid w:val="00906F1D"/>
    <w:rsid w:val="009070C7"/>
    <w:rsid w:val="00907492"/>
    <w:rsid w:val="0090797E"/>
    <w:rsid w:val="00907D51"/>
    <w:rsid w:val="00907FC5"/>
    <w:rsid w:val="009101C4"/>
    <w:rsid w:val="009105A6"/>
    <w:rsid w:val="009106F9"/>
    <w:rsid w:val="00910BE6"/>
    <w:rsid w:val="00910CB5"/>
    <w:rsid w:val="00911049"/>
    <w:rsid w:val="009115BD"/>
    <w:rsid w:val="00911B5C"/>
    <w:rsid w:val="00912245"/>
    <w:rsid w:val="00912667"/>
    <w:rsid w:val="00912A09"/>
    <w:rsid w:val="00912A78"/>
    <w:rsid w:val="00912BF4"/>
    <w:rsid w:val="00912D93"/>
    <w:rsid w:val="0091328A"/>
    <w:rsid w:val="00913C97"/>
    <w:rsid w:val="00914335"/>
    <w:rsid w:val="009143C0"/>
    <w:rsid w:val="00914527"/>
    <w:rsid w:val="00914575"/>
    <w:rsid w:val="00914C13"/>
    <w:rsid w:val="00914DF7"/>
    <w:rsid w:val="00914E2A"/>
    <w:rsid w:val="00915332"/>
    <w:rsid w:val="00915F73"/>
    <w:rsid w:val="009162CD"/>
    <w:rsid w:val="0091638E"/>
    <w:rsid w:val="00916D3A"/>
    <w:rsid w:val="0091733F"/>
    <w:rsid w:val="00917348"/>
    <w:rsid w:val="00917571"/>
    <w:rsid w:val="009176CD"/>
    <w:rsid w:val="00917BC9"/>
    <w:rsid w:val="00917EBE"/>
    <w:rsid w:val="00917F40"/>
    <w:rsid w:val="00920525"/>
    <w:rsid w:val="00920892"/>
    <w:rsid w:val="00920EEC"/>
    <w:rsid w:val="00920F1F"/>
    <w:rsid w:val="00920FA9"/>
    <w:rsid w:val="00921119"/>
    <w:rsid w:val="0092212F"/>
    <w:rsid w:val="0092288C"/>
    <w:rsid w:val="009228AB"/>
    <w:rsid w:val="00922B9D"/>
    <w:rsid w:val="00922CFF"/>
    <w:rsid w:val="00922D19"/>
    <w:rsid w:val="00922DDE"/>
    <w:rsid w:val="00922E06"/>
    <w:rsid w:val="00923101"/>
    <w:rsid w:val="00923553"/>
    <w:rsid w:val="00923561"/>
    <w:rsid w:val="009235C5"/>
    <w:rsid w:val="009237AD"/>
    <w:rsid w:val="00923877"/>
    <w:rsid w:val="00923B17"/>
    <w:rsid w:val="00923B65"/>
    <w:rsid w:val="00923C1D"/>
    <w:rsid w:val="00923E40"/>
    <w:rsid w:val="00923E42"/>
    <w:rsid w:val="0092400A"/>
    <w:rsid w:val="0092449C"/>
    <w:rsid w:val="009248D0"/>
    <w:rsid w:val="00924D9D"/>
    <w:rsid w:val="00925315"/>
    <w:rsid w:val="00925460"/>
    <w:rsid w:val="0092613A"/>
    <w:rsid w:val="00926148"/>
    <w:rsid w:val="009262D9"/>
    <w:rsid w:val="00926413"/>
    <w:rsid w:val="00926E5B"/>
    <w:rsid w:val="009271D3"/>
    <w:rsid w:val="0092762B"/>
    <w:rsid w:val="00927E98"/>
    <w:rsid w:val="00930448"/>
    <w:rsid w:val="00930A32"/>
    <w:rsid w:val="00930C14"/>
    <w:rsid w:val="009313D2"/>
    <w:rsid w:val="00931598"/>
    <w:rsid w:val="0093168C"/>
    <w:rsid w:val="00931EE1"/>
    <w:rsid w:val="009323A8"/>
    <w:rsid w:val="00932435"/>
    <w:rsid w:val="00932483"/>
    <w:rsid w:val="009339FB"/>
    <w:rsid w:val="00933D67"/>
    <w:rsid w:val="00933D8A"/>
    <w:rsid w:val="00933EDA"/>
    <w:rsid w:val="00933FF2"/>
    <w:rsid w:val="00934083"/>
    <w:rsid w:val="009344E4"/>
    <w:rsid w:val="00934CD2"/>
    <w:rsid w:val="00934E75"/>
    <w:rsid w:val="0093545D"/>
    <w:rsid w:val="00935461"/>
    <w:rsid w:val="009355EB"/>
    <w:rsid w:val="009360D9"/>
    <w:rsid w:val="0093637A"/>
    <w:rsid w:val="009366F2"/>
    <w:rsid w:val="00936C00"/>
    <w:rsid w:val="00936C61"/>
    <w:rsid w:val="00936EC1"/>
    <w:rsid w:val="00936ED3"/>
    <w:rsid w:val="00936FCB"/>
    <w:rsid w:val="00937064"/>
    <w:rsid w:val="0093709B"/>
    <w:rsid w:val="00937281"/>
    <w:rsid w:val="00937312"/>
    <w:rsid w:val="009375A9"/>
    <w:rsid w:val="009401D6"/>
    <w:rsid w:val="009402EC"/>
    <w:rsid w:val="00940570"/>
    <w:rsid w:val="009405ED"/>
    <w:rsid w:val="0094107D"/>
    <w:rsid w:val="00941723"/>
    <w:rsid w:val="00941A14"/>
    <w:rsid w:val="00941DF7"/>
    <w:rsid w:val="00941EEE"/>
    <w:rsid w:val="00941FBD"/>
    <w:rsid w:val="0094229C"/>
    <w:rsid w:val="00942501"/>
    <w:rsid w:val="00942706"/>
    <w:rsid w:val="00943142"/>
    <w:rsid w:val="00943D0A"/>
    <w:rsid w:val="00943D92"/>
    <w:rsid w:val="00943E8D"/>
    <w:rsid w:val="00943FDD"/>
    <w:rsid w:val="00944144"/>
    <w:rsid w:val="00944252"/>
    <w:rsid w:val="00944D67"/>
    <w:rsid w:val="00944D77"/>
    <w:rsid w:val="009451CD"/>
    <w:rsid w:val="0094521E"/>
    <w:rsid w:val="00945A65"/>
    <w:rsid w:val="00945E50"/>
    <w:rsid w:val="00946109"/>
    <w:rsid w:val="00946250"/>
    <w:rsid w:val="00946438"/>
    <w:rsid w:val="00946443"/>
    <w:rsid w:val="00947250"/>
    <w:rsid w:val="009472C2"/>
    <w:rsid w:val="009473D4"/>
    <w:rsid w:val="00947FEB"/>
    <w:rsid w:val="009503C1"/>
    <w:rsid w:val="00950429"/>
    <w:rsid w:val="00951374"/>
    <w:rsid w:val="00951A18"/>
    <w:rsid w:val="00951C7C"/>
    <w:rsid w:val="00951D63"/>
    <w:rsid w:val="00951DDA"/>
    <w:rsid w:val="00951E0D"/>
    <w:rsid w:val="00951F6D"/>
    <w:rsid w:val="009520DE"/>
    <w:rsid w:val="00952462"/>
    <w:rsid w:val="009527F3"/>
    <w:rsid w:val="00952805"/>
    <w:rsid w:val="00952F2B"/>
    <w:rsid w:val="00952F59"/>
    <w:rsid w:val="009530F7"/>
    <w:rsid w:val="00953476"/>
    <w:rsid w:val="00953F73"/>
    <w:rsid w:val="00954685"/>
    <w:rsid w:val="009548CC"/>
    <w:rsid w:val="00954DA6"/>
    <w:rsid w:val="009552B9"/>
    <w:rsid w:val="009556F7"/>
    <w:rsid w:val="00955730"/>
    <w:rsid w:val="009559F4"/>
    <w:rsid w:val="00955E6D"/>
    <w:rsid w:val="00955EB5"/>
    <w:rsid w:val="009569D5"/>
    <w:rsid w:val="00956AA3"/>
    <w:rsid w:val="00957C58"/>
    <w:rsid w:val="00957CA5"/>
    <w:rsid w:val="00960C1C"/>
    <w:rsid w:val="00960F6A"/>
    <w:rsid w:val="00961E0B"/>
    <w:rsid w:val="00962309"/>
    <w:rsid w:val="009627D9"/>
    <w:rsid w:val="00962864"/>
    <w:rsid w:val="00962980"/>
    <w:rsid w:val="009630F0"/>
    <w:rsid w:val="009639CF"/>
    <w:rsid w:val="00963A18"/>
    <w:rsid w:val="00963ABF"/>
    <w:rsid w:val="00963CC8"/>
    <w:rsid w:val="0096414C"/>
    <w:rsid w:val="00964C26"/>
    <w:rsid w:val="00965014"/>
    <w:rsid w:val="00965223"/>
    <w:rsid w:val="009655DE"/>
    <w:rsid w:val="00965B0D"/>
    <w:rsid w:val="00966180"/>
    <w:rsid w:val="00966600"/>
    <w:rsid w:val="00967005"/>
    <w:rsid w:val="00967358"/>
    <w:rsid w:val="009673A8"/>
    <w:rsid w:val="00967643"/>
    <w:rsid w:val="00967F2B"/>
    <w:rsid w:val="0097018F"/>
    <w:rsid w:val="00970301"/>
    <w:rsid w:val="0097045F"/>
    <w:rsid w:val="00970D6E"/>
    <w:rsid w:val="00970E6C"/>
    <w:rsid w:val="0097103A"/>
    <w:rsid w:val="009714A8"/>
    <w:rsid w:val="009715A5"/>
    <w:rsid w:val="00971D38"/>
    <w:rsid w:val="0097203D"/>
    <w:rsid w:val="00972105"/>
    <w:rsid w:val="009722AC"/>
    <w:rsid w:val="009724F9"/>
    <w:rsid w:val="0097284F"/>
    <w:rsid w:val="00972B32"/>
    <w:rsid w:val="009736D0"/>
    <w:rsid w:val="0097394A"/>
    <w:rsid w:val="00973B18"/>
    <w:rsid w:val="00973FCF"/>
    <w:rsid w:val="00973FDE"/>
    <w:rsid w:val="0097441A"/>
    <w:rsid w:val="00974ABC"/>
    <w:rsid w:val="00974E4C"/>
    <w:rsid w:val="00974FB6"/>
    <w:rsid w:val="00975293"/>
    <w:rsid w:val="0097552A"/>
    <w:rsid w:val="00975DAE"/>
    <w:rsid w:val="00976019"/>
    <w:rsid w:val="00976722"/>
    <w:rsid w:val="00976738"/>
    <w:rsid w:val="00976C8E"/>
    <w:rsid w:val="009776B4"/>
    <w:rsid w:val="0097774A"/>
    <w:rsid w:val="00980090"/>
    <w:rsid w:val="0098030A"/>
    <w:rsid w:val="00980AC2"/>
    <w:rsid w:val="0098134C"/>
    <w:rsid w:val="0098151A"/>
    <w:rsid w:val="00981543"/>
    <w:rsid w:val="00981776"/>
    <w:rsid w:val="00981936"/>
    <w:rsid w:val="009819F4"/>
    <w:rsid w:val="00981D83"/>
    <w:rsid w:val="009821D0"/>
    <w:rsid w:val="009823FA"/>
    <w:rsid w:val="0098397F"/>
    <w:rsid w:val="00983AE6"/>
    <w:rsid w:val="00984160"/>
    <w:rsid w:val="00984199"/>
    <w:rsid w:val="00984794"/>
    <w:rsid w:val="00984CB2"/>
    <w:rsid w:val="00985229"/>
    <w:rsid w:val="00985548"/>
    <w:rsid w:val="00985663"/>
    <w:rsid w:val="00985949"/>
    <w:rsid w:val="00985FD9"/>
    <w:rsid w:val="009862FD"/>
    <w:rsid w:val="00986CF6"/>
    <w:rsid w:val="00986EBC"/>
    <w:rsid w:val="00987D71"/>
    <w:rsid w:val="00987E20"/>
    <w:rsid w:val="00990956"/>
    <w:rsid w:val="00990C1C"/>
    <w:rsid w:val="009912D4"/>
    <w:rsid w:val="0099131E"/>
    <w:rsid w:val="0099172E"/>
    <w:rsid w:val="0099199F"/>
    <w:rsid w:val="00991BBD"/>
    <w:rsid w:val="00991E6E"/>
    <w:rsid w:val="00991FAE"/>
    <w:rsid w:val="0099202E"/>
    <w:rsid w:val="0099214E"/>
    <w:rsid w:val="00992B09"/>
    <w:rsid w:val="00992D69"/>
    <w:rsid w:val="00992E5B"/>
    <w:rsid w:val="0099302F"/>
    <w:rsid w:val="009933E8"/>
    <w:rsid w:val="009936E0"/>
    <w:rsid w:val="00993AF2"/>
    <w:rsid w:val="009945CC"/>
    <w:rsid w:val="00994710"/>
    <w:rsid w:val="00994884"/>
    <w:rsid w:val="00994FA9"/>
    <w:rsid w:val="009959C1"/>
    <w:rsid w:val="00995DDC"/>
    <w:rsid w:val="00995F05"/>
    <w:rsid w:val="00996174"/>
    <w:rsid w:val="009962AC"/>
    <w:rsid w:val="009967E1"/>
    <w:rsid w:val="00996BA6"/>
    <w:rsid w:val="009973F6"/>
    <w:rsid w:val="0099763E"/>
    <w:rsid w:val="009976E4"/>
    <w:rsid w:val="0099787C"/>
    <w:rsid w:val="00997BFA"/>
    <w:rsid w:val="00997CE7"/>
    <w:rsid w:val="00997EF2"/>
    <w:rsid w:val="009A0648"/>
    <w:rsid w:val="009A07C8"/>
    <w:rsid w:val="009A07E2"/>
    <w:rsid w:val="009A0B6E"/>
    <w:rsid w:val="009A146C"/>
    <w:rsid w:val="009A14C0"/>
    <w:rsid w:val="009A1E95"/>
    <w:rsid w:val="009A1FDD"/>
    <w:rsid w:val="009A221C"/>
    <w:rsid w:val="009A22AA"/>
    <w:rsid w:val="009A2A74"/>
    <w:rsid w:val="009A2A89"/>
    <w:rsid w:val="009A33B8"/>
    <w:rsid w:val="009A34F3"/>
    <w:rsid w:val="009A389D"/>
    <w:rsid w:val="009A3BC5"/>
    <w:rsid w:val="009A3C99"/>
    <w:rsid w:val="009A40CF"/>
    <w:rsid w:val="009A429E"/>
    <w:rsid w:val="009A4324"/>
    <w:rsid w:val="009A4778"/>
    <w:rsid w:val="009A4A5A"/>
    <w:rsid w:val="009A5094"/>
    <w:rsid w:val="009A5E88"/>
    <w:rsid w:val="009A5ED2"/>
    <w:rsid w:val="009A5F55"/>
    <w:rsid w:val="009A630E"/>
    <w:rsid w:val="009A666B"/>
    <w:rsid w:val="009A6A84"/>
    <w:rsid w:val="009A6AB0"/>
    <w:rsid w:val="009A7D0A"/>
    <w:rsid w:val="009B0237"/>
    <w:rsid w:val="009B02EA"/>
    <w:rsid w:val="009B0821"/>
    <w:rsid w:val="009B0E3B"/>
    <w:rsid w:val="009B101E"/>
    <w:rsid w:val="009B17E3"/>
    <w:rsid w:val="009B1D09"/>
    <w:rsid w:val="009B23B3"/>
    <w:rsid w:val="009B28B7"/>
    <w:rsid w:val="009B2BAF"/>
    <w:rsid w:val="009B2C26"/>
    <w:rsid w:val="009B31BA"/>
    <w:rsid w:val="009B329F"/>
    <w:rsid w:val="009B3A7B"/>
    <w:rsid w:val="009B3D33"/>
    <w:rsid w:val="009B3EAB"/>
    <w:rsid w:val="009B3FDE"/>
    <w:rsid w:val="009B4275"/>
    <w:rsid w:val="009B43D1"/>
    <w:rsid w:val="009B5043"/>
    <w:rsid w:val="009B523A"/>
    <w:rsid w:val="009B5C2B"/>
    <w:rsid w:val="009B5DCE"/>
    <w:rsid w:val="009B6014"/>
    <w:rsid w:val="009B6193"/>
    <w:rsid w:val="009B632E"/>
    <w:rsid w:val="009B6465"/>
    <w:rsid w:val="009B67A3"/>
    <w:rsid w:val="009B685A"/>
    <w:rsid w:val="009B6EB7"/>
    <w:rsid w:val="009B7313"/>
    <w:rsid w:val="009B75E2"/>
    <w:rsid w:val="009B7AB0"/>
    <w:rsid w:val="009C0120"/>
    <w:rsid w:val="009C019B"/>
    <w:rsid w:val="009C042F"/>
    <w:rsid w:val="009C0681"/>
    <w:rsid w:val="009C0793"/>
    <w:rsid w:val="009C07DD"/>
    <w:rsid w:val="009C0C05"/>
    <w:rsid w:val="009C0D0C"/>
    <w:rsid w:val="009C0F1B"/>
    <w:rsid w:val="009C0FD1"/>
    <w:rsid w:val="009C10A5"/>
    <w:rsid w:val="009C10D1"/>
    <w:rsid w:val="009C1114"/>
    <w:rsid w:val="009C11BD"/>
    <w:rsid w:val="009C166F"/>
    <w:rsid w:val="009C184D"/>
    <w:rsid w:val="009C1A36"/>
    <w:rsid w:val="009C1AE5"/>
    <w:rsid w:val="009C1EFF"/>
    <w:rsid w:val="009C1F88"/>
    <w:rsid w:val="009C2111"/>
    <w:rsid w:val="009C2269"/>
    <w:rsid w:val="009C22DA"/>
    <w:rsid w:val="009C2B2B"/>
    <w:rsid w:val="009C2C6D"/>
    <w:rsid w:val="009C2DDC"/>
    <w:rsid w:val="009C30D7"/>
    <w:rsid w:val="009C341F"/>
    <w:rsid w:val="009C35F7"/>
    <w:rsid w:val="009C3BD4"/>
    <w:rsid w:val="009C3D04"/>
    <w:rsid w:val="009C4703"/>
    <w:rsid w:val="009C473A"/>
    <w:rsid w:val="009C479E"/>
    <w:rsid w:val="009C4A05"/>
    <w:rsid w:val="009C513D"/>
    <w:rsid w:val="009C5334"/>
    <w:rsid w:val="009C5532"/>
    <w:rsid w:val="009C598C"/>
    <w:rsid w:val="009C633C"/>
    <w:rsid w:val="009C7370"/>
    <w:rsid w:val="009C73B9"/>
    <w:rsid w:val="009C7518"/>
    <w:rsid w:val="009D0AC0"/>
    <w:rsid w:val="009D0E0D"/>
    <w:rsid w:val="009D0F87"/>
    <w:rsid w:val="009D1031"/>
    <w:rsid w:val="009D108C"/>
    <w:rsid w:val="009D12F2"/>
    <w:rsid w:val="009D16D4"/>
    <w:rsid w:val="009D1A75"/>
    <w:rsid w:val="009D2187"/>
    <w:rsid w:val="009D2262"/>
    <w:rsid w:val="009D2612"/>
    <w:rsid w:val="009D2A94"/>
    <w:rsid w:val="009D2BD0"/>
    <w:rsid w:val="009D2FB6"/>
    <w:rsid w:val="009D340C"/>
    <w:rsid w:val="009D3620"/>
    <w:rsid w:val="009D373F"/>
    <w:rsid w:val="009D38A1"/>
    <w:rsid w:val="009D3FDA"/>
    <w:rsid w:val="009D407C"/>
    <w:rsid w:val="009D474B"/>
    <w:rsid w:val="009D49DE"/>
    <w:rsid w:val="009D4C6D"/>
    <w:rsid w:val="009D540F"/>
    <w:rsid w:val="009D5D7E"/>
    <w:rsid w:val="009D68C8"/>
    <w:rsid w:val="009D6D62"/>
    <w:rsid w:val="009D6EFC"/>
    <w:rsid w:val="009D6FBB"/>
    <w:rsid w:val="009D7A7F"/>
    <w:rsid w:val="009D7C84"/>
    <w:rsid w:val="009D7DE2"/>
    <w:rsid w:val="009E0708"/>
    <w:rsid w:val="009E0CC9"/>
    <w:rsid w:val="009E0FA9"/>
    <w:rsid w:val="009E1158"/>
    <w:rsid w:val="009E120D"/>
    <w:rsid w:val="009E12A8"/>
    <w:rsid w:val="009E152D"/>
    <w:rsid w:val="009E1726"/>
    <w:rsid w:val="009E1E05"/>
    <w:rsid w:val="009E2208"/>
    <w:rsid w:val="009E280C"/>
    <w:rsid w:val="009E2A83"/>
    <w:rsid w:val="009E2C17"/>
    <w:rsid w:val="009E36C1"/>
    <w:rsid w:val="009E3CDB"/>
    <w:rsid w:val="009E3DF1"/>
    <w:rsid w:val="009E3FB4"/>
    <w:rsid w:val="009E41E4"/>
    <w:rsid w:val="009E4419"/>
    <w:rsid w:val="009E5508"/>
    <w:rsid w:val="009E5B69"/>
    <w:rsid w:val="009E61E2"/>
    <w:rsid w:val="009E62F8"/>
    <w:rsid w:val="009E700A"/>
    <w:rsid w:val="009E754D"/>
    <w:rsid w:val="009E771C"/>
    <w:rsid w:val="009E7EA6"/>
    <w:rsid w:val="009E7EA9"/>
    <w:rsid w:val="009F001F"/>
    <w:rsid w:val="009F09C5"/>
    <w:rsid w:val="009F161E"/>
    <w:rsid w:val="009F16E9"/>
    <w:rsid w:val="009F1786"/>
    <w:rsid w:val="009F1BD4"/>
    <w:rsid w:val="009F1FD3"/>
    <w:rsid w:val="009F2111"/>
    <w:rsid w:val="009F2613"/>
    <w:rsid w:val="009F2984"/>
    <w:rsid w:val="009F2A99"/>
    <w:rsid w:val="009F2AD6"/>
    <w:rsid w:val="009F2B01"/>
    <w:rsid w:val="009F2DEA"/>
    <w:rsid w:val="009F31A2"/>
    <w:rsid w:val="009F3601"/>
    <w:rsid w:val="009F3A70"/>
    <w:rsid w:val="009F3BD0"/>
    <w:rsid w:val="009F3F21"/>
    <w:rsid w:val="009F4257"/>
    <w:rsid w:val="009F4841"/>
    <w:rsid w:val="009F4873"/>
    <w:rsid w:val="009F4D15"/>
    <w:rsid w:val="009F4D9E"/>
    <w:rsid w:val="009F4DF5"/>
    <w:rsid w:val="009F55CE"/>
    <w:rsid w:val="009F55DA"/>
    <w:rsid w:val="009F5678"/>
    <w:rsid w:val="009F57E1"/>
    <w:rsid w:val="009F59EB"/>
    <w:rsid w:val="009F5CC6"/>
    <w:rsid w:val="009F60AD"/>
    <w:rsid w:val="009F635B"/>
    <w:rsid w:val="009F73B3"/>
    <w:rsid w:val="009F7746"/>
    <w:rsid w:val="009F7AB3"/>
    <w:rsid w:val="009F7B2A"/>
    <w:rsid w:val="00A007E8"/>
    <w:rsid w:val="00A009D5"/>
    <w:rsid w:val="00A00A5F"/>
    <w:rsid w:val="00A00C33"/>
    <w:rsid w:val="00A00D14"/>
    <w:rsid w:val="00A010E8"/>
    <w:rsid w:val="00A01163"/>
    <w:rsid w:val="00A01281"/>
    <w:rsid w:val="00A014EB"/>
    <w:rsid w:val="00A016F3"/>
    <w:rsid w:val="00A018C1"/>
    <w:rsid w:val="00A01BC7"/>
    <w:rsid w:val="00A01DB0"/>
    <w:rsid w:val="00A022D0"/>
    <w:rsid w:val="00A02569"/>
    <w:rsid w:val="00A0262F"/>
    <w:rsid w:val="00A0282F"/>
    <w:rsid w:val="00A028EB"/>
    <w:rsid w:val="00A02CEB"/>
    <w:rsid w:val="00A0307D"/>
    <w:rsid w:val="00A0415C"/>
    <w:rsid w:val="00A04B8B"/>
    <w:rsid w:val="00A05B1C"/>
    <w:rsid w:val="00A05B2A"/>
    <w:rsid w:val="00A05B92"/>
    <w:rsid w:val="00A0650E"/>
    <w:rsid w:val="00A06A0F"/>
    <w:rsid w:val="00A06AC5"/>
    <w:rsid w:val="00A07392"/>
    <w:rsid w:val="00A07725"/>
    <w:rsid w:val="00A07B6D"/>
    <w:rsid w:val="00A07E7B"/>
    <w:rsid w:val="00A07E85"/>
    <w:rsid w:val="00A10273"/>
    <w:rsid w:val="00A10740"/>
    <w:rsid w:val="00A1118E"/>
    <w:rsid w:val="00A1123F"/>
    <w:rsid w:val="00A1167B"/>
    <w:rsid w:val="00A117BA"/>
    <w:rsid w:val="00A1191C"/>
    <w:rsid w:val="00A1194C"/>
    <w:rsid w:val="00A11B03"/>
    <w:rsid w:val="00A1214D"/>
    <w:rsid w:val="00A125B6"/>
    <w:rsid w:val="00A12AAA"/>
    <w:rsid w:val="00A131C4"/>
    <w:rsid w:val="00A13D40"/>
    <w:rsid w:val="00A1430D"/>
    <w:rsid w:val="00A14453"/>
    <w:rsid w:val="00A146B2"/>
    <w:rsid w:val="00A14EF5"/>
    <w:rsid w:val="00A153D9"/>
    <w:rsid w:val="00A155DA"/>
    <w:rsid w:val="00A15857"/>
    <w:rsid w:val="00A15D93"/>
    <w:rsid w:val="00A15E3F"/>
    <w:rsid w:val="00A16341"/>
    <w:rsid w:val="00A163AC"/>
    <w:rsid w:val="00A169C8"/>
    <w:rsid w:val="00A16A50"/>
    <w:rsid w:val="00A16B4D"/>
    <w:rsid w:val="00A16CF3"/>
    <w:rsid w:val="00A16E59"/>
    <w:rsid w:val="00A17025"/>
    <w:rsid w:val="00A1738B"/>
    <w:rsid w:val="00A17B09"/>
    <w:rsid w:val="00A17D5F"/>
    <w:rsid w:val="00A17D83"/>
    <w:rsid w:val="00A2059C"/>
    <w:rsid w:val="00A205C2"/>
    <w:rsid w:val="00A20E05"/>
    <w:rsid w:val="00A20F0A"/>
    <w:rsid w:val="00A2139E"/>
    <w:rsid w:val="00A21A19"/>
    <w:rsid w:val="00A21C25"/>
    <w:rsid w:val="00A21CBB"/>
    <w:rsid w:val="00A220DD"/>
    <w:rsid w:val="00A222D1"/>
    <w:rsid w:val="00A225F3"/>
    <w:rsid w:val="00A234B4"/>
    <w:rsid w:val="00A235B0"/>
    <w:rsid w:val="00A23668"/>
    <w:rsid w:val="00A23675"/>
    <w:rsid w:val="00A237E3"/>
    <w:rsid w:val="00A23936"/>
    <w:rsid w:val="00A23F8C"/>
    <w:rsid w:val="00A24346"/>
    <w:rsid w:val="00A24B16"/>
    <w:rsid w:val="00A24E15"/>
    <w:rsid w:val="00A24EE4"/>
    <w:rsid w:val="00A24FA9"/>
    <w:rsid w:val="00A2504B"/>
    <w:rsid w:val="00A250B0"/>
    <w:rsid w:val="00A25284"/>
    <w:rsid w:val="00A255EA"/>
    <w:rsid w:val="00A25A63"/>
    <w:rsid w:val="00A267C6"/>
    <w:rsid w:val="00A268B3"/>
    <w:rsid w:val="00A26FE7"/>
    <w:rsid w:val="00A27126"/>
    <w:rsid w:val="00A2776D"/>
    <w:rsid w:val="00A2782C"/>
    <w:rsid w:val="00A27860"/>
    <w:rsid w:val="00A27B11"/>
    <w:rsid w:val="00A27CDB"/>
    <w:rsid w:val="00A27D52"/>
    <w:rsid w:val="00A27F10"/>
    <w:rsid w:val="00A27FBF"/>
    <w:rsid w:val="00A3035D"/>
    <w:rsid w:val="00A30C5D"/>
    <w:rsid w:val="00A30E94"/>
    <w:rsid w:val="00A30F89"/>
    <w:rsid w:val="00A31D75"/>
    <w:rsid w:val="00A32262"/>
    <w:rsid w:val="00A32846"/>
    <w:rsid w:val="00A32BD0"/>
    <w:rsid w:val="00A32D7F"/>
    <w:rsid w:val="00A32F9C"/>
    <w:rsid w:val="00A33037"/>
    <w:rsid w:val="00A331EA"/>
    <w:rsid w:val="00A3361E"/>
    <w:rsid w:val="00A33AAA"/>
    <w:rsid w:val="00A33E7B"/>
    <w:rsid w:val="00A34569"/>
    <w:rsid w:val="00A34998"/>
    <w:rsid w:val="00A34D04"/>
    <w:rsid w:val="00A34D5C"/>
    <w:rsid w:val="00A34D77"/>
    <w:rsid w:val="00A35164"/>
    <w:rsid w:val="00A351F3"/>
    <w:rsid w:val="00A35375"/>
    <w:rsid w:val="00A356AE"/>
    <w:rsid w:val="00A36046"/>
    <w:rsid w:val="00A36A0C"/>
    <w:rsid w:val="00A36FE0"/>
    <w:rsid w:val="00A370F1"/>
    <w:rsid w:val="00A373CB"/>
    <w:rsid w:val="00A37505"/>
    <w:rsid w:val="00A376EC"/>
    <w:rsid w:val="00A37AF2"/>
    <w:rsid w:val="00A37F1F"/>
    <w:rsid w:val="00A40850"/>
    <w:rsid w:val="00A40856"/>
    <w:rsid w:val="00A40B67"/>
    <w:rsid w:val="00A4132E"/>
    <w:rsid w:val="00A41722"/>
    <w:rsid w:val="00A41B91"/>
    <w:rsid w:val="00A42497"/>
    <w:rsid w:val="00A43109"/>
    <w:rsid w:val="00A435A0"/>
    <w:rsid w:val="00A43B26"/>
    <w:rsid w:val="00A44176"/>
    <w:rsid w:val="00A442D0"/>
    <w:rsid w:val="00A4476A"/>
    <w:rsid w:val="00A44861"/>
    <w:rsid w:val="00A4502E"/>
    <w:rsid w:val="00A45231"/>
    <w:rsid w:val="00A45517"/>
    <w:rsid w:val="00A4612C"/>
    <w:rsid w:val="00A465A9"/>
    <w:rsid w:val="00A467F7"/>
    <w:rsid w:val="00A469E0"/>
    <w:rsid w:val="00A46D8C"/>
    <w:rsid w:val="00A470B3"/>
    <w:rsid w:val="00A47AD1"/>
    <w:rsid w:val="00A5020C"/>
    <w:rsid w:val="00A50782"/>
    <w:rsid w:val="00A50BDE"/>
    <w:rsid w:val="00A50C22"/>
    <w:rsid w:val="00A512D3"/>
    <w:rsid w:val="00A512DD"/>
    <w:rsid w:val="00A5130D"/>
    <w:rsid w:val="00A514FC"/>
    <w:rsid w:val="00A51679"/>
    <w:rsid w:val="00A51AAC"/>
    <w:rsid w:val="00A51C8F"/>
    <w:rsid w:val="00A51E1D"/>
    <w:rsid w:val="00A51E38"/>
    <w:rsid w:val="00A527D4"/>
    <w:rsid w:val="00A53673"/>
    <w:rsid w:val="00A53E93"/>
    <w:rsid w:val="00A54066"/>
    <w:rsid w:val="00A5476B"/>
    <w:rsid w:val="00A548BE"/>
    <w:rsid w:val="00A54F05"/>
    <w:rsid w:val="00A54FA0"/>
    <w:rsid w:val="00A55000"/>
    <w:rsid w:val="00A559EA"/>
    <w:rsid w:val="00A55A3F"/>
    <w:rsid w:val="00A55A97"/>
    <w:rsid w:val="00A562B9"/>
    <w:rsid w:val="00A562FB"/>
    <w:rsid w:val="00A56809"/>
    <w:rsid w:val="00A56F2E"/>
    <w:rsid w:val="00A56F2F"/>
    <w:rsid w:val="00A573D2"/>
    <w:rsid w:val="00A57936"/>
    <w:rsid w:val="00A57A49"/>
    <w:rsid w:val="00A60AB8"/>
    <w:rsid w:val="00A60AC9"/>
    <w:rsid w:val="00A60B88"/>
    <w:rsid w:val="00A60F2B"/>
    <w:rsid w:val="00A61464"/>
    <w:rsid w:val="00A617B3"/>
    <w:rsid w:val="00A627E1"/>
    <w:rsid w:val="00A6291A"/>
    <w:rsid w:val="00A62C04"/>
    <w:rsid w:val="00A62C8F"/>
    <w:rsid w:val="00A62EEF"/>
    <w:rsid w:val="00A6350E"/>
    <w:rsid w:val="00A636DE"/>
    <w:rsid w:val="00A63875"/>
    <w:rsid w:val="00A64644"/>
    <w:rsid w:val="00A6545B"/>
    <w:rsid w:val="00A65C50"/>
    <w:rsid w:val="00A666AD"/>
    <w:rsid w:val="00A6687C"/>
    <w:rsid w:val="00A67174"/>
    <w:rsid w:val="00A6726B"/>
    <w:rsid w:val="00A6789A"/>
    <w:rsid w:val="00A67D38"/>
    <w:rsid w:val="00A70103"/>
    <w:rsid w:val="00A703BF"/>
    <w:rsid w:val="00A703EA"/>
    <w:rsid w:val="00A70753"/>
    <w:rsid w:val="00A7100F"/>
    <w:rsid w:val="00A71276"/>
    <w:rsid w:val="00A71555"/>
    <w:rsid w:val="00A715E6"/>
    <w:rsid w:val="00A71CB2"/>
    <w:rsid w:val="00A71D81"/>
    <w:rsid w:val="00A71DDD"/>
    <w:rsid w:val="00A71E6A"/>
    <w:rsid w:val="00A71E9C"/>
    <w:rsid w:val="00A72041"/>
    <w:rsid w:val="00A72BA4"/>
    <w:rsid w:val="00A72BE3"/>
    <w:rsid w:val="00A73223"/>
    <w:rsid w:val="00A732F9"/>
    <w:rsid w:val="00A73E5C"/>
    <w:rsid w:val="00A7447A"/>
    <w:rsid w:val="00A74B99"/>
    <w:rsid w:val="00A74F44"/>
    <w:rsid w:val="00A758ED"/>
    <w:rsid w:val="00A75A2F"/>
    <w:rsid w:val="00A75E6D"/>
    <w:rsid w:val="00A75F62"/>
    <w:rsid w:val="00A761EA"/>
    <w:rsid w:val="00A76694"/>
    <w:rsid w:val="00A76757"/>
    <w:rsid w:val="00A7675E"/>
    <w:rsid w:val="00A769C3"/>
    <w:rsid w:val="00A7700B"/>
    <w:rsid w:val="00A7752B"/>
    <w:rsid w:val="00A8045E"/>
    <w:rsid w:val="00A807EC"/>
    <w:rsid w:val="00A80A61"/>
    <w:rsid w:val="00A80C97"/>
    <w:rsid w:val="00A81919"/>
    <w:rsid w:val="00A8192B"/>
    <w:rsid w:val="00A81A0C"/>
    <w:rsid w:val="00A821E9"/>
    <w:rsid w:val="00A82740"/>
    <w:rsid w:val="00A829FC"/>
    <w:rsid w:val="00A82AA1"/>
    <w:rsid w:val="00A82C34"/>
    <w:rsid w:val="00A82EBD"/>
    <w:rsid w:val="00A82F7D"/>
    <w:rsid w:val="00A83148"/>
    <w:rsid w:val="00A835D5"/>
    <w:rsid w:val="00A848CC"/>
    <w:rsid w:val="00A84932"/>
    <w:rsid w:val="00A8527F"/>
    <w:rsid w:val="00A85417"/>
    <w:rsid w:val="00A85441"/>
    <w:rsid w:val="00A8546A"/>
    <w:rsid w:val="00A859FC"/>
    <w:rsid w:val="00A85C79"/>
    <w:rsid w:val="00A85F99"/>
    <w:rsid w:val="00A8637D"/>
    <w:rsid w:val="00A868CC"/>
    <w:rsid w:val="00A86B53"/>
    <w:rsid w:val="00A86F4C"/>
    <w:rsid w:val="00A870D4"/>
    <w:rsid w:val="00A8714C"/>
    <w:rsid w:val="00A87340"/>
    <w:rsid w:val="00A87455"/>
    <w:rsid w:val="00A87708"/>
    <w:rsid w:val="00A87857"/>
    <w:rsid w:val="00A87884"/>
    <w:rsid w:val="00A87B85"/>
    <w:rsid w:val="00A87DEE"/>
    <w:rsid w:val="00A87FBA"/>
    <w:rsid w:val="00A9075D"/>
    <w:rsid w:val="00A90D6B"/>
    <w:rsid w:val="00A90FB1"/>
    <w:rsid w:val="00A912FB"/>
    <w:rsid w:val="00A913DA"/>
    <w:rsid w:val="00A91942"/>
    <w:rsid w:val="00A91F9B"/>
    <w:rsid w:val="00A923C0"/>
    <w:rsid w:val="00A92BC9"/>
    <w:rsid w:val="00A92BF7"/>
    <w:rsid w:val="00A93037"/>
    <w:rsid w:val="00A93324"/>
    <w:rsid w:val="00A939CC"/>
    <w:rsid w:val="00A93A7E"/>
    <w:rsid w:val="00A93CA3"/>
    <w:rsid w:val="00A93D95"/>
    <w:rsid w:val="00A946C8"/>
    <w:rsid w:val="00A94982"/>
    <w:rsid w:val="00A95460"/>
    <w:rsid w:val="00A9588D"/>
    <w:rsid w:val="00A95B9C"/>
    <w:rsid w:val="00A95DA0"/>
    <w:rsid w:val="00A96014"/>
    <w:rsid w:val="00A96135"/>
    <w:rsid w:val="00A964E8"/>
    <w:rsid w:val="00A96508"/>
    <w:rsid w:val="00A96524"/>
    <w:rsid w:val="00A968B9"/>
    <w:rsid w:val="00A968CC"/>
    <w:rsid w:val="00A96B21"/>
    <w:rsid w:val="00A96C61"/>
    <w:rsid w:val="00A96E02"/>
    <w:rsid w:val="00A96F03"/>
    <w:rsid w:val="00A970C7"/>
    <w:rsid w:val="00A970EA"/>
    <w:rsid w:val="00A9723B"/>
    <w:rsid w:val="00A97FD2"/>
    <w:rsid w:val="00AA048B"/>
    <w:rsid w:val="00AA0719"/>
    <w:rsid w:val="00AA083A"/>
    <w:rsid w:val="00AA08DD"/>
    <w:rsid w:val="00AA0C3A"/>
    <w:rsid w:val="00AA19FA"/>
    <w:rsid w:val="00AA1CE2"/>
    <w:rsid w:val="00AA2822"/>
    <w:rsid w:val="00AA285D"/>
    <w:rsid w:val="00AA2A82"/>
    <w:rsid w:val="00AA2B67"/>
    <w:rsid w:val="00AA34F9"/>
    <w:rsid w:val="00AA3E2C"/>
    <w:rsid w:val="00AA4A8A"/>
    <w:rsid w:val="00AA4C2C"/>
    <w:rsid w:val="00AA5131"/>
    <w:rsid w:val="00AA54B5"/>
    <w:rsid w:val="00AA55F2"/>
    <w:rsid w:val="00AA5A8E"/>
    <w:rsid w:val="00AA6177"/>
    <w:rsid w:val="00AA6279"/>
    <w:rsid w:val="00AA688B"/>
    <w:rsid w:val="00AA6D17"/>
    <w:rsid w:val="00AA6D6C"/>
    <w:rsid w:val="00AA7046"/>
    <w:rsid w:val="00AA73C1"/>
    <w:rsid w:val="00AA7451"/>
    <w:rsid w:val="00AA7CB3"/>
    <w:rsid w:val="00AB0A97"/>
    <w:rsid w:val="00AB12BC"/>
    <w:rsid w:val="00AB1823"/>
    <w:rsid w:val="00AB1E23"/>
    <w:rsid w:val="00AB2826"/>
    <w:rsid w:val="00AB2A8D"/>
    <w:rsid w:val="00AB2D53"/>
    <w:rsid w:val="00AB2E71"/>
    <w:rsid w:val="00AB316F"/>
    <w:rsid w:val="00AB3A0B"/>
    <w:rsid w:val="00AB3A6A"/>
    <w:rsid w:val="00AB3BCA"/>
    <w:rsid w:val="00AB3C4C"/>
    <w:rsid w:val="00AB4AF8"/>
    <w:rsid w:val="00AB4C3C"/>
    <w:rsid w:val="00AB4E7A"/>
    <w:rsid w:val="00AB5127"/>
    <w:rsid w:val="00AB541C"/>
    <w:rsid w:val="00AB5439"/>
    <w:rsid w:val="00AB55A9"/>
    <w:rsid w:val="00AB5E3D"/>
    <w:rsid w:val="00AB6157"/>
    <w:rsid w:val="00AB6556"/>
    <w:rsid w:val="00AB675A"/>
    <w:rsid w:val="00AB67F8"/>
    <w:rsid w:val="00AB689F"/>
    <w:rsid w:val="00AB69CF"/>
    <w:rsid w:val="00AB6EAD"/>
    <w:rsid w:val="00AB7170"/>
    <w:rsid w:val="00AB71E5"/>
    <w:rsid w:val="00AB7348"/>
    <w:rsid w:val="00AB73A9"/>
    <w:rsid w:val="00AB7E9D"/>
    <w:rsid w:val="00AC0341"/>
    <w:rsid w:val="00AC074E"/>
    <w:rsid w:val="00AC0A71"/>
    <w:rsid w:val="00AC0A97"/>
    <w:rsid w:val="00AC1039"/>
    <w:rsid w:val="00AC110A"/>
    <w:rsid w:val="00AC1AC3"/>
    <w:rsid w:val="00AC1F13"/>
    <w:rsid w:val="00AC206E"/>
    <w:rsid w:val="00AC233B"/>
    <w:rsid w:val="00AC2DC6"/>
    <w:rsid w:val="00AC2F33"/>
    <w:rsid w:val="00AC3487"/>
    <w:rsid w:val="00AC3625"/>
    <w:rsid w:val="00AC3BD6"/>
    <w:rsid w:val="00AC40C2"/>
    <w:rsid w:val="00AC4175"/>
    <w:rsid w:val="00AC480D"/>
    <w:rsid w:val="00AC484A"/>
    <w:rsid w:val="00AC4DBA"/>
    <w:rsid w:val="00AC50C2"/>
    <w:rsid w:val="00AC51FD"/>
    <w:rsid w:val="00AC5267"/>
    <w:rsid w:val="00AC57B4"/>
    <w:rsid w:val="00AC5C08"/>
    <w:rsid w:val="00AC5D17"/>
    <w:rsid w:val="00AC6480"/>
    <w:rsid w:val="00AC7151"/>
    <w:rsid w:val="00AC71BF"/>
    <w:rsid w:val="00AC72DE"/>
    <w:rsid w:val="00AC72FB"/>
    <w:rsid w:val="00AC74B7"/>
    <w:rsid w:val="00AC7668"/>
    <w:rsid w:val="00AD0392"/>
    <w:rsid w:val="00AD09F8"/>
    <w:rsid w:val="00AD17A6"/>
    <w:rsid w:val="00AD2266"/>
    <w:rsid w:val="00AD2605"/>
    <w:rsid w:val="00AD2CC7"/>
    <w:rsid w:val="00AD33E5"/>
    <w:rsid w:val="00AD3574"/>
    <w:rsid w:val="00AD3B85"/>
    <w:rsid w:val="00AD3CA2"/>
    <w:rsid w:val="00AD40BD"/>
    <w:rsid w:val="00AD4506"/>
    <w:rsid w:val="00AD4613"/>
    <w:rsid w:val="00AD4C9B"/>
    <w:rsid w:val="00AD4ECC"/>
    <w:rsid w:val="00AD5067"/>
    <w:rsid w:val="00AD5148"/>
    <w:rsid w:val="00AD5735"/>
    <w:rsid w:val="00AD597E"/>
    <w:rsid w:val="00AD5C9C"/>
    <w:rsid w:val="00AD6310"/>
    <w:rsid w:val="00AD6674"/>
    <w:rsid w:val="00AD6C07"/>
    <w:rsid w:val="00AD7213"/>
    <w:rsid w:val="00AD7329"/>
    <w:rsid w:val="00AD766B"/>
    <w:rsid w:val="00AE060B"/>
    <w:rsid w:val="00AE0630"/>
    <w:rsid w:val="00AE0891"/>
    <w:rsid w:val="00AE0B6B"/>
    <w:rsid w:val="00AE0C4E"/>
    <w:rsid w:val="00AE0DD5"/>
    <w:rsid w:val="00AE0EF1"/>
    <w:rsid w:val="00AE13CF"/>
    <w:rsid w:val="00AE169F"/>
    <w:rsid w:val="00AE1A95"/>
    <w:rsid w:val="00AE1C15"/>
    <w:rsid w:val="00AE2212"/>
    <w:rsid w:val="00AE2411"/>
    <w:rsid w:val="00AE291B"/>
    <w:rsid w:val="00AE2D0E"/>
    <w:rsid w:val="00AE2E20"/>
    <w:rsid w:val="00AE3A02"/>
    <w:rsid w:val="00AE3AEB"/>
    <w:rsid w:val="00AE3C1B"/>
    <w:rsid w:val="00AE3F6D"/>
    <w:rsid w:val="00AE3FFE"/>
    <w:rsid w:val="00AE4873"/>
    <w:rsid w:val="00AE4F35"/>
    <w:rsid w:val="00AE519F"/>
    <w:rsid w:val="00AE541D"/>
    <w:rsid w:val="00AE5680"/>
    <w:rsid w:val="00AE57B3"/>
    <w:rsid w:val="00AE5C7D"/>
    <w:rsid w:val="00AE5D91"/>
    <w:rsid w:val="00AE6559"/>
    <w:rsid w:val="00AE70CF"/>
    <w:rsid w:val="00AE7111"/>
    <w:rsid w:val="00AE7860"/>
    <w:rsid w:val="00AE7A3D"/>
    <w:rsid w:val="00AE7D39"/>
    <w:rsid w:val="00AE7D86"/>
    <w:rsid w:val="00AE7D9D"/>
    <w:rsid w:val="00AE7DBC"/>
    <w:rsid w:val="00AF0196"/>
    <w:rsid w:val="00AF0407"/>
    <w:rsid w:val="00AF0572"/>
    <w:rsid w:val="00AF08A5"/>
    <w:rsid w:val="00AF0B90"/>
    <w:rsid w:val="00AF0BE6"/>
    <w:rsid w:val="00AF1797"/>
    <w:rsid w:val="00AF1819"/>
    <w:rsid w:val="00AF1898"/>
    <w:rsid w:val="00AF1A66"/>
    <w:rsid w:val="00AF1CD0"/>
    <w:rsid w:val="00AF1DE2"/>
    <w:rsid w:val="00AF1F21"/>
    <w:rsid w:val="00AF279D"/>
    <w:rsid w:val="00AF27B2"/>
    <w:rsid w:val="00AF284D"/>
    <w:rsid w:val="00AF2B8B"/>
    <w:rsid w:val="00AF2C96"/>
    <w:rsid w:val="00AF2EF1"/>
    <w:rsid w:val="00AF3091"/>
    <w:rsid w:val="00AF3105"/>
    <w:rsid w:val="00AF3112"/>
    <w:rsid w:val="00AF392B"/>
    <w:rsid w:val="00AF3A55"/>
    <w:rsid w:val="00AF3EDF"/>
    <w:rsid w:val="00AF4863"/>
    <w:rsid w:val="00AF50FC"/>
    <w:rsid w:val="00AF5321"/>
    <w:rsid w:val="00AF55B4"/>
    <w:rsid w:val="00AF5779"/>
    <w:rsid w:val="00AF58A4"/>
    <w:rsid w:val="00AF59AE"/>
    <w:rsid w:val="00AF5A1D"/>
    <w:rsid w:val="00AF602C"/>
    <w:rsid w:val="00AF61AB"/>
    <w:rsid w:val="00AF6966"/>
    <w:rsid w:val="00AF6AEA"/>
    <w:rsid w:val="00AF7065"/>
    <w:rsid w:val="00AF71C2"/>
    <w:rsid w:val="00AF73D9"/>
    <w:rsid w:val="00AF77B5"/>
    <w:rsid w:val="00AF7C51"/>
    <w:rsid w:val="00AF7CB4"/>
    <w:rsid w:val="00B00533"/>
    <w:rsid w:val="00B005DF"/>
    <w:rsid w:val="00B009E6"/>
    <w:rsid w:val="00B00ABE"/>
    <w:rsid w:val="00B00B85"/>
    <w:rsid w:val="00B011C5"/>
    <w:rsid w:val="00B01467"/>
    <w:rsid w:val="00B014C1"/>
    <w:rsid w:val="00B01572"/>
    <w:rsid w:val="00B015F3"/>
    <w:rsid w:val="00B01730"/>
    <w:rsid w:val="00B01962"/>
    <w:rsid w:val="00B01B1A"/>
    <w:rsid w:val="00B024B0"/>
    <w:rsid w:val="00B029E2"/>
    <w:rsid w:val="00B02A66"/>
    <w:rsid w:val="00B02ADE"/>
    <w:rsid w:val="00B03144"/>
    <w:rsid w:val="00B0361B"/>
    <w:rsid w:val="00B0384D"/>
    <w:rsid w:val="00B03A96"/>
    <w:rsid w:val="00B03BC8"/>
    <w:rsid w:val="00B03DD1"/>
    <w:rsid w:val="00B03F0B"/>
    <w:rsid w:val="00B0477D"/>
    <w:rsid w:val="00B0489C"/>
    <w:rsid w:val="00B04ADE"/>
    <w:rsid w:val="00B051A5"/>
    <w:rsid w:val="00B051A6"/>
    <w:rsid w:val="00B05390"/>
    <w:rsid w:val="00B054C5"/>
    <w:rsid w:val="00B0581C"/>
    <w:rsid w:val="00B05B2A"/>
    <w:rsid w:val="00B05ED9"/>
    <w:rsid w:val="00B05F9F"/>
    <w:rsid w:val="00B063DA"/>
    <w:rsid w:val="00B06C2F"/>
    <w:rsid w:val="00B06CEE"/>
    <w:rsid w:val="00B06D09"/>
    <w:rsid w:val="00B07248"/>
    <w:rsid w:val="00B07BA3"/>
    <w:rsid w:val="00B07E05"/>
    <w:rsid w:val="00B07E72"/>
    <w:rsid w:val="00B07F27"/>
    <w:rsid w:val="00B102EF"/>
    <w:rsid w:val="00B10404"/>
    <w:rsid w:val="00B105BE"/>
    <w:rsid w:val="00B11633"/>
    <w:rsid w:val="00B12176"/>
    <w:rsid w:val="00B1253B"/>
    <w:rsid w:val="00B12A4B"/>
    <w:rsid w:val="00B12D7A"/>
    <w:rsid w:val="00B1328E"/>
    <w:rsid w:val="00B1352E"/>
    <w:rsid w:val="00B13B3C"/>
    <w:rsid w:val="00B13EDE"/>
    <w:rsid w:val="00B14642"/>
    <w:rsid w:val="00B14669"/>
    <w:rsid w:val="00B14879"/>
    <w:rsid w:val="00B15494"/>
    <w:rsid w:val="00B1609E"/>
    <w:rsid w:val="00B16261"/>
    <w:rsid w:val="00B162F7"/>
    <w:rsid w:val="00B1640A"/>
    <w:rsid w:val="00B16577"/>
    <w:rsid w:val="00B16588"/>
    <w:rsid w:val="00B16E5B"/>
    <w:rsid w:val="00B171AA"/>
    <w:rsid w:val="00B17873"/>
    <w:rsid w:val="00B17C15"/>
    <w:rsid w:val="00B20372"/>
    <w:rsid w:val="00B20985"/>
    <w:rsid w:val="00B20B94"/>
    <w:rsid w:val="00B20DDD"/>
    <w:rsid w:val="00B20E5A"/>
    <w:rsid w:val="00B20F2E"/>
    <w:rsid w:val="00B21002"/>
    <w:rsid w:val="00B21276"/>
    <w:rsid w:val="00B21656"/>
    <w:rsid w:val="00B21B36"/>
    <w:rsid w:val="00B22067"/>
    <w:rsid w:val="00B22097"/>
    <w:rsid w:val="00B220A7"/>
    <w:rsid w:val="00B22135"/>
    <w:rsid w:val="00B22CC6"/>
    <w:rsid w:val="00B22CEB"/>
    <w:rsid w:val="00B22FBC"/>
    <w:rsid w:val="00B23299"/>
    <w:rsid w:val="00B23635"/>
    <w:rsid w:val="00B23852"/>
    <w:rsid w:val="00B23B0B"/>
    <w:rsid w:val="00B24041"/>
    <w:rsid w:val="00B2409C"/>
    <w:rsid w:val="00B2468D"/>
    <w:rsid w:val="00B247ED"/>
    <w:rsid w:val="00B24914"/>
    <w:rsid w:val="00B24DD4"/>
    <w:rsid w:val="00B24EBC"/>
    <w:rsid w:val="00B2530A"/>
    <w:rsid w:val="00B25338"/>
    <w:rsid w:val="00B2559E"/>
    <w:rsid w:val="00B25860"/>
    <w:rsid w:val="00B25C03"/>
    <w:rsid w:val="00B25DBE"/>
    <w:rsid w:val="00B26591"/>
    <w:rsid w:val="00B26AC1"/>
    <w:rsid w:val="00B272BE"/>
    <w:rsid w:val="00B27BE6"/>
    <w:rsid w:val="00B27C93"/>
    <w:rsid w:val="00B27E04"/>
    <w:rsid w:val="00B27E6E"/>
    <w:rsid w:val="00B27F9F"/>
    <w:rsid w:val="00B30351"/>
    <w:rsid w:val="00B3046B"/>
    <w:rsid w:val="00B306F7"/>
    <w:rsid w:val="00B310E9"/>
    <w:rsid w:val="00B313C6"/>
    <w:rsid w:val="00B3145B"/>
    <w:rsid w:val="00B3213C"/>
    <w:rsid w:val="00B322CE"/>
    <w:rsid w:val="00B32AD9"/>
    <w:rsid w:val="00B32B30"/>
    <w:rsid w:val="00B335B9"/>
    <w:rsid w:val="00B33650"/>
    <w:rsid w:val="00B33AF9"/>
    <w:rsid w:val="00B33DFD"/>
    <w:rsid w:val="00B3422C"/>
    <w:rsid w:val="00B346DB"/>
    <w:rsid w:val="00B347AB"/>
    <w:rsid w:val="00B34861"/>
    <w:rsid w:val="00B34F4D"/>
    <w:rsid w:val="00B35686"/>
    <w:rsid w:val="00B358D6"/>
    <w:rsid w:val="00B35940"/>
    <w:rsid w:val="00B35B76"/>
    <w:rsid w:val="00B35BCF"/>
    <w:rsid w:val="00B36847"/>
    <w:rsid w:val="00B369C9"/>
    <w:rsid w:val="00B36EA9"/>
    <w:rsid w:val="00B3710A"/>
    <w:rsid w:val="00B37A27"/>
    <w:rsid w:val="00B37D79"/>
    <w:rsid w:val="00B40155"/>
    <w:rsid w:val="00B40AFC"/>
    <w:rsid w:val="00B40D99"/>
    <w:rsid w:val="00B410BB"/>
    <w:rsid w:val="00B412DC"/>
    <w:rsid w:val="00B41558"/>
    <w:rsid w:val="00B415CB"/>
    <w:rsid w:val="00B41BDC"/>
    <w:rsid w:val="00B42236"/>
    <w:rsid w:val="00B42C85"/>
    <w:rsid w:val="00B43267"/>
    <w:rsid w:val="00B432A2"/>
    <w:rsid w:val="00B43710"/>
    <w:rsid w:val="00B43870"/>
    <w:rsid w:val="00B43FE1"/>
    <w:rsid w:val="00B44534"/>
    <w:rsid w:val="00B454FC"/>
    <w:rsid w:val="00B456C0"/>
    <w:rsid w:val="00B45820"/>
    <w:rsid w:val="00B45AA7"/>
    <w:rsid w:val="00B45B8F"/>
    <w:rsid w:val="00B45D42"/>
    <w:rsid w:val="00B4603C"/>
    <w:rsid w:val="00B46090"/>
    <w:rsid w:val="00B460E3"/>
    <w:rsid w:val="00B4620D"/>
    <w:rsid w:val="00B4644C"/>
    <w:rsid w:val="00B464FA"/>
    <w:rsid w:val="00B465EA"/>
    <w:rsid w:val="00B4679A"/>
    <w:rsid w:val="00B46F57"/>
    <w:rsid w:val="00B46FE4"/>
    <w:rsid w:val="00B470B1"/>
    <w:rsid w:val="00B4710E"/>
    <w:rsid w:val="00B47123"/>
    <w:rsid w:val="00B473D5"/>
    <w:rsid w:val="00B47746"/>
    <w:rsid w:val="00B47783"/>
    <w:rsid w:val="00B47DEE"/>
    <w:rsid w:val="00B47E51"/>
    <w:rsid w:val="00B50361"/>
    <w:rsid w:val="00B50471"/>
    <w:rsid w:val="00B5047F"/>
    <w:rsid w:val="00B504B8"/>
    <w:rsid w:val="00B507EC"/>
    <w:rsid w:val="00B50833"/>
    <w:rsid w:val="00B508FC"/>
    <w:rsid w:val="00B50B84"/>
    <w:rsid w:val="00B5146B"/>
    <w:rsid w:val="00B5196F"/>
    <w:rsid w:val="00B51C79"/>
    <w:rsid w:val="00B51E05"/>
    <w:rsid w:val="00B5222C"/>
    <w:rsid w:val="00B52373"/>
    <w:rsid w:val="00B5238C"/>
    <w:rsid w:val="00B5263B"/>
    <w:rsid w:val="00B52D9C"/>
    <w:rsid w:val="00B52E48"/>
    <w:rsid w:val="00B5315B"/>
    <w:rsid w:val="00B54217"/>
    <w:rsid w:val="00B544E1"/>
    <w:rsid w:val="00B54568"/>
    <w:rsid w:val="00B54DF9"/>
    <w:rsid w:val="00B5504E"/>
    <w:rsid w:val="00B550B0"/>
    <w:rsid w:val="00B550CD"/>
    <w:rsid w:val="00B55942"/>
    <w:rsid w:val="00B55ACC"/>
    <w:rsid w:val="00B56167"/>
    <w:rsid w:val="00B5624B"/>
    <w:rsid w:val="00B562CE"/>
    <w:rsid w:val="00B56F4C"/>
    <w:rsid w:val="00B56FA3"/>
    <w:rsid w:val="00B5773F"/>
    <w:rsid w:val="00B57B0F"/>
    <w:rsid w:val="00B57B59"/>
    <w:rsid w:val="00B57E2A"/>
    <w:rsid w:val="00B606A7"/>
    <w:rsid w:val="00B60786"/>
    <w:rsid w:val="00B610A8"/>
    <w:rsid w:val="00B611B8"/>
    <w:rsid w:val="00B61251"/>
    <w:rsid w:val="00B613BE"/>
    <w:rsid w:val="00B61546"/>
    <w:rsid w:val="00B61579"/>
    <w:rsid w:val="00B6178D"/>
    <w:rsid w:val="00B62229"/>
    <w:rsid w:val="00B62445"/>
    <w:rsid w:val="00B62A32"/>
    <w:rsid w:val="00B63170"/>
    <w:rsid w:val="00B631A1"/>
    <w:rsid w:val="00B635FB"/>
    <w:rsid w:val="00B637B7"/>
    <w:rsid w:val="00B64029"/>
    <w:rsid w:val="00B640AD"/>
    <w:rsid w:val="00B64420"/>
    <w:rsid w:val="00B64E20"/>
    <w:rsid w:val="00B654B2"/>
    <w:rsid w:val="00B65728"/>
    <w:rsid w:val="00B65B40"/>
    <w:rsid w:val="00B65BD6"/>
    <w:rsid w:val="00B65D79"/>
    <w:rsid w:val="00B65F69"/>
    <w:rsid w:val="00B6604C"/>
    <w:rsid w:val="00B66176"/>
    <w:rsid w:val="00B66308"/>
    <w:rsid w:val="00B664C7"/>
    <w:rsid w:val="00B66606"/>
    <w:rsid w:val="00B66A9E"/>
    <w:rsid w:val="00B66DBE"/>
    <w:rsid w:val="00B66EBC"/>
    <w:rsid w:val="00B66EDC"/>
    <w:rsid w:val="00B671C2"/>
    <w:rsid w:val="00B6758F"/>
    <w:rsid w:val="00B677CA"/>
    <w:rsid w:val="00B703F8"/>
    <w:rsid w:val="00B7042C"/>
    <w:rsid w:val="00B70496"/>
    <w:rsid w:val="00B709B8"/>
    <w:rsid w:val="00B70FA3"/>
    <w:rsid w:val="00B716B0"/>
    <w:rsid w:val="00B71AF3"/>
    <w:rsid w:val="00B71B5D"/>
    <w:rsid w:val="00B71F8E"/>
    <w:rsid w:val="00B72716"/>
    <w:rsid w:val="00B729C2"/>
    <w:rsid w:val="00B72DF8"/>
    <w:rsid w:val="00B72DFA"/>
    <w:rsid w:val="00B72E8D"/>
    <w:rsid w:val="00B72F19"/>
    <w:rsid w:val="00B7365B"/>
    <w:rsid w:val="00B743F8"/>
    <w:rsid w:val="00B74465"/>
    <w:rsid w:val="00B74741"/>
    <w:rsid w:val="00B75DEE"/>
    <w:rsid w:val="00B76AD6"/>
    <w:rsid w:val="00B76CA2"/>
    <w:rsid w:val="00B76D0D"/>
    <w:rsid w:val="00B7751F"/>
    <w:rsid w:val="00B7768A"/>
    <w:rsid w:val="00B77898"/>
    <w:rsid w:val="00B77976"/>
    <w:rsid w:val="00B802B2"/>
    <w:rsid w:val="00B8083F"/>
    <w:rsid w:val="00B809D1"/>
    <w:rsid w:val="00B80AE9"/>
    <w:rsid w:val="00B80BE7"/>
    <w:rsid w:val="00B80FF8"/>
    <w:rsid w:val="00B81236"/>
    <w:rsid w:val="00B81300"/>
    <w:rsid w:val="00B814AC"/>
    <w:rsid w:val="00B818B9"/>
    <w:rsid w:val="00B81938"/>
    <w:rsid w:val="00B8214B"/>
    <w:rsid w:val="00B8268B"/>
    <w:rsid w:val="00B82B3A"/>
    <w:rsid w:val="00B82DCA"/>
    <w:rsid w:val="00B82E80"/>
    <w:rsid w:val="00B8310F"/>
    <w:rsid w:val="00B8347E"/>
    <w:rsid w:val="00B838EB"/>
    <w:rsid w:val="00B83A4C"/>
    <w:rsid w:val="00B83A51"/>
    <w:rsid w:val="00B83BBB"/>
    <w:rsid w:val="00B83EE5"/>
    <w:rsid w:val="00B84578"/>
    <w:rsid w:val="00B84747"/>
    <w:rsid w:val="00B84E19"/>
    <w:rsid w:val="00B84E2E"/>
    <w:rsid w:val="00B85B8D"/>
    <w:rsid w:val="00B85F35"/>
    <w:rsid w:val="00B86236"/>
    <w:rsid w:val="00B86A42"/>
    <w:rsid w:val="00B87344"/>
    <w:rsid w:val="00B87532"/>
    <w:rsid w:val="00B87D4F"/>
    <w:rsid w:val="00B9008C"/>
    <w:rsid w:val="00B903F9"/>
    <w:rsid w:val="00B90451"/>
    <w:rsid w:val="00B905C3"/>
    <w:rsid w:val="00B90AA3"/>
    <w:rsid w:val="00B90ABD"/>
    <w:rsid w:val="00B90E61"/>
    <w:rsid w:val="00B90F17"/>
    <w:rsid w:val="00B90FE2"/>
    <w:rsid w:val="00B9108D"/>
    <w:rsid w:val="00B91091"/>
    <w:rsid w:val="00B9199E"/>
    <w:rsid w:val="00B91D70"/>
    <w:rsid w:val="00B91E0F"/>
    <w:rsid w:val="00B92795"/>
    <w:rsid w:val="00B92A40"/>
    <w:rsid w:val="00B931D5"/>
    <w:rsid w:val="00B93691"/>
    <w:rsid w:val="00B93BA0"/>
    <w:rsid w:val="00B93DE7"/>
    <w:rsid w:val="00B9401A"/>
    <w:rsid w:val="00B945F1"/>
    <w:rsid w:val="00B94797"/>
    <w:rsid w:val="00B94ED2"/>
    <w:rsid w:val="00B951F1"/>
    <w:rsid w:val="00B960C6"/>
    <w:rsid w:val="00B960DC"/>
    <w:rsid w:val="00B96594"/>
    <w:rsid w:val="00B965D8"/>
    <w:rsid w:val="00B9685E"/>
    <w:rsid w:val="00B96AB1"/>
    <w:rsid w:val="00B96BA3"/>
    <w:rsid w:val="00B96C02"/>
    <w:rsid w:val="00B96CCA"/>
    <w:rsid w:val="00B974AF"/>
    <w:rsid w:val="00B97DC1"/>
    <w:rsid w:val="00B97EE1"/>
    <w:rsid w:val="00BA0218"/>
    <w:rsid w:val="00BA0571"/>
    <w:rsid w:val="00BA0A98"/>
    <w:rsid w:val="00BA0DE3"/>
    <w:rsid w:val="00BA10F4"/>
    <w:rsid w:val="00BA1382"/>
    <w:rsid w:val="00BA13AC"/>
    <w:rsid w:val="00BA1787"/>
    <w:rsid w:val="00BA1B05"/>
    <w:rsid w:val="00BA1B9E"/>
    <w:rsid w:val="00BA1C24"/>
    <w:rsid w:val="00BA1FA0"/>
    <w:rsid w:val="00BA1FBD"/>
    <w:rsid w:val="00BA2526"/>
    <w:rsid w:val="00BA2C97"/>
    <w:rsid w:val="00BA34BE"/>
    <w:rsid w:val="00BA36B3"/>
    <w:rsid w:val="00BA3706"/>
    <w:rsid w:val="00BA38F4"/>
    <w:rsid w:val="00BA3CC8"/>
    <w:rsid w:val="00BA3EBC"/>
    <w:rsid w:val="00BA41BD"/>
    <w:rsid w:val="00BA435E"/>
    <w:rsid w:val="00BA43C9"/>
    <w:rsid w:val="00BA46EB"/>
    <w:rsid w:val="00BA4A2A"/>
    <w:rsid w:val="00BA4A65"/>
    <w:rsid w:val="00BA4BE5"/>
    <w:rsid w:val="00BA4F25"/>
    <w:rsid w:val="00BA4F78"/>
    <w:rsid w:val="00BA524D"/>
    <w:rsid w:val="00BA5371"/>
    <w:rsid w:val="00BA540E"/>
    <w:rsid w:val="00BA5789"/>
    <w:rsid w:val="00BA58F5"/>
    <w:rsid w:val="00BA5976"/>
    <w:rsid w:val="00BA5ABF"/>
    <w:rsid w:val="00BA642F"/>
    <w:rsid w:val="00BA6443"/>
    <w:rsid w:val="00BA67FC"/>
    <w:rsid w:val="00BA6B8D"/>
    <w:rsid w:val="00BA6E37"/>
    <w:rsid w:val="00BA767C"/>
    <w:rsid w:val="00BB00CC"/>
    <w:rsid w:val="00BB0225"/>
    <w:rsid w:val="00BB049D"/>
    <w:rsid w:val="00BB0A02"/>
    <w:rsid w:val="00BB1060"/>
    <w:rsid w:val="00BB118F"/>
    <w:rsid w:val="00BB1483"/>
    <w:rsid w:val="00BB14A4"/>
    <w:rsid w:val="00BB1656"/>
    <w:rsid w:val="00BB1BA6"/>
    <w:rsid w:val="00BB217E"/>
    <w:rsid w:val="00BB2D69"/>
    <w:rsid w:val="00BB447D"/>
    <w:rsid w:val="00BB4569"/>
    <w:rsid w:val="00BB46D4"/>
    <w:rsid w:val="00BB4DA4"/>
    <w:rsid w:val="00BB4E36"/>
    <w:rsid w:val="00BB508C"/>
    <w:rsid w:val="00BB545A"/>
    <w:rsid w:val="00BB5D18"/>
    <w:rsid w:val="00BB5DB6"/>
    <w:rsid w:val="00BB6580"/>
    <w:rsid w:val="00BB6B7E"/>
    <w:rsid w:val="00BB6BB8"/>
    <w:rsid w:val="00BB7D52"/>
    <w:rsid w:val="00BB7E34"/>
    <w:rsid w:val="00BB7FE6"/>
    <w:rsid w:val="00BC03B9"/>
    <w:rsid w:val="00BC03E1"/>
    <w:rsid w:val="00BC0589"/>
    <w:rsid w:val="00BC0623"/>
    <w:rsid w:val="00BC08AB"/>
    <w:rsid w:val="00BC10CB"/>
    <w:rsid w:val="00BC11BD"/>
    <w:rsid w:val="00BC1404"/>
    <w:rsid w:val="00BC1719"/>
    <w:rsid w:val="00BC18DE"/>
    <w:rsid w:val="00BC206D"/>
    <w:rsid w:val="00BC28BB"/>
    <w:rsid w:val="00BC2937"/>
    <w:rsid w:val="00BC2A5B"/>
    <w:rsid w:val="00BC2D2A"/>
    <w:rsid w:val="00BC2E4D"/>
    <w:rsid w:val="00BC3052"/>
    <w:rsid w:val="00BC3100"/>
    <w:rsid w:val="00BC355E"/>
    <w:rsid w:val="00BC3586"/>
    <w:rsid w:val="00BC3598"/>
    <w:rsid w:val="00BC3723"/>
    <w:rsid w:val="00BC37DB"/>
    <w:rsid w:val="00BC3B22"/>
    <w:rsid w:val="00BC3B9C"/>
    <w:rsid w:val="00BC3D29"/>
    <w:rsid w:val="00BC3DD2"/>
    <w:rsid w:val="00BC3ECB"/>
    <w:rsid w:val="00BC3FBE"/>
    <w:rsid w:val="00BC47AB"/>
    <w:rsid w:val="00BC496F"/>
    <w:rsid w:val="00BC4980"/>
    <w:rsid w:val="00BC4B21"/>
    <w:rsid w:val="00BC589F"/>
    <w:rsid w:val="00BC5A69"/>
    <w:rsid w:val="00BC66FA"/>
    <w:rsid w:val="00BC6751"/>
    <w:rsid w:val="00BC67B3"/>
    <w:rsid w:val="00BC7998"/>
    <w:rsid w:val="00BC7FC4"/>
    <w:rsid w:val="00BD0141"/>
    <w:rsid w:val="00BD033F"/>
    <w:rsid w:val="00BD0CE1"/>
    <w:rsid w:val="00BD110A"/>
    <w:rsid w:val="00BD1707"/>
    <w:rsid w:val="00BD1A9E"/>
    <w:rsid w:val="00BD1E77"/>
    <w:rsid w:val="00BD1F10"/>
    <w:rsid w:val="00BD2911"/>
    <w:rsid w:val="00BD295B"/>
    <w:rsid w:val="00BD29A0"/>
    <w:rsid w:val="00BD2D0E"/>
    <w:rsid w:val="00BD2E1C"/>
    <w:rsid w:val="00BD2FDE"/>
    <w:rsid w:val="00BD32A8"/>
    <w:rsid w:val="00BD37FD"/>
    <w:rsid w:val="00BD3A95"/>
    <w:rsid w:val="00BD3D39"/>
    <w:rsid w:val="00BD3DE1"/>
    <w:rsid w:val="00BD3F21"/>
    <w:rsid w:val="00BD4053"/>
    <w:rsid w:val="00BD420E"/>
    <w:rsid w:val="00BD46B9"/>
    <w:rsid w:val="00BD488E"/>
    <w:rsid w:val="00BD4893"/>
    <w:rsid w:val="00BD4B6A"/>
    <w:rsid w:val="00BD4F59"/>
    <w:rsid w:val="00BD5C9C"/>
    <w:rsid w:val="00BD6033"/>
    <w:rsid w:val="00BD63A5"/>
    <w:rsid w:val="00BD63B6"/>
    <w:rsid w:val="00BD6479"/>
    <w:rsid w:val="00BD68C1"/>
    <w:rsid w:val="00BD6FF3"/>
    <w:rsid w:val="00BD749A"/>
    <w:rsid w:val="00BD77C3"/>
    <w:rsid w:val="00BD7C99"/>
    <w:rsid w:val="00BD7F81"/>
    <w:rsid w:val="00BE05E1"/>
    <w:rsid w:val="00BE062F"/>
    <w:rsid w:val="00BE0A3E"/>
    <w:rsid w:val="00BE0B84"/>
    <w:rsid w:val="00BE0F5C"/>
    <w:rsid w:val="00BE19F6"/>
    <w:rsid w:val="00BE22EB"/>
    <w:rsid w:val="00BE23DD"/>
    <w:rsid w:val="00BE2745"/>
    <w:rsid w:val="00BE277D"/>
    <w:rsid w:val="00BE3C6D"/>
    <w:rsid w:val="00BE3D9F"/>
    <w:rsid w:val="00BE48AE"/>
    <w:rsid w:val="00BE4AC6"/>
    <w:rsid w:val="00BE4B75"/>
    <w:rsid w:val="00BE4DEB"/>
    <w:rsid w:val="00BE4FC1"/>
    <w:rsid w:val="00BE5F7F"/>
    <w:rsid w:val="00BE6022"/>
    <w:rsid w:val="00BE6417"/>
    <w:rsid w:val="00BE688B"/>
    <w:rsid w:val="00BE6F1B"/>
    <w:rsid w:val="00BE70E6"/>
    <w:rsid w:val="00BE7242"/>
    <w:rsid w:val="00BE747C"/>
    <w:rsid w:val="00BE7628"/>
    <w:rsid w:val="00BE76B6"/>
    <w:rsid w:val="00BE778D"/>
    <w:rsid w:val="00BE7EAA"/>
    <w:rsid w:val="00BE7EFC"/>
    <w:rsid w:val="00BF06D5"/>
    <w:rsid w:val="00BF08F8"/>
    <w:rsid w:val="00BF09D4"/>
    <w:rsid w:val="00BF0B63"/>
    <w:rsid w:val="00BF104D"/>
    <w:rsid w:val="00BF111B"/>
    <w:rsid w:val="00BF13E8"/>
    <w:rsid w:val="00BF1464"/>
    <w:rsid w:val="00BF160B"/>
    <w:rsid w:val="00BF1963"/>
    <w:rsid w:val="00BF1AAD"/>
    <w:rsid w:val="00BF21EE"/>
    <w:rsid w:val="00BF2497"/>
    <w:rsid w:val="00BF24AB"/>
    <w:rsid w:val="00BF2B9C"/>
    <w:rsid w:val="00BF2DEF"/>
    <w:rsid w:val="00BF2FB4"/>
    <w:rsid w:val="00BF339F"/>
    <w:rsid w:val="00BF3F5D"/>
    <w:rsid w:val="00BF4189"/>
    <w:rsid w:val="00BF4454"/>
    <w:rsid w:val="00BF4564"/>
    <w:rsid w:val="00BF51A7"/>
    <w:rsid w:val="00BF5223"/>
    <w:rsid w:val="00BF52FD"/>
    <w:rsid w:val="00BF534A"/>
    <w:rsid w:val="00BF54EC"/>
    <w:rsid w:val="00BF56A0"/>
    <w:rsid w:val="00BF5A01"/>
    <w:rsid w:val="00BF60B0"/>
    <w:rsid w:val="00BF6A1D"/>
    <w:rsid w:val="00BF6F5F"/>
    <w:rsid w:val="00BF7070"/>
    <w:rsid w:val="00BF7251"/>
    <w:rsid w:val="00BF768E"/>
    <w:rsid w:val="00BF7997"/>
    <w:rsid w:val="00BF7ACF"/>
    <w:rsid w:val="00C0010D"/>
    <w:rsid w:val="00C0021B"/>
    <w:rsid w:val="00C005C0"/>
    <w:rsid w:val="00C00765"/>
    <w:rsid w:val="00C00945"/>
    <w:rsid w:val="00C00BCF"/>
    <w:rsid w:val="00C014CC"/>
    <w:rsid w:val="00C01724"/>
    <w:rsid w:val="00C01B07"/>
    <w:rsid w:val="00C01B0D"/>
    <w:rsid w:val="00C01B4A"/>
    <w:rsid w:val="00C01F86"/>
    <w:rsid w:val="00C02A85"/>
    <w:rsid w:val="00C032EE"/>
    <w:rsid w:val="00C0356B"/>
    <w:rsid w:val="00C0391E"/>
    <w:rsid w:val="00C039D5"/>
    <w:rsid w:val="00C03C08"/>
    <w:rsid w:val="00C03F1F"/>
    <w:rsid w:val="00C03FE2"/>
    <w:rsid w:val="00C04531"/>
    <w:rsid w:val="00C045BF"/>
    <w:rsid w:val="00C04F0C"/>
    <w:rsid w:val="00C051C1"/>
    <w:rsid w:val="00C052A8"/>
    <w:rsid w:val="00C059D4"/>
    <w:rsid w:val="00C06BF7"/>
    <w:rsid w:val="00C07333"/>
    <w:rsid w:val="00C078FF"/>
    <w:rsid w:val="00C07F23"/>
    <w:rsid w:val="00C07F57"/>
    <w:rsid w:val="00C1024D"/>
    <w:rsid w:val="00C10A15"/>
    <w:rsid w:val="00C10B04"/>
    <w:rsid w:val="00C10E04"/>
    <w:rsid w:val="00C11301"/>
    <w:rsid w:val="00C115B2"/>
    <w:rsid w:val="00C12655"/>
    <w:rsid w:val="00C129D7"/>
    <w:rsid w:val="00C131B4"/>
    <w:rsid w:val="00C132C8"/>
    <w:rsid w:val="00C13609"/>
    <w:rsid w:val="00C137D2"/>
    <w:rsid w:val="00C138E4"/>
    <w:rsid w:val="00C13997"/>
    <w:rsid w:val="00C14112"/>
    <w:rsid w:val="00C1423C"/>
    <w:rsid w:val="00C14979"/>
    <w:rsid w:val="00C14A45"/>
    <w:rsid w:val="00C14C53"/>
    <w:rsid w:val="00C14CDF"/>
    <w:rsid w:val="00C151CE"/>
    <w:rsid w:val="00C153C0"/>
    <w:rsid w:val="00C1551A"/>
    <w:rsid w:val="00C155E4"/>
    <w:rsid w:val="00C1566A"/>
    <w:rsid w:val="00C15713"/>
    <w:rsid w:val="00C15731"/>
    <w:rsid w:val="00C15A8C"/>
    <w:rsid w:val="00C15E81"/>
    <w:rsid w:val="00C16607"/>
    <w:rsid w:val="00C16611"/>
    <w:rsid w:val="00C16744"/>
    <w:rsid w:val="00C1682F"/>
    <w:rsid w:val="00C16DA2"/>
    <w:rsid w:val="00C175BD"/>
    <w:rsid w:val="00C17BCA"/>
    <w:rsid w:val="00C17BEB"/>
    <w:rsid w:val="00C17F22"/>
    <w:rsid w:val="00C20117"/>
    <w:rsid w:val="00C20379"/>
    <w:rsid w:val="00C208A5"/>
    <w:rsid w:val="00C2093F"/>
    <w:rsid w:val="00C209B4"/>
    <w:rsid w:val="00C209E7"/>
    <w:rsid w:val="00C20A11"/>
    <w:rsid w:val="00C20CD1"/>
    <w:rsid w:val="00C20DFF"/>
    <w:rsid w:val="00C20F97"/>
    <w:rsid w:val="00C212F7"/>
    <w:rsid w:val="00C2134A"/>
    <w:rsid w:val="00C21F8E"/>
    <w:rsid w:val="00C2202E"/>
    <w:rsid w:val="00C22041"/>
    <w:rsid w:val="00C225A3"/>
    <w:rsid w:val="00C22AD8"/>
    <w:rsid w:val="00C22B7F"/>
    <w:rsid w:val="00C2354A"/>
    <w:rsid w:val="00C238B6"/>
    <w:rsid w:val="00C24125"/>
    <w:rsid w:val="00C241FB"/>
    <w:rsid w:val="00C24FBC"/>
    <w:rsid w:val="00C25591"/>
    <w:rsid w:val="00C25BB1"/>
    <w:rsid w:val="00C2645B"/>
    <w:rsid w:val="00C26803"/>
    <w:rsid w:val="00C269AD"/>
    <w:rsid w:val="00C26BED"/>
    <w:rsid w:val="00C27886"/>
    <w:rsid w:val="00C278E5"/>
    <w:rsid w:val="00C27B16"/>
    <w:rsid w:val="00C27B72"/>
    <w:rsid w:val="00C27B96"/>
    <w:rsid w:val="00C3071A"/>
    <w:rsid w:val="00C308AB"/>
    <w:rsid w:val="00C30B19"/>
    <w:rsid w:val="00C30C72"/>
    <w:rsid w:val="00C32111"/>
    <w:rsid w:val="00C33114"/>
    <w:rsid w:val="00C33577"/>
    <w:rsid w:val="00C335DA"/>
    <w:rsid w:val="00C33A75"/>
    <w:rsid w:val="00C33A85"/>
    <w:rsid w:val="00C340C3"/>
    <w:rsid w:val="00C3492D"/>
    <w:rsid w:val="00C34C66"/>
    <w:rsid w:val="00C352BB"/>
    <w:rsid w:val="00C354DB"/>
    <w:rsid w:val="00C357F9"/>
    <w:rsid w:val="00C362CF"/>
    <w:rsid w:val="00C36AE7"/>
    <w:rsid w:val="00C36B78"/>
    <w:rsid w:val="00C374B4"/>
    <w:rsid w:val="00C378FB"/>
    <w:rsid w:val="00C37A8A"/>
    <w:rsid w:val="00C37D0A"/>
    <w:rsid w:val="00C37F9E"/>
    <w:rsid w:val="00C4080A"/>
    <w:rsid w:val="00C40CCE"/>
    <w:rsid w:val="00C41175"/>
    <w:rsid w:val="00C4119A"/>
    <w:rsid w:val="00C41222"/>
    <w:rsid w:val="00C41432"/>
    <w:rsid w:val="00C416C7"/>
    <w:rsid w:val="00C41B53"/>
    <w:rsid w:val="00C41D93"/>
    <w:rsid w:val="00C4249B"/>
    <w:rsid w:val="00C4262E"/>
    <w:rsid w:val="00C42BE7"/>
    <w:rsid w:val="00C4330D"/>
    <w:rsid w:val="00C4330E"/>
    <w:rsid w:val="00C4336D"/>
    <w:rsid w:val="00C43682"/>
    <w:rsid w:val="00C437E2"/>
    <w:rsid w:val="00C43E56"/>
    <w:rsid w:val="00C441DD"/>
    <w:rsid w:val="00C4427E"/>
    <w:rsid w:val="00C449F1"/>
    <w:rsid w:val="00C449F6"/>
    <w:rsid w:val="00C4523E"/>
    <w:rsid w:val="00C455FD"/>
    <w:rsid w:val="00C45736"/>
    <w:rsid w:val="00C458F6"/>
    <w:rsid w:val="00C45903"/>
    <w:rsid w:val="00C46833"/>
    <w:rsid w:val="00C469E9"/>
    <w:rsid w:val="00C46EA5"/>
    <w:rsid w:val="00C47130"/>
    <w:rsid w:val="00C471C4"/>
    <w:rsid w:val="00C473AC"/>
    <w:rsid w:val="00C47E3B"/>
    <w:rsid w:val="00C47E4D"/>
    <w:rsid w:val="00C47EB2"/>
    <w:rsid w:val="00C50181"/>
    <w:rsid w:val="00C5053D"/>
    <w:rsid w:val="00C50625"/>
    <w:rsid w:val="00C5087B"/>
    <w:rsid w:val="00C50A7C"/>
    <w:rsid w:val="00C50A97"/>
    <w:rsid w:val="00C50B24"/>
    <w:rsid w:val="00C510CA"/>
    <w:rsid w:val="00C511CA"/>
    <w:rsid w:val="00C517AD"/>
    <w:rsid w:val="00C522E5"/>
    <w:rsid w:val="00C525A1"/>
    <w:rsid w:val="00C529F9"/>
    <w:rsid w:val="00C52F05"/>
    <w:rsid w:val="00C5303E"/>
    <w:rsid w:val="00C532EA"/>
    <w:rsid w:val="00C537F4"/>
    <w:rsid w:val="00C539A6"/>
    <w:rsid w:val="00C53ABB"/>
    <w:rsid w:val="00C544D3"/>
    <w:rsid w:val="00C5456A"/>
    <w:rsid w:val="00C5497F"/>
    <w:rsid w:val="00C549E7"/>
    <w:rsid w:val="00C54C09"/>
    <w:rsid w:val="00C54DE2"/>
    <w:rsid w:val="00C55231"/>
    <w:rsid w:val="00C55257"/>
    <w:rsid w:val="00C55293"/>
    <w:rsid w:val="00C5540D"/>
    <w:rsid w:val="00C55772"/>
    <w:rsid w:val="00C56329"/>
    <w:rsid w:val="00C563B3"/>
    <w:rsid w:val="00C566D1"/>
    <w:rsid w:val="00C57136"/>
    <w:rsid w:val="00C57821"/>
    <w:rsid w:val="00C604CC"/>
    <w:rsid w:val="00C60A67"/>
    <w:rsid w:val="00C60BDD"/>
    <w:rsid w:val="00C60D72"/>
    <w:rsid w:val="00C617D5"/>
    <w:rsid w:val="00C6181D"/>
    <w:rsid w:val="00C61852"/>
    <w:rsid w:val="00C61910"/>
    <w:rsid w:val="00C61AEA"/>
    <w:rsid w:val="00C61DEA"/>
    <w:rsid w:val="00C625AF"/>
    <w:rsid w:val="00C62686"/>
    <w:rsid w:val="00C62743"/>
    <w:rsid w:val="00C62812"/>
    <w:rsid w:val="00C6327A"/>
    <w:rsid w:val="00C644F9"/>
    <w:rsid w:val="00C64527"/>
    <w:rsid w:val="00C64631"/>
    <w:rsid w:val="00C64744"/>
    <w:rsid w:val="00C6498E"/>
    <w:rsid w:val="00C64C25"/>
    <w:rsid w:val="00C64F56"/>
    <w:rsid w:val="00C64FD7"/>
    <w:rsid w:val="00C650CA"/>
    <w:rsid w:val="00C6534B"/>
    <w:rsid w:val="00C6561F"/>
    <w:rsid w:val="00C65641"/>
    <w:rsid w:val="00C658E8"/>
    <w:rsid w:val="00C65A77"/>
    <w:rsid w:val="00C65D72"/>
    <w:rsid w:val="00C6631B"/>
    <w:rsid w:val="00C665D6"/>
    <w:rsid w:val="00C6669A"/>
    <w:rsid w:val="00C66A07"/>
    <w:rsid w:val="00C66B57"/>
    <w:rsid w:val="00C673EB"/>
    <w:rsid w:val="00C674C5"/>
    <w:rsid w:val="00C67626"/>
    <w:rsid w:val="00C6772D"/>
    <w:rsid w:val="00C67E63"/>
    <w:rsid w:val="00C7018B"/>
    <w:rsid w:val="00C70874"/>
    <w:rsid w:val="00C70FBF"/>
    <w:rsid w:val="00C71681"/>
    <w:rsid w:val="00C71945"/>
    <w:rsid w:val="00C71E61"/>
    <w:rsid w:val="00C727B7"/>
    <w:rsid w:val="00C7292A"/>
    <w:rsid w:val="00C7313C"/>
    <w:rsid w:val="00C733A4"/>
    <w:rsid w:val="00C736B4"/>
    <w:rsid w:val="00C73F9B"/>
    <w:rsid w:val="00C7408E"/>
    <w:rsid w:val="00C74637"/>
    <w:rsid w:val="00C74673"/>
    <w:rsid w:val="00C74817"/>
    <w:rsid w:val="00C74F1A"/>
    <w:rsid w:val="00C74F27"/>
    <w:rsid w:val="00C750A1"/>
    <w:rsid w:val="00C752F9"/>
    <w:rsid w:val="00C75380"/>
    <w:rsid w:val="00C75DC3"/>
    <w:rsid w:val="00C75EC1"/>
    <w:rsid w:val="00C7600F"/>
    <w:rsid w:val="00C764A3"/>
    <w:rsid w:val="00C765E4"/>
    <w:rsid w:val="00C76889"/>
    <w:rsid w:val="00C775AE"/>
    <w:rsid w:val="00C778C9"/>
    <w:rsid w:val="00C778F0"/>
    <w:rsid w:val="00C77B3F"/>
    <w:rsid w:val="00C77CF4"/>
    <w:rsid w:val="00C77D24"/>
    <w:rsid w:val="00C800FC"/>
    <w:rsid w:val="00C8045A"/>
    <w:rsid w:val="00C8128B"/>
    <w:rsid w:val="00C81516"/>
    <w:rsid w:val="00C8155C"/>
    <w:rsid w:val="00C81F06"/>
    <w:rsid w:val="00C82049"/>
    <w:rsid w:val="00C820F3"/>
    <w:rsid w:val="00C820FA"/>
    <w:rsid w:val="00C82723"/>
    <w:rsid w:val="00C82886"/>
    <w:rsid w:val="00C82D10"/>
    <w:rsid w:val="00C82E80"/>
    <w:rsid w:val="00C82E99"/>
    <w:rsid w:val="00C82FA7"/>
    <w:rsid w:val="00C83006"/>
    <w:rsid w:val="00C83568"/>
    <w:rsid w:val="00C83598"/>
    <w:rsid w:val="00C83647"/>
    <w:rsid w:val="00C8372F"/>
    <w:rsid w:val="00C8376D"/>
    <w:rsid w:val="00C838EC"/>
    <w:rsid w:val="00C8393A"/>
    <w:rsid w:val="00C83AB0"/>
    <w:rsid w:val="00C8414F"/>
    <w:rsid w:val="00C84C48"/>
    <w:rsid w:val="00C84E62"/>
    <w:rsid w:val="00C851DF"/>
    <w:rsid w:val="00C859D1"/>
    <w:rsid w:val="00C85A54"/>
    <w:rsid w:val="00C8604B"/>
    <w:rsid w:val="00C8641A"/>
    <w:rsid w:val="00C86955"/>
    <w:rsid w:val="00C86BEB"/>
    <w:rsid w:val="00C86D00"/>
    <w:rsid w:val="00C86FF4"/>
    <w:rsid w:val="00C87707"/>
    <w:rsid w:val="00C87F6A"/>
    <w:rsid w:val="00C90093"/>
    <w:rsid w:val="00C900A9"/>
    <w:rsid w:val="00C90F22"/>
    <w:rsid w:val="00C91D3A"/>
    <w:rsid w:val="00C924AE"/>
    <w:rsid w:val="00C925E0"/>
    <w:rsid w:val="00C9272F"/>
    <w:rsid w:val="00C92899"/>
    <w:rsid w:val="00C92AC8"/>
    <w:rsid w:val="00C92BB6"/>
    <w:rsid w:val="00C92CF1"/>
    <w:rsid w:val="00C92F73"/>
    <w:rsid w:val="00C93216"/>
    <w:rsid w:val="00C934D0"/>
    <w:rsid w:val="00C93798"/>
    <w:rsid w:val="00C937BF"/>
    <w:rsid w:val="00C93B16"/>
    <w:rsid w:val="00C93CD9"/>
    <w:rsid w:val="00C93E35"/>
    <w:rsid w:val="00C9460A"/>
    <w:rsid w:val="00C94EBF"/>
    <w:rsid w:val="00C94EC2"/>
    <w:rsid w:val="00C95172"/>
    <w:rsid w:val="00C955D7"/>
    <w:rsid w:val="00C95954"/>
    <w:rsid w:val="00C95984"/>
    <w:rsid w:val="00C95C6B"/>
    <w:rsid w:val="00C95CD5"/>
    <w:rsid w:val="00C95F8F"/>
    <w:rsid w:val="00C964BD"/>
    <w:rsid w:val="00C9670A"/>
    <w:rsid w:val="00C96AE8"/>
    <w:rsid w:val="00C96F56"/>
    <w:rsid w:val="00C96F62"/>
    <w:rsid w:val="00C96FEB"/>
    <w:rsid w:val="00C97225"/>
    <w:rsid w:val="00C97426"/>
    <w:rsid w:val="00C974F3"/>
    <w:rsid w:val="00C975E0"/>
    <w:rsid w:val="00C976DE"/>
    <w:rsid w:val="00C97857"/>
    <w:rsid w:val="00C97D6B"/>
    <w:rsid w:val="00C97DB8"/>
    <w:rsid w:val="00CA006E"/>
    <w:rsid w:val="00CA037E"/>
    <w:rsid w:val="00CA068B"/>
    <w:rsid w:val="00CA0E2D"/>
    <w:rsid w:val="00CA0F1A"/>
    <w:rsid w:val="00CA0F36"/>
    <w:rsid w:val="00CA0FE7"/>
    <w:rsid w:val="00CA11DB"/>
    <w:rsid w:val="00CA15A7"/>
    <w:rsid w:val="00CA1885"/>
    <w:rsid w:val="00CA1B15"/>
    <w:rsid w:val="00CA1B38"/>
    <w:rsid w:val="00CA231B"/>
    <w:rsid w:val="00CA29CC"/>
    <w:rsid w:val="00CA2F88"/>
    <w:rsid w:val="00CA3AA0"/>
    <w:rsid w:val="00CA3B05"/>
    <w:rsid w:val="00CA3B91"/>
    <w:rsid w:val="00CA4056"/>
    <w:rsid w:val="00CA4E1C"/>
    <w:rsid w:val="00CA506F"/>
    <w:rsid w:val="00CA609E"/>
    <w:rsid w:val="00CA65BA"/>
    <w:rsid w:val="00CA7090"/>
    <w:rsid w:val="00CA7278"/>
    <w:rsid w:val="00CA7639"/>
    <w:rsid w:val="00CA7DD5"/>
    <w:rsid w:val="00CB0246"/>
    <w:rsid w:val="00CB0BEF"/>
    <w:rsid w:val="00CB0EE9"/>
    <w:rsid w:val="00CB12BF"/>
    <w:rsid w:val="00CB1395"/>
    <w:rsid w:val="00CB1A74"/>
    <w:rsid w:val="00CB1BE3"/>
    <w:rsid w:val="00CB1DBB"/>
    <w:rsid w:val="00CB208B"/>
    <w:rsid w:val="00CB25C2"/>
    <w:rsid w:val="00CB2733"/>
    <w:rsid w:val="00CB2C3B"/>
    <w:rsid w:val="00CB34BE"/>
    <w:rsid w:val="00CB3DE6"/>
    <w:rsid w:val="00CB4080"/>
    <w:rsid w:val="00CB42DF"/>
    <w:rsid w:val="00CB4BD0"/>
    <w:rsid w:val="00CB4C16"/>
    <w:rsid w:val="00CB55A0"/>
    <w:rsid w:val="00CB5625"/>
    <w:rsid w:val="00CB5A8E"/>
    <w:rsid w:val="00CB6033"/>
    <w:rsid w:val="00CB60EB"/>
    <w:rsid w:val="00CB639A"/>
    <w:rsid w:val="00CB6DEA"/>
    <w:rsid w:val="00CB6FA7"/>
    <w:rsid w:val="00CB7F17"/>
    <w:rsid w:val="00CC01CA"/>
    <w:rsid w:val="00CC0A17"/>
    <w:rsid w:val="00CC0AFA"/>
    <w:rsid w:val="00CC0B36"/>
    <w:rsid w:val="00CC0B80"/>
    <w:rsid w:val="00CC0BC2"/>
    <w:rsid w:val="00CC0CCB"/>
    <w:rsid w:val="00CC18C3"/>
    <w:rsid w:val="00CC1E51"/>
    <w:rsid w:val="00CC2192"/>
    <w:rsid w:val="00CC24FA"/>
    <w:rsid w:val="00CC277F"/>
    <w:rsid w:val="00CC2D14"/>
    <w:rsid w:val="00CC326D"/>
    <w:rsid w:val="00CC332D"/>
    <w:rsid w:val="00CC3377"/>
    <w:rsid w:val="00CC36DA"/>
    <w:rsid w:val="00CC3A93"/>
    <w:rsid w:val="00CC3C65"/>
    <w:rsid w:val="00CC3CC3"/>
    <w:rsid w:val="00CC4016"/>
    <w:rsid w:val="00CC408A"/>
    <w:rsid w:val="00CC42D5"/>
    <w:rsid w:val="00CC44FE"/>
    <w:rsid w:val="00CC49A2"/>
    <w:rsid w:val="00CC4D1F"/>
    <w:rsid w:val="00CC4F87"/>
    <w:rsid w:val="00CC51C8"/>
    <w:rsid w:val="00CC6024"/>
    <w:rsid w:val="00CC60D5"/>
    <w:rsid w:val="00CC6EAA"/>
    <w:rsid w:val="00CC72AE"/>
    <w:rsid w:val="00CC77D6"/>
    <w:rsid w:val="00CC7B38"/>
    <w:rsid w:val="00CC7F01"/>
    <w:rsid w:val="00CC7F56"/>
    <w:rsid w:val="00CD0274"/>
    <w:rsid w:val="00CD06A9"/>
    <w:rsid w:val="00CD0A1E"/>
    <w:rsid w:val="00CD0FF0"/>
    <w:rsid w:val="00CD1033"/>
    <w:rsid w:val="00CD18D4"/>
    <w:rsid w:val="00CD1AFE"/>
    <w:rsid w:val="00CD1F8E"/>
    <w:rsid w:val="00CD2169"/>
    <w:rsid w:val="00CD2259"/>
    <w:rsid w:val="00CD22A1"/>
    <w:rsid w:val="00CD29C3"/>
    <w:rsid w:val="00CD2C74"/>
    <w:rsid w:val="00CD2E7D"/>
    <w:rsid w:val="00CD2E9C"/>
    <w:rsid w:val="00CD2ED1"/>
    <w:rsid w:val="00CD321B"/>
    <w:rsid w:val="00CD345B"/>
    <w:rsid w:val="00CD37A3"/>
    <w:rsid w:val="00CD4107"/>
    <w:rsid w:val="00CD42A4"/>
    <w:rsid w:val="00CD4367"/>
    <w:rsid w:val="00CD4989"/>
    <w:rsid w:val="00CD4D77"/>
    <w:rsid w:val="00CD4DB5"/>
    <w:rsid w:val="00CD4F3F"/>
    <w:rsid w:val="00CD6C28"/>
    <w:rsid w:val="00CD7221"/>
    <w:rsid w:val="00CD7698"/>
    <w:rsid w:val="00CD7C4C"/>
    <w:rsid w:val="00CE01E4"/>
    <w:rsid w:val="00CE0F4C"/>
    <w:rsid w:val="00CE11A5"/>
    <w:rsid w:val="00CE1206"/>
    <w:rsid w:val="00CE14E6"/>
    <w:rsid w:val="00CE18B9"/>
    <w:rsid w:val="00CE1A2F"/>
    <w:rsid w:val="00CE1DD5"/>
    <w:rsid w:val="00CE1DF3"/>
    <w:rsid w:val="00CE1ECE"/>
    <w:rsid w:val="00CE1EDA"/>
    <w:rsid w:val="00CE2B9B"/>
    <w:rsid w:val="00CE318F"/>
    <w:rsid w:val="00CE3213"/>
    <w:rsid w:val="00CE335F"/>
    <w:rsid w:val="00CE3BD2"/>
    <w:rsid w:val="00CE453D"/>
    <w:rsid w:val="00CE4A6C"/>
    <w:rsid w:val="00CE4C95"/>
    <w:rsid w:val="00CE4E9E"/>
    <w:rsid w:val="00CE5219"/>
    <w:rsid w:val="00CE589F"/>
    <w:rsid w:val="00CE5E74"/>
    <w:rsid w:val="00CE64AB"/>
    <w:rsid w:val="00CE6FBD"/>
    <w:rsid w:val="00CE7172"/>
    <w:rsid w:val="00CE7283"/>
    <w:rsid w:val="00CE73B2"/>
    <w:rsid w:val="00CE7818"/>
    <w:rsid w:val="00CE79AA"/>
    <w:rsid w:val="00CE7A0A"/>
    <w:rsid w:val="00CE7B4F"/>
    <w:rsid w:val="00CF0236"/>
    <w:rsid w:val="00CF0522"/>
    <w:rsid w:val="00CF05A9"/>
    <w:rsid w:val="00CF082F"/>
    <w:rsid w:val="00CF0C97"/>
    <w:rsid w:val="00CF0F41"/>
    <w:rsid w:val="00CF0F57"/>
    <w:rsid w:val="00CF106D"/>
    <w:rsid w:val="00CF1290"/>
    <w:rsid w:val="00CF12AD"/>
    <w:rsid w:val="00CF1404"/>
    <w:rsid w:val="00CF14BF"/>
    <w:rsid w:val="00CF1916"/>
    <w:rsid w:val="00CF1C6D"/>
    <w:rsid w:val="00CF21EA"/>
    <w:rsid w:val="00CF2436"/>
    <w:rsid w:val="00CF2496"/>
    <w:rsid w:val="00CF2789"/>
    <w:rsid w:val="00CF27D3"/>
    <w:rsid w:val="00CF2A13"/>
    <w:rsid w:val="00CF2FF6"/>
    <w:rsid w:val="00CF3211"/>
    <w:rsid w:val="00CF32FF"/>
    <w:rsid w:val="00CF34D4"/>
    <w:rsid w:val="00CF3796"/>
    <w:rsid w:val="00CF3BB5"/>
    <w:rsid w:val="00CF42E1"/>
    <w:rsid w:val="00CF4759"/>
    <w:rsid w:val="00CF49DB"/>
    <w:rsid w:val="00CF4A84"/>
    <w:rsid w:val="00CF4AA4"/>
    <w:rsid w:val="00CF4AFB"/>
    <w:rsid w:val="00CF52F7"/>
    <w:rsid w:val="00CF5546"/>
    <w:rsid w:val="00CF56CC"/>
    <w:rsid w:val="00CF5C94"/>
    <w:rsid w:val="00CF5EB5"/>
    <w:rsid w:val="00CF6591"/>
    <w:rsid w:val="00CF6774"/>
    <w:rsid w:val="00CF68A9"/>
    <w:rsid w:val="00CF6AF4"/>
    <w:rsid w:val="00CF70AB"/>
    <w:rsid w:val="00CF7263"/>
    <w:rsid w:val="00CF73F1"/>
    <w:rsid w:val="00CF7437"/>
    <w:rsid w:val="00CF79A2"/>
    <w:rsid w:val="00CF7A4E"/>
    <w:rsid w:val="00CF7C03"/>
    <w:rsid w:val="00D00025"/>
    <w:rsid w:val="00D002A0"/>
    <w:rsid w:val="00D007A5"/>
    <w:rsid w:val="00D00AB7"/>
    <w:rsid w:val="00D00DF9"/>
    <w:rsid w:val="00D01258"/>
    <w:rsid w:val="00D0261B"/>
    <w:rsid w:val="00D0264D"/>
    <w:rsid w:val="00D0266A"/>
    <w:rsid w:val="00D0271F"/>
    <w:rsid w:val="00D02A3E"/>
    <w:rsid w:val="00D0317A"/>
    <w:rsid w:val="00D03277"/>
    <w:rsid w:val="00D03405"/>
    <w:rsid w:val="00D04120"/>
    <w:rsid w:val="00D0417A"/>
    <w:rsid w:val="00D0469D"/>
    <w:rsid w:val="00D04C54"/>
    <w:rsid w:val="00D0547D"/>
    <w:rsid w:val="00D05779"/>
    <w:rsid w:val="00D05D99"/>
    <w:rsid w:val="00D06082"/>
    <w:rsid w:val="00D06516"/>
    <w:rsid w:val="00D068F8"/>
    <w:rsid w:val="00D069B1"/>
    <w:rsid w:val="00D06C6D"/>
    <w:rsid w:val="00D06CDC"/>
    <w:rsid w:val="00D06F8B"/>
    <w:rsid w:val="00D07282"/>
    <w:rsid w:val="00D07347"/>
    <w:rsid w:val="00D07598"/>
    <w:rsid w:val="00D07638"/>
    <w:rsid w:val="00D07B79"/>
    <w:rsid w:val="00D07F9A"/>
    <w:rsid w:val="00D103AA"/>
    <w:rsid w:val="00D10913"/>
    <w:rsid w:val="00D10A1C"/>
    <w:rsid w:val="00D112D6"/>
    <w:rsid w:val="00D11741"/>
    <w:rsid w:val="00D1225C"/>
    <w:rsid w:val="00D12572"/>
    <w:rsid w:val="00D12752"/>
    <w:rsid w:val="00D12EE0"/>
    <w:rsid w:val="00D134B2"/>
    <w:rsid w:val="00D13787"/>
    <w:rsid w:val="00D13A1A"/>
    <w:rsid w:val="00D13B13"/>
    <w:rsid w:val="00D13CDB"/>
    <w:rsid w:val="00D14C5A"/>
    <w:rsid w:val="00D14C78"/>
    <w:rsid w:val="00D155F1"/>
    <w:rsid w:val="00D163F5"/>
    <w:rsid w:val="00D164BD"/>
    <w:rsid w:val="00D16644"/>
    <w:rsid w:val="00D16649"/>
    <w:rsid w:val="00D169E6"/>
    <w:rsid w:val="00D16D67"/>
    <w:rsid w:val="00D16E77"/>
    <w:rsid w:val="00D16FEF"/>
    <w:rsid w:val="00D172FA"/>
    <w:rsid w:val="00D17FC2"/>
    <w:rsid w:val="00D20464"/>
    <w:rsid w:val="00D2049E"/>
    <w:rsid w:val="00D206A5"/>
    <w:rsid w:val="00D20BF7"/>
    <w:rsid w:val="00D2138A"/>
    <w:rsid w:val="00D21697"/>
    <w:rsid w:val="00D2180B"/>
    <w:rsid w:val="00D224C2"/>
    <w:rsid w:val="00D22775"/>
    <w:rsid w:val="00D228C7"/>
    <w:rsid w:val="00D22CCE"/>
    <w:rsid w:val="00D22D68"/>
    <w:rsid w:val="00D22E15"/>
    <w:rsid w:val="00D2302E"/>
    <w:rsid w:val="00D23211"/>
    <w:rsid w:val="00D232CA"/>
    <w:rsid w:val="00D233D6"/>
    <w:rsid w:val="00D23487"/>
    <w:rsid w:val="00D2349D"/>
    <w:rsid w:val="00D235C9"/>
    <w:rsid w:val="00D2368A"/>
    <w:rsid w:val="00D239A4"/>
    <w:rsid w:val="00D23C0D"/>
    <w:rsid w:val="00D24541"/>
    <w:rsid w:val="00D24F44"/>
    <w:rsid w:val="00D25085"/>
    <w:rsid w:val="00D253FE"/>
    <w:rsid w:val="00D25533"/>
    <w:rsid w:val="00D25B5D"/>
    <w:rsid w:val="00D25CF5"/>
    <w:rsid w:val="00D25F21"/>
    <w:rsid w:val="00D25FF8"/>
    <w:rsid w:val="00D2614C"/>
    <w:rsid w:val="00D265B3"/>
    <w:rsid w:val="00D2662C"/>
    <w:rsid w:val="00D26644"/>
    <w:rsid w:val="00D26731"/>
    <w:rsid w:val="00D2686F"/>
    <w:rsid w:val="00D268D7"/>
    <w:rsid w:val="00D269F4"/>
    <w:rsid w:val="00D270F5"/>
    <w:rsid w:val="00D2710A"/>
    <w:rsid w:val="00D279FC"/>
    <w:rsid w:val="00D27A18"/>
    <w:rsid w:val="00D27B84"/>
    <w:rsid w:val="00D27BFB"/>
    <w:rsid w:val="00D27CC0"/>
    <w:rsid w:val="00D27F84"/>
    <w:rsid w:val="00D302D3"/>
    <w:rsid w:val="00D3059B"/>
    <w:rsid w:val="00D30D72"/>
    <w:rsid w:val="00D30E54"/>
    <w:rsid w:val="00D31079"/>
    <w:rsid w:val="00D310D9"/>
    <w:rsid w:val="00D31285"/>
    <w:rsid w:val="00D319DE"/>
    <w:rsid w:val="00D320E5"/>
    <w:rsid w:val="00D3229B"/>
    <w:rsid w:val="00D32418"/>
    <w:rsid w:val="00D328E1"/>
    <w:rsid w:val="00D32997"/>
    <w:rsid w:val="00D32DB0"/>
    <w:rsid w:val="00D32E33"/>
    <w:rsid w:val="00D3305D"/>
    <w:rsid w:val="00D331CC"/>
    <w:rsid w:val="00D33351"/>
    <w:rsid w:val="00D338FB"/>
    <w:rsid w:val="00D3452C"/>
    <w:rsid w:val="00D34768"/>
    <w:rsid w:val="00D347F2"/>
    <w:rsid w:val="00D34A5E"/>
    <w:rsid w:val="00D353DA"/>
    <w:rsid w:val="00D356B9"/>
    <w:rsid w:val="00D35923"/>
    <w:rsid w:val="00D35BB5"/>
    <w:rsid w:val="00D35D03"/>
    <w:rsid w:val="00D364D2"/>
    <w:rsid w:val="00D36511"/>
    <w:rsid w:val="00D36A2A"/>
    <w:rsid w:val="00D36ED4"/>
    <w:rsid w:val="00D36F24"/>
    <w:rsid w:val="00D371B4"/>
    <w:rsid w:val="00D374FC"/>
    <w:rsid w:val="00D3750B"/>
    <w:rsid w:val="00D37D9E"/>
    <w:rsid w:val="00D403F3"/>
    <w:rsid w:val="00D4045B"/>
    <w:rsid w:val="00D404EB"/>
    <w:rsid w:val="00D4063B"/>
    <w:rsid w:val="00D40766"/>
    <w:rsid w:val="00D40A1C"/>
    <w:rsid w:val="00D40DA5"/>
    <w:rsid w:val="00D4129C"/>
    <w:rsid w:val="00D4130B"/>
    <w:rsid w:val="00D4167D"/>
    <w:rsid w:val="00D417CA"/>
    <w:rsid w:val="00D41AAE"/>
    <w:rsid w:val="00D4210D"/>
    <w:rsid w:val="00D4211B"/>
    <w:rsid w:val="00D424CE"/>
    <w:rsid w:val="00D426E0"/>
    <w:rsid w:val="00D42975"/>
    <w:rsid w:val="00D42DE2"/>
    <w:rsid w:val="00D42F10"/>
    <w:rsid w:val="00D43243"/>
    <w:rsid w:val="00D43403"/>
    <w:rsid w:val="00D439A5"/>
    <w:rsid w:val="00D43C0E"/>
    <w:rsid w:val="00D43E18"/>
    <w:rsid w:val="00D43E9A"/>
    <w:rsid w:val="00D4416B"/>
    <w:rsid w:val="00D44845"/>
    <w:rsid w:val="00D44B6E"/>
    <w:rsid w:val="00D4517A"/>
    <w:rsid w:val="00D45715"/>
    <w:rsid w:val="00D45A45"/>
    <w:rsid w:val="00D45B8D"/>
    <w:rsid w:val="00D45BCA"/>
    <w:rsid w:val="00D462CA"/>
    <w:rsid w:val="00D4699C"/>
    <w:rsid w:val="00D469F2"/>
    <w:rsid w:val="00D46AA9"/>
    <w:rsid w:val="00D46B5F"/>
    <w:rsid w:val="00D47558"/>
    <w:rsid w:val="00D47AAC"/>
    <w:rsid w:val="00D47CED"/>
    <w:rsid w:val="00D500F7"/>
    <w:rsid w:val="00D5073D"/>
    <w:rsid w:val="00D50936"/>
    <w:rsid w:val="00D50A7B"/>
    <w:rsid w:val="00D50CA3"/>
    <w:rsid w:val="00D50DB9"/>
    <w:rsid w:val="00D5141B"/>
    <w:rsid w:val="00D52BFF"/>
    <w:rsid w:val="00D5346E"/>
    <w:rsid w:val="00D535D6"/>
    <w:rsid w:val="00D549B6"/>
    <w:rsid w:val="00D55342"/>
    <w:rsid w:val="00D553C7"/>
    <w:rsid w:val="00D555D7"/>
    <w:rsid w:val="00D56006"/>
    <w:rsid w:val="00D562C7"/>
    <w:rsid w:val="00D56328"/>
    <w:rsid w:val="00D56400"/>
    <w:rsid w:val="00D566B0"/>
    <w:rsid w:val="00D567BB"/>
    <w:rsid w:val="00D56819"/>
    <w:rsid w:val="00D56C89"/>
    <w:rsid w:val="00D573DD"/>
    <w:rsid w:val="00D574C8"/>
    <w:rsid w:val="00D57AD9"/>
    <w:rsid w:val="00D57BCF"/>
    <w:rsid w:val="00D60009"/>
    <w:rsid w:val="00D60046"/>
    <w:rsid w:val="00D6012E"/>
    <w:rsid w:val="00D60181"/>
    <w:rsid w:val="00D60370"/>
    <w:rsid w:val="00D6089B"/>
    <w:rsid w:val="00D60E8C"/>
    <w:rsid w:val="00D6165D"/>
    <w:rsid w:val="00D619D6"/>
    <w:rsid w:val="00D61BE1"/>
    <w:rsid w:val="00D61C18"/>
    <w:rsid w:val="00D624BD"/>
    <w:rsid w:val="00D624DA"/>
    <w:rsid w:val="00D62DF1"/>
    <w:rsid w:val="00D631FE"/>
    <w:rsid w:val="00D63209"/>
    <w:rsid w:val="00D6327A"/>
    <w:rsid w:val="00D63330"/>
    <w:rsid w:val="00D6356C"/>
    <w:rsid w:val="00D63A20"/>
    <w:rsid w:val="00D63FA1"/>
    <w:rsid w:val="00D63FEA"/>
    <w:rsid w:val="00D647E5"/>
    <w:rsid w:val="00D64BC6"/>
    <w:rsid w:val="00D65330"/>
    <w:rsid w:val="00D65421"/>
    <w:rsid w:val="00D65972"/>
    <w:rsid w:val="00D6614A"/>
    <w:rsid w:val="00D663B8"/>
    <w:rsid w:val="00D66F87"/>
    <w:rsid w:val="00D67311"/>
    <w:rsid w:val="00D67F36"/>
    <w:rsid w:val="00D705FB"/>
    <w:rsid w:val="00D70A2D"/>
    <w:rsid w:val="00D70D49"/>
    <w:rsid w:val="00D70D6C"/>
    <w:rsid w:val="00D710F0"/>
    <w:rsid w:val="00D71100"/>
    <w:rsid w:val="00D71814"/>
    <w:rsid w:val="00D71880"/>
    <w:rsid w:val="00D71D3B"/>
    <w:rsid w:val="00D71EDF"/>
    <w:rsid w:val="00D71FFB"/>
    <w:rsid w:val="00D72230"/>
    <w:rsid w:val="00D723E3"/>
    <w:rsid w:val="00D72440"/>
    <w:rsid w:val="00D727EB"/>
    <w:rsid w:val="00D7369B"/>
    <w:rsid w:val="00D74531"/>
    <w:rsid w:val="00D7486E"/>
    <w:rsid w:val="00D74A21"/>
    <w:rsid w:val="00D74A7A"/>
    <w:rsid w:val="00D75A48"/>
    <w:rsid w:val="00D75B3F"/>
    <w:rsid w:val="00D75C0C"/>
    <w:rsid w:val="00D75EBC"/>
    <w:rsid w:val="00D7631E"/>
    <w:rsid w:val="00D7675E"/>
    <w:rsid w:val="00D76A56"/>
    <w:rsid w:val="00D76BE1"/>
    <w:rsid w:val="00D76D4D"/>
    <w:rsid w:val="00D76F24"/>
    <w:rsid w:val="00D77006"/>
    <w:rsid w:val="00D77CC0"/>
    <w:rsid w:val="00D77D0A"/>
    <w:rsid w:val="00D803AB"/>
    <w:rsid w:val="00D804C7"/>
    <w:rsid w:val="00D8085D"/>
    <w:rsid w:val="00D80898"/>
    <w:rsid w:val="00D80DC8"/>
    <w:rsid w:val="00D8113B"/>
    <w:rsid w:val="00D81247"/>
    <w:rsid w:val="00D8132E"/>
    <w:rsid w:val="00D81370"/>
    <w:rsid w:val="00D816A3"/>
    <w:rsid w:val="00D81808"/>
    <w:rsid w:val="00D8187A"/>
    <w:rsid w:val="00D81A37"/>
    <w:rsid w:val="00D81CC1"/>
    <w:rsid w:val="00D81DD7"/>
    <w:rsid w:val="00D826EC"/>
    <w:rsid w:val="00D82FB5"/>
    <w:rsid w:val="00D834CC"/>
    <w:rsid w:val="00D83581"/>
    <w:rsid w:val="00D837C5"/>
    <w:rsid w:val="00D83EE4"/>
    <w:rsid w:val="00D83FA0"/>
    <w:rsid w:val="00D84486"/>
    <w:rsid w:val="00D845D0"/>
    <w:rsid w:val="00D847A9"/>
    <w:rsid w:val="00D847D6"/>
    <w:rsid w:val="00D84C45"/>
    <w:rsid w:val="00D85418"/>
    <w:rsid w:val="00D8554F"/>
    <w:rsid w:val="00D85C3B"/>
    <w:rsid w:val="00D85CDA"/>
    <w:rsid w:val="00D85F3F"/>
    <w:rsid w:val="00D85FE2"/>
    <w:rsid w:val="00D866AC"/>
    <w:rsid w:val="00D870D3"/>
    <w:rsid w:val="00D87F46"/>
    <w:rsid w:val="00D9057C"/>
    <w:rsid w:val="00D906C3"/>
    <w:rsid w:val="00D90797"/>
    <w:rsid w:val="00D909A1"/>
    <w:rsid w:val="00D90FB4"/>
    <w:rsid w:val="00D9180B"/>
    <w:rsid w:val="00D9189E"/>
    <w:rsid w:val="00D91978"/>
    <w:rsid w:val="00D91A8D"/>
    <w:rsid w:val="00D9220D"/>
    <w:rsid w:val="00D92308"/>
    <w:rsid w:val="00D924F4"/>
    <w:rsid w:val="00D92B2A"/>
    <w:rsid w:val="00D932F9"/>
    <w:rsid w:val="00D93BE0"/>
    <w:rsid w:val="00D941E8"/>
    <w:rsid w:val="00D943A6"/>
    <w:rsid w:val="00D946F7"/>
    <w:rsid w:val="00D94806"/>
    <w:rsid w:val="00D9485D"/>
    <w:rsid w:val="00D94CE2"/>
    <w:rsid w:val="00D94E10"/>
    <w:rsid w:val="00D95097"/>
    <w:rsid w:val="00D95594"/>
    <w:rsid w:val="00D95785"/>
    <w:rsid w:val="00D95BA4"/>
    <w:rsid w:val="00D96685"/>
    <w:rsid w:val="00D96718"/>
    <w:rsid w:val="00D969B2"/>
    <w:rsid w:val="00D96DA4"/>
    <w:rsid w:val="00D96FA4"/>
    <w:rsid w:val="00D97153"/>
    <w:rsid w:val="00D9744E"/>
    <w:rsid w:val="00D97452"/>
    <w:rsid w:val="00D97B90"/>
    <w:rsid w:val="00DA0021"/>
    <w:rsid w:val="00DA09D6"/>
    <w:rsid w:val="00DA0F75"/>
    <w:rsid w:val="00DA148C"/>
    <w:rsid w:val="00DA18F2"/>
    <w:rsid w:val="00DA19C6"/>
    <w:rsid w:val="00DA1A63"/>
    <w:rsid w:val="00DA1B97"/>
    <w:rsid w:val="00DA1D19"/>
    <w:rsid w:val="00DA1EF4"/>
    <w:rsid w:val="00DA2044"/>
    <w:rsid w:val="00DA216D"/>
    <w:rsid w:val="00DA25EF"/>
    <w:rsid w:val="00DA2612"/>
    <w:rsid w:val="00DA27A4"/>
    <w:rsid w:val="00DA2DD4"/>
    <w:rsid w:val="00DA3170"/>
    <w:rsid w:val="00DA3288"/>
    <w:rsid w:val="00DA3367"/>
    <w:rsid w:val="00DA38AC"/>
    <w:rsid w:val="00DA3A45"/>
    <w:rsid w:val="00DA3A75"/>
    <w:rsid w:val="00DA4231"/>
    <w:rsid w:val="00DA4302"/>
    <w:rsid w:val="00DA4522"/>
    <w:rsid w:val="00DA48D3"/>
    <w:rsid w:val="00DA4D03"/>
    <w:rsid w:val="00DA519C"/>
    <w:rsid w:val="00DA5299"/>
    <w:rsid w:val="00DA57CB"/>
    <w:rsid w:val="00DA5DCE"/>
    <w:rsid w:val="00DA5DF5"/>
    <w:rsid w:val="00DA6225"/>
    <w:rsid w:val="00DA6373"/>
    <w:rsid w:val="00DA6860"/>
    <w:rsid w:val="00DA68FE"/>
    <w:rsid w:val="00DA6D38"/>
    <w:rsid w:val="00DA700A"/>
    <w:rsid w:val="00DA746C"/>
    <w:rsid w:val="00DA7A99"/>
    <w:rsid w:val="00DB087E"/>
    <w:rsid w:val="00DB0D93"/>
    <w:rsid w:val="00DB168A"/>
    <w:rsid w:val="00DB20D5"/>
    <w:rsid w:val="00DB20DF"/>
    <w:rsid w:val="00DB231A"/>
    <w:rsid w:val="00DB237A"/>
    <w:rsid w:val="00DB2505"/>
    <w:rsid w:val="00DB2640"/>
    <w:rsid w:val="00DB2DCA"/>
    <w:rsid w:val="00DB318E"/>
    <w:rsid w:val="00DB332B"/>
    <w:rsid w:val="00DB3763"/>
    <w:rsid w:val="00DB396C"/>
    <w:rsid w:val="00DB41F3"/>
    <w:rsid w:val="00DB4437"/>
    <w:rsid w:val="00DB537C"/>
    <w:rsid w:val="00DB5588"/>
    <w:rsid w:val="00DB5CB7"/>
    <w:rsid w:val="00DB62BE"/>
    <w:rsid w:val="00DB67D1"/>
    <w:rsid w:val="00DB7151"/>
    <w:rsid w:val="00DB7218"/>
    <w:rsid w:val="00DB7658"/>
    <w:rsid w:val="00DB787B"/>
    <w:rsid w:val="00DB7A67"/>
    <w:rsid w:val="00DC05E1"/>
    <w:rsid w:val="00DC0777"/>
    <w:rsid w:val="00DC0BD6"/>
    <w:rsid w:val="00DC0DA1"/>
    <w:rsid w:val="00DC0EAE"/>
    <w:rsid w:val="00DC0FC7"/>
    <w:rsid w:val="00DC11CF"/>
    <w:rsid w:val="00DC1299"/>
    <w:rsid w:val="00DC156D"/>
    <w:rsid w:val="00DC1947"/>
    <w:rsid w:val="00DC1C79"/>
    <w:rsid w:val="00DC20B2"/>
    <w:rsid w:val="00DC22A0"/>
    <w:rsid w:val="00DC264B"/>
    <w:rsid w:val="00DC28C8"/>
    <w:rsid w:val="00DC2D1D"/>
    <w:rsid w:val="00DC2E49"/>
    <w:rsid w:val="00DC30E9"/>
    <w:rsid w:val="00DC3383"/>
    <w:rsid w:val="00DC34BA"/>
    <w:rsid w:val="00DC3F09"/>
    <w:rsid w:val="00DC3F24"/>
    <w:rsid w:val="00DC4266"/>
    <w:rsid w:val="00DC450E"/>
    <w:rsid w:val="00DC4B32"/>
    <w:rsid w:val="00DC4BE0"/>
    <w:rsid w:val="00DC52BB"/>
    <w:rsid w:val="00DC53E0"/>
    <w:rsid w:val="00DC54EC"/>
    <w:rsid w:val="00DC5B54"/>
    <w:rsid w:val="00DC5E59"/>
    <w:rsid w:val="00DC645F"/>
    <w:rsid w:val="00DC653B"/>
    <w:rsid w:val="00DC7090"/>
    <w:rsid w:val="00DC7F54"/>
    <w:rsid w:val="00DD0E1C"/>
    <w:rsid w:val="00DD0E84"/>
    <w:rsid w:val="00DD140A"/>
    <w:rsid w:val="00DD1847"/>
    <w:rsid w:val="00DD1A73"/>
    <w:rsid w:val="00DD1B65"/>
    <w:rsid w:val="00DD1F45"/>
    <w:rsid w:val="00DD2099"/>
    <w:rsid w:val="00DD2127"/>
    <w:rsid w:val="00DD2387"/>
    <w:rsid w:val="00DD2642"/>
    <w:rsid w:val="00DD294C"/>
    <w:rsid w:val="00DD2C4F"/>
    <w:rsid w:val="00DD2E3D"/>
    <w:rsid w:val="00DD34F1"/>
    <w:rsid w:val="00DD35A0"/>
    <w:rsid w:val="00DD3862"/>
    <w:rsid w:val="00DD3F2E"/>
    <w:rsid w:val="00DD4844"/>
    <w:rsid w:val="00DD4BCC"/>
    <w:rsid w:val="00DD58A7"/>
    <w:rsid w:val="00DD6122"/>
    <w:rsid w:val="00DD64BD"/>
    <w:rsid w:val="00DD65DC"/>
    <w:rsid w:val="00DD6A53"/>
    <w:rsid w:val="00DD6E37"/>
    <w:rsid w:val="00DD70E4"/>
    <w:rsid w:val="00DD7328"/>
    <w:rsid w:val="00DD7449"/>
    <w:rsid w:val="00DD78FF"/>
    <w:rsid w:val="00DD7CED"/>
    <w:rsid w:val="00DD7ECC"/>
    <w:rsid w:val="00DE014F"/>
    <w:rsid w:val="00DE01A2"/>
    <w:rsid w:val="00DE0605"/>
    <w:rsid w:val="00DE0F3B"/>
    <w:rsid w:val="00DE0F45"/>
    <w:rsid w:val="00DE11D1"/>
    <w:rsid w:val="00DE1276"/>
    <w:rsid w:val="00DE19FB"/>
    <w:rsid w:val="00DE1DDE"/>
    <w:rsid w:val="00DE1FD4"/>
    <w:rsid w:val="00DE2A88"/>
    <w:rsid w:val="00DE36F5"/>
    <w:rsid w:val="00DE3871"/>
    <w:rsid w:val="00DE3894"/>
    <w:rsid w:val="00DE3D84"/>
    <w:rsid w:val="00DE43BA"/>
    <w:rsid w:val="00DE4B3D"/>
    <w:rsid w:val="00DE4EC8"/>
    <w:rsid w:val="00DE5271"/>
    <w:rsid w:val="00DE52F3"/>
    <w:rsid w:val="00DE5D32"/>
    <w:rsid w:val="00DE5F86"/>
    <w:rsid w:val="00DE6388"/>
    <w:rsid w:val="00DE63AA"/>
    <w:rsid w:val="00DE6520"/>
    <w:rsid w:val="00DE655A"/>
    <w:rsid w:val="00DE6582"/>
    <w:rsid w:val="00DE671D"/>
    <w:rsid w:val="00DE6984"/>
    <w:rsid w:val="00DE71E1"/>
    <w:rsid w:val="00DE74E7"/>
    <w:rsid w:val="00DE7A44"/>
    <w:rsid w:val="00DF0031"/>
    <w:rsid w:val="00DF02FE"/>
    <w:rsid w:val="00DF113F"/>
    <w:rsid w:val="00DF1441"/>
    <w:rsid w:val="00DF15F1"/>
    <w:rsid w:val="00DF1636"/>
    <w:rsid w:val="00DF16CA"/>
    <w:rsid w:val="00DF18A7"/>
    <w:rsid w:val="00DF1A4B"/>
    <w:rsid w:val="00DF1F6B"/>
    <w:rsid w:val="00DF2421"/>
    <w:rsid w:val="00DF2641"/>
    <w:rsid w:val="00DF3E92"/>
    <w:rsid w:val="00DF3F3E"/>
    <w:rsid w:val="00DF45B1"/>
    <w:rsid w:val="00DF4B90"/>
    <w:rsid w:val="00DF4FC2"/>
    <w:rsid w:val="00DF51DF"/>
    <w:rsid w:val="00DF51E5"/>
    <w:rsid w:val="00DF5E01"/>
    <w:rsid w:val="00DF5EB9"/>
    <w:rsid w:val="00DF60D2"/>
    <w:rsid w:val="00DF62E7"/>
    <w:rsid w:val="00DF6561"/>
    <w:rsid w:val="00DF6568"/>
    <w:rsid w:val="00DF6897"/>
    <w:rsid w:val="00DF6E7A"/>
    <w:rsid w:val="00DF6ED9"/>
    <w:rsid w:val="00DF769F"/>
    <w:rsid w:val="00DF7E30"/>
    <w:rsid w:val="00E0049A"/>
    <w:rsid w:val="00E00C07"/>
    <w:rsid w:val="00E010F8"/>
    <w:rsid w:val="00E012E9"/>
    <w:rsid w:val="00E019D2"/>
    <w:rsid w:val="00E01A1E"/>
    <w:rsid w:val="00E01E56"/>
    <w:rsid w:val="00E02071"/>
    <w:rsid w:val="00E02129"/>
    <w:rsid w:val="00E02396"/>
    <w:rsid w:val="00E0252C"/>
    <w:rsid w:val="00E025E0"/>
    <w:rsid w:val="00E02B1C"/>
    <w:rsid w:val="00E031D5"/>
    <w:rsid w:val="00E03644"/>
    <w:rsid w:val="00E0382B"/>
    <w:rsid w:val="00E03C14"/>
    <w:rsid w:val="00E03DAD"/>
    <w:rsid w:val="00E03DFA"/>
    <w:rsid w:val="00E04714"/>
    <w:rsid w:val="00E04A12"/>
    <w:rsid w:val="00E04C98"/>
    <w:rsid w:val="00E04D74"/>
    <w:rsid w:val="00E04D9C"/>
    <w:rsid w:val="00E04E8A"/>
    <w:rsid w:val="00E05190"/>
    <w:rsid w:val="00E05211"/>
    <w:rsid w:val="00E0538B"/>
    <w:rsid w:val="00E05637"/>
    <w:rsid w:val="00E057A0"/>
    <w:rsid w:val="00E05D0D"/>
    <w:rsid w:val="00E070A8"/>
    <w:rsid w:val="00E078F4"/>
    <w:rsid w:val="00E07A5A"/>
    <w:rsid w:val="00E103D6"/>
    <w:rsid w:val="00E108E1"/>
    <w:rsid w:val="00E10A1F"/>
    <w:rsid w:val="00E10CAB"/>
    <w:rsid w:val="00E10E1C"/>
    <w:rsid w:val="00E10FE0"/>
    <w:rsid w:val="00E11293"/>
    <w:rsid w:val="00E11392"/>
    <w:rsid w:val="00E1142C"/>
    <w:rsid w:val="00E11657"/>
    <w:rsid w:val="00E11AC8"/>
    <w:rsid w:val="00E11FEE"/>
    <w:rsid w:val="00E12291"/>
    <w:rsid w:val="00E122B7"/>
    <w:rsid w:val="00E129A0"/>
    <w:rsid w:val="00E12BD7"/>
    <w:rsid w:val="00E12C20"/>
    <w:rsid w:val="00E12D91"/>
    <w:rsid w:val="00E131F7"/>
    <w:rsid w:val="00E135E6"/>
    <w:rsid w:val="00E13843"/>
    <w:rsid w:val="00E138D8"/>
    <w:rsid w:val="00E139C5"/>
    <w:rsid w:val="00E13BD5"/>
    <w:rsid w:val="00E1457C"/>
    <w:rsid w:val="00E146A5"/>
    <w:rsid w:val="00E14856"/>
    <w:rsid w:val="00E149BB"/>
    <w:rsid w:val="00E14D26"/>
    <w:rsid w:val="00E14E6A"/>
    <w:rsid w:val="00E14F28"/>
    <w:rsid w:val="00E15097"/>
    <w:rsid w:val="00E15495"/>
    <w:rsid w:val="00E1597C"/>
    <w:rsid w:val="00E15ADE"/>
    <w:rsid w:val="00E162A5"/>
    <w:rsid w:val="00E17782"/>
    <w:rsid w:val="00E17AEA"/>
    <w:rsid w:val="00E200E8"/>
    <w:rsid w:val="00E20B17"/>
    <w:rsid w:val="00E20DC1"/>
    <w:rsid w:val="00E20E73"/>
    <w:rsid w:val="00E21952"/>
    <w:rsid w:val="00E21F33"/>
    <w:rsid w:val="00E22188"/>
    <w:rsid w:val="00E224B8"/>
    <w:rsid w:val="00E2275C"/>
    <w:rsid w:val="00E22855"/>
    <w:rsid w:val="00E22873"/>
    <w:rsid w:val="00E2290F"/>
    <w:rsid w:val="00E22C41"/>
    <w:rsid w:val="00E235DE"/>
    <w:rsid w:val="00E2383A"/>
    <w:rsid w:val="00E23895"/>
    <w:rsid w:val="00E23D2B"/>
    <w:rsid w:val="00E23D5D"/>
    <w:rsid w:val="00E2421C"/>
    <w:rsid w:val="00E246C7"/>
    <w:rsid w:val="00E24EBC"/>
    <w:rsid w:val="00E25270"/>
    <w:rsid w:val="00E25C51"/>
    <w:rsid w:val="00E261B1"/>
    <w:rsid w:val="00E261B8"/>
    <w:rsid w:val="00E2625A"/>
    <w:rsid w:val="00E279D6"/>
    <w:rsid w:val="00E27BA5"/>
    <w:rsid w:val="00E27C18"/>
    <w:rsid w:val="00E27F4D"/>
    <w:rsid w:val="00E27FA9"/>
    <w:rsid w:val="00E30082"/>
    <w:rsid w:val="00E301C8"/>
    <w:rsid w:val="00E30C2D"/>
    <w:rsid w:val="00E30D11"/>
    <w:rsid w:val="00E30D62"/>
    <w:rsid w:val="00E30D76"/>
    <w:rsid w:val="00E31066"/>
    <w:rsid w:val="00E31299"/>
    <w:rsid w:val="00E31A43"/>
    <w:rsid w:val="00E31E3A"/>
    <w:rsid w:val="00E32149"/>
    <w:rsid w:val="00E32658"/>
    <w:rsid w:val="00E329A9"/>
    <w:rsid w:val="00E32D96"/>
    <w:rsid w:val="00E33115"/>
    <w:rsid w:val="00E335B1"/>
    <w:rsid w:val="00E3411E"/>
    <w:rsid w:val="00E34B15"/>
    <w:rsid w:val="00E34B85"/>
    <w:rsid w:val="00E34F1F"/>
    <w:rsid w:val="00E35A1D"/>
    <w:rsid w:val="00E35D47"/>
    <w:rsid w:val="00E35E67"/>
    <w:rsid w:val="00E3604C"/>
    <w:rsid w:val="00E36AE0"/>
    <w:rsid w:val="00E36DE7"/>
    <w:rsid w:val="00E372B5"/>
    <w:rsid w:val="00E377E4"/>
    <w:rsid w:val="00E3785D"/>
    <w:rsid w:val="00E37EF8"/>
    <w:rsid w:val="00E4024D"/>
    <w:rsid w:val="00E4034D"/>
    <w:rsid w:val="00E407B7"/>
    <w:rsid w:val="00E40876"/>
    <w:rsid w:val="00E40AA0"/>
    <w:rsid w:val="00E40DE1"/>
    <w:rsid w:val="00E41137"/>
    <w:rsid w:val="00E411F9"/>
    <w:rsid w:val="00E42E35"/>
    <w:rsid w:val="00E42E62"/>
    <w:rsid w:val="00E43057"/>
    <w:rsid w:val="00E4314D"/>
    <w:rsid w:val="00E432E0"/>
    <w:rsid w:val="00E43817"/>
    <w:rsid w:val="00E43D13"/>
    <w:rsid w:val="00E44CBD"/>
    <w:rsid w:val="00E44E44"/>
    <w:rsid w:val="00E4533A"/>
    <w:rsid w:val="00E4539F"/>
    <w:rsid w:val="00E45761"/>
    <w:rsid w:val="00E45A10"/>
    <w:rsid w:val="00E45A5F"/>
    <w:rsid w:val="00E45B84"/>
    <w:rsid w:val="00E45BF4"/>
    <w:rsid w:val="00E45CBA"/>
    <w:rsid w:val="00E45E0D"/>
    <w:rsid w:val="00E4648F"/>
    <w:rsid w:val="00E467D5"/>
    <w:rsid w:val="00E46C34"/>
    <w:rsid w:val="00E46F6B"/>
    <w:rsid w:val="00E47664"/>
    <w:rsid w:val="00E47900"/>
    <w:rsid w:val="00E50977"/>
    <w:rsid w:val="00E50CC9"/>
    <w:rsid w:val="00E50FCF"/>
    <w:rsid w:val="00E510DC"/>
    <w:rsid w:val="00E51891"/>
    <w:rsid w:val="00E518B9"/>
    <w:rsid w:val="00E51D2E"/>
    <w:rsid w:val="00E523DC"/>
    <w:rsid w:val="00E524BC"/>
    <w:rsid w:val="00E52CF2"/>
    <w:rsid w:val="00E5346B"/>
    <w:rsid w:val="00E53871"/>
    <w:rsid w:val="00E5389E"/>
    <w:rsid w:val="00E539F1"/>
    <w:rsid w:val="00E53B1D"/>
    <w:rsid w:val="00E53DF4"/>
    <w:rsid w:val="00E53F26"/>
    <w:rsid w:val="00E54024"/>
    <w:rsid w:val="00E54B1C"/>
    <w:rsid w:val="00E54D19"/>
    <w:rsid w:val="00E54F54"/>
    <w:rsid w:val="00E55242"/>
    <w:rsid w:val="00E55360"/>
    <w:rsid w:val="00E55AE3"/>
    <w:rsid w:val="00E562A3"/>
    <w:rsid w:val="00E56859"/>
    <w:rsid w:val="00E56AB1"/>
    <w:rsid w:val="00E57008"/>
    <w:rsid w:val="00E57313"/>
    <w:rsid w:val="00E57DA9"/>
    <w:rsid w:val="00E603EC"/>
    <w:rsid w:val="00E6059C"/>
    <w:rsid w:val="00E60767"/>
    <w:rsid w:val="00E6087A"/>
    <w:rsid w:val="00E60998"/>
    <w:rsid w:val="00E60FC8"/>
    <w:rsid w:val="00E6106B"/>
    <w:rsid w:val="00E618B4"/>
    <w:rsid w:val="00E619B8"/>
    <w:rsid w:val="00E61D66"/>
    <w:rsid w:val="00E620E8"/>
    <w:rsid w:val="00E621AA"/>
    <w:rsid w:val="00E621EB"/>
    <w:rsid w:val="00E6243F"/>
    <w:rsid w:val="00E625E3"/>
    <w:rsid w:val="00E627C4"/>
    <w:rsid w:val="00E62864"/>
    <w:rsid w:val="00E62DEB"/>
    <w:rsid w:val="00E62F7C"/>
    <w:rsid w:val="00E62FFA"/>
    <w:rsid w:val="00E635AC"/>
    <w:rsid w:val="00E63611"/>
    <w:rsid w:val="00E638B4"/>
    <w:rsid w:val="00E63C6A"/>
    <w:rsid w:val="00E64077"/>
    <w:rsid w:val="00E645B6"/>
    <w:rsid w:val="00E64B40"/>
    <w:rsid w:val="00E65910"/>
    <w:rsid w:val="00E65935"/>
    <w:rsid w:val="00E65A42"/>
    <w:rsid w:val="00E65B80"/>
    <w:rsid w:val="00E65F21"/>
    <w:rsid w:val="00E66D73"/>
    <w:rsid w:val="00E67633"/>
    <w:rsid w:val="00E67771"/>
    <w:rsid w:val="00E67BF7"/>
    <w:rsid w:val="00E67F9C"/>
    <w:rsid w:val="00E70076"/>
    <w:rsid w:val="00E70599"/>
    <w:rsid w:val="00E7086D"/>
    <w:rsid w:val="00E70DA6"/>
    <w:rsid w:val="00E70E5C"/>
    <w:rsid w:val="00E71034"/>
    <w:rsid w:val="00E71970"/>
    <w:rsid w:val="00E72841"/>
    <w:rsid w:val="00E729AE"/>
    <w:rsid w:val="00E733AE"/>
    <w:rsid w:val="00E73765"/>
    <w:rsid w:val="00E73940"/>
    <w:rsid w:val="00E739F1"/>
    <w:rsid w:val="00E73F17"/>
    <w:rsid w:val="00E74CAB"/>
    <w:rsid w:val="00E74E69"/>
    <w:rsid w:val="00E74FB7"/>
    <w:rsid w:val="00E7588C"/>
    <w:rsid w:val="00E75AB5"/>
    <w:rsid w:val="00E75BA4"/>
    <w:rsid w:val="00E75D3E"/>
    <w:rsid w:val="00E7642A"/>
    <w:rsid w:val="00E767C9"/>
    <w:rsid w:val="00E7708D"/>
    <w:rsid w:val="00E7711E"/>
    <w:rsid w:val="00E771E8"/>
    <w:rsid w:val="00E771F9"/>
    <w:rsid w:val="00E77495"/>
    <w:rsid w:val="00E77531"/>
    <w:rsid w:val="00E77686"/>
    <w:rsid w:val="00E7768C"/>
    <w:rsid w:val="00E77811"/>
    <w:rsid w:val="00E77B06"/>
    <w:rsid w:val="00E77F67"/>
    <w:rsid w:val="00E80392"/>
    <w:rsid w:val="00E805FA"/>
    <w:rsid w:val="00E80A7D"/>
    <w:rsid w:val="00E80C2E"/>
    <w:rsid w:val="00E80E8B"/>
    <w:rsid w:val="00E81074"/>
    <w:rsid w:val="00E817C7"/>
    <w:rsid w:val="00E81C35"/>
    <w:rsid w:val="00E81D61"/>
    <w:rsid w:val="00E81D7D"/>
    <w:rsid w:val="00E82382"/>
    <w:rsid w:val="00E828CC"/>
    <w:rsid w:val="00E82A94"/>
    <w:rsid w:val="00E82BD6"/>
    <w:rsid w:val="00E82C39"/>
    <w:rsid w:val="00E83205"/>
    <w:rsid w:val="00E835C4"/>
    <w:rsid w:val="00E835ED"/>
    <w:rsid w:val="00E83AA9"/>
    <w:rsid w:val="00E83AC3"/>
    <w:rsid w:val="00E84232"/>
    <w:rsid w:val="00E842CC"/>
    <w:rsid w:val="00E844AB"/>
    <w:rsid w:val="00E845D1"/>
    <w:rsid w:val="00E847D4"/>
    <w:rsid w:val="00E849C4"/>
    <w:rsid w:val="00E8519B"/>
    <w:rsid w:val="00E851CD"/>
    <w:rsid w:val="00E852B9"/>
    <w:rsid w:val="00E854BD"/>
    <w:rsid w:val="00E85596"/>
    <w:rsid w:val="00E8598B"/>
    <w:rsid w:val="00E86238"/>
    <w:rsid w:val="00E86812"/>
    <w:rsid w:val="00E8682C"/>
    <w:rsid w:val="00E86D4B"/>
    <w:rsid w:val="00E872D9"/>
    <w:rsid w:val="00E873A2"/>
    <w:rsid w:val="00E8746F"/>
    <w:rsid w:val="00E87AC7"/>
    <w:rsid w:val="00E87CD9"/>
    <w:rsid w:val="00E90B94"/>
    <w:rsid w:val="00E90E5D"/>
    <w:rsid w:val="00E90F39"/>
    <w:rsid w:val="00E91399"/>
    <w:rsid w:val="00E9179C"/>
    <w:rsid w:val="00E91813"/>
    <w:rsid w:val="00E91C79"/>
    <w:rsid w:val="00E920F6"/>
    <w:rsid w:val="00E921A4"/>
    <w:rsid w:val="00E92BF3"/>
    <w:rsid w:val="00E92C6A"/>
    <w:rsid w:val="00E92DE1"/>
    <w:rsid w:val="00E92EA9"/>
    <w:rsid w:val="00E935DE"/>
    <w:rsid w:val="00E9534F"/>
    <w:rsid w:val="00E9545E"/>
    <w:rsid w:val="00E955D4"/>
    <w:rsid w:val="00E9560B"/>
    <w:rsid w:val="00E95993"/>
    <w:rsid w:val="00E964C7"/>
    <w:rsid w:val="00E965A8"/>
    <w:rsid w:val="00E96862"/>
    <w:rsid w:val="00E96BC1"/>
    <w:rsid w:val="00E96E3C"/>
    <w:rsid w:val="00E96F5A"/>
    <w:rsid w:val="00E96FBB"/>
    <w:rsid w:val="00E97194"/>
    <w:rsid w:val="00E97942"/>
    <w:rsid w:val="00E97AD1"/>
    <w:rsid w:val="00E97CD2"/>
    <w:rsid w:val="00EA0042"/>
    <w:rsid w:val="00EA038F"/>
    <w:rsid w:val="00EA06FB"/>
    <w:rsid w:val="00EA083F"/>
    <w:rsid w:val="00EA0B46"/>
    <w:rsid w:val="00EA139E"/>
    <w:rsid w:val="00EA1441"/>
    <w:rsid w:val="00EA1DF7"/>
    <w:rsid w:val="00EA229D"/>
    <w:rsid w:val="00EA22F8"/>
    <w:rsid w:val="00EA25D5"/>
    <w:rsid w:val="00EA2751"/>
    <w:rsid w:val="00EA2BDF"/>
    <w:rsid w:val="00EA2D22"/>
    <w:rsid w:val="00EA2D9C"/>
    <w:rsid w:val="00EA3712"/>
    <w:rsid w:val="00EA4071"/>
    <w:rsid w:val="00EA417E"/>
    <w:rsid w:val="00EA448B"/>
    <w:rsid w:val="00EA4611"/>
    <w:rsid w:val="00EA4898"/>
    <w:rsid w:val="00EA4E2A"/>
    <w:rsid w:val="00EA510C"/>
    <w:rsid w:val="00EA560D"/>
    <w:rsid w:val="00EA57A4"/>
    <w:rsid w:val="00EA58B1"/>
    <w:rsid w:val="00EA5E3D"/>
    <w:rsid w:val="00EA5E8C"/>
    <w:rsid w:val="00EA6410"/>
    <w:rsid w:val="00EA6572"/>
    <w:rsid w:val="00EA672A"/>
    <w:rsid w:val="00EA6B26"/>
    <w:rsid w:val="00EA6E34"/>
    <w:rsid w:val="00EA7BFE"/>
    <w:rsid w:val="00EA7DAC"/>
    <w:rsid w:val="00EB0172"/>
    <w:rsid w:val="00EB06A9"/>
    <w:rsid w:val="00EB06BB"/>
    <w:rsid w:val="00EB0B36"/>
    <w:rsid w:val="00EB0C3A"/>
    <w:rsid w:val="00EB0DFA"/>
    <w:rsid w:val="00EB1539"/>
    <w:rsid w:val="00EB15FD"/>
    <w:rsid w:val="00EB17BC"/>
    <w:rsid w:val="00EB18FE"/>
    <w:rsid w:val="00EB28B1"/>
    <w:rsid w:val="00EB2E4C"/>
    <w:rsid w:val="00EB2F01"/>
    <w:rsid w:val="00EB2FD6"/>
    <w:rsid w:val="00EB3506"/>
    <w:rsid w:val="00EB362A"/>
    <w:rsid w:val="00EB3795"/>
    <w:rsid w:val="00EB39B6"/>
    <w:rsid w:val="00EB40BE"/>
    <w:rsid w:val="00EB41BA"/>
    <w:rsid w:val="00EB41C4"/>
    <w:rsid w:val="00EB4422"/>
    <w:rsid w:val="00EB4726"/>
    <w:rsid w:val="00EB4960"/>
    <w:rsid w:val="00EB4A89"/>
    <w:rsid w:val="00EB4CD7"/>
    <w:rsid w:val="00EB5132"/>
    <w:rsid w:val="00EB5383"/>
    <w:rsid w:val="00EB54EE"/>
    <w:rsid w:val="00EB5686"/>
    <w:rsid w:val="00EB61AC"/>
    <w:rsid w:val="00EB66DE"/>
    <w:rsid w:val="00EB6868"/>
    <w:rsid w:val="00EB6901"/>
    <w:rsid w:val="00EB6D8D"/>
    <w:rsid w:val="00EB7254"/>
    <w:rsid w:val="00EB7BB9"/>
    <w:rsid w:val="00EB7CAC"/>
    <w:rsid w:val="00EC043E"/>
    <w:rsid w:val="00EC0AEF"/>
    <w:rsid w:val="00EC122F"/>
    <w:rsid w:val="00EC21BA"/>
    <w:rsid w:val="00EC2967"/>
    <w:rsid w:val="00EC2DC2"/>
    <w:rsid w:val="00EC327D"/>
    <w:rsid w:val="00EC32D6"/>
    <w:rsid w:val="00EC36BE"/>
    <w:rsid w:val="00EC3B6C"/>
    <w:rsid w:val="00EC3F50"/>
    <w:rsid w:val="00EC3FB6"/>
    <w:rsid w:val="00EC4320"/>
    <w:rsid w:val="00EC4826"/>
    <w:rsid w:val="00EC486E"/>
    <w:rsid w:val="00EC4C65"/>
    <w:rsid w:val="00EC4E40"/>
    <w:rsid w:val="00EC505A"/>
    <w:rsid w:val="00EC550D"/>
    <w:rsid w:val="00EC5CDA"/>
    <w:rsid w:val="00EC5FBC"/>
    <w:rsid w:val="00EC68CF"/>
    <w:rsid w:val="00EC69A7"/>
    <w:rsid w:val="00EC6DF0"/>
    <w:rsid w:val="00EC72C8"/>
    <w:rsid w:val="00EC730B"/>
    <w:rsid w:val="00EC7DCD"/>
    <w:rsid w:val="00ED00F8"/>
    <w:rsid w:val="00ED0124"/>
    <w:rsid w:val="00ED0378"/>
    <w:rsid w:val="00ED0625"/>
    <w:rsid w:val="00ED0BE4"/>
    <w:rsid w:val="00ED1457"/>
    <w:rsid w:val="00ED188D"/>
    <w:rsid w:val="00ED1C75"/>
    <w:rsid w:val="00ED1DE6"/>
    <w:rsid w:val="00ED219A"/>
    <w:rsid w:val="00ED2270"/>
    <w:rsid w:val="00ED2543"/>
    <w:rsid w:val="00ED26C9"/>
    <w:rsid w:val="00ED2734"/>
    <w:rsid w:val="00ED28A8"/>
    <w:rsid w:val="00ED295B"/>
    <w:rsid w:val="00ED2DA7"/>
    <w:rsid w:val="00ED30B9"/>
    <w:rsid w:val="00ED31FE"/>
    <w:rsid w:val="00ED382F"/>
    <w:rsid w:val="00ED3849"/>
    <w:rsid w:val="00ED386A"/>
    <w:rsid w:val="00ED3A8B"/>
    <w:rsid w:val="00ED3C45"/>
    <w:rsid w:val="00ED3F7E"/>
    <w:rsid w:val="00ED4653"/>
    <w:rsid w:val="00ED5615"/>
    <w:rsid w:val="00ED56CA"/>
    <w:rsid w:val="00ED5BC3"/>
    <w:rsid w:val="00ED61F4"/>
    <w:rsid w:val="00ED6EB0"/>
    <w:rsid w:val="00ED70AA"/>
    <w:rsid w:val="00ED71E1"/>
    <w:rsid w:val="00ED72F1"/>
    <w:rsid w:val="00ED7AA9"/>
    <w:rsid w:val="00ED7B10"/>
    <w:rsid w:val="00ED7FDA"/>
    <w:rsid w:val="00EE0761"/>
    <w:rsid w:val="00EE124F"/>
    <w:rsid w:val="00EE13E1"/>
    <w:rsid w:val="00EE16B8"/>
    <w:rsid w:val="00EE1D33"/>
    <w:rsid w:val="00EE25EA"/>
    <w:rsid w:val="00EE26B5"/>
    <w:rsid w:val="00EE2A8A"/>
    <w:rsid w:val="00EE2CB2"/>
    <w:rsid w:val="00EE30C8"/>
    <w:rsid w:val="00EE328F"/>
    <w:rsid w:val="00EE32C4"/>
    <w:rsid w:val="00EE351B"/>
    <w:rsid w:val="00EE3682"/>
    <w:rsid w:val="00EE38B0"/>
    <w:rsid w:val="00EE3A0C"/>
    <w:rsid w:val="00EE3C58"/>
    <w:rsid w:val="00EE3F00"/>
    <w:rsid w:val="00EE4040"/>
    <w:rsid w:val="00EE41FB"/>
    <w:rsid w:val="00EE4304"/>
    <w:rsid w:val="00EE4477"/>
    <w:rsid w:val="00EE465A"/>
    <w:rsid w:val="00EE4AD4"/>
    <w:rsid w:val="00EE5011"/>
    <w:rsid w:val="00EE5157"/>
    <w:rsid w:val="00EE555D"/>
    <w:rsid w:val="00EE5AFC"/>
    <w:rsid w:val="00EE6320"/>
    <w:rsid w:val="00EE669F"/>
    <w:rsid w:val="00EE68FF"/>
    <w:rsid w:val="00EE79D7"/>
    <w:rsid w:val="00EE7A1B"/>
    <w:rsid w:val="00EE7E58"/>
    <w:rsid w:val="00EF0746"/>
    <w:rsid w:val="00EF0806"/>
    <w:rsid w:val="00EF0AD1"/>
    <w:rsid w:val="00EF0AEE"/>
    <w:rsid w:val="00EF153E"/>
    <w:rsid w:val="00EF1B9C"/>
    <w:rsid w:val="00EF1DDF"/>
    <w:rsid w:val="00EF1EC3"/>
    <w:rsid w:val="00EF2372"/>
    <w:rsid w:val="00EF3634"/>
    <w:rsid w:val="00EF3922"/>
    <w:rsid w:val="00EF3A10"/>
    <w:rsid w:val="00EF3B8C"/>
    <w:rsid w:val="00EF3C70"/>
    <w:rsid w:val="00EF401F"/>
    <w:rsid w:val="00EF411D"/>
    <w:rsid w:val="00EF42A4"/>
    <w:rsid w:val="00EF46E9"/>
    <w:rsid w:val="00EF497A"/>
    <w:rsid w:val="00EF4B12"/>
    <w:rsid w:val="00EF503F"/>
    <w:rsid w:val="00EF542B"/>
    <w:rsid w:val="00EF5488"/>
    <w:rsid w:val="00EF585C"/>
    <w:rsid w:val="00EF5A51"/>
    <w:rsid w:val="00EF5C2E"/>
    <w:rsid w:val="00EF5F5B"/>
    <w:rsid w:val="00EF6769"/>
    <w:rsid w:val="00EF6F78"/>
    <w:rsid w:val="00EF70B9"/>
    <w:rsid w:val="00EF72FA"/>
    <w:rsid w:val="00EF73BB"/>
    <w:rsid w:val="00EF7480"/>
    <w:rsid w:val="00EF77A6"/>
    <w:rsid w:val="00EF7E30"/>
    <w:rsid w:val="00EF7EE8"/>
    <w:rsid w:val="00F0021A"/>
    <w:rsid w:val="00F00281"/>
    <w:rsid w:val="00F00431"/>
    <w:rsid w:val="00F00BD0"/>
    <w:rsid w:val="00F00D9A"/>
    <w:rsid w:val="00F010B9"/>
    <w:rsid w:val="00F01495"/>
    <w:rsid w:val="00F016DA"/>
    <w:rsid w:val="00F01D80"/>
    <w:rsid w:val="00F01FB0"/>
    <w:rsid w:val="00F02117"/>
    <w:rsid w:val="00F0244D"/>
    <w:rsid w:val="00F02502"/>
    <w:rsid w:val="00F02754"/>
    <w:rsid w:val="00F02C79"/>
    <w:rsid w:val="00F03642"/>
    <w:rsid w:val="00F03875"/>
    <w:rsid w:val="00F03938"/>
    <w:rsid w:val="00F03DE6"/>
    <w:rsid w:val="00F04073"/>
    <w:rsid w:val="00F04089"/>
    <w:rsid w:val="00F04369"/>
    <w:rsid w:val="00F0455A"/>
    <w:rsid w:val="00F04A90"/>
    <w:rsid w:val="00F05100"/>
    <w:rsid w:val="00F05171"/>
    <w:rsid w:val="00F0529B"/>
    <w:rsid w:val="00F05310"/>
    <w:rsid w:val="00F05406"/>
    <w:rsid w:val="00F05AD4"/>
    <w:rsid w:val="00F05B54"/>
    <w:rsid w:val="00F06225"/>
    <w:rsid w:val="00F0632A"/>
    <w:rsid w:val="00F06F43"/>
    <w:rsid w:val="00F07161"/>
    <w:rsid w:val="00F0736F"/>
    <w:rsid w:val="00F078A8"/>
    <w:rsid w:val="00F07D06"/>
    <w:rsid w:val="00F07E17"/>
    <w:rsid w:val="00F10091"/>
    <w:rsid w:val="00F10226"/>
    <w:rsid w:val="00F10373"/>
    <w:rsid w:val="00F106E0"/>
    <w:rsid w:val="00F10BB2"/>
    <w:rsid w:val="00F11032"/>
    <w:rsid w:val="00F1147D"/>
    <w:rsid w:val="00F11618"/>
    <w:rsid w:val="00F1166C"/>
    <w:rsid w:val="00F1175E"/>
    <w:rsid w:val="00F12506"/>
    <w:rsid w:val="00F12B5B"/>
    <w:rsid w:val="00F12E3A"/>
    <w:rsid w:val="00F13180"/>
    <w:rsid w:val="00F13AE8"/>
    <w:rsid w:val="00F14812"/>
    <w:rsid w:val="00F148BF"/>
    <w:rsid w:val="00F14A39"/>
    <w:rsid w:val="00F14D7A"/>
    <w:rsid w:val="00F14F59"/>
    <w:rsid w:val="00F1576D"/>
    <w:rsid w:val="00F15AC4"/>
    <w:rsid w:val="00F17906"/>
    <w:rsid w:val="00F17CFF"/>
    <w:rsid w:val="00F17F64"/>
    <w:rsid w:val="00F20874"/>
    <w:rsid w:val="00F20A83"/>
    <w:rsid w:val="00F20EEA"/>
    <w:rsid w:val="00F21F2E"/>
    <w:rsid w:val="00F21FF8"/>
    <w:rsid w:val="00F22351"/>
    <w:rsid w:val="00F2272C"/>
    <w:rsid w:val="00F22BB6"/>
    <w:rsid w:val="00F230B4"/>
    <w:rsid w:val="00F23357"/>
    <w:rsid w:val="00F2370F"/>
    <w:rsid w:val="00F2394E"/>
    <w:rsid w:val="00F23A1D"/>
    <w:rsid w:val="00F241D4"/>
    <w:rsid w:val="00F24AE5"/>
    <w:rsid w:val="00F24D35"/>
    <w:rsid w:val="00F258FB"/>
    <w:rsid w:val="00F25BB3"/>
    <w:rsid w:val="00F26184"/>
    <w:rsid w:val="00F262F0"/>
    <w:rsid w:val="00F2639A"/>
    <w:rsid w:val="00F2672D"/>
    <w:rsid w:val="00F2692D"/>
    <w:rsid w:val="00F2748B"/>
    <w:rsid w:val="00F27A3D"/>
    <w:rsid w:val="00F3018B"/>
    <w:rsid w:val="00F3038A"/>
    <w:rsid w:val="00F30BF1"/>
    <w:rsid w:val="00F31B75"/>
    <w:rsid w:val="00F31DC2"/>
    <w:rsid w:val="00F31E52"/>
    <w:rsid w:val="00F31EA1"/>
    <w:rsid w:val="00F32427"/>
    <w:rsid w:val="00F32F44"/>
    <w:rsid w:val="00F3307A"/>
    <w:rsid w:val="00F333B8"/>
    <w:rsid w:val="00F33468"/>
    <w:rsid w:val="00F33562"/>
    <w:rsid w:val="00F33DF2"/>
    <w:rsid w:val="00F33F5E"/>
    <w:rsid w:val="00F34091"/>
    <w:rsid w:val="00F3440B"/>
    <w:rsid w:val="00F34A95"/>
    <w:rsid w:val="00F34EDD"/>
    <w:rsid w:val="00F35DC9"/>
    <w:rsid w:val="00F35DEA"/>
    <w:rsid w:val="00F35F5D"/>
    <w:rsid w:val="00F36411"/>
    <w:rsid w:val="00F36542"/>
    <w:rsid w:val="00F368F0"/>
    <w:rsid w:val="00F36BA0"/>
    <w:rsid w:val="00F36BFF"/>
    <w:rsid w:val="00F36C35"/>
    <w:rsid w:val="00F36FFF"/>
    <w:rsid w:val="00F37C05"/>
    <w:rsid w:val="00F37C65"/>
    <w:rsid w:val="00F37EF3"/>
    <w:rsid w:val="00F400AD"/>
    <w:rsid w:val="00F40954"/>
    <w:rsid w:val="00F40A7A"/>
    <w:rsid w:val="00F40BA1"/>
    <w:rsid w:val="00F41038"/>
    <w:rsid w:val="00F4129F"/>
    <w:rsid w:val="00F415D5"/>
    <w:rsid w:val="00F418E7"/>
    <w:rsid w:val="00F420C8"/>
    <w:rsid w:val="00F423BA"/>
    <w:rsid w:val="00F424C0"/>
    <w:rsid w:val="00F42CB4"/>
    <w:rsid w:val="00F42FCE"/>
    <w:rsid w:val="00F430C9"/>
    <w:rsid w:val="00F437E8"/>
    <w:rsid w:val="00F43A5A"/>
    <w:rsid w:val="00F44C47"/>
    <w:rsid w:val="00F44CB8"/>
    <w:rsid w:val="00F44EB0"/>
    <w:rsid w:val="00F4502A"/>
    <w:rsid w:val="00F45517"/>
    <w:rsid w:val="00F45712"/>
    <w:rsid w:val="00F459F6"/>
    <w:rsid w:val="00F45C2C"/>
    <w:rsid w:val="00F45C3C"/>
    <w:rsid w:val="00F45DA7"/>
    <w:rsid w:val="00F46297"/>
    <w:rsid w:val="00F46502"/>
    <w:rsid w:val="00F46A17"/>
    <w:rsid w:val="00F47048"/>
    <w:rsid w:val="00F47960"/>
    <w:rsid w:val="00F47C32"/>
    <w:rsid w:val="00F47CA4"/>
    <w:rsid w:val="00F47D9A"/>
    <w:rsid w:val="00F47E5B"/>
    <w:rsid w:val="00F47E61"/>
    <w:rsid w:val="00F503B3"/>
    <w:rsid w:val="00F5067D"/>
    <w:rsid w:val="00F50872"/>
    <w:rsid w:val="00F50C45"/>
    <w:rsid w:val="00F50D2E"/>
    <w:rsid w:val="00F50D3A"/>
    <w:rsid w:val="00F50DEE"/>
    <w:rsid w:val="00F50EAA"/>
    <w:rsid w:val="00F51813"/>
    <w:rsid w:val="00F51882"/>
    <w:rsid w:val="00F519AD"/>
    <w:rsid w:val="00F51EE6"/>
    <w:rsid w:val="00F51FFE"/>
    <w:rsid w:val="00F5236C"/>
    <w:rsid w:val="00F52436"/>
    <w:rsid w:val="00F52CA4"/>
    <w:rsid w:val="00F530BE"/>
    <w:rsid w:val="00F5358A"/>
    <w:rsid w:val="00F53933"/>
    <w:rsid w:val="00F53950"/>
    <w:rsid w:val="00F53A70"/>
    <w:rsid w:val="00F53C3D"/>
    <w:rsid w:val="00F54AD0"/>
    <w:rsid w:val="00F54ADF"/>
    <w:rsid w:val="00F5514A"/>
    <w:rsid w:val="00F55A64"/>
    <w:rsid w:val="00F560F3"/>
    <w:rsid w:val="00F5616E"/>
    <w:rsid w:val="00F561D1"/>
    <w:rsid w:val="00F56255"/>
    <w:rsid w:val="00F570BE"/>
    <w:rsid w:val="00F575BF"/>
    <w:rsid w:val="00F6017F"/>
    <w:rsid w:val="00F60745"/>
    <w:rsid w:val="00F608F8"/>
    <w:rsid w:val="00F60A2D"/>
    <w:rsid w:val="00F61678"/>
    <w:rsid w:val="00F6178A"/>
    <w:rsid w:val="00F6178B"/>
    <w:rsid w:val="00F61EEB"/>
    <w:rsid w:val="00F61F52"/>
    <w:rsid w:val="00F621EF"/>
    <w:rsid w:val="00F62CA2"/>
    <w:rsid w:val="00F62E46"/>
    <w:rsid w:val="00F62F70"/>
    <w:rsid w:val="00F6319C"/>
    <w:rsid w:val="00F6373A"/>
    <w:rsid w:val="00F639ED"/>
    <w:rsid w:val="00F63BF0"/>
    <w:rsid w:val="00F63EEC"/>
    <w:rsid w:val="00F63F09"/>
    <w:rsid w:val="00F64316"/>
    <w:rsid w:val="00F655AF"/>
    <w:rsid w:val="00F65632"/>
    <w:rsid w:val="00F65C73"/>
    <w:rsid w:val="00F65E40"/>
    <w:rsid w:val="00F662AA"/>
    <w:rsid w:val="00F66760"/>
    <w:rsid w:val="00F66A46"/>
    <w:rsid w:val="00F66B0F"/>
    <w:rsid w:val="00F67333"/>
    <w:rsid w:val="00F673A3"/>
    <w:rsid w:val="00F67B48"/>
    <w:rsid w:val="00F70418"/>
    <w:rsid w:val="00F70541"/>
    <w:rsid w:val="00F70A8A"/>
    <w:rsid w:val="00F70BD9"/>
    <w:rsid w:val="00F70F4F"/>
    <w:rsid w:val="00F70FBF"/>
    <w:rsid w:val="00F7107B"/>
    <w:rsid w:val="00F71103"/>
    <w:rsid w:val="00F712F9"/>
    <w:rsid w:val="00F71CBA"/>
    <w:rsid w:val="00F71D1E"/>
    <w:rsid w:val="00F71FF4"/>
    <w:rsid w:val="00F71FF8"/>
    <w:rsid w:val="00F721A5"/>
    <w:rsid w:val="00F7220A"/>
    <w:rsid w:val="00F728CB"/>
    <w:rsid w:val="00F72A2B"/>
    <w:rsid w:val="00F72CA4"/>
    <w:rsid w:val="00F73B0D"/>
    <w:rsid w:val="00F73C45"/>
    <w:rsid w:val="00F73EEB"/>
    <w:rsid w:val="00F73F3E"/>
    <w:rsid w:val="00F7406C"/>
    <w:rsid w:val="00F7406D"/>
    <w:rsid w:val="00F741B0"/>
    <w:rsid w:val="00F749A5"/>
    <w:rsid w:val="00F74B02"/>
    <w:rsid w:val="00F75203"/>
    <w:rsid w:val="00F761F1"/>
    <w:rsid w:val="00F765DA"/>
    <w:rsid w:val="00F76AC4"/>
    <w:rsid w:val="00F76CB2"/>
    <w:rsid w:val="00F77245"/>
    <w:rsid w:val="00F77BA0"/>
    <w:rsid w:val="00F807DD"/>
    <w:rsid w:val="00F8091D"/>
    <w:rsid w:val="00F811EC"/>
    <w:rsid w:val="00F8148D"/>
    <w:rsid w:val="00F819C5"/>
    <w:rsid w:val="00F81A17"/>
    <w:rsid w:val="00F81D19"/>
    <w:rsid w:val="00F82261"/>
    <w:rsid w:val="00F8274B"/>
    <w:rsid w:val="00F82759"/>
    <w:rsid w:val="00F82A9C"/>
    <w:rsid w:val="00F82D63"/>
    <w:rsid w:val="00F8318C"/>
    <w:rsid w:val="00F832C8"/>
    <w:rsid w:val="00F83360"/>
    <w:rsid w:val="00F83469"/>
    <w:rsid w:val="00F84050"/>
    <w:rsid w:val="00F841D1"/>
    <w:rsid w:val="00F844F7"/>
    <w:rsid w:val="00F846DC"/>
    <w:rsid w:val="00F8475D"/>
    <w:rsid w:val="00F848EE"/>
    <w:rsid w:val="00F84989"/>
    <w:rsid w:val="00F84CA0"/>
    <w:rsid w:val="00F85107"/>
    <w:rsid w:val="00F851A7"/>
    <w:rsid w:val="00F855FE"/>
    <w:rsid w:val="00F85D2B"/>
    <w:rsid w:val="00F85EF6"/>
    <w:rsid w:val="00F8644F"/>
    <w:rsid w:val="00F87750"/>
    <w:rsid w:val="00F87787"/>
    <w:rsid w:val="00F87802"/>
    <w:rsid w:val="00F87B30"/>
    <w:rsid w:val="00F87D92"/>
    <w:rsid w:val="00F90260"/>
    <w:rsid w:val="00F90297"/>
    <w:rsid w:val="00F906AA"/>
    <w:rsid w:val="00F909A6"/>
    <w:rsid w:val="00F9127E"/>
    <w:rsid w:val="00F913ED"/>
    <w:rsid w:val="00F91437"/>
    <w:rsid w:val="00F91471"/>
    <w:rsid w:val="00F91707"/>
    <w:rsid w:val="00F917E8"/>
    <w:rsid w:val="00F9190F"/>
    <w:rsid w:val="00F92278"/>
    <w:rsid w:val="00F92307"/>
    <w:rsid w:val="00F92652"/>
    <w:rsid w:val="00F92D92"/>
    <w:rsid w:val="00F93D48"/>
    <w:rsid w:val="00F93DC5"/>
    <w:rsid w:val="00F93E29"/>
    <w:rsid w:val="00F93EC9"/>
    <w:rsid w:val="00F9425F"/>
    <w:rsid w:val="00F94392"/>
    <w:rsid w:val="00F94520"/>
    <w:rsid w:val="00F94588"/>
    <w:rsid w:val="00F945AB"/>
    <w:rsid w:val="00F94B23"/>
    <w:rsid w:val="00F95639"/>
    <w:rsid w:val="00F956C6"/>
    <w:rsid w:val="00F95795"/>
    <w:rsid w:val="00F959D0"/>
    <w:rsid w:val="00F95FC8"/>
    <w:rsid w:val="00F9604D"/>
    <w:rsid w:val="00F96569"/>
    <w:rsid w:val="00F96743"/>
    <w:rsid w:val="00F96780"/>
    <w:rsid w:val="00F96793"/>
    <w:rsid w:val="00F96B73"/>
    <w:rsid w:val="00F9734F"/>
    <w:rsid w:val="00F97663"/>
    <w:rsid w:val="00F97FF5"/>
    <w:rsid w:val="00FA0092"/>
    <w:rsid w:val="00FA01EC"/>
    <w:rsid w:val="00FA0398"/>
    <w:rsid w:val="00FA0719"/>
    <w:rsid w:val="00FA09B3"/>
    <w:rsid w:val="00FA09ED"/>
    <w:rsid w:val="00FA0E63"/>
    <w:rsid w:val="00FA108B"/>
    <w:rsid w:val="00FA10B4"/>
    <w:rsid w:val="00FA11AA"/>
    <w:rsid w:val="00FA13ED"/>
    <w:rsid w:val="00FA147F"/>
    <w:rsid w:val="00FA14E1"/>
    <w:rsid w:val="00FA1675"/>
    <w:rsid w:val="00FA18C9"/>
    <w:rsid w:val="00FA18F1"/>
    <w:rsid w:val="00FA19F9"/>
    <w:rsid w:val="00FA1B61"/>
    <w:rsid w:val="00FA2066"/>
    <w:rsid w:val="00FA2532"/>
    <w:rsid w:val="00FA27D0"/>
    <w:rsid w:val="00FA2B9C"/>
    <w:rsid w:val="00FA2FB2"/>
    <w:rsid w:val="00FA2FEB"/>
    <w:rsid w:val="00FA3719"/>
    <w:rsid w:val="00FA38D5"/>
    <w:rsid w:val="00FA46B9"/>
    <w:rsid w:val="00FA4A74"/>
    <w:rsid w:val="00FA4AB3"/>
    <w:rsid w:val="00FA4B67"/>
    <w:rsid w:val="00FA4DE0"/>
    <w:rsid w:val="00FA4FF8"/>
    <w:rsid w:val="00FA5579"/>
    <w:rsid w:val="00FA57A6"/>
    <w:rsid w:val="00FA5C57"/>
    <w:rsid w:val="00FA5C5A"/>
    <w:rsid w:val="00FA5DF1"/>
    <w:rsid w:val="00FA61D7"/>
    <w:rsid w:val="00FA6378"/>
    <w:rsid w:val="00FA6840"/>
    <w:rsid w:val="00FA6E82"/>
    <w:rsid w:val="00FA76E6"/>
    <w:rsid w:val="00FA7BD5"/>
    <w:rsid w:val="00FA7DA0"/>
    <w:rsid w:val="00FA7ECF"/>
    <w:rsid w:val="00FB00FB"/>
    <w:rsid w:val="00FB01AC"/>
    <w:rsid w:val="00FB01B8"/>
    <w:rsid w:val="00FB038E"/>
    <w:rsid w:val="00FB07F0"/>
    <w:rsid w:val="00FB0A0A"/>
    <w:rsid w:val="00FB0FF8"/>
    <w:rsid w:val="00FB174C"/>
    <w:rsid w:val="00FB18C4"/>
    <w:rsid w:val="00FB1CA1"/>
    <w:rsid w:val="00FB226D"/>
    <w:rsid w:val="00FB2440"/>
    <w:rsid w:val="00FB2533"/>
    <w:rsid w:val="00FB26B6"/>
    <w:rsid w:val="00FB28DF"/>
    <w:rsid w:val="00FB2E54"/>
    <w:rsid w:val="00FB2FE4"/>
    <w:rsid w:val="00FB35FA"/>
    <w:rsid w:val="00FB38D6"/>
    <w:rsid w:val="00FB3C74"/>
    <w:rsid w:val="00FB3DDE"/>
    <w:rsid w:val="00FB3E6F"/>
    <w:rsid w:val="00FB457B"/>
    <w:rsid w:val="00FB46FA"/>
    <w:rsid w:val="00FB470C"/>
    <w:rsid w:val="00FB5042"/>
    <w:rsid w:val="00FB563B"/>
    <w:rsid w:val="00FB5D3E"/>
    <w:rsid w:val="00FB5DF1"/>
    <w:rsid w:val="00FB6766"/>
    <w:rsid w:val="00FB712E"/>
    <w:rsid w:val="00FB72F9"/>
    <w:rsid w:val="00FB7630"/>
    <w:rsid w:val="00FB7B08"/>
    <w:rsid w:val="00FC019D"/>
    <w:rsid w:val="00FC01A8"/>
    <w:rsid w:val="00FC0651"/>
    <w:rsid w:val="00FC0808"/>
    <w:rsid w:val="00FC0883"/>
    <w:rsid w:val="00FC098E"/>
    <w:rsid w:val="00FC0B41"/>
    <w:rsid w:val="00FC1342"/>
    <w:rsid w:val="00FC173A"/>
    <w:rsid w:val="00FC22B9"/>
    <w:rsid w:val="00FC2453"/>
    <w:rsid w:val="00FC24F7"/>
    <w:rsid w:val="00FC2FEC"/>
    <w:rsid w:val="00FC307E"/>
    <w:rsid w:val="00FC31FE"/>
    <w:rsid w:val="00FC36C0"/>
    <w:rsid w:val="00FC3B1F"/>
    <w:rsid w:val="00FC3E67"/>
    <w:rsid w:val="00FC44E7"/>
    <w:rsid w:val="00FC4524"/>
    <w:rsid w:val="00FC47AA"/>
    <w:rsid w:val="00FC487A"/>
    <w:rsid w:val="00FC4CFF"/>
    <w:rsid w:val="00FC4DA6"/>
    <w:rsid w:val="00FC4E80"/>
    <w:rsid w:val="00FC52BC"/>
    <w:rsid w:val="00FC56F5"/>
    <w:rsid w:val="00FC5DBC"/>
    <w:rsid w:val="00FC62E7"/>
    <w:rsid w:val="00FC6C1F"/>
    <w:rsid w:val="00FC6D26"/>
    <w:rsid w:val="00FC6D60"/>
    <w:rsid w:val="00FC6E90"/>
    <w:rsid w:val="00FC758A"/>
    <w:rsid w:val="00FC76A6"/>
    <w:rsid w:val="00FC79CC"/>
    <w:rsid w:val="00FC79F7"/>
    <w:rsid w:val="00FC7DAE"/>
    <w:rsid w:val="00FD024E"/>
    <w:rsid w:val="00FD0B30"/>
    <w:rsid w:val="00FD0CED"/>
    <w:rsid w:val="00FD1AEF"/>
    <w:rsid w:val="00FD1B50"/>
    <w:rsid w:val="00FD22AE"/>
    <w:rsid w:val="00FD2FFB"/>
    <w:rsid w:val="00FD30C0"/>
    <w:rsid w:val="00FD3188"/>
    <w:rsid w:val="00FD31AF"/>
    <w:rsid w:val="00FD3616"/>
    <w:rsid w:val="00FD38D3"/>
    <w:rsid w:val="00FD3B66"/>
    <w:rsid w:val="00FD3D20"/>
    <w:rsid w:val="00FD3D76"/>
    <w:rsid w:val="00FD401A"/>
    <w:rsid w:val="00FD4546"/>
    <w:rsid w:val="00FD4637"/>
    <w:rsid w:val="00FD4CBB"/>
    <w:rsid w:val="00FD4DA4"/>
    <w:rsid w:val="00FD4EEF"/>
    <w:rsid w:val="00FD4FA3"/>
    <w:rsid w:val="00FD5152"/>
    <w:rsid w:val="00FD5356"/>
    <w:rsid w:val="00FD53B9"/>
    <w:rsid w:val="00FD5500"/>
    <w:rsid w:val="00FD5540"/>
    <w:rsid w:val="00FD564A"/>
    <w:rsid w:val="00FD5701"/>
    <w:rsid w:val="00FD62B9"/>
    <w:rsid w:val="00FD6422"/>
    <w:rsid w:val="00FD71F8"/>
    <w:rsid w:val="00FD74F1"/>
    <w:rsid w:val="00FD7D8D"/>
    <w:rsid w:val="00FD7E57"/>
    <w:rsid w:val="00FE02E1"/>
    <w:rsid w:val="00FE0364"/>
    <w:rsid w:val="00FE052A"/>
    <w:rsid w:val="00FE0A9E"/>
    <w:rsid w:val="00FE0BE9"/>
    <w:rsid w:val="00FE141C"/>
    <w:rsid w:val="00FE1599"/>
    <w:rsid w:val="00FE16AC"/>
    <w:rsid w:val="00FE1840"/>
    <w:rsid w:val="00FE1C5B"/>
    <w:rsid w:val="00FE1F31"/>
    <w:rsid w:val="00FE22D6"/>
    <w:rsid w:val="00FE28CD"/>
    <w:rsid w:val="00FE2A3D"/>
    <w:rsid w:val="00FE2EE4"/>
    <w:rsid w:val="00FE329E"/>
    <w:rsid w:val="00FE36F8"/>
    <w:rsid w:val="00FE38F2"/>
    <w:rsid w:val="00FE40BE"/>
    <w:rsid w:val="00FE4385"/>
    <w:rsid w:val="00FE4419"/>
    <w:rsid w:val="00FE4571"/>
    <w:rsid w:val="00FE465D"/>
    <w:rsid w:val="00FE4FE2"/>
    <w:rsid w:val="00FE5287"/>
    <w:rsid w:val="00FE5773"/>
    <w:rsid w:val="00FE5864"/>
    <w:rsid w:val="00FE5EDE"/>
    <w:rsid w:val="00FE6777"/>
    <w:rsid w:val="00FE72D2"/>
    <w:rsid w:val="00FE7614"/>
    <w:rsid w:val="00FE76F0"/>
    <w:rsid w:val="00FE7B74"/>
    <w:rsid w:val="00FE7C25"/>
    <w:rsid w:val="00FE7C69"/>
    <w:rsid w:val="00FF05F6"/>
    <w:rsid w:val="00FF0AD8"/>
    <w:rsid w:val="00FF1214"/>
    <w:rsid w:val="00FF14BD"/>
    <w:rsid w:val="00FF1CCB"/>
    <w:rsid w:val="00FF1D24"/>
    <w:rsid w:val="00FF25AE"/>
    <w:rsid w:val="00FF29EE"/>
    <w:rsid w:val="00FF3224"/>
    <w:rsid w:val="00FF32CD"/>
    <w:rsid w:val="00FF355E"/>
    <w:rsid w:val="00FF3605"/>
    <w:rsid w:val="00FF3A96"/>
    <w:rsid w:val="00FF3EC4"/>
    <w:rsid w:val="00FF40DB"/>
    <w:rsid w:val="00FF43F8"/>
    <w:rsid w:val="00FF46DB"/>
    <w:rsid w:val="00FF4781"/>
    <w:rsid w:val="00FF4BE6"/>
    <w:rsid w:val="00FF4E5F"/>
    <w:rsid w:val="00FF50B5"/>
    <w:rsid w:val="00FF51FE"/>
    <w:rsid w:val="00FF5579"/>
    <w:rsid w:val="00FF559A"/>
    <w:rsid w:val="00FF568E"/>
    <w:rsid w:val="00FF5A7B"/>
    <w:rsid w:val="00FF5E30"/>
    <w:rsid w:val="00FF5E9A"/>
    <w:rsid w:val="00FF5FAB"/>
    <w:rsid w:val="00FF606C"/>
    <w:rsid w:val="00FF6D24"/>
    <w:rsid w:val="00FF6E33"/>
    <w:rsid w:val="00FF6FD5"/>
    <w:rsid w:val="00FF71BC"/>
    <w:rsid w:val="00FF775B"/>
    <w:rsid w:val="00FF7A9B"/>
    <w:rsid w:val="01466C80"/>
    <w:rsid w:val="017621B8"/>
    <w:rsid w:val="01A67908"/>
    <w:rsid w:val="020EB7B4"/>
    <w:rsid w:val="021B1B08"/>
    <w:rsid w:val="02A5B00B"/>
    <w:rsid w:val="03314341"/>
    <w:rsid w:val="03408DCA"/>
    <w:rsid w:val="038FE008"/>
    <w:rsid w:val="0526F022"/>
    <w:rsid w:val="053BF5C6"/>
    <w:rsid w:val="058164FF"/>
    <w:rsid w:val="05964A69"/>
    <w:rsid w:val="06EFACB2"/>
    <w:rsid w:val="072D4A9E"/>
    <w:rsid w:val="07A899C2"/>
    <w:rsid w:val="0834C1EE"/>
    <w:rsid w:val="0874457E"/>
    <w:rsid w:val="08752A76"/>
    <w:rsid w:val="0896A3D9"/>
    <w:rsid w:val="0921E130"/>
    <w:rsid w:val="0976CA31"/>
    <w:rsid w:val="098B93E7"/>
    <w:rsid w:val="09CCB9BC"/>
    <w:rsid w:val="09D52129"/>
    <w:rsid w:val="0A2E9DE0"/>
    <w:rsid w:val="0A3C78E2"/>
    <w:rsid w:val="0A41895B"/>
    <w:rsid w:val="0A8CBC9B"/>
    <w:rsid w:val="0A9DAC44"/>
    <w:rsid w:val="0ACA065C"/>
    <w:rsid w:val="0BFF1CF5"/>
    <w:rsid w:val="0C5DC828"/>
    <w:rsid w:val="0C74EFBA"/>
    <w:rsid w:val="0C9EF1DF"/>
    <w:rsid w:val="0CB3BD3F"/>
    <w:rsid w:val="0CCA6FC6"/>
    <w:rsid w:val="0D86BFD2"/>
    <w:rsid w:val="0DE0D85A"/>
    <w:rsid w:val="0E3FE197"/>
    <w:rsid w:val="0E71230C"/>
    <w:rsid w:val="0E800A04"/>
    <w:rsid w:val="0E96F2FC"/>
    <w:rsid w:val="0EA1EDA3"/>
    <w:rsid w:val="0EEAF839"/>
    <w:rsid w:val="0F08E9ED"/>
    <w:rsid w:val="0F95ED3D"/>
    <w:rsid w:val="10F88055"/>
    <w:rsid w:val="11B1B853"/>
    <w:rsid w:val="133B3410"/>
    <w:rsid w:val="13564DBD"/>
    <w:rsid w:val="13D7C51C"/>
    <w:rsid w:val="142E3B77"/>
    <w:rsid w:val="146997D1"/>
    <w:rsid w:val="14948AE2"/>
    <w:rsid w:val="14BF8BEC"/>
    <w:rsid w:val="14D46265"/>
    <w:rsid w:val="15366463"/>
    <w:rsid w:val="156D8BCD"/>
    <w:rsid w:val="15C24825"/>
    <w:rsid w:val="16BA74CB"/>
    <w:rsid w:val="178EB2BB"/>
    <w:rsid w:val="186A664F"/>
    <w:rsid w:val="188BFC24"/>
    <w:rsid w:val="189A0F0B"/>
    <w:rsid w:val="19AB5F5D"/>
    <w:rsid w:val="19E3D63A"/>
    <w:rsid w:val="1A1DEB46"/>
    <w:rsid w:val="1A442559"/>
    <w:rsid w:val="1A50572C"/>
    <w:rsid w:val="1A87F9DC"/>
    <w:rsid w:val="1A9741E0"/>
    <w:rsid w:val="1ACDB271"/>
    <w:rsid w:val="1ACE251F"/>
    <w:rsid w:val="1B07F225"/>
    <w:rsid w:val="1B6DC956"/>
    <w:rsid w:val="1C069F21"/>
    <w:rsid w:val="1C285B1A"/>
    <w:rsid w:val="1C2B7727"/>
    <w:rsid w:val="1C2E5E1D"/>
    <w:rsid w:val="1C4DFE88"/>
    <w:rsid w:val="1C527037"/>
    <w:rsid w:val="1C53756E"/>
    <w:rsid w:val="1C88B5A4"/>
    <w:rsid w:val="1CB429FA"/>
    <w:rsid w:val="1CEFCFBD"/>
    <w:rsid w:val="1CF10336"/>
    <w:rsid w:val="1E91016A"/>
    <w:rsid w:val="1E9C76CD"/>
    <w:rsid w:val="1F1024DE"/>
    <w:rsid w:val="1F11B83C"/>
    <w:rsid w:val="1F69AFC1"/>
    <w:rsid w:val="1FEAAA2C"/>
    <w:rsid w:val="205D63D1"/>
    <w:rsid w:val="20A6C466"/>
    <w:rsid w:val="20AD4593"/>
    <w:rsid w:val="21EBC0F1"/>
    <w:rsid w:val="22109B1B"/>
    <w:rsid w:val="234CC98A"/>
    <w:rsid w:val="240F5A5E"/>
    <w:rsid w:val="2493263B"/>
    <w:rsid w:val="24ACF7AC"/>
    <w:rsid w:val="251026D6"/>
    <w:rsid w:val="255721C4"/>
    <w:rsid w:val="2585E320"/>
    <w:rsid w:val="26FEDBB6"/>
    <w:rsid w:val="27238B2D"/>
    <w:rsid w:val="272CDA5E"/>
    <w:rsid w:val="276D4EE7"/>
    <w:rsid w:val="27949713"/>
    <w:rsid w:val="27B3EA91"/>
    <w:rsid w:val="2842CE67"/>
    <w:rsid w:val="285AEF97"/>
    <w:rsid w:val="285CBA30"/>
    <w:rsid w:val="28994566"/>
    <w:rsid w:val="2B1945D8"/>
    <w:rsid w:val="2B2A237E"/>
    <w:rsid w:val="2B6A589D"/>
    <w:rsid w:val="2B87F233"/>
    <w:rsid w:val="2BF30137"/>
    <w:rsid w:val="2CCAF777"/>
    <w:rsid w:val="2CDC7B4A"/>
    <w:rsid w:val="2D124B31"/>
    <w:rsid w:val="2DCDD57B"/>
    <w:rsid w:val="2E884F65"/>
    <w:rsid w:val="2E94C179"/>
    <w:rsid w:val="2EEC2643"/>
    <w:rsid w:val="2F53CE72"/>
    <w:rsid w:val="2F891BE4"/>
    <w:rsid w:val="30138ED3"/>
    <w:rsid w:val="303B77DA"/>
    <w:rsid w:val="304FDBF5"/>
    <w:rsid w:val="30552BAF"/>
    <w:rsid w:val="3066FC64"/>
    <w:rsid w:val="30B09107"/>
    <w:rsid w:val="313A9252"/>
    <w:rsid w:val="31948338"/>
    <w:rsid w:val="31C00ADB"/>
    <w:rsid w:val="31E705FB"/>
    <w:rsid w:val="324AD419"/>
    <w:rsid w:val="324F1154"/>
    <w:rsid w:val="32B69FFB"/>
    <w:rsid w:val="33228E1C"/>
    <w:rsid w:val="334F2393"/>
    <w:rsid w:val="33C795E1"/>
    <w:rsid w:val="3413B3AA"/>
    <w:rsid w:val="34586DE1"/>
    <w:rsid w:val="34B3A37C"/>
    <w:rsid w:val="34C78C24"/>
    <w:rsid w:val="34F39C67"/>
    <w:rsid w:val="35060ACA"/>
    <w:rsid w:val="35141A77"/>
    <w:rsid w:val="3578776A"/>
    <w:rsid w:val="35B65735"/>
    <w:rsid w:val="35D3C934"/>
    <w:rsid w:val="36844972"/>
    <w:rsid w:val="36BC031C"/>
    <w:rsid w:val="3782CF3B"/>
    <w:rsid w:val="37EA7937"/>
    <w:rsid w:val="3872DBE5"/>
    <w:rsid w:val="38CBC28C"/>
    <w:rsid w:val="38D57FDE"/>
    <w:rsid w:val="3982EE40"/>
    <w:rsid w:val="398BBF96"/>
    <w:rsid w:val="3993F262"/>
    <w:rsid w:val="39A90319"/>
    <w:rsid w:val="39E54FC5"/>
    <w:rsid w:val="3A353FE0"/>
    <w:rsid w:val="3ABC2B97"/>
    <w:rsid w:val="3AF78289"/>
    <w:rsid w:val="3B31C163"/>
    <w:rsid w:val="3B4F8824"/>
    <w:rsid w:val="3B5BDF7F"/>
    <w:rsid w:val="3C14A316"/>
    <w:rsid w:val="3D144DE6"/>
    <w:rsid w:val="3D35EC41"/>
    <w:rsid w:val="3D9D5D5E"/>
    <w:rsid w:val="3EC251CF"/>
    <w:rsid w:val="3F891986"/>
    <w:rsid w:val="4085E38B"/>
    <w:rsid w:val="40D301C3"/>
    <w:rsid w:val="40F38722"/>
    <w:rsid w:val="411EC062"/>
    <w:rsid w:val="4130FB93"/>
    <w:rsid w:val="416EB535"/>
    <w:rsid w:val="41990302"/>
    <w:rsid w:val="419FF455"/>
    <w:rsid w:val="41CAB129"/>
    <w:rsid w:val="41E0F44C"/>
    <w:rsid w:val="4258157E"/>
    <w:rsid w:val="426A3335"/>
    <w:rsid w:val="42C572C8"/>
    <w:rsid w:val="43872FB9"/>
    <w:rsid w:val="440D0B6B"/>
    <w:rsid w:val="444F6E7C"/>
    <w:rsid w:val="445B14E8"/>
    <w:rsid w:val="44785941"/>
    <w:rsid w:val="44B61429"/>
    <w:rsid w:val="44F109C8"/>
    <w:rsid w:val="4527AA46"/>
    <w:rsid w:val="453F11E3"/>
    <w:rsid w:val="4544C764"/>
    <w:rsid w:val="4552E268"/>
    <w:rsid w:val="4579930F"/>
    <w:rsid w:val="457F6A1E"/>
    <w:rsid w:val="45B10F89"/>
    <w:rsid w:val="46508CD7"/>
    <w:rsid w:val="4672C8A7"/>
    <w:rsid w:val="4692EE5A"/>
    <w:rsid w:val="4698EF8D"/>
    <w:rsid w:val="471A2708"/>
    <w:rsid w:val="47428420"/>
    <w:rsid w:val="48714FA9"/>
    <w:rsid w:val="48D53535"/>
    <w:rsid w:val="4971EBC0"/>
    <w:rsid w:val="497B87CE"/>
    <w:rsid w:val="49A879BD"/>
    <w:rsid w:val="49C7FCFF"/>
    <w:rsid w:val="4A04CDA8"/>
    <w:rsid w:val="4A6E3AF9"/>
    <w:rsid w:val="4ACC1A63"/>
    <w:rsid w:val="4ACECB6F"/>
    <w:rsid w:val="4ACF9EC1"/>
    <w:rsid w:val="4B618B2D"/>
    <w:rsid w:val="4CA9F6EA"/>
    <w:rsid w:val="4D0C14B7"/>
    <w:rsid w:val="4E81D495"/>
    <w:rsid w:val="4EDC450E"/>
    <w:rsid w:val="4FC3328F"/>
    <w:rsid w:val="4FD8DE56"/>
    <w:rsid w:val="5007554B"/>
    <w:rsid w:val="50765403"/>
    <w:rsid w:val="51089E9A"/>
    <w:rsid w:val="51A4FD03"/>
    <w:rsid w:val="521575BE"/>
    <w:rsid w:val="52B1A0C3"/>
    <w:rsid w:val="52B3B1F7"/>
    <w:rsid w:val="52CCEF11"/>
    <w:rsid w:val="5320CAEA"/>
    <w:rsid w:val="550DD4E3"/>
    <w:rsid w:val="551441DF"/>
    <w:rsid w:val="556427B8"/>
    <w:rsid w:val="55816E08"/>
    <w:rsid w:val="55CF7A0D"/>
    <w:rsid w:val="55E34737"/>
    <w:rsid w:val="55E3D958"/>
    <w:rsid w:val="56233B99"/>
    <w:rsid w:val="56E778F6"/>
    <w:rsid w:val="57095E86"/>
    <w:rsid w:val="5744CB86"/>
    <w:rsid w:val="575FF92C"/>
    <w:rsid w:val="57B30E7D"/>
    <w:rsid w:val="58A9FA33"/>
    <w:rsid w:val="594F108F"/>
    <w:rsid w:val="59902EC1"/>
    <w:rsid w:val="59E06C2B"/>
    <w:rsid w:val="59F5FA0E"/>
    <w:rsid w:val="5A6224E2"/>
    <w:rsid w:val="5AB75B8A"/>
    <w:rsid w:val="5B8535C3"/>
    <w:rsid w:val="5BF7C7AA"/>
    <w:rsid w:val="5C9F6A73"/>
    <w:rsid w:val="5CCDA779"/>
    <w:rsid w:val="5CE81D9B"/>
    <w:rsid w:val="5D0A64F6"/>
    <w:rsid w:val="5DD9D543"/>
    <w:rsid w:val="5DFC30C1"/>
    <w:rsid w:val="5EC4ECBC"/>
    <w:rsid w:val="5F76C1D5"/>
    <w:rsid w:val="5FA87A1C"/>
    <w:rsid w:val="5FB18E70"/>
    <w:rsid w:val="5FCBD6A6"/>
    <w:rsid w:val="5FED3E3A"/>
    <w:rsid w:val="6061F9A4"/>
    <w:rsid w:val="60D6D369"/>
    <w:rsid w:val="60DE0E6A"/>
    <w:rsid w:val="60F3E2FA"/>
    <w:rsid w:val="60F778DD"/>
    <w:rsid w:val="615B5929"/>
    <w:rsid w:val="61E5C6B7"/>
    <w:rsid w:val="621F61B7"/>
    <w:rsid w:val="62C065CB"/>
    <w:rsid w:val="63016F8D"/>
    <w:rsid w:val="63A67865"/>
    <w:rsid w:val="63B1CFB3"/>
    <w:rsid w:val="63D6AC1D"/>
    <w:rsid w:val="646B10D3"/>
    <w:rsid w:val="66388DC6"/>
    <w:rsid w:val="666A1BFB"/>
    <w:rsid w:val="66950134"/>
    <w:rsid w:val="66965FB3"/>
    <w:rsid w:val="670E7E9A"/>
    <w:rsid w:val="67B8A7EC"/>
    <w:rsid w:val="67DA1743"/>
    <w:rsid w:val="67F1FDF5"/>
    <w:rsid w:val="68C8BFCC"/>
    <w:rsid w:val="69370ABD"/>
    <w:rsid w:val="6A79DCC0"/>
    <w:rsid w:val="6A9A882A"/>
    <w:rsid w:val="6AAD2640"/>
    <w:rsid w:val="6AE5430E"/>
    <w:rsid w:val="6AE5DE5A"/>
    <w:rsid w:val="6B749646"/>
    <w:rsid w:val="6BA2D2C6"/>
    <w:rsid w:val="6BBFADED"/>
    <w:rsid w:val="6C25B879"/>
    <w:rsid w:val="6C69D9B3"/>
    <w:rsid w:val="6C7C7FE8"/>
    <w:rsid w:val="6CAC3FF1"/>
    <w:rsid w:val="6D02831C"/>
    <w:rsid w:val="6D11B433"/>
    <w:rsid w:val="6DA8B9B8"/>
    <w:rsid w:val="6DC35B09"/>
    <w:rsid w:val="6DD7BB31"/>
    <w:rsid w:val="6E492154"/>
    <w:rsid w:val="6E82E517"/>
    <w:rsid w:val="6EBC8014"/>
    <w:rsid w:val="6F005F58"/>
    <w:rsid w:val="7019A43E"/>
    <w:rsid w:val="70318EEC"/>
    <w:rsid w:val="703CB3E9"/>
    <w:rsid w:val="714D346A"/>
    <w:rsid w:val="717A96C5"/>
    <w:rsid w:val="7188F781"/>
    <w:rsid w:val="718ABC61"/>
    <w:rsid w:val="72298E06"/>
    <w:rsid w:val="72466104"/>
    <w:rsid w:val="72917E6B"/>
    <w:rsid w:val="730AA8BD"/>
    <w:rsid w:val="73282680"/>
    <w:rsid w:val="7367B5E8"/>
    <w:rsid w:val="739C9AEF"/>
    <w:rsid w:val="739E142E"/>
    <w:rsid w:val="73BD76C0"/>
    <w:rsid w:val="73C20F7B"/>
    <w:rsid w:val="73CE2B33"/>
    <w:rsid w:val="73D6E24F"/>
    <w:rsid w:val="73DCFC6D"/>
    <w:rsid w:val="73E4C240"/>
    <w:rsid w:val="749AF0EE"/>
    <w:rsid w:val="74F1CA35"/>
    <w:rsid w:val="74F93FAB"/>
    <w:rsid w:val="75015930"/>
    <w:rsid w:val="751E1F3C"/>
    <w:rsid w:val="75663A83"/>
    <w:rsid w:val="76B9C2B4"/>
    <w:rsid w:val="76CB2852"/>
    <w:rsid w:val="773F2F85"/>
    <w:rsid w:val="776A819E"/>
    <w:rsid w:val="77F6B770"/>
    <w:rsid w:val="7884C421"/>
    <w:rsid w:val="79742103"/>
    <w:rsid w:val="79A7698A"/>
    <w:rsid w:val="79CF3B97"/>
    <w:rsid w:val="7A3676CA"/>
    <w:rsid w:val="7A6E88DE"/>
    <w:rsid w:val="7AFB7764"/>
    <w:rsid w:val="7C53AB1A"/>
    <w:rsid w:val="7C78C7AC"/>
    <w:rsid w:val="7D406710"/>
    <w:rsid w:val="7D6B5181"/>
    <w:rsid w:val="7E832A6D"/>
    <w:rsid w:val="7F357138"/>
    <w:rsid w:val="7F44A927"/>
    <w:rsid w:val="7F527158"/>
    <w:rsid w:val="7F57360D"/>
    <w:rsid w:val="7F6667B5"/>
    <w:rsid w:val="7F6ADD56"/>
    <w:rsid w:val="7FE71BF4"/>
    <w:rsid w:val="7FF1FB4C"/>
    <w:rsid w:val="7FF9F4C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54890"/>
  <w15:chartTrackingRefBased/>
  <w15:docId w15:val="{6C90E538-69E8-436A-BB50-CD8D6ED6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32D"/>
    <w:pPr>
      <w:spacing w:after="0" w:line="240" w:lineRule="auto"/>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F21EE"/>
    <w:pPr>
      <w:keepNext/>
      <w:keepLines/>
      <w:numPr>
        <w:numId w:val="3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BF21EE"/>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BF21EE"/>
    <w:pPr>
      <w:keepNext/>
      <w:keepLines/>
      <w:numPr>
        <w:numId w:val="34"/>
      </w:numPr>
      <w:spacing w:before="120" w:after="120"/>
      <w:outlineLvl w:val="2"/>
    </w:pPr>
    <w:rPr>
      <w:rFonts w:eastAsiaTheme="majorEastAsia"/>
      <w:b/>
      <w:bCs/>
    </w:rPr>
  </w:style>
  <w:style w:type="paragraph" w:styleId="Heading4">
    <w:name w:val="heading 4"/>
    <w:basedOn w:val="Normal"/>
    <w:next w:val="Normal"/>
    <w:link w:val="Heading4Char"/>
    <w:uiPriority w:val="9"/>
    <w:unhideWhenUsed/>
    <w:qFormat/>
    <w:rsid w:val="00BF21EE"/>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BF21EE"/>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BF21EE"/>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BF21E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BF21EE"/>
  </w:style>
  <w:style w:type="paragraph" w:styleId="Title">
    <w:name w:val="Title"/>
    <w:basedOn w:val="Normal"/>
    <w:next w:val="Normal"/>
    <w:link w:val="TitleChar"/>
    <w:uiPriority w:val="10"/>
    <w:qFormat/>
    <w:rsid w:val="00BF21EE"/>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BF21EE"/>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BF21EE"/>
    <w:rPr>
      <w:rFonts w:ascii="Times New Roman" w:eastAsiaTheme="majorEastAsia" w:hAnsi="Times New Roman" w:cstheme="majorBidi"/>
      <w:b/>
      <w:bCs/>
      <w:sz w:val="28"/>
      <w:szCs w:val="32"/>
    </w:rPr>
  </w:style>
  <w:style w:type="paragraph" w:customStyle="1" w:styleId="Cornernotation">
    <w:name w:val="Corner notation"/>
    <w:basedOn w:val="Normal"/>
    <w:rsid w:val="00BF21EE"/>
    <w:pPr>
      <w:ind w:left="170" w:right="3119" w:hanging="170"/>
      <w:jc w:val="left"/>
    </w:pPr>
    <w:rPr>
      <w:b/>
      <w:sz w:val="24"/>
    </w:rPr>
  </w:style>
  <w:style w:type="table" w:customStyle="1" w:styleId="TableGrid1">
    <w:name w:val="Table Grid1"/>
    <w:basedOn w:val="TableNormal"/>
    <w:next w:val="TableGrid"/>
    <w:uiPriority w:val="59"/>
    <w:rsid w:val="00BF21EE"/>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BF21EE"/>
    <w:rPr>
      <w:b w:val="0"/>
      <w:bCs/>
      <w:sz w:val="22"/>
    </w:rPr>
  </w:style>
  <w:style w:type="paragraph" w:styleId="FootnoteText">
    <w:name w:val="footnote text"/>
    <w:basedOn w:val="Normal"/>
    <w:link w:val="FootnoteTextChar"/>
    <w:uiPriority w:val="99"/>
    <w:unhideWhenUsed/>
    <w:rsid w:val="00BF21EE"/>
    <w:rPr>
      <w:sz w:val="20"/>
      <w:szCs w:val="20"/>
    </w:rPr>
  </w:style>
  <w:style w:type="character" w:customStyle="1" w:styleId="FootnoteTextChar">
    <w:name w:val="Footnote Text Char"/>
    <w:basedOn w:val="DefaultParagraphFont"/>
    <w:link w:val="FootnoteText"/>
    <w:uiPriority w:val="99"/>
    <w:rsid w:val="00BF21EE"/>
    <w:rPr>
      <w:rFonts w:ascii="Times New Roman" w:eastAsia="Times New Roman" w:hAnsi="Times New Roman" w:cs="Times New Roman"/>
      <w:kern w:val="0"/>
      <w:sz w:val="20"/>
      <w:szCs w:val="20"/>
      <w:lang w:val="es-ES"/>
      <w14:ligatures w14:val="none"/>
    </w:rPr>
  </w:style>
  <w:style w:type="character" w:styleId="FootnoteReference">
    <w:name w:val="footnote reference"/>
    <w:basedOn w:val="DefaultParagraphFont"/>
    <w:link w:val="BVIfnrChar"/>
    <w:uiPriority w:val="99"/>
    <w:unhideWhenUsed/>
    <w:rsid w:val="00BF21EE"/>
    <w:rPr>
      <w:vertAlign w:val="superscript"/>
    </w:rPr>
  </w:style>
  <w:style w:type="paragraph" w:customStyle="1" w:styleId="Footnote">
    <w:name w:val="Footnote"/>
    <w:basedOn w:val="FootnoteText"/>
    <w:qFormat/>
    <w:rsid w:val="00BF21EE"/>
    <w:rPr>
      <w:sz w:val="18"/>
      <w:szCs w:val="18"/>
    </w:rPr>
  </w:style>
  <w:style w:type="paragraph" w:customStyle="1" w:styleId="Cornernotation-Item">
    <w:name w:val="Corner notation - Item"/>
    <w:basedOn w:val="Venuedate"/>
    <w:qFormat/>
    <w:rsid w:val="00BF21EE"/>
    <w:rPr>
      <w:b/>
    </w:rPr>
  </w:style>
  <w:style w:type="paragraph" w:styleId="Subtitle">
    <w:name w:val="Subtitle"/>
    <w:basedOn w:val="Normal"/>
    <w:next w:val="Normal"/>
    <w:link w:val="SubtitleChar"/>
    <w:uiPriority w:val="11"/>
    <w:qFormat/>
    <w:rsid w:val="00BF21EE"/>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BF21EE"/>
    <w:rPr>
      <w:rFonts w:ascii="Times New Roman Bold" w:eastAsiaTheme="minorEastAsia" w:hAnsi="Times New Roman Bold"/>
      <w:b/>
      <w:color w:val="5A5A5A" w:themeColor="text1" w:themeTint="A5"/>
      <w:kern w:val="0"/>
      <w:lang w:val="es-ES"/>
      <w14:ligatures w14:val="none"/>
    </w:rPr>
  </w:style>
  <w:style w:type="paragraph" w:customStyle="1" w:styleId="Para10">
    <w:name w:val="Para 1"/>
    <w:basedOn w:val="Normal"/>
    <w:qFormat/>
    <w:rsid w:val="00FF71BC"/>
    <w:pPr>
      <w:numPr>
        <w:numId w:val="35"/>
      </w:numPr>
      <w:tabs>
        <w:tab w:val="left" w:pos="1134"/>
      </w:tabs>
      <w:spacing w:before="120" w:after="120"/>
      <w:ind w:left="567" w:firstLine="0"/>
    </w:pPr>
  </w:style>
  <w:style w:type="character" w:customStyle="1" w:styleId="Heading2Char">
    <w:name w:val="Heading 2 Char"/>
    <w:basedOn w:val="DefaultParagraphFont"/>
    <w:link w:val="Heading2"/>
    <w:uiPriority w:val="9"/>
    <w:rsid w:val="00BF21EE"/>
    <w:rPr>
      <w:rFonts w:ascii="Times New Roman" w:eastAsiaTheme="majorEastAsia" w:hAnsi="Times New Roman" w:cstheme="majorBidi"/>
      <w:b/>
      <w:kern w:val="0"/>
      <w:sz w:val="24"/>
      <w:szCs w:val="26"/>
      <w:lang w:val="es-ES"/>
      <w14:ligatures w14:val="none"/>
    </w:rPr>
  </w:style>
  <w:style w:type="character" w:styleId="PlaceholderText">
    <w:name w:val="Placeholder Text"/>
    <w:basedOn w:val="DefaultParagraphFont"/>
    <w:uiPriority w:val="99"/>
    <w:semiHidden/>
    <w:rsid w:val="00BF21EE"/>
    <w:rPr>
      <w:color w:val="808080"/>
    </w:rPr>
  </w:style>
  <w:style w:type="paragraph" w:styleId="Header">
    <w:name w:val="header"/>
    <w:basedOn w:val="Normal"/>
    <w:link w:val="HeaderChar"/>
    <w:unhideWhenUsed/>
    <w:rsid w:val="00715156"/>
    <w:pPr>
      <w:tabs>
        <w:tab w:val="center" w:pos="4680"/>
        <w:tab w:val="right" w:pos="9360"/>
      </w:tabs>
    </w:pPr>
  </w:style>
  <w:style w:type="character" w:customStyle="1" w:styleId="HeaderChar">
    <w:name w:val="Header Char"/>
    <w:basedOn w:val="DefaultParagraphFont"/>
    <w:link w:val="Header"/>
    <w:rsid w:val="00715156"/>
    <w:rPr>
      <w:rFonts w:ascii="Times New Roman" w:eastAsia="Times New Roman" w:hAnsi="Times New Roman" w:cs="Times New Roman"/>
      <w:kern w:val="0"/>
      <w:lang w:val="es-ES"/>
      <w14:ligatures w14:val="none"/>
    </w:rPr>
  </w:style>
  <w:style w:type="paragraph" w:styleId="Footer">
    <w:name w:val="footer"/>
    <w:basedOn w:val="Normal"/>
    <w:link w:val="FooterChar"/>
    <w:uiPriority w:val="99"/>
    <w:unhideWhenUsed/>
    <w:rsid w:val="00BF21EE"/>
    <w:pPr>
      <w:tabs>
        <w:tab w:val="center" w:pos="4680"/>
        <w:tab w:val="right" w:pos="9360"/>
      </w:tabs>
    </w:pPr>
  </w:style>
  <w:style w:type="character" w:customStyle="1" w:styleId="FooterChar">
    <w:name w:val="Footer Char"/>
    <w:basedOn w:val="DefaultParagraphFont"/>
    <w:link w:val="Footer"/>
    <w:uiPriority w:val="99"/>
    <w:rsid w:val="00BF21EE"/>
    <w:rPr>
      <w:rFonts w:ascii="Times New Roman" w:eastAsia="Times New Roman" w:hAnsi="Times New Roman" w:cs="Times New Roman"/>
      <w:kern w:val="0"/>
      <w:szCs w:val="24"/>
      <w:lang w:val="es-ES"/>
      <w14:ligatures w14:val="none"/>
    </w:rPr>
  </w:style>
  <w:style w:type="character" w:customStyle="1" w:styleId="Heading3Char">
    <w:name w:val="Heading 3 Char"/>
    <w:basedOn w:val="DefaultParagraphFont"/>
    <w:link w:val="Heading3"/>
    <w:uiPriority w:val="9"/>
    <w:rsid w:val="00BF21EE"/>
    <w:rPr>
      <w:rFonts w:ascii="Times New Roman" w:eastAsiaTheme="majorEastAsia" w:hAnsi="Times New Roman" w:cs="Times New Roman"/>
      <w:b/>
      <w:bCs/>
      <w:kern w:val="0"/>
      <w:lang w:val="es-ES"/>
      <w14:ligatures w14:val="none"/>
    </w:rPr>
  </w:style>
  <w:style w:type="paragraph" w:customStyle="1" w:styleId="Para2">
    <w:name w:val="Para 2"/>
    <w:qFormat/>
    <w:rsid w:val="00BF21EE"/>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F21EE"/>
    <w:rPr>
      <w:b/>
      <w:sz w:val="28"/>
    </w:rPr>
  </w:style>
  <w:style w:type="paragraph" w:customStyle="1" w:styleId="Para3">
    <w:name w:val="Para 3"/>
    <w:basedOn w:val="Normal"/>
    <w:qFormat/>
    <w:rsid w:val="00BF21EE"/>
    <w:pPr>
      <w:tabs>
        <w:tab w:val="left" w:pos="1701"/>
      </w:tabs>
      <w:spacing w:before="120" w:after="120"/>
      <w:ind w:left="1134"/>
    </w:pPr>
  </w:style>
  <w:style w:type="character" w:customStyle="1" w:styleId="Heading4Char">
    <w:name w:val="Heading 4 Char"/>
    <w:basedOn w:val="DefaultParagraphFont"/>
    <w:link w:val="Heading4"/>
    <w:uiPriority w:val="9"/>
    <w:rsid w:val="00BF21EE"/>
    <w:rPr>
      <w:rFonts w:ascii="Times New Roman" w:eastAsiaTheme="majorEastAsia" w:hAnsi="Times New Roman" w:cs="Times New Roman"/>
      <w:b/>
      <w:bCs/>
      <w:kern w:val="0"/>
      <w:szCs w:val="24"/>
      <w:lang w:val="es-ES"/>
      <w14:ligatures w14:val="none"/>
    </w:rPr>
  </w:style>
  <w:style w:type="character" w:customStyle="1" w:styleId="Heading5Char">
    <w:name w:val="Heading 5 Char"/>
    <w:basedOn w:val="DefaultParagraphFont"/>
    <w:link w:val="Heading5"/>
    <w:uiPriority w:val="9"/>
    <w:rsid w:val="00BF21EE"/>
    <w:rPr>
      <w:rFonts w:ascii="Times New Roman" w:eastAsiaTheme="majorEastAsia" w:hAnsi="Times New Roman" w:cs="Times New Roman"/>
      <w:i/>
      <w:iCs/>
      <w:kern w:val="0"/>
      <w:szCs w:val="24"/>
      <w:lang w:val="es-ES"/>
      <w14:ligatures w14:val="none"/>
    </w:rPr>
  </w:style>
  <w:style w:type="character" w:styleId="CommentReference">
    <w:name w:val="annotation reference"/>
    <w:basedOn w:val="DefaultParagraphFont"/>
    <w:uiPriority w:val="99"/>
    <w:semiHidden/>
    <w:unhideWhenUsed/>
    <w:rsid w:val="00BF21EE"/>
    <w:rPr>
      <w:sz w:val="16"/>
      <w:szCs w:val="16"/>
    </w:rPr>
  </w:style>
  <w:style w:type="paragraph" w:styleId="CommentText">
    <w:name w:val="annotation text"/>
    <w:basedOn w:val="Normal"/>
    <w:link w:val="CommentTextChar"/>
    <w:uiPriority w:val="99"/>
    <w:unhideWhenUsed/>
    <w:rsid w:val="00BF21EE"/>
    <w:rPr>
      <w:sz w:val="20"/>
      <w:szCs w:val="20"/>
    </w:rPr>
  </w:style>
  <w:style w:type="character" w:customStyle="1" w:styleId="CommentTextChar">
    <w:name w:val="Comment Text Char"/>
    <w:basedOn w:val="DefaultParagraphFont"/>
    <w:link w:val="CommentText"/>
    <w:uiPriority w:val="99"/>
    <w:rsid w:val="00BF21EE"/>
    <w:rPr>
      <w:rFonts w:ascii="Times New Roman" w:eastAsia="Times New Roma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BF21EE"/>
    <w:rPr>
      <w:b/>
      <w:bCs/>
    </w:rPr>
  </w:style>
  <w:style w:type="character" w:customStyle="1" w:styleId="CommentSubjectChar">
    <w:name w:val="Comment Subject Char"/>
    <w:basedOn w:val="CommentTextChar"/>
    <w:link w:val="CommentSubject"/>
    <w:uiPriority w:val="99"/>
    <w:semiHidden/>
    <w:rsid w:val="00BF21EE"/>
    <w:rPr>
      <w:rFonts w:ascii="Times New Roman" w:eastAsia="Times New Roman" w:hAnsi="Times New Roman" w:cs="Times New Roman"/>
      <w:b/>
      <w:bCs/>
      <w:kern w:val="0"/>
      <w:sz w:val="20"/>
      <w:szCs w:val="20"/>
      <w:lang w:val="es-ES"/>
      <w14:ligatures w14:val="none"/>
    </w:rPr>
  </w:style>
  <w:style w:type="character" w:styleId="Hyperlink">
    <w:name w:val="Hyperlink"/>
    <w:basedOn w:val="DefaultParagraphFont"/>
    <w:uiPriority w:val="99"/>
    <w:unhideWhenUsed/>
    <w:rsid w:val="001425C1"/>
    <w:rPr>
      <w:color w:val="0563C1" w:themeColor="hyperlink"/>
      <w:u w:val="single"/>
    </w:rPr>
  </w:style>
  <w:style w:type="character" w:customStyle="1" w:styleId="UnresolvedMention">
    <w:name w:val="Unresolved Mention"/>
    <w:basedOn w:val="DefaultParagraphFont"/>
    <w:uiPriority w:val="99"/>
    <w:semiHidden/>
    <w:unhideWhenUsed/>
    <w:rsid w:val="001425C1"/>
    <w:rPr>
      <w:color w:val="605E5C"/>
      <w:shd w:val="clear" w:color="auto" w:fill="E1DFDD"/>
    </w:rPr>
  </w:style>
  <w:style w:type="paragraph" w:styleId="Revision">
    <w:name w:val="Revision"/>
    <w:hidden/>
    <w:uiPriority w:val="99"/>
    <w:semiHidden/>
    <w:rsid w:val="005A4A7A"/>
    <w:pPr>
      <w:spacing w:after="0" w:line="240" w:lineRule="auto"/>
    </w:pPr>
    <w:rPr>
      <w:rFonts w:ascii="Times New Roman" w:eastAsia="Times New Roman" w:hAnsi="Times New Roman" w:cs="Times New Roman"/>
      <w:kern w:val="0"/>
      <w:szCs w:val="24"/>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D83EE4"/>
    <w:pPr>
      <w:ind w:left="720"/>
      <w:contextualSpacing/>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8F63E9"/>
    <w:rPr>
      <w:rFonts w:ascii="Times New Roman" w:eastAsia="Times New Roman" w:hAnsi="Times New Roman" w:cs="Times New Roman"/>
      <w:kern w:val="0"/>
      <w:szCs w:val="24"/>
      <w:lang w:val="es-ES"/>
      <w14:ligatures w14:val="none"/>
    </w:rPr>
  </w:style>
  <w:style w:type="character" w:styleId="FollowedHyperlink">
    <w:name w:val="FollowedHyperlink"/>
    <w:basedOn w:val="DefaultParagraphFont"/>
    <w:uiPriority w:val="99"/>
    <w:semiHidden/>
    <w:unhideWhenUsed/>
    <w:rsid w:val="0028713F"/>
    <w:rPr>
      <w:color w:val="954F72" w:themeColor="followedHyperlink"/>
      <w:u w:val="single"/>
    </w:rPr>
  </w:style>
  <w:style w:type="numbering" w:customStyle="1" w:styleId="NoList1">
    <w:name w:val="No List1"/>
    <w:next w:val="NoList"/>
    <w:uiPriority w:val="99"/>
    <w:semiHidden/>
    <w:unhideWhenUsed/>
    <w:rsid w:val="00097750"/>
  </w:style>
  <w:style w:type="numbering" w:customStyle="1" w:styleId="Style1">
    <w:name w:val="Style1"/>
    <w:uiPriority w:val="99"/>
    <w:rsid w:val="00097750"/>
    <w:pPr>
      <w:numPr>
        <w:numId w:val="16"/>
      </w:numPr>
    </w:pPr>
  </w:style>
  <w:style w:type="paragraph" w:customStyle="1" w:styleId="Para1">
    <w:name w:val="Para1"/>
    <w:basedOn w:val="Normal"/>
    <w:link w:val="Para1Char"/>
    <w:rsid w:val="00097750"/>
    <w:pPr>
      <w:numPr>
        <w:numId w:val="17"/>
      </w:numPr>
      <w:tabs>
        <w:tab w:val="left" w:pos="1134"/>
      </w:tabs>
      <w:spacing w:before="120" w:after="120"/>
    </w:pPr>
    <w:rPr>
      <w:snapToGrid w:val="0"/>
      <w:szCs w:val="18"/>
    </w:rPr>
  </w:style>
  <w:style w:type="character" w:customStyle="1" w:styleId="Para1Char">
    <w:name w:val="Para1 Char"/>
    <w:link w:val="Para1"/>
    <w:locked/>
    <w:rsid w:val="00097750"/>
    <w:rPr>
      <w:rFonts w:ascii="Times New Roman" w:eastAsia="Times New Roman" w:hAnsi="Times New Roman" w:cs="Times New Roman"/>
      <w:snapToGrid w:val="0"/>
      <w:kern w:val="0"/>
      <w:szCs w:val="18"/>
      <w:lang w:val="es-E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097750"/>
    <w:pPr>
      <w:spacing w:after="160" w:line="240" w:lineRule="exact"/>
    </w:pPr>
    <w:rPr>
      <w:rFonts w:asciiTheme="minorHAnsi" w:eastAsiaTheme="minorHAnsi" w:hAnsiTheme="minorHAnsi" w:cstheme="minorBidi"/>
      <w:kern w:val="2"/>
      <w:vertAlign w:val="superscript"/>
      <w14:ligatures w14:val="standardContextual"/>
    </w:rPr>
  </w:style>
  <w:style w:type="paragraph" w:customStyle="1" w:styleId="StylePara111ptKernat11pt">
    <w:name w:val="Style Para1 + 11 pt Kern at 11 pt"/>
    <w:basedOn w:val="Para1"/>
    <w:rsid w:val="00097750"/>
    <w:rPr>
      <w:kern w:val="22"/>
    </w:rPr>
  </w:style>
  <w:style w:type="paragraph" w:customStyle="1" w:styleId="Para20">
    <w:name w:val="Para2"/>
    <w:basedOn w:val="Para1"/>
    <w:rsid w:val="00097750"/>
    <w:pPr>
      <w:numPr>
        <w:numId w:val="0"/>
      </w:numPr>
      <w:autoSpaceDE w:val="0"/>
      <w:autoSpaceDN w:val="0"/>
    </w:pPr>
  </w:style>
  <w:style w:type="paragraph" w:customStyle="1" w:styleId="Heading1longmultiline">
    <w:name w:val="Heading 1 (long multiline)"/>
    <w:basedOn w:val="Heading1"/>
    <w:rsid w:val="00097750"/>
    <w:pPr>
      <w:keepLines w:val="0"/>
      <w:numPr>
        <w:numId w:val="0"/>
      </w:numPr>
      <w:tabs>
        <w:tab w:val="left" w:pos="720"/>
      </w:tabs>
      <w:ind w:left="1843" w:hanging="1134"/>
    </w:pPr>
    <w:rPr>
      <w:rFonts w:eastAsia="Times New Roman" w:cs="Times New Roman"/>
      <w:bCs w:val="0"/>
      <w:caps/>
      <w:kern w:val="0"/>
      <w:sz w:val="22"/>
      <w:szCs w:val="24"/>
      <w14:ligatures w14:val="none"/>
    </w:rPr>
  </w:style>
  <w:style w:type="character" w:styleId="EndnoteReference">
    <w:name w:val="endnote reference"/>
    <w:basedOn w:val="DefaultParagraphFont"/>
    <w:uiPriority w:val="99"/>
    <w:semiHidden/>
    <w:unhideWhenUsed/>
    <w:rsid w:val="00097750"/>
    <w:rPr>
      <w:vertAlign w:val="superscript"/>
    </w:rPr>
  </w:style>
  <w:style w:type="table" w:customStyle="1" w:styleId="TableGrid2">
    <w:name w:val="Table Grid2"/>
    <w:basedOn w:val="TableNormal"/>
    <w:next w:val="TableGrid"/>
    <w:uiPriority w:val="39"/>
    <w:rsid w:val="000977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750"/>
    <w:pPr>
      <w:spacing w:before="100" w:beforeAutospacing="1" w:after="100" w:afterAutospacing="1"/>
      <w:jc w:val="left"/>
    </w:pPr>
    <w:rPr>
      <w:sz w:val="24"/>
    </w:rPr>
  </w:style>
  <w:style w:type="character" w:styleId="PageNumber">
    <w:name w:val="page number"/>
    <w:basedOn w:val="DefaultParagraphFont"/>
    <w:uiPriority w:val="99"/>
    <w:semiHidden/>
    <w:unhideWhenUsed/>
    <w:rsid w:val="00097750"/>
  </w:style>
  <w:style w:type="paragraph" w:styleId="EndnoteText">
    <w:name w:val="endnote text"/>
    <w:basedOn w:val="Normal"/>
    <w:link w:val="EndnoteTextChar"/>
    <w:uiPriority w:val="99"/>
    <w:unhideWhenUsed/>
    <w:rsid w:val="00097750"/>
    <w:pPr>
      <w:jc w:val="left"/>
    </w:pPr>
    <w:rPr>
      <w:rFonts w:ascii="Arial" w:eastAsia="Arial" w:hAnsi="Arial" w:cs="Arial"/>
      <w:sz w:val="20"/>
      <w:szCs w:val="20"/>
    </w:rPr>
  </w:style>
  <w:style w:type="character" w:customStyle="1" w:styleId="EndnoteTextChar">
    <w:name w:val="Endnote Text Char"/>
    <w:basedOn w:val="DefaultParagraphFont"/>
    <w:link w:val="EndnoteText"/>
    <w:uiPriority w:val="99"/>
    <w:rsid w:val="00097750"/>
    <w:rPr>
      <w:rFonts w:ascii="Arial" w:eastAsia="Arial" w:hAnsi="Arial" w:cs="Arial"/>
      <w:kern w:val="0"/>
      <w:sz w:val="20"/>
      <w:szCs w:val="20"/>
      <w:lang w:val="es-ES"/>
      <w14:ligatures w14:val="none"/>
    </w:rPr>
  </w:style>
  <w:style w:type="character" w:customStyle="1" w:styleId="Mention">
    <w:name w:val="Mention"/>
    <w:basedOn w:val="DefaultParagraphFont"/>
    <w:uiPriority w:val="99"/>
    <w:unhideWhenUsed/>
    <w:rsid w:val="00097750"/>
    <w:rPr>
      <w:color w:val="2B579A"/>
      <w:shd w:val="clear" w:color="auto" w:fill="E1DFDD"/>
    </w:rPr>
  </w:style>
  <w:style w:type="character" w:styleId="LineNumber">
    <w:name w:val="line number"/>
    <w:basedOn w:val="DefaultParagraphFont"/>
    <w:uiPriority w:val="99"/>
    <w:semiHidden/>
    <w:unhideWhenUsed/>
    <w:rsid w:val="00097750"/>
  </w:style>
  <w:style w:type="numbering" w:customStyle="1" w:styleId="CurrentList1">
    <w:name w:val="Current List1"/>
    <w:uiPriority w:val="99"/>
    <w:rsid w:val="00097750"/>
    <w:pPr>
      <w:numPr>
        <w:numId w:val="19"/>
      </w:numPr>
    </w:pPr>
  </w:style>
  <w:style w:type="numbering" w:customStyle="1" w:styleId="CurrentList2">
    <w:name w:val="Current List2"/>
    <w:uiPriority w:val="99"/>
    <w:rsid w:val="00097750"/>
    <w:pPr>
      <w:numPr>
        <w:numId w:val="20"/>
      </w:numPr>
    </w:pPr>
  </w:style>
  <w:style w:type="numbering" w:customStyle="1" w:styleId="CurrentList3">
    <w:name w:val="Current List3"/>
    <w:uiPriority w:val="99"/>
    <w:rsid w:val="00097750"/>
    <w:pPr>
      <w:numPr>
        <w:numId w:val="21"/>
      </w:numPr>
    </w:pPr>
  </w:style>
  <w:style w:type="numbering" w:customStyle="1" w:styleId="CurrentList4">
    <w:name w:val="Current List4"/>
    <w:uiPriority w:val="99"/>
    <w:rsid w:val="00097750"/>
    <w:pPr>
      <w:numPr>
        <w:numId w:val="22"/>
      </w:numPr>
    </w:pPr>
  </w:style>
  <w:style w:type="numbering" w:customStyle="1" w:styleId="CurrentList5">
    <w:name w:val="Current List5"/>
    <w:uiPriority w:val="99"/>
    <w:rsid w:val="00097750"/>
    <w:pPr>
      <w:numPr>
        <w:numId w:val="23"/>
      </w:numPr>
    </w:pPr>
  </w:style>
  <w:style w:type="numbering" w:customStyle="1" w:styleId="CurrentList6">
    <w:name w:val="Current List6"/>
    <w:uiPriority w:val="99"/>
    <w:rsid w:val="00097750"/>
    <w:pPr>
      <w:numPr>
        <w:numId w:val="28"/>
      </w:numPr>
    </w:pPr>
  </w:style>
  <w:style w:type="numbering" w:customStyle="1" w:styleId="NoList2">
    <w:name w:val="No List2"/>
    <w:next w:val="NoList"/>
    <w:uiPriority w:val="99"/>
    <w:semiHidden/>
    <w:unhideWhenUsed/>
    <w:rsid w:val="00050E9A"/>
  </w:style>
  <w:style w:type="numbering" w:customStyle="1" w:styleId="Style11">
    <w:name w:val="Style11"/>
    <w:uiPriority w:val="99"/>
    <w:rsid w:val="00050E9A"/>
  </w:style>
  <w:style w:type="table" w:customStyle="1" w:styleId="TableGrid3">
    <w:name w:val="Table Grid3"/>
    <w:basedOn w:val="TableNormal"/>
    <w:next w:val="TableGrid"/>
    <w:uiPriority w:val="39"/>
    <w:rsid w:val="00050E9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050E9A"/>
    <w:pPr>
      <w:numPr>
        <w:numId w:val="3"/>
      </w:numPr>
    </w:pPr>
  </w:style>
  <w:style w:type="numbering" w:customStyle="1" w:styleId="CurrentList21">
    <w:name w:val="Current List21"/>
    <w:uiPriority w:val="99"/>
    <w:rsid w:val="00050E9A"/>
    <w:pPr>
      <w:numPr>
        <w:numId w:val="4"/>
      </w:numPr>
    </w:pPr>
  </w:style>
  <w:style w:type="numbering" w:customStyle="1" w:styleId="CurrentList31">
    <w:name w:val="Current List31"/>
    <w:uiPriority w:val="99"/>
    <w:rsid w:val="00050E9A"/>
  </w:style>
  <w:style w:type="numbering" w:customStyle="1" w:styleId="CurrentList41">
    <w:name w:val="Current List41"/>
    <w:uiPriority w:val="99"/>
    <w:rsid w:val="00050E9A"/>
    <w:pPr>
      <w:numPr>
        <w:numId w:val="6"/>
      </w:numPr>
    </w:pPr>
  </w:style>
  <w:style w:type="numbering" w:customStyle="1" w:styleId="CurrentList51">
    <w:name w:val="Current List51"/>
    <w:uiPriority w:val="99"/>
    <w:rsid w:val="00050E9A"/>
    <w:pPr>
      <w:numPr>
        <w:numId w:val="7"/>
      </w:numPr>
    </w:pPr>
  </w:style>
  <w:style w:type="numbering" w:customStyle="1" w:styleId="CurrentList61">
    <w:name w:val="Current List61"/>
    <w:uiPriority w:val="99"/>
    <w:rsid w:val="00050E9A"/>
  </w:style>
  <w:style w:type="table" w:customStyle="1" w:styleId="TableGrid4">
    <w:name w:val="Table Grid4"/>
    <w:basedOn w:val="TableNormal"/>
    <w:next w:val="TableGrid"/>
    <w:uiPriority w:val="39"/>
    <w:rsid w:val="00BF7AC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AF4863"/>
    <w:pPr>
      <w:tabs>
        <w:tab w:val="left" w:pos="1134"/>
      </w:tabs>
      <w:spacing w:before="120" w:after="120"/>
      <w:ind w:left="567"/>
    </w:pPr>
    <w:rPr>
      <w:snapToGrid w:val="0"/>
      <w:szCs w:val="18"/>
    </w:rPr>
  </w:style>
  <w:style w:type="paragraph" w:customStyle="1" w:styleId="CBD-heading1-not-numbered">
    <w:name w:val="CBD-heading 1-not-numbered"/>
    <w:basedOn w:val="Normal"/>
    <w:qFormat/>
    <w:rsid w:val="00CE18B9"/>
    <w:pPr>
      <w:spacing w:before="120" w:after="120"/>
      <w:ind w:left="567" w:hanging="567"/>
      <w:contextualSpacing/>
      <w:outlineLvl w:val="0"/>
    </w:pPr>
    <w:rPr>
      <w:rFonts w:eastAsiaTheme="majorEastAsia" w:cstheme="majorBidi"/>
      <w:b/>
      <w:bCs/>
      <w:kern w:val="2"/>
      <w:sz w:val="28"/>
      <w:szCs w:val="32"/>
      <w14:ligatures w14:val="standardContextual"/>
    </w:rPr>
  </w:style>
  <w:style w:type="paragraph" w:customStyle="1" w:styleId="CBD-Heading2-not-numbered">
    <w:name w:val="CBD-Heading 2-not-numbered"/>
    <w:basedOn w:val="Normal"/>
    <w:qFormat/>
    <w:rsid w:val="00B335B9"/>
    <w:pPr>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770EE7"/>
    <w:pPr>
      <w:outlineLvl w:val="2"/>
    </w:pPr>
    <w:rPr>
      <w:sz w:val="22"/>
    </w:rPr>
  </w:style>
  <w:style w:type="paragraph" w:customStyle="1" w:styleId="CBD-para2-notnumbered">
    <w:name w:val="CBD-para 2-not numbered"/>
    <w:basedOn w:val="Normal"/>
    <w:qFormat/>
    <w:rsid w:val="00A07E85"/>
    <w:pPr>
      <w:tabs>
        <w:tab w:val="left" w:pos="1701"/>
      </w:tabs>
      <w:spacing w:before="120" w:after="120"/>
      <w:ind w:left="567" w:firstLine="567"/>
    </w:pPr>
    <w:rPr>
      <w:rFonts w:asciiTheme="majorBidi" w:eastAsiaTheme="minorHAnsi" w:hAnsiTheme="majorBidi" w:cstheme="majorBidi"/>
      <w:kern w:val="2"/>
      <w14:ligatures w14:val="standardContextual"/>
    </w:rPr>
  </w:style>
  <w:style w:type="character" w:customStyle="1" w:styleId="ui-provider">
    <w:name w:val="ui-provider"/>
    <w:basedOn w:val="DefaultParagraphFont"/>
    <w:rsid w:val="004249DF"/>
  </w:style>
  <w:style w:type="character" w:customStyle="1" w:styleId="cf01">
    <w:name w:val="cf01"/>
    <w:basedOn w:val="DefaultParagraphFont"/>
    <w:rsid w:val="00B03144"/>
    <w:rPr>
      <w:rFonts w:ascii="Segoe UI" w:hAnsi="Segoe UI" w:cs="Segoe UI" w:hint="default"/>
      <w:i/>
      <w:iCs/>
      <w:sz w:val="18"/>
      <w:szCs w:val="18"/>
      <w:shd w:val="clear" w:color="auto" w:fill="FFFFFF"/>
    </w:rPr>
  </w:style>
  <w:style w:type="character" w:customStyle="1" w:styleId="cf11">
    <w:name w:val="cf11"/>
    <w:basedOn w:val="DefaultParagraphFont"/>
    <w:rsid w:val="00B03144"/>
    <w:rPr>
      <w:rFonts w:ascii="Segoe UI" w:hAnsi="Segoe UI" w:cs="Segoe UI" w:hint="default"/>
      <w:i/>
      <w:iCs/>
      <w:sz w:val="18"/>
      <w:szCs w:val="18"/>
    </w:rPr>
  </w:style>
  <w:style w:type="character" w:customStyle="1" w:styleId="normaltextrun">
    <w:name w:val="normaltextrun"/>
    <w:basedOn w:val="DefaultParagraphFont"/>
    <w:rsid w:val="00D816A3"/>
  </w:style>
  <w:style w:type="paragraph" w:customStyle="1" w:styleId="CBD-title-recommendationdecision">
    <w:name w:val="CBD-title-recommendation/decision"/>
    <w:basedOn w:val="Title"/>
    <w:qFormat/>
    <w:rsid w:val="00C6498E"/>
    <w:pPr>
      <w:ind w:left="630"/>
      <w:jc w:val="left"/>
    </w:pPr>
  </w:style>
  <w:style w:type="character" w:customStyle="1" w:styleId="cf21">
    <w:name w:val="cf21"/>
    <w:basedOn w:val="DefaultParagraphFont"/>
    <w:rsid w:val="00CC42D5"/>
    <w:rPr>
      <w:rFonts w:ascii="Segoe UI" w:hAnsi="Segoe UI" w:cs="Segoe UI" w:hint="default"/>
      <w:color w:val="0563C1"/>
      <w:sz w:val="18"/>
      <w:szCs w:val="18"/>
      <w:u w:val="single"/>
    </w:rPr>
  </w:style>
  <w:style w:type="paragraph" w:styleId="BalloonText">
    <w:name w:val="Balloon Text"/>
    <w:basedOn w:val="Normal"/>
    <w:link w:val="BalloonTextChar"/>
    <w:uiPriority w:val="99"/>
    <w:semiHidden/>
    <w:unhideWhenUsed/>
    <w:rsid w:val="00690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AD6"/>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80859">
      <w:bodyDiv w:val="1"/>
      <w:marLeft w:val="0"/>
      <w:marRight w:val="0"/>
      <w:marTop w:val="0"/>
      <w:marBottom w:val="0"/>
      <w:divBdr>
        <w:top w:val="none" w:sz="0" w:space="0" w:color="auto"/>
        <w:left w:val="none" w:sz="0" w:space="0" w:color="auto"/>
        <w:bottom w:val="none" w:sz="0" w:space="0" w:color="auto"/>
        <w:right w:val="none" w:sz="0" w:space="0" w:color="auto"/>
      </w:divBdr>
    </w:div>
    <w:div w:id="362172221">
      <w:bodyDiv w:val="1"/>
      <w:marLeft w:val="0"/>
      <w:marRight w:val="0"/>
      <w:marTop w:val="0"/>
      <w:marBottom w:val="0"/>
      <w:divBdr>
        <w:top w:val="none" w:sz="0" w:space="0" w:color="auto"/>
        <w:left w:val="none" w:sz="0" w:space="0" w:color="auto"/>
        <w:bottom w:val="none" w:sz="0" w:space="0" w:color="auto"/>
        <w:right w:val="none" w:sz="0" w:space="0" w:color="auto"/>
      </w:divBdr>
    </w:div>
    <w:div w:id="376779468">
      <w:bodyDiv w:val="1"/>
      <w:marLeft w:val="0"/>
      <w:marRight w:val="0"/>
      <w:marTop w:val="0"/>
      <w:marBottom w:val="0"/>
      <w:divBdr>
        <w:top w:val="none" w:sz="0" w:space="0" w:color="auto"/>
        <w:left w:val="none" w:sz="0" w:space="0" w:color="auto"/>
        <w:bottom w:val="none" w:sz="0" w:space="0" w:color="auto"/>
        <w:right w:val="none" w:sz="0" w:space="0" w:color="auto"/>
      </w:divBdr>
    </w:div>
    <w:div w:id="435060229">
      <w:bodyDiv w:val="1"/>
      <w:marLeft w:val="0"/>
      <w:marRight w:val="0"/>
      <w:marTop w:val="0"/>
      <w:marBottom w:val="0"/>
      <w:divBdr>
        <w:top w:val="none" w:sz="0" w:space="0" w:color="auto"/>
        <w:left w:val="none" w:sz="0" w:space="0" w:color="auto"/>
        <w:bottom w:val="none" w:sz="0" w:space="0" w:color="auto"/>
        <w:right w:val="none" w:sz="0" w:space="0" w:color="auto"/>
      </w:divBdr>
    </w:div>
    <w:div w:id="1081680353">
      <w:bodyDiv w:val="1"/>
      <w:marLeft w:val="0"/>
      <w:marRight w:val="0"/>
      <w:marTop w:val="0"/>
      <w:marBottom w:val="0"/>
      <w:divBdr>
        <w:top w:val="none" w:sz="0" w:space="0" w:color="auto"/>
        <w:left w:val="none" w:sz="0" w:space="0" w:color="auto"/>
        <w:bottom w:val="none" w:sz="0" w:space="0" w:color="auto"/>
        <w:right w:val="none" w:sz="0" w:space="0" w:color="auto"/>
      </w:divBdr>
    </w:div>
    <w:div w:id="1938100648">
      <w:bodyDiv w:val="1"/>
      <w:marLeft w:val="0"/>
      <w:marRight w:val="0"/>
      <w:marTop w:val="0"/>
      <w:marBottom w:val="0"/>
      <w:divBdr>
        <w:top w:val="none" w:sz="0" w:space="0" w:color="auto"/>
        <w:left w:val="none" w:sz="0" w:space="0" w:color="auto"/>
        <w:bottom w:val="none" w:sz="0" w:space="0" w:color="auto"/>
        <w:right w:val="none" w:sz="0" w:space="0" w:color="auto"/>
      </w:divBdr>
    </w:div>
    <w:div w:id="214291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cbd.int/doc/decisions/cop-13/cop-13-dec-06-es.pdf" TargetMode="External"/><Relationship Id="rId26" Type="http://schemas.openxmlformats.org/officeDocument/2006/relationships/hyperlink" Target="http://www.cbd.int/doc/decisions/cop-13/cop-13-dec-06-es.pdf" TargetMode="External"/><Relationship Id="rId3" Type="http://schemas.openxmlformats.org/officeDocument/2006/relationships/customXml" Target="../customXml/item3.xml"/><Relationship Id="rId21" Type="http://schemas.openxmlformats.org/officeDocument/2006/relationships/hyperlink" Target="http://www.cbd.int/doc/decisions/cop-12/cop-12-dec-21-es.pdf" TargetMode="External"/><Relationship Id="rId34" Type="http://schemas.openxmlformats.org/officeDocument/2006/relationships/hyperlink" Target="https://www.cbd.int/doc/decisions/cop-06/full/cop-06-dec-e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bd.int/doc/decisions/cop-15/cop-15-dec-29-es.pdf" TargetMode="External"/><Relationship Id="rId25" Type="http://schemas.openxmlformats.org/officeDocument/2006/relationships/hyperlink" Target="http://www.cbd.int/doc/decisions/cop-12/cop-12-dec-21-es.pdf" TargetMode="External"/><Relationship Id="rId33" Type="http://schemas.openxmlformats.org/officeDocument/2006/relationships/hyperlink" Target="https://www.cbd.int/doc/decisions/cop-15/cop-15-dec-04-es.pdf" TargetMode="External"/><Relationship Id="rId2" Type="http://schemas.openxmlformats.org/officeDocument/2006/relationships/customXml" Target="../customXml/item2.xml"/><Relationship Id="rId16" Type="http://schemas.openxmlformats.org/officeDocument/2006/relationships/hyperlink" Target="http://www.cbd.int/doc/decisions/cop-14/cop-14-dec-04-es.pdf" TargetMode="External"/><Relationship Id="rId20" Type="http://schemas.openxmlformats.org/officeDocument/2006/relationships/hyperlink" Target="http://www.cbd.int/doc/decisions/cop-14/cop-14-dec-04-es.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cbd.int/doc/decisions/cop-15/cop-15-dec-29-es.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cbd.int/doc/decisions/cop-13/cop-13-dec-06-es.pdf" TargetMode="External"/><Relationship Id="rId23" Type="http://schemas.openxmlformats.org/officeDocument/2006/relationships/hyperlink" Target="http://www.cbd.int/doc/decisions/cop-14/cop-14-dec-04-es.pdf" TargetMode="External"/><Relationship Id="rId28" Type="http://schemas.openxmlformats.org/officeDocument/2006/relationships/hyperlink" Target="http://www.cbd.int/doc/decisions/cop-15/cop-15-dec-29-es.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bd.int/doc/decisions/cop-13/cop-13-dec-06-es.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bd.int/doc/decisions/cop-12/cop-12-dec-21-es.pdf" TargetMode="External"/><Relationship Id="rId22" Type="http://schemas.openxmlformats.org/officeDocument/2006/relationships/hyperlink" Target="http://www.cbd.int/doc/decisions/cop-13/cop-13-dec-06-es.pdf" TargetMode="External"/><Relationship Id="rId27" Type="http://schemas.openxmlformats.org/officeDocument/2006/relationships/hyperlink" Target="http://www.cbd.int/doc/decisions/cop-14/cop-14-dec-04-es.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activities/environmental-health-impacts" TargetMode="External"/><Relationship Id="rId2" Type="http://schemas.openxmlformats.org/officeDocument/2006/relationships/hyperlink" Target="https://www.paho.org/es" TargetMode="External"/><Relationship Id="rId1" Type="http://schemas.openxmlformats.org/officeDocument/2006/relationships/hyperlink" Target="https://documents.un.org/doc/undoc/gen/n23/029/17/pdf/n2302917.pdf?token=nHC7stZOQxNWc9nzqO&amp;fe=true" TargetMode="External"/><Relationship Id="rId6" Type="http://schemas.openxmlformats.org/officeDocument/2006/relationships/hyperlink" Target="https://www.ipbes.net/document-library-catalogue/summary-policymakers-global-assessment-laid-out" TargetMode="External"/><Relationship Id="rId5" Type="http://schemas.openxmlformats.org/officeDocument/2006/relationships/hyperlink" Target="https://www.cgiar.org/research/cgiar-portfolio/environmental-health-biodiversity/" TargetMode="External"/><Relationship Id="rId4" Type="http://schemas.openxmlformats.org/officeDocument/2006/relationships/hyperlink" Target="https://www.ipcc.ch/report/ar6/wg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ela.araya\Downloads\template-sbstta-2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d8ff95-0ebd-46cb-8360-97318506dc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271A332D96CD438BAECA4AC23E234A" ma:contentTypeVersion="18" ma:contentTypeDescription="Create a new document." ma:contentTypeScope="" ma:versionID="8492bf6b8af6480f0ad37d9389a73e71">
  <xsd:schema xmlns:xsd="http://www.w3.org/2001/XMLSchema" xmlns:xs="http://www.w3.org/2001/XMLSchema" xmlns:p="http://schemas.microsoft.com/office/2006/metadata/properties" xmlns:ns3="e7807545-4cd5-4eeb-8ae5-5da6dabcfec7" xmlns:ns4="79d8ff95-0ebd-46cb-8360-97318506dc9e" targetNamespace="http://schemas.microsoft.com/office/2006/metadata/properties" ma:root="true" ma:fieldsID="767e61b31520377b5f5d80114467a432" ns3:_="" ns4:_="">
    <xsd:import namespace="e7807545-4cd5-4eeb-8ae5-5da6dabcfec7"/>
    <xsd:import namespace="79d8ff95-0ebd-46cb-8360-97318506dc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07545-4cd5-4eeb-8ae5-5da6dabcfe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8ff95-0ebd-46cb-8360-97318506dc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79d8ff95-0ebd-46cb-8360-97318506dc9e"/>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B629539D-792D-4585-A3FA-25C530DB4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07545-4cd5-4eeb-8ae5-5da6dabcfec7"/>
    <ds:schemaRef ds:uri="79d8ff95-0ebd-46cb-8360-97318506d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5B1E2-AE17-4D4E-AAB9-20369F850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template-sbstta-26.dotm</Template>
  <TotalTime>627</TotalTime>
  <Pages>26</Pages>
  <Words>12871</Words>
  <Characters>73370</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Biodiversity and health</vt:lpstr>
    </vt:vector>
  </TitlesOfParts>
  <Company/>
  <LinksUpToDate>false</LinksUpToDate>
  <CharactersWithSpaces>86069</CharactersWithSpaces>
  <SharedDoc>false</SharedDoc>
  <HLinks>
    <vt:vector size="156" baseType="variant">
      <vt:variant>
        <vt:i4>6750264</vt:i4>
      </vt:variant>
      <vt:variant>
        <vt:i4>66</vt:i4>
      </vt:variant>
      <vt:variant>
        <vt:i4>0</vt:i4>
      </vt:variant>
      <vt:variant>
        <vt:i4>5</vt:i4>
      </vt:variant>
      <vt:variant>
        <vt:lpwstr>https://www.cbd.int/decision/cop/default.shtml?id=7197</vt:lpwstr>
      </vt:variant>
      <vt:variant>
        <vt:lpwstr/>
      </vt:variant>
      <vt:variant>
        <vt:i4>655435</vt:i4>
      </vt:variant>
      <vt:variant>
        <vt:i4>63</vt:i4>
      </vt:variant>
      <vt:variant>
        <vt:i4>0</vt:i4>
      </vt:variant>
      <vt:variant>
        <vt:i4>5</vt:i4>
      </vt:variant>
      <vt:variant>
        <vt:lpwstr>https://www.cbd.int/doc/decisions/cop-15/cop-15-dec-04-en.pdf</vt:lpwstr>
      </vt:variant>
      <vt:variant>
        <vt:lpwstr/>
      </vt:variant>
      <vt:variant>
        <vt:i4>5111896</vt:i4>
      </vt:variant>
      <vt:variant>
        <vt:i4>60</vt:i4>
      </vt:variant>
      <vt:variant>
        <vt:i4>0</vt:i4>
      </vt:variant>
      <vt:variant>
        <vt:i4>5</vt:i4>
      </vt:variant>
      <vt:variant>
        <vt:lpwstr>https://www.ipbes.net/document-library-catalogue/summary-policymakers-global-assessment-laid-out</vt:lpwstr>
      </vt:variant>
      <vt:variant>
        <vt:lpwstr/>
      </vt:variant>
      <vt:variant>
        <vt:i4>5111896</vt:i4>
      </vt:variant>
      <vt:variant>
        <vt:i4>57</vt:i4>
      </vt:variant>
      <vt:variant>
        <vt:i4>0</vt:i4>
      </vt:variant>
      <vt:variant>
        <vt:i4>5</vt:i4>
      </vt:variant>
      <vt:variant>
        <vt:lpwstr>https://www.ipbes.net/document-library-catalogue/summary-policymakers-global-assessment-laid-out</vt:lpwstr>
      </vt:variant>
      <vt:variant>
        <vt:lpwstr/>
      </vt:variant>
      <vt:variant>
        <vt:i4>196677</vt:i4>
      </vt:variant>
      <vt:variant>
        <vt:i4>54</vt:i4>
      </vt:variant>
      <vt:variant>
        <vt:i4>0</vt:i4>
      </vt:variant>
      <vt:variant>
        <vt:i4>5</vt:i4>
      </vt:variant>
      <vt:variant>
        <vt:lpwstr>https://www.cgiar.org/research/cgiar-portfolio/environmental-health-biodiversity/</vt:lpwstr>
      </vt:variant>
      <vt:variant>
        <vt:lpwstr/>
      </vt:variant>
      <vt:variant>
        <vt:i4>5963787</vt:i4>
      </vt:variant>
      <vt:variant>
        <vt:i4>51</vt:i4>
      </vt:variant>
      <vt:variant>
        <vt:i4>0</vt:i4>
      </vt:variant>
      <vt:variant>
        <vt:i4>5</vt:i4>
      </vt:variant>
      <vt:variant>
        <vt:lpwstr>https://documents-dds-ny.un.org/doc/UNDOC/GEN/N23/029/12/PDF/N2302912.pdf?OpenElement</vt:lpwstr>
      </vt:variant>
      <vt:variant>
        <vt:lpwstr/>
      </vt:variant>
      <vt:variant>
        <vt:i4>5111896</vt:i4>
      </vt:variant>
      <vt:variant>
        <vt:i4>48</vt:i4>
      </vt:variant>
      <vt:variant>
        <vt:i4>0</vt:i4>
      </vt:variant>
      <vt:variant>
        <vt:i4>5</vt:i4>
      </vt:variant>
      <vt:variant>
        <vt:lpwstr>https://www.ipbes.net/document-library-catalogue/summary-policymakers-global-assessment-laid-out</vt:lpwstr>
      </vt:variant>
      <vt:variant>
        <vt:lpwstr/>
      </vt:variant>
      <vt:variant>
        <vt:i4>5111896</vt:i4>
      </vt:variant>
      <vt:variant>
        <vt:i4>45</vt:i4>
      </vt:variant>
      <vt:variant>
        <vt:i4>0</vt:i4>
      </vt:variant>
      <vt:variant>
        <vt:i4>5</vt:i4>
      </vt:variant>
      <vt:variant>
        <vt:lpwstr>https://www.ipbes.net/document-library-catalogue/summary-policymakers-global-assessment-laid-out</vt:lpwstr>
      </vt:variant>
      <vt:variant>
        <vt:lpwstr/>
      </vt:variant>
      <vt:variant>
        <vt:i4>458825</vt:i4>
      </vt:variant>
      <vt:variant>
        <vt:i4>42</vt:i4>
      </vt:variant>
      <vt:variant>
        <vt:i4>0</vt:i4>
      </vt:variant>
      <vt:variant>
        <vt:i4>5</vt:i4>
      </vt:variant>
      <vt:variant>
        <vt:lpwstr>https://www.cbd.int/doc/decisions/cop-15/cop-15-dec-29-en.pdf</vt:lpwstr>
      </vt:variant>
      <vt:variant>
        <vt:lpwstr/>
      </vt:variant>
      <vt:variant>
        <vt:i4>720970</vt:i4>
      </vt:variant>
      <vt:variant>
        <vt:i4>39</vt:i4>
      </vt:variant>
      <vt:variant>
        <vt:i4>0</vt:i4>
      </vt:variant>
      <vt:variant>
        <vt:i4>5</vt:i4>
      </vt:variant>
      <vt:variant>
        <vt:lpwstr>https://www.cbd.int/doc/decisions/cop-14/cop-14-dec-04-en.pdf</vt:lpwstr>
      </vt:variant>
      <vt:variant>
        <vt:lpwstr/>
      </vt:variant>
      <vt:variant>
        <vt:i4>917581</vt:i4>
      </vt:variant>
      <vt:variant>
        <vt:i4>36</vt:i4>
      </vt:variant>
      <vt:variant>
        <vt:i4>0</vt:i4>
      </vt:variant>
      <vt:variant>
        <vt:i4>5</vt:i4>
      </vt:variant>
      <vt:variant>
        <vt:lpwstr>https://www.cbd.int/doc/decisions/cop-13/cop-13-dec-06-en.pdf</vt:lpwstr>
      </vt:variant>
      <vt:variant>
        <vt:lpwstr/>
      </vt:variant>
      <vt:variant>
        <vt:i4>524366</vt:i4>
      </vt:variant>
      <vt:variant>
        <vt:i4>33</vt:i4>
      </vt:variant>
      <vt:variant>
        <vt:i4>0</vt:i4>
      </vt:variant>
      <vt:variant>
        <vt:i4>5</vt:i4>
      </vt:variant>
      <vt:variant>
        <vt:lpwstr>https://www.cbd.int/doc/decisions/cop-12/cop-12-dec-21-en.pdf</vt:lpwstr>
      </vt:variant>
      <vt:variant>
        <vt:lpwstr/>
      </vt:variant>
      <vt:variant>
        <vt:i4>458825</vt:i4>
      </vt:variant>
      <vt:variant>
        <vt:i4>30</vt:i4>
      </vt:variant>
      <vt:variant>
        <vt:i4>0</vt:i4>
      </vt:variant>
      <vt:variant>
        <vt:i4>5</vt:i4>
      </vt:variant>
      <vt:variant>
        <vt:lpwstr>https://www.cbd.int/doc/decisions/cop-15/cop-15-dec-29-en.pdf</vt:lpwstr>
      </vt:variant>
      <vt:variant>
        <vt:lpwstr/>
      </vt:variant>
      <vt:variant>
        <vt:i4>720970</vt:i4>
      </vt:variant>
      <vt:variant>
        <vt:i4>27</vt:i4>
      </vt:variant>
      <vt:variant>
        <vt:i4>0</vt:i4>
      </vt:variant>
      <vt:variant>
        <vt:i4>5</vt:i4>
      </vt:variant>
      <vt:variant>
        <vt:lpwstr>https://www.cbd.int/doc/decisions/cop-14/cop-14-dec-04-en.pdf</vt:lpwstr>
      </vt:variant>
      <vt:variant>
        <vt:lpwstr/>
      </vt:variant>
      <vt:variant>
        <vt:i4>917581</vt:i4>
      </vt:variant>
      <vt:variant>
        <vt:i4>24</vt:i4>
      </vt:variant>
      <vt:variant>
        <vt:i4>0</vt:i4>
      </vt:variant>
      <vt:variant>
        <vt:i4>5</vt:i4>
      </vt:variant>
      <vt:variant>
        <vt:lpwstr>https://www.cbd.int/doc/decisions/cop-13/cop-13-dec-06-en.pdf</vt:lpwstr>
      </vt:variant>
      <vt:variant>
        <vt:lpwstr/>
      </vt:variant>
      <vt:variant>
        <vt:i4>524366</vt:i4>
      </vt:variant>
      <vt:variant>
        <vt:i4>21</vt:i4>
      </vt:variant>
      <vt:variant>
        <vt:i4>0</vt:i4>
      </vt:variant>
      <vt:variant>
        <vt:i4>5</vt:i4>
      </vt:variant>
      <vt:variant>
        <vt:lpwstr>https://www.cbd.int/doc/decisions/cop-12/cop-12-dec-21-en.pdf</vt:lpwstr>
      </vt:variant>
      <vt:variant>
        <vt:lpwstr/>
      </vt:variant>
      <vt:variant>
        <vt:i4>720970</vt:i4>
      </vt:variant>
      <vt:variant>
        <vt:i4>18</vt:i4>
      </vt:variant>
      <vt:variant>
        <vt:i4>0</vt:i4>
      </vt:variant>
      <vt:variant>
        <vt:i4>5</vt:i4>
      </vt:variant>
      <vt:variant>
        <vt:lpwstr>https://www.cbd.int/doc/decisions/cop-14/cop-14-dec-04-en.pdf</vt:lpwstr>
      </vt:variant>
      <vt:variant>
        <vt:lpwstr/>
      </vt:variant>
      <vt:variant>
        <vt:i4>720970</vt:i4>
      </vt:variant>
      <vt:variant>
        <vt:i4>15</vt:i4>
      </vt:variant>
      <vt:variant>
        <vt:i4>0</vt:i4>
      </vt:variant>
      <vt:variant>
        <vt:i4>5</vt:i4>
      </vt:variant>
      <vt:variant>
        <vt:lpwstr>https://www.cbd.int/doc/decisions/cop-14/cop-14-dec-04-en.pdf</vt:lpwstr>
      </vt:variant>
      <vt:variant>
        <vt:lpwstr/>
      </vt:variant>
      <vt:variant>
        <vt:i4>917581</vt:i4>
      </vt:variant>
      <vt:variant>
        <vt:i4>12</vt:i4>
      </vt:variant>
      <vt:variant>
        <vt:i4>0</vt:i4>
      </vt:variant>
      <vt:variant>
        <vt:i4>5</vt:i4>
      </vt:variant>
      <vt:variant>
        <vt:lpwstr>https://www.cbd.int/doc/decisions/cop-13/cop-13-dec-06-en.pdf</vt:lpwstr>
      </vt:variant>
      <vt:variant>
        <vt:lpwstr/>
      </vt:variant>
      <vt:variant>
        <vt:i4>458825</vt:i4>
      </vt:variant>
      <vt:variant>
        <vt:i4>9</vt:i4>
      </vt:variant>
      <vt:variant>
        <vt:i4>0</vt:i4>
      </vt:variant>
      <vt:variant>
        <vt:i4>5</vt:i4>
      </vt:variant>
      <vt:variant>
        <vt:lpwstr>https://www.cbd.int/doc/decisions/cop-15/cop-15-dec-29-en.pdf</vt:lpwstr>
      </vt:variant>
      <vt:variant>
        <vt:lpwstr/>
      </vt:variant>
      <vt:variant>
        <vt:i4>720970</vt:i4>
      </vt:variant>
      <vt:variant>
        <vt:i4>6</vt:i4>
      </vt:variant>
      <vt:variant>
        <vt:i4>0</vt:i4>
      </vt:variant>
      <vt:variant>
        <vt:i4>5</vt:i4>
      </vt:variant>
      <vt:variant>
        <vt:lpwstr>https://www.cbd.int/doc/decisions/cop-14/cop-14-dec-04-en.pdf</vt:lpwstr>
      </vt:variant>
      <vt:variant>
        <vt:lpwstr/>
      </vt:variant>
      <vt:variant>
        <vt:i4>917581</vt:i4>
      </vt:variant>
      <vt:variant>
        <vt:i4>3</vt:i4>
      </vt:variant>
      <vt:variant>
        <vt:i4>0</vt:i4>
      </vt:variant>
      <vt:variant>
        <vt:i4>5</vt:i4>
      </vt:variant>
      <vt:variant>
        <vt:lpwstr>https://www.cbd.int/doc/decisions/cop-13/cop-13-dec-06-en.pdf</vt:lpwstr>
      </vt:variant>
      <vt:variant>
        <vt:lpwstr/>
      </vt:variant>
      <vt:variant>
        <vt:i4>524366</vt:i4>
      </vt:variant>
      <vt:variant>
        <vt:i4>0</vt:i4>
      </vt:variant>
      <vt:variant>
        <vt:i4>0</vt:i4>
      </vt:variant>
      <vt:variant>
        <vt:i4>5</vt:i4>
      </vt:variant>
      <vt:variant>
        <vt:lpwstr>https://www.cbd.int/doc/decisions/cop-12/cop-12-dec-21-en.pdf</vt:lpwstr>
      </vt:variant>
      <vt:variant>
        <vt:lpwstr/>
      </vt:variant>
      <vt:variant>
        <vt:i4>2818091</vt:i4>
      </vt:variant>
      <vt:variant>
        <vt:i4>6</vt:i4>
      </vt:variant>
      <vt:variant>
        <vt:i4>0</vt:i4>
      </vt:variant>
      <vt:variant>
        <vt:i4>5</vt:i4>
      </vt:variant>
      <vt:variant>
        <vt:lpwstr>https://www.paho.org/en</vt:lpwstr>
      </vt:variant>
      <vt:variant>
        <vt:lpwstr/>
      </vt:variant>
      <vt:variant>
        <vt:i4>7798901</vt:i4>
      </vt:variant>
      <vt:variant>
        <vt:i4>3</vt:i4>
      </vt:variant>
      <vt:variant>
        <vt:i4>0</vt:i4>
      </vt:variant>
      <vt:variant>
        <vt:i4>5</vt:i4>
      </vt:variant>
      <vt:variant>
        <vt:lpwstr>https://documents.un.org/doc/undoc/gen/n23/029/12/pdf/n2302912.pdf?token=MNVnouNJKmigQFyXDz&amp;fe=true</vt:lpwstr>
      </vt:variant>
      <vt:variant>
        <vt:lpwstr/>
      </vt:variant>
      <vt:variant>
        <vt:i4>6357046</vt:i4>
      </vt:variant>
      <vt:variant>
        <vt:i4>0</vt:i4>
      </vt:variant>
      <vt:variant>
        <vt:i4>0</vt:i4>
      </vt:variant>
      <vt:variant>
        <vt:i4>5</vt:i4>
      </vt:variant>
      <vt:variant>
        <vt:lpwstr>https://www.who.int/publications/m/item/who-manifesto-for-a-healthy-recovery-from-covid-19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and health</dc:title>
  <dc:subject>CBD/SBSTTA/25/--</dc:subject>
  <dc:creator>Secretariat of the Convention on Biological Diversity</dc:creator>
  <cp:keywords>Subsidiary Body on Scientific, Technical and Technological Advice</cp:keywords>
  <dc:description/>
  <cp:lastModifiedBy>Laura Perez</cp:lastModifiedBy>
  <cp:revision>70</cp:revision>
  <cp:lastPrinted>2024-07-03T20:49:00Z</cp:lastPrinted>
  <dcterms:created xsi:type="dcterms:W3CDTF">2024-07-02T22:44:00Z</dcterms:created>
  <dcterms:modified xsi:type="dcterms:W3CDTF">2024-07-08T23:49:00Z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0x010100D8271A332D96CD438BAECA4AC23E234A</vt:lpwstr>
  </property>
</Properties>
</file>